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diagrams/data2.xml" ContentType="application/vnd.openxmlformats-officedocument.drawingml.diagramData+xml"/>
  <Override PartName="/word/diagrams/data1.xml" ContentType="application/vnd.openxmlformats-officedocument.drawingml.diagramData+xml"/>
  <Override PartName="/word/footer6.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9.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0.xml" ContentType="application/vnd.openxmlformats-officedocument.themeOverride+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theme/themeOverride12.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1.xml" ContentType="application/vnd.openxmlformats-officedocument.themeOverrid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5.xml" ContentType="application/vnd.openxmlformats-officedocument.themeOverrid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6.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7.xml" ContentType="application/vnd.openxmlformats-officedocument.themeOverrid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8.xml" ContentType="application/vnd.openxmlformats-officedocument.themeOverrid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4.xml" ContentType="application/vnd.openxmlformats-officedocument.drawingml.chart+xml"/>
  <Override PartName="/word/theme/themeOverride29.xml" ContentType="application/vnd.openxmlformats-officedocument.themeOverride+xml"/>
  <Override PartName="/word/charts/chart35.xml" ContentType="application/vnd.openxmlformats-officedocument.drawingml.chart+xml"/>
  <Override PartName="/word/theme/themeOverride30.xml" ContentType="application/vnd.openxmlformats-officedocument.themeOverride+xml"/>
  <Override PartName="/word/charts/chart36.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7.xml" ContentType="application/vnd.openxmlformats-officedocument.drawingml.chart+xml"/>
  <Override PartName="/word/theme/themeOverride31.xml" ContentType="application/vnd.openxmlformats-officedocument.themeOverride+xml"/>
  <Override PartName="/word/charts/chart38.xml" ContentType="application/vnd.openxmlformats-officedocument.drawingml.chart+xml"/>
  <Override PartName="/word/theme/themeOverride32.xml" ContentType="application/vnd.openxmlformats-officedocument.themeOverride+xml"/>
  <Override PartName="/word/charts/chart39.xml" ContentType="application/vnd.openxmlformats-officedocument.drawingml.chart+xml"/>
  <Override PartName="/word/theme/themeOverride33.xml" ContentType="application/vnd.openxmlformats-officedocument.themeOverride+xml"/>
  <Override PartName="/word/charts/chart40.xml" ContentType="application/vnd.openxmlformats-officedocument.drawingml.chart+xml"/>
  <Override PartName="/word/theme/themeOverride34.xml" ContentType="application/vnd.openxmlformats-officedocument.themeOverride+xml"/>
  <Override PartName="/word/charts/chart41.xml" ContentType="application/vnd.openxmlformats-officedocument.drawingml.chart+xml"/>
  <Override PartName="/word/theme/themeOverride35.xml" ContentType="application/vnd.openxmlformats-officedocument.themeOverride+xml"/>
  <Override PartName="/word/charts/chart42.xml" ContentType="application/vnd.openxmlformats-officedocument.drawingml.chart+xml"/>
  <Override PartName="/word/theme/themeOverride36.xml" ContentType="application/vnd.openxmlformats-officedocument.themeOverride+xml"/>
  <Override PartName="/word/charts/chart43.xml" ContentType="application/vnd.openxmlformats-officedocument.drawingml.chart+xml"/>
  <Override PartName="/word/theme/themeOverride37.xml" ContentType="application/vnd.openxmlformats-officedocument.themeOverride+xml"/>
  <Override PartName="/word/charts/chart44.xml" ContentType="application/vnd.openxmlformats-officedocument.drawingml.chart+xml"/>
  <Override PartName="/word/theme/themeOverride38.xml" ContentType="application/vnd.openxmlformats-officedocument.themeOverride+xml"/>
  <Override PartName="/word/charts/chart45.xml" ContentType="application/vnd.openxmlformats-officedocument.drawingml.chart+xml"/>
  <Override PartName="/word/theme/themeOverride39.xml" ContentType="application/vnd.openxmlformats-officedocument.themeOverride+xml"/>
  <Override PartName="/word/charts/chart46.xml" ContentType="application/vnd.openxmlformats-officedocument.drawingml.chart+xml"/>
  <Override PartName="/word/theme/themeOverride40.xml" ContentType="application/vnd.openxmlformats-officedocument.themeOverride+xml"/>
  <Override PartName="/word/charts/chart47.xml" ContentType="application/vnd.openxmlformats-officedocument.drawingml.chart+xml"/>
  <Override PartName="/word/theme/themeOverride41.xml" ContentType="application/vnd.openxmlformats-officedocument.themeOverride+xml"/>
  <Override PartName="/word/charts/chart48.xml" ContentType="application/vnd.openxmlformats-officedocument.drawingml.chart+xml"/>
  <Override PartName="/word/theme/themeOverride42.xml" ContentType="application/vnd.openxmlformats-officedocument.themeOverride+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43.xml" ContentType="application/vnd.openxmlformats-officedocument.themeOverride+xml"/>
  <Override PartName="/word/charts/chart5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44.xml" ContentType="application/vnd.openxmlformats-officedocument.themeOverride+xml"/>
  <Override PartName="/word/charts/chart51.xml" ContentType="application/vnd.openxmlformats-officedocument.drawingml.chart+xml"/>
  <Override PartName="/word/theme/themeOverride45.xml" ContentType="application/vnd.openxmlformats-officedocument.themeOverride+xml"/>
  <Override PartName="/word/charts/chart52.xml" ContentType="application/vnd.openxmlformats-officedocument.drawingml.chart+xml"/>
  <Override PartName="/word/theme/themeOverride46.xml" ContentType="application/vnd.openxmlformats-officedocument.themeOverride+xml"/>
  <Override PartName="/word/charts/chart53.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7.xml" ContentType="application/vnd.openxmlformats-officedocument.themeOverride+xml"/>
  <Override PartName="/word/charts/chart54.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8.xml" ContentType="application/vnd.openxmlformats-officedocument.themeOverride+xml"/>
  <Override PartName="/word/charts/chart55.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9.xml" ContentType="application/vnd.openxmlformats-officedocument.themeOverride+xml"/>
  <Override PartName="/word/charts/chart56.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0.xml" ContentType="application/vnd.openxmlformats-officedocument.themeOverride+xml"/>
  <Override PartName="/word/charts/chart57.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51.xml" ContentType="application/vnd.openxmlformats-officedocument.themeOverride+xml"/>
  <Override PartName="/word/charts/chart58.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52.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customXml/itemProps2.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3A7226" w14:textId="232BCFBC" w:rsidR="00401F90" w:rsidRDefault="00157AC0" w:rsidP="002C63BC">
      <w:pPr>
        <w:pStyle w:val="Title"/>
      </w:pPr>
      <w:r>
        <mc:AlternateContent>
          <mc:Choice Requires="wpg">
            <w:drawing>
              <wp:anchor distT="0" distB="0" distL="114300" distR="114300" simplePos="0" relativeHeight="251658240" behindDoc="1" locked="0" layoutInCell="1" allowOverlap="1" wp14:anchorId="0C5D7B3B" wp14:editId="24A4E2E4">
                <wp:simplePos x="0" y="0"/>
                <wp:positionH relativeFrom="column">
                  <wp:posOffset>-532765</wp:posOffset>
                </wp:positionH>
                <wp:positionV relativeFrom="page">
                  <wp:posOffset>396240</wp:posOffset>
                </wp:positionV>
                <wp:extent cx="7040880" cy="9262745"/>
                <wp:effectExtent l="0" t="0" r="0" b="0"/>
                <wp:wrapNone/>
                <wp:docPr id="1843322243"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0880" cy="9262745"/>
                          <a:chOff x="0" y="0"/>
                          <a:chExt cx="7040880" cy="9262745"/>
                        </a:xfrm>
                      </wpg:grpSpPr>
                      <wps:wsp>
                        <wps:cNvPr id="274152862" name="Rectangle 82"/>
                        <wps:cNvSpPr/>
                        <wps:spPr>
                          <a:xfrm>
                            <a:off x="0" y="0"/>
                            <a:ext cx="7040880" cy="9262745"/>
                          </a:xfrm>
                          <a:prstGeom prst="rect">
                            <a:avLst/>
                          </a:prstGeom>
                          <a:solidFill>
                            <a:srgbClr val="F6F6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139059" name="Picture 21" descr="A picture containing clip, light&#10;&#10;Description automatically generated"/>
                          <pic:cNvPicPr>
                            <a:picLocks noChangeAspect="1"/>
                          </pic:cNvPicPr>
                        </pic:nvPicPr>
                        <pic:blipFill rotWithShape="1">
                          <a:blip r:embed="rId11" cstate="print"/>
                          <a:srcRect b="26188"/>
                          <a:stretch/>
                        </pic:blipFill>
                        <pic:spPr bwMode="auto">
                          <a:xfrm rot="16200000">
                            <a:off x="2907419" y="4330778"/>
                            <a:ext cx="4829810" cy="34188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21949A42" id="Group 5" o:spid="_x0000_s1026" style="position:absolute;margin-left:-41.95pt;margin-top:31.2pt;width:554.4pt;height:729.35pt;z-index:-251658240;mso-position-vertical-relative:page" coordsize="70408,92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">
                <v:rect id="Rectangle 82" o:spid="_x0000_s1027" style="position:absolute;width:70408;height:9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" fillcolor="#f6f6f7"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alt="A picture containing clip, light&#10;&#10;Description automatically generated" style="position:absolute;left:29073;top:43308;width:48299;height:341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">
                  <v:imagedata r:id="rId12" o:title="A picture containing clip, light&#10;&#10;Description automatically generated" cropbottom="17163f"/>
                </v:shape>
                <w10:wrap anchory="page"/>
              </v:group>
            </w:pict>
          </mc:Fallback>
        </mc:AlternateContent>
      </w:r>
      <w:r w:rsidR="00401F90" w:rsidRPr="00CD01A7">
        <w:rPr>
          <w:highlight w:val="darkGray"/>
        </w:rPr>
        <w:drawing>
          <wp:anchor distT="0" distB="0" distL="114300" distR="114300" simplePos="0" relativeHeight="251658241" behindDoc="0" locked="0" layoutInCell="1" allowOverlap="1" wp14:anchorId="12AE540E" wp14:editId="44DB6551">
            <wp:simplePos x="0" y="0"/>
            <wp:positionH relativeFrom="margin">
              <wp:posOffset>0</wp:posOffset>
            </wp:positionH>
            <wp:positionV relativeFrom="paragraph">
              <wp:posOffset>190500</wp:posOffset>
            </wp:positionV>
            <wp:extent cx="1380744" cy="457284"/>
            <wp:effectExtent l="0" t="0" r="0" b="0"/>
            <wp:wrapNone/>
            <wp:docPr id="11" name="Picture 1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Picture 899" descr="A picture containing ico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80744" cy="457284"/>
                    </a:xfrm>
                    <a:prstGeom prst="rect">
                      <a:avLst/>
                    </a:prstGeom>
                  </pic:spPr>
                </pic:pic>
              </a:graphicData>
            </a:graphic>
            <wp14:sizeRelH relativeFrom="page">
              <wp14:pctWidth>0</wp14:pctWidth>
            </wp14:sizeRelH>
            <wp14:sizeRelV relativeFrom="page">
              <wp14:pctHeight>0</wp14:pctHeight>
            </wp14:sizeRelV>
          </wp:anchor>
        </w:drawing>
      </w:r>
    </w:p>
    <w:p w14:paraId="013A07EE" w14:textId="77777777" w:rsidR="00401F90" w:rsidRDefault="00401F90" w:rsidP="002C63BC">
      <w:pPr>
        <w:pStyle w:val="Title"/>
      </w:pPr>
    </w:p>
    <w:p w14:paraId="30EC099F" w14:textId="6673F70B" w:rsidR="003E6B63" w:rsidRPr="003E6B63" w:rsidRDefault="001C3662" w:rsidP="003E6B63">
      <w:pPr>
        <w:pStyle w:val="Title"/>
        <w:jc w:val="left"/>
        <w:rPr>
          <w:rFonts w:asciiTheme="minorHAnsi" w:hAnsiTheme="minorHAnsi"/>
          <w:b/>
          <w:bCs/>
        </w:rPr>
      </w:pPr>
      <w:r>
        <w:rPr>
          <w:rStyle w:val="CoverPageTitleChar"/>
        </w:rPr>
        <w:t>AVISTA ELECTRIC CONSERVATION POTENTIAL ASSESSMENT FOR 20</w:t>
      </w:r>
      <w:r w:rsidR="00FE10AD">
        <w:rPr>
          <w:rStyle w:val="CoverPageTitleChar"/>
        </w:rPr>
        <w:t>26</w:t>
      </w:r>
      <w:r>
        <w:rPr>
          <w:rStyle w:val="CoverPageTitleChar"/>
        </w:rPr>
        <w:t>-</w:t>
      </w:r>
      <w:r w:rsidR="00FE10AD">
        <w:rPr>
          <w:rStyle w:val="CoverPageTitleChar"/>
        </w:rPr>
        <w:t>2045</w:t>
      </w:r>
    </w:p>
    <w:p w14:paraId="6A39D6B0" w14:textId="20EBCAEC" w:rsidR="00E651A4" w:rsidRDefault="00157AC0">
      <w:pPr>
        <w:spacing w:before="40" w:after="80"/>
        <w:ind w:left="576"/>
        <w:jc w:val="left"/>
        <w:rPr>
          <w:rStyle w:val="BookTitle"/>
          <w:rFonts w:ascii="Aptos" w:hAnsi="Aptos"/>
          <w:sz w:val="22"/>
          <w:szCs w:val="22"/>
        </w:rPr>
      </w:pPr>
      <w:r>
        <w:rPr>
          <w:noProof/>
        </w:rPr>
        <mc:AlternateContent>
          <mc:Choice Requires="wps">
            <w:drawing>
              <wp:anchor distT="45720" distB="45720" distL="114300" distR="114300" simplePos="0" relativeHeight="251658242" behindDoc="0" locked="0" layoutInCell="1" allowOverlap="1" wp14:anchorId="27D57522" wp14:editId="661A816E">
                <wp:simplePos x="0" y="0"/>
                <wp:positionH relativeFrom="column">
                  <wp:posOffset>-197894</wp:posOffset>
                </wp:positionH>
                <wp:positionV relativeFrom="paragraph">
                  <wp:posOffset>4208960</wp:posOffset>
                </wp:positionV>
                <wp:extent cx="3650777" cy="1134745"/>
                <wp:effectExtent l="0" t="0" r="0" b="0"/>
                <wp:wrapNone/>
                <wp:docPr id="173695831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0777" cy="1134745"/>
                        </a:xfrm>
                        <a:prstGeom prst="rect">
                          <a:avLst/>
                        </a:prstGeom>
                        <a:noFill/>
                        <a:ln w="9525">
                          <a:noFill/>
                          <a:miter lim="800000"/>
                          <a:headEnd/>
                          <a:tailEnd/>
                        </a:ln>
                      </wps:spPr>
                      <wps:txbx>
                        <w:txbxContent>
                          <w:p w14:paraId="26D73280" w14:textId="186B590D" w:rsidR="00401F90" w:rsidRPr="00401F90" w:rsidRDefault="00401F90" w:rsidP="002C63BC">
                            <w:pPr>
                              <w:pStyle w:val="TitlePageInfo"/>
                            </w:pPr>
                            <w:r w:rsidRPr="002045D4">
                              <w:rPr>
                                <w:rFonts w:asciiTheme="majorHAnsi" w:hAnsiTheme="majorHAnsi"/>
                              </w:rPr>
                              <w:t>Prepared for:</w:t>
                            </w:r>
                            <w:r w:rsidR="00792643">
                              <w:t xml:space="preserve"> </w:t>
                            </w:r>
                            <w:r w:rsidR="00582EBB">
                              <w:t>Avista Corporation</w:t>
                            </w:r>
                          </w:p>
                          <w:p w14:paraId="28B91917" w14:textId="77777777" w:rsidR="00401F90" w:rsidRPr="00401F90" w:rsidRDefault="00401F90" w:rsidP="002C63BC">
                            <w:pPr>
                              <w:pStyle w:val="TitlePageInfo"/>
                            </w:pPr>
                            <w:r w:rsidRPr="002045D4">
                              <w:rPr>
                                <w:rFonts w:asciiTheme="majorHAnsi" w:hAnsiTheme="majorHAnsi"/>
                              </w:rPr>
                              <w:t>By:</w:t>
                            </w:r>
                            <w:r w:rsidRPr="00401F90">
                              <w:t xml:space="preserve"> Applied Energy Group, Inc.</w:t>
                            </w:r>
                          </w:p>
                          <w:p w14:paraId="600450DC" w14:textId="63800E25" w:rsidR="00401F90" w:rsidRPr="002045D4" w:rsidRDefault="00401F90" w:rsidP="002C63BC">
                            <w:pPr>
                              <w:pStyle w:val="TitlePageInfo"/>
                              <w:rPr>
                                <w:rFonts w:asciiTheme="majorHAnsi" w:hAnsiTheme="majorHAnsi"/>
                              </w:rPr>
                            </w:pPr>
                            <w:r w:rsidRPr="002045D4">
                              <w:rPr>
                                <w:rFonts w:asciiTheme="majorHAnsi" w:hAnsiTheme="majorHAnsi"/>
                              </w:rPr>
                              <w:t>Date:</w:t>
                            </w:r>
                            <w:r w:rsidR="00792643" w:rsidRPr="002045D4">
                              <w:rPr>
                                <w:rFonts w:asciiTheme="majorHAnsi" w:hAnsiTheme="majorHAnsi"/>
                              </w:rPr>
                              <w:t xml:space="preserve"> </w:t>
                            </w:r>
                            <w:r w:rsidR="00CD1A99">
                              <w:rPr>
                                <w:rFonts w:asciiTheme="majorHAnsi" w:hAnsiTheme="majorHAnsi"/>
                              </w:rPr>
                              <w:t>August 30, 2024</w:t>
                            </w:r>
                          </w:p>
                          <w:p w14:paraId="692CBC87" w14:textId="2B8B6A77" w:rsidR="00C24E4C" w:rsidRPr="008C1546" w:rsidRDefault="00401F90" w:rsidP="00C24E4C">
                            <w:pPr>
                              <w:pStyle w:val="BackCover"/>
                            </w:pPr>
                            <w:r w:rsidRPr="002045D4">
                              <w:rPr>
                                <w:rFonts w:asciiTheme="majorHAnsi" w:hAnsiTheme="majorHAnsi"/>
                              </w:rPr>
                              <w:t>AEG Key Contact</w:t>
                            </w:r>
                            <w:r w:rsidR="002045D4" w:rsidRPr="002045D4">
                              <w:rPr>
                                <w:rFonts w:asciiTheme="majorHAnsi" w:hAnsiTheme="majorHAnsi"/>
                              </w:rPr>
                              <w:t>:</w:t>
                            </w:r>
                            <w:r w:rsidRPr="00401F90">
                              <w:t xml:space="preserve"> </w:t>
                            </w:r>
                            <w:r w:rsidR="00CD1A99">
                              <w:t xml:space="preserve">Andy Hudson </w:t>
                            </w:r>
                            <w:r w:rsidR="008434D0">
                              <w:t>| Phone #</w:t>
                            </w:r>
                            <w:r w:rsidR="00CD1A99">
                              <w:t xml:space="preserve"> </w:t>
                            </w:r>
                            <w:r w:rsidR="00C24E4C" w:rsidRPr="008C1546">
                              <w:t>510-982-3526</w:t>
                            </w:r>
                          </w:p>
                          <w:p w14:paraId="209EE908" w14:textId="744976D5" w:rsidR="00401F90" w:rsidRPr="00401F90" w:rsidRDefault="00401F90" w:rsidP="002C63BC">
                            <w:pPr>
                              <w:pStyle w:val="TitlePageInf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7D57522" id="_x0000_t202" coordsize="21600,21600" o:spt="202" path="m,l,21600r21600,l21600,xe">
                <v:stroke joinstyle="miter"/>
                <v:path gradientshapeok="t" o:connecttype="rect"/>
              </v:shapetype>
              <v:shape id="Text Box 4" o:spid="_x0000_s1026" type="#_x0000_t202" style="position:absolute;left:0;text-align:left;margin-left:-15.6pt;margin-top:331.4pt;width:287.45pt;height:89.35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" filled="f" stroked="f">
                <v:textbox style="mso-fit-shape-to-text:t">
                  <w:txbxContent>
                    <w:p w14:paraId="26D73280" w14:textId="186B590D" w:rsidR="00401F90" w:rsidRPr="00401F90" w:rsidRDefault="00401F90" w:rsidP="002C63BC">
                      <w:pPr>
                        <w:pStyle w:val="TitlePageInfo"/>
                      </w:pPr>
                      <w:r w:rsidRPr="002045D4">
                        <w:rPr>
                          <w:rFonts w:asciiTheme="majorHAnsi" w:hAnsiTheme="majorHAnsi"/>
                        </w:rPr>
                        <w:t>Prepared for:</w:t>
                      </w:r>
                      <w:r w:rsidR="00792643">
                        <w:t xml:space="preserve"> </w:t>
                      </w:r>
                      <w:r w:rsidR="00582EBB">
                        <w:t>Avista Corporation</w:t>
                      </w:r>
                    </w:p>
                    <w:p w14:paraId="28B91917" w14:textId="77777777" w:rsidR="00401F90" w:rsidRPr="00401F90" w:rsidRDefault="00401F90" w:rsidP="002C63BC">
                      <w:pPr>
                        <w:pStyle w:val="TitlePageInfo"/>
                      </w:pPr>
                      <w:r w:rsidRPr="002045D4">
                        <w:rPr>
                          <w:rFonts w:asciiTheme="majorHAnsi" w:hAnsiTheme="majorHAnsi"/>
                        </w:rPr>
                        <w:t>By:</w:t>
                      </w:r>
                      <w:r w:rsidRPr="00401F90">
                        <w:t xml:space="preserve"> Applied Energy Group, Inc.</w:t>
                      </w:r>
                    </w:p>
                    <w:p w14:paraId="600450DC" w14:textId="63800E25" w:rsidR="00401F90" w:rsidRPr="002045D4" w:rsidRDefault="00401F90" w:rsidP="002C63BC">
                      <w:pPr>
                        <w:pStyle w:val="TitlePageInfo"/>
                        <w:rPr>
                          <w:rFonts w:asciiTheme="majorHAnsi" w:hAnsiTheme="majorHAnsi"/>
                        </w:rPr>
                      </w:pPr>
                      <w:r w:rsidRPr="002045D4">
                        <w:rPr>
                          <w:rFonts w:asciiTheme="majorHAnsi" w:hAnsiTheme="majorHAnsi"/>
                        </w:rPr>
                        <w:t>Date:</w:t>
                      </w:r>
                      <w:r w:rsidR="00792643" w:rsidRPr="002045D4">
                        <w:rPr>
                          <w:rFonts w:asciiTheme="majorHAnsi" w:hAnsiTheme="majorHAnsi"/>
                        </w:rPr>
                        <w:t xml:space="preserve"> </w:t>
                      </w:r>
                      <w:r w:rsidR="00CD1A99">
                        <w:rPr>
                          <w:rFonts w:asciiTheme="majorHAnsi" w:hAnsiTheme="majorHAnsi"/>
                        </w:rPr>
                        <w:t>August 30, 2024</w:t>
                      </w:r>
                    </w:p>
                    <w:p w14:paraId="692CBC87" w14:textId="2B8B6A77" w:rsidR="00C24E4C" w:rsidRPr="008C1546" w:rsidRDefault="00401F90" w:rsidP="00C24E4C">
                      <w:pPr>
                        <w:pStyle w:val="BackCover"/>
                      </w:pPr>
                      <w:r w:rsidRPr="002045D4">
                        <w:rPr>
                          <w:rFonts w:asciiTheme="majorHAnsi" w:hAnsiTheme="majorHAnsi"/>
                        </w:rPr>
                        <w:t>AEG Key Contact</w:t>
                      </w:r>
                      <w:r w:rsidR="002045D4" w:rsidRPr="002045D4">
                        <w:rPr>
                          <w:rFonts w:asciiTheme="majorHAnsi" w:hAnsiTheme="majorHAnsi"/>
                        </w:rPr>
                        <w:t>:</w:t>
                      </w:r>
                      <w:r w:rsidRPr="00401F90">
                        <w:t xml:space="preserve"> </w:t>
                      </w:r>
                      <w:r w:rsidR="00CD1A99">
                        <w:t xml:space="preserve">Andy Hudson </w:t>
                      </w:r>
                      <w:r w:rsidR="008434D0">
                        <w:t>| Phone #</w:t>
                      </w:r>
                      <w:r w:rsidR="00CD1A99">
                        <w:t xml:space="preserve"> </w:t>
                      </w:r>
                      <w:r w:rsidR="00C24E4C" w:rsidRPr="008C1546">
                        <w:t>510-982-3526</w:t>
                      </w:r>
                    </w:p>
                    <w:p w14:paraId="209EE908" w14:textId="744976D5" w:rsidR="00401F90" w:rsidRPr="00401F90" w:rsidRDefault="00401F90" w:rsidP="002C63BC">
                      <w:pPr>
                        <w:pStyle w:val="TitlePageInfo"/>
                      </w:pPr>
                    </w:p>
                  </w:txbxContent>
                </v:textbox>
              </v:shape>
            </w:pict>
          </mc:Fallback>
        </mc:AlternateContent>
      </w:r>
      <w:r w:rsidR="00E651A4">
        <w:rPr>
          <w:rStyle w:val="BookTitle"/>
          <w:rFonts w:ascii="Aptos" w:hAnsi="Aptos"/>
          <w:sz w:val="22"/>
          <w:szCs w:val="22"/>
        </w:rPr>
        <w:br w:type="page"/>
      </w:r>
    </w:p>
    <w:p w14:paraId="2379B03F" w14:textId="17576F9E" w:rsidR="00BF00F5" w:rsidRDefault="00BF00F5">
      <w:pPr>
        <w:spacing w:before="40" w:after="80"/>
        <w:ind w:left="576"/>
        <w:jc w:val="left"/>
        <w:rPr>
          <w:rFonts w:ascii="Aptos SemiBold" w:hAnsi="Aptos SemiBold" w:cstheme="majorBidi"/>
          <w:color w:val="1E13A6" w:themeColor="accent2"/>
          <w:sz w:val="36"/>
          <w:lang w:eastAsia="ja-JP"/>
        </w:rPr>
      </w:pPr>
      <w:r>
        <w:rPr>
          <w:noProof/>
        </w:rPr>
        <w:lastRenderedPageBreak/>
        <mc:AlternateContent>
          <mc:Choice Requires="wps">
            <w:drawing>
              <wp:anchor distT="0" distB="0" distL="114300" distR="114300" simplePos="0" relativeHeight="251658244" behindDoc="0" locked="0" layoutInCell="1" allowOverlap="1" wp14:anchorId="593EB3E5" wp14:editId="286D93FC">
                <wp:simplePos x="0" y="0"/>
                <wp:positionH relativeFrom="margin">
                  <wp:posOffset>-76200</wp:posOffset>
                </wp:positionH>
                <wp:positionV relativeFrom="paragraph">
                  <wp:posOffset>5333365</wp:posOffset>
                </wp:positionV>
                <wp:extent cx="4096385" cy="2591435"/>
                <wp:effectExtent l="0" t="0" r="0" b="0"/>
                <wp:wrapSquare wrapText="bothSides"/>
                <wp:docPr id="11724445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6385" cy="2591435"/>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9777A" w14:textId="77777777" w:rsidR="00CD1A99" w:rsidRPr="00240E92" w:rsidRDefault="00CD1A99" w:rsidP="00CD1A99">
                            <w:pPr>
                              <w:pStyle w:val="ReportAuthors"/>
                              <w:ind w:left="0" w:firstLine="0"/>
                              <w:rPr>
                                <w:rFonts w:asciiTheme="minorHAnsi" w:hAnsiTheme="minorHAnsi"/>
                              </w:rPr>
                            </w:pPr>
                            <w:r w:rsidRPr="00240E92">
                              <w:rPr>
                                <w:rFonts w:asciiTheme="minorHAnsi" w:hAnsiTheme="minorHAnsi"/>
                              </w:rPr>
                              <w:t>This work was performed by</w:t>
                            </w:r>
                          </w:p>
                          <w:p w14:paraId="18997A3C" w14:textId="77777777" w:rsidR="00CD1A99" w:rsidRPr="00240E92" w:rsidRDefault="00CD1A99" w:rsidP="00CD1A99">
                            <w:pPr>
                              <w:pStyle w:val="ReportAuthors"/>
                              <w:rPr>
                                <w:rFonts w:asciiTheme="minorHAnsi" w:hAnsiTheme="minorHAnsi"/>
                              </w:rPr>
                            </w:pPr>
                            <w:r w:rsidRPr="00240E92">
                              <w:rPr>
                                <w:rFonts w:asciiTheme="minorHAnsi" w:hAnsiTheme="minorHAnsi"/>
                              </w:rPr>
                              <w:tab/>
                              <w:t>Applied Energy Group, Inc. (AEG)</w:t>
                            </w:r>
                            <w:r w:rsidRPr="00240E92">
                              <w:rPr>
                                <w:rFonts w:asciiTheme="minorHAnsi" w:hAnsiTheme="minorHAnsi"/>
                              </w:rPr>
                              <w:br/>
                              <w:t>2300 Clayton Road, Suite 1370</w:t>
                            </w:r>
                            <w:r w:rsidRPr="00240E92">
                              <w:rPr>
                                <w:rFonts w:asciiTheme="minorHAnsi" w:hAnsiTheme="minorHAnsi"/>
                              </w:rPr>
                              <w:br/>
                              <w:t>Concord, CA 94520</w:t>
                            </w:r>
                          </w:p>
                          <w:p w14:paraId="52F30D76" w14:textId="77777777" w:rsidR="00CD1A99" w:rsidRPr="00240E92" w:rsidRDefault="00CD1A99" w:rsidP="00CD1A99">
                            <w:pPr>
                              <w:pStyle w:val="ReportAuthors"/>
                              <w:rPr>
                                <w:rFonts w:asciiTheme="minorHAnsi" w:hAnsiTheme="minorHAnsi"/>
                              </w:rPr>
                            </w:pPr>
                            <w:r w:rsidRPr="00240E92">
                              <w:rPr>
                                <w:rFonts w:asciiTheme="minorHAnsi" w:hAnsiTheme="minorHAnsi"/>
                              </w:rPr>
                              <w:t xml:space="preserve">Project Director: </w:t>
                            </w:r>
                            <w:r w:rsidRPr="00240E92">
                              <w:rPr>
                                <w:rFonts w:asciiTheme="minorHAnsi" w:hAnsiTheme="minorHAnsi"/>
                              </w:rPr>
                              <w:tab/>
                              <w:t>E. Morris</w:t>
                            </w:r>
                          </w:p>
                          <w:p w14:paraId="51585483" w14:textId="77777777" w:rsidR="00CD1A99" w:rsidRPr="00240E92" w:rsidRDefault="00CD1A99" w:rsidP="00CD1A99">
                            <w:pPr>
                              <w:pStyle w:val="ReportAuthors"/>
                              <w:rPr>
                                <w:rFonts w:asciiTheme="minorHAnsi" w:hAnsiTheme="minorHAnsi"/>
                              </w:rPr>
                            </w:pPr>
                            <w:r w:rsidRPr="00240E92">
                              <w:rPr>
                                <w:rFonts w:asciiTheme="minorHAnsi" w:hAnsiTheme="minorHAnsi"/>
                              </w:rPr>
                              <w:t xml:space="preserve">Project Manager: </w:t>
                            </w:r>
                            <w:r w:rsidRPr="00240E92">
                              <w:rPr>
                                <w:rFonts w:asciiTheme="minorHAnsi" w:hAnsiTheme="minorHAnsi"/>
                              </w:rPr>
                              <w:tab/>
                              <w:t>A. Hudson</w:t>
                            </w:r>
                          </w:p>
                          <w:p w14:paraId="44AF0DF7" w14:textId="77777777" w:rsidR="00CD1A99" w:rsidRPr="00240E92" w:rsidRDefault="00CD1A99" w:rsidP="00CD1A99">
                            <w:pPr>
                              <w:pStyle w:val="ReportAuthors"/>
                              <w:rPr>
                                <w:rFonts w:asciiTheme="minorHAnsi" w:hAnsiTheme="minorHAnsi"/>
                                <w:highlight w:val="yellow"/>
                              </w:rPr>
                            </w:pPr>
                          </w:p>
                          <w:p w14:paraId="14A4F017" w14:textId="0F2D7D44" w:rsidR="00CD1A99" w:rsidRPr="00240E92" w:rsidRDefault="00CD1A99" w:rsidP="004869DA">
                            <w:pPr>
                              <w:pStyle w:val="ReportAuthors"/>
                              <w:rPr>
                                <w:rFonts w:asciiTheme="minorHAnsi" w:hAnsiTheme="minorHAnsi"/>
                              </w:rPr>
                            </w:pPr>
                            <w:r w:rsidRPr="00240E92">
                              <w:rPr>
                                <w:rFonts w:asciiTheme="minorHAnsi" w:hAnsiTheme="minorHAnsi"/>
                              </w:rPr>
                              <w:t>Project Team:</w:t>
                            </w:r>
                            <w:r w:rsidRPr="00240E92">
                              <w:rPr>
                                <w:rFonts w:asciiTheme="minorHAnsi" w:hAnsiTheme="minorHAnsi"/>
                              </w:rPr>
                              <w:tab/>
                              <w:t>K. Walter</w:t>
                            </w:r>
                            <w:r w:rsidR="00E97D3F">
                              <w:rPr>
                                <w:rFonts w:asciiTheme="minorHAnsi" w:hAnsiTheme="minorHAnsi"/>
                              </w:rPr>
                              <w:tab/>
                            </w:r>
                            <w:r w:rsidR="00E97D3F">
                              <w:rPr>
                                <w:rFonts w:asciiTheme="minorHAnsi" w:hAnsiTheme="minorHAnsi"/>
                              </w:rPr>
                              <w:tab/>
                              <w:t xml:space="preserve">        </w:t>
                            </w:r>
                            <w:r w:rsidR="00E97D3F">
                              <w:rPr>
                                <w:rFonts w:asciiTheme="minorHAnsi" w:hAnsiTheme="minorHAnsi"/>
                              </w:rPr>
                              <w:tab/>
                            </w:r>
                            <w:r w:rsidRPr="00240E92">
                              <w:rPr>
                                <w:rFonts w:asciiTheme="minorHAnsi" w:hAnsiTheme="minorHAnsi"/>
                              </w:rPr>
                              <w:t>F. Nguyen</w:t>
                            </w:r>
                          </w:p>
                          <w:p w14:paraId="5F35E9B0" w14:textId="3ABE4F20" w:rsidR="00CD1A99" w:rsidRPr="00240E92" w:rsidRDefault="00CD1A99" w:rsidP="00CD1A99">
                            <w:pPr>
                              <w:pStyle w:val="ReportAuthors"/>
                              <w:ind w:left="3424"/>
                              <w:rPr>
                                <w:rFonts w:asciiTheme="minorHAnsi" w:hAnsiTheme="minorHAnsi"/>
                              </w:rPr>
                            </w:pPr>
                            <w:r w:rsidRPr="00240E92">
                              <w:rPr>
                                <w:rFonts w:asciiTheme="minorHAnsi" w:hAnsiTheme="minorHAnsi"/>
                              </w:rPr>
                              <w:t>T. Williams</w:t>
                            </w:r>
                            <w:r w:rsidR="00E97D3F">
                              <w:rPr>
                                <w:rFonts w:asciiTheme="minorHAnsi" w:hAnsiTheme="minorHAnsi"/>
                              </w:rPr>
                              <w:t xml:space="preserve">    </w:t>
                            </w:r>
                            <w:r w:rsidRPr="00240E92">
                              <w:rPr>
                                <w:rFonts w:asciiTheme="minorHAnsi" w:hAnsiTheme="minorHAnsi"/>
                              </w:rPr>
                              <w:t>R. Strange</w:t>
                            </w:r>
                          </w:p>
                          <w:p w14:paraId="5FA7BB7F" w14:textId="583018FB" w:rsidR="00954113" w:rsidRPr="00240E92" w:rsidRDefault="00CD1A99" w:rsidP="00CD1A99">
                            <w:pPr>
                              <w:pStyle w:val="ReportAuthors"/>
                              <w:ind w:left="3424"/>
                              <w:rPr>
                                <w:rFonts w:asciiTheme="minorHAnsi" w:hAnsiTheme="minorHAnsi"/>
                              </w:rPr>
                            </w:pPr>
                            <w:r w:rsidRPr="00240E92">
                              <w:rPr>
                                <w:rFonts w:asciiTheme="minorHAnsi" w:hAnsiTheme="minorHAnsi"/>
                              </w:rPr>
                              <w:t>N. Yung</w:t>
                            </w:r>
                            <w:r w:rsidR="00E97D3F">
                              <w:rPr>
                                <w:rFonts w:asciiTheme="minorHAnsi" w:hAnsiTheme="minorHAnsi"/>
                              </w:rPr>
                              <w:t xml:space="preserve">          </w:t>
                            </w:r>
                            <w:r w:rsidRPr="00240E92">
                              <w:rPr>
                                <w:rFonts w:asciiTheme="minorHAnsi" w:hAnsiTheme="minorHAnsi"/>
                              </w:rPr>
                              <w:t>C. Lee</w:t>
                            </w:r>
                          </w:p>
                          <w:p w14:paraId="0869BC61" w14:textId="14BE0B70" w:rsidR="00954113" w:rsidRPr="00240E92" w:rsidRDefault="00CD1A99" w:rsidP="00CD1A99">
                            <w:pPr>
                              <w:pStyle w:val="ReportAuthors"/>
                              <w:ind w:left="3424"/>
                              <w:rPr>
                                <w:rFonts w:asciiTheme="minorHAnsi" w:hAnsiTheme="minorHAnsi"/>
                              </w:rPr>
                            </w:pPr>
                            <w:r w:rsidRPr="00240E92">
                              <w:rPr>
                                <w:rFonts w:asciiTheme="minorHAnsi" w:hAnsiTheme="minorHAnsi"/>
                              </w:rPr>
                              <w:t>K. Billeci</w:t>
                            </w:r>
                            <w:r w:rsidR="00E97D3F">
                              <w:rPr>
                                <w:rFonts w:asciiTheme="minorHAnsi" w:hAnsiTheme="minorHAnsi"/>
                              </w:rPr>
                              <w:t xml:space="preserve">        </w:t>
                            </w:r>
                            <w:r w:rsidRPr="00240E92">
                              <w:rPr>
                                <w:rFonts w:asciiTheme="minorHAnsi" w:hAnsiTheme="minorHAnsi"/>
                              </w:rPr>
                              <w:t>L. Tang</w:t>
                            </w:r>
                          </w:p>
                          <w:p w14:paraId="482827CD" w14:textId="39527287" w:rsidR="00CD1A99" w:rsidRPr="00240E92" w:rsidRDefault="00CD1A99" w:rsidP="00CD1A99">
                            <w:pPr>
                              <w:pStyle w:val="ReportAuthors"/>
                              <w:ind w:left="3424"/>
                              <w:rPr>
                                <w:rFonts w:asciiTheme="minorHAnsi" w:hAnsiTheme="minorHAnsi"/>
                              </w:rPr>
                            </w:pPr>
                            <w:r w:rsidRPr="00240E92">
                              <w:rPr>
                                <w:rFonts w:asciiTheme="minorHAnsi" w:hAnsiTheme="minorHAnsi"/>
                              </w:rPr>
                              <w:t>L. Khan</w:t>
                            </w:r>
                            <w:r w:rsidR="00E97D3F">
                              <w:rPr>
                                <w:rFonts w:asciiTheme="minorHAnsi" w:hAnsiTheme="minorHAnsi"/>
                              </w:rPr>
                              <w:t xml:space="preserve">          </w:t>
                            </w:r>
                            <w:r w:rsidRPr="00240E92">
                              <w:rPr>
                                <w:rFonts w:asciiTheme="minorHAnsi" w:hAnsiTheme="minorHAnsi"/>
                              </w:rPr>
                              <w:t>C. Struthers</w:t>
                            </w:r>
                          </w:p>
                          <w:p w14:paraId="340C5614" w14:textId="77777777" w:rsidR="00CD1A99" w:rsidRDefault="00CD1A99"/>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EB3E5" id="Text Box 3" o:spid="_x0000_s1027" type="#_x0000_t202" style="position:absolute;left:0;text-align:left;margin-left:-6pt;margin-top:419.95pt;width:322.55pt;height:204.0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" fillcolor="#f6f6f7 [3214]" stroked="f" strokeweight=".5pt">
                <v:textbox>
                  <w:txbxContent>
                    <w:p w14:paraId="75E9777A" w14:textId="77777777" w:rsidR="00CD1A99" w:rsidRPr="00240E92" w:rsidRDefault="00CD1A99" w:rsidP="00CD1A99">
                      <w:pPr>
                        <w:pStyle w:val="ReportAuthors"/>
                        <w:ind w:left="0" w:firstLine="0"/>
                        <w:rPr>
                          <w:rFonts w:asciiTheme="minorHAnsi" w:hAnsiTheme="minorHAnsi"/>
                        </w:rPr>
                      </w:pPr>
                      <w:r w:rsidRPr="00240E92">
                        <w:rPr>
                          <w:rFonts w:asciiTheme="minorHAnsi" w:hAnsiTheme="minorHAnsi"/>
                        </w:rPr>
                        <w:t>This work was performed by</w:t>
                      </w:r>
                    </w:p>
                    <w:p w14:paraId="18997A3C" w14:textId="77777777" w:rsidR="00CD1A99" w:rsidRPr="00240E92" w:rsidRDefault="00CD1A99" w:rsidP="00CD1A99">
                      <w:pPr>
                        <w:pStyle w:val="ReportAuthors"/>
                        <w:rPr>
                          <w:rFonts w:asciiTheme="minorHAnsi" w:hAnsiTheme="minorHAnsi"/>
                        </w:rPr>
                      </w:pPr>
                      <w:r w:rsidRPr="00240E92">
                        <w:rPr>
                          <w:rFonts w:asciiTheme="minorHAnsi" w:hAnsiTheme="minorHAnsi"/>
                        </w:rPr>
                        <w:tab/>
                        <w:t>Applied Energy Group, Inc. (AEG)</w:t>
                      </w:r>
                      <w:r w:rsidRPr="00240E92">
                        <w:rPr>
                          <w:rFonts w:asciiTheme="minorHAnsi" w:hAnsiTheme="minorHAnsi"/>
                        </w:rPr>
                        <w:br/>
                        <w:t>2300 Clayton Road, Suite 1370</w:t>
                      </w:r>
                      <w:r w:rsidRPr="00240E92">
                        <w:rPr>
                          <w:rFonts w:asciiTheme="minorHAnsi" w:hAnsiTheme="minorHAnsi"/>
                        </w:rPr>
                        <w:br/>
                        <w:t>Concord, CA 94520</w:t>
                      </w:r>
                    </w:p>
                    <w:p w14:paraId="52F30D76" w14:textId="77777777" w:rsidR="00CD1A99" w:rsidRPr="00240E92" w:rsidRDefault="00CD1A99" w:rsidP="00CD1A99">
                      <w:pPr>
                        <w:pStyle w:val="ReportAuthors"/>
                        <w:rPr>
                          <w:rFonts w:asciiTheme="minorHAnsi" w:hAnsiTheme="minorHAnsi"/>
                        </w:rPr>
                      </w:pPr>
                      <w:r w:rsidRPr="00240E92">
                        <w:rPr>
                          <w:rFonts w:asciiTheme="minorHAnsi" w:hAnsiTheme="minorHAnsi"/>
                        </w:rPr>
                        <w:t xml:space="preserve">Project Director: </w:t>
                      </w:r>
                      <w:r w:rsidRPr="00240E92">
                        <w:rPr>
                          <w:rFonts w:asciiTheme="minorHAnsi" w:hAnsiTheme="minorHAnsi"/>
                        </w:rPr>
                        <w:tab/>
                        <w:t>E. Morris</w:t>
                      </w:r>
                    </w:p>
                    <w:p w14:paraId="51585483" w14:textId="77777777" w:rsidR="00CD1A99" w:rsidRPr="00240E92" w:rsidRDefault="00CD1A99" w:rsidP="00CD1A99">
                      <w:pPr>
                        <w:pStyle w:val="ReportAuthors"/>
                        <w:rPr>
                          <w:rFonts w:asciiTheme="minorHAnsi" w:hAnsiTheme="minorHAnsi"/>
                        </w:rPr>
                      </w:pPr>
                      <w:r w:rsidRPr="00240E92">
                        <w:rPr>
                          <w:rFonts w:asciiTheme="minorHAnsi" w:hAnsiTheme="minorHAnsi"/>
                        </w:rPr>
                        <w:t xml:space="preserve">Project Manager: </w:t>
                      </w:r>
                      <w:r w:rsidRPr="00240E92">
                        <w:rPr>
                          <w:rFonts w:asciiTheme="minorHAnsi" w:hAnsiTheme="minorHAnsi"/>
                        </w:rPr>
                        <w:tab/>
                        <w:t>A. Hudson</w:t>
                      </w:r>
                    </w:p>
                    <w:p w14:paraId="44AF0DF7" w14:textId="77777777" w:rsidR="00CD1A99" w:rsidRPr="00240E92" w:rsidRDefault="00CD1A99" w:rsidP="00CD1A99">
                      <w:pPr>
                        <w:pStyle w:val="ReportAuthors"/>
                        <w:rPr>
                          <w:rFonts w:asciiTheme="minorHAnsi" w:hAnsiTheme="minorHAnsi"/>
                          <w:highlight w:val="yellow"/>
                        </w:rPr>
                      </w:pPr>
                    </w:p>
                    <w:p w14:paraId="14A4F017" w14:textId="0F2D7D44" w:rsidR="00CD1A99" w:rsidRPr="00240E92" w:rsidRDefault="00CD1A99" w:rsidP="004869DA">
                      <w:pPr>
                        <w:pStyle w:val="ReportAuthors"/>
                        <w:rPr>
                          <w:rFonts w:asciiTheme="minorHAnsi" w:hAnsiTheme="minorHAnsi"/>
                        </w:rPr>
                      </w:pPr>
                      <w:r w:rsidRPr="00240E92">
                        <w:rPr>
                          <w:rFonts w:asciiTheme="minorHAnsi" w:hAnsiTheme="minorHAnsi"/>
                        </w:rPr>
                        <w:t>Project Team:</w:t>
                      </w:r>
                      <w:r w:rsidRPr="00240E92">
                        <w:rPr>
                          <w:rFonts w:asciiTheme="minorHAnsi" w:hAnsiTheme="minorHAnsi"/>
                        </w:rPr>
                        <w:tab/>
                        <w:t>K. Walter</w:t>
                      </w:r>
                      <w:r w:rsidR="00E97D3F">
                        <w:rPr>
                          <w:rFonts w:asciiTheme="minorHAnsi" w:hAnsiTheme="minorHAnsi"/>
                        </w:rPr>
                        <w:tab/>
                      </w:r>
                      <w:r w:rsidR="00E97D3F">
                        <w:rPr>
                          <w:rFonts w:asciiTheme="minorHAnsi" w:hAnsiTheme="minorHAnsi"/>
                        </w:rPr>
                        <w:tab/>
                        <w:t xml:space="preserve">        </w:t>
                      </w:r>
                      <w:r w:rsidR="00E97D3F">
                        <w:rPr>
                          <w:rFonts w:asciiTheme="minorHAnsi" w:hAnsiTheme="minorHAnsi"/>
                        </w:rPr>
                        <w:tab/>
                      </w:r>
                      <w:r w:rsidRPr="00240E92">
                        <w:rPr>
                          <w:rFonts w:asciiTheme="minorHAnsi" w:hAnsiTheme="minorHAnsi"/>
                        </w:rPr>
                        <w:t>F. Nguyen</w:t>
                      </w:r>
                    </w:p>
                    <w:p w14:paraId="5F35E9B0" w14:textId="3ABE4F20" w:rsidR="00CD1A99" w:rsidRPr="00240E92" w:rsidRDefault="00CD1A99" w:rsidP="00CD1A99">
                      <w:pPr>
                        <w:pStyle w:val="ReportAuthors"/>
                        <w:ind w:left="3424"/>
                        <w:rPr>
                          <w:rFonts w:asciiTheme="minorHAnsi" w:hAnsiTheme="minorHAnsi"/>
                        </w:rPr>
                      </w:pPr>
                      <w:r w:rsidRPr="00240E92">
                        <w:rPr>
                          <w:rFonts w:asciiTheme="minorHAnsi" w:hAnsiTheme="minorHAnsi"/>
                        </w:rPr>
                        <w:t>T. Williams</w:t>
                      </w:r>
                      <w:r w:rsidR="00E97D3F">
                        <w:rPr>
                          <w:rFonts w:asciiTheme="minorHAnsi" w:hAnsiTheme="minorHAnsi"/>
                        </w:rPr>
                        <w:t xml:space="preserve">    </w:t>
                      </w:r>
                      <w:r w:rsidRPr="00240E92">
                        <w:rPr>
                          <w:rFonts w:asciiTheme="minorHAnsi" w:hAnsiTheme="minorHAnsi"/>
                        </w:rPr>
                        <w:t>R. Strange</w:t>
                      </w:r>
                    </w:p>
                    <w:p w14:paraId="5FA7BB7F" w14:textId="583018FB" w:rsidR="00954113" w:rsidRPr="00240E92" w:rsidRDefault="00CD1A99" w:rsidP="00CD1A99">
                      <w:pPr>
                        <w:pStyle w:val="ReportAuthors"/>
                        <w:ind w:left="3424"/>
                        <w:rPr>
                          <w:rFonts w:asciiTheme="minorHAnsi" w:hAnsiTheme="minorHAnsi"/>
                        </w:rPr>
                      </w:pPr>
                      <w:r w:rsidRPr="00240E92">
                        <w:rPr>
                          <w:rFonts w:asciiTheme="minorHAnsi" w:hAnsiTheme="minorHAnsi"/>
                        </w:rPr>
                        <w:t>N. Yung</w:t>
                      </w:r>
                      <w:r w:rsidR="00E97D3F">
                        <w:rPr>
                          <w:rFonts w:asciiTheme="minorHAnsi" w:hAnsiTheme="minorHAnsi"/>
                        </w:rPr>
                        <w:t xml:space="preserve">          </w:t>
                      </w:r>
                      <w:r w:rsidRPr="00240E92">
                        <w:rPr>
                          <w:rFonts w:asciiTheme="minorHAnsi" w:hAnsiTheme="minorHAnsi"/>
                        </w:rPr>
                        <w:t>C. Lee</w:t>
                      </w:r>
                    </w:p>
                    <w:p w14:paraId="0869BC61" w14:textId="14BE0B70" w:rsidR="00954113" w:rsidRPr="00240E92" w:rsidRDefault="00CD1A99" w:rsidP="00CD1A99">
                      <w:pPr>
                        <w:pStyle w:val="ReportAuthors"/>
                        <w:ind w:left="3424"/>
                        <w:rPr>
                          <w:rFonts w:asciiTheme="minorHAnsi" w:hAnsiTheme="minorHAnsi"/>
                        </w:rPr>
                      </w:pPr>
                      <w:r w:rsidRPr="00240E92">
                        <w:rPr>
                          <w:rFonts w:asciiTheme="minorHAnsi" w:hAnsiTheme="minorHAnsi"/>
                        </w:rPr>
                        <w:t>K. Billeci</w:t>
                      </w:r>
                      <w:r w:rsidR="00E97D3F">
                        <w:rPr>
                          <w:rFonts w:asciiTheme="minorHAnsi" w:hAnsiTheme="minorHAnsi"/>
                        </w:rPr>
                        <w:t xml:space="preserve">        </w:t>
                      </w:r>
                      <w:r w:rsidRPr="00240E92">
                        <w:rPr>
                          <w:rFonts w:asciiTheme="minorHAnsi" w:hAnsiTheme="minorHAnsi"/>
                        </w:rPr>
                        <w:t>L. Tang</w:t>
                      </w:r>
                    </w:p>
                    <w:p w14:paraId="482827CD" w14:textId="39527287" w:rsidR="00CD1A99" w:rsidRPr="00240E92" w:rsidRDefault="00CD1A99" w:rsidP="00CD1A99">
                      <w:pPr>
                        <w:pStyle w:val="ReportAuthors"/>
                        <w:ind w:left="3424"/>
                        <w:rPr>
                          <w:rFonts w:asciiTheme="minorHAnsi" w:hAnsiTheme="minorHAnsi"/>
                        </w:rPr>
                      </w:pPr>
                      <w:r w:rsidRPr="00240E92">
                        <w:rPr>
                          <w:rFonts w:asciiTheme="minorHAnsi" w:hAnsiTheme="minorHAnsi"/>
                        </w:rPr>
                        <w:t>L. Khan</w:t>
                      </w:r>
                      <w:r w:rsidR="00E97D3F">
                        <w:rPr>
                          <w:rFonts w:asciiTheme="minorHAnsi" w:hAnsiTheme="minorHAnsi"/>
                        </w:rPr>
                        <w:t xml:space="preserve">          </w:t>
                      </w:r>
                      <w:r w:rsidRPr="00240E92">
                        <w:rPr>
                          <w:rFonts w:asciiTheme="minorHAnsi" w:hAnsiTheme="minorHAnsi"/>
                        </w:rPr>
                        <w:t>C. Struthers</w:t>
                      </w:r>
                    </w:p>
                    <w:p w14:paraId="340C5614" w14:textId="77777777" w:rsidR="00CD1A99" w:rsidRDefault="00CD1A99"/>
                  </w:txbxContent>
                </v:textbox>
                <w10:wrap type="square" anchorx="margin"/>
              </v:shape>
            </w:pict>
          </mc:Fallback>
        </mc:AlternateContent>
      </w:r>
      <w:r>
        <w:rPr>
          <w:lang w:eastAsia="ja-JP"/>
        </w:rPr>
        <w:br w:type="page"/>
      </w:r>
    </w:p>
    <w:p w14:paraId="4F392524" w14:textId="58FAC26A" w:rsidR="00E651A4" w:rsidRDefault="001C3662" w:rsidP="0055004C">
      <w:pPr>
        <w:pStyle w:val="TOCHeading"/>
        <w:numPr>
          <w:ilvl w:val="0"/>
          <w:numId w:val="0"/>
        </w:numPr>
        <w:ind w:left="90"/>
        <w:rPr>
          <w:lang w:eastAsia="ja-JP"/>
        </w:rPr>
      </w:pPr>
      <w:r>
        <w:rPr>
          <w:lang w:eastAsia="ja-JP"/>
        </w:rPr>
        <w:lastRenderedPageBreak/>
        <w:t>Contents</w:t>
      </w:r>
    </w:p>
    <w:p w14:paraId="2297E224" w14:textId="39B644AC" w:rsidR="005D3ACE" w:rsidRDefault="005D3ACE">
      <w:pPr>
        <w:pStyle w:val="TOC1"/>
        <w:rPr>
          <w:b w:val="0"/>
          <w:iCs w:val="0"/>
          <w:sz w:val="24"/>
          <w:szCs w:val="24"/>
          <w14:ligatures w14:val="standardContextual"/>
        </w:rPr>
      </w:pPr>
      <w:r>
        <w:rPr>
          <w:b w:val="0"/>
          <w:iCs w:val="0"/>
          <w:lang w:eastAsia="ja-JP"/>
        </w:rPr>
        <w:fldChar w:fldCharType="begin"/>
      </w:r>
      <w:r>
        <w:rPr>
          <w:b w:val="0"/>
          <w:iCs w:val="0"/>
          <w:lang w:eastAsia="ja-JP"/>
        </w:rPr>
        <w:instrText xml:space="preserve"> TOC \o "1-3" \h \z \u \t "Heading 6,2,Heading 7,3" </w:instrText>
      </w:r>
      <w:r>
        <w:rPr>
          <w:b w:val="0"/>
          <w:iCs w:val="0"/>
          <w:lang w:eastAsia="ja-JP"/>
        </w:rPr>
        <w:fldChar w:fldCharType="separate"/>
      </w:r>
      <w:hyperlink w:anchor="_Toc175904839" w:history="1">
        <w:r w:rsidRPr="001C0F8F">
          <w:rPr>
            <w:rStyle w:val="Hyperlink"/>
            <w:lang w:eastAsia="ja-JP"/>
          </w:rPr>
          <w:t>1 |</w:t>
        </w:r>
        <w:r>
          <w:rPr>
            <w:b w:val="0"/>
            <w:iCs w:val="0"/>
            <w:sz w:val="24"/>
            <w:szCs w:val="24"/>
            <w14:ligatures w14:val="standardContextual"/>
          </w:rPr>
          <w:tab/>
        </w:r>
        <w:r w:rsidRPr="001C0F8F">
          <w:rPr>
            <w:rStyle w:val="Hyperlink"/>
            <w:lang w:eastAsia="ja-JP"/>
          </w:rPr>
          <w:t>Introduction</w:t>
        </w:r>
        <w:r>
          <w:rPr>
            <w:webHidden/>
          </w:rPr>
          <w:tab/>
        </w:r>
        <w:r>
          <w:rPr>
            <w:webHidden/>
          </w:rPr>
          <w:fldChar w:fldCharType="begin"/>
        </w:r>
        <w:r>
          <w:rPr>
            <w:webHidden/>
          </w:rPr>
          <w:instrText xml:space="preserve"> PAGEREF _Toc175904839 \h </w:instrText>
        </w:r>
        <w:r>
          <w:rPr>
            <w:webHidden/>
          </w:rPr>
        </w:r>
        <w:r>
          <w:rPr>
            <w:webHidden/>
          </w:rPr>
          <w:fldChar w:fldCharType="separate"/>
        </w:r>
        <w:r>
          <w:rPr>
            <w:webHidden/>
          </w:rPr>
          <w:t>9</w:t>
        </w:r>
        <w:r>
          <w:rPr>
            <w:webHidden/>
          </w:rPr>
          <w:fldChar w:fldCharType="end"/>
        </w:r>
      </w:hyperlink>
    </w:p>
    <w:p w14:paraId="37CB50C0" w14:textId="4266CA16" w:rsidR="005D3ACE" w:rsidRDefault="00C13262">
      <w:pPr>
        <w:pStyle w:val="TOC2"/>
        <w:rPr>
          <w:rFonts w:eastAsiaTheme="minorEastAsia" w:cstheme="minorBidi"/>
          <w:iCs w:val="0"/>
          <w:kern w:val="2"/>
          <w:sz w:val="24"/>
          <w:szCs w:val="24"/>
          <w14:ligatures w14:val="standardContextual"/>
        </w:rPr>
      </w:pPr>
      <w:hyperlink w:anchor="_Toc175904840" w:history="1">
        <w:r w:rsidR="005D3ACE" w:rsidRPr="001C0F8F">
          <w:rPr>
            <w:rStyle w:val="Hyperlink"/>
          </w:rPr>
          <w:t>Summary of Report Contents</w:t>
        </w:r>
        <w:r w:rsidR="005D3ACE">
          <w:rPr>
            <w:webHidden/>
          </w:rPr>
          <w:tab/>
        </w:r>
        <w:r w:rsidR="005D3ACE">
          <w:rPr>
            <w:webHidden/>
          </w:rPr>
          <w:fldChar w:fldCharType="begin"/>
        </w:r>
        <w:r w:rsidR="005D3ACE">
          <w:rPr>
            <w:webHidden/>
          </w:rPr>
          <w:instrText xml:space="preserve"> PAGEREF _Toc175904840 \h </w:instrText>
        </w:r>
        <w:r w:rsidR="005D3ACE">
          <w:rPr>
            <w:webHidden/>
          </w:rPr>
        </w:r>
        <w:r w:rsidR="005D3ACE">
          <w:rPr>
            <w:webHidden/>
          </w:rPr>
          <w:fldChar w:fldCharType="separate"/>
        </w:r>
        <w:r w:rsidR="005D3ACE">
          <w:rPr>
            <w:webHidden/>
          </w:rPr>
          <w:t>10</w:t>
        </w:r>
        <w:r w:rsidR="005D3ACE">
          <w:rPr>
            <w:webHidden/>
          </w:rPr>
          <w:fldChar w:fldCharType="end"/>
        </w:r>
      </w:hyperlink>
    </w:p>
    <w:p w14:paraId="0DE5AF25" w14:textId="18051014" w:rsidR="005D3ACE" w:rsidRDefault="00C13262">
      <w:pPr>
        <w:pStyle w:val="TOC2"/>
        <w:rPr>
          <w:rFonts w:eastAsiaTheme="minorEastAsia" w:cstheme="minorBidi"/>
          <w:iCs w:val="0"/>
          <w:kern w:val="2"/>
          <w:sz w:val="24"/>
          <w:szCs w:val="24"/>
          <w14:ligatures w14:val="standardContextual"/>
        </w:rPr>
      </w:pPr>
      <w:hyperlink w:anchor="_Toc175904841" w:history="1">
        <w:r w:rsidR="005D3ACE" w:rsidRPr="001C0F8F">
          <w:rPr>
            <w:rStyle w:val="Hyperlink"/>
          </w:rPr>
          <w:t>Abbreviations and Acronyms</w:t>
        </w:r>
        <w:r w:rsidR="005D3ACE">
          <w:rPr>
            <w:webHidden/>
          </w:rPr>
          <w:tab/>
        </w:r>
        <w:r w:rsidR="005D3ACE">
          <w:rPr>
            <w:webHidden/>
          </w:rPr>
          <w:fldChar w:fldCharType="begin"/>
        </w:r>
        <w:r w:rsidR="005D3ACE">
          <w:rPr>
            <w:webHidden/>
          </w:rPr>
          <w:instrText xml:space="preserve"> PAGEREF _Toc175904841 \h </w:instrText>
        </w:r>
        <w:r w:rsidR="005D3ACE">
          <w:rPr>
            <w:webHidden/>
          </w:rPr>
        </w:r>
        <w:r w:rsidR="005D3ACE">
          <w:rPr>
            <w:webHidden/>
          </w:rPr>
          <w:fldChar w:fldCharType="separate"/>
        </w:r>
        <w:r w:rsidR="005D3ACE">
          <w:rPr>
            <w:webHidden/>
          </w:rPr>
          <w:t>10</w:t>
        </w:r>
        <w:r w:rsidR="005D3ACE">
          <w:rPr>
            <w:webHidden/>
          </w:rPr>
          <w:fldChar w:fldCharType="end"/>
        </w:r>
      </w:hyperlink>
    </w:p>
    <w:p w14:paraId="3F7CC64E" w14:textId="3AB4F8DB" w:rsidR="005D3ACE" w:rsidRDefault="00C13262">
      <w:pPr>
        <w:pStyle w:val="TOC1"/>
        <w:rPr>
          <w:b w:val="0"/>
          <w:iCs w:val="0"/>
          <w:sz w:val="24"/>
          <w:szCs w:val="24"/>
          <w14:ligatures w14:val="standardContextual"/>
        </w:rPr>
      </w:pPr>
      <w:hyperlink w:anchor="_Toc175904842" w:history="1">
        <w:r w:rsidR="005D3ACE" w:rsidRPr="001C0F8F">
          <w:rPr>
            <w:rStyle w:val="Hyperlink"/>
          </w:rPr>
          <w:t>2 |</w:t>
        </w:r>
        <w:r w:rsidR="005D3ACE">
          <w:rPr>
            <w:b w:val="0"/>
            <w:iCs w:val="0"/>
            <w:sz w:val="24"/>
            <w:szCs w:val="24"/>
            <w14:ligatures w14:val="standardContextual"/>
          </w:rPr>
          <w:tab/>
        </w:r>
        <w:r w:rsidR="005D3ACE" w:rsidRPr="001C0F8F">
          <w:rPr>
            <w:rStyle w:val="Hyperlink"/>
          </w:rPr>
          <w:t>Energy Efficiency Analysis Approach and Development</w:t>
        </w:r>
        <w:r w:rsidR="005D3ACE">
          <w:rPr>
            <w:webHidden/>
          </w:rPr>
          <w:tab/>
        </w:r>
        <w:r w:rsidR="005D3ACE">
          <w:rPr>
            <w:webHidden/>
          </w:rPr>
          <w:fldChar w:fldCharType="begin"/>
        </w:r>
        <w:r w:rsidR="005D3ACE">
          <w:rPr>
            <w:webHidden/>
          </w:rPr>
          <w:instrText xml:space="preserve"> PAGEREF _Toc175904842 \h </w:instrText>
        </w:r>
        <w:r w:rsidR="005D3ACE">
          <w:rPr>
            <w:webHidden/>
          </w:rPr>
        </w:r>
        <w:r w:rsidR="005D3ACE">
          <w:rPr>
            <w:webHidden/>
          </w:rPr>
          <w:fldChar w:fldCharType="separate"/>
        </w:r>
        <w:r w:rsidR="005D3ACE">
          <w:rPr>
            <w:webHidden/>
          </w:rPr>
          <w:t>12</w:t>
        </w:r>
        <w:r w:rsidR="005D3ACE">
          <w:rPr>
            <w:webHidden/>
          </w:rPr>
          <w:fldChar w:fldCharType="end"/>
        </w:r>
      </w:hyperlink>
    </w:p>
    <w:p w14:paraId="30D06A17" w14:textId="4250DAE6" w:rsidR="005D3ACE" w:rsidRDefault="00C13262">
      <w:pPr>
        <w:pStyle w:val="TOC2"/>
        <w:rPr>
          <w:rFonts w:eastAsiaTheme="minorEastAsia" w:cstheme="minorBidi"/>
          <w:iCs w:val="0"/>
          <w:kern w:val="2"/>
          <w:sz w:val="24"/>
          <w:szCs w:val="24"/>
          <w14:ligatures w14:val="standardContextual"/>
        </w:rPr>
      </w:pPr>
      <w:hyperlink w:anchor="_Toc175904843" w:history="1">
        <w:r w:rsidR="005D3ACE" w:rsidRPr="001C0F8F">
          <w:rPr>
            <w:rStyle w:val="Hyperlink"/>
          </w:rPr>
          <w:t>Overview of Analysis Approach</w:t>
        </w:r>
        <w:r w:rsidR="005D3ACE">
          <w:rPr>
            <w:webHidden/>
          </w:rPr>
          <w:tab/>
        </w:r>
        <w:r w:rsidR="005D3ACE">
          <w:rPr>
            <w:webHidden/>
          </w:rPr>
          <w:fldChar w:fldCharType="begin"/>
        </w:r>
        <w:r w:rsidR="005D3ACE">
          <w:rPr>
            <w:webHidden/>
          </w:rPr>
          <w:instrText xml:space="preserve"> PAGEREF _Toc175904843 \h </w:instrText>
        </w:r>
        <w:r w:rsidR="005D3ACE">
          <w:rPr>
            <w:webHidden/>
          </w:rPr>
        </w:r>
        <w:r w:rsidR="005D3ACE">
          <w:rPr>
            <w:webHidden/>
          </w:rPr>
          <w:fldChar w:fldCharType="separate"/>
        </w:r>
        <w:r w:rsidR="005D3ACE">
          <w:rPr>
            <w:webHidden/>
          </w:rPr>
          <w:t>12</w:t>
        </w:r>
        <w:r w:rsidR="005D3ACE">
          <w:rPr>
            <w:webHidden/>
          </w:rPr>
          <w:fldChar w:fldCharType="end"/>
        </w:r>
      </w:hyperlink>
    </w:p>
    <w:p w14:paraId="4682C055" w14:textId="6C787DB4" w:rsidR="005D3ACE" w:rsidRDefault="00C13262">
      <w:pPr>
        <w:pStyle w:val="TOC3"/>
        <w:rPr>
          <w:rFonts w:eastAsiaTheme="minorEastAsia" w:cstheme="minorBidi"/>
          <w:iCs w:val="0"/>
          <w:kern w:val="2"/>
          <w:sz w:val="24"/>
          <w:szCs w:val="24"/>
          <w14:ligatures w14:val="standardContextual"/>
        </w:rPr>
      </w:pPr>
      <w:hyperlink w:anchor="_Toc175904844" w:history="1">
        <w:r w:rsidR="005D3ACE" w:rsidRPr="001C0F8F">
          <w:rPr>
            <w:rStyle w:val="Hyperlink"/>
          </w:rPr>
          <w:t>LoadMAP Model</w:t>
        </w:r>
        <w:r w:rsidR="005D3ACE">
          <w:rPr>
            <w:webHidden/>
          </w:rPr>
          <w:tab/>
        </w:r>
        <w:r w:rsidR="005D3ACE">
          <w:rPr>
            <w:webHidden/>
          </w:rPr>
          <w:fldChar w:fldCharType="begin"/>
        </w:r>
        <w:r w:rsidR="005D3ACE">
          <w:rPr>
            <w:webHidden/>
          </w:rPr>
          <w:instrText xml:space="preserve"> PAGEREF _Toc175904844 \h </w:instrText>
        </w:r>
        <w:r w:rsidR="005D3ACE">
          <w:rPr>
            <w:webHidden/>
          </w:rPr>
        </w:r>
        <w:r w:rsidR="005D3ACE">
          <w:rPr>
            <w:webHidden/>
          </w:rPr>
          <w:fldChar w:fldCharType="separate"/>
        </w:r>
        <w:r w:rsidR="005D3ACE">
          <w:rPr>
            <w:webHidden/>
          </w:rPr>
          <w:t>12</w:t>
        </w:r>
        <w:r w:rsidR="005D3ACE">
          <w:rPr>
            <w:webHidden/>
          </w:rPr>
          <w:fldChar w:fldCharType="end"/>
        </w:r>
      </w:hyperlink>
    </w:p>
    <w:p w14:paraId="21195DC3" w14:textId="3709DC90" w:rsidR="005D3ACE" w:rsidRDefault="00C13262">
      <w:pPr>
        <w:pStyle w:val="TOC3"/>
        <w:rPr>
          <w:rFonts w:eastAsiaTheme="minorEastAsia" w:cstheme="minorBidi"/>
          <w:iCs w:val="0"/>
          <w:kern w:val="2"/>
          <w:sz w:val="24"/>
          <w:szCs w:val="24"/>
          <w14:ligatures w14:val="standardContextual"/>
        </w:rPr>
      </w:pPr>
      <w:hyperlink w:anchor="_Toc175904845" w:history="1">
        <w:r w:rsidR="005D3ACE" w:rsidRPr="001C0F8F">
          <w:rPr>
            <w:rStyle w:val="Hyperlink"/>
          </w:rPr>
          <w:t>Definitions of Potential</w:t>
        </w:r>
        <w:r w:rsidR="005D3ACE">
          <w:rPr>
            <w:webHidden/>
          </w:rPr>
          <w:tab/>
        </w:r>
        <w:r w:rsidR="005D3ACE">
          <w:rPr>
            <w:webHidden/>
          </w:rPr>
          <w:fldChar w:fldCharType="begin"/>
        </w:r>
        <w:r w:rsidR="005D3ACE">
          <w:rPr>
            <w:webHidden/>
          </w:rPr>
          <w:instrText xml:space="preserve"> PAGEREF _Toc175904845 \h </w:instrText>
        </w:r>
        <w:r w:rsidR="005D3ACE">
          <w:rPr>
            <w:webHidden/>
          </w:rPr>
        </w:r>
        <w:r w:rsidR="005D3ACE">
          <w:rPr>
            <w:webHidden/>
          </w:rPr>
          <w:fldChar w:fldCharType="separate"/>
        </w:r>
        <w:r w:rsidR="005D3ACE">
          <w:rPr>
            <w:webHidden/>
          </w:rPr>
          <w:t>13</w:t>
        </w:r>
        <w:r w:rsidR="005D3ACE">
          <w:rPr>
            <w:webHidden/>
          </w:rPr>
          <w:fldChar w:fldCharType="end"/>
        </w:r>
      </w:hyperlink>
    </w:p>
    <w:p w14:paraId="652ED65B" w14:textId="73AEBC82" w:rsidR="005D3ACE" w:rsidRDefault="00C13262">
      <w:pPr>
        <w:pStyle w:val="TOC3"/>
        <w:rPr>
          <w:rFonts w:eastAsiaTheme="minorEastAsia" w:cstheme="minorBidi"/>
          <w:iCs w:val="0"/>
          <w:kern w:val="2"/>
          <w:sz w:val="24"/>
          <w:szCs w:val="24"/>
          <w14:ligatures w14:val="standardContextual"/>
        </w:rPr>
      </w:pPr>
      <w:hyperlink w:anchor="_Toc175904846" w:history="1">
        <w:r w:rsidR="005D3ACE" w:rsidRPr="001C0F8F">
          <w:rPr>
            <w:rStyle w:val="Hyperlink"/>
          </w:rPr>
          <w:t>Market Characterization</w:t>
        </w:r>
        <w:r w:rsidR="005D3ACE">
          <w:rPr>
            <w:webHidden/>
          </w:rPr>
          <w:tab/>
        </w:r>
        <w:r w:rsidR="005D3ACE">
          <w:rPr>
            <w:webHidden/>
          </w:rPr>
          <w:fldChar w:fldCharType="begin"/>
        </w:r>
        <w:r w:rsidR="005D3ACE">
          <w:rPr>
            <w:webHidden/>
          </w:rPr>
          <w:instrText xml:space="preserve"> PAGEREF _Toc175904846 \h </w:instrText>
        </w:r>
        <w:r w:rsidR="005D3ACE">
          <w:rPr>
            <w:webHidden/>
          </w:rPr>
        </w:r>
        <w:r w:rsidR="005D3ACE">
          <w:rPr>
            <w:webHidden/>
          </w:rPr>
          <w:fldChar w:fldCharType="separate"/>
        </w:r>
        <w:r w:rsidR="005D3ACE">
          <w:rPr>
            <w:webHidden/>
          </w:rPr>
          <w:t>14</w:t>
        </w:r>
        <w:r w:rsidR="005D3ACE">
          <w:rPr>
            <w:webHidden/>
          </w:rPr>
          <w:fldChar w:fldCharType="end"/>
        </w:r>
      </w:hyperlink>
    </w:p>
    <w:p w14:paraId="50E25D10" w14:textId="372B2718" w:rsidR="005D3ACE" w:rsidRDefault="00C13262">
      <w:pPr>
        <w:pStyle w:val="TOC3"/>
        <w:rPr>
          <w:rFonts w:eastAsiaTheme="minorEastAsia" w:cstheme="minorBidi"/>
          <w:iCs w:val="0"/>
          <w:kern w:val="2"/>
          <w:sz w:val="24"/>
          <w:szCs w:val="24"/>
          <w14:ligatures w14:val="standardContextual"/>
        </w:rPr>
      </w:pPr>
      <w:hyperlink w:anchor="_Toc175904847" w:history="1">
        <w:r w:rsidR="005D3ACE" w:rsidRPr="001C0F8F">
          <w:rPr>
            <w:rStyle w:val="Hyperlink"/>
          </w:rPr>
          <w:t>Baseline Projection</w:t>
        </w:r>
        <w:r w:rsidR="005D3ACE">
          <w:rPr>
            <w:webHidden/>
          </w:rPr>
          <w:tab/>
        </w:r>
        <w:r w:rsidR="005D3ACE">
          <w:rPr>
            <w:webHidden/>
          </w:rPr>
          <w:fldChar w:fldCharType="begin"/>
        </w:r>
        <w:r w:rsidR="005D3ACE">
          <w:rPr>
            <w:webHidden/>
          </w:rPr>
          <w:instrText xml:space="preserve"> PAGEREF _Toc175904847 \h </w:instrText>
        </w:r>
        <w:r w:rsidR="005D3ACE">
          <w:rPr>
            <w:webHidden/>
          </w:rPr>
        </w:r>
        <w:r w:rsidR="005D3ACE">
          <w:rPr>
            <w:webHidden/>
          </w:rPr>
          <w:fldChar w:fldCharType="separate"/>
        </w:r>
        <w:r w:rsidR="005D3ACE">
          <w:rPr>
            <w:webHidden/>
          </w:rPr>
          <w:t>15</w:t>
        </w:r>
        <w:r w:rsidR="005D3ACE">
          <w:rPr>
            <w:webHidden/>
          </w:rPr>
          <w:fldChar w:fldCharType="end"/>
        </w:r>
      </w:hyperlink>
    </w:p>
    <w:p w14:paraId="17192042" w14:textId="771383AE" w:rsidR="005D3ACE" w:rsidRDefault="00C13262">
      <w:pPr>
        <w:pStyle w:val="TOC3"/>
        <w:rPr>
          <w:rFonts w:eastAsiaTheme="minorEastAsia" w:cstheme="minorBidi"/>
          <w:iCs w:val="0"/>
          <w:kern w:val="2"/>
          <w:sz w:val="24"/>
          <w:szCs w:val="24"/>
          <w14:ligatures w14:val="standardContextual"/>
        </w:rPr>
      </w:pPr>
      <w:hyperlink w:anchor="_Toc175904848" w:history="1">
        <w:r w:rsidR="005D3ACE" w:rsidRPr="001C0F8F">
          <w:rPr>
            <w:rStyle w:val="Hyperlink"/>
          </w:rPr>
          <w:t>Conservation Measure Analysis</w:t>
        </w:r>
        <w:r w:rsidR="005D3ACE">
          <w:rPr>
            <w:webHidden/>
          </w:rPr>
          <w:tab/>
        </w:r>
        <w:r w:rsidR="005D3ACE">
          <w:rPr>
            <w:webHidden/>
          </w:rPr>
          <w:fldChar w:fldCharType="begin"/>
        </w:r>
        <w:r w:rsidR="005D3ACE">
          <w:rPr>
            <w:webHidden/>
          </w:rPr>
          <w:instrText xml:space="preserve"> PAGEREF _Toc175904848 \h </w:instrText>
        </w:r>
        <w:r w:rsidR="005D3ACE">
          <w:rPr>
            <w:webHidden/>
          </w:rPr>
        </w:r>
        <w:r w:rsidR="005D3ACE">
          <w:rPr>
            <w:webHidden/>
          </w:rPr>
          <w:fldChar w:fldCharType="separate"/>
        </w:r>
        <w:r w:rsidR="005D3ACE">
          <w:rPr>
            <w:webHidden/>
          </w:rPr>
          <w:t>16</w:t>
        </w:r>
        <w:r w:rsidR="005D3ACE">
          <w:rPr>
            <w:webHidden/>
          </w:rPr>
          <w:fldChar w:fldCharType="end"/>
        </w:r>
      </w:hyperlink>
    </w:p>
    <w:p w14:paraId="39F7379A" w14:textId="05CEA775" w:rsidR="005D3ACE" w:rsidRDefault="00C13262">
      <w:pPr>
        <w:pStyle w:val="TOC2"/>
        <w:rPr>
          <w:rFonts w:eastAsiaTheme="minorEastAsia" w:cstheme="minorBidi"/>
          <w:iCs w:val="0"/>
          <w:kern w:val="2"/>
          <w:sz w:val="24"/>
          <w:szCs w:val="24"/>
          <w14:ligatures w14:val="standardContextual"/>
        </w:rPr>
      </w:pPr>
      <w:hyperlink w:anchor="_Toc175904849" w:history="1">
        <w:r w:rsidR="005D3ACE" w:rsidRPr="001C0F8F">
          <w:rPr>
            <w:rStyle w:val="Hyperlink"/>
          </w:rPr>
          <w:t>Data Development</w:t>
        </w:r>
        <w:r w:rsidR="005D3ACE">
          <w:rPr>
            <w:webHidden/>
          </w:rPr>
          <w:tab/>
        </w:r>
        <w:r w:rsidR="005D3ACE">
          <w:rPr>
            <w:webHidden/>
          </w:rPr>
          <w:fldChar w:fldCharType="begin"/>
        </w:r>
        <w:r w:rsidR="005D3ACE">
          <w:rPr>
            <w:webHidden/>
          </w:rPr>
          <w:instrText xml:space="preserve"> PAGEREF _Toc175904849 \h </w:instrText>
        </w:r>
        <w:r w:rsidR="005D3ACE">
          <w:rPr>
            <w:webHidden/>
          </w:rPr>
        </w:r>
        <w:r w:rsidR="005D3ACE">
          <w:rPr>
            <w:webHidden/>
          </w:rPr>
          <w:fldChar w:fldCharType="separate"/>
        </w:r>
        <w:r w:rsidR="005D3ACE">
          <w:rPr>
            <w:webHidden/>
          </w:rPr>
          <w:t>18</w:t>
        </w:r>
        <w:r w:rsidR="005D3ACE">
          <w:rPr>
            <w:webHidden/>
          </w:rPr>
          <w:fldChar w:fldCharType="end"/>
        </w:r>
      </w:hyperlink>
    </w:p>
    <w:p w14:paraId="5C1CEE8D" w14:textId="446313FD" w:rsidR="005D3ACE" w:rsidRDefault="00C13262">
      <w:pPr>
        <w:pStyle w:val="TOC3"/>
        <w:rPr>
          <w:rFonts w:eastAsiaTheme="minorEastAsia" w:cstheme="minorBidi"/>
          <w:iCs w:val="0"/>
          <w:kern w:val="2"/>
          <w:sz w:val="24"/>
          <w:szCs w:val="24"/>
          <w14:ligatures w14:val="standardContextual"/>
        </w:rPr>
      </w:pPr>
      <w:hyperlink w:anchor="_Toc175904850" w:history="1">
        <w:r w:rsidR="005D3ACE" w:rsidRPr="001C0F8F">
          <w:rPr>
            <w:rStyle w:val="Hyperlink"/>
          </w:rPr>
          <w:t>Avista Data</w:t>
        </w:r>
        <w:r w:rsidR="005D3ACE">
          <w:rPr>
            <w:webHidden/>
          </w:rPr>
          <w:tab/>
        </w:r>
        <w:r w:rsidR="005D3ACE">
          <w:rPr>
            <w:webHidden/>
          </w:rPr>
          <w:fldChar w:fldCharType="begin"/>
        </w:r>
        <w:r w:rsidR="005D3ACE">
          <w:rPr>
            <w:webHidden/>
          </w:rPr>
          <w:instrText xml:space="preserve"> PAGEREF _Toc175904850 \h </w:instrText>
        </w:r>
        <w:r w:rsidR="005D3ACE">
          <w:rPr>
            <w:webHidden/>
          </w:rPr>
        </w:r>
        <w:r w:rsidR="005D3ACE">
          <w:rPr>
            <w:webHidden/>
          </w:rPr>
          <w:fldChar w:fldCharType="separate"/>
        </w:r>
        <w:r w:rsidR="005D3ACE">
          <w:rPr>
            <w:webHidden/>
          </w:rPr>
          <w:t>18</w:t>
        </w:r>
        <w:r w:rsidR="005D3ACE">
          <w:rPr>
            <w:webHidden/>
          </w:rPr>
          <w:fldChar w:fldCharType="end"/>
        </w:r>
      </w:hyperlink>
    </w:p>
    <w:p w14:paraId="5CF88EBB" w14:textId="4BC101BA" w:rsidR="005D3ACE" w:rsidRDefault="00C13262">
      <w:pPr>
        <w:pStyle w:val="TOC3"/>
        <w:rPr>
          <w:rFonts w:eastAsiaTheme="minorEastAsia" w:cstheme="minorBidi"/>
          <w:iCs w:val="0"/>
          <w:kern w:val="2"/>
          <w:sz w:val="24"/>
          <w:szCs w:val="24"/>
          <w14:ligatures w14:val="standardContextual"/>
        </w:rPr>
      </w:pPr>
      <w:hyperlink w:anchor="_Toc175904851" w:history="1">
        <w:r w:rsidR="005D3ACE" w:rsidRPr="001C0F8F">
          <w:rPr>
            <w:rStyle w:val="Hyperlink"/>
          </w:rPr>
          <w:t>Northwest Energy Efficiency Alliance Data</w:t>
        </w:r>
        <w:r w:rsidR="005D3ACE">
          <w:rPr>
            <w:webHidden/>
          </w:rPr>
          <w:tab/>
        </w:r>
        <w:r w:rsidR="005D3ACE">
          <w:rPr>
            <w:webHidden/>
          </w:rPr>
          <w:fldChar w:fldCharType="begin"/>
        </w:r>
        <w:r w:rsidR="005D3ACE">
          <w:rPr>
            <w:webHidden/>
          </w:rPr>
          <w:instrText xml:space="preserve"> PAGEREF _Toc175904851 \h </w:instrText>
        </w:r>
        <w:r w:rsidR="005D3ACE">
          <w:rPr>
            <w:webHidden/>
          </w:rPr>
        </w:r>
        <w:r w:rsidR="005D3ACE">
          <w:rPr>
            <w:webHidden/>
          </w:rPr>
          <w:fldChar w:fldCharType="separate"/>
        </w:r>
        <w:r w:rsidR="005D3ACE">
          <w:rPr>
            <w:webHidden/>
          </w:rPr>
          <w:t>18</w:t>
        </w:r>
        <w:r w:rsidR="005D3ACE">
          <w:rPr>
            <w:webHidden/>
          </w:rPr>
          <w:fldChar w:fldCharType="end"/>
        </w:r>
      </w:hyperlink>
    </w:p>
    <w:p w14:paraId="46889145" w14:textId="303151D3" w:rsidR="005D3ACE" w:rsidRDefault="00C13262">
      <w:pPr>
        <w:pStyle w:val="TOC3"/>
        <w:rPr>
          <w:rFonts w:eastAsiaTheme="minorEastAsia" w:cstheme="minorBidi"/>
          <w:iCs w:val="0"/>
          <w:kern w:val="2"/>
          <w:sz w:val="24"/>
          <w:szCs w:val="24"/>
          <w14:ligatures w14:val="standardContextual"/>
        </w:rPr>
      </w:pPr>
      <w:hyperlink w:anchor="_Toc175904852" w:history="1">
        <w:r w:rsidR="005D3ACE" w:rsidRPr="001C0F8F">
          <w:rPr>
            <w:rStyle w:val="Hyperlink"/>
          </w:rPr>
          <w:t>Northwest Power and Conservation Council Data</w:t>
        </w:r>
        <w:r w:rsidR="005D3ACE">
          <w:rPr>
            <w:webHidden/>
          </w:rPr>
          <w:tab/>
        </w:r>
        <w:r w:rsidR="005D3ACE">
          <w:rPr>
            <w:webHidden/>
          </w:rPr>
          <w:fldChar w:fldCharType="begin"/>
        </w:r>
        <w:r w:rsidR="005D3ACE">
          <w:rPr>
            <w:webHidden/>
          </w:rPr>
          <w:instrText xml:space="preserve"> PAGEREF _Toc175904852 \h </w:instrText>
        </w:r>
        <w:r w:rsidR="005D3ACE">
          <w:rPr>
            <w:webHidden/>
          </w:rPr>
        </w:r>
        <w:r w:rsidR="005D3ACE">
          <w:rPr>
            <w:webHidden/>
          </w:rPr>
          <w:fldChar w:fldCharType="separate"/>
        </w:r>
        <w:r w:rsidR="005D3ACE">
          <w:rPr>
            <w:webHidden/>
          </w:rPr>
          <w:t>19</w:t>
        </w:r>
        <w:r w:rsidR="005D3ACE">
          <w:rPr>
            <w:webHidden/>
          </w:rPr>
          <w:fldChar w:fldCharType="end"/>
        </w:r>
      </w:hyperlink>
    </w:p>
    <w:p w14:paraId="0039EF25" w14:textId="2DBA5B55" w:rsidR="005D3ACE" w:rsidRDefault="00C13262">
      <w:pPr>
        <w:pStyle w:val="TOC3"/>
        <w:rPr>
          <w:rFonts w:eastAsiaTheme="minorEastAsia" w:cstheme="minorBidi"/>
          <w:iCs w:val="0"/>
          <w:kern w:val="2"/>
          <w:sz w:val="24"/>
          <w:szCs w:val="24"/>
          <w14:ligatures w14:val="standardContextual"/>
        </w:rPr>
      </w:pPr>
      <w:hyperlink w:anchor="_Toc175904853" w:history="1">
        <w:r w:rsidR="005D3ACE" w:rsidRPr="001C0F8F">
          <w:rPr>
            <w:rStyle w:val="Hyperlink"/>
          </w:rPr>
          <w:t>AEG Data</w:t>
        </w:r>
        <w:r w:rsidR="005D3ACE">
          <w:rPr>
            <w:webHidden/>
          </w:rPr>
          <w:tab/>
        </w:r>
        <w:r w:rsidR="005D3ACE">
          <w:rPr>
            <w:webHidden/>
          </w:rPr>
          <w:fldChar w:fldCharType="begin"/>
        </w:r>
        <w:r w:rsidR="005D3ACE">
          <w:rPr>
            <w:webHidden/>
          </w:rPr>
          <w:instrText xml:space="preserve"> PAGEREF _Toc175904853 \h </w:instrText>
        </w:r>
        <w:r w:rsidR="005D3ACE">
          <w:rPr>
            <w:webHidden/>
          </w:rPr>
        </w:r>
        <w:r w:rsidR="005D3ACE">
          <w:rPr>
            <w:webHidden/>
          </w:rPr>
          <w:fldChar w:fldCharType="separate"/>
        </w:r>
        <w:r w:rsidR="005D3ACE">
          <w:rPr>
            <w:webHidden/>
          </w:rPr>
          <w:t>19</w:t>
        </w:r>
        <w:r w:rsidR="005D3ACE">
          <w:rPr>
            <w:webHidden/>
          </w:rPr>
          <w:fldChar w:fldCharType="end"/>
        </w:r>
      </w:hyperlink>
    </w:p>
    <w:p w14:paraId="49980135" w14:textId="4103D760" w:rsidR="005D3ACE" w:rsidRDefault="00C13262">
      <w:pPr>
        <w:pStyle w:val="TOC3"/>
        <w:rPr>
          <w:rFonts w:eastAsiaTheme="minorEastAsia" w:cstheme="minorBidi"/>
          <w:iCs w:val="0"/>
          <w:kern w:val="2"/>
          <w:sz w:val="24"/>
          <w:szCs w:val="24"/>
          <w14:ligatures w14:val="standardContextual"/>
        </w:rPr>
      </w:pPr>
      <w:hyperlink w:anchor="_Toc175904854" w:history="1">
        <w:r w:rsidR="005D3ACE" w:rsidRPr="001C0F8F">
          <w:rPr>
            <w:rStyle w:val="Hyperlink"/>
          </w:rPr>
          <w:t>Other Secondary Data and Reports</w:t>
        </w:r>
        <w:r w:rsidR="005D3ACE">
          <w:rPr>
            <w:webHidden/>
          </w:rPr>
          <w:tab/>
        </w:r>
        <w:r w:rsidR="005D3ACE">
          <w:rPr>
            <w:webHidden/>
          </w:rPr>
          <w:fldChar w:fldCharType="begin"/>
        </w:r>
        <w:r w:rsidR="005D3ACE">
          <w:rPr>
            <w:webHidden/>
          </w:rPr>
          <w:instrText xml:space="preserve"> PAGEREF _Toc175904854 \h </w:instrText>
        </w:r>
        <w:r w:rsidR="005D3ACE">
          <w:rPr>
            <w:webHidden/>
          </w:rPr>
        </w:r>
        <w:r w:rsidR="005D3ACE">
          <w:rPr>
            <w:webHidden/>
          </w:rPr>
          <w:fldChar w:fldCharType="separate"/>
        </w:r>
        <w:r w:rsidR="005D3ACE">
          <w:rPr>
            <w:webHidden/>
          </w:rPr>
          <w:t>19</w:t>
        </w:r>
        <w:r w:rsidR="005D3ACE">
          <w:rPr>
            <w:webHidden/>
          </w:rPr>
          <w:fldChar w:fldCharType="end"/>
        </w:r>
      </w:hyperlink>
    </w:p>
    <w:p w14:paraId="677332E2" w14:textId="195332C0" w:rsidR="005D3ACE" w:rsidRDefault="00C13262">
      <w:pPr>
        <w:pStyle w:val="TOC2"/>
        <w:rPr>
          <w:rFonts w:eastAsiaTheme="minorEastAsia" w:cstheme="minorBidi"/>
          <w:iCs w:val="0"/>
          <w:kern w:val="2"/>
          <w:sz w:val="24"/>
          <w:szCs w:val="24"/>
          <w14:ligatures w14:val="standardContextual"/>
        </w:rPr>
      </w:pPr>
      <w:hyperlink w:anchor="_Toc175904855" w:history="1">
        <w:r w:rsidR="005D3ACE" w:rsidRPr="001C0F8F">
          <w:rPr>
            <w:rStyle w:val="Hyperlink"/>
          </w:rPr>
          <w:t>Data Application</w:t>
        </w:r>
        <w:r w:rsidR="005D3ACE">
          <w:rPr>
            <w:webHidden/>
          </w:rPr>
          <w:tab/>
        </w:r>
        <w:r w:rsidR="005D3ACE">
          <w:rPr>
            <w:webHidden/>
          </w:rPr>
          <w:fldChar w:fldCharType="begin"/>
        </w:r>
        <w:r w:rsidR="005D3ACE">
          <w:rPr>
            <w:webHidden/>
          </w:rPr>
          <w:instrText xml:space="preserve"> PAGEREF _Toc175904855 \h </w:instrText>
        </w:r>
        <w:r w:rsidR="005D3ACE">
          <w:rPr>
            <w:webHidden/>
          </w:rPr>
        </w:r>
        <w:r w:rsidR="005D3ACE">
          <w:rPr>
            <w:webHidden/>
          </w:rPr>
          <w:fldChar w:fldCharType="separate"/>
        </w:r>
        <w:r w:rsidR="005D3ACE">
          <w:rPr>
            <w:webHidden/>
          </w:rPr>
          <w:t>20</w:t>
        </w:r>
        <w:r w:rsidR="005D3ACE">
          <w:rPr>
            <w:webHidden/>
          </w:rPr>
          <w:fldChar w:fldCharType="end"/>
        </w:r>
      </w:hyperlink>
    </w:p>
    <w:p w14:paraId="4973EE27" w14:textId="67BFC751" w:rsidR="005D3ACE" w:rsidRDefault="00C13262">
      <w:pPr>
        <w:pStyle w:val="TOC3"/>
        <w:rPr>
          <w:rFonts w:eastAsiaTheme="minorEastAsia" w:cstheme="minorBidi"/>
          <w:iCs w:val="0"/>
          <w:kern w:val="2"/>
          <w:sz w:val="24"/>
          <w:szCs w:val="24"/>
          <w14:ligatures w14:val="standardContextual"/>
        </w:rPr>
      </w:pPr>
      <w:hyperlink w:anchor="_Toc175904856" w:history="1">
        <w:r w:rsidR="005D3ACE" w:rsidRPr="001C0F8F">
          <w:rPr>
            <w:rStyle w:val="Hyperlink"/>
          </w:rPr>
          <w:t>Data Application for Market Characterization</w:t>
        </w:r>
        <w:r w:rsidR="005D3ACE">
          <w:rPr>
            <w:webHidden/>
          </w:rPr>
          <w:tab/>
        </w:r>
        <w:r w:rsidR="005D3ACE">
          <w:rPr>
            <w:webHidden/>
          </w:rPr>
          <w:fldChar w:fldCharType="begin"/>
        </w:r>
        <w:r w:rsidR="005D3ACE">
          <w:rPr>
            <w:webHidden/>
          </w:rPr>
          <w:instrText xml:space="preserve"> PAGEREF _Toc175904856 \h </w:instrText>
        </w:r>
        <w:r w:rsidR="005D3ACE">
          <w:rPr>
            <w:webHidden/>
          </w:rPr>
        </w:r>
        <w:r w:rsidR="005D3ACE">
          <w:rPr>
            <w:webHidden/>
          </w:rPr>
          <w:fldChar w:fldCharType="separate"/>
        </w:r>
        <w:r w:rsidR="005D3ACE">
          <w:rPr>
            <w:webHidden/>
          </w:rPr>
          <w:t>20</w:t>
        </w:r>
        <w:r w:rsidR="005D3ACE">
          <w:rPr>
            <w:webHidden/>
          </w:rPr>
          <w:fldChar w:fldCharType="end"/>
        </w:r>
      </w:hyperlink>
    </w:p>
    <w:p w14:paraId="7F843724" w14:textId="04BE48AF" w:rsidR="005D3ACE" w:rsidRDefault="00C13262">
      <w:pPr>
        <w:pStyle w:val="TOC3"/>
        <w:rPr>
          <w:rFonts w:eastAsiaTheme="minorEastAsia" w:cstheme="minorBidi"/>
          <w:iCs w:val="0"/>
          <w:kern w:val="2"/>
          <w:sz w:val="24"/>
          <w:szCs w:val="24"/>
          <w14:ligatures w14:val="standardContextual"/>
        </w:rPr>
      </w:pPr>
      <w:hyperlink w:anchor="_Toc175904857" w:history="1">
        <w:r w:rsidR="005D3ACE" w:rsidRPr="001C0F8F">
          <w:rPr>
            <w:rStyle w:val="Hyperlink"/>
          </w:rPr>
          <w:t>Data Application for Market Profiles</w:t>
        </w:r>
        <w:r w:rsidR="005D3ACE">
          <w:rPr>
            <w:webHidden/>
          </w:rPr>
          <w:tab/>
        </w:r>
        <w:r w:rsidR="005D3ACE">
          <w:rPr>
            <w:webHidden/>
          </w:rPr>
          <w:fldChar w:fldCharType="begin"/>
        </w:r>
        <w:r w:rsidR="005D3ACE">
          <w:rPr>
            <w:webHidden/>
          </w:rPr>
          <w:instrText xml:space="preserve"> PAGEREF _Toc175904857 \h </w:instrText>
        </w:r>
        <w:r w:rsidR="005D3ACE">
          <w:rPr>
            <w:webHidden/>
          </w:rPr>
        </w:r>
        <w:r w:rsidR="005D3ACE">
          <w:rPr>
            <w:webHidden/>
          </w:rPr>
          <w:fldChar w:fldCharType="separate"/>
        </w:r>
        <w:r w:rsidR="005D3ACE">
          <w:rPr>
            <w:webHidden/>
          </w:rPr>
          <w:t>20</w:t>
        </w:r>
        <w:r w:rsidR="005D3ACE">
          <w:rPr>
            <w:webHidden/>
          </w:rPr>
          <w:fldChar w:fldCharType="end"/>
        </w:r>
      </w:hyperlink>
    </w:p>
    <w:p w14:paraId="0E444C47" w14:textId="3997F411" w:rsidR="005D3ACE" w:rsidRDefault="00C13262">
      <w:pPr>
        <w:pStyle w:val="TOC3"/>
        <w:rPr>
          <w:rFonts w:eastAsiaTheme="minorEastAsia" w:cstheme="minorBidi"/>
          <w:iCs w:val="0"/>
          <w:kern w:val="2"/>
          <w:sz w:val="24"/>
          <w:szCs w:val="24"/>
          <w14:ligatures w14:val="standardContextual"/>
        </w:rPr>
      </w:pPr>
      <w:hyperlink w:anchor="_Toc175904858" w:history="1">
        <w:r w:rsidR="005D3ACE" w:rsidRPr="001C0F8F">
          <w:rPr>
            <w:rStyle w:val="Hyperlink"/>
          </w:rPr>
          <w:t>Data Application for Baseline Projection</w:t>
        </w:r>
        <w:r w:rsidR="005D3ACE">
          <w:rPr>
            <w:webHidden/>
          </w:rPr>
          <w:tab/>
        </w:r>
        <w:r w:rsidR="005D3ACE">
          <w:rPr>
            <w:webHidden/>
          </w:rPr>
          <w:fldChar w:fldCharType="begin"/>
        </w:r>
        <w:r w:rsidR="005D3ACE">
          <w:rPr>
            <w:webHidden/>
          </w:rPr>
          <w:instrText xml:space="preserve"> PAGEREF _Toc175904858 \h </w:instrText>
        </w:r>
        <w:r w:rsidR="005D3ACE">
          <w:rPr>
            <w:webHidden/>
          </w:rPr>
        </w:r>
        <w:r w:rsidR="005D3ACE">
          <w:rPr>
            <w:webHidden/>
          </w:rPr>
          <w:fldChar w:fldCharType="separate"/>
        </w:r>
        <w:r w:rsidR="005D3ACE">
          <w:rPr>
            <w:webHidden/>
          </w:rPr>
          <w:t>21</w:t>
        </w:r>
        <w:r w:rsidR="005D3ACE">
          <w:rPr>
            <w:webHidden/>
          </w:rPr>
          <w:fldChar w:fldCharType="end"/>
        </w:r>
      </w:hyperlink>
    </w:p>
    <w:p w14:paraId="6D2EFE5B" w14:textId="6FCDA3E1" w:rsidR="005D3ACE" w:rsidRDefault="00C13262">
      <w:pPr>
        <w:pStyle w:val="TOC3"/>
        <w:rPr>
          <w:rFonts w:eastAsiaTheme="minorEastAsia" w:cstheme="minorBidi"/>
          <w:iCs w:val="0"/>
          <w:kern w:val="2"/>
          <w:sz w:val="24"/>
          <w:szCs w:val="24"/>
          <w14:ligatures w14:val="standardContextual"/>
        </w:rPr>
      </w:pPr>
      <w:hyperlink w:anchor="_Toc175904859" w:history="1">
        <w:r w:rsidR="005D3ACE" w:rsidRPr="001C0F8F">
          <w:rPr>
            <w:rStyle w:val="Hyperlink"/>
          </w:rPr>
          <w:t>Conservation Measure Data Application</w:t>
        </w:r>
        <w:r w:rsidR="005D3ACE">
          <w:rPr>
            <w:webHidden/>
          </w:rPr>
          <w:tab/>
        </w:r>
        <w:r w:rsidR="005D3ACE">
          <w:rPr>
            <w:webHidden/>
          </w:rPr>
          <w:fldChar w:fldCharType="begin"/>
        </w:r>
        <w:r w:rsidR="005D3ACE">
          <w:rPr>
            <w:webHidden/>
          </w:rPr>
          <w:instrText xml:space="preserve"> PAGEREF _Toc175904859 \h </w:instrText>
        </w:r>
        <w:r w:rsidR="005D3ACE">
          <w:rPr>
            <w:webHidden/>
          </w:rPr>
        </w:r>
        <w:r w:rsidR="005D3ACE">
          <w:rPr>
            <w:webHidden/>
          </w:rPr>
          <w:fldChar w:fldCharType="separate"/>
        </w:r>
        <w:r w:rsidR="005D3ACE">
          <w:rPr>
            <w:webHidden/>
          </w:rPr>
          <w:t>24</w:t>
        </w:r>
        <w:r w:rsidR="005D3ACE">
          <w:rPr>
            <w:webHidden/>
          </w:rPr>
          <w:fldChar w:fldCharType="end"/>
        </w:r>
      </w:hyperlink>
    </w:p>
    <w:p w14:paraId="3EE0DC99" w14:textId="5E72E56B" w:rsidR="005D3ACE" w:rsidRDefault="00C13262">
      <w:pPr>
        <w:pStyle w:val="TOC3"/>
        <w:rPr>
          <w:rFonts w:eastAsiaTheme="minorEastAsia" w:cstheme="minorBidi"/>
          <w:iCs w:val="0"/>
          <w:kern w:val="2"/>
          <w:sz w:val="24"/>
          <w:szCs w:val="24"/>
          <w14:ligatures w14:val="standardContextual"/>
        </w:rPr>
      </w:pPr>
      <w:hyperlink w:anchor="_Toc175904860" w:history="1">
        <w:r w:rsidR="005D3ACE" w:rsidRPr="001C0F8F">
          <w:rPr>
            <w:rStyle w:val="Hyperlink"/>
          </w:rPr>
          <w:t>Data Application for Achievable Technical Potential</w:t>
        </w:r>
        <w:r w:rsidR="005D3ACE">
          <w:rPr>
            <w:webHidden/>
          </w:rPr>
          <w:tab/>
        </w:r>
        <w:r w:rsidR="005D3ACE">
          <w:rPr>
            <w:webHidden/>
          </w:rPr>
          <w:fldChar w:fldCharType="begin"/>
        </w:r>
        <w:r w:rsidR="005D3ACE">
          <w:rPr>
            <w:webHidden/>
          </w:rPr>
          <w:instrText xml:space="preserve"> PAGEREF _Toc175904860 \h </w:instrText>
        </w:r>
        <w:r w:rsidR="005D3ACE">
          <w:rPr>
            <w:webHidden/>
          </w:rPr>
        </w:r>
        <w:r w:rsidR="005D3ACE">
          <w:rPr>
            <w:webHidden/>
          </w:rPr>
          <w:fldChar w:fldCharType="separate"/>
        </w:r>
        <w:r w:rsidR="005D3ACE">
          <w:rPr>
            <w:webHidden/>
          </w:rPr>
          <w:t>25</w:t>
        </w:r>
        <w:r w:rsidR="005D3ACE">
          <w:rPr>
            <w:webHidden/>
          </w:rPr>
          <w:fldChar w:fldCharType="end"/>
        </w:r>
      </w:hyperlink>
    </w:p>
    <w:p w14:paraId="537BB704" w14:textId="2FAFE960" w:rsidR="005D3ACE" w:rsidRDefault="00C13262">
      <w:pPr>
        <w:pStyle w:val="TOC1"/>
        <w:rPr>
          <w:b w:val="0"/>
          <w:iCs w:val="0"/>
          <w:sz w:val="24"/>
          <w:szCs w:val="24"/>
          <w14:ligatures w14:val="standardContextual"/>
        </w:rPr>
      </w:pPr>
      <w:hyperlink w:anchor="_Toc175904861" w:history="1">
        <w:r w:rsidR="005D3ACE" w:rsidRPr="001C0F8F">
          <w:rPr>
            <w:rStyle w:val="Hyperlink"/>
          </w:rPr>
          <w:t>3 |</w:t>
        </w:r>
        <w:r w:rsidR="005D3ACE">
          <w:rPr>
            <w:b w:val="0"/>
            <w:iCs w:val="0"/>
            <w:sz w:val="24"/>
            <w:szCs w:val="24"/>
            <w14:ligatures w14:val="standardContextual"/>
          </w:rPr>
          <w:tab/>
        </w:r>
        <w:r w:rsidR="005D3ACE" w:rsidRPr="001C0F8F">
          <w:rPr>
            <w:rStyle w:val="Hyperlink"/>
          </w:rPr>
          <w:t>Energy Efficiency Market Characterization</w:t>
        </w:r>
        <w:r w:rsidR="005D3ACE">
          <w:rPr>
            <w:webHidden/>
          </w:rPr>
          <w:tab/>
        </w:r>
        <w:r w:rsidR="005D3ACE">
          <w:rPr>
            <w:webHidden/>
          </w:rPr>
          <w:fldChar w:fldCharType="begin"/>
        </w:r>
        <w:r w:rsidR="005D3ACE">
          <w:rPr>
            <w:webHidden/>
          </w:rPr>
          <w:instrText xml:space="preserve"> PAGEREF _Toc175904861 \h </w:instrText>
        </w:r>
        <w:r w:rsidR="005D3ACE">
          <w:rPr>
            <w:webHidden/>
          </w:rPr>
        </w:r>
        <w:r w:rsidR="005D3ACE">
          <w:rPr>
            <w:webHidden/>
          </w:rPr>
          <w:fldChar w:fldCharType="separate"/>
        </w:r>
        <w:r w:rsidR="005D3ACE">
          <w:rPr>
            <w:webHidden/>
          </w:rPr>
          <w:t>27</w:t>
        </w:r>
        <w:r w:rsidR="005D3ACE">
          <w:rPr>
            <w:webHidden/>
          </w:rPr>
          <w:fldChar w:fldCharType="end"/>
        </w:r>
      </w:hyperlink>
    </w:p>
    <w:p w14:paraId="4C2901B3" w14:textId="0D0FCA7B" w:rsidR="005D3ACE" w:rsidRDefault="00C13262">
      <w:pPr>
        <w:pStyle w:val="TOC2"/>
        <w:rPr>
          <w:rFonts w:eastAsiaTheme="minorEastAsia" w:cstheme="minorBidi"/>
          <w:iCs w:val="0"/>
          <w:kern w:val="2"/>
          <w:sz w:val="24"/>
          <w:szCs w:val="24"/>
          <w14:ligatures w14:val="standardContextual"/>
        </w:rPr>
      </w:pPr>
      <w:hyperlink w:anchor="_Toc175904862" w:history="1">
        <w:r w:rsidR="005D3ACE" w:rsidRPr="001C0F8F">
          <w:rPr>
            <w:rStyle w:val="Hyperlink"/>
          </w:rPr>
          <w:t>Energy Use Summary</w:t>
        </w:r>
        <w:r w:rsidR="005D3ACE">
          <w:rPr>
            <w:webHidden/>
          </w:rPr>
          <w:tab/>
        </w:r>
        <w:r w:rsidR="005D3ACE">
          <w:rPr>
            <w:webHidden/>
          </w:rPr>
          <w:fldChar w:fldCharType="begin"/>
        </w:r>
        <w:r w:rsidR="005D3ACE">
          <w:rPr>
            <w:webHidden/>
          </w:rPr>
          <w:instrText xml:space="preserve"> PAGEREF _Toc175904862 \h </w:instrText>
        </w:r>
        <w:r w:rsidR="005D3ACE">
          <w:rPr>
            <w:webHidden/>
          </w:rPr>
        </w:r>
        <w:r w:rsidR="005D3ACE">
          <w:rPr>
            <w:webHidden/>
          </w:rPr>
          <w:fldChar w:fldCharType="separate"/>
        </w:r>
        <w:r w:rsidR="005D3ACE">
          <w:rPr>
            <w:webHidden/>
          </w:rPr>
          <w:t>27</w:t>
        </w:r>
        <w:r w:rsidR="005D3ACE">
          <w:rPr>
            <w:webHidden/>
          </w:rPr>
          <w:fldChar w:fldCharType="end"/>
        </w:r>
      </w:hyperlink>
    </w:p>
    <w:p w14:paraId="5C33036C" w14:textId="007ED2A0" w:rsidR="005D3ACE" w:rsidRDefault="00C13262">
      <w:pPr>
        <w:pStyle w:val="TOC2"/>
        <w:rPr>
          <w:rFonts w:eastAsiaTheme="minorEastAsia" w:cstheme="minorBidi"/>
          <w:iCs w:val="0"/>
          <w:kern w:val="2"/>
          <w:sz w:val="24"/>
          <w:szCs w:val="24"/>
          <w14:ligatures w14:val="standardContextual"/>
        </w:rPr>
      </w:pPr>
      <w:hyperlink w:anchor="_Toc175904863" w:history="1">
        <w:r w:rsidR="005D3ACE" w:rsidRPr="001C0F8F">
          <w:rPr>
            <w:rStyle w:val="Hyperlink"/>
          </w:rPr>
          <w:t>Residential Sector</w:t>
        </w:r>
        <w:r w:rsidR="005D3ACE">
          <w:rPr>
            <w:webHidden/>
          </w:rPr>
          <w:tab/>
        </w:r>
        <w:r w:rsidR="005D3ACE">
          <w:rPr>
            <w:webHidden/>
          </w:rPr>
          <w:fldChar w:fldCharType="begin"/>
        </w:r>
        <w:r w:rsidR="005D3ACE">
          <w:rPr>
            <w:webHidden/>
          </w:rPr>
          <w:instrText xml:space="preserve"> PAGEREF _Toc175904863 \h </w:instrText>
        </w:r>
        <w:r w:rsidR="005D3ACE">
          <w:rPr>
            <w:webHidden/>
          </w:rPr>
        </w:r>
        <w:r w:rsidR="005D3ACE">
          <w:rPr>
            <w:webHidden/>
          </w:rPr>
          <w:fldChar w:fldCharType="separate"/>
        </w:r>
        <w:r w:rsidR="005D3ACE">
          <w:rPr>
            <w:webHidden/>
          </w:rPr>
          <w:t>28</w:t>
        </w:r>
        <w:r w:rsidR="005D3ACE">
          <w:rPr>
            <w:webHidden/>
          </w:rPr>
          <w:fldChar w:fldCharType="end"/>
        </w:r>
      </w:hyperlink>
    </w:p>
    <w:p w14:paraId="2C172672" w14:textId="58B4540D" w:rsidR="005D3ACE" w:rsidRDefault="00C13262">
      <w:pPr>
        <w:pStyle w:val="TOC2"/>
        <w:rPr>
          <w:rFonts w:eastAsiaTheme="minorEastAsia" w:cstheme="minorBidi"/>
          <w:iCs w:val="0"/>
          <w:kern w:val="2"/>
          <w:sz w:val="24"/>
          <w:szCs w:val="24"/>
          <w14:ligatures w14:val="standardContextual"/>
        </w:rPr>
      </w:pPr>
      <w:hyperlink w:anchor="_Toc175904864" w:history="1">
        <w:r w:rsidR="005D3ACE" w:rsidRPr="001C0F8F">
          <w:rPr>
            <w:rStyle w:val="Hyperlink"/>
          </w:rPr>
          <w:t>Commercial Sector</w:t>
        </w:r>
        <w:r w:rsidR="005D3ACE">
          <w:rPr>
            <w:webHidden/>
          </w:rPr>
          <w:tab/>
        </w:r>
        <w:r w:rsidR="005D3ACE">
          <w:rPr>
            <w:webHidden/>
          </w:rPr>
          <w:fldChar w:fldCharType="begin"/>
        </w:r>
        <w:r w:rsidR="005D3ACE">
          <w:rPr>
            <w:webHidden/>
          </w:rPr>
          <w:instrText xml:space="preserve"> PAGEREF _Toc175904864 \h </w:instrText>
        </w:r>
        <w:r w:rsidR="005D3ACE">
          <w:rPr>
            <w:webHidden/>
          </w:rPr>
        </w:r>
        <w:r w:rsidR="005D3ACE">
          <w:rPr>
            <w:webHidden/>
          </w:rPr>
          <w:fldChar w:fldCharType="separate"/>
        </w:r>
        <w:r w:rsidR="005D3ACE">
          <w:rPr>
            <w:webHidden/>
          </w:rPr>
          <w:t>31</w:t>
        </w:r>
        <w:r w:rsidR="005D3ACE">
          <w:rPr>
            <w:webHidden/>
          </w:rPr>
          <w:fldChar w:fldCharType="end"/>
        </w:r>
      </w:hyperlink>
    </w:p>
    <w:p w14:paraId="0F2A9F96" w14:textId="5D633F47" w:rsidR="005D3ACE" w:rsidRDefault="00C13262">
      <w:pPr>
        <w:pStyle w:val="TOC2"/>
        <w:rPr>
          <w:rFonts w:eastAsiaTheme="minorEastAsia" w:cstheme="minorBidi"/>
          <w:iCs w:val="0"/>
          <w:kern w:val="2"/>
          <w:sz w:val="24"/>
          <w:szCs w:val="24"/>
          <w14:ligatures w14:val="standardContextual"/>
        </w:rPr>
      </w:pPr>
      <w:hyperlink w:anchor="_Toc175904865" w:history="1">
        <w:r w:rsidR="005D3ACE" w:rsidRPr="001C0F8F">
          <w:rPr>
            <w:rStyle w:val="Hyperlink"/>
          </w:rPr>
          <w:t>Industrial Sector</w:t>
        </w:r>
        <w:r w:rsidR="005D3ACE">
          <w:rPr>
            <w:webHidden/>
          </w:rPr>
          <w:tab/>
        </w:r>
        <w:r w:rsidR="005D3ACE">
          <w:rPr>
            <w:webHidden/>
          </w:rPr>
          <w:fldChar w:fldCharType="begin"/>
        </w:r>
        <w:r w:rsidR="005D3ACE">
          <w:rPr>
            <w:webHidden/>
          </w:rPr>
          <w:instrText xml:space="preserve"> PAGEREF _Toc175904865 \h </w:instrText>
        </w:r>
        <w:r w:rsidR="005D3ACE">
          <w:rPr>
            <w:webHidden/>
          </w:rPr>
        </w:r>
        <w:r w:rsidR="005D3ACE">
          <w:rPr>
            <w:webHidden/>
          </w:rPr>
          <w:fldChar w:fldCharType="separate"/>
        </w:r>
        <w:r w:rsidR="005D3ACE">
          <w:rPr>
            <w:webHidden/>
          </w:rPr>
          <w:t>34</w:t>
        </w:r>
        <w:r w:rsidR="005D3ACE">
          <w:rPr>
            <w:webHidden/>
          </w:rPr>
          <w:fldChar w:fldCharType="end"/>
        </w:r>
      </w:hyperlink>
    </w:p>
    <w:p w14:paraId="7138EB7F" w14:textId="123A5407" w:rsidR="005D3ACE" w:rsidRDefault="00C13262">
      <w:pPr>
        <w:pStyle w:val="TOC1"/>
        <w:rPr>
          <w:b w:val="0"/>
          <w:iCs w:val="0"/>
          <w:sz w:val="24"/>
          <w:szCs w:val="24"/>
          <w14:ligatures w14:val="standardContextual"/>
        </w:rPr>
      </w:pPr>
      <w:hyperlink w:anchor="_Toc175904866" w:history="1">
        <w:r w:rsidR="005D3ACE" w:rsidRPr="001C0F8F">
          <w:rPr>
            <w:rStyle w:val="Hyperlink"/>
          </w:rPr>
          <w:t>4 |</w:t>
        </w:r>
        <w:r w:rsidR="005D3ACE">
          <w:rPr>
            <w:b w:val="0"/>
            <w:iCs w:val="0"/>
            <w:sz w:val="24"/>
            <w:szCs w:val="24"/>
            <w14:ligatures w14:val="standardContextual"/>
          </w:rPr>
          <w:tab/>
        </w:r>
        <w:r w:rsidR="005D3ACE" w:rsidRPr="001C0F8F">
          <w:rPr>
            <w:rStyle w:val="Hyperlink"/>
          </w:rPr>
          <w:t>Baseline Projection</w:t>
        </w:r>
        <w:r w:rsidR="005D3ACE">
          <w:rPr>
            <w:webHidden/>
          </w:rPr>
          <w:tab/>
        </w:r>
        <w:r w:rsidR="005D3ACE">
          <w:rPr>
            <w:webHidden/>
          </w:rPr>
          <w:fldChar w:fldCharType="begin"/>
        </w:r>
        <w:r w:rsidR="005D3ACE">
          <w:rPr>
            <w:webHidden/>
          </w:rPr>
          <w:instrText xml:space="preserve"> PAGEREF _Toc175904866 \h </w:instrText>
        </w:r>
        <w:r w:rsidR="005D3ACE">
          <w:rPr>
            <w:webHidden/>
          </w:rPr>
        </w:r>
        <w:r w:rsidR="005D3ACE">
          <w:rPr>
            <w:webHidden/>
          </w:rPr>
          <w:fldChar w:fldCharType="separate"/>
        </w:r>
        <w:r w:rsidR="005D3ACE">
          <w:rPr>
            <w:webHidden/>
          </w:rPr>
          <w:t>37</w:t>
        </w:r>
        <w:r w:rsidR="005D3ACE">
          <w:rPr>
            <w:webHidden/>
          </w:rPr>
          <w:fldChar w:fldCharType="end"/>
        </w:r>
      </w:hyperlink>
    </w:p>
    <w:p w14:paraId="2FAF5535" w14:textId="2C230E85" w:rsidR="005D3ACE" w:rsidRDefault="00C13262">
      <w:pPr>
        <w:pStyle w:val="TOC2"/>
        <w:rPr>
          <w:rFonts w:eastAsiaTheme="minorEastAsia" w:cstheme="minorBidi"/>
          <w:iCs w:val="0"/>
          <w:kern w:val="2"/>
          <w:sz w:val="24"/>
          <w:szCs w:val="24"/>
          <w14:ligatures w14:val="standardContextual"/>
        </w:rPr>
      </w:pPr>
      <w:hyperlink w:anchor="_Toc175904867" w:history="1">
        <w:r w:rsidR="005D3ACE" w:rsidRPr="001C0F8F">
          <w:rPr>
            <w:rStyle w:val="Hyperlink"/>
          </w:rPr>
          <w:t>Residential Sector Baseline Projections</w:t>
        </w:r>
        <w:r w:rsidR="005D3ACE">
          <w:rPr>
            <w:webHidden/>
          </w:rPr>
          <w:tab/>
        </w:r>
        <w:r w:rsidR="005D3ACE">
          <w:rPr>
            <w:webHidden/>
          </w:rPr>
          <w:fldChar w:fldCharType="begin"/>
        </w:r>
        <w:r w:rsidR="005D3ACE">
          <w:rPr>
            <w:webHidden/>
          </w:rPr>
          <w:instrText xml:space="preserve"> PAGEREF _Toc175904867 \h </w:instrText>
        </w:r>
        <w:r w:rsidR="005D3ACE">
          <w:rPr>
            <w:webHidden/>
          </w:rPr>
        </w:r>
        <w:r w:rsidR="005D3ACE">
          <w:rPr>
            <w:webHidden/>
          </w:rPr>
          <w:fldChar w:fldCharType="separate"/>
        </w:r>
        <w:r w:rsidR="005D3ACE">
          <w:rPr>
            <w:webHidden/>
          </w:rPr>
          <w:t>37</w:t>
        </w:r>
        <w:r w:rsidR="005D3ACE">
          <w:rPr>
            <w:webHidden/>
          </w:rPr>
          <w:fldChar w:fldCharType="end"/>
        </w:r>
      </w:hyperlink>
    </w:p>
    <w:p w14:paraId="7464A5A5" w14:textId="166E70D4" w:rsidR="005D3ACE" w:rsidRDefault="00C13262">
      <w:pPr>
        <w:pStyle w:val="TOC2"/>
        <w:rPr>
          <w:rFonts w:eastAsiaTheme="minorEastAsia" w:cstheme="minorBidi"/>
          <w:iCs w:val="0"/>
          <w:kern w:val="2"/>
          <w:sz w:val="24"/>
          <w:szCs w:val="24"/>
          <w14:ligatures w14:val="standardContextual"/>
        </w:rPr>
      </w:pPr>
      <w:hyperlink w:anchor="_Toc175904868" w:history="1">
        <w:r w:rsidR="005D3ACE" w:rsidRPr="001C0F8F">
          <w:rPr>
            <w:rStyle w:val="Hyperlink"/>
          </w:rPr>
          <w:t>Commercial Sector Baseline Projections</w:t>
        </w:r>
        <w:r w:rsidR="005D3ACE">
          <w:rPr>
            <w:webHidden/>
          </w:rPr>
          <w:tab/>
        </w:r>
        <w:r w:rsidR="005D3ACE">
          <w:rPr>
            <w:webHidden/>
          </w:rPr>
          <w:fldChar w:fldCharType="begin"/>
        </w:r>
        <w:r w:rsidR="005D3ACE">
          <w:rPr>
            <w:webHidden/>
          </w:rPr>
          <w:instrText xml:space="preserve"> PAGEREF _Toc175904868 \h </w:instrText>
        </w:r>
        <w:r w:rsidR="005D3ACE">
          <w:rPr>
            <w:webHidden/>
          </w:rPr>
        </w:r>
        <w:r w:rsidR="005D3ACE">
          <w:rPr>
            <w:webHidden/>
          </w:rPr>
          <w:fldChar w:fldCharType="separate"/>
        </w:r>
        <w:r w:rsidR="005D3ACE">
          <w:rPr>
            <w:webHidden/>
          </w:rPr>
          <w:t>40</w:t>
        </w:r>
        <w:r w:rsidR="005D3ACE">
          <w:rPr>
            <w:webHidden/>
          </w:rPr>
          <w:fldChar w:fldCharType="end"/>
        </w:r>
      </w:hyperlink>
    </w:p>
    <w:p w14:paraId="5433B183" w14:textId="67AFB180" w:rsidR="005D3ACE" w:rsidRDefault="00C13262">
      <w:pPr>
        <w:pStyle w:val="TOC2"/>
        <w:rPr>
          <w:rFonts w:eastAsiaTheme="minorEastAsia" w:cstheme="minorBidi"/>
          <w:iCs w:val="0"/>
          <w:kern w:val="2"/>
          <w:sz w:val="24"/>
          <w:szCs w:val="24"/>
          <w14:ligatures w14:val="standardContextual"/>
        </w:rPr>
      </w:pPr>
      <w:hyperlink w:anchor="_Toc175904869" w:history="1">
        <w:r w:rsidR="005D3ACE" w:rsidRPr="001C0F8F">
          <w:rPr>
            <w:rStyle w:val="Hyperlink"/>
          </w:rPr>
          <w:t>Industrial Sector Baseline Projections</w:t>
        </w:r>
        <w:r w:rsidR="005D3ACE">
          <w:rPr>
            <w:webHidden/>
          </w:rPr>
          <w:tab/>
        </w:r>
        <w:r w:rsidR="005D3ACE">
          <w:rPr>
            <w:webHidden/>
          </w:rPr>
          <w:fldChar w:fldCharType="begin"/>
        </w:r>
        <w:r w:rsidR="005D3ACE">
          <w:rPr>
            <w:webHidden/>
          </w:rPr>
          <w:instrText xml:space="preserve"> PAGEREF _Toc175904869 \h </w:instrText>
        </w:r>
        <w:r w:rsidR="005D3ACE">
          <w:rPr>
            <w:webHidden/>
          </w:rPr>
        </w:r>
        <w:r w:rsidR="005D3ACE">
          <w:rPr>
            <w:webHidden/>
          </w:rPr>
          <w:fldChar w:fldCharType="separate"/>
        </w:r>
        <w:r w:rsidR="005D3ACE">
          <w:rPr>
            <w:webHidden/>
          </w:rPr>
          <w:t>43</w:t>
        </w:r>
        <w:r w:rsidR="005D3ACE">
          <w:rPr>
            <w:webHidden/>
          </w:rPr>
          <w:fldChar w:fldCharType="end"/>
        </w:r>
      </w:hyperlink>
    </w:p>
    <w:p w14:paraId="5E2DD11E" w14:textId="120FBE98" w:rsidR="005D3ACE" w:rsidRDefault="00C13262">
      <w:pPr>
        <w:pStyle w:val="TOC2"/>
        <w:rPr>
          <w:rFonts w:eastAsiaTheme="minorEastAsia" w:cstheme="minorBidi"/>
          <w:iCs w:val="0"/>
          <w:kern w:val="2"/>
          <w:sz w:val="24"/>
          <w:szCs w:val="24"/>
          <w14:ligatures w14:val="standardContextual"/>
        </w:rPr>
      </w:pPr>
      <w:hyperlink w:anchor="_Toc175904870" w:history="1">
        <w:r w:rsidR="005D3ACE" w:rsidRPr="001C0F8F">
          <w:rPr>
            <w:rStyle w:val="Hyperlink"/>
          </w:rPr>
          <w:t>Summary of Baseline Projections Across Sectors and States</w:t>
        </w:r>
        <w:r w:rsidR="005D3ACE">
          <w:rPr>
            <w:webHidden/>
          </w:rPr>
          <w:tab/>
        </w:r>
        <w:r w:rsidR="005D3ACE">
          <w:rPr>
            <w:webHidden/>
          </w:rPr>
          <w:fldChar w:fldCharType="begin"/>
        </w:r>
        <w:r w:rsidR="005D3ACE">
          <w:rPr>
            <w:webHidden/>
          </w:rPr>
          <w:instrText xml:space="preserve"> PAGEREF _Toc175904870 \h </w:instrText>
        </w:r>
        <w:r w:rsidR="005D3ACE">
          <w:rPr>
            <w:webHidden/>
          </w:rPr>
        </w:r>
        <w:r w:rsidR="005D3ACE">
          <w:rPr>
            <w:webHidden/>
          </w:rPr>
          <w:fldChar w:fldCharType="separate"/>
        </w:r>
        <w:r w:rsidR="005D3ACE">
          <w:rPr>
            <w:webHidden/>
          </w:rPr>
          <w:t>46</w:t>
        </w:r>
        <w:r w:rsidR="005D3ACE">
          <w:rPr>
            <w:webHidden/>
          </w:rPr>
          <w:fldChar w:fldCharType="end"/>
        </w:r>
      </w:hyperlink>
    </w:p>
    <w:p w14:paraId="1EBC66A2" w14:textId="1F61908D" w:rsidR="005D3ACE" w:rsidRDefault="00C13262">
      <w:pPr>
        <w:pStyle w:val="TOC1"/>
        <w:rPr>
          <w:b w:val="0"/>
          <w:iCs w:val="0"/>
          <w:sz w:val="24"/>
          <w:szCs w:val="24"/>
          <w14:ligatures w14:val="standardContextual"/>
        </w:rPr>
      </w:pPr>
      <w:hyperlink w:anchor="_Toc175904871" w:history="1">
        <w:r w:rsidR="005D3ACE" w:rsidRPr="001C0F8F">
          <w:rPr>
            <w:rStyle w:val="Hyperlink"/>
          </w:rPr>
          <w:t>5 |</w:t>
        </w:r>
        <w:r w:rsidR="005D3ACE">
          <w:rPr>
            <w:b w:val="0"/>
            <w:iCs w:val="0"/>
            <w:sz w:val="24"/>
            <w:szCs w:val="24"/>
            <w14:ligatures w14:val="standardContextual"/>
          </w:rPr>
          <w:tab/>
        </w:r>
        <w:r w:rsidR="005D3ACE" w:rsidRPr="001C0F8F">
          <w:rPr>
            <w:rStyle w:val="Hyperlink"/>
          </w:rPr>
          <w:t>Conservation Potential</w:t>
        </w:r>
        <w:r w:rsidR="005D3ACE">
          <w:rPr>
            <w:webHidden/>
          </w:rPr>
          <w:tab/>
        </w:r>
        <w:r w:rsidR="005D3ACE">
          <w:rPr>
            <w:webHidden/>
          </w:rPr>
          <w:fldChar w:fldCharType="begin"/>
        </w:r>
        <w:r w:rsidR="005D3ACE">
          <w:rPr>
            <w:webHidden/>
          </w:rPr>
          <w:instrText xml:space="preserve"> PAGEREF _Toc175904871 \h </w:instrText>
        </w:r>
        <w:r w:rsidR="005D3ACE">
          <w:rPr>
            <w:webHidden/>
          </w:rPr>
        </w:r>
        <w:r w:rsidR="005D3ACE">
          <w:rPr>
            <w:webHidden/>
          </w:rPr>
          <w:fldChar w:fldCharType="separate"/>
        </w:r>
        <w:r w:rsidR="005D3ACE">
          <w:rPr>
            <w:webHidden/>
          </w:rPr>
          <w:t>48</w:t>
        </w:r>
        <w:r w:rsidR="005D3ACE">
          <w:rPr>
            <w:webHidden/>
          </w:rPr>
          <w:fldChar w:fldCharType="end"/>
        </w:r>
      </w:hyperlink>
    </w:p>
    <w:p w14:paraId="3CBA1C8F" w14:textId="6EFAE650" w:rsidR="005D3ACE" w:rsidRDefault="00C13262">
      <w:pPr>
        <w:pStyle w:val="TOC2"/>
        <w:rPr>
          <w:rFonts w:eastAsiaTheme="minorEastAsia" w:cstheme="minorBidi"/>
          <w:iCs w:val="0"/>
          <w:kern w:val="2"/>
          <w:sz w:val="24"/>
          <w:szCs w:val="24"/>
          <w14:ligatures w14:val="standardContextual"/>
        </w:rPr>
      </w:pPr>
      <w:hyperlink w:anchor="_Toc175904872" w:history="1">
        <w:r w:rsidR="005D3ACE" w:rsidRPr="001C0F8F">
          <w:rPr>
            <w:rStyle w:val="Hyperlink"/>
          </w:rPr>
          <w:t>Overall Summary of Energy Efficiency Potential</w:t>
        </w:r>
        <w:r w:rsidR="005D3ACE">
          <w:rPr>
            <w:webHidden/>
          </w:rPr>
          <w:tab/>
        </w:r>
        <w:r w:rsidR="005D3ACE">
          <w:rPr>
            <w:webHidden/>
          </w:rPr>
          <w:fldChar w:fldCharType="begin"/>
        </w:r>
        <w:r w:rsidR="005D3ACE">
          <w:rPr>
            <w:webHidden/>
          </w:rPr>
          <w:instrText xml:space="preserve"> PAGEREF _Toc175904872 \h </w:instrText>
        </w:r>
        <w:r w:rsidR="005D3ACE">
          <w:rPr>
            <w:webHidden/>
          </w:rPr>
        </w:r>
        <w:r w:rsidR="005D3ACE">
          <w:rPr>
            <w:webHidden/>
          </w:rPr>
          <w:fldChar w:fldCharType="separate"/>
        </w:r>
        <w:r w:rsidR="005D3ACE">
          <w:rPr>
            <w:webHidden/>
          </w:rPr>
          <w:t>48</w:t>
        </w:r>
        <w:r w:rsidR="005D3ACE">
          <w:rPr>
            <w:webHidden/>
          </w:rPr>
          <w:fldChar w:fldCharType="end"/>
        </w:r>
      </w:hyperlink>
    </w:p>
    <w:p w14:paraId="4AE66D45" w14:textId="7E4C945C" w:rsidR="005D3ACE" w:rsidRDefault="00C13262">
      <w:pPr>
        <w:pStyle w:val="TOC3"/>
        <w:rPr>
          <w:rFonts w:eastAsiaTheme="minorEastAsia" w:cstheme="minorBidi"/>
          <w:iCs w:val="0"/>
          <w:kern w:val="2"/>
          <w:sz w:val="24"/>
          <w:szCs w:val="24"/>
          <w14:ligatures w14:val="standardContextual"/>
        </w:rPr>
      </w:pPr>
      <w:hyperlink w:anchor="_Toc175904873" w:history="1">
        <w:r w:rsidR="005D3ACE" w:rsidRPr="001C0F8F">
          <w:rPr>
            <w:rStyle w:val="Hyperlink"/>
          </w:rPr>
          <w:t>Summary of Annual Energy Savings</w:t>
        </w:r>
        <w:r w:rsidR="005D3ACE">
          <w:rPr>
            <w:webHidden/>
          </w:rPr>
          <w:tab/>
        </w:r>
        <w:r w:rsidR="005D3ACE">
          <w:rPr>
            <w:webHidden/>
          </w:rPr>
          <w:fldChar w:fldCharType="begin"/>
        </w:r>
        <w:r w:rsidR="005D3ACE">
          <w:rPr>
            <w:webHidden/>
          </w:rPr>
          <w:instrText xml:space="preserve"> PAGEREF _Toc175904873 \h </w:instrText>
        </w:r>
        <w:r w:rsidR="005D3ACE">
          <w:rPr>
            <w:webHidden/>
          </w:rPr>
        </w:r>
        <w:r w:rsidR="005D3ACE">
          <w:rPr>
            <w:webHidden/>
          </w:rPr>
          <w:fldChar w:fldCharType="separate"/>
        </w:r>
        <w:r w:rsidR="005D3ACE">
          <w:rPr>
            <w:webHidden/>
          </w:rPr>
          <w:t>48</w:t>
        </w:r>
        <w:r w:rsidR="005D3ACE">
          <w:rPr>
            <w:webHidden/>
          </w:rPr>
          <w:fldChar w:fldCharType="end"/>
        </w:r>
      </w:hyperlink>
    </w:p>
    <w:p w14:paraId="04FAC94F" w14:textId="16C69327" w:rsidR="005D3ACE" w:rsidRDefault="00C13262">
      <w:pPr>
        <w:pStyle w:val="TOC2"/>
        <w:rPr>
          <w:rFonts w:eastAsiaTheme="minorEastAsia" w:cstheme="minorBidi"/>
          <w:iCs w:val="0"/>
          <w:kern w:val="2"/>
          <w:sz w:val="24"/>
          <w:szCs w:val="24"/>
          <w14:ligatures w14:val="standardContextual"/>
        </w:rPr>
      </w:pPr>
      <w:hyperlink w:anchor="_Toc175904874" w:history="1">
        <w:r w:rsidR="005D3ACE" w:rsidRPr="001C0F8F">
          <w:rPr>
            <w:rStyle w:val="Hyperlink"/>
          </w:rPr>
          <w:t>Summary of Conservation Potential by Sector</w:t>
        </w:r>
        <w:r w:rsidR="005D3ACE">
          <w:rPr>
            <w:webHidden/>
          </w:rPr>
          <w:tab/>
        </w:r>
        <w:r w:rsidR="005D3ACE">
          <w:rPr>
            <w:webHidden/>
          </w:rPr>
          <w:fldChar w:fldCharType="begin"/>
        </w:r>
        <w:r w:rsidR="005D3ACE">
          <w:rPr>
            <w:webHidden/>
          </w:rPr>
          <w:instrText xml:space="preserve"> PAGEREF _Toc175904874 \h </w:instrText>
        </w:r>
        <w:r w:rsidR="005D3ACE">
          <w:rPr>
            <w:webHidden/>
          </w:rPr>
        </w:r>
        <w:r w:rsidR="005D3ACE">
          <w:rPr>
            <w:webHidden/>
          </w:rPr>
          <w:fldChar w:fldCharType="separate"/>
        </w:r>
        <w:r w:rsidR="005D3ACE">
          <w:rPr>
            <w:webHidden/>
          </w:rPr>
          <w:t>50</w:t>
        </w:r>
        <w:r w:rsidR="005D3ACE">
          <w:rPr>
            <w:webHidden/>
          </w:rPr>
          <w:fldChar w:fldCharType="end"/>
        </w:r>
      </w:hyperlink>
    </w:p>
    <w:p w14:paraId="24099BFD" w14:textId="5521EF4F" w:rsidR="005D3ACE" w:rsidRDefault="00C13262">
      <w:pPr>
        <w:pStyle w:val="TOC2"/>
        <w:rPr>
          <w:rFonts w:eastAsiaTheme="minorEastAsia" w:cstheme="minorBidi"/>
          <w:iCs w:val="0"/>
          <w:kern w:val="2"/>
          <w:sz w:val="24"/>
          <w:szCs w:val="24"/>
          <w14:ligatures w14:val="standardContextual"/>
        </w:rPr>
      </w:pPr>
      <w:hyperlink w:anchor="_Toc175904875" w:history="1">
        <w:r w:rsidR="005D3ACE" w:rsidRPr="001C0F8F">
          <w:rPr>
            <w:rStyle w:val="Hyperlink"/>
          </w:rPr>
          <w:t>Residential Conservation Potential</w:t>
        </w:r>
        <w:r w:rsidR="005D3ACE">
          <w:rPr>
            <w:webHidden/>
          </w:rPr>
          <w:tab/>
        </w:r>
        <w:r w:rsidR="005D3ACE">
          <w:rPr>
            <w:webHidden/>
          </w:rPr>
          <w:fldChar w:fldCharType="begin"/>
        </w:r>
        <w:r w:rsidR="005D3ACE">
          <w:rPr>
            <w:webHidden/>
          </w:rPr>
          <w:instrText xml:space="preserve"> PAGEREF _Toc175904875 \h </w:instrText>
        </w:r>
        <w:r w:rsidR="005D3ACE">
          <w:rPr>
            <w:webHidden/>
          </w:rPr>
        </w:r>
        <w:r w:rsidR="005D3ACE">
          <w:rPr>
            <w:webHidden/>
          </w:rPr>
          <w:fldChar w:fldCharType="separate"/>
        </w:r>
        <w:r w:rsidR="005D3ACE">
          <w:rPr>
            <w:webHidden/>
          </w:rPr>
          <w:t>51</w:t>
        </w:r>
        <w:r w:rsidR="005D3ACE">
          <w:rPr>
            <w:webHidden/>
          </w:rPr>
          <w:fldChar w:fldCharType="end"/>
        </w:r>
      </w:hyperlink>
    </w:p>
    <w:p w14:paraId="1FB20CE8" w14:textId="07B04E92" w:rsidR="005D3ACE" w:rsidRDefault="00C13262">
      <w:pPr>
        <w:pStyle w:val="TOC2"/>
        <w:rPr>
          <w:rFonts w:eastAsiaTheme="minorEastAsia" w:cstheme="minorBidi"/>
          <w:iCs w:val="0"/>
          <w:kern w:val="2"/>
          <w:sz w:val="24"/>
          <w:szCs w:val="24"/>
          <w14:ligatures w14:val="standardContextual"/>
        </w:rPr>
      </w:pPr>
      <w:hyperlink w:anchor="_Toc175904876" w:history="1">
        <w:r w:rsidR="005D3ACE" w:rsidRPr="001C0F8F">
          <w:rPr>
            <w:rStyle w:val="Hyperlink"/>
          </w:rPr>
          <w:t>Commercial Conservation Potential</w:t>
        </w:r>
        <w:r w:rsidR="005D3ACE">
          <w:rPr>
            <w:webHidden/>
          </w:rPr>
          <w:tab/>
        </w:r>
        <w:r w:rsidR="005D3ACE">
          <w:rPr>
            <w:webHidden/>
          </w:rPr>
          <w:fldChar w:fldCharType="begin"/>
        </w:r>
        <w:r w:rsidR="005D3ACE">
          <w:rPr>
            <w:webHidden/>
          </w:rPr>
          <w:instrText xml:space="preserve"> PAGEREF _Toc175904876 \h </w:instrText>
        </w:r>
        <w:r w:rsidR="005D3ACE">
          <w:rPr>
            <w:webHidden/>
          </w:rPr>
        </w:r>
        <w:r w:rsidR="005D3ACE">
          <w:rPr>
            <w:webHidden/>
          </w:rPr>
          <w:fldChar w:fldCharType="separate"/>
        </w:r>
        <w:r w:rsidR="005D3ACE">
          <w:rPr>
            <w:webHidden/>
          </w:rPr>
          <w:t>56</w:t>
        </w:r>
        <w:r w:rsidR="005D3ACE">
          <w:rPr>
            <w:webHidden/>
          </w:rPr>
          <w:fldChar w:fldCharType="end"/>
        </w:r>
      </w:hyperlink>
    </w:p>
    <w:p w14:paraId="0CA5EB83" w14:textId="6A5AA71D" w:rsidR="005D3ACE" w:rsidRDefault="00C13262">
      <w:pPr>
        <w:pStyle w:val="TOC2"/>
        <w:rPr>
          <w:rFonts w:eastAsiaTheme="minorEastAsia" w:cstheme="minorBidi"/>
          <w:iCs w:val="0"/>
          <w:kern w:val="2"/>
          <w:sz w:val="24"/>
          <w:szCs w:val="24"/>
          <w14:ligatures w14:val="standardContextual"/>
        </w:rPr>
      </w:pPr>
      <w:hyperlink w:anchor="_Toc175904877" w:history="1">
        <w:r w:rsidR="005D3ACE" w:rsidRPr="001C0F8F">
          <w:rPr>
            <w:rStyle w:val="Hyperlink"/>
          </w:rPr>
          <w:t>Industrial Conservation Potential</w:t>
        </w:r>
        <w:r w:rsidR="005D3ACE">
          <w:rPr>
            <w:webHidden/>
          </w:rPr>
          <w:tab/>
        </w:r>
        <w:r w:rsidR="005D3ACE">
          <w:rPr>
            <w:webHidden/>
          </w:rPr>
          <w:fldChar w:fldCharType="begin"/>
        </w:r>
        <w:r w:rsidR="005D3ACE">
          <w:rPr>
            <w:webHidden/>
          </w:rPr>
          <w:instrText xml:space="preserve"> PAGEREF _Toc175904877 \h </w:instrText>
        </w:r>
        <w:r w:rsidR="005D3ACE">
          <w:rPr>
            <w:webHidden/>
          </w:rPr>
        </w:r>
        <w:r w:rsidR="005D3ACE">
          <w:rPr>
            <w:webHidden/>
          </w:rPr>
          <w:fldChar w:fldCharType="separate"/>
        </w:r>
        <w:r w:rsidR="005D3ACE">
          <w:rPr>
            <w:webHidden/>
          </w:rPr>
          <w:t>62</w:t>
        </w:r>
        <w:r w:rsidR="005D3ACE">
          <w:rPr>
            <w:webHidden/>
          </w:rPr>
          <w:fldChar w:fldCharType="end"/>
        </w:r>
      </w:hyperlink>
    </w:p>
    <w:p w14:paraId="5448C227" w14:textId="644717A6" w:rsidR="005D3ACE" w:rsidRDefault="00C13262">
      <w:pPr>
        <w:pStyle w:val="TOC1"/>
        <w:rPr>
          <w:b w:val="0"/>
          <w:iCs w:val="0"/>
          <w:sz w:val="24"/>
          <w:szCs w:val="24"/>
          <w14:ligatures w14:val="standardContextual"/>
        </w:rPr>
      </w:pPr>
      <w:hyperlink w:anchor="_Toc175904878" w:history="1">
        <w:r w:rsidR="005D3ACE" w:rsidRPr="001C0F8F">
          <w:rPr>
            <w:rStyle w:val="Hyperlink"/>
          </w:rPr>
          <w:t>6 |</w:t>
        </w:r>
        <w:r w:rsidR="005D3ACE">
          <w:rPr>
            <w:b w:val="0"/>
            <w:iCs w:val="0"/>
            <w:sz w:val="24"/>
            <w:szCs w:val="24"/>
            <w14:ligatures w14:val="standardContextual"/>
          </w:rPr>
          <w:tab/>
        </w:r>
        <w:r w:rsidR="005D3ACE" w:rsidRPr="001C0F8F">
          <w:rPr>
            <w:rStyle w:val="Hyperlink"/>
          </w:rPr>
          <w:t>Demand Response Potential</w:t>
        </w:r>
        <w:r w:rsidR="005D3ACE">
          <w:rPr>
            <w:webHidden/>
          </w:rPr>
          <w:tab/>
        </w:r>
        <w:r w:rsidR="005D3ACE">
          <w:rPr>
            <w:webHidden/>
          </w:rPr>
          <w:fldChar w:fldCharType="begin"/>
        </w:r>
        <w:r w:rsidR="005D3ACE">
          <w:rPr>
            <w:webHidden/>
          </w:rPr>
          <w:instrText xml:space="preserve"> PAGEREF _Toc175904878 \h </w:instrText>
        </w:r>
        <w:r w:rsidR="005D3ACE">
          <w:rPr>
            <w:webHidden/>
          </w:rPr>
        </w:r>
        <w:r w:rsidR="005D3ACE">
          <w:rPr>
            <w:webHidden/>
          </w:rPr>
          <w:fldChar w:fldCharType="separate"/>
        </w:r>
        <w:r w:rsidR="005D3ACE">
          <w:rPr>
            <w:webHidden/>
          </w:rPr>
          <w:t>68</w:t>
        </w:r>
        <w:r w:rsidR="005D3ACE">
          <w:rPr>
            <w:webHidden/>
          </w:rPr>
          <w:fldChar w:fldCharType="end"/>
        </w:r>
      </w:hyperlink>
    </w:p>
    <w:p w14:paraId="064D298A" w14:textId="2764D756" w:rsidR="005D3ACE" w:rsidRDefault="00C13262">
      <w:pPr>
        <w:pStyle w:val="TOC2"/>
        <w:rPr>
          <w:rFonts w:eastAsiaTheme="minorEastAsia" w:cstheme="minorBidi"/>
          <w:iCs w:val="0"/>
          <w:kern w:val="2"/>
          <w:sz w:val="24"/>
          <w:szCs w:val="24"/>
          <w14:ligatures w14:val="standardContextual"/>
        </w:rPr>
      </w:pPr>
      <w:hyperlink w:anchor="_Toc175904879" w:history="1">
        <w:r w:rsidR="005D3ACE" w:rsidRPr="001C0F8F">
          <w:rPr>
            <w:rStyle w:val="Hyperlink"/>
          </w:rPr>
          <w:t>Study Approach</w:t>
        </w:r>
        <w:r w:rsidR="005D3ACE">
          <w:rPr>
            <w:webHidden/>
          </w:rPr>
          <w:tab/>
        </w:r>
        <w:r w:rsidR="005D3ACE">
          <w:rPr>
            <w:webHidden/>
          </w:rPr>
          <w:fldChar w:fldCharType="begin"/>
        </w:r>
        <w:r w:rsidR="005D3ACE">
          <w:rPr>
            <w:webHidden/>
          </w:rPr>
          <w:instrText xml:space="preserve"> PAGEREF _Toc175904879 \h </w:instrText>
        </w:r>
        <w:r w:rsidR="005D3ACE">
          <w:rPr>
            <w:webHidden/>
          </w:rPr>
        </w:r>
        <w:r w:rsidR="005D3ACE">
          <w:rPr>
            <w:webHidden/>
          </w:rPr>
          <w:fldChar w:fldCharType="separate"/>
        </w:r>
        <w:r w:rsidR="005D3ACE">
          <w:rPr>
            <w:webHidden/>
          </w:rPr>
          <w:t>68</w:t>
        </w:r>
        <w:r w:rsidR="005D3ACE">
          <w:rPr>
            <w:webHidden/>
          </w:rPr>
          <w:fldChar w:fldCharType="end"/>
        </w:r>
      </w:hyperlink>
    </w:p>
    <w:p w14:paraId="593F3EAA" w14:textId="6DD11838" w:rsidR="005D3ACE" w:rsidRDefault="00C13262">
      <w:pPr>
        <w:pStyle w:val="TOC2"/>
        <w:rPr>
          <w:rFonts w:eastAsiaTheme="minorEastAsia" w:cstheme="minorBidi"/>
          <w:iCs w:val="0"/>
          <w:kern w:val="2"/>
          <w:sz w:val="24"/>
          <w:szCs w:val="24"/>
          <w14:ligatures w14:val="standardContextual"/>
        </w:rPr>
      </w:pPr>
      <w:hyperlink w:anchor="_Toc175904880" w:history="1">
        <w:r w:rsidR="005D3ACE" w:rsidRPr="001C0F8F">
          <w:rPr>
            <w:rStyle w:val="Hyperlink"/>
            <w:lang w:eastAsia="ja-JP"/>
          </w:rPr>
          <w:t>Market Characterization</w:t>
        </w:r>
        <w:r w:rsidR="005D3ACE">
          <w:rPr>
            <w:webHidden/>
          </w:rPr>
          <w:tab/>
        </w:r>
        <w:r w:rsidR="005D3ACE">
          <w:rPr>
            <w:webHidden/>
          </w:rPr>
          <w:fldChar w:fldCharType="begin"/>
        </w:r>
        <w:r w:rsidR="005D3ACE">
          <w:rPr>
            <w:webHidden/>
          </w:rPr>
          <w:instrText xml:space="preserve"> PAGEREF _Toc175904880 \h </w:instrText>
        </w:r>
        <w:r w:rsidR="005D3ACE">
          <w:rPr>
            <w:webHidden/>
          </w:rPr>
        </w:r>
        <w:r w:rsidR="005D3ACE">
          <w:rPr>
            <w:webHidden/>
          </w:rPr>
          <w:fldChar w:fldCharType="separate"/>
        </w:r>
        <w:r w:rsidR="005D3ACE">
          <w:rPr>
            <w:webHidden/>
          </w:rPr>
          <w:t>68</w:t>
        </w:r>
        <w:r w:rsidR="005D3ACE">
          <w:rPr>
            <w:webHidden/>
          </w:rPr>
          <w:fldChar w:fldCharType="end"/>
        </w:r>
      </w:hyperlink>
    </w:p>
    <w:p w14:paraId="6A53EE0D" w14:textId="38B33F1C" w:rsidR="005D3ACE" w:rsidRDefault="00C13262">
      <w:pPr>
        <w:pStyle w:val="TOC2"/>
        <w:rPr>
          <w:rFonts w:eastAsiaTheme="minorEastAsia" w:cstheme="minorBidi"/>
          <w:iCs w:val="0"/>
          <w:kern w:val="2"/>
          <w:sz w:val="24"/>
          <w:szCs w:val="24"/>
          <w14:ligatures w14:val="standardContextual"/>
        </w:rPr>
      </w:pPr>
      <w:hyperlink w:anchor="_Toc175904881" w:history="1">
        <w:r w:rsidR="005D3ACE" w:rsidRPr="001C0F8F">
          <w:rPr>
            <w:rStyle w:val="Hyperlink"/>
          </w:rPr>
          <w:t>Baseline Forecast</w:t>
        </w:r>
        <w:r w:rsidR="005D3ACE">
          <w:rPr>
            <w:webHidden/>
          </w:rPr>
          <w:tab/>
        </w:r>
        <w:r w:rsidR="005D3ACE">
          <w:rPr>
            <w:webHidden/>
          </w:rPr>
          <w:fldChar w:fldCharType="begin"/>
        </w:r>
        <w:r w:rsidR="005D3ACE">
          <w:rPr>
            <w:webHidden/>
          </w:rPr>
          <w:instrText xml:space="preserve"> PAGEREF _Toc175904881 \h </w:instrText>
        </w:r>
        <w:r w:rsidR="005D3ACE">
          <w:rPr>
            <w:webHidden/>
          </w:rPr>
        </w:r>
        <w:r w:rsidR="005D3ACE">
          <w:rPr>
            <w:webHidden/>
          </w:rPr>
          <w:fldChar w:fldCharType="separate"/>
        </w:r>
        <w:r w:rsidR="005D3ACE">
          <w:rPr>
            <w:webHidden/>
          </w:rPr>
          <w:t>69</w:t>
        </w:r>
        <w:r w:rsidR="005D3ACE">
          <w:rPr>
            <w:webHidden/>
          </w:rPr>
          <w:fldChar w:fldCharType="end"/>
        </w:r>
      </w:hyperlink>
    </w:p>
    <w:p w14:paraId="30E050F3" w14:textId="2B7D0DD3" w:rsidR="005D3ACE" w:rsidRDefault="00C13262">
      <w:pPr>
        <w:pStyle w:val="TOC3"/>
        <w:rPr>
          <w:rFonts w:eastAsiaTheme="minorEastAsia" w:cstheme="minorBidi"/>
          <w:iCs w:val="0"/>
          <w:kern w:val="2"/>
          <w:sz w:val="24"/>
          <w:szCs w:val="24"/>
          <w14:ligatures w14:val="standardContextual"/>
        </w:rPr>
      </w:pPr>
      <w:hyperlink w:anchor="_Toc175904882" w:history="1">
        <w:r w:rsidR="005D3ACE" w:rsidRPr="001C0F8F">
          <w:rPr>
            <w:rStyle w:val="Hyperlink"/>
          </w:rPr>
          <w:t>Customer Counts</w:t>
        </w:r>
        <w:r w:rsidR="005D3ACE">
          <w:rPr>
            <w:webHidden/>
          </w:rPr>
          <w:tab/>
        </w:r>
        <w:r w:rsidR="005D3ACE">
          <w:rPr>
            <w:webHidden/>
          </w:rPr>
          <w:fldChar w:fldCharType="begin"/>
        </w:r>
        <w:r w:rsidR="005D3ACE">
          <w:rPr>
            <w:webHidden/>
          </w:rPr>
          <w:instrText xml:space="preserve"> PAGEREF _Toc175904882 \h </w:instrText>
        </w:r>
        <w:r w:rsidR="005D3ACE">
          <w:rPr>
            <w:webHidden/>
          </w:rPr>
        </w:r>
        <w:r w:rsidR="005D3ACE">
          <w:rPr>
            <w:webHidden/>
          </w:rPr>
          <w:fldChar w:fldCharType="separate"/>
        </w:r>
        <w:r w:rsidR="005D3ACE">
          <w:rPr>
            <w:webHidden/>
          </w:rPr>
          <w:t>69</w:t>
        </w:r>
        <w:r w:rsidR="005D3ACE">
          <w:rPr>
            <w:webHidden/>
          </w:rPr>
          <w:fldChar w:fldCharType="end"/>
        </w:r>
      </w:hyperlink>
    </w:p>
    <w:p w14:paraId="288E4728" w14:textId="64EA74C9" w:rsidR="005D3ACE" w:rsidRDefault="00C13262">
      <w:pPr>
        <w:pStyle w:val="TOC3"/>
        <w:rPr>
          <w:rFonts w:eastAsiaTheme="minorEastAsia" w:cstheme="minorBidi"/>
          <w:iCs w:val="0"/>
          <w:kern w:val="2"/>
          <w:sz w:val="24"/>
          <w:szCs w:val="24"/>
          <w14:ligatures w14:val="standardContextual"/>
        </w:rPr>
      </w:pPr>
      <w:hyperlink w:anchor="_Toc175904883" w:history="1">
        <w:r w:rsidR="005D3ACE" w:rsidRPr="001C0F8F">
          <w:rPr>
            <w:rStyle w:val="Hyperlink"/>
          </w:rPr>
          <w:t>Summer and Winter Peak Load Forecasts by State</w:t>
        </w:r>
        <w:r w:rsidR="005D3ACE">
          <w:rPr>
            <w:webHidden/>
          </w:rPr>
          <w:tab/>
        </w:r>
        <w:r w:rsidR="005D3ACE">
          <w:rPr>
            <w:webHidden/>
          </w:rPr>
          <w:fldChar w:fldCharType="begin"/>
        </w:r>
        <w:r w:rsidR="005D3ACE">
          <w:rPr>
            <w:webHidden/>
          </w:rPr>
          <w:instrText xml:space="preserve"> PAGEREF _Toc175904883 \h </w:instrText>
        </w:r>
        <w:r w:rsidR="005D3ACE">
          <w:rPr>
            <w:webHidden/>
          </w:rPr>
        </w:r>
        <w:r w:rsidR="005D3ACE">
          <w:rPr>
            <w:webHidden/>
          </w:rPr>
          <w:fldChar w:fldCharType="separate"/>
        </w:r>
        <w:r w:rsidR="005D3ACE">
          <w:rPr>
            <w:webHidden/>
          </w:rPr>
          <w:t>70</w:t>
        </w:r>
        <w:r w:rsidR="005D3ACE">
          <w:rPr>
            <w:webHidden/>
          </w:rPr>
          <w:fldChar w:fldCharType="end"/>
        </w:r>
      </w:hyperlink>
    </w:p>
    <w:p w14:paraId="754C8AF1" w14:textId="75ED3A01" w:rsidR="005D3ACE" w:rsidRDefault="00C13262">
      <w:pPr>
        <w:pStyle w:val="TOC2"/>
        <w:rPr>
          <w:rFonts w:eastAsiaTheme="minorEastAsia" w:cstheme="minorBidi"/>
          <w:iCs w:val="0"/>
          <w:kern w:val="2"/>
          <w:sz w:val="24"/>
          <w:szCs w:val="24"/>
          <w14:ligatures w14:val="standardContextual"/>
        </w:rPr>
      </w:pPr>
      <w:hyperlink w:anchor="_Toc175904884" w:history="1">
        <w:r w:rsidR="005D3ACE" w:rsidRPr="001C0F8F">
          <w:rPr>
            <w:rStyle w:val="Hyperlink"/>
          </w:rPr>
          <w:t>Characterize Demand Response Program Options</w:t>
        </w:r>
        <w:r w:rsidR="005D3ACE">
          <w:rPr>
            <w:webHidden/>
          </w:rPr>
          <w:tab/>
        </w:r>
        <w:r w:rsidR="005D3ACE">
          <w:rPr>
            <w:webHidden/>
          </w:rPr>
          <w:fldChar w:fldCharType="begin"/>
        </w:r>
        <w:r w:rsidR="005D3ACE">
          <w:rPr>
            <w:webHidden/>
          </w:rPr>
          <w:instrText xml:space="preserve"> PAGEREF _Toc175904884 \h </w:instrText>
        </w:r>
        <w:r w:rsidR="005D3ACE">
          <w:rPr>
            <w:webHidden/>
          </w:rPr>
        </w:r>
        <w:r w:rsidR="005D3ACE">
          <w:rPr>
            <w:webHidden/>
          </w:rPr>
          <w:fldChar w:fldCharType="separate"/>
        </w:r>
        <w:r w:rsidR="005D3ACE">
          <w:rPr>
            <w:webHidden/>
          </w:rPr>
          <w:t>71</w:t>
        </w:r>
        <w:r w:rsidR="005D3ACE">
          <w:rPr>
            <w:webHidden/>
          </w:rPr>
          <w:fldChar w:fldCharType="end"/>
        </w:r>
      </w:hyperlink>
    </w:p>
    <w:p w14:paraId="147B2F59" w14:textId="39E6307C" w:rsidR="005D3ACE" w:rsidRDefault="00C13262">
      <w:pPr>
        <w:pStyle w:val="TOC3"/>
        <w:rPr>
          <w:rFonts w:eastAsiaTheme="minorEastAsia" w:cstheme="minorBidi"/>
          <w:iCs w:val="0"/>
          <w:kern w:val="2"/>
          <w:sz w:val="24"/>
          <w:szCs w:val="24"/>
          <w14:ligatures w14:val="standardContextual"/>
        </w:rPr>
      </w:pPr>
      <w:hyperlink w:anchor="_Toc175904885" w:history="1">
        <w:r w:rsidR="005D3ACE" w:rsidRPr="001C0F8F">
          <w:rPr>
            <w:rStyle w:val="Hyperlink"/>
          </w:rPr>
          <w:t>Program Descriptions</w:t>
        </w:r>
        <w:r w:rsidR="005D3ACE">
          <w:rPr>
            <w:webHidden/>
          </w:rPr>
          <w:tab/>
        </w:r>
        <w:r w:rsidR="005D3ACE">
          <w:rPr>
            <w:webHidden/>
          </w:rPr>
          <w:fldChar w:fldCharType="begin"/>
        </w:r>
        <w:r w:rsidR="005D3ACE">
          <w:rPr>
            <w:webHidden/>
          </w:rPr>
          <w:instrText xml:space="preserve"> PAGEREF _Toc175904885 \h </w:instrText>
        </w:r>
        <w:r w:rsidR="005D3ACE">
          <w:rPr>
            <w:webHidden/>
          </w:rPr>
        </w:r>
        <w:r w:rsidR="005D3ACE">
          <w:rPr>
            <w:webHidden/>
          </w:rPr>
          <w:fldChar w:fldCharType="separate"/>
        </w:r>
        <w:r w:rsidR="005D3ACE">
          <w:rPr>
            <w:webHidden/>
          </w:rPr>
          <w:t>72</w:t>
        </w:r>
        <w:r w:rsidR="005D3ACE">
          <w:rPr>
            <w:webHidden/>
          </w:rPr>
          <w:fldChar w:fldCharType="end"/>
        </w:r>
      </w:hyperlink>
    </w:p>
    <w:p w14:paraId="54D41D1B" w14:textId="3EEEE79A" w:rsidR="005D3ACE" w:rsidRDefault="00C13262">
      <w:pPr>
        <w:pStyle w:val="TOC3"/>
        <w:rPr>
          <w:rFonts w:eastAsiaTheme="minorEastAsia" w:cstheme="minorBidi"/>
          <w:iCs w:val="0"/>
          <w:kern w:val="2"/>
          <w:sz w:val="24"/>
          <w:szCs w:val="24"/>
          <w14:ligatures w14:val="standardContextual"/>
        </w:rPr>
      </w:pPr>
      <w:hyperlink w:anchor="_Toc175904886" w:history="1">
        <w:r w:rsidR="005D3ACE" w:rsidRPr="001C0F8F">
          <w:rPr>
            <w:rStyle w:val="Hyperlink"/>
          </w:rPr>
          <w:t>Program Assumptions and Characteristics</w:t>
        </w:r>
        <w:r w:rsidR="005D3ACE">
          <w:rPr>
            <w:webHidden/>
          </w:rPr>
          <w:tab/>
        </w:r>
        <w:r w:rsidR="005D3ACE">
          <w:rPr>
            <w:webHidden/>
          </w:rPr>
          <w:fldChar w:fldCharType="begin"/>
        </w:r>
        <w:r w:rsidR="005D3ACE">
          <w:rPr>
            <w:webHidden/>
          </w:rPr>
          <w:instrText xml:space="preserve"> PAGEREF _Toc175904886 \h </w:instrText>
        </w:r>
        <w:r w:rsidR="005D3ACE">
          <w:rPr>
            <w:webHidden/>
          </w:rPr>
        </w:r>
        <w:r w:rsidR="005D3ACE">
          <w:rPr>
            <w:webHidden/>
          </w:rPr>
          <w:fldChar w:fldCharType="separate"/>
        </w:r>
        <w:r w:rsidR="005D3ACE">
          <w:rPr>
            <w:webHidden/>
          </w:rPr>
          <w:t>75</w:t>
        </w:r>
        <w:r w:rsidR="005D3ACE">
          <w:rPr>
            <w:webHidden/>
          </w:rPr>
          <w:fldChar w:fldCharType="end"/>
        </w:r>
      </w:hyperlink>
    </w:p>
    <w:p w14:paraId="686D825A" w14:textId="21E0A43A" w:rsidR="005D3ACE" w:rsidRDefault="00C13262">
      <w:pPr>
        <w:pStyle w:val="TOC2"/>
        <w:rPr>
          <w:rFonts w:eastAsiaTheme="minorEastAsia" w:cstheme="minorBidi"/>
          <w:iCs w:val="0"/>
          <w:kern w:val="2"/>
          <w:sz w:val="24"/>
          <w:szCs w:val="24"/>
          <w14:ligatures w14:val="standardContextual"/>
        </w:rPr>
      </w:pPr>
      <w:hyperlink w:anchor="_Toc175904887" w:history="1">
        <w:r w:rsidR="005D3ACE" w:rsidRPr="001C0F8F">
          <w:rPr>
            <w:rStyle w:val="Hyperlink"/>
          </w:rPr>
          <w:t>Integrated DR Potential Results</w:t>
        </w:r>
        <w:r w:rsidR="005D3ACE">
          <w:rPr>
            <w:webHidden/>
          </w:rPr>
          <w:tab/>
        </w:r>
        <w:r w:rsidR="005D3ACE">
          <w:rPr>
            <w:webHidden/>
          </w:rPr>
          <w:fldChar w:fldCharType="begin"/>
        </w:r>
        <w:r w:rsidR="005D3ACE">
          <w:rPr>
            <w:webHidden/>
          </w:rPr>
          <w:instrText xml:space="preserve"> PAGEREF _Toc175904887 \h </w:instrText>
        </w:r>
        <w:r w:rsidR="005D3ACE">
          <w:rPr>
            <w:webHidden/>
          </w:rPr>
        </w:r>
        <w:r w:rsidR="005D3ACE">
          <w:rPr>
            <w:webHidden/>
          </w:rPr>
          <w:fldChar w:fldCharType="separate"/>
        </w:r>
        <w:r w:rsidR="005D3ACE">
          <w:rPr>
            <w:webHidden/>
          </w:rPr>
          <w:t>79</w:t>
        </w:r>
        <w:r w:rsidR="005D3ACE">
          <w:rPr>
            <w:webHidden/>
          </w:rPr>
          <w:fldChar w:fldCharType="end"/>
        </w:r>
      </w:hyperlink>
    </w:p>
    <w:p w14:paraId="4C2EA5F7" w14:textId="742579BF" w:rsidR="005D3ACE" w:rsidRDefault="00C13262">
      <w:pPr>
        <w:pStyle w:val="TOC3"/>
        <w:rPr>
          <w:rFonts w:eastAsiaTheme="minorEastAsia" w:cstheme="minorBidi"/>
          <w:iCs w:val="0"/>
          <w:kern w:val="2"/>
          <w:sz w:val="24"/>
          <w:szCs w:val="24"/>
          <w14:ligatures w14:val="standardContextual"/>
        </w:rPr>
      </w:pPr>
      <w:hyperlink w:anchor="_Toc175904888" w:history="1">
        <w:r w:rsidR="005D3ACE" w:rsidRPr="001C0F8F">
          <w:rPr>
            <w:rStyle w:val="Hyperlink"/>
          </w:rPr>
          <w:t>Summary TOU Opt-in Scenario</w:t>
        </w:r>
        <w:r w:rsidR="005D3ACE">
          <w:rPr>
            <w:webHidden/>
          </w:rPr>
          <w:tab/>
        </w:r>
        <w:r w:rsidR="005D3ACE">
          <w:rPr>
            <w:webHidden/>
          </w:rPr>
          <w:fldChar w:fldCharType="begin"/>
        </w:r>
        <w:r w:rsidR="005D3ACE">
          <w:rPr>
            <w:webHidden/>
          </w:rPr>
          <w:instrText xml:space="preserve"> PAGEREF _Toc175904888 \h </w:instrText>
        </w:r>
        <w:r w:rsidR="005D3ACE">
          <w:rPr>
            <w:webHidden/>
          </w:rPr>
        </w:r>
        <w:r w:rsidR="005D3ACE">
          <w:rPr>
            <w:webHidden/>
          </w:rPr>
          <w:fldChar w:fldCharType="separate"/>
        </w:r>
        <w:r w:rsidR="005D3ACE">
          <w:rPr>
            <w:webHidden/>
          </w:rPr>
          <w:t>79</w:t>
        </w:r>
        <w:r w:rsidR="005D3ACE">
          <w:rPr>
            <w:webHidden/>
          </w:rPr>
          <w:fldChar w:fldCharType="end"/>
        </w:r>
      </w:hyperlink>
    </w:p>
    <w:p w14:paraId="34A1C475" w14:textId="0435D5D5" w:rsidR="005D3ACE" w:rsidRDefault="00C13262">
      <w:pPr>
        <w:pStyle w:val="TOC3"/>
        <w:rPr>
          <w:rFonts w:eastAsiaTheme="minorEastAsia" w:cstheme="minorBidi"/>
          <w:iCs w:val="0"/>
          <w:kern w:val="2"/>
          <w:sz w:val="24"/>
          <w:szCs w:val="24"/>
          <w14:ligatures w14:val="standardContextual"/>
        </w:rPr>
      </w:pPr>
      <w:hyperlink w:anchor="_Toc175904889" w:history="1">
        <w:r w:rsidR="005D3ACE" w:rsidRPr="001C0F8F">
          <w:rPr>
            <w:rStyle w:val="Hyperlink"/>
          </w:rPr>
          <w:t>Summer Opt-in TOU Scenario</w:t>
        </w:r>
        <w:r w:rsidR="005D3ACE">
          <w:rPr>
            <w:webHidden/>
          </w:rPr>
          <w:tab/>
        </w:r>
        <w:r w:rsidR="005D3ACE">
          <w:rPr>
            <w:webHidden/>
          </w:rPr>
          <w:fldChar w:fldCharType="begin"/>
        </w:r>
        <w:r w:rsidR="005D3ACE">
          <w:rPr>
            <w:webHidden/>
          </w:rPr>
          <w:instrText xml:space="preserve"> PAGEREF _Toc175904889 \h </w:instrText>
        </w:r>
        <w:r w:rsidR="005D3ACE">
          <w:rPr>
            <w:webHidden/>
          </w:rPr>
        </w:r>
        <w:r w:rsidR="005D3ACE">
          <w:rPr>
            <w:webHidden/>
          </w:rPr>
          <w:fldChar w:fldCharType="separate"/>
        </w:r>
        <w:r w:rsidR="005D3ACE">
          <w:rPr>
            <w:webHidden/>
          </w:rPr>
          <w:t>80</w:t>
        </w:r>
        <w:r w:rsidR="005D3ACE">
          <w:rPr>
            <w:webHidden/>
          </w:rPr>
          <w:fldChar w:fldCharType="end"/>
        </w:r>
      </w:hyperlink>
    </w:p>
    <w:p w14:paraId="3CFA7A2C" w14:textId="689A2373" w:rsidR="005D3ACE" w:rsidRDefault="00C13262">
      <w:pPr>
        <w:pStyle w:val="TOC3"/>
        <w:rPr>
          <w:rFonts w:eastAsiaTheme="minorEastAsia" w:cstheme="minorBidi"/>
          <w:iCs w:val="0"/>
          <w:kern w:val="2"/>
          <w:sz w:val="24"/>
          <w:szCs w:val="24"/>
          <w14:ligatures w14:val="standardContextual"/>
        </w:rPr>
      </w:pPr>
      <w:hyperlink w:anchor="_Toc175904890" w:history="1">
        <w:r w:rsidR="005D3ACE" w:rsidRPr="001C0F8F">
          <w:rPr>
            <w:rStyle w:val="Hyperlink"/>
            <w:lang w:eastAsia="ja-JP"/>
          </w:rPr>
          <w:t>Winter Opt-in TOU Scenario</w:t>
        </w:r>
        <w:r w:rsidR="005D3ACE">
          <w:rPr>
            <w:webHidden/>
          </w:rPr>
          <w:tab/>
        </w:r>
        <w:r w:rsidR="005D3ACE">
          <w:rPr>
            <w:webHidden/>
          </w:rPr>
          <w:fldChar w:fldCharType="begin"/>
        </w:r>
        <w:r w:rsidR="005D3ACE">
          <w:rPr>
            <w:webHidden/>
          </w:rPr>
          <w:instrText xml:space="preserve"> PAGEREF _Toc175904890 \h </w:instrText>
        </w:r>
        <w:r w:rsidR="005D3ACE">
          <w:rPr>
            <w:webHidden/>
          </w:rPr>
        </w:r>
        <w:r w:rsidR="005D3ACE">
          <w:rPr>
            <w:webHidden/>
          </w:rPr>
          <w:fldChar w:fldCharType="separate"/>
        </w:r>
        <w:r w:rsidR="005D3ACE">
          <w:rPr>
            <w:webHidden/>
          </w:rPr>
          <w:t>83</w:t>
        </w:r>
        <w:r w:rsidR="005D3ACE">
          <w:rPr>
            <w:webHidden/>
          </w:rPr>
          <w:fldChar w:fldCharType="end"/>
        </w:r>
      </w:hyperlink>
    </w:p>
    <w:p w14:paraId="702DB044" w14:textId="170AD519" w:rsidR="005D3ACE" w:rsidRDefault="00C13262">
      <w:pPr>
        <w:pStyle w:val="TOC3"/>
        <w:rPr>
          <w:rFonts w:eastAsiaTheme="minorEastAsia" w:cstheme="minorBidi"/>
          <w:iCs w:val="0"/>
          <w:kern w:val="2"/>
          <w:sz w:val="24"/>
          <w:szCs w:val="24"/>
          <w14:ligatures w14:val="standardContextual"/>
        </w:rPr>
      </w:pPr>
      <w:hyperlink w:anchor="_Toc175904891" w:history="1">
        <w:r w:rsidR="005D3ACE" w:rsidRPr="001C0F8F">
          <w:rPr>
            <w:rStyle w:val="Hyperlink"/>
          </w:rPr>
          <w:t>Levelized Costs</w:t>
        </w:r>
        <w:r w:rsidR="005D3ACE">
          <w:rPr>
            <w:webHidden/>
          </w:rPr>
          <w:tab/>
        </w:r>
        <w:r w:rsidR="005D3ACE">
          <w:rPr>
            <w:webHidden/>
          </w:rPr>
          <w:fldChar w:fldCharType="begin"/>
        </w:r>
        <w:r w:rsidR="005D3ACE">
          <w:rPr>
            <w:webHidden/>
          </w:rPr>
          <w:instrText xml:space="preserve"> PAGEREF _Toc175904891 \h </w:instrText>
        </w:r>
        <w:r w:rsidR="005D3ACE">
          <w:rPr>
            <w:webHidden/>
          </w:rPr>
        </w:r>
        <w:r w:rsidR="005D3ACE">
          <w:rPr>
            <w:webHidden/>
          </w:rPr>
          <w:fldChar w:fldCharType="separate"/>
        </w:r>
        <w:r w:rsidR="005D3ACE">
          <w:rPr>
            <w:webHidden/>
          </w:rPr>
          <w:t>86</w:t>
        </w:r>
        <w:r w:rsidR="005D3ACE">
          <w:rPr>
            <w:webHidden/>
          </w:rPr>
          <w:fldChar w:fldCharType="end"/>
        </w:r>
      </w:hyperlink>
    </w:p>
    <w:p w14:paraId="4798D411" w14:textId="0256C399" w:rsidR="00317E3D" w:rsidRPr="00CD01A7" w:rsidRDefault="005D3ACE" w:rsidP="005005C3">
      <w:pPr>
        <w:pStyle w:val="AEGBody"/>
        <w:rPr>
          <w:rFonts w:eastAsiaTheme="minorEastAsia" w:cstheme="minorBidi"/>
          <w:noProof/>
          <w:kern w:val="2"/>
          <w:lang w:eastAsia="ja-JP"/>
        </w:rPr>
      </w:pPr>
      <w:r>
        <w:rPr>
          <w:rFonts w:eastAsiaTheme="minorEastAsia" w:cstheme="minorBidi"/>
          <w:b/>
          <w:iCs/>
          <w:noProof/>
          <w:kern w:val="2"/>
          <w:lang w:eastAsia="ja-JP"/>
        </w:rPr>
        <w:fldChar w:fldCharType="end"/>
      </w:r>
    </w:p>
    <w:p w14:paraId="4D0C5ABB" w14:textId="77777777" w:rsidR="00317E3D" w:rsidRDefault="00317E3D">
      <w:pPr>
        <w:spacing w:before="40" w:after="80"/>
        <w:ind w:left="576"/>
        <w:jc w:val="left"/>
        <w:rPr>
          <w:rFonts w:eastAsiaTheme="minorEastAsia" w:cstheme="minorBidi"/>
          <w:noProof/>
          <w:kern w:val="2"/>
          <w:lang w:eastAsia="ja-JP"/>
        </w:rPr>
      </w:pPr>
      <w:r w:rsidRPr="00CD01A7">
        <w:rPr>
          <w:rFonts w:eastAsiaTheme="minorEastAsia" w:cstheme="minorBidi"/>
          <w:noProof/>
          <w:kern w:val="2"/>
          <w:lang w:eastAsia="ja-JP"/>
        </w:rPr>
        <w:br w:type="page"/>
      </w:r>
    </w:p>
    <w:p w14:paraId="6ECFBC75" w14:textId="77777777" w:rsidR="009D0C31" w:rsidRPr="00FF4586" w:rsidRDefault="00257EA3" w:rsidP="00FF4586">
      <w:pPr>
        <w:pStyle w:val="TOCMainHeading"/>
      </w:pPr>
      <w:r w:rsidRPr="00FF4586">
        <w:lastRenderedPageBreak/>
        <w:t xml:space="preserve">List of </w:t>
      </w:r>
      <w:r w:rsidR="001C3662" w:rsidRPr="00FF4586">
        <w:t>Figures</w:t>
      </w:r>
    </w:p>
    <w:p w14:paraId="47BAFF30" w14:textId="2FFF4390" w:rsidR="009D0C31" w:rsidRDefault="00BD22FA">
      <w:pPr>
        <w:pStyle w:val="TableofFigures"/>
        <w:tabs>
          <w:tab w:val="right" w:leader="dot" w:pos="9170"/>
        </w:tabs>
        <w:rPr>
          <w:rFonts w:eastAsiaTheme="minorEastAsia" w:cstheme="minorBidi"/>
          <w:noProof/>
          <w:kern w:val="2"/>
          <w:sz w:val="24"/>
          <w:szCs w:val="24"/>
          <w14:ligatures w14:val="standardContextual"/>
        </w:rPr>
      </w:pPr>
      <w:r>
        <w:fldChar w:fldCharType="begin"/>
      </w:r>
      <w:r>
        <w:instrText xml:space="preserve"> TOC \h \z \c "Figure" </w:instrText>
      </w:r>
      <w:r>
        <w:fldChar w:fldCharType="separate"/>
      </w:r>
      <w:hyperlink w:anchor="_Toc175904420" w:history="1">
        <w:r w:rsidR="009D0C31" w:rsidRPr="004010A3">
          <w:rPr>
            <w:rStyle w:val="Hyperlink"/>
            <w:noProof/>
          </w:rPr>
          <w:t>Figure 2</w:t>
        </w:r>
        <w:r w:rsidR="009D0C31" w:rsidRPr="004010A3">
          <w:rPr>
            <w:rStyle w:val="Hyperlink"/>
            <w:noProof/>
          </w:rPr>
          <w:noBreakHyphen/>
          <w:t>1 LoadMAP Analysis Framework</w:t>
        </w:r>
        <w:r w:rsidR="009D0C31">
          <w:rPr>
            <w:noProof/>
            <w:webHidden/>
          </w:rPr>
          <w:tab/>
        </w:r>
        <w:r w:rsidR="009D0C31">
          <w:rPr>
            <w:noProof/>
            <w:webHidden/>
          </w:rPr>
          <w:fldChar w:fldCharType="begin"/>
        </w:r>
        <w:r w:rsidR="009D0C31">
          <w:rPr>
            <w:noProof/>
            <w:webHidden/>
          </w:rPr>
          <w:instrText xml:space="preserve"> PAGEREF _Toc175904420 \h </w:instrText>
        </w:r>
        <w:r w:rsidR="009D0C31">
          <w:rPr>
            <w:noProof/>
            <w:webHidden/>
          </w:rPr>
        </w:r>
        <w:r w:rsidR="009D0C31">
          <w:rPr>
            <w:noProof/>
            <w:webHidden/>
          </w:rPr>
          <w:fldChar w:fldCharType="separate"/>
        </w:r>
        <w:r w:rsidR="009D0C31">
          <w:rPr>
            <w:noProof/>
            <w:webHidden/>
          </w:rPr>
          <w:t>13</w:t>
        </w:r>
        <w:r w:rsidR="009D0C31">
          <w:rPr>
            <w:noProof/>
            <w:webHidden/>
          </w:rPr>
          <w:fldChar w:fldCharType="end"/>
        </w:r>
      </w:hyperlink>
    </w:p>
    <w:p w14:paraId="6BDCB77E" w14:textId="6A32E4EB"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1" w:history="1">
        <w:r w:rsidR="009D0C31" w:rsidRPr="004010A3">
          <w:rPr>
            <w:rStyle w:val="Hyperlink"/>
            <w:noProof/>
          </w:rPr>
          <w:t>Figure 2</w:t>
        </w:r>
        <w:r w:rsidR="009D0C31" w:rsidRPr="004010A3">
          <w:rPr>
            <w:rStyle w:val="Hyperlink"/>
            <w:noProof/>
          </w:rPr>
          <w:noBreakHyphen/>
          <w:t>2 Approach for Conservation Measure Assessment</w:t>
        </w:r>
        <w:r w:rsidR="009D0C31">
          <w:rPr>
            <w:noProof/>
            <w:webHidden/>
          </w:rPr>
          <w:tab/>
        </w:r>
        <w:r w:rsidR="009D0C31">
          <w:rPr>
            <w:noProof/>
            <w:webHidden/>
          </w:rPr>
          <w:fldChar w:fldCharType="begin"/>
        </w:r>
        <w:r w:rsidR="009D0C31">
          <w:rPr>
            <w:noProof/>
            <w:webHidden/>
          </w:rPr>
          <w:instrText xml:space="preserve"> PAGEREF _Toc175904421 \h </w:instrText>
        </w:r>
        <w:r w:rsidR="009D0C31">
          <w:rPr>
            <w:noProof/>
            <w:webHidden/>
          </w:rPr>
        </w:r>
        <w:r w:rsidR="009D0C31">
          <w:rPr>
            <w:noProof/>
            <w:webHidden/>
          </w:rPr>
          <w:fldChar w:fldCharType="separate"/>
        </w:r>
        <w:r w:rsidR="009D0C31">
          <w:rPr>
            <w:noProof/>
            <w:webHidden/>
          </w:rPr>
          <w:t>17</w:t>
        </w:r>
        <w:r w:rsidR="009D0C31">
          <w:rPr>
            <w:noProof/>
            <w:webHidden/>
          </w:rPr>
          <w:fldChar w:fldCharType="end"/>
        </w:r>
      </w:hyperlink>
    </w:p>
    <w:p w14:paraId="0D783B90" w14:textId="53580C1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2" w:history="1">
        <w:r w:rsidR="009D0C31" w:rsidRPr="004010A3">
          <w:rPr>
            <w:rStyle w:val="Hyperlink"/>
            <w:noProof/>
          </w:rPr>
          <w:t>Figure 3</w:t>
        </w:r>
        <w:r w:rsidR="009D0C31" w:rsidRPr="004010A3">
          <w:rPr>
            <w:rStyle w:val="Hyperlink"/>
            <w:noProof/>
          </w:rPr>
          <w:noBreakHyphen/>
          <w:t>1 Sector-Level Electricity Use in Base Year 2021, Washington</w:t>
        </w:r>
        <w:r w:rsidR="009D0C31">
          <w:rPr>
            <w:noProof/>
            <w:webHidden/>
          </w:rPr>
          <w:tab/>
        </w:r>
        <w:r w:rsidR="009D0C31">
          <w:rPr>
            <w:noProof/>
            <w:webHidden/>
          </w:rPr>
          <w:fldChar w:fldCharType="begin"/>
        </w:r>
        <w:r w:rsidR="009D0C31">
          <w:rPr>
            <w:noProof/>
            <w:webHidden/>
          </w:rPr>
          <w:instrText xml:space="preserve"> PAGEREF _Toc175904422 \h </w:instrText>
        </w:r>
        <w:r w:rsidR="009D0C31">
          <w:rPr>
            <w:noProof/>
            <w:webHidden/>
          </w:rPr>
        </w:r>
        <w:r w:rsidR="009D0C31">
          <w:rPr>
            <w:noProof/>
            <w:webHidden/>
          </w:rPr>
          <w:fldChar w:fldCharType="separate"/>
        </w:r>
        <w:r w:rsidR="009D0C31">
          <w:rPr>
            <w:noProof/>
            <w:webHidden/>
          </w:rPr>
          <w:t>27</w:t>
        </w:r>
        <w:r w:rsidR="009D0C31">
          <w:rPr>
            <w:noProof/>
            <w:webHidden/>
          </w:rPr>
          <w:fldChar w:fldCharType="end"/>
        </w:r>
      </w:hyperlink>
    </w:p>
    <w:p w14:paraId="5891AE3F" w14:textId="5CBB328A"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3" w:history="1">
        <w:r w:rsidR="009D0C31" w:rsidRPr="004010A3">
          <w:rPr>
            <w:rStyle w:val="Hyperlink"/>
            <w:noProof/>
          </w:rPr>
          <w:t>Figure 3</w:t>
        </w:r>
        <w:r w:rsidR="009D0C31" w:rsidRPr="004010A3">
          <w:rPr>
            <w:rStyle w:val="Hyperlink"/>
            <w:noProof/>
          </w:rPr>
          <w:noBreakHyphen/>
          <w:t>2 Sector-Level Electricity Use in Base Year 2021, Idaho</w:t>
        </w:r>
        <w:r w:rsidR="009D0C31">
          <w:rPr>
            <w:noProof/>
            <w:webHidden/>
          </w:rPr>
          <w:tab/>
        </w:r>
        <w:r w:rsidR="009D0C31">
          <w:rPr>
            <w:noProof/>
            <w:webHidden/>
          </w:rPr>
          <w:fldChar w:fldCharType="begin"/>
        </w:r>
        <w:r w:rsidR="009D0C31">
          <w:rPr>
            <w:noProof/>
            <w:webHidden/>
          </w:rPr>
          <w:instrText xml:space="preserve"> PAGEREF _Toc175904423 \h </w:instrText>
        </w:r>
        <w:r w:rsidR="009D0C31">
          <w:rPr>
            <w:noProof/>
            <w:webHidden/>
          </w:rPr>
        </w:r>
        <w:r w:rsidR="009D0C31">
          <w:rPr>
            <w:noProof/>
            <w:webHidden/>
          </w:rPr>
          <w:fldChar w:fldCharType="separate"/>
        </w:r>
        <w:r w:rsidR="009D0C31">
          <w:rPr>
            <w:noProof/>
            <w:webHidden/>
          </w:rPr>
          <w:t>28</w:t>
        </w:r>
        <w:r w:rsidR="009D0C31">
          <w:rPr>
            <w:noProof/>
            <w:webHidden/>
          </w:rPr>
          <w:fldChar w:fldCharType="end"/>
        </w:r>
      </w:hyperlink>
    </w:p>
    <w:p w14:paraId="67D683CC" w14:textId="379A37EB"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4" w:history="1">
        <w:r w:rsidR="009D0C31" w:rsidRPr="004010A3">
          <w:rPr>
            <w:rStyle w:val="Hyperlink"/>
            <w:noProof/>
          </w:rPr>
          <w:t>Figure 3</w:t>
        </w:r>
        <w:r w:rsidR="009D0C31" w:rsidRPr="004010A3">
          <w:rPr>
            <w:rStyle w:val="Hyperlink"/>
            <w:noProof/>
          </w:rPr>
          <w:noBreakHyphen/>
          <w:t>3 Residential Electricity Use and Winter Peak Demand by End Use, Washington</w:t>
        </w:r>
        <w:r w:rsidR="009D0C31">
          <w:rPr>
            <w:noProof/>
            <w:webHidden/>
          </w:rPr>
          <w:tab/>
        </w:r>
        <w:r w:rsidR="009D0C31">
          <w:rPr>
            <w:noProof/>
            <w:webHidden/>
          </w:rPr>
          <w:fldChar w:fldCharType="begin"/>
        </w:r>
        <w:r w:rsidR="009D0C31">
          <w:rPr>
            <w:noProof/>
            <w:webHidden/>
          </w:rPr>
          <w:instrText xml:space="preserve"> PAGEREF _Toc175904424 \h </w:instrText>
        </w:r>
        <w:r w:rsidR="009D0C31">
          <w:rPr>
            <w:noProof/>
            <w:webHidden/>
          </w:rPr>
        </w:r>
        <w:r w:rsidR="009D0C31">
          <w:rPr>
            <w:noProof/>
            <w:webHidden/>
          </w:rPr>
          <w:fldChar w:fldCharType="separate"/>
        </w:r>
        <w:r w:rsidR="009D0C31">
          <w:rPr>
            <w:noProof/>
            <w:webHidden/>
          </w:rPr>
          <w:t>30</w:t>
        </w:r>
        <w:r w:rsidR="009D0C31">
          <w:rPr>
            <w:noProof/>
            <w:webHidden/>
          </w:rPr>
          <w:fldChar w:fldCharType="end"/>
        </w:r>
      </w:hyperlink>
    </w:p>
    <w:p w14:paraId="2B8B0BF1" w14:textId="5112D3E2"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5" w:history="1">
        <w:r w:rsidR="009D0C31" w:rsidRPr="004010A3">
          <w:rPr>
            <w:rStyle w:val="Hyperlink"/>
            <w:noProof/>
          </w:rPr>
          <w:t>Figure 3</w:t>
        </w:r>
        <w:r w:rsidR="009D0C31" w:rsidRPr="004010A3">
          <w:rPr>
            <w:rStyle w:val="Hyperlink"/>
            <w:noProof/>
          </w:rPr>
          <w:noBreakHyphen/>
          <w:t>4 Residential Electricity Use and Winter Peak Demand by End Use, Idaho</w:t>
        </w:r>
        <w:r w:rsidR="009D0C31">
          <w:rPr>
            <w:noProof/>
            <w:webHidden/>
          </w:rPr>
          <w:tab/>
        </w:r>
        <w:r w:rsidR="009D0C31">
          <w:rPr>
            <w:noProof/>
            <w:webHidden/>
          </w:rPr>
          <w:fldChar w:fldCharType="begin"/>
        </w:r>
        <w:r w:rsidR="009D0C31">
          <w:rPr>
            <w:noProof/>
            <w:webHidden/>
          </w:rPr>
          <w:instrText xml:space="preserve"> PAGEREF _Toc175904425 \h </w:instrText>
        </w:r>
        <w:r w:rsidR="009D0C31">
          <w:rPr>
            <w:noProof/>
            <w:webHidden/>
          </w:rPr>
        </w:r>
        <w:r w:rsidR="009D0C31">
          <w:rPr>
            <w:noProof/>
            <w:webHidden/>
          </w:rPr>
          <w:fldChar w:fldCharType="separate"/>
        </w:r>
        <w:r w:rsidR="009D0C31">
          <w:rPr>
            <w:noProof/>
            <w:webHidden/>
          </w:rPr>
          <w:t>30</w:t>
        </w:r>
        <w:r w:rsidR="009D0C31">
          <w:rPr>
            <w:noProof/>
            <w:webHidden/>
          </w:rPr>
          <w:fldChar w:fldCharType="end"/>
        </w:r>
      </w:hyperlink>
    </w:p>
    <w:p w14:paraId="1055E66F" w14:textId="50550519"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6" w:history="1">
        <w:r w:rsidR="009D0C31" w:rsidRPr="004010A3">
          <w:rPr>
            <w:rStyle w:val="Hyperlink"/>
            <w:noProof/>
          </w:rPr>
          <w:t>Figure 3</w:t>
        </w:r>
        <w:r w:rsidR="009D0C31" w:rsidRPr="004010A3">
          <w:rPr>
            <w:rStyle w:val="Hyperlink"/>
            <w:noProof/>
          </w:rPr>
          <w:noBreakHyphen/>
          <w:t>5 Residential Intensity by End Use and Segment, Washington</w:t>
        </w:r>
        <w:r w:rsidR="009D0C31">
          <w:rPr>
            <w:noProof/>
            <w:webHidden/>
          </w:rPr>
          <w:tab/>
        </w:r>
        <w:r w:rsidR="009D0C31">
          <w:rPr>
            <w:noProof/>
            <w:webHidden/>
          </w:rPr>
          <w:fldChar w:fldCharType="begin"/>
        </w:r>
        <w:r w:rsidR="009D0C31">
          <w:rPr>
            <w:noProof/>
            <w:webHidden/>
          </w:rPr>
          <w:instrText xml:space="preserve"> PAGEREF _Toc175904426 \h </w:instrText>
        </w:r>
        <w:r w:rsidR="009D0C31">
          <w:rPr>
            <w:noProof/>
            <w:webHidden/>
          </w:rPr>
        </w:r>
        <w:r w:rsidR="009D0C31">
          <w:rPr>
            <w:noProof/>
            <w:webHidden/>
          </w:rPr>
          <w:fldChar w:fldCharType="separate"/>
        </w:r>
        <w:r w:rsidR="009D0C31">
          <w:rPr>
            <w:noProof/>
            <w:webHidden/>
          </w:rPr>
          <w:t>31</w:t>
        </w:r>
        <w:r w:rsidR="009D0C31">
          <w:rPr>
            <w:noProof/>
            <w:webHidden/>
          </w:rPr>
          <w:fldChar w:fldCharType="end"/>
        </w:r>
      </w:hyperlink>
    </w:p>
    <w:p w14:paraId="4A75E78C" w14:textId="62C5D61E"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7" w:history="1">
        <w:r w:rsidR="009D0C31" w:rsidRPr="004010A3">
          <w:rPr>
            <w:rStyle w:val="Hyperlink"/>
            <w:noProof/>
          </w:rPr>
          <w:t>Figure 3</w:t>
        </w:r>
        <w:r w:rsidR="009D0C31" w:rsidRPr="004010A3">
          <w:rPr>
            <w:rStyle w:val="Hyperlink"/>
            <w:noProof/>
          </w:rPr>
          <w:noBreakHyphen/>
          <w:t>6 Residential Intensity by End Use and Segment, Idaho</w:t>
        </w:r>
        <w:r w:rsidR="009D0C31">
          <w:rPr>
            <w:noProof/>
            <w:webHidden/>
          </w:rPr>
          <w:tab/>
        </w:r>
        <w:r w:rsidR="009D0C31">
          <w:rPr>
            <w:noProof/>
            <w:webHidden/>
          </w:rPr>
          <w:fldChar w:fldCharType="begin"/>
        </w:r>
        <w:r w:rsidR="009D0C31">
          <w:rPr>
            <w:noProof/>
            <w:webHidden/>
          </w:rPr>
          <w:instrText xml:space="preserve"> PAGEREF _Toc175904427 \h </w:instrText>
        </w:r>
        <w:r w:rsidR="009D0C31">
          <w:rPr>
            <w:noProof/>
            <w:webHidden/>
          </w:rPr>
        </w:r>
        <w:r w:rsidR="009D0C31">
          <w:rPr>
            <w:noProof/>
            <w:webHidden/>
          </w:rPr>
          <w:fldChar w:fldCharType="separate"/>
        </w:r>
        <w:r w:rsidR="009D0C31">
          <w:rPr>
            <w:noProof/>
            <w:webHidden/>
          </w:rPr>
          <w:t>31</w:t>
        </w:r>
        <w:r w:rsidR="009D0C31">
          <w:rPr>
            <w:noProof/>
            <w:webHidden/>
          </w:rPr>
          <w:fldChar w:fldCharType="end"/>
        </w:r>
      </w:hyperlink>
    </w:p>
    <w:p w14:paraId="2840BAAE" w14:textId="046EA5C7"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8" w:history="1">
        <w:r w:rsidR="009D0C31" w:rsidRPr="004010A3">
          <w:rPr>
            <w:rStyle w:val="Hyperlink"/>
            <w:noProof/>
          </w:rPr>
          <w:t>Figure 3</w:t>
        </w:r>
        <w:r w:rsidR="009D0C31" w:rsidRPr="004010A3">
          <w:rPr>
            <w:rStyle w:val="Hyperlink"/>
            <w:noProof/>
          </w:rPr>
          <w:noBreakHyphen/>
          <w:t>7 Commercial Electricity Use and Winter Peak Demand by End Use, Washington</w:t>
        </w:r>
        <w:r w:rsidR="009D0C31">
          <w:rPr>
            <w:noProof/>
            <w:webHidden/>
          </w:rPr>
          <w:tab/>
        </w:r>
        <w:r w:rsidR="009D0C31">
          <w:rPr>
            <w:noProof/>
            <w:webHidden/>
          </w:rPr>
          <w:fldChar w:fldCharType="begin"/>
        </w:r>
        <w:r w:rsidR="009D0C31">
          <w:rPr>
            <w:noProof/>
            <w:webHidden/>
          </w:rPr>
          <w:instrText xml:space="preserve"> PAGEREF _Toc175904428 \h </w:instrText>
        </w:r>
        <w:r w:rsidR="009D0C31">
          <w:rPr>
            <w:noProof/>
            <w:webHidden/>
          </w:rPr>
        </w:r>
        <w:r w:rsidR="009D0C31">
          <w:rPr>
            <w:noProof/>
            <w:webHidden/>
          </w:rPr>
          <w:fldChar w:fldCharType="separate"/>
        </w:r>
        <w:r w:rsidR="009D0C31">
          <w:rPr>
            <w:noProof/>
            <w:webHidden/>
          </w:rPr>
          <w:t>33</w:t>
        </w:r>
        <w:r w:rsidR="009D0C31">
          <w:rPr>
            <w:noProof/>
            <w:webHidden/>
          </w:rPr>
          <w:fldChar w:fldCharType="end"/>
        </w:r>
      </w:hyperlink>
    </w:p>
    <w:p w14:paraId="5646705D" w14:textId="2E96E4F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29" w:history="1">
        <w:r w:rsidR="009D0C31" w:rsidRPr="004010A3">
          <w:rPr>
            <w:rStyle w:val="Hyperlink"/>
            <w:noProof/>
          </w:rPr>
          <w:t>Figure 3</w:t>
        </w:r>
        <w:r w:rsidR="009D0C31" w:rsidRPr="004010A3">
          <w:rPr>
            <w:rStyle w:val="Hyperlink"/>
            <w:noProof/>
          </w:rPr>
          <w:noBreakHyphen/>
          <w:t>8 Commercial Electricity Use and Winter Peak Demand by End Use, Idaho</w:t>
        </w:r>
        <w:r w:rsidR="009D0C31">
          <w:rPr>
            <w:noProof/>
            <w:webHidden/>
          </w:rPr>
          <w:tab/>
        </w:r>
        <w:r w:rsidR="009D0C31">
          <w:rPr>
            <w:noProof/>
            <w:webHidden/>
          </w:rPr>
          <w:fldChar w:fldCharType="begin"/>
        </w:r>
        <w:r w:rsidR="009D0C31">
          <w:rPr>
            <w:noProof/>
            <w:webHidden/>
          </w:rPr>
          <w:instrText xml:space="preserve"> PAGEREF _Toc175904429 \h </w:instrText>
        </w:r>
        <w:r w:rsidR="009D0C31">
          <w:rPr>
            <w:noProof/>
            <w:webHidden/>
          </w:rPr>
        </w:r>
        <w:r w:rsidR="009D0C31">
          <w:rPr>
            <w:noProof/>
            <w:webHidden/>
          </w:rPr>
          <w:fldChar w:fldCharType="separate"/>
        </w:r>
        <w:r w:rsidR="009D0C31">
          <w:rPr>
            <w:noProof/>
            <w:webHidden/>
          </w:rPr>
          <w:t>33</w:t>
        </w:r>
        <w:r w:rsidR="009D0C31">
          <w:rPr>
            <w:noProof/>
            <w:webHidden/>
          </w:rPr>
          <w:fldChar w:fldCharType="end"/>
        </w:r>
      </w:hyperlink>
    </w:p>
    <w:p w14:paraId="675180BE" w14:textId="5A07B5E1"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0" w:history="1">
        <w:r w:rsidR="009D0C31" w:rsidRPr="004010A3">
          <w:rPr>
            <w:rStyle w:val="Hyperlink"/>
            <w:noProof/>
          </w:rPr>
          <w:t>Figure 3</w:t>
        </w:r>
        <w:r w:rsidR="009D0C31" w:rsidRPr="004010A3">
          <w:rPr>
            <w:rStyle w:val="Hyperlink"/>
            <w:noProof/>
          </w:rPr>
          <w:noBreakHyphen/>
          <w:t>9 Commercial Electric Intensity by End Use and Segment, Washington</w:t>
        </w:r>
        <w:r w:rsidR="009D0C31">
          <w:rPr>
            <w:noProof/>
            <w:webHidden/>
          </w:rPr>
          <w:tab/>
        </w:r>
        <w:r w:rsidR="009D0C31">
          <w:rPr>
            <w:noProof/>
            <w:webHidden/>
          </w:rPr>
          <w:fldChar w:fldCharType="begin"/>
        </w:r>
        <w:r w:rsidR="009D0C31">
          <w:rPr>
            <w:noProof/>
            <w:webHidden/>
          </w:rPr>
          <w:instrText xml:space="preserve"> PAGEREF _Toc175904430 \h </w:instrText>
        </w:r>
        <w:r w:rsidR="009D0C31">
          <w:rPr>
            <w:noProof/>
            <w:webHidden/>
          </w:rPr>
        </w:r>
        <w:r w:rsidR="009D0C31">
          <w:rPr>
            <w:noProof/>
            <w:webHidden/>
          </w:rPr>
          <w:fldChar w:fldCharType="separate"/>
        </w:r>
        <w:r w:rsidR="009D0C31">
          <w:rPr>
            <w:noProof/>
            <w:webHidden/>
          </w:rPr>
          <w:t>34</w:t>
        </w:r>
        <w:r w:rsidR="009D0C31">
          <w:rPr>
            <w:noProof/>
            <w:webHidden/>
          </w:rPr>
          <w:fldChar w:fldCharType="end"/>
        </w:r>
      </w:hyperlink>
    </w:p>
    <w:p w14:paraId="3CC4D483" w14:textId="2846D234"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1" w:history="1">
        <w:r w:rsidR="009D0C31" w:rsidRPr="004010A3">
          <w:rPr>
            <w:rStyle w:val="Hyperlink"/>
            <w:noProof/>
          </w:rPr>
          <w:t>Figure 3</w:t>
        </w:r>
        <w:r w:rsidR="009D0C31" w:rsidRPr="004010A3">
          <w:rPr>
            <w:rStyle w:val="Hyperlink"/>
            <w:noProof/>
          </w:rPr>
          <w:noBreakHyphen/>
          <w:t>10 Commercial Electric Intensity by End Use and Segment, Idaho</w:t>
        </w:r>
        <w:r w:rsidR="009D0C31">
          <w:rPr>
            <w:noProof/>
            <w:webHidden/>
          </w:rPr>
          <w:tab/>
        </w:r>
        <w:r w:rsidR="009D0C31">
          <w:rPr>
            <w:noProof/>
            <w:webHidden/>
          </w:rPr>
          <w:fldChar w:fldCharType="begin"/>
        </w:r>
        <w:r w:rsidR="009D0C31">
          <w:rPr>
            <w:noProof/>
            <w:webHidden/>
          </w:rPr>
          <w:instrText xml:space="preserve"> PAGEREF _Toc175904431 \h </w:instrText>
        </w:r>
        <w:r w:rsidR="009D0C31">
          <w:rPr>
            <w:noProof/>
            <w:webHidden/>
          </w:rPr>
        </w:r>
        <w:r w:rsidR="009D0C31">
          <w:rPr>
            <w:noProof/>
            <w:webHidden/>
          </w:rPr>
          <w:fldChar w:fldCharType="separate"/>
        </w:r>
        <w:r w:rsidR="009D0C31">
          <w:rPr>
            <w:noProof/>
            <w:webHidden/>
          </w:rPr>
          <w:t>34</w:t>
        </w:r>
        <w:r w:rsidR="009D0C31">
          <w:rPr>
            <w:noProof/>
            <w:webHidden/>
          </w:rPr>
          <w:fldChar w:fldCharType="end"/>
        </w:r>
      </w:hyperlink>
    </w:p>
    <w:p w14:paraId="6619771C" w14:textId="7DDF76B2"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2" w:history="1">
        <w:r w:rsidR="009D0C31" w:rsidRPr="004010A3">
          <w:rPr>
            <w:rStyle w:val="Hyperlink"/>
            <w:noProof/>
          </w:rPr>
          <w:t>Figure 3</w:t>
        </w:r>
        <w:r w:rsidR="009D0C31" w:rsidRPr="004010A3">
          <w:rPr>
            <w:rStyle w:val="Hyperlink"/>
            <w:noProof/>
          </w:rPr>
          <w:noBreakHyphen/>
          <w:t>11 Industrial Electricity Use and Winter Peak Demand by End Use, All Industries, Washington</w:t>
        </w:r>
        <w:r w:rsidR="009D0C31">
          <w:rPr>
            <w:noProof/>
            <w:webHidden/>
          </w:rPr>
          <w:tab/>
        </w:r>
        <w:r w:rsidR="009D0C31">
          <w:rPr>
            <w:noProof/>
            <w:webHidden/>
          </w:rPr>
          <w:fldChar w:fldCharType="begin"/>
        </w:r>
        <w:r w:rsidR="009D0C31">
          <w:rPr>
            <w:noProof/>
            <w:webHidden/>
          </w:rPr>
          <w:instrText xml:space="preserve"> PAGEREF _Toc175904432 \h </w:instrText>
        </w:r>
        <w:r w:rsidR="009D0C31">
          <w:rPr>
            <w:noProof/>
            <w:webHidden/>
          </w:rPr>
        </w:r>
        <w:r w:rsidR="009D0C31">
          <w:rPr>
            <w:noProof/>
            <w:webHidden/>
          </w:rPr>
          <w:fldChar w:fldCharType="separate"/>
        </w:r>
        <w:r w:rsidR="009D0C31">
          <w:rPr>
            <w:noProof/>
            <w:webHidden/>
          </w:rPr>
          <w:t>35</w:t>
        </w:r>
        <w:r w:rsidR="009D0C31">
          <w:rPr>
            <w:noProof/>
            <w:webHidden/>
          </w:rPr>
          <w:fldChar w:fldCharType="end"/>
        </w:r>
      </w:hyperlink>
    </w:p>
    <w:p w14:paraId="79FB5EFC" w14:textId="76BC7011"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3" w:history="1">
        <w:r w:rsidR="009D0C31" w:rsidRPr="004010A3">
          <w:rPr>
            <w:rStyle w:val="Hyperlink"/>
            <w:noProof/>
          </w:rPr>
          <w:t>Figure 3</w:t>
        </w:r>
        <w:r w:rsidR="009D0C31" w:rsidRPr="004010A3">
          <w:rPr>
            <w:rStyle w:val="Hyperlink"/>
            <w:noProof/>
          </w:rPr>
          <w:noBreakHyphen/>
          <w:t>12 Industrial Electricity Use and Winter Peak Demand by End Use, All Industries, Idaho</w:t>
        </w:r>
        <w:r w:rsidR="009D0C31">
          <w:rPr>
            <w:noProof/>
            <w:webHidden/>
          </w:rPr>
          <w:tab/>
        </w:r>
        <w:r w:rsidR="009D0C31">
          <w:rPr>
            <w:noProof/>
            <w:webHidden/>
          </w:rPr>
          <w:fldChar w:fldCharType="begin"/>
        </w:r>
        <w:r w:rsidR="009D0C31">
          <w:rPr>
            <w:noProof/>
            <w:webHidden/>
          </w:rPr>
          <w:instrText xml:space="preserve"> PAGEREF _Toc175904433 \h </w:instrText>
        </w:r>
        <w:r w:rsidR="009D0C31">
          <w:rPr>
            <w:noProof/>
            <w:webHidden/>
          </w:rPr>
        </w:r>
        <w:r w:rsidR="009D0C31">
          <w:rPr>
            <w:noProof/>
            <w:webHidden/>
          </w:rPr>
          <w:fldChar w:fldCharType="separate"/>
        </w:r>
        <w:r w:rsidR="009D0C31">
          <w:rPr>
            <w:noProof/>
            <w:webHidden/>
          </w:rPr>
          <w:t>36</w:t>
        </w:r>
        <w:r w:rsidR="009D0C31">
          <w:rPr>
            <w:noProof/>
            <w:webHidden/>
          </w:rPr>
          <w:fldChar w:fldCharType="end"/>
        </w:r>
      </w:hyperlink>
    </w:p>
    <w:p w14:paraId="3B77E661" w14:textId="66DB442C"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4" w:history="1">
        <w:r w:rsidR="009D0C31" w:rsidRPr="004010A3">
          <w:rPr>
            <w:rStyle w:val="Hyperlink"/>
            <w:noProof/>
          </w:rPr>
          <w:t>Figure 4</w:t>
        </w:r>
        <w:r w:rsidR="009D0C31" w:rsidRPr="004010A3">
          <w:rPr>
            <w:rStyle w:val="Hyperlink"/>
            <w:noProof/>
          </w:rPr>
          <w:noBreakHyphen/>
          <w:t>1 Residential Baseline Projection by End Use, Washington</w:t>
        </w:r>
        <w:r w:rsidR="009D0C31">
          <w:rPr>
            <w:noProof/>
            <w:webHidden/>
          </w:rPr>
          <w:tab/>
        </w:r>
        <w:r w:rsidR="009D0C31">
          <w:rPr>
            <w:noProof/>
            <w:webHidden/>
          </w:rPr>
          <w:fldChar w:fldCharType="begin"/>
        </w:r>
        <w:r w:rsidR="009D0C31">
          <w:rPr>
            <w:noProof/>
            <w:webHidden/>
          </w:rPr>
          <w:instrText xml:space="preserve"> PAGEREF _Toc175904434 \h </w:instrText>
        </w:r>
        <w:r w:rsidR="009D0C31">
          <w:rPr>
            <w:noProof/>
            <w:webHidden/>
          </w:rPr>
        </w:r>
        <w:r w:rsidR="009D0C31">
          <w:rPr>
            <w:noProof/>
            <w:webHidden/>
          </w:rPr>
          <w:fldChar w:fldCharType="separate"/>
        </w:r>
        <w:r w:rsidR="009D0C31">
          <w:rPr>
            <w:noProof/>
            <w:webHidden/>
          </w:rPr>
          <w:t>38</w:t>
        </w:r>
        <w:r w:rsidR="009D0C31">
          <w:rPr>
            <w:noProof/>
            <w:webHidden/>
          </w:rPr>
          <w:fldChar w:fldCharType="end"/>
        </w:r>
      </w:hyperlink>
    </w:p>
    <w:p w14:paraId="01CDE265" w14:textId="2DEF6137"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5" w:history="1">
        <w:r w:rsidR="009D0C31" w:rsidRPr="004010A3">
          <w:rPr>
            <w:rStyle w:val="Hyperlink"/>
            <w:noProof/>
          </w:rPr>
          <w:t>Figure 4</w:t>
        </w:r>
        <w:r w:rsidR="009D0C31" w:rsidRPr="004010A3">
          <w:rPr>
            <w:rStyle w:val="Hyperlink"/>
            <w:noProof/>
          </w:rPr>
          <w:noBreakHyphen/>
          <w:t>2 Residential Baseline Projection by End Use - Annual Per Household, Washington</w:t>
        </w:r>
        <w:r w:rsidR="009D0C31">
          <w:rPr>
            <w:noProof/>
            <w:webHidden/>
          </w:rPr>
          <w:tab/>
        </w:r>
        <w:r w:rsidR="009D0C31">
          <w:rPr>
            <w:noProof/>
            <w:webHidden/>
          </w:rPr>
          <w:fldChar w:fldCharType="begin"/>
        </w:r>
        <w:r w:rsidR="009D0C31">
          <w:rPr>
            <w:noProof/>
            <w:webHidden/>
          </w:rPr>
          <w:instrText xml:space="preserve"> PAGEREF _Toc175904435 \h </w:instrText>
        </w:r>
        <w:r w:rsidR="009D0C31">
          <w:rPr>
            <w:noProof/>
            <w:webHidden/>
          </w:rPr>
        </w:r>
        <w:r w:rsidR="009D0C31">
          <w:rPr>
            <w:noProof/>
            <w:webHidden/>
          </w:rPr>
          <w:fldChar w:fldCharType="separate"/>
        </w:r>
        <w:r w:rsidR="009D0C31">
          <w:rPr>
            <w:noProof/>
            <w:webHidden/>
          </w:rPr>
          <w:t>39</w:t>
        </w:r>
        <w:r w:rsidR="009D0C31">
          <w:rPr>
            <w:noProof/>
            <w:webHidden/>
          </w:rPr>
          <w:fldChar w:fldCharType="end"/>
        </w:r>
      </w:hyperlink>
    </w:p>
    <w:p w14:paraId="5272F749" w14:textId="1405B7FB"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6" w:history="1">
        <w:r w:rsidR="009D0C31" w:rsidRPr="004010A3">
          <w:rPr>
            <w:rStyle w:val="Hyperlink"/>
            <w:noProof/>
          </w:rPr>
          <w:t>Figure 4</w:t>
        </w:r>
        <w:r w:rsidR="009D0C31" w:rsidRPr="004010A3">
          <w:rPr>
            <w:rStyle w:val="Hyperlink"/>
            <w:noProof/>
          </w:rPr>
          <w:noBreakHyphen/>
          <w:t>3 Residential Baseline Projection by End Use, Idaho</w:t>
        </w:r>
        <w:r w:rsidR="009D0C31">
          <w:rPr>
            <w:noProof/>
            <w:webHidden/>
          </w:rPr>
          <w:tab/>
        </w:r>
        <w:r w:rsidR="009D0C31">
          <w:rPr>
            <w:noProof/>
            <w:webHidden/>
          </w:rPr>
          <w:fldChar w:fldCharType="begin"/>
        </w:r>
        <w:r w:rsidR="009D0C31">
          <w:rPr>
            <w:noProof/>
            <w:webHidden/>
          </w:rPr>
          <w:instrText xml:space="preserve"> PAGEREF _Toc175904436 \h </w:instrText>
        </w:r>
        <w:r w:rsidR="009D0C31">
          <w:rPr>
            <w:noProof/>
            <w:webHidden/>
          </w:rPr>
        </w:r>
        <w:r w:rsidR="009D0C31">
          <w:rPr>
            <w:noProof/>
            <w:webHidden/>
          </w:rPr>
          <w:fldChar w:fldCharType="separate"/>
        </w:r>
        <w:r w:rsidR="009D0C31">
          <w:rPr>
            <w:noProof/>
            <w:webHidden/>
          </w:rPr>
          <w:t>40</w:t>
        </w:r>
        <w:r w:rsidR="009D0C31">
          <w:rPr>
            <w:noProof/>
            <w:webHidden/>
          </w:rPr>
          <w:fldChar w:fldCharType="end"/>
        </w:r>
      </w:hyperlink>
    </w:p>
    <w:p w14:paraId="1F858703" w14:textId="4B45E5B4"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7" w:history="1">
        <w:r w:rsidR="009D0C31" w:rsidRPr="004010A3">
          <w:rPr>
            <w:rStyle w:val="Hyperlink"/>
            <w:noProof/>
          </w:rPr>
          <w:t>Figure 4</w:t>
        </w:r>
        <w:r w:rsidR="009D0C31" w:rsidRPr="004010A3">
          <w:rPr>
            <w:rStyle w:val="Hyperlink"/>
            <w:noProof/>
          </w:rPr>
          <w:noBreakHyphen/>
          <w:t>4 Residential Baseline Projection by End Use - Annual Per Household, Idaho</w:t>
        </w:r>
        <w:r w:rsidR="009D0C31">
          <w:rPr>
            <w:noProof/>
            <w:webHidden/>
          </w:rPr>
          <w:tab/>
        </w:r>
        <w:r w:rsidR="009D0C31">
          <w:rPr>
            <w:noProof/>
            <w:webHidden/>
          </w:rPr>
          <w:fldChar w:fldCharType="begin"/>
        </w:r>
        <w:r w:rsidR="009D0C31">
          <w:rPr>
            <w:noProof/>
            <w:webHidden/>
          </w:rPr>
          <w:instrText xml:space="preserve"> PAGEREF _Toc175904437 \h </w:instrText>
        </w:r>
        <w:r w:rsidR="009D0C31">
          <w:rPr>
            <w:noProof/>
            <w:webHidden/>
          </w:rPr>
        </w:r>
        <w:r w:rsidR="009D0C31">
          <w:rPr>
            <w:noProof/>
            <w:webHidden/>
          </w:rPr>
          <w:fldChar w:fldCharType="separate"/>
        </w:r>
        <w:r w:rsidR="009D0C31">
          <w:rPr>
            <w:noProof/>
            <w:webHidden/>
          </w:rPr>
          <w:t>40</w:t>
        </w:r>
        <w:r w:rsidR="009D0C31">
          <w:rPr>
            <w:noProof/>
            <w:webHidden/>
          </w:rPr>
          <w:fldChar w:fldCharType="end"/>
        </w:r>
      </w:hyperlink>
    </w:p>
    <w:p w14:paraId="60994040" w14:textId="1795BFAB"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8" w:history="1">
        <w:r w:rsidR="009D0C31" w:rsidRPr="004010A3">
          <w:rPr>
            <w:rStyle w:val="Hyperlink"/>
            <w:noProof/>
          </w:rPr>
          <w:t>Figure 4</w:t>
        </w:r>
        <w:r w:rsidR="009D0C31" w:rsidRPr="004010A3">
          <w:rPr>
            <w:rStyle w:val="Hyperlink"/>
            <w:noProof/>
          </w:rPr>
          <w:noBreakHyphen/>
          <w:t>5 Commercial Baseline Projection by End Use, Washington</w:t>
        </w:r>
        <w:r w:rsidR="009D0C31">
          <w:rPr>
            <w:noProof/>
            <w:webHidden/>
          </w:rPr>
          <w:tab/>
        </w:r>
        <w:r w:rsidR="009D0C31">
          <w:rPr>
            <w:noProof/>
            <w:webHidden/>
          </w:rPr>
          <w:fldChar w:fldCharType="begin"/>
        </w:r>
        <w:r w:rsidR="009D0C31">
          <w:rPr>
            <w:noProof/>
            <w:webHidden/>
          </w:rPr>
          <w:instrText xml:space="preserve"> PAGEREF _Toc175904438 \h </w:instrText>
        </w:r>
        <w:r w:rsidR="009D0C31">
          <w:rPr>
            <w:noProof/>
            <w:webHidden/>
          </w:rPr>
        </w:r>
        <w:r w:rsidR="009D0C31">
          <w:rPr>
            <w:noProof/>
            <w:webHidden/>
          </w:rPr>
          <w:fldChar w:fldCharType="separate"/>
        </w:r>
        <w:r w:rsidR="009D0C31">
          <w:rPr>
            <w:noProof/>
            <w:webHidden/>
          </w:rPr>
          <w:t>42</w:t>
        </w:r>
        <w:r w:rsidR="009D0C31">
          <w:rPr>
            <w:noProof/>
            <w:webHidden/>
          </w:rPr>
          <w:fldChar w:fldCharType="end"/>
        </w:r>
      </w:hyperlink>
    </w:p>
    <w:p w14:paraId="7242BFFF" w14:textId="34A48C32"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39" w:history="1">
        <w:r w:rsidR="009D0C31" w:rsidRPr="004010A3">
          <w:rPr>
            <w:rStyle w:val="Hyperlink"/>
            <w:noProof/>
          </w:rPr>
          <w:t>Figure 4</w:t>
        </w:r>
        <w:r w:rsidR="009D0C31" w:rsidRPr="004010A3">
          <w:rPr>
            <w:rStyle w:val="Hyperlink"/>
            <w:noProof/>
          </w:rPr>
          <w:noBreakHyphen/>
          <w:t>6 Commercial Baseline Sales Projection by End Use – Annual Use per Square Foot, Washington</w:t>
        </w:r>
        <w:r w:rsidR="009D0C31">
          <w:rPr>
            <w:noProof/>
            <w:webHidden/>
          </w:rPr>
          <w:tab/>
        </w:r>
        <w:r w:rsidR="009D0C31">
          <w:rPr>
            <w:noProof/>
            <w:webHidden/>
          </w:rPr>
          <w:fldChar w:fldCharType="begin"/>
        </w:r>
        <w:r w:rsidR="009D0C31">
          <w:rPr>
            <w:noProof/>
            <w:webHidden/>
          </w:rPr>
          <w:instrText xml:space="preserve"> PAGEREF _Toc175904439 \h </w:instrText>
        </w:r>
        <w:r w:rsidR="009D0C31">
          <w:rPr>
            <w:noProof/>
            <w:webHidden/>
          </w:rPr>
        </w:r>
        <w:r w:rsidR="009D0C31">
          <w:rPr>
            <w:noProof/>
            <w:webHidden/>
          </w:rPr>
          <w:fldChar w:fldCharType="separate"/>
        </w:r>
        <w:r w:rsidR="009D0C31">
          <w:rPr>
            <w:noProof/>
            <w:webHidden/>
          </w:rPr>
          <w:t>42</w:t>
        </w:r>
        <w:r w:rsidR="009D0C31">
          <w:rPr>
            <w:noProof/>
            <w:webHidden/>
          </w:rPr>
          <w:fldChar w:fldCharType="end"/>
        </w:r>
      </w:hyperlink>
    </w:p>
    <w:p w14:paraId="05CC974C" w14:textId="0F2D968C"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0" w:history="1">
        <w:r w:rsidR="009D0C31" w:rsidRPr="004010A3">
          <w:rPr>
            <w:rStyle w:val="Hyperlink"/>
            <w:noProof/>
          </w:rPr>
          <w:t>Figure 4</w:t>
        </w:r>
        <w:r w:rsidR="009D0C31" w:rsidRPr="004010A3">
          <w:rPr>
            <w:rStyle w:val="Hyperlink"/>
            <w:noProof/>
          </w:rPr>
          <w:noBreakHyphen/>
          <w:t>7 Commercial Baseline Projection by End Use, Idaho</w:t>
        </w:r>
        <w:r w:rsidR="009D0C31">
          <w:rPr>
            <w:noProof/>
            <w:webHidden/>
          </w:rPr>
          <w:tab/>
        </w:r>
        <w:r w:rsidR="009D0C31">
          <w:rPr>
            <w:noProof/>
            <w:webHidden/>
          </w:rPr>
          <w:fldChar w:fldCharType="begin"/>
        </w:r>
        <w:r w:rsidR="009D0C31">
          <w:rPr>
            <w:noProof/>
            <w:webHidden/>
          </w:rPr>
          <w:instrText xml:space="preserve"> PAGEREF _Toc175904440 \h </w:instrText>
        </w:r>
        <w:r w:rsidR="009D0C31">
          <w:rPr>
            <w:noProof/>
            <w:webHidden/>
          </w:rPr>
        </w:r>
        <w:r w:rsidR="009D0C31">
          <w:rPr>
            <w:noProof/>
            <w:webHidden/>
          </w:rPr>
          <w:fldChar w:fldCharType="separate"/>
        </w:r>
        <w:r w:rsidR="009D0C31">
          <w:rPr>
            <w:noProof/>
            <w:webHidden/>
          </w:rPr>
          <w:t>43</w:t>
        </w:r>
        <w:r w:rsidR="009D0C31">
          <w:rPr>
            <w:noProof/>
            <w:webHidden/>
          </w:rPr>
          <w:fldChar w:fldCharType="end"/>
        </w:r>
      </w:hyperlink>
    </w:p>
    <w:p w14:paraId="14D4E341" w14:textId="1896A4D1"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1" w:history="1">
        <w:r w:rsidR="009D0C31" w:rsidRPr="004010A3">
          <w:rPr>
            <w:rStyle w:val="Hyperlink"/>
            <w:noProof/>
          </w:rPr>
          <w:t>Figure 4</w:t>
        </w:r>
        <w:r w:rsidR="009D0C31" w:rsidRPr="004010A3">
          <w:rPr>
            <w:rStyle w:val="Hyperlink"/>
            <w:noProof/>
          </w:rPr>
          <w:noBreakHyphen/>
          <w:t>8 Commercial Baseline Sales Projection by End Use – Annual Use per Square Foot, Idaho</w:t>
        </w:r>
        <w:r w:rsidR="009D0C31">
          <w:rPr>
            <w:noProof/>
            <w:webHidden/>
          </w:rPr>
          <w:tab/>
        </w:r>
        <w:r w:rsidR="009D0C31">
          <w:rPr>
            <w:noProof/>
            <w:webHidden/>
          </w:rPr>
          <w:fldChar w:fldCharType="begin"/>
        </w:r>
        <w:r w:rsidR="009D0C31">
          <w:rPr>
            <w:noProof/>
            <w:webHidden/>
          </w:rPr>
          <w:instrText xml:space="preserve"> PAGEREF _Toc175904441 \h </w:instrText>
        </w:r>
        <w:r w:rsidR="009D0C31">
          <w:rPr>
            <w:noProof/>
            <w:webHidden/>
          </w:rPr>
        </w:r>
        <w:r w:rsidR="009D0C31">
          <w:rPr>
            <w:noProof/>
            <w:webHidden/>
          </w:rPr>
          <w:fldChar w:fldCharType="separate"/>
        </w:r>
        <w:r w:rsidR="009D0C31">
          <w:rPr>
            <w:noProof/>
            <w:webHidden/>
          </w:rPr>
          <w:t>43</w:t>
        </w:r>
        <w:r w:rsidR="009D0C31">
          <w:rPr>
            <w:noProof/>
            <w:webHidden/>
          </w:rPr>
          <w:fldChar w:fldCharType="end"/>
        </w:r>
      </w:hyperlink>
    </w:p>
    <w:p w14:paraId="461EE145" w14:textId="1B18BA9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2" w:history="1">
        <w:r w:rsidR="009D0C31" w:rsidRPr="004010A3">
          <w:rPr>
            <w:rStyle w:val="Hyperlink"/>
            <w:noProof/>
          </w:rPr>
          <w:t>Figure 4</w:t>
        </w:r>
        <w:r w:rsidR="009D0C31" w:rsidRPr="004010A3">
          <w:rPr>
            <w:rStyle w:val="Hyperlink"/>
            <w:noProof/>
          </w:rPr>
          <w:noBreakHyphen/>
          <w:t>9 Industrial Baseline Projection by End Use (GWh), Washington</w:t>
        </w:r>
        <w:r w:rsidR="009D0C31">
          <w:rPr>
            <w:noProof/>
            <w:webHidden/>
          </w:rPr>
          <w:tab/>
        </w:r>
        <w:r w:rsidR="009D0C31">
          <w:rPr>
            <w:noProof/>
            <w:webHidden/>
          </w:rPr>
          <w:fldChar w:fldCharType="begin"/>
        </w:r>
        <w:r w:rsidR="009D0C31">
          <w:rPr>
            <w:noProof/>
            <w:webHidden/>
          </w:rPr>
          <w:instrText xml:space="preserve"> PAGEREF _Toc175904442 \h </w:instrText>
        </w:r>
        <w:r w:rsidR="009D0C31">
          <w:rPr>
            <w:noProof/>
            <w:webHidden/>
          </w:rPr>
        </w:r>
        <w:r w:rsidR="009D0C31">
          <w:rPr>
            <w:noProof/>
            <w:webHidden/>
          </w:rPr>
          <w:fldChar w:fldCharType="separate"/>
        </w:r>
        <w:r w:rsidR="009D0C31">
          <w:rPr>
            <w:noProof/>
            <w:webHidden/>
          </w:rPr>
          <w:t>44</w:t>
        </w:r>
        <w:r w:rsidR="009D0C31">
          <w:rPr>
            <w:noProof/>
            <w:webHidden/>
          </w:rPr>
          <w:fldChar w:fldCharType="end"/>
        </w:r>
      </w:hyperlink>
    </w:p>
    <w:p w14:paraId="29B4F7CC" w14:textId="68DA861B"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3" w:history="1">
        <w:r w:rsidR="009D0C31" w:rsidRPr="004010A3">
          <w:rPr>
            <w:rStyle w:val="Hyperlink"/>
            <w:noProof/>
          </w:rPr>
          <w:t>Figure 4</w:t>
        </w:r>
        <w:r w:rsidR="009D0C31" w:rsidRPr="004010A3">
          <w:rPr>
            <w:rStyle w:val="Hyperlink"/>
            <w:noProof/>
          </w:rPr>
          <w:noBreakHyphen/>
          <w:t>10 Industrial Baseline Sales Projection by End Use – Annual Use per Employee, Washington</w:t>
        </w:r>
        <w:r w:rsidR="009D0C31">
          <w:rPr>
            <w:noProof/>
            <w:webHidden/>
          </w:rPr>
          <w:tab/>
        </w:r>
        <w:r w:rsidR="009D0C31">
          <w:rPr>
            <w:noProof/>
            <w:webHidden/>
          </w:rPr>
          <w:fldChar w:fldCharType="begin"/>
        </w:r>
        <w:r w:rsidR="009D0C31">
          <w:rPr>
            <w:noProof/>
            <w:webHidden/>
          </w:rPr>
          <w:instrText xml:space="preserve"> PAGEREF _Toc175904443 \h </w:instrText>
        </w:r>
        <w:r w:rsidR="009D0C31">
          <w:rPr>
            <w:noProof/>
            <w:webHidden/>
          </w:rPr>
        </w:r>
        <w:r w:rsidR="009D0C31">
          <w:rPr>
            <w:noProof/>
            <w:webHidden/>
          </w:rPr>
          <w:fldChar w:fldCharType="separate"/>
        </w:r>
        <w:r w:rsidR="009D0C31">
          <w:rPr>
            <w:noProof/>
            <w:webHidden/>
          </w:rPr>
          <w:t>45</w:t>
        </w:r>
        <w:r w:rsidR="009D0C31">
          <w:rPr>
            <w:noProof/>
            <w:webHidden/>
          </w:rPr>
          <w:fldChar w:fldCharType="end"/>
        </w:r>
      </w:hyperlink>
    </w:p>
    <w:p w14:paraId="1E931DE2" w14:textId="3F1EF7D2"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4" w:history="1">
        <w:r w:rsidR="009D0C31" w:rsidRPr="004010A3">
          <w:rPr>
            <w:rStyle w:val="Hyperlink"/>
            <w:noProof/>
          </w:rPr>
          <w:t>Figure 4</w:t>
        </w:r>
        <w:r w:rsidR="009D0C31" w:rsidRPr="004010A3">
          <w:rPr>
            <w:rStyle w:val="Hyperlink"/>
            <w:noProof/>
          </w:rPr>
          <w:noBreakHyphen/>
          <w:t>11 Industrial Baseline Projection by End Use (GWh), Idaho</w:t>
        </w:r>
        <w:r w:rsidR="009D0C31">
          <w:rPr>
            <w:noProof/>
            <w:webHidden/>
          </w:rPr>
          <w:tab/>
        </w:r>
        <w:r w:rsidR="009D0C31">
          <w:rPr>
            <w:noProof/>
            <w:webHidden/>
          </w:rPr>
          <w:fldChar w:fldCharType="begin"/>
        </w:r>
        <w:r w:rsidR="009D0C31">
          <w:rPr>
            <w:noProof/>
            <w:webHidden/>
          </w:rPr>
          <w:instrText xml:space="preserve"> PAGEREF _Toc175904444 \h </w:instrText>
        </w:r>
        <w:r w:rsidR="009D0C31">
          <w:rPr>
            <w:noProof/>
            <w:webHidden/>
          </w:rPr>
        </w:r>
        <w:r w:rsidR="009D0C31">
          <w:rPr>
            <w:noProof/>
            <w:webHidden/>
          </w:rPr>
          <w:fldChar w:fldCharType="separate"/>
        </w:r>
        <w:r w:rsidR="009D0C31">
          <w:rPr>
            <w:noProof/>
            <w:webHidden/>
          </w:rPr>
          <w:t>45</w:t>
        </w:r>
        <w:r w:rsidR="009D0C31">
          <w:rPr>
            <w:noProof/>
            <w:webHidden/>
          </w:rPr>
          <w:fldChar w:fldCharType="end"/>
        </w:r>
      </w:hyperlink>
    </w:p>
    <w:p w14:paraId="0CEE399A" w14:textId="4BDFA9B3"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5" w:history="1">
        <w:r w:rsidR="009D0C31" w:rsidRPr="004010A3">
          <w:rPr>
            <w:rStyle w:val="Hyperlink"/>
            <w:noProof/>
          </w:rPr>
          <w:t>Figure 4</w:t>
        </w:r>
        <w:r w:rsidR="009D0C31" w:rsidRPr="004010A3">
          <w:rPr>
            <w:rStyle w:val="Hyperlink"/>
            <w:noProof/>
          </w:rPr>
          <w:noBreakHyphen/>
          <w:t>12 Industrial Baseline Sales Projection by End Use – Annual Use per Employee, Idaho</w:t>
        </w:r>
        <w:r w:rsidR="009D0C31">
          <w:rPr>
            <w:noProof/>
            <w:webHidden/>
          </w:rPr>
          <w:tab/>
        </w:r>
        <w:r w:rsidR="009D0C31">
          <w:rPr>
            <w:noProof/>
            <w:webHidden/>
          </w:rPr>
          <w:fldChar w:fldCharType="begin"/>
        </w:r>
        <w:r w:rsidR="009D0C31">
          <w:rPr>
            <w:noProof/>
            <w:webHidden/>
          </w:rPr>
          <w:instrText xml:space="preserve"> PAGEREF _Toc175904445 \h </w:instrText>
        </w:r>
        <w:r w:rsidR="009D0C31">
          <w:rPr>
            <w:noProof/>
            <w:webHidden/>
          </w:rPr>
        </w:r>
        <w:r w:rsidR="009D0C31">
          <w:rPr>
            <w:noProof/>
            <w:webHidden/>
          </w:rPr>
          <w:fldChar w:fldCharType="separate"/>
        </w:r>
        <w:r w:rsidR="009D0C31">
          <w:rPr>
            <w:noProof/>
            <w:webHidden/>
          </w:rPr>
          <w:t>46</w:t>
        </w:r>
        <w:r w:rsidR="009D0C31">
          <w:rPr>
            <w:noProof/>
            <w:webHidden/>
          </w:rPr>
          <w:fldChar w:fldCharType="end"/>
        </w:r>
      </w:hyperlink>
    </w:p>
    <w:p w14:paraId="2A247BE6" w14:textId="7DBD21BD"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6" w:history="1">
        <w:r w:rsidR="009D0C31" w:rsidRPr="004010A3">
          <w:rPr>
            <w:rStyle w:val="Hyperlink"/>
            <w:noProof/>
          </w:rPr>
          <w:t>Figure 4</w:t>
        </w:r>
        <w:r w:rsidR="009D0C31" w:rsidRPr="004010A3">
          <w:rPr>
            <w:rStyle w:val="Hyperlink"/>
            <w:noProof/>
          </w:rPr>
          <w:noBreakHyphen/>
          <w:t>13 Baseline Projection Summary (GWh), Washington and Idaho Combined</w:t>
        </w:r>
        <w:r w:rsidR="009D0C31">
          <w:rPr>
            <w:noProof/>
            <w:webHidden/>
          </w:rPr>
          <w:tab/>
        </w:r>
        <w:r w:rsidR="009D0C31">
          <w:rPr>
            <w:noProof/>
            <w:webHidden/>
          </w:rPr>
          <w:fldChar w:fldCharType="begin"/>
        </w:r>
        <w:r w:rsidR="009D0C31">
          <w:rPr>
            <w:noProof/>
            <w:webHidden/>
          </w:rPr>
          <w:instrText xml:space="preserve"> PAGEREF _Toc175904446 \h </w:instrText>
        </w:r>
        <w:r w:rsidR="009D0C31">
          <w:rPr>
            <w:noProof/>
            <w:webHidden/>
          </w:rPr>
        </w:r>
        <w:r w:rsidR="009D0C31">
          <w:rPr>
            <w:noProof/>
            <w:webHidden/>
          </w:rPr>
          <w:fldChar w:fldCharType="separate"/>
        </w:r>
        <w:r w:rsidR="009D0C31">
          <w:rPr>
            <w:noProof/>
            <w:webHidden/>
          </w:rPr>
          <w:t>47</w:t>
        </w:r>
        <w:r w:rsidR="009D0C31">
          <w:rPr>
            <w:noProof/>
            <w:webHidden/>
          </w:rPr>
          <w:fldChar w:fldCharType="end"/>
        </w:r>
      </w:hyperlink>
    </w:p>
    <w:p w14:paraId="54B1EDD0" w14:textId="11AE9328"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7" w:history="1">
        <w:r w:rsidR="009D0C31" w:rsidRPr="004010A3">
          <w:rPr>
            <w:rStyle w:val="Hyperlink"/>
            <w:noProof/>
          </w:rPr>
          <w:t>Figure 5</w:t>
        </w:r>
        <w:r w:rsidR="009D0C31" w:rsidRPr="004010A3">
          <w:rPr>
            <w:rStyle w:val="Hyperlink"/>
            <w:noProof/>
          </w:rPr>
          <w:noBreakHyphen/>
          <w:t>1 Cumulative Energy Efficiency Potential as a % of Baseline Projection, Washington</w:t>
        </w:r>
        <w:r w:rsidR="009D0C31">
          <w:rPr>
            <w:noProof/>
            <w:webHidden/>
          </w:rPr>
          <w:tab/>
        </w:r>
        <w:r w:rsidR="009D0C31">
          <w:rPr>
            <w:noProof/>
            <w:webHidden/>
          </w:rPr>
          <w:fldChar w:fldCharType="begin"/>
        </w:r>
        <w:r w:rsidR="009D0C31">
          <w:rPr>
            <w:noProof/>
            <w:webHidden/>
          </w:rPr>
          <w:instrText xml:space="preserve"> PAGEREF _Toc175904447 \h </w:instrText>
        </w:r>
        <w:r w:rsidR="009D0C31">
          <w:rPr>
            <w:noProof/>
            <w:webHidden/>
          </w:rPr>
        </w:r>
        <w:r w:rsidR="009D0C31">
          <w:rPr>
            <w:noProof/>
            <w:webHidden/>
          </w:rPr>
          <w:fldChar w:fldCharType="separate"/>
        </w:r>
        <w:r w:rsidR="009D0C31">
          <w:rPr>
            <w:noProof/>
            <w:webHidden/>
          </w:rPr>
          <w:t>49</w:t>
        </w:r>
        <w:r w:rsidR="009D0C31">
          <w:rPr>
            <w:noProof/>
            <w:webHidden/>
          </w:rPr>
          <w:fldChar w:fldCharType="end"/>
        </w:r>
      </w:hyperlink>
    </w:p>
    <w:p w14:paraId="48FD1470" w14:textId="3408E83C"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8" w:history="1">
        <w:r w:rsidR="009D0C31" w:rsidRPr="004010A3">
          <w:rPr>
            <w:rStyle w:val="Hyperlink"/>
            <w:noProof/>
          </w:rPr>
          <w:t>Figure 5</w:t>
        </w:r>
        <w:r w:rsidR="009D0C31" w:rsidRPr="004010A3">
          <w:rPr>
            <w:rStyle w:val="Hyperlink"/>
            <w:noProof/>
          </w:rPr>
          <w:noBreakHyphen/>
          <w:t>2 Cumulative Energy Efficiency Potential as a % of Baseline Projection, Idaho</w:t>
        </w:r>
        <w:r w:rsidR="009D0C31">
          <w:rPr>
            <w:noProof/>
            <w:webHidden/>
          </w:rPr>
          <w:tab/>
        </w:r>
        <w:r w:rsidR="009D0C31">
          <w:rPr>
            <w:noProof/>
            <w:webHidden/>
          </w:rPr>
          <w:fldChar w:fldCharType="begin"/>
        </w:r>
        <w:r w:rsidR="009D0C31">
          <w:rPr>
            <w:noProof/>
            <w:webHidden/>
          </w:rPr>
          <w:instrText xml:space="preserve"> PAGEREF _Toc175904448 \h </w:instrText>
        </w:r>
        <w:r w:rsidR="009D0C31">
          <w:rPr>
            <w:noProof/>
            <w:webHidden/>
          </w:rPr>
        </w:r>
        <w:r w:rsidR="009D0C31">
          <w:rPr>
            <w:noProof/>
            <w:webHidden/>
          </w:rPr>
          <w:fldChar w:fldCharType="separate"/>
        </w:r>
        <w:r w:rsidR="009D0C31">
          <w:rPr>
            <w:noProof/>
            <w:webHidden/>
          </w:rPr>
          <w:t>50</w:t>
        </w:r>
        <w:r w:rsidR="009D0C31">
          <w:rPr>
            <w:noProof/>
            <w:webHidden/>
          </w:rPr>
          <w:fldChar w:fldCharType="end"/>
        </w:r>
      </w:hyperlink>
    </w:p>
    <w:p w14:paraId="3005D84B" w14:textId="75BB47B4"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49" w:history="1">
        <w:r w:rsidR="009D0C31" w:rsidRPr="004010A3">
          <w:rPr>
            <w:rStyle w:val="Hyperlink"/>
            <w:noProof/>
          </w:rPr>
          <w:t>Figure 5</w:t>
        </w:r>
        <w:r w:rsidR="009D0C31" w:rsidRPr="004010A3">
          <w:rPr>
            <w:rStyle w:val="Hyperlink"/>
            <w:noProof/>
          </w:rPr>
          <w:noBreakHyphen/>
          <w:t>3 Achievable Technical Conservation Potential by Sector, Washington and Idaho Combined</w:t>
        </w:r>
        <w:r w:rsidR="009D0C31">
          <w:rPr>
            <w:noProof/>
            <w:webHidden/>
          </w:rPr>
          <w:tab/>
        </w:r>
        <w:r w:rsidR="009D0C31">
          <w:rPr>
            <w:noProof/>
            <w:webHidden/>
          </w:rPr>
          <w:fldChar w:fldCharType="begin"/>
        </w:r>
        <w:r w:rsidR="009D0C31">
          <w:rPr>
            <w:noProof/>
            <w:webHidden/>
          </w:rPr>
          <w:instrText xml:space="preserve"> PAGEREF _Toc175904449 \h </w:instrText>
        </w:r>
        <w:r w:rsidR="009D0C31">
          <w:rPr>
            <w:noProof/>
            <w:webHidden/>
          </w:rPr>
        </w:r>
        <w:r w:rsidR="009D0C31">
          <w:rPr>
            <w:noProof/>
            <w:webHidden/>
          </w:rPr>
          <w:fldChar w:fldCharType="separate"/>
        </w:r>
        <w:r w:rsidR="009D0C31">
          <w:rPr>
            <w:noProof/>
            <w:webHidden/>
          </w:rPr>
          <w:t>51</w:t>
        </w:r>
        <w:r w:rsidR="009D0C31">
          <w:rPr>
            <w:noProof/>
            <w:webHidden/>
          </w:rPr>
          <w:fldChar w:fldCharType="end"/>
        </w:r>
      </w:hyperlink>
    </w:p>
    <w:p w14:paraId="6B477349" w14:textId="2C9F3355"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0" w:history="1">
        <w:r w:rsidR="009D0C31" w:rsidRPr="004010A3">
          <w:rPr>
            <w:rStyle w:val="Hyperlink"/>
            <w:noProof/>
          </w:rPr>
          <w:t>Figure 5</w:t>
        </w:r>
        <w:r w:rsidR="009D0C31" w:rsidRPr="004010A3">
          <w:rPr>
            <w:rStyle w:val="Hyperlink"/>
            <w:noProof/>
          </w:rPr>
          <w:noBreakHyphen/>
          <w:t>4 Residential Cumulative Conservation Potential, Washington</w:t>
        </w:r>
        <w:r w:rsidR="009D0C31">
          <w:rPr>
            <w:noProof/>
            <w:webHidden/>
          </w:rPr>
          <w:tab/>
        </w:r>
        <w:r w:rsidR="009D0C31">
          <w:rPr>
            <w:noProof/>
            <w:webHidden/>
          </w:rPr>
          <w:fldChar w:fldCharType="begin"/>
        </w:r>
        <w:r w:rsidR="009D0C31">
          <w:rPr>
            <w:noProof/>
            <w:webHidden/>
          </w:rPr>
          <w:instrText xml:space="preserve"> PAGEREF _Toc175904450 \h </w:instrText>
        </w:r>
        <w:r w:rsidR="009D0C31">
          <w:rPr>
            <w:noProof/>
            <w:webHidden/>
          </w:rPr>
        </w:r>
        <w:r w:rsidR="009D0C31">
          <w:rPr>
            <w:noProof/>
            <w:webHidden/>
          </w:rPr>
          <w:fldChar w:fldCharType="separate"/>
        </w:r>
        <w:r w:rsidR="009D0C31">
          <w:rPr>
            <w:noProof/>
            <w:webHidden/>
          </w:rPr>
          <w:t>52</w:t>
        </w:r>
        <w:r w:rsidR="009D0C31">
          <w:rPr>
            <w:noProof/>
            <w:webHidden/>
          </w:rPr>
          <w:fldChar w:fldCharType="end"/>
        </w:r>
      </w:hyperlink>
    </w:p>
    <w:p w14:paraId="2F1EA0A5" w14:textId="66466D8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1" w:history="1">
        <w:r w:rsidR="009D0C31" w:rsidRPr="004010A3">
          <w:rPr>
            <w:rStyle w:val="Hyperlink"/>
            <w:noProof/>
          </w:rPr>
          <w:t>Figure 5</w:t>
        </w:r>
        <w:r w:rsidR="009D0C31" w:rsidRPr="004010A3">
          <w:rPr>
            <w:rStyle w:val="Hyperlink"/>
            <w:noProof/>
          </w:rPr>
          <w:noBreakHyphen/>
          <w:t>5 Residential Cumulative Conservation Potential, Idaho</w:t>
        </w:r>
        <w:r w:rsidR="009D0C31">
          <w:rPr>
            <w:noProof/>
            <w:webHidden/>
          </w:rPr>
          <w:tab/>
        </w:r>
        <w:r w:rsidR="009D0C31">
          <w:rPr>
            <w:noProof/>
            <w:webHidden/>
          </w:rPr>
          <w:fldChar w:fldCharType="begin"/>
        </w:r>
        <w:r w:rsidR="009D0C31">
          <w:rPr>
            <w:noProof/>
            <w:webHidden/>
          </w:rPr>
          <w:instrText xml:space="preserve"> PAGEREF _Toc175904451 \h </w:instrText>
        </w:r>
        <w:r w:rsidR="009D0C31">
          <w:rPr>
            <w:noProof/>
            <w:webHidden/>
          </w:rPr>
        </w:r>
        <w:r w:rsidR="009D0C31">
          <w:rPr>
            <w:noProof/>
            <w:webHidden/>
          </w:rPr>
          <w:fldChar w:fldCharType="separate"/>
        </w:r>
        <w:r w:rsidR="009D0C31">
          <w:rPr>
            <w:noProof/>
            <w:webHidden/>
          </w:rPr>
          <w:t>52</w:t>
        </w:r>
        <w:r w:rsidR="009D0C31">
          <w:rPr>
            <w:noProof/>
            <w:webHidden/>
          </w:rPr>
          <w:fldChar w:fldCharType="end"/>
        </w:r>
      </w:hyperlink>
    </w:p>
    <w:p w14:paraId="4505ADC9" w14:textId="716A5885"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2" w:history="1">
        <w:r w:rsidR="009D0C31" w:rsidRPr="004010A3">
          <w:rPr>
            <w:rStyle w:val="Hyperlink"/>
            <w:noProof/>
          </w:rPr>
          <w:t>Figure 5</w:t>
        </w:r>
        <w:r w:rsidR="009D0C31" w:rsidRPr="004010A3">
          <w:rPr>
            <w:rStyle w:val="Hyperlink"/>
            <w:noProof/>
          </w:rPr>
          <w:noBreakHyphen/>
          <w:t>6 Residential Cumulative Achievable Technical Potential by End Use, Washington</w:t>
        </w:r>
        <w:r w:rsidR="009D0C31">
          <w:rPr>
            <w:noProof/>
            <w:webHidden/>
          </w:rPr>
          <w:tab/>
        </w:r>
        <w:r w:rsidR="009D0C31">
          <w:rPr>
            <w:noProof/>
            <w:webHidden/>
          </w:rPr>
          <w:fldChar w:fldCharType="begin"/>
        </w:r>
        <w:r w:rsidR="009D0C31">
          <w:rPr>
            <w:noProof/>
            <w:webHidden/>
          </w:rPr>
          <w:instrText xml:space="preserve"> PAGEREF _Toc175904452 \h </w:instrText>
        </w:r>
        <w:r w:rsidR="009D0C31">
          <w:rPr>
            <w:noProof/>
            <w:webHidden/>
          </w:rPr>
        </w:r>
        <w:r w:rsidR="009D0C31">
          <w:rPr>
            <w:noProof/>
            <w:webHidden/>
          </w:rPr>
          <w:fldChar w:fldCharType="separate"/>
        </w:r>
        <w:r w:rsidR="009D0C31">
          <w:rPr>
            <w:noProof/>
            <w:webHidden/>
          </w:rPr>
          <w:t>53</w:t>
        </w:r>
        <w:r w:rsidR="009D0C31">
          <w:rPr>
            <w:noProof/>
            <w:webHidden/>
          </w:rPr>
          <w:fldChar w:fldCharType="end"/>
        </w:r>
      </w:hyperlink>
    </w:p>
    <w:p w14:paraId="05E8DBAE" w14:textId="3759565C"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3" w:history="1">
        <w:r w:rsidR="009D0C31" w:rsidRPr="004010A3">
          <w:rPr>
            <w:rStyle w:val="Hyperlink"/>
            <w:noProof/>
          </w:rPr>
          <w:t>Figure 5</w:t>
        </w:r>
        <w:r w:rsidR="009D0C31" w:rsidRPr="004010A3">
          <w:rPr>
            <w:rStyle w:val="Hyperlink"/>
            <w:noProof/>
          </w:rPr>
          <w:noBreakHyphen/>
          <w:t>7 Residential Cumulative Achievable Technical Potential by End Use, Idaho</w:t>
        </w:r>
        <w:r w:rsidR="009D0C31">
          <w:rPr>
            <w:noProof/>
            <w:webHidden/>
          </w:rPr>
          <w:tab/>
        </w:r>
        <w:r w:rsidR="009D0C31">
          <w:rPr>
            <w:noProof/>
            <w:webHidden/>
          </w:rPr>
          <w:fldChar w:fldCharType="begin"/>
        </w:r>
        <w:r w:rsidR="009D0C31">
          <w:rPr>
            <w:noProof/>
            <w:webHidden/>
          </w:rPr>
          <w:instrText xml:space="preserve"> PAGEREF _Toc175904453 \h </w:instrText>
        </w:r>
        <w:r w:rsidR="009D0C31">
          <w:rPr>
            <w:noProof/>
            <w:webHidden/>
          </w:rPr>
        </w:r>
        <w:r w:rsidR="009D0C31">
          <w:rPr>
            <w:noProof/>
            <w:webHidden/>
          </w:rPr>
          <w:fldChar w:fldCharType="separate"/>
        </w:r>
        <w:r w:rsidR="009D0C31">
          <w:rPr>
            <w:noProof/>
            <w:webHidden/>
          </w:rPr>
          <w:t>55</w:t>
        </w:r>
        <w:r w:rsidR="009D0C31">
          <w:rPr>
            <w:noProof/>
            <w:webHidden/>
          </w:rPr>
          <w:fldChar w:fldCharType="end"/>
        </w:r>
      </w:hyperlink>
    </w:p>
    <w:p w14:paraId="514045A7" w14:textId="1EEEA760"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4" w:history="1">
        <w:r w:rsidR="009D0C31" w:rsidRPr="004010A3">
          <w:rPr>
            <w:rStyle w:val="Hyperlink"/>
            <w:noProof/>
          </w:rPr>
          <w:t>Figure 5</w:t>
        </w:r>
        <w:r w:rsidR="009D0C31" w:rsidRPr="004010A3">
          <w:rPr>
            <w:rStyle w:val="Hyperlink"/>
            <w:noProof/>
          </w:rPr>
          <w:noBreakHyphen/>
          <w:t>8 Commercial Cumulative Conservation Potential, Washington</w:t>
        </w:r>
        <w:r w:rsidR="009D0C31">
          <w:rPr>
            <w:noProof/>
            <w:webHidden/>
          </w:rPr>
          <w:tab/>
        </w:r>
        <w:r w:rsidR="009D0C31">
          <w:rPr>
            <w:noProof/>
            <w:webHidden/>
          </w:rPr>
          <w:fldChar w:fldCharType="begin"/>
        </w:r>
        <w:r w:rsidR="009D0C31">
          <w:rPr>
            <w:noProof/>
            <w:webHidden/>
          </w:rPr>
          <w:instrText xml:space="preserve"> PAGEREF _Toc175904454 \h </w:instrText>
        </w:r>
        <w:r w:rsidR="009D0C31">
          <w:rPr>
            <w:noProof/>
            <w:webHidden/>
          </w:rPr>
        </w:r>
        <w:r w:rsidR="009D0C31">
          <w:rPr>
            <w:noProof/>
            <w:webHidden/>
          </w:rPr>
          <w:fldChar w:fldCharType="separate"/>
        </w:r>
        <w:r w:rsidR="009D0C31">
          <w:rPr>
            <w:noProof/>
            <w:webHidden/>
          </w:rPr>
          <w:t>58</w:t>
        </w:r>
        <w:r w:rsidR="009D0C31">
          <w:rPr>
            <w:noProof/>
            <w:webHidden/>
          </w:rPr>
          <w:fldChar w:fldCharType="end"/>
        </w:r>
      </w:hyperlink>
    </w:p>
    <w:p w14:paraId="29BCEE49" w14:textId="6D7F18EC"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5" w:history="1">
        <w:r w:rsidR="009D0C31" w:rsidRPr="004010A3">
          <w:rPr>
            <w:rStyle w:val="Hyperlink"/>
            <w:noProof/>
            <w:lang w:val="fr-FR"/>
          </w:rPr>
          <w:t>Figure 5</w:t>
        </w:r>
        <w:r w:rsidR="009D0C31" w:rsidRPr="004010A3">
          <w:rPr>
            <w:rStyle w:val="Hyperlink"/>
            <w:noProof/>
            <w:lang w:val="fr-FR"/>
          </w:rPr>
          <w:noBreakHyphen/>
          <w:t>9 Commercial Cumulative Conservation Potential, Idaho</w:t>
        </w:r>
        <w:r w:rsidR="009D0C31">
          <w:rPr>
            <w:noProof/>
            <w:webHidden/>
          </w:rPr>
          <w:tab/>
        </w:r>
        <w:r w:rsidR="009D0C31">
          <w:rPr>
            <w:noProof/>
            <w:webHidden/>
          </w:rPr>
          <w:fldChar w:fldCharType="begin"/>
        </w:r>
        <w:r w:rsidR="009D0C31">
          <w:rPr>
            <w:noProof/>
            <w:webHidden/>
          </w:rPr>
          <w:instrText xml:space="preserve"> PAGEREF _Toc175904455 \h </w:instrText>
        </w:r>
        <w:r w:rsidR="009D0C31">
          <w:rPr>
            <w:noProof/>
            <w:webHidden/>
          </w:rPr>
        </w:r>
        <w:r w:rsidR="009D0C31">
          <w:rPr>
            <w:noProof/>
            <w:webHidden/>
          </w:rPr>
          <w:fldChar w:fldCharType="separate"/>
        </w:r>
        <w:r w:rsidR="009D0C31">
          <w:rPr>
            <w:noProof/>
            <w:webHidden/>
          </w:rPr>
          <w:t>58</w:t>
        </w:r>
        <w:r w:rsidR="009D0C31">
          <w:rPr>
            <w:noProof/>
            <w:webHidden/>
          </w:rPr>
          <w:fldChar w:fldCharType="end"/>
        </w:r>
      </w:hyperlink>
    </w:p>
    <w:p w14:paraId="500E3F75" w14:textId="5E6DF524"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6" w:history="1">
        <w:r w:rsidR="009D0C31" w:rsidRPr="004010A3">
          <w:rPr>
            <w:rStyle w:val="Hyperlink"/>
            <w:noProof/>
          </w:rPr>
          <w:t>Figure 5</w:t>
        </w:r>
        <w:r w:rsidR="009D0C31" w:rsidRPr="004010A3">
          <w:rPr>
            <w:rStyle w:val="Hyperlink"/>
            <w:noProof/>
          </w:rPr>
          <w:noBreakHyphen/>
          <w:t>10 Commercial Cumulative Achievable Technical Potential by End Use, Washington</w:t>
        </w:r>
        <w:r w:rsidR="009D0C31">
          <w:rPr>
            <w:noProof/>
            <w:webHidden/>
          </w:rPr>
          <w:tab/>
        </w:r>
        <w:r w:rsidR="009D0C31">
          <w:rPr>
            <w:noProof/>
            <w:webHidden/>
          </w:rPr>
          <w:fldChar w:fldCharType="begin"/>
        </w:r>
        <w:r w:rsidR="009D0C31">
          <w:rPr>
            <w:noProof/>
            <w:webHidden/>
          </w:rPr>
          <w:instrText xml:space="preserve"> PAGEREF _Toc175904456 \h </w:instrText>
        </w:r>
        <w:r w:rsidR="009D0C31">
          <w:rPr>
            <w:noProof/>
            <w:webHidden/>
          </w:rPr>
        </w:r>
        <w:r w:rsidR="009D0C31">
          <w:rPr>
            <w:noProof/>
            <w:webHidden/>
          </w:rPr>
          <w:fldChar w:fldCharType="separate"/>
        </w:r>
        <w:r w:rsidR="009D0C31">
          <w:rPr>
            <w:noProof/>
            <w:webHidden/>
          </w:rPr>
          <w:t>59</w:t>
        </w:r>
        <w:r w:rsidR="009D0C31">
          <w:rPr>
            <w:noProof/>
            <w:webHidden/>
          </w:rPr>
          <w:fldChar w:fldCharType="end"/>
        </w:r>
      </w:hyperlink>
    </w:p>
    <w:p w14:paraId="4DA55CA5" w14:textId="77BE187A"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7" w:history="1">
        <w:r w:rsidR="009D0C31" w:rsidRPr="004010A3">
          <w:rPr>
            <w:rStyle w:val="Hyperlink"/>
            <w:noProof/>
          </w:rPr>
          <w:t>Figure 5</w:t>
        </w:r>
        <w:r w:rsidR="009D0C31" w:rsidRPr="004010A3">
          <w:rPr>
            <w:rStyle w:val="Hyperlink"/>
            <w:noProof/>
          </w:rPr>
          <w:noBreakHyphen/>
          <w:t>11 Commercial Cumulative Achievable Technical Potential by End Use, Idaho</w:t>
        </w:r>
        <w:r w:rsidR="009D0C31">
          <w:rPr>
            <w:noProof/>
            <w:webHidden/>
          </w:rPr>
          <w:tab/>
        </w:r>
        <w:r w:rsidR="009D0C31">
          <w:rPr>
            <w:noProof/>
            <w:webHidden/>
          </w:rPr>
          <w:fldChar w:fldCharType="begin"/>
        </w:r>
        <w:r w:rsidR="009D0C31">
          <w:rPr>
            <w:noProof/>
            <w:webHidden/>
          </w:rPr>
          <w:instrText xml:space="preserve"> PAGEREF _Toc175904457 \h </w:instrText>
        </w:r>
        <w:r w:rsidR="009D0C31">
          <w:rPr>
            <w:noProof/>
            <w:webHidden/>
          </w:rPr>
        </w:r>
        <w:r w:rsidR="009D0C31">
          <w:rPr>
            <w:noProof/>
            <w:webHidden/>
          </w:rPr>
          <w:fldChar w:fldCharType="separate"/>
        </w:r>
        <w:r w:rsidR="009D0C31">
          <w:rPr>
            <w:noProof/>
            <w:webHidden/>
          </w:rPr>
          <w:t>61</w:t>
        </w:r>
        <w:r w:rsidR="009D0C31">
          <w:rPr>
            <w:noProof/>
            <w:webHidden/>
          </w:rPr>
          <w:fldChar w:fldCharType="end"/>
        </w:r>
      </w:hyperlink>
    </w:p>
    <w:p w14:paraId="5BE00A6B" w14:textId="4702D83D"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8" w:history="1">
        <w:r w:rsidR="009D0C31" w:rsidRPr="004010A3">
          <w:rPr>
            <w:rStyle w:val="Hyperlink"/>
            <w:noProof/>
          </w:rPr>
          <w:t>Figure 5</w:t>
        </w:r>
        <w:r w:rsidR="009D0C31" w:rsidRPr="004010A3">
          <w:rPr>
            <w:rStyle w:val="Hyperlink"/>
            <w:noProof/>
          </w:rPr>
          <w:noBreakHyphen/>
          <w:t>12 Industrial Cumulative Conservation Potential as a % of the Baseline Projection, Washington</w:t>
        </w:r>
        <w:r w:rsidR="009D0C31">
          <w:rPr>
            <w:noProof/>
            <w:webHidden/>
          </w:rPr>
          <w:tab/>
        </w:r>
        <w:r w:rsidR="009D0C31">
          <w:rPr>
            <w:noProof/>
            <w:webHidden/>
          </w:rPr>
          <w:fldChar w:fldCharType="begin"/>
        </w:r>
        <w:r w:rsidR="009D0C31">
          <w:rPr>
            <w:noProof/>
            <w:webHidden/>
          </w:rPr>
          <w:instrText xml:space="preserve"> PAGEREF _Toc175904458 \h </w:instrText>
        </w:r>
        <w:r w:rsidR="009D0C31">
          <w:rPr>
            <w:noProof/>
            <w:webHidden/>
          </w:rPr>
        </w:r>
        <w:r w:rsidR="009D0C31">
          <w:rPr>
            <w:noProof/>
            <w:webHidden/>
          </w:rPr>
          <w:fldChar w:fldCharType="separate"/>
        </w:r>
        <w:r w:rsidR="009D0C31">
          <w:rPr>
            <w:noProof/>
            <w:webHidden/>
          </w:rPr>
          <w:t>63</w:t>
        </w:r>
        <w:r w:rsidR="009D0C31">
          <w:rPr>
            <w:noProof/>
            <w:webHidden/>
          </w:rPr>
          <w:fldChar w:fldCharType="end"/>
        </w:r>
      </w:hyperlink>
    </w:p>
    <w:p w14:paraId="3CFC9AF7" w14:textId="7416F3F9"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59" w:history="1">
        <w:r w:rsidR="009D0C31" w:rsidRPr="004010A3">
          <w:rPr>
            <w:rStyle w:val="Hyperlink"/>
            <w:noProof/>
          </w:rPr>
          <w:t>Figure 5</w:t>
        </w:r>
        <w:r w:rsidR="009D0C31" w:rsidRPr="004010A3">
          <w:rPr>
            <w:rStyle w:val="Hyperlink"/>
            <w:noProof/>
          </w:rPr>
          <w:noBreakHyphen/>
          <w:t>13 Industrial Cumulative Conservation Potential as a % of the Baseline Projection, Idaho</w:t>
        </w:r>
        <w:r w:rsidR="009D0C31">
          <w:rPr>
            <w:noProof/>
            <w:webHidden/>
          </w:rPr>
          <w:tab/>
        </w:r>
        <w:r w:rsidR="009D0C31">
          <w:rPr>
            <w:noProof/>
            <w:webHidden/>
          </w:rPr>
          <w:fldChar w:fldCharType="begin"/>
        </w:r>
        <w:r w:rsidR="009D0C31">
          <w:rPr>
            <w:noProof/>
            <w:webHidden/>
          </w:rPr>
          <w:instrText xml:space="preserve"> PAGEREF _Toc175904459 \h </w:instrText>
        </w:r>
        <w:r w:rsidR="009D0C31">
          <w:rPr>
            <w:noProof/>
            <w:webHidden/>
          </w:rPr>
        </w:r>
        <w:r w:rsidR="009D0C31">
          <w:rPr>
            <w:noProof/>
            <w:webHidden/>
          </w:rPr>
          <w:fldChar w:fldCharType="separate"/>
        </w:r>
        <w:r w:rsidR="009D0C31">
          <w:rPr>
            <w:noProof/>
            <w:webHidden/>
          </w:rPr>
          <w:t>64</w:t>
        </w:r>
        <w:r w:rsidR="009D0C31">
          <w:rPr>
            <w:noProof/>
            <w:webHidden/>
          </w:rPr>
          <w:fldChar w:fldCharType="end"/>
        </w:r>
      </w:hyperlink>
    </w:p>
    <w:p w14:paraId="41D1C561" w14:textId="44513DBB"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0" w:history="1">
        <w:r w:rsidR="009D0C31" w:rsidRPr="004010A3">
          <w:rPr>
            <w:rStyle w:val="Hyperlink"/>
            <w:noProof/>
          </w:rPr>
          <w:t>Figure 5</w:t>
        </w:r>
        <w:r w:rsidR="009D0C31" w:rsidRPr="004010A3">
          <w:rPr>
            <w:rStyle w:val="Hyperlink"/>
            <w:noProof/>
          </w:rPr>
          <w:noBreakHyphen/>
          <w:t>14 Industrial Cumulative Achievable Technical Potential by End Use, Washington</w:t>
        </w:r>
        <w:r w:rsidR="009D0C31">
          <w:rPr>
            <w:noProof/>
            <w:webHidden/>
          </w:rPr>
          <w:tab/>
        </w:r>
        <w:r w:rsidR="009D0C31">
          <w:rPr>
            <w:noProof/>
            <w:webHidden/>
          </w:rPr>
          <w:fldChar w:fldCharType="begin"/>
        </w:r>
        <w:r w:rsidR="009D0C31">
          <w:rPr>
            <w:noProof/>
            <w:webHidden/>
          </w:rPr>
          <w:instrText xml:space="preserve"> PAGEREF _Toc175904460 \h </w:instrText>
        </w:r>
        <w:r w:rsidR="009D0C31">
          <w:rPr>
            <w:noProof/>
            <w:webHidden/>
          </w:rPr>
        </w:r>
        <w:r w:rsidR="009D0C31">
          <w:rPr>
            <w:noProof/>
            <w:webHidden/>
          </w:rPr>
          <w:fldChar w:fldCharType="separate"/>
        </w:r>
        <w:r w:rsidR="009D0C31">
          <w:rPr>
            <w:noProof/>
            <w:webHidden/>
          </w:rPr>
          <w:t>64</w:t>
        </w:r>
        <w:r w:rsidR="009D0C31">
          <w:rPr>
            <w:noProof/>
            <w:webHidden/>
          </w:rPr>
          <w:fldChar w:fldCharType="end"/>
        </w:r>
      </w:hyperlink>
    </w:p>
    <w:p w14:paraId="278DF74D" w14:textId="6E597B6D"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1" w:history="1">
        <w:r w:rsidR="009D0C31" w:rsidRPr="004010A3">
          <w:rPr>
            <w:rStyle w:val="Hyperlink"/>
            <w:noProof/>
          </w:rPr>
          <w:t>Figure 5</w:t>
        </w:r>
        <w:r w:rsidR="009D0C31" w:rsidRPr="004010A3">
          <w:rPr>
            <w:rStyle w:val="Hyperlink"/>
            <w:noProof/>
          </w:rPr>
          <w:noBreakHyphen/>
          <w:t>15 Industrial Cumulative Achievable Technical Potential by End Use, Idaho</w:t>
        </w:r>
        <w:r w:rsidR="009D0C31">
          <w:rPr>
            <w:noProof/>
            <w:webHidden/>
          </w:rPr>
          <w:tab/>
        </w:r>
        <w:r w:rsidR="009D0C31">
          <w:rPr>
            <w:noProof/>
            <w:webHidden/>
          </w:rPr>
          <w:fldChar w:fldCharType="begin"/>
        </w:r>
        <w:r w:rsidR="009D0C31">
          <w:rPr>
            <w:noProof/>
            <w:webHidden/>
          </w:rPr>
          <w:instrText xml:space="preserve"> PAGEREF _Toc175904461 \h </w:instrText>
        </w:r>
        <w:r w:rsidR="009D0C31">
          <w:rPr>
            <w:noProof/>
            <w:webHidden/>
          </w:rPr>
        </w:r>
        <w:r w:rsidR="009D0C31">
          <w:rPr>
            <w:noProof/>
            <w:webHidden/>
          </w:rPr>
          <w:fldChar w:fldCharType="separate"/>
        </w:r>
        <w:r w:rsidR="009D0C31">
          <w:rPr>
            <w:noProof/>
            <w:webHidden/>
          </w:rPr>
          <w:t>66</w:t>
        </w:r>
        <w:r w:rsidR="009D0C31">
          <w:rPr>
            <w:noProof/>
            <w:webHidden/>
          </w:rPr>
          <w:fldChar w:fldCharType="end"/>
        </w:r>
      </w:hyperlink>
    </w:p>
    <w:p w14:paraId="0C550F61" w14:textId="6FA29F0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2" w:history="1">
        <w:r w:rsidR="009D0C31" w:rsidRPr="004010A3">
          <w:rPr>
            <w:rStyle w:val="Hyperlink"/>
            <w:noProof/>
          </w:rPr>
          <w:t>Figure 6</w:t>
        </w:r>
        <w:r w:rsidR="009D0C31" w:rsidRPr="004010A3">
          <w:rPr>
            <w:rStyle w:val="Hyperlink"/>
            <w:noProof/>
          </w:rPr>
          <w:noBreakHyphen/>
          <w:t>1 Demand Response Analysis Approach</w:t>
        </w:r>
        <w:r w:rsidR="009D0C31">
          <w:rPr>
            <w:noProof/>
            <w:webHidden/>
          </w:rPr>
          <w:tab/>
        </w:r>
        <w:r w:rsidR="009D0C31">
          <w:rPr>
            <w:noProof/>
            <w:webHidden/>
          </w:rPr>
          <w:fldChar w:fldCharType="begin"/>
        </w:r>
        <w:r w:rsidR="009D0C31">
          <w:rPr>
            <w:noProof/>
            <w:webHidden/>
          </w:rPr>
          <w:instrText xml:space="preserve"> PAGEREF _Toc175904462 \h </w:instrText>
        </w:r>
        <w:r w:rsidR="009D0C31">
          <w:rPr>
            <w:noProof/>
            <w:webHidden/>
          </w:rPr>
        </w:r>
        <w:r w:rsidR="009D0C31">
          <w:rPr>
            <w:noProof/>
            <w:webHidden/>
          </w:rPr>
          <w:fldChar w:fldCharType="separate"/>
        </w:r>
        <w:r w:rsidR="009D0C31">
          <w:rPr>
            <w:noProof/>
            <w:webHidden/>
          </w:rPr>
          <w:t>68</w:t>
        </w:r>
        <w:r w:rsidR="009D0C31">
          <w:rPr>
            <w:noProof/>
            <w:webHidden/>
          </w:rPr>
          <w:fldChar w:fldCharType="end"/>
        </w:r>
      </w:hyperlink>
    </w:p>
    <w:p w14:paraId="363BBDE0" w14:textId="593A1DA6"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3" w:history="1">
        <w:r w:rsidR="009D0C31" w:rsidRPr="004010A3">
          <w:rPr>
            <w:rStyle w:val="Hyperlink"/>
            <w:noProof/>
          </w:rPr>
          <w:t>Figure 6</w:t>
        </w:r>
        <w:r w:rsidR="009D0C31" w:rsidRPr="004010A3">
          <w:rPr>
            <w:rStyle w:val="Hyperlink"/>
            <w:noProof/>
          </w:rPr>
          <w:noBreakHyphen/>
          <w:t>2 Coincident Peak Load Forecast by State (Summer)</w:t>
        </w:r>
        <w:r w:rsidR="009D0C31">
          <w:rPr>
            <w:noProof/>
            <w:webHidden/>
          </w:rPr>
          <w:tab/>
        </w:r>
        <w:r w:rsidR="009D0C31">
          <w:rPr>
            <w:noProof/>
            <w:webHidden/>
          </w:rPr>
          <w:fldChar w:fldCharType="begin"/>
        </w:r>
        <w:r w:rsidR="009D0C31">
          <w:rPr>
            <w:noProof/>
            <w:webHidden/>
          </w:rPr>
          <w:instrText xml:space="preserve"> PAGEREF _Toc175904463 \h </w:instrText>
        </w:r>
        <w:r w:rsidR="009D0C31">
          <w:rPr>
            <w:noProof/>
            <w:webHidden/>
          </w:rPr>
        </w:r>
        <w:r w:rsidR="009D0C31">
          <w:rPr>
            <w:noProof/>
            <w:webHidden/>
          </w:rPr>
          <w:fldChar w:fldCharType="separate"/>
        </w:r>
        <w:r w:rsidR="009D0C31">
          <w:rPr>
            <w:noProof/>
            <w:webHidden/>
          </w:rPr>
          <w:t>71</w:t>
        </w:r>
        <w:r w:rsidR="009D0C31">
          <w:rPr>
            <w:noProof/>
            <w:webHidden/>
          </w:rPr>
          <w:fldChar w:fldCharType="end"/>
        </w:r>
      </w:hyperlink>
    </w:p>
    <w:p w14:paraId="2CF018B6" w14:textId="0AF2858A"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4" w:history="1">
        <w:r w:rsidR="009D0C31" w:rsidRPr="004010A3">
          <w:rPr>
            <w:rStyle w:val="Hyperlink"/>
            <w:noProof/>
          </w:rPr>
          <w:t>Figure 6</w:t>
        </w:r>
        <w:r w:rsidR="009D0C31" w:rsidRPr="004010A3">
          <w:rPr>
            <w:rStyle w:val="Hyperlink"/>
            <w:noProof/>
          </w:rPr>
          <w:noBreakHyphen/>
          <w:t>3 Coincident Peak Load Forecast by State (Winter)</w:t>
        </w:r>
        <w:r w:rsidR="009D0C31">
          <w:rPr>
            <w:noProof/>
            <w:webHidden/>
          </w:rPr>
          <w:tab/>
        </w:r>
        <w:r w:rsidR="009D0C31">
          <w:rPr>
            <w:noProof/>
            <w:webHidden/>
          </w:rPr>
          <w:fldChar w:fldCharType="begin"/>
        </w:r>
        <w:r w:rsidR="009D0C31">
          <w:rPr>
            <w:noProof/>
            <w:webHidden/>
          </w:rPr>
          <w:instrText xml:space="preserve"> PAGEREF _Toc175904464 \h </w:instrText>
        </w:r>
        <w:r w:rsidR="009D0C31">
          <w:rPr>
            <w:noProof/>
            <w:webHidden/>
          </w:rPr>
        </w:r>
        <w:r w:rsidR="009D0C31">
          <w:rPr>
            <w:noProof/>
            <w:webHidden/>
          </w:rPr>
          <w:fldChar w:fldCharType="separate"/>
        </w:r>
        <w:r w:rsidR="009D0C31">
          <w:rPr>
            <w:noProof/>
            <w:webHidden/>
          </w:rPr>
          <w:t>71</w:t>
        </w:r>
        <w:r w:rsidR="009D0C31">
          <w:rPr>
            <w:noProof/>
            <w:webHidden/>
          </w:rPr>
          <w:fldChar w:fldCharType="end"/>
        </w:r>
      </w:hyperlink>
    </w:p>
    <w:p w14:paraId="11F0CBE5" w14:textId="6F8D6645"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5" w:history="1">
        <w:r w:rsidR="009D0C31" w:rsidRPr="004010A3">
          <w:rPr>
            <w:rStyle w:val="Hyperlink"/>
            <w:noProof/>
          </w:rPr>
          <w:t>Figure 6</w:t>
        </w:r>
        <w:r w:rsidR="009D0C31" w:rsidRPr="004010A3">
          <w:rPr>
            <w:rStyle w:val="Hyperlink"/>
            <w:noProof/>
          </w:rPr>
          <w:noBreakHyphen/>
          <w:t>4 Summary of Integrated TOU Opt-In Potential (MW @ Generator)</w:t>
        </w:r>
        <w:r w:rsidR="009D0C31">
          <w:rPr>
            <w:noProof/>
            <w:webHidden/>
          </w:rPr>
          <w:tab/>
        </w:r>
        <w:r w:rsidR="009D0C31">
          <w:rPr>
            <w:noProof/>
            <w:webHidden/>
          </w:rPr>
          <w:fldChar w:fldCharType="begin"/>
        </w:r>
        <w:r w:rsidR="009D0C31">
          <w:rPr>
            <w:noProof/>
            <w:webHidden/>
          </w:rPr>
          <w:instrText xml:space="preserve"> PAGEREF _Toc175904465 \h </w:instrText>
        </w:r>
        <w:r w:rsidR="009D0C31">
          <w:rPr>
            <w:noProof/>
            <w:webHidden/>
          </w:rPr>
        </w:r>
        <w:r w:rsidR="009D0C31">
          <w:rPr>
            <w:noProof/>
            <w:webHidden/>
          </w:rPr>
          <w:fldChar w:fldCharType="separate"/>
        </w:r>
        <w:r w:rsidR="009D0C31">
          <w:rPr>
            <w:noProof/>
            <w:webHidden/>
          </w:rPr>
          <w:t>80</w:t>
        </w:r>
        <w:r w:rsidR="009D0C31">
          <w:rPr>
            <w:noProof/>
            <w:webHidden/>
          </w:rPr>
          <w:fldChar w:fldCharType="end"/>
        </w:r>
      </w:hyperlink>
    </w:p>
    <w:p w14:paraId="5DCAD87F" w14:textId="3CA0887C"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6" w:history="1">
        <w:r w:rsidR="009D0C31" w:rsidRPr="004010A3">
          <w:rPr>
            <w:rStyle w:val="Hyperlink"/>
            <w:noProof/>
          </w:rPr>
          <w:t>Figure 6</w:t>
        </w:r>
        <w:r w:rsidR="009D0C31" w:rsidRPr="004010A3">
          <w:rPr>
            <w:rStyle w:val="Hyperlink"/>
            <w:noProof/>
          </w:rPr>
          <w:noBreakHyphen/>
          <w:t>5 Summary of Summer Potential by Option – TOU Opt-In (MW @ Generator)</w:t>
        </w:r>
        <w:r w:rsidR="009D0C31">
          <w:rPr>
            <w:noProof/>
            <w:webHidden/>
          </w:rPr>
          <w:tab/>
        </w:r>
        <w:r w:rsidR="009D0C31">
          <w:rPr>
            <w:noProof/>
            <w:webHidden/>
          </w:rPr>
          <w:fldChar w:fldCharType="begin"/>
        </w:r>
        <w:r w:rsidR="009D0C31">
          <w:rPr>
            <w:noProof/>
            <w:webHidden/>
          </w:rPr>
          <w:instrText xml:space="preserve"> PAGEREF _Toc175904466 \h </w:instrText>
        </w:r>
        <w:r w:rsidR="009D0C31">
          <w:rPr>
            <w:noProof/>
            <w:webHidden/>
          </w:rPr>
        </w:r>
        <w:r w:rsidR="009D0C31">
          <w:rPr>
            <w:noProof/>
            <w:webHidden/>
          </w:rPr>
          <w:fldChar w:fldCharType="separate"/>
        </w:r>
        <w:r w:rsidR="009D0C31">
          <w:rPr>
            <w:noProof/>
            <w:webHidden/>
          </w:rPr>
          <w:t>81</w:t>
        </w:r>
        <w:r w:rsidR="009D0C31">
          <w:rPr>
            <w:noProof/>
            <w:webHidden/>
          </w:rPr>
          <w:fldChar w:fldCharType="end"/>
        </w:r>
      </w:hyperlink>
    </w:p>
    <w:p w14:paraId="49E064D7" w14:textId="366A18C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7" w:history="1">
        <w:r w:rsidR="009D0C31" w:rsidRPr="004010A3">
          <w:rPr>
            <w:rStyle w:val="Hyperlink"/>
            <w:noProof/>
          </w:rPr>
          <w:t>Figure 6</w:t>
        </w:r>
        <w:r w:rsidR="009D0C31" w:rsidRPr="004010A3">
          <w:rPr>
            <w:rStyle w:val="Hyperlink"/>
            <w:noProof/>
          </w:rPr>
          <w:noBreakHyphen/>
          <w:t>6 Summer Potential by Class – TOU Opt-In (MW @Generator), Washington</w:t>
        </w:r>
        <w:r w:rsidR="009D0C31">
          <w:rPr>
            <w:noProof/>
            <w:webHidden/>
          </w:rPr>
          <w:tab/>
        </w:r>
        <w:r w:rsidR="009D0C31">
          <w:rPr>
            <w:noProof/>
            <w:webHidden/>
          </w:rPr>
          <w:fldChar w:fldCharType="begin"/>
        </w:r>
        <w:r w:rsidR="009D0C31">
          <w:rPr>
            <w:noProof/>
            <w:webHidden/>
          </w:rPr>
          <w:instrText xml:space="preserve"> PAGEREF _Toc175904467 \h </w:instrText>
        </w:r>
        <w:r w:rsidR="009D0C31">
          <w:rPr>
            <w:noProof/>
            <w:webHidden/>
          </w:rPr>
        </w:r>
        <w:r w:rsidR="009D0C31">
          <w:rPr>
            <w:noProof/>
            <w:webHidden/>
          </w:rPr>
          <w:fldChar w:fldCharType="separate"/>
        </w:r>
        <w:r w:rsidR="009D0C31">
          <w:rPr>
            <w:noProof/>
            <w:webHidden/>
          </w:rPr>
          <w:t>82</w:t>
        </w:r>
        <w:r w:rsidR="009D0C31">
          <w:rPr>
            <w:noProof/>
            <w:webHidden/>
          </w:rPr>
          <w:fldChar w:fldCharType="end"/>
        </w:r>
      </w:hyperlink>
    </w:p>
    <w:p w14:paraId="40896ABD" w14:textId="6DDB1726"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8" w:history="1">
        <w:r w:rsidR="009D0C31" w:rsidRPr="004010A3">
          <w:rPr>
            <w:rStyle w:val="Hyperlink"/>
            <w:noProof/>
          </w:rPr>
          <w:t>Figure 6</w:t>
        </w:r>
        <w:r w:rsidR="009D0C31" w:rsidRPr="004010A3">
          <w:rPr>
            <w:rStyle w:val="Hyperlink"/>
            <w:noProof/>
          </w:rPr>
          <w:noBreakHyphen/>
          <w:t>7 Summer Potential by Class – TOU Opt-In (MW @Generator), Idaho</w:t>
        </w:r>
        <w:r w:rsidR="009D0C31">
          <w:rPr>
            <w:noProof/>
            <w:webHidden/>
          </w:rPr>
          <w:tab/>
        </w:r>
        <w:r w:rsidR="009D0C31">
          <w:rPr>
            <w:noProof/>
            <w:webHidden/>
          </w:rPr>
          <w:fldChar w:fldCharType="begin"/>
        </w:r>
        <w:r w:rsidR="009D0C31">
          <w:rPr>
            <w:noProof/>
            <w:webHidden/>
          </w:rPr>
          <w:instrText xml:space="preserve"> PAGEREF _Toc175904468 \h </w:instrText>
        </w:r>
        <w:r w:rsidR="009D0C31">
          <w:rPr>
            <w:noProof/>
            <w:webHidden/>
          </w:rPr>
        </w:r>
        <w:r w:rsidR="009D0C31">
          <w:rPr>
            <w:noProof/>
            <w:webHidden/>
          </w:rPr>
          <w:fldChar w:fldCharType="separate"/>
        </w:r>
        <w:r w:rsidR="009D0C31">
          <w:rPr>
            <w:noProof/>
            <w:webHidden/>
          </w:rPr>
          <w:t>83</w:t>
        </w:r>
        <w:r w:rsidR="009D0C31">
          <w:rPr>
            <w:noProof/>
            <w:webHidden/>
          </w:rPr>
          <w:fldChar w:fldCharType="end"/>
        </w:r>
      </w:hyperlink>
    </w:p>
    <w:p w14:paraId="72D0BE4E" w14:textId="61600F5F"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69" w:history="1">
        <w:r w:rsidR="009D0C31" w:rsidRPr="004010A3">
          <w:rPr>
            <w:rStyle w:val="Hyperlink"/>
            <w:noProof/>
          </w:rPr>
          <w:t>Figure 6</w:t>
        </w:r>
        <w:r w:rsidR="009D0C31" w:rsidRPr="004010A3">
          <w:rPr>
            <w:rStyle w:val="Hyperlink"/>
            <w:noProof/>
          </w:rPr>
          <w:noBreakHyphen/>
          <w:t>8 Summary of Winter Potential by Option – TOU Opt-In (MW @ Generator)</w:t>
        </w:r>
        <w:r w:rsidR="009D0C31">
          <w:rPr>
            <w:noProof/>
            <w:webHidden/>
          </w:rPr>
          <w:tab/>
        </w:r>
        <w:r w:rsidR="009D0C31">
          <w:rPr>
            <w:noProof/>
            <w:webHidden/>
          </w:rPr>
          <w:fldChar w:fldCharType="begin"/>
        </w:r>
        <w:r w:rsidR="009D0C31">
          <w:rPr>
            <w:noProof/>
            <w:webHidden/>
          </w:rPr>
          <w:instrText xml:space="preserve"> PAGEREF _Toc175904469 \h </w:instrText>
        </w:r>
        <w:r w:rsidR="009D0C31">
          <w:rPr>
            <w:noProof/>
            <w:webHidden/>
          </w:rPr>
        </w:r>
        <w:r w:rsidR="009D0C31">
          <w:rPr>
            <w:noProof/>
            <w:webHidden/>
          </w:rPr>
          <w:fldChar w:fldCharType="separate"/>
        </w:r>
        <w:r w:rsidR="009D0C31">
          <w:rPr>
            <w:noProof/>
            <w:webHidden/>
          </w:rPr>
          <w:t>84</w:t>
        </w:r>
        <w:r w:rsidR="009D0C31">
          <w:rPr>
            <w:noProof/>
            <w:webHidden/>
          </w:rPr>
          <w:fldChar w:fldCharType="end"/>
        </w:r>
      </w:hyperlink>
    </w:p>
    <w:p w14:paraId="4D21BAE2" w14:textId="59B643D5"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70" w:history="1">
        <w:r w:rsidR="009D0C31" w:rsidRPr="004010A3">
          <w:rPr>
            <w:rStyle w:val="Hyperlink"/>
            <w:noProof/>
          </w:rPr>
          <w:t>Figure 6</w:t>
        </w:r>
        <w:r w:rsidR="009D0C31" w:rsidRPr="004010A3">
          <w:rPr>
            <w:rStyle w:val="Hyperlink"/>
            <w:noProof/>
          </w:rPr>
          <w:noBreakHyphen/>
          <w:t>9 Winter Potential by Class – TOU Opt-In (MW @Generator), Washington</w:t>
        </w:r>
        <w:r w:rsidR="009D0C31">
          <w:rPr>
            <w:noProof/>
            <w:webHidden/>
          </w:rPr>
          <w:tab/>
        </w:r>
        <w:r w:rsidR="009D0C31">
          <w:rPr>
            <w:noProof/>
            <w:webHidden/>
          </w:rPr>
          <w:fldChar w:fldCharType="begin"/>
        </w:r>
        <w:r w:rsidR="009D0C31">
          <w:rPr>
            <w:noProof/>
            <w:webHidden/>
          </w:rPr>
          <w:instrText xml:space="preserve"> PAGEREF _Toc175904470 \h </w:instrText>
        </w:r>
        <w:r w:rsidR="009D0C31">
          <w:rPr>
            <w:noProof/>
            <w:webHidden/>
          </w:rPr>
        </w:r>
        <w:r w:rsidR="009D0C31">
          <w:rPr>
            <w:noProof/>
            <w:webHidden/>
          </w:rPr>
          <w:fldChar w:fldCharType="separate"/>
        </w:r>
        <w:r w:rsidR="009D0C31">
          <w:rPr>
            <w:noProof/>
            <w:webHidden/>
          </w:rPr>
          <w:t>85</w:t>
        </w:r>
        <w:r w:rsidR="009D0C31">
          <w:rPr>
            <w:noProof/>
            <w:webHidden/>
          </w:rPr>
          <w:fldChar w:fldCharType="end"/>
        </w:r>
      </w:hyperlink>
    </w:p>
    <w:p w14:paraId="220B5661" w14:textId="5BFFBA34" w:rsidR="009D0C31"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04471" w:history="1">
        <w:r w:rsidR="009D0C31" w:rsidRPr="004010A3">
          <w:rPr>
            <w:rStyle w:val="Hyperlink"/>
            <w:noProof/>
          </w:rPr>
          <w:t>Figure 6</w:t>
        </w:r>
        <w:r w:rsidR="009D0C31" w:rsidRPr="004010A3">
          <w:rPr>
            <w:rStyle w:val="Hyperlink"/>
            <w:noProof/>
          </w:rPr>
          <w:noBreakHyphen/>
          <w:t>10 Winter Potential by Class – TOU Opt-In (MW @Generator), Idaho</w:t>
        </w:r>
        <w:r w:rsidR="009D0C31">
          <w:rPr>
            <w:noProof/>
            <w:webHidden/>
          </w:rPr>
          <w:tab/>
        </w:r>
        <w:r w:rsidR="009D0C31">
          <w:rPr>
            <w:noProof/>
            <w:webHidden/>
          </w:rPr>
          <w:fldChar w:fldCharType="begin"/>
        </w:r>
        <w:r w:rsidR="009D0C31">
          <w:rPr>
            <w:noProof/>
            <w:webHidden/>
          </w:rPr>
          <w:instrText xml:space="preserve"> PAGEREF _Toc175904471 \h </w:instrText>
        </w:r>
        <w:r w:rsidR="009D0C31">
          <w:rPr>
            <w:noProof/>
            <w:webHidden/>
          </w:rPr>
        </w:r>
        <w:r w:rsidR="009D0C31">
          <w:rPr>
            <w:noProof/>
            <w:webHidden/>
          </w:rPr>
          <w:fldChar w:fldCharType="separate"/>
        </w:r>
        <w:r w:rsidR="009D0C31">
          <w:rPr>
            <w:noProof/>
            <w:webHidden/>
          </w:rPr>
          <w:t>86</w:t>
        </w:r>
        <w:r w:rsidR="009D0C31">
          <w:rPr>
            <w:noProof/>
            <w:webHidden/>
          </w:rPr>
          <w:fldChar w:fldCharType="end"/>
        </w:r>
      </w:hyperlink>
    </w:p>
    <w:p w14:paraId="7ABA8463" w14:textId="5AAFF456" w:rsidR="00E72314" w:rsidRDefault="00BD22FA" w:rsidP="00424440">
      <w:pPr>
        <w:spacing w:after="80"/>
        <w:jc w:val="left"/>
      </w:pPr>
      <w:r>
        <w:fldChar w:fldCharType="end"/>
      </w:r>
      <w:r w:rsidR="00E72314">
        <w:rPr>
          <w:lang w:eastAsia="ja-JP"/>
        </w:rPr>
        <w:br w:type="page"/>
      </w:r>
    </w:p>
    <w:p w14:paraId="6075B88F" w14:textId="520670B0" w:rsidR="00E72314" w:rsidRDefault="00E72314" w:rsidP="00FF4586">
      <w:pPr>
        <w:pStyle w:val="TOCMainHeading"/>
        <w:rPr>
          <w:lang w:eastAsia="ja-JP"/>
        </w:rPr>
      </w:pPr>
      <w:r>
        <w:rPr>
          <w:lang w:eastAsia="ja-JP"/>
        </w:rPr>
        <w:lastRenderedPageBreak/>
        <w:t xml:space="preserve">List of </w:t>
      </w:r>
      <w:r w:rsidR="001C3662">
        <w:rPr>
          <w:lang w:eastAsia="ja-JP"/>
        </w:rPr>
        <w:t>Tables</w:t>
      </w:r>
    </w:p>
    <w:p w14:paraId="5B8EC4A7" w14:textId="6554ED08" w:rsidR="00973360" w:rsidRDefault="00CC48F9">
      <w:pPr>
        <w:pStyle w:val="TableofFigures"/>
        <w:tabs>
          <w:tab w:val="right" w:leader="dot" w:pos="9170"/>
        </w:tabs>
        <w:rPr>
          <w:rFonts w:eastAsiaTheme="minorEastAsia" w:cstheme="minorBidi"/>
          <w:noProof/>
          <w:kern w:val="2"/>
          <w:sz w:val="24"/>
          <w:szCs w:val="24"/>
          <w14:ligatures w14:val="standardContextual"/>
        </w:rPr>
      </w:pPr>
      <w:r>
        <w:rPr>
          <w:lang w:eastAsia="ja-JP"/>
        </w:rPr>
        <w:fldChar w:fldCharType="begin"/>
      </w:r>
      <w:r>
        <w:rPr>
          <w:lang w:eastAsia="ja-JP"/>
        </w:rPr>
        <w:instrText xml:space="preserve"> TOC \h \z \c "Table" </w:instrText>
      </w:r>
      <w:r>
        <w:rPr>
          <w:lang w:eastAsia="ja-JP"/>
        </w:rPr>
        <w:fldChar w:fldCharType="separate"/>
      </w:r>
      <w:hyperlink w:anchor="_Toc175912362" w:history="1">
        <w:r w:rsidR="00973360" w:rsidRPr="009F42F1">
          <w:rPr>
            <w:rStyle w:val="Hyperlink"/>
            <w:noProof/>
          </w:rPr>
          <w:t>Table 1</w:t>
        </w:r>
        <w:r w:rsidR="00973360" w:rsidRPr="009F42F1">
          <w:rPr>
            <w:rStyle w:val="Hyperlink"/>
            <w:noProof/>
          </w:rPr>
          <w:noBreakHyphen/>
          <w:t>1 Explanation of Abbreviations and Acronyms</w:t>
        </w:r>
        <w:r w:rsidR="00973360">
          <w:rPr>
            <w:noProof/>
            <w:webHidden/>
          </w:rPr>
          <w:tab/>
        </w:r>
        <w:r w:rsidR="00973360">
          <w:rPr>
            <w:noProof/>
            <w:webHidden/>
          </w:rPr>
          <w:fldChar w:fldCharType="begin"/>
        </w:r>
        <w:r w:rsidR="00973360">
          <w:rPr>
            <w:noProof/>
            <w:webHidden/>
          </w:rPr>
          <w:instrText xml:space="preserve"> PAGEREF _Toc175912362 \h </w:instrText>
        </w:r>
        <w:r w:rsidR="00973360">
          <w:rPr>
            <w:noProof/>
            <w:webHidden/>
          </w:rPr>
        </w:r>
        <w:r w:rsidR="00973360">
          <w:rPr>
            <w:noProof/>
            <w:webHidden/>
          </w:rPr>
          <w:fldChar w:fldCharType="separate"/>
        </w:r>
        <w:r w:rsidR="00973360">
          <w:rPr>
            <w:noProof/>
            <w:webHidden/>
          </w:rPr>
          <w:t>12</w:t>
        </w:r>
        <w:r w:rsidR="00973360">
          <w:rPr>
            <w:noProof/>
            <w:webHidden/>
          </w:rPr>
          <w:fldChar w:fldCharType="end"/>
        </w:r>
      </w:hyperlink>
    </w:p>
    <w:p w14:paraId="0F1B1E53" w14:textId="6F188FE7"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3" w:history="1">
        <w:r w:rsidR="00973360" w:rsidRPr="009F42F1">
          <w:rPr>
            <w:rStyle w:val="Hyperlink"/>
            <w:noProof/>
          </w:rPr>
          <w:t>Table 2</w:t>
        </w:r>
        <w:r w:rsidR="00973360" w:rsidRPr="009F42F1">
          <w:rPr>
            <w:rStyle w:val="Hyperlink"/>
            <w:noProof/>
          </w:rPr>
          <w:noBreakHyphen/>
          <w:t>1 Overview of Avista Analysis Segmentation Scheme</w:t>
        </w:r>
        <w:r w:rsidR="00973360">
          <w:rPr>
            <w:noProof/>
            <w:webHidden/>
          </w:rPr>
          <w:tab/>
        </w:r>
        <w:r w:rsidR="00973360">
          <w:rPr>
            <w:noProof/>
            <w:webHidden/>
          </w:rPr>
          <w:fldChar w:fldCharType="begin"/>
        </w:r>
        <w:r w:rsidR="00973360">
          <w:rPr>
            <w:noProof/>
            <w:webHidden/>
          </w:rPr>
          <w:instrText xml:space="preserve"> PAGEREF _Toc175912363 \h </w:instrText>
        </w:r>
        <w:r w:rsidR="00973360">
          <w:rPr>
            <w:noProof/>
            <w:webHidden/>
          </w:rPr>
        </w:r>
        <w:r w:rsidR="00973360">
          <w:rPr>
            <w:noProof/>
            <w:webHidden/>
          </w:rPr>
          <w:fldChar w:fldCharType="separate"/>
        </w:r>
        <w:r w:rsidR="00973360">
          <w:rPr>
            <w:noProof/>
            <w:webHidden/>
          </w:rPr>
          <w:t>15</w:t>
        </w:r>
        <w:r w:rsidR="00973360">
          <w:rPr>
            <w:noProof/>
            <w:webHidden/>
          </w:rPr>
          <w:fldChar w:fldCharType="end"/>
        </w:r>
      </w:hyperlink>
    </w:p>
    <w:p w14:paraId="1E671FF6" w14:textId="32594D79"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4" w:history="1">
        <w:r w:rsidR="00973360" w:rsidRPr="009F42F1">
          <w:rPr>
            <w:rStyle w:val="Hyperlink"/>
            <w:noProof/>
          </w:rPr>
          <w:t>Table 2</w:t>
        </w:r>
        <w:r w:rsidR="00973360" w:rsidRPr="009F42F1">
          <w:rPr>
            <w:rStyle w:val="Hyperlink"/>
            <w:noProof/>
          </w:rPr>
          <w:noBreakHyphen/>
          <w:t>2 Number of Measures Evaluated</w:t>
        </w:r>
        <w:r w:rsidR="00973360">
          <w:rPr>
            <w:noProof/>
            <w:webHidden/>
          </w:rPr>
          <w:tab/>
        </w:r>
        <w:r w:rsidR="00973360">
          <w:rPr>
            <w:noProof/>
            <w:webHidden/>
          </w:rPr>
          <w:fldChar w:fldCharType="begin"/>
        </w:r>
        <w:r w:rsidR="00973360">
          <w:rPr>
            <w:noProof/>
            <w:webHidden/>
          </w:rPr>
          <w:instrText xml:space="preserve"> PAGEREF _Toc175912364 \h </w:instrText>
        </w:r>
        <w:r w:rsidR="00973360">
          <w:rPr>
            <w:noProof/>
            <w:webHidden/>
          </w:rPr>
        </w:r>
        <w:r w:rsidR="00973360">
          <w:rPr>
            <w:noProof/>
            <w:webHidden/>
          </w:rPr>
          <w:fldChar w:fldCharType="separate"/>
        </w:r>
        <w:r w:rsidR="00973360">
          <w:rPr>
            <w:noProof/>
            <w:webHidden/>
          </w:rPr>
          <w:t>19</w:t>
        </w:r>
        <w:r w:rsidR="00973360">
          <w:rPr>
            <w:noProof/>
            <w:webHidden/>
          </w:rPr>
          <w:fldChar w:fldCharType="end"/>
        </w:r>
      </w:hyperlink>
    </w:p>
    <w:p w14:paraId="7541D09E" w14:textId="36826D54"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5" w:history="1">
        <w:r w:rsidR="00973360" w:rsidRPr="009F42F1">
          <w:rPr>
            <w:rStyle w:val="Hyperlink"/>
            <w:noProof/>
          </w:rPr>
          <w:t>Table 2</w:t>
        </w:r>
        <w:r w:rsidR="00973360" w:rsidRPr="009F42F1">
          <w:rPr>
            <w:rStyle w:val="Hyperlink"/>
            <w:noProof/>
          </w:rPr>
          <w:noBreakHyphen/>
          <w:t>3 Data Applied for the Market Profiles</w:t>
        </w:r>
        <w:r w:rsidR="00973360">
          <w:rPr>
            <w:noProof/>
            <w:webHidden/>
          </w:rPr>
          <w:tab/>
        </w:r>
        <w:r w:rsidR="00973360">
          <w:rPr>
            <w:noProof/>
            <w:webHidden/>
          </w:rPr>
          <w:fldChar w:fldCharType="begin"/>
        </w:r>
        <w:r w:rsidR="00973360">
          <w:rPr>
            <w:noProof/>
            <w:webHidden/>
          </w:rPr>
          <w:instrText xml:space="preserve"> PAGEREF _Toc175912365 \h </w:instrText>
        </w:r>
        <w:r w:rsidR="00973360">
          <w:rPr>
            <w:noProof/>
            <w:webHidden/>
          </w:rPr>
        </w:r>
        <w:r w:rsidR="00973360">
          <w:rPr>
            <w:noProof/>
            <w:webHidden/>
          </w:rPr>
          <w:fldChar w:fldCharType="separate"/>
        </w:r>
        <w:r w:rsidR="00973360">
          <w:rPr>
            <w:noProof/>
            <w:webHidden/>
          </w:rPr>
          <w:t>22</w:t>
        </w:r>
        <w:r w:rsidR="00973360">
          <w:rPr>
            <w:noProof/>
            <w:webHidden/>
          </w:rPr>
          <w:fldChar w:fldCharType="end"/>
        </w:r>
      </w:hyperlink>
    </w:p>
    <w:p w14:paraId="78ED3CB3" w14:textId="30C0B293"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6" w:history="1">
        <w:r w:rsidR="00973360" w:rsidRPr="009F42F1">
          <w:rPr>
            <w:rStyle w:val="Hyperlink"/>
            <w:noProof/>
          </w:rPr>
          <w:t>Table 2</w:t>
        </w:r>
        <w:r w:rsidR="00973360" w:rsidRPr="009F42F1">
          <w:rPr>
            <w:rStyle w:val="Hyperlink"/>
            <w:noProof/>
          </w:rPr>
          <w:noBreakHyphen/>
          <w:t>4 Data Needs for Baseline Projection and Potentials Estimation in LoadMAP</w:t>
        </w:r>
        <w:r w:rsidR="00973360">
          <w:rPr>
            <w:noProof/>
            <w:webHidden/>
          </w:rPr>
          <w:tab/>
        </w:r>
        <w:r w:rsidR="00973360">
          <w:rPr>
            <w:noProof/>
            <w:webHidden/>
          </w:rPr>
          <w:fldChar w:fldCharType="begin"/>
        </w:r>
        <w:r w:rsidR="00973360">
          <w:rPr>
            <w:noProof/>
            <w:webHidden/>
          </w:rPr>
          <w:instrText xml:space="preserve"> PAGEREF _Toc175912366 \h </w:instrText>
        </w:r>
        <w:r w:rsidR="00973360">
          <w:rPr>
            <w:noProof/>
            <w:webHidden/>
          </w:rPr>
        </w:r>
        <w:r w:rsidR="00973360">
          <w:rPr>
            <w:noProof/>
            <w:webHidden/>
          </w:rPr>
          <w:fldChar w:fldCharType="separate"/>
        </w:r>
        <w:r w:rsidR="00973360">
          <w:rPr>
            <w:noProof/>
            <w:webHidden/>
          </w:rPr>
          <w:t>23</w:t>
        </w:r>
        <w:r w:rsidR="00973360">
          <w:rPr>
            <w:noProof/>
            <w:webHidden/>
          </w:rPr>
          <w:fldChar w:fldCharType="end"/>
        </w:r>
      </w:hyperlink>
    </w:p>
    <w:p w14:paraId="403E903F" w14:textId="0DF6A0D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7" w:history="1">
        <w:r w:rsidR="00973360" w:rsidRPr="009F42F1">
          <w:rPr>
            <w:rStyle w:val="Hyperlink"/>
            <w:noProof/>
          </w:rPr>
          <w:t>Table 2</w:t>
        </w:r>
        <w:r w:rsidR="00973360" w:rsidRPr="009F42F1">
          <w:rPr>
            <w:rStyle w:val="Hyperlink"/>
            <w:noProof/>
          </w:rPr>
          <w:noBreakHyphen/>
          <w:t>5 Residential Electric Equipment Standards</w:t>
        </w:r>
        <w:r w:rsidR="00973360">
          <w:rPr>
            <w:noProof/>
            <w:webHidden/>
          </w:rPr>
          <w:tab/>
        </w:r>
        <w:r w:rsidR="00973360">
          <w:rPr>
            <w:noProof/>
            <w:webHidden/>
          </w:rPr>
          <w:fldChar w:fldCharType="begin"/>
        </w:r>
        <w:r w:rsidR="00973360">
          <w:rPr>
            <w:noProof/>
            <w:webHidden/>
          </w:rPr>
          <w:instrText xml:space="preserve"> PAGEREF _Toc175912367 \h </w:instrText>
        </w:r>
        <w:r w:rsidR="00973360">
          <w:rPr>
            <w:noProof/>
            <w:webHidden/>
          </w:rPr>
        </w:r>
        <w:r w:rsidR="00973360">
          <w:rPr>
            <w:noProof/>
            <w:webHidden/>
          </w:rPr>
          <w:fldChar w:fldCharType="separate"/>
        </w:r>
        <w:r w:rsidR="00973360">
          <w:rPr>
            <w:noProof/>
            <w:webHidden/>
          </w:rPr>
          <w:t>24</w:t>
        </w:r>
        <w:r w:rsidR="00973360">
          <w:rPr>
            <w:noProof/>
            <w:webHidden/>
          </w:rPr>
          <w:fldChar w:fldCharType="end"/>
        </w:r>
      </w:hyperlink>
    </w:p>
    <w:p w14:paraId="3B30860C" w14:textId="79428583"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8" w:history="1">
        <w:r w:rsidR="00973360" w:rsidRPr="009F42F1">
          <w:rPr>
            <w:rStyle w:val="Hyperlink"/>
            <w:noProof/>
          </w:rPr>
          <w:t>Table 2</w:t>
        </w:r>
        <w:r w:rsidR="00973360" w:rsidRPr="009F42F1">
          <w:rPr>
            <w:rStyle w:val="Hyperlink"/>
            <w:noProof/>
          </w:rPr>
          <w:noBreakHyphen/>
          <w:t>6 Commercial and Industrial Electric Equipment Standards</w:t>
        </w:r>
        <w:r w:rsidR="00973360">
          <w:rPr>
            <w:noProof/>
            <w:webHidden/>
          </w:rPr>
          <w:tab/>
        </w:r>
        <w:r w:rsidR="00973360">
          <w:rPr>
            <w:noProof/>
            <w:webHidden/>
          </w:rPr>
          <w:fldChar w:fldCharType="begin"/>
        </w:r>
        <w:r w:rsidR="00973360">
          <w:rPr>
            <w:noProof/>
            <w:webHidden/>
          </w:rPr>
          <w:instrText xml:space="preserve"> PAGEREF _Toc175912368 \h </w:instrText>
        </w:r>
        <w:r w:rsidR="00973360">
          <w:rPr>
            <w:noProof/>
            <w:webHidden/>
          </w:rPr>
        </w:r>
        <w:r w:rsidR="00973360">
          <w:rPr>
            <w:noProof/>
            <w:webHidden/>
          </w:rPr>
          <w:fldChar w:fldCharType="separate"/>
        </w:r>
        <w:r w:rsidR="00973360">
          <w:rPr>
            <w:noProof/>
            <w:webHidden/>
          </w:rPr>
          <w:t>25</w:t>
        </w:r>
        <w:r w:rsidR="00973360">
          <w:rPr>
            <w:noProof/>
            <w:webHidden/>
          </w:rPr>
          <w:fldChar w:fldCharType="end"/>
        </w:r>
      </w:hyperlink>
    </w:p>
    <w:p w14:paraId="4F9346EF" w14:textId="3B9F56A4"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69" w:history="1">
        <w:r w:rsidR="00973360" w:rsidRPr="009F42F1">
          <w:rPr>
            <w:rStyle w:val="Hyperlink"/>
            <w:noProof/>
          </w:rPr>
          <w:t>Table 2</w:t>
        </w:r>
        <w:r w:rsidR="00973360" w:rsidRPr="009F42F1">
          <w:rPr>
            <w:rStyle w:val="Hyperlink"/>
            <w:noProof/>
          </w:rPr>
          <w:noBreakHyphen/>
          <w:t>7 Data Needs for Measure Characteristics in LoadMAP</w:t>
        </w:r>
        <w:r w:rsidR="00973360">
          <w:rPr>
            <w:noProof/>
            <w:webHidden/>
          </w:rPr>
          <w:tab/>
        </w:r>
        <w:r w:rsidR="00973360">
          <w:rPr>
            <w:noProof/>
            <w:webHidden/>
          </w:rPr>
          <w:fldChar w:fldCharType="begin"/>
        </w:r>
        <w:r w:rsidR="00973360">
          <w:rPr>
            <w:noProof/>
            <w:webHidden/>
          </w:rPr>
          <w:instrText xml:space="preserve"> PAGEREF _Toc175912369 \h </w:instrText>
        </w:r>
        <w:r w:rsidR="00973360">
          <w:rPr>
            <w:noProof/>
            <w:webHidden/>
          </w:rPr>
        </w:r>
        <w:r w:rsidR="00973360">
          <w:rPr>
            <w:noProof/>
            <w:webHidden/>
          </w:rPr>
          <w:fldChar w:fldCharType="separate"/>
        </w:r>
        <w:r w:rsidR="00973360">
          <w:rPr>
            <w:noProof/>
            <w:webHidden/>
          </w:rPr>
          <w:t>26</w:t>
        </w:r>
        <w:r w:rsidR="00973360">
          <w:rPr>
            <w:noProof/>
            <w:webHidden/>
          </w:rPr>
          <w:fldChar w:fldCharType="end"/>
        </w:r>
      </w:hyperlink>
    </w:p>
    <w:p w14:paraId="60153117" w14:textId="4646CCCA"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0" w:history="1">
        <w:r w:rsidR="00973360" w:rsidRPr="009F42F1">
          <w:rPr>
            <w:rStyle w:val="Hyperlink"/>
            <w:noProof/>
          </w:rPr>
          <w:t>Table 3</w:t>
        </w:r>
        <w:r w:rsidR="00973360" w:rsidRPr="009F42F1">
          <w:rPr>
            <w:rStyle w:val="Hyperlink"/>
            <w:noProof/>
          </w:rPr>
          <w:noBreakHyphen/>
          <w:t>1 Avista Sector Control Totals (2021), Washington</w:t>
        </w:r>
        <w:r w:rsidR="00973360">
          <w:rPr>
            <w:noProof/>
            <w:webHidden/>
          </w:rPr>
          <w:tab/>
        </w:r>
        <w:r w:rsidR="00973360">
          <w:rPr>
            <w:noProof/>
            <w:webHidden/>
          </w:rPr>
          <w:fldChar w:fldCharType="begin"/>
        </w:r>
        <w:r w:rsidR="00973360">
          <w:rPr>
            <w:noProof/>
            <w:webHidden/>
          </w:rPr>
          <w:instrText xml:space="preserve"> PAGEREF _Toc175912370 \h </w:instrText>
        </w:r>
        <w:r w:rsidR="00973360">
          <w:rPr>
            <w:noProof/>
            <w:webHidden/>
          </w:rPr>
        </w:r>
        <w:r w:rsidR="00973360">
          <w:rPr>
            <w:noProof/>
            <w:webHidden/>
          </w:rPr>
          <w:fldChar w:fldCharType="separate"/>
        </w:r>
        <w:r w:rsidR="00973360">
          <w:rPr>
            <w:noProof/>
            <w:webHidden/>
          </w:rPr>
          <w:t>28</w:t>
        </w:r>
        <w:r w:rsidR="00973360">
          <w:rPr>
            <w:noProof/>
            <w:webHidden/>
          </w:rPr>
          <w:fldChar w:fldCharType="end"/>
        </w:r>
      </w:hyperlink>
    </w:p>
    <w:p w14:paraId="28091945" w14:textId="35F41E1E"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1" w:history="1">
        <w:r w:rsidR="00973360" w:rsidRPr="009F42F1">
          <w:rPr>
            <w:rStyle w:val="Hyperlink"/>
            <w:noProof/>
          </w:rPr>
          <w:t>Table 3</w:t>
        </w:r>
        <w:r w:rsidR="00973360" w:rsidRPr="009F42F1">
          <w:rPr>
            <w:rStyle w:val="Hyperlink"/>
            <w:noProof/>
          </w:rPr>
          <w:noBreakHyphen/>
          <w:t>2 Avista Sector Control Totals (2021), Idaho</w:t>
        </w:r>
        <w:r w:rsidR="00973360">
          <w:rPr>
            <w:noProof/>
            <w:webHidden/>
          </w:rPr>
          <w:tab/>
        </w:r>
        <w:r w:rsidR="00973360">
          <w:rPr>
            <w:noProof/>
            <w:webHidden/>
          </w:rPr>
          <w:fldChar w:fldCharType="begin"/>
        </w:r>
        <w:r w:rsidR="00973360">
          <w:rPr>
            <w:noProof/>
            <w:webHidden/>
          </w:rPr>
          <w:instrText xml:space="preserve"> PAGEREF _Toc175912371 \h </w:instrText>
        </w:r>
        <w:r w:rsidR="00973360">
          <w:rPr>
            <w:noProof/>
            <w:webHidden/>
          </w:rPr>
        </w:r>
        <w:r w:rsidR="00973360">
          <w:rPr>
            <w:noProof/>
            <w:webHidden/>
          </w:rPr>
          <w:fldChar w:fldCharType="separate"/>
        </w:r>
        <w:r w:rsidR="00973360">
          <w:rPr>
            <w:noProof/>
            <w:webHidden/>
          </w:rPr>
          <w:t>29</w:t>
        </w:r>
        <w:r w:rsidR="00973360">
          <w:rPr>
            <w:noProof/>
            <w:webHidden/>
          </w:rPr>
          <w:fldChar w:fldCharType="end"/>
        </w:r>
      </w:hyperlink>
    </w:p>
    <w:p w14:paraId="001B44B6" w14:textId="5A5E61C8"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2" w:history="1">
        <w:r w:rsidR="00973360" w:rsidRPr="009F42F1">
          <w:rPr>
            <w:rStyle w:val="Hyperlink"/>
            <w:noProof/>
          </w:rPr>
          <w:t>Table 3</w:t>
        </w:r>
        <w:r w:rsidR="00973360" w:rsidRPr="009F42F1">
          <w:rPr>
            <w:rStyle w:val="Hyperlink"/>
            <w:noProof/>
          </w:rPr>
          <w:noBreakHyphen/>
          <w:t>3 Base Year Electric Consumption Summary (Control Totals), Washington</w:t>
        </w:r>
        <w:r w:rsidR="00973360">
          <w:rPr>
            <w:noProof/>
            <w:webHidden/>
          </w:rPr>
          <w:tab/>
        </w:r>
        <w:r w:rsidR="00973360">
          <w:rPr>
            <w:noProof/>
            <w:webHidden/>
          </w:rPr>
          <w:fldChar w:fldCharType="begin"/>
        </w:r>
        <w:r w:rsidR="00973360">
          <w:rPr>
            <w:noProof/>
            <w:webHidden/>
          </w:rPr>
          <w:instrText xml:space="preserve"> PAGEREF _Toc175912372 \h </w:instrText>
        </w:r>
        <w:r w:rsidR="00973360">
          <w:rPr>
            <w:noProof/>
            <w:webHidden/>
          </w:rPr>
        </w:r>
        <w:r w:rsidR="00973360">
          <w:rPr>
            <w:noProof/>
            <w:webHidden/>
          </w:rPr>
          <w:fldChar w:fldCharType="separate"/>
        </w:r>
        <w:r w:rsidR="00973360">
          <w:rPr>
            <w:noProof/>
            <w:webHidden/>
          </w:rPr>
          <w:t>30</w:t>
        </w:r>
        <w:r w:rsidR="00973360">
          <w:rPr>
            <w:noProof/>
            <w:webHidden/>
          </w:rPr>
          <w:fldChar w:fldCharType="end"/>
        </w:r>
      </w:hyperlink>
    </w:p>
    <w:p w14:paraId="3127A906" w14:textId="02753E22"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3" w:history="1">
        <w:r w:rsidR="00973360" w:rsidRPr="009F42F1">
          <w:rPr>
            <w:rStyle w:val="Hyperlink"/>
            <w:noProof/>
          </w:rPr>
          <w:t>Table 3</w:t>
        </w:r>
        <w:r w:rsidR="00973360" w:rsidRPr="009F42F1">
          <w:rPr>
            <w:rStyle w:val="Hyperlink"/>
            <w:noProof/>
          </w:rPr>
          <w:noBreakHyphen/>
          <w:t>4 Base Year Electric Consumption Summary (Control Totals), Idaho</w:t>
        </w:r>
        <w:r w:rsidR="00973360">
          <w:rPr>
            <w:noProof/>
            <w:webHidden/>
          </w:rPr>
          <w:tab/>
        </w:r>
        <w:r w:rsidR="00973360">
          <w:rPr>
            <w:noProof/>
            <w:webHidden/>
          </w:rPr>
          <w:fldChar w:fldCharType="begin"/>
        </w:r>
        <w:r w:rsidR="00973360">
          <w:rPr>
            <w:noProof/>
            <w:webHidden/>
          </w:rPr>
          <w:instrText xml:space="preserve"> PAGEREF _Toc175912373 \h </w:instrText>
        </w:r>
        <w:r w:rsidR="00973360">
          <w:rPr>
            <w:noProof/>
            <w:webHidden/>
          </w:rPr>
        </w:r>
        <w:r w:rsidR="00973360">
          <w:rPr>
            <w:noProof/>
            <w:webHidden/>
          </w:rPr>
          <w:fldChar w:fldCharType="separate"/>
        </w:r>
        <w:r w:rsidR="00973360">
          <w:rPr>
            <w:noProof/>
            <w:webHidden/>
          </w:rPr>
          <w:t>30</w:t>
        </w:r>
        <w:r w:rsidR="00973360">
          <w:rPr>
            <w:noProof/>
            <w:webHidden/>
          </w:rPr>
          <w:fldChar w:fldCharType="end"/>
        </w:r>
      </w:hyperlink>
    </w:p>
    <w:p w14:paraId="598C19C8" w14:textId="1882EAD1"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4" w:history="1">
        <w:r w:rsidR="00973360" w:rsidRPr="009F42F1">
          <w:rPr>
            <w:rStyle w:val="Hyperlink"/>
            <w:noProof/>
          </w:rPr>
          <w:t>Table 3</w:t>
        </w:r>
        <w:r w:rsidR="00973360" w:rsidRPr="009F42F1">
          <w:rPr>
            <w:rStyle w:val="Hyperlink"/>
            <w:noProof/>
          </w:rPr>
          <w:noBreakHyphen/>
          <w:t>5 Base Year Electric Consumption Summary (Control Totals), Washington</w:t>
        </w:r>
        <w:r w:rsidR="00973360">
          <w:rPr>
            <w:noProof/>
            <w:webHidden/>
          </w:rPr>
          <w:tab/>
        </w:r>
        <w:r w:rsidR="00973360">
          <w:rPr>
            <w:noProof/>
            <w:webHidden/>
          </w:rPr>
          <w:fldChar w:fldCharType="begin"/>
        </w:r>
        <w:r w:rsidR="00973360">
          <w:rPr>
            <w:noProof/>
            <w:webHidden/>
          </w:rPr>
          <w:instrText xml:space="preserve"> PAGEREF _Toc175912374 \h </w:instrText>
        </w:r>
        <w:r w:rsidR="00973360">
          <w:rPr>
            <w:noProof/>
            <w:webHidden/>
          </w:rPr>
        </w:r>
        <w:r w:rsidR="00973360">
          <w:rPr>
            <w:noProof/>
            <w:webHidden/>
          </w:rPr>
          <w:fldChar w:fldCharType="separate"/>
        </w:r>
        <w:r w:rsidR="00973360">
          <w:rPr>
            <w:noProof/>
            <w:webHidden/>
          </w:rPr>
          <w:t>33</w:t>
        </w:r>
        <w:r w:rsidR="00973360">
          <w:rPr>
            <w:noProof/>
            <w:webHidden/>
          </w:rPr>
          <w:fldChar w:fldCharType="end"/>
        </w:r>
      </w:hyperlink>
    </w:p>
    <w:p w14:paraId="6EC5E445" w14:textId="08249772"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5" w:history="1">
        <w:r w:rsidR="00973360" w:rsidRPr="009F42F1">
          <w:rPr>
            <w:rStyle w:val="Hyperlink"/>
            <w:noProof/>
          </w:rPr>
          <w:t>Table 3</w:t>
        </w:r>
        <w:r w:rsidR="00973360" w:rsidRPr="009F42F1">
          <w:rPr>
            <w:rStyle w:val="Hyperlink"/>
            <w:noProof/>
          </w:rPr>
          <w:noBreakHyphen/>
          <w:t>6 Base Year Electric Consumption Summary (Control Totals), Idaho</w:t>
        </w:r>
        <w:r w:rsidR="00973360">
          <w:rPr>
            <w:noProof/>
            <w:webHidden/>
          </w:rPr>
          <w:tab/>
        </w:r>
        <w:r w:rsidR="00973360">
          <w:rPr>
            <w:noProof/>
            <w:webHidden/>
          </w:rPr>
          <w:fldChar w:fldCharType="begin"/>
        </w:r>
        <w:r w:rsidR="00973360">
          <w:rPr>
            <w:noProof/>
            <w:webHidden/>
          </w:rPr>
          <w:instrText xml:space="preserve"> PAGEREF _Toc175912375 \h </w:instrText>
        </w:r>
        <w:r w:rsidR="00973360">
          <w:rPr>
            <w:noProof/>
            <w:webHidden/>
          </w:rPr>
        </w:r>
        <w:r w:rsidR="00973360">
          <w:rPr>
            <w:noProof/>
            <w:webHidden/>
          </w:rPr>
          <w:fldChar w:fldCharType="separate"/>
        </w:r>
        <w:r w:rsidR="00973360">
          <w:rPr>
            <w:noProof/>
            <w:webHidden/>
          </w:rPr>
          <w:t>33</w:t>
        </w:r>
        <w:r w:rsidR="00973360">
          <w:rPr>
            <w:noProof/>
            <w:webHidden/>
          </w:rPr>
          <w:fldChar w:fldCharType="end"/>
        </w:r>
      </w:hyperlink>
    </w:p>
    <w:p w14:paraId="38D32A5F" w14:textId="4BF39C28"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6" w:history="1">
        <w:r w:rsidR="00973360" w:rsidRPr="009F42F1">
          <w:rPr>
            <w:rStyle w:val="Hyperlink"/>
            <w:noProof/>
          </w:rPr>
          <w:t>Table 3</w:t>
        </w:r>
        <w:r w:rsidR="00973360" w:rsidRPr="009F42F1">
          <w:rPr>
            <w:rStyle w:val="Hyperlink"/>
            <w:noProof/>
          </w:rPr>
          <w:noBreakHyphen/>
          <w:t>7 Base Year Electric Consumption Summary (Control Totals), Washington</w:t>
        </w:r>
        <w:r w:rsidR="00973360">
          <w:rPr>
            <w:noProof/>
            <w:webHidden/>
          </w:rPr>
          <w:tab/>
        </w:r>
        <w:r w:rsidR="00973360">
          <w:rPr>
            <w:noProof/>
            <w:webHidden/>
          </w:rPr>
          <w:fldChar w:fldCharType="begin"/>
        </w:r>
        <w:r w:rsidR="00973360">
          <w:rPr>
            <w:noProof/>
            <w:webHidden/>
          </w:rPr>
          <w:instrText xml:space="preserve"> PAGEREF _Toc175912376 \h </w:instrText>
        </w:r>
        <w:r w:rsidR="00973360">
          <w:rPr>
            <w:noProof/>
            <w:webHidden/>
          </w:rPr>
        </w:r>
        <w:r w:rsidR="00973360">
          <w:rPr>
            <w:noProof/>
            <w:webHidden/>
          </w:rPr>
          <w:fldChar w:fldCharType="separate"/>
        </w:r>
        <w:r w:rsidR="00973360">
          <w:rPr>
            <w:noProof/>
            <w:webHidden/>
          </w:rPr>
          <w:t>36</w:t>
        </w:r>
        <w:r w:rsidR="00973360">
          <w:rPr>
            <w:noProof/>
            <w:webHidden/>
          </w:rPr>
          <w:fldChar w:fldCharType="end"/>
        </w:r>
      </w:hyperlink>
    </w:p>
    <w:p w14:paraId="180D495E" w14:textId="3C18BEFA"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7" w:history="1">
        <w:r w:rsidR="00973360" w:rsidRPr="009F42F1">
          <w:rPr>
            <w:rStyle w:val="Hyperlink"/>
            <w:noProof/>
          </w:rPr>
          <w:t>Table 3</w:t>
        </w:r>
        <w:r w:rsidR="00973360" w:rsidRPr="009F42F1">
          <w:rPr>
            <w:rStyle w:val="Hyperlink"/>
            <w:noProof/>
          </w:rPr>
          <w:noBreakHyphen/>
          <w:t>8 Base Year Electric Consumption Summary (Control Totals), Idaho</w:t>
        </w:r>
        <w:r w:rsidR="00973360">
          <w:rPr>
            <w:noProof/>
            <w:webHidden/>
          </w:rPr>
          <w:tab/>
        </w:r>
        <w:r w:rsidR="00973360">
          <w:rPr>
            <w:noProof/>
            <w:webHidden/>
          </w:rPr>
          <w:fldChar w:fldCharType="begin"/>
        </w:r>
        <w:r w:rsidR="00973360">
          <w:rPr>
            <w:noProof/>
            <w:webHidden/>
          </w:rPr>
          <w:instrText xml:space="preserve"> PAGEREF _Toc175912377 \h </w:instrText>
        </w:r>
        <w:r w:rsidR="00973360">
          <w:rPr>
            <w:noProof/>
            <w:webHidden/>
          </w:rPr>
        </w:r>
        <w:r w:rsidR="00973360">
          <w:rPr>
            <w:noProof/>
            <w:webHidden/>
          </w:rPr>
          <w:fldChar w:fldCharType="separate"/>
        </w:r>
        <w:r w:rsidR="00973360">
          <w:rPr>
            <w:noProof/>
            <w:webHidden/>
          </w:rPr>
          <w:t>36</w:t>
        </w:r>
        <w:r w:rsidR="00973360">
          <w:rPr>
            <w:noProof/>
            <w:webHidden/>
          </w:rPr>
          <w:fldChar w:fldCharType="end"/>
        </w:r>
      </w:hyperlink>
    </w:p>
    <w:p w14:paraId="50C4603B" w14:textId="4CDB8A02"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8" w:history="1">
        <w:r w:rsidR="00973360" w:rsidRPr="009F42F1">
          <w:rPr>
            <w:rStyle w:val="Hyperlink"/>
            <w:noProof/>
          </w:rPr>
          <w:t>Table 4</w:t>
        </w:r>
        <w:r w:rsidR="00973360" w:rsidRPr="009F42F1">
          <w:rPr>
            <w:rStyle w:val="Hyperlink"/>
            <w:noProof/>
          </w:rPr>
          <w:noBreakHyphen/>
          <w:t>1 Residential Baseline Sales Projection by End Use (GWh), Washington</w:t>
        </w:r>
        <w:r w:rsidR="00973360">
          <w:rPr>
            <w:noProof/>
            <w:webHidden/>
          </w:rPr>
          <w:tab/>
        </w:r>
        <w:r w:rsidR="00973360">
          <w:rPr>
            <w:noProof/>
            <w:webHidden/>
          </w:rPr>
          <w:fldChar w:fldCharType="begin"/>
        </w:r>
        <w:r w:rsidR="00973360">
          <w:rPr>
            <w:noProof/>
            <w:webHidden/>
          </w:rPr>
          <w:instrText xml:space="preserve"> PAGEREF _Toc175912378 \h </w:instrText>
        </w:r>
        <w:r w:rsidR="00973360">
          <w:rPr>
            <w:noProof/>
            <w:webHidden/>
          </w:rPr>
        </w:r>
        <w:r w:rsidR="00973360">
          <w:rPr>
            <w:noProof/>
            <w:webHidden/>
          </w:rPr>
          <w:fldChar w:fldCharType="separate"/>
        </w:r>
        <w:r w:rsidR="00973360">
          <w:rPr>
            <w:noProof/>
            <w:webHidden/>
          </w:rPr>
          <w:t>39</w:t>
        </w:r>
        <w:r w:rsidR="00973360">
          <w:rPr>
            <w:noProof/>
            <w:webHidden/>
          </w:rPr>
          <w:fldChar w:fldCharType="end"/>
        </w:r>
      </w:hyperlink>
    </w:p>
    <w:p w14:paraId="18ACA368" w14:textId="6C91B1F1"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79" w:history="1">
        <w:r w:rsidR="00973360" w:rsidRPr="009F42F1">
          <w:rPr>
            <w:rStyle w:val="Hyperlink"/>
            <w:noProof/>
          </w:rPr>
          <w:t>Table 4</w:t>
        </w:r>
        <w:r w:rsidR="00973360" w:rsidRPr="009F42F1">
          <w:rPr>
            <w:rStyle w:val="Hyperlink"/>
            <w:noProof/>
          </w:rPr>
          <w:noBreakHyphen/>
          <w:t>2 Residential Baseline Sales Projection by End Use (GWh), Idaho</w:t>
        </w:r>
        <w:r w:rsidR="00973360">
          <w:rPr>
            <w:noProof/>
            <w:webHidden/>
          </w:rPr>
          <w:tab/>
        </w:r>
        <w:r w:rsidR="00973360">
          <w:rPr>
            <w:noProof/>
            <w:webHidden/>
          </w:rPr>
          <w:fldChar w:fldCharType="begin"/>
        </w:r>
        <w:r w:rsidR="00973360">
          <w:rPr>
            <w:noProof/>
            <w:webHidden/>
          </w:rPr>
          <w:instrText xml:space="preserve"> PAGEREF _Toc175912379 \h </w:instrText>
        </w:r>
        <w:r w:rsidR="00973360">
          <w:rPr>
            <w:noProof/>
            <w:webHidden/>
          </w:rPr>
        </w:r>
        <w:r w:rsidR="00973360">
          <w:rPr>
            <w:noProof/>
            <w:webHidden/>
          </w:rPr>
          <w:fldChar w:fldCharType="separate"/>
        </w:r>
        <w:r w:rsidR="00973360">
          <w:rPr>
            <w:noProof/>
            <w:webHidden/>
          </w:rPr>
          <w:t>40</w:t>
        </w:r>
        <w:r w:rsidR="00973360">
          <w:rPr>
            <w:noProof/>
            <w:webHidden/>
          </w:rPr>
          <w:fldChar w:fldCharType="end"/>
        </w:r>
      </w:hyperlink>
    </w:p>
    <w:p w14:paraId="32059CCE" w14:textId="4E544D32"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0" w:history="1">
        <w:r w:rsidR="00973360" w:rsidRPr="009F42F1">
          <w:rPr>
            <w:rStyle w:val="Hyperlink"/>
            <w:noProof/>
          </w:rPr>
          <w:t>Table 4</w:t>
        </w:r>
        <w:r w:rsidR="00973360" w:rsidRPr="009F42F1">
          <w:rPr>
            <w:rStyle w:val="Hyperlink"/>
            <w:noProof/>
          </w:rPr>
          <w:noBreakHyphen/>
          <w:t>3 Commercial Baseline Sales Projection by End Use (GWh), Washington</w:t>
        </w:r>
        <w:r w:rsidR="00973360">
          <w:rPr>
            <w:noProof/>
            <w:webHidden/>
          </w:rPr>
          <w:tab/>
        </w:r>
        <w:r w:rsidR="00973360">
          <w:rPr>
            <w:noProof/>
            <w:webHidden/>
          </w:rPr>
          <w:fldChar w:fldCharType="begin"/>
        </w:r>
        <w:r w:rsidR="00973360">
          <w:rPr>
            <w:noProof/>
            <w:webHidden/>
          </w:rPr>
          <w:instrText xml:space="preserve"> PAGEREF _Toc175912380 \h </w:instrText>
        </w:r>
        <w:r w:rsidR="00973360">
          <w:rPr>
            <w:noProof/>
            <w:webHidden/>
          </w:rPr>
        </w:r>
        <w:r w:rsidR="00973360">
          <w:rPr>
            <w:noProof/>
            <w:webHidden/>
          </w:rPr>
          <w:fldChar w:fldCharType="separate"/>
        </w:r>
        <w:r w:rsidR="00973360">
          <w:rPr>
            <w:noProof/>
            <w:webHidden/>
          </w:rPr>
          <w:t>42</w:t>
        </w:r>
        <w:r w:rsidR="00973360">
          <w:rPr>
            <w:noProof/>
            <w:webHidden/>
          </w:rPr>
          <w:fldChar w:fldCharType="end"/>
        </w:r>
      </w:hyperlink>
    </w:p>
    <w:p w14:paraId="1C5D6461" w14:textId="5B6088E1"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1" w:history="1">
        <w:r w:rsidR="00973360" w:rsidRPr="009F42F1">
          <w:rPr>
            <w:rStyle w:val="Hyperlink"/>
            <w:noProof/>
          </w:rPr>
          <w:t>Table 4</w:t>
        </w:r>
        <w:r w:rsidR="00973360" w:rsidRPr="009F42F1">
          <w:rPr>
            <w:rStyle w:val="Hyperlink"/>
            <w:noProof/>
          </w:rPr>
          <w:noBreakHyphen/>
          <w:t>4 Commercial Baseline Sales Projection by End Use (GWh), Idaho</w:t>
        </w:r>
        <w:r w:rsidR="00973360">
          <w:rPr>
            <w:noProof/>
            <w:webHidden/>
          </w:rPr>
          <w:tab/>
        </w:r>
        <w:r w:rsidR="00973360">
          <w:rPr>
            <w:noProof/>
            <w:webHidden/>
          </w:rPr>
          <w:fldChar w:fldCharType="begin"/>
        </w:r>
        <w:r w:rsidR="00973360">
          <w:rPr>
            <w:noProof/>
            <w:webHidden/>
          </w:rPr>
          <w:instrText xml:space="preserve"> PAGEREF _Toc175912381 \h </w:instrText>
        </w:r>
        <w:r w:rsidR="00973360">
          <w:rPr>
            <w:noProof/>
            <w:webHidden/>
          </w:rPr>
        </w:r>
        <w:r w:rsidR="00973360">
          <w:rPr>
            <w:noProof/>
            <w:webHidden/>
          </w:rPr>
          <w:fldChar w:fldCharType="separate"/>
        </w:r>
        <w:r w:rsidR="00973360">
          <w:rPr>
            <w:noProof/>
            <w:webHidden/>
          </w:rPr>
          <w:t>42</w:t>
        </w:r>
        <w:r w:rsidR="00973360">
          <w:rPr>
            <w:noProof/>
            <w:webHidden/>
          </w:rPr>
          <w:fldChar w:fldCharType="end"/>
        </w:r>
      </w:hyperlink>
    </w:p>
    <w:p w14:paraId="45E09309" w14:textId="200FE322"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2" w:history="1">
        <w:r w:rsidR="00973360" w:rsidRPr="009F42F1">
          <w:rPr>
            <w:rStyle w:val="Hyperlink"/>
            <w:noProof/>
          </w:rPr>
          <w:t>Table 4</w:t>
        </w:r>
        <w:r w:rsidR="00973360" w:rsidRPr="009F42F1">
          <w:rPr>
            <w:rStyle w:val="Hyperlink"/>
            <w:noProof/>
          </w:rPr>
          <w:noBreakHyphen/>
          <w:t>5 Industrial Baseline Projection by End Use (GWh), Washington</w:t>
        </w:r>
        <w:r w:rsidR="00973360">
          <w:rPr>
            <w:noProof/>
            <w:webHidden/>
          </w:rPr>
          <w:tab/>
        </w:r>
        <w:r w:rsidR="00973360">
          <w:rPr>
            <w:noProof/>
            <w:webHidden/>
          </w:rPr>
          <w:fldChar w:fldCharType="begin"/>
        </w:r>
        <w:r w:rsidR="00973360">
          <w:rPr>
            <w:noProof/>
            <w:webHidden/>
          </w:rPr>
          <w:instrText xml:space="preserve"> PAGEREF _Toc175912382 \h </w:instrText>
        </w:r>
        <w:r w:rsidR="00973360">
          <w:rPr>
            <w:noProof/>
            <w:webHidden/>
          </w:rPr>
        </w:r>
        <w:r w:rsidR="00973360">
          <w:rPr>
            <w:noProof/>
            <w:webHidden/>
          </w:rPr>
          <w:fldChar w:fldCharType="separate"/>
        </w:r>
        <w:r w:rsidR="00973360">
          <w:rPr>
            <w:noProof/>
            <w:webHidden/>
          </w:rPr>
          <w:t>45</w:t>
        </w:r>
        <w:r w:rsidR="00973360">
          <w:rPr>
            <w:noProof/>
            <w:webHidden/>
          </w:rPr>
          <w:fldChar w:fldCharType="end"/>
        </w:r>
      </w:hyperlink>
    </w:p>
    <w:p w14:paraId="5375AA24" w14:textId="19D1358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3" w:history="1">
        <w:r w:rsidR="00973360" w:rsidRPr="009F42F1">
          <w:rPr>
            <w:rStyle w:val="Hyperlink"/>
            <w:noProof/>
          </w:rPr>
          <w:t>Table 4</w:t>
        </w:r>
        <w:r w:rsidR="00973360" w:rsidRPr="009F42F1">
          <w:rPr>
            <w:rStyle w:val="Hyperlink"/>
            <w:noProof/>
          </w:rPr>
          <w:noBreakHyphen/>
          <w:t>6 Industrial Baseline Projection by End Use (GWh), Idaho</w:t>
        </w:r>
        <w:r w:rsidR="00973360">
          <w:rPr>
            <w:noProof/>
            <w:webHidden/>
          </w:rPr>
          <w:tab/>
        </w:r>
        <w:r w:rsidR="00973360">
          <w:rPr>
            <w:noProof/>
            <w:webHidden/>
          </w:rPr>
          <w:fldChar w:fldCharType="begin"/>
        </w:r>
        <w:r w:rsidR="00973360">
          <w:rPr>
            <w:noProof/>
            <w:webHidden/>
          </w:rPr>
          <w:instrText xml:space="preserve"> PAGEREF _Toc175912383 \h </w:instrText>
        </w:r>
        <w:r w:rsidR="00973360">
          <w:rPr>
            <w:noProof/>
            <w:webHidden/>
          </w:rPr>
        </w:r>
        <w:r w:rsidR="00973360">
          <w:rPr>
            <w:noProof/>
            <w:webHidden/>
          </w:rPr>
          <w:fldChar w:fldCharType="separate"/>
        </w:r>
        <w:r w:rsidR="00973360">
          <w:rPr>
            <w:noProof/>
            <w:webHidden/>
          </w:rPr>
          <w:t>45</w:t>
        </w:r>
        <w:r w:rsidR="00973360">
          <w:rPr>
            <w:noProof/>
            <w:webHidden/>
          </w:rPr>
          <w:fldChar w:fldCharType="end"/>
        </w:r>
      </w:hyperlink>
    </w:p>
    <w:p w14:paraId="640D1A2B" w14:textId="60BEBD2A"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4" w:history="1">
        <w:r w:rsidR="00973360" w:rsidRPr="009F42F1">
          <w:rPr>
            <w:rStyle w:val="Hyperlink"/>
            <w:noProof/>
          </w:rPr>
          <w:t>Table 4</w:t>
        </w:r>
        <w:r w:rsidR="00973360" w:rsidRPr="009F42F1">
          <w:rPr>
            <w:rStyle w:val="Hyperlink"/>
            <w:noProof/>
          </w:rPr>
          <w:noBreakHyphen/>
          <w:t>7 Baseline Projection Summary (GWh), Washington and Idaho Combined</w:t>
        </w:r>
        <w:r w:rsidR="00973360">
          <w:rPr>
            <w:noProof/>
            <w:webHidden/>
          </w:rPr>
          <w:tab/>
        </w:r>
        <w:r w:rsidR="00973360">
          <w:rPr>
            <w:noProof/>
            <w:webHidden/>
          </w:rPr>
          <w:fldChar w:fldCharType="begin"/>
        </w:r>
        <w:r w:rsidR="00973360">
          <w:rPr>
            <w:noProof/>
            <w:webHidden/>
          </w:rPr>
          <w:instrText xml:space="preserve"> PAGEREF _Toc175912384 \h </w:instrText>
        </w:r>
        <w:r w:rsidR="00973360">
          <w:rPr>
            <w:noProof/>
            <w:webHidden/>
          </w:rPr>
        </w:r>
        <w:r w:rsidR="00973360">
          <w:rPr>
            <w:noProof/>
            <w:webHidden/>
          </w:rPr>
          <w:fldChar w:fldCharType="separate"/>
        </w:r>
        <w:r w:rsidR="00973360">
          <w:rPr>
            <w:noProof/>
            <w:webHidden/>
          </w:rPr>
          <w:t>47</w:t>
        </w:r>
        <w:r w:rsidR="00973360">
          <w:rPr>
            <w:noProof/>
            <w:webHidden/>
          </w:rPr>
          <w:fldChar w:fldCharType="end"/>
        </w:r>
      </w:hyperlink>
    </w:p>
    <w:p w14:paraId="65B1BD75" w14:textId="5FA59DEB"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5" w:history="1">
        <w:r w:rsidR="00973360" w:rsidRPr="009F42F1">
          <w:rPr>
            <w:rStyle w:val="Hyperlink"/>
            <w:noProof/>
          </w:rPr>
          <w:t>Table 5</w:t>
        </w:r>
        <w:r w:rsidR="00973360" w:rsidRPr="009F42F1">
          <w:rPr>
            <w:rStyle w:val="Hyperlink"/>
            <w:noProof/>
          </w:rPr>
          <w:noBreakHyphen/>
          <w:t>1 Summary of Energy Efficiency Potential, Washington</w:t>
        </w:r>
        <w:r w:rsidR="00973360">
          <w:rPr>
            <w:noProof/>
            <w:webHidden/>
          </w:rPr>
          <w:tab/>
        </w:r>
        <w:r w:rsidR="00973360">
          <w:rPr>
            <w:noProof/>
            <w:webHidden/>
          </w:rPr>
          <w:fldChar w:fldCharType="begin"/>
        </w:r>
        <w:r w:rsidR="00973360">
          <w:rPr>
            <w:noProof/>
            <w:webHidden/>
          </w:rPr>
          <w:instrText xml:space="preserve"> PAGEREF _Toc175912385 \h </w:instrText>
        </w:r>
        <w:r w:rsidR="00973360">
          <w:rPr>
            <w:noProof/>
            <w:webHidden/>
          </w:rPr>
        </w:r>
        <w:r w:rsidR="00973360">
          <w:rPr>
            <w:noProof/>
            <w:webHidden/>
          </w:rPr>
          <w:fldChar w:fldCharType="separate"/>
        </w:r>
        <w:r w:rsidR="00973360">
          <w:rPr>
            <w:noProof/>
            <w:webHidden/>
          </w:rPr>
          <w:t>49</w:t>
        </w:r>
        <w:r w:rsidR="00973360">
          <w:rPr>
            <w:noProof/>
            <w:webHidden/>
          </w:rPr>
          <w:fldChar w:fldCharType="end"/>
        </w:r>
      </w:hyperlink>
    </w:p>
    <w:p w14:paraId="6EBE2989" w14:textId="57FB465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6" w:history="1">
        <w:r w:rsidR="00973360" w:rsidRPr="009F42F1">
          <w:rPr>
            <w:rStyle w:val="Hyperlink"/>
            <w:noProof/>
          </w:rPr>
          <w:t>Table 5</w:t>
        </w:r>
        <w:r w:rsidR="00973360" w:rsidRPr="009F42F1">
          <w:rPr>
            <w:rStyle w:val="Hyperlink"/>
            <w:noProof/>
          </w:rPr>
          <w:noBreakHyphen/>
          <w:t>2 Summary of Energy Efficiency Potential, Idaho</w:t>
        </w:r>
        <w:r w:rsidR="00973360">
          <w:rPr>
            <w:noProof/>
            <w:webHidden/>
          </w:rPr>
          <w:tab/>
        </w:r>
        <w:r w:rsidR="00973360">
          <w:rPr>
            <w:noProof/>
            <w:webHidden/>
          </w:rPr>
          <w:fldChar w:fldCharType="begin"/>
        </w:r>
        <w:r w:rsidR="00973360">
          <w:rPr>
            <w:noProof/>
            <w:webHidden/>
          </w:rPr>
          <w:instrText xml:space="preserve"> PAGEREF _Toc175912386 \h </w:instrText>
        </w:r>
        <w:r w:rsidR="00973360">
          <w:rPr>
            <w:noProof/>
            <w:webHidden/>
          </w:rPr>
        </w:r>
        <w:r w:rsidR="00973360">
          <w:rPr>
            <w:noProof/>
            <w:webHidden/>
          </w:rPr>
          <w:fldChar w:fldCharType="separate"/>
        </w:r>
        <w:r w:rsidR="00973360">
          <w:rPr>
            <w:noProof/>
            <w:webHidden/>
          </w:rPr>
          <w:t>50</w:t>
        </w:r>
        <w:r w:rsidR="00973360">
          <w:rPr>
            <w:noProof/>
            <w:webHidden/>
          </w:rPr>
          <w:fldChar w:fldCharType="end"/>
        </w:r>
      </w:hyperlink>
    </w:p>
    <w:p w14:paraId="104C6C87" w14:textId="2DA3D70B"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7" w:history="1">
        <w:r w:rsidR="00973360" w:rsidRPr="009F42F1">
          <w:rPr>
            <w:rStyle w:val="Hyperlink"/>
            <w:noProof/>
          </w:rPr>
          <w:t>Table 5</w:t>
        </w:r>
        <w:r w:rsidR="00973360" w:rsidRPr="009F42F1">
          <w:rPr>
            <w:rStyle w:val="Hyperlink"/>
            <w:noProof/>
          </w:rPr>
          <w:noBreakHyphen/>
          <w:t>3 Achievable Technical Conservation Potential by Sector, Washington and Idaho Combined</w:t>
        </w:r>
        <w:r w:rsidR="00973360">
          <w:rPr>
            <w:noProof/>
            <w:webHidden/>
          </w:rPr>
          <w:tab/>
        </w:r>
        <w:r w:rsidR="00973360">
          <w:rPr>
            <w:noProof/>
            <w:webHidden/>
          </w:rPr>
          <w:fldChar w:fldCharType="begin"/>
        </w:r>
        <w:r w:rsidR="00973360">
          <w:rPr>
            <w:noProof/>
            <w:webHidden/>
          </w:rPr>
          <w:instrText xml:space="preserve"> PAGEREF _Toc175912387 \h </w:instrText>
        </w:r>
        <w:r w:rsidR="00973360">
          <w:rPr>
            <w:noProof/>
            <w:webHidden/>
          </w:rPr>
        </w:r>
        <w:r w:rsidR="00973360">
          <w:rPr>
            <w:noProof/>
            <w:webHidden/>
          </w:rPr>
          <w:fldChar w:fldCharType="separate"/>
        </w:r>
        <w:r w:rsidR="00973360">
          <w:rPr>
            <w:noProof/>
            <w:webHidden/>
          </w:rPr>
          <w:t>51</w:t>
        </w:r>
        <w:r w:rsidR="00973360">
          <w:rPr>
            <w:noProof/>
            <w:webHidden/>
          </w:rPr>
          <w:fldChar w:fldCharType="end"/>
        </w:r>
      </w:hyperlink>
    </w:p>
    <w:p w14:paraId="5EEC1EFA" w14:textId="43777C5C"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8" w:history="1">
        <w:r w:rsidR="00973360" w:rsidRPr="009F42F1">
          <w:rPr>
            <w:rStyle w:val="Hyperlink"/>
            <w:noProof/>
          </w:rPr>
          <w:t>Table 5</w:t>
        </w:r>
        <w:r w:rsidR="00973360" w:rsidRPr="009F42F1">
          <w:rPr>
            <w:rStyle w:val="Hyperlink"/>
            <w:noProof/>
          </w:rPr>
          <w:noBreakHyphen/>
          <w:t>4 Residential Conservation Potential, Washington</w:t>
        </w:r>
        <w:r w:rsidR="00973360">
          <w:rPr>
            <w:noProof/>
            <w:webHidden/>
          </w:rPr>
          <w:tab/>
        </w:r>
        <w:r w:rsidR="00973360">
          <w:rPr>
            <w:noProof/>
            <w:webHidden/>
          </w:rPr>
          <w:fldChar w:fldCharType="begin"/>
        </w:r>
        <w:r w:rsidR="00973360">
          <w:rPr>
            <w:noProof/>
            <w:webHidden/>
          </w:rPr>
          <w:instrText xml:space="preserve"> PAGEREF _Toc175912388 \h </w:instrText>
        </w:r>
        <w:r w:rsidR="00973360">
          <w:rPr>
            <w:noProof/>
            <w:webHidden/>
          </w:rPr>
        </w:r>
        <w:r w:rsidR="00973360">
          <w:rPr>
            <w:noProof/>
            <w:webHidden/>
          </w:rPr>
          <w:fldChar w:fldCharType="separate"/>
        </w:r>
        <w:r w:rsidR="00973360">
          <w:rPr>
            <w:noProof/>
            <w:webHidden/>
          </w:rPr>
          <w:t>52</w:t>
        </w:r>
        <w:r w:rsidR="00973360">
          <w:rPr>
            <w:noProof/>
            <w:webHidden/>
          </w:rPr>
          <w:fldChar w:fldCharType="end"/>
        </w:r>
      </w:hyperlink>
    </w:p>
    <w:p w14:paraId="236D55E8" w14:textId="20C8390D"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89" w:history="1">
        <w:r w:rsidR="00973360" w:rsidRPr="009F42F1">
          <w:rPr>
            <w:rStyle w:val="Hyperlink"/>
            <w:noProof/>
          </w:rPr>
          <w:t>Table 5</w:t>
        </w:r>
        <w:r w:rsidR="00973360" w:rsidRPr="009F42F1">
          <w:rPr>
            <w:rStyle w:val="Hyperlink"/>
            <w:noProof/>
          </w:rPr>
          <w:noBreakHyphen/>
          <w:t>5 Residential Conservation Potential, Idaho</w:t>
        </w:r>
        <w:r w:rsidR="00973360">
          <w:rPr>
            <w:noProof/>
            <w:webHidden/>
          </w:rPr>
          <w:tab/>
        </w:r>
        <w:r w:rsidR="00973360">
          <w:rPr>
            <w:noProof/>
            <w:webHidden/>
          </w:rPr>
          <w:fldChar w:fldCharType="begin"/>
        </w:r>
        <w:r w:rsidR="00973360">
          <w:rPr>
            <w:noProof/>
            <w:webHidden/>
          </w:rPr>
          <w:instrText xml:space="preserve"> PAGEREF _Toc175912389 \h </w:instrText>
        </w:r>
        <w:r w:rsidR="00973360">
          <w:rPr>
            <w:noProof/>
            <w:webHidden/>
          </w:rPr>
        </w:r>
        <w:r w:rsidR="00973360">
          <w:rPr>
            <w:noProof/>
            <w:webHidden/>
          </w:rPr>
          <w:fldChar w:fldCharType="separate"/>
        </w:r>
        <w:r w:rsidR="00973360">
          <w:rPr>
            <w:noProof/>
            <w:webHidden/>
          </w:rPr>
          <w:t>53</w:t>
        </w:r>
        <w:r w:rsidR="00973360">
          <w:rPr>
            <w:noProof/>
            <w:webHidden/>
          </w:rPr>
          <w:fldChar w:fldCharType="end"/>
        </w:r>
      </w:hyperlink>
    </w:p>
    <w:p w14:paraId="34856D23" w14:textId="6B99E9AE"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0" w:history="1">
        <w:r w:rsidR="00973360" w:rsidRPr="009F42F1">
          <w:rPr>
            <w:rStyle w:val="Hyperlink"/>
            <w:noProof/>
          </w:rPr>
          <w:t>Table 5</w:t>
        </w:r>
        <w:r w:rsidR="00973360" w:rsidRPr="009F42F1">
          <w:rPr>
            <w:rStyle w:val="Hyperlink"/>
            <w:noProof/>
          </w:rPr>
          <w:noBreakHyphen/>
          <w:t>6 Residential Top 20 Measures in 2045, Washington</w:t>
        </w:r>
        <w:r w:rsidR="00973360">
          <w:rPr>
            <w:noProof/>
            <w:webHidden/>
          </w:rPr>
          <w:tab/>
        </w:r>
        <w:r w:rsidR="00973360">
          <w:rPr>
            <w:noProof/>
            <w:webHidden/>
          </w:rPr>
          <w:fldChar w:fldCharType="begin"/>
        </w:r>
        <w:r w:rsidR="00973360">
          <w:rPr>
            <w:noProof/>
            <w:webHidden/>
          </w:rPr>
          <w:instrText xml:space="preserve"> PAGEREF _Toc175912390 \h </w:instrText>
        </w:r>
        <w:r w:rsidR="00973360">
          <w:rPr>
            <w:noProof/>
            <w:webHidden/>
          </w:rPr>
        </w:r>
        <w:r w:rsidR="00973360">
          <w:rPr>
            <w:noProof/>
            <w:webHidden/>
          </w:rPr>
          <w:fldChar w:fldCharType="separate"/>
        </w:r>
        <w:r w:rsidR="00973360">
          <w:rPr>
            <w:noProof/>
            <w:webHidden/>
          </w:rPr>
          <w:t>55</w:t>
        </w:r>
        <w:r w:rsidR="00973360">
          <w:rPr>
            <w:noProof/>
            <w:webHidden/>
          </w:rPr>
          <w:fldChar w:fldCharType="end"/>
        </w:r>
      </w:hyperlink>
    </w:p>
    <w:p w14:paraId="7DB8B8F8" w14:textId="19B7E2BF"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1" w:history="1">
        <w:r w:rsidR="00973360" w:rsidRPr="009F42F1">
          <w:rPr>
            <w:rStyle w:val="Hyperlink"/>
            <w:noProof/>
          </w:rPr>
          <w:t>Table 5</w:t>
        </w:r>
        <w:r w:rsidR="00973360" w:rsidRPr="009F42F1">
          <w:rPr>
            <w:rStyle w:val="Hyperlink"/>
            <w:noProof/>
          </w:rPr>
          <w:noBreakHyphen/>
          <w:t>7 Residential Top Measures in 2045, Idaho</w:t>
        </w:r>
        <w:r w:rsidR="00973360">
          <w:rPr>
            <w:noProof/>
            <w:webHidden/>
          </w:rPr>
          <w:tab/>
        </w:r>
        <w:r w:rsidR="00973360">
          <w:rPr>
            <w:noProof/>
            <w:webHidden/>
          </w:rPr>
          <w:fldChar w:fldCharType="begin"/>
        </w:r>
        <w:r w:rsidR="00973360">
          <w:rPr>
            <w:noProof/>
            <w:webHidden/>
          </w:rPr>
          <w:instrText xml:space="preserve"> PAGEREF _Toc175912391 \h </w:instrText>
        </w:r>
        <w:r w:rsidR="00973360">
          <w:rPr>
            <w:noProof/>
            <w:webHidden/>
          </w:rPr>
        </w:r>
        <w:r w:rsidR="00973360">
          <w:rPr>
            <w:noProof/>
            <w:webHidden/>
          </w:rPr>
          <w:fldChar w:fldCharType="separate"/>
        </w:r>
        <w:r w:rsidR="00973360">
          <w:rPr>
            <w:noProof/>
            <w:webHidden/>
          </w:rPr>
          <w:t>57</w:t>
        </w:r>
        <w:r w:rsidR="00973360">
          <w:rPr>
            <w:noProof/>
            <w:webHidden/>
          </w:rPr>
          <w:fldChar w:fldCharType="end"/>
        </w:r>
      </w:hyperlink>
    </w:p>
    <w:p w14:paraId="329CF975" w14:textId="35E9B649"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2" w:history="1">
        <w:r w:rsidR="00973360" w:rsidRPr="009F42F1">
          <w:rPr>
            <w:rStyle w:val="Hyperlink"/>
            <w:noProof/>
          </w:rPr>
          <w:t>Table 5</w:t>
        </w:r>
        <w:r w:rsidR="00973360" w:rsidRPr="009F42F1">
          <w:rPr>
            <w:rStyle w:val="Hyperlink"/>
            <w:noProof/>
          </w:rPr>
          <w:noBreakHyphen/>
          <w:t>8 Commercial Conservation Potential, Washington</w:t>
        </w:r>
        <w:r w:rsidR="00973360">
          <w:rPr>
            <w:noProof/>
            <w:webHidden/>
          </w:rPr>
          <w:tab/>
        </w:r>
        <w:r w:rsidR="00973360">
          <w:rPr>
            <w:noProof/>
            <w:webHidden/>
          </w:rPr>
          <w:fldChar w:fldCharType="begin"/>
        </w:r>
        <w:r w:rsidR="00973360">
          <w:rPr>
            <w:noProof/>
            <w:webHidden/>
          </w:rPr>
          <w:instrText xml:space="preserve"> PAGEREF _Toc175912392 \h </w:instrText>
        </w:r>
        <w:r w:rsidR="00973360">
          <w:rPr>
            <w:noProof/>
            <w:webHidden/>
          </w:rPr>
        </w:r>
        <w:r w:rsidR="00973360">
          <w:rPr>
            <w:noProof/>
            <w:webHidden/>
          </w:rPr>
          <w:fldChar w:fldCharType="separate"/>
        </w:r>
        <w:r w:rsidR="00973360">
          <w:rPr>
            <w:noProof/>
            <w:webHidden/>
          </w:rPr>
          <w:t>58</w:t>
        </w:r>
        <w:r w:rsidR="00973360">
          <w:rPr>
            <w:noProof/>
            <w:webHidden/>
          </w:rPr>
          <w:fldChar w:fldCharType="end"/>
        </w:r>
      </w:hyperlink>
    </w:p>
    <w:p w14:paraId="4B1ABE9E" w14:textId="75754E6C"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3" w:history="1">
        <w:r w:rsidR="00973360" w:rsidRPr="009F42F1">
          <w:rPr>
            <w:rStyle w:val="Hyperlink"/>
            <w:noProof/>
          </w:rPr>
          <w:t>Table 5</w:t>
        </w:r>
        <w:r w:rsidR="00973360" w:rsidRPr="009F42F1">
          <w:rPr>
            <w:rStyle w:val="Hyperlink"/>
            <w:noProof/>
          </w:rPr>
          <w:noBreakHyphen/>
          <w:t>9 Commercial Conservation Potential, Idaho</w:t>
        </w:r>
        <w:r w:rsidR="00973360">
          <w:rPr>
            <w:noProof/>
            <w:webHidden/>
          </w:rPr>
          <w:tab/>
        </w:r>
        <w:r w:rsidR="00973360">
          <w:rPr>
            <w:noProof/>
            <w:webHidden/>
          </w:rPr>
          <w:fldChar w:fldCharType="begin"/>
        </w:r>
        <w:r w:rsidR="00973360">
          <w:rPr>
            <w:noProof/>
            <w:webHidden/>
          </w:rPr>
          <w:instrText xml:space="preserve"> PAGEREF _Toc175912393 \h </w:instrText>
        </w:r>
        <w:r w:rsidR="00973360">
          <w:rPr>
            <w:noProof/>
            <w:webHidden/>
          </w:rPr>
        </w:r>
        <w:r w:rsidR="00973360">
          <w:rPr>
            <w:noProof/>
            <w:webHidden/>
          </w:rPr>
          <w:fldChar w:fldCharType="separate"/>
        </w:r>
        <w:r w:rsidR="00973360">
          <w:rPr>
            <w:noProof/>
            <w:webHidden/>
          </w:rPr>
          <w:t>58</w:t>
        </w:r>
        <w:r w:rsidR="00973360">
          <w:rPr>
            <w:noProof/>
            <w:webHidden/>
          </w:rPr>
          <w:fldChar w:fldCharType="end"/>
        </w:r>
      </w:hyperlink>
    </w:p>
    <w:p w14:paraId="5C0F8751" w14:textId="2E35174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4" w:history="1">
        <w:r w:rsidR="00973360" w:rsidRPr="009F42F1">
          <w:rPr>
            <w:rStyle w:val="Hyperlink"/>
            <w:noProof/>
          </w:rPr>
          <w:t>Table 5</w:t>
        </w:r>
        <w:r w:rsidR="00973360" w:rsidRPr="009F42F1">
          <w:rPr>
            <w:rStyle w:val="Hyperlink"/>
            <w:noProof/>
          </w:rPr>
          <w:noBreakHyphen/>
          <w:t>10 Commercial Top 20 Measures in 2045, Washington</w:t>
        </w:r>
        <w:r w:rsidR="00973360">
          <w:rPr>
            <w:noProof/>
            <w:webHidden/>
          </w:rPr>
          <w:tab/>
        </w:r>
        <w:r w:rsidR="00973360">
          <w:rPr>
            <w:noProof/>
            <w:webHidden/>
          </w:rPr>
          <w:fldChar w:fldCharType="begin"/>
        </w:r>
        <w:r w:rsidR="00973360">
          <w:rPr>
            <w:noProof/>
            <w:webHidden/>
          </w:rPr>
          <w:instrText xml:space="preserve"> PAGEREF _Toc175912394 \h </w:instrText>
        </w:r>
        <w:r w:rsidR="00973360">
          <w:rPr>
            <w:noProof/>
            <w:webHidden/>
          </w:rPr>
        </w:r>
        <w:r w:rsidR="00973360">
          <w:rPr>
            <w:noProof/>
            <w:webHidden/>
          </w:rPr>
          <w:fldChar w:fldCharType="separate"/>
        </w:r>
        <w:r w:rsidR="00973360">
          <w:rPr>
            <w:noProof/>
            <w:webHidden/>
          </w:rPr>
          <w:t>60</w:t>
        </w:r>
        <w:r w:rsidR="00973360">
          <w:rPr>
            <w:noProof/>
            <w:webHidden/>
          </w:rPr>
          <w:fldChar w:fldCharType="end"/>
        </w:r>
      </w:hyperlink>
    </w:p>
    <w:p w14:paraId="5AC7190C" w14:textId="3B536CF4"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5" w:history="1">
        <w:r w:rsidR="00973360" w:rsidRPr="009F42F1">
          <w:rPr>
            <w:rStyle w:val="Hyperlink"/>
            <w:noProof/>
          </w:rPr>
          <w:t>Table 5</w:t>
        </w:r>
        <w:r w:rsidR="00973360" w:rsidRPr="009F42F1">
          <w:rPr>
            <w:rStyle w:val="Hyperlink"/>
            <w:noProof/>
          </w:rPr>
          <w:noBreakHyphen/>
          <w:t>11 Commercial Top 20 Measures in 2045, Idaho</w:t>
        </w:r>
        <w:r w:rsidR="00973360">
          <w:rPr>
            <w:noProof/>
            <w:webHidden/>
          </w:rPr>
          <w:tab/>
        </w:r>
        <w:r w:rsidR="00973360">
          <w:rPr>
            <w:noProof/>
            <w:webHidden/>
          </w:rPr>
          <w:fldChar w:fldCharType="begin"/>
        </w:r>
        <w:r w:rsidR="00973360">
          <w:rPr>
            <w:noProof/>
            <w:webHidden/>
          </w:rPr>
          <w:instrText xml:space="preserve"> PAGEREF _Toc175912395 \h </w:instrText>
        </w:r>
        <w:r w:rsidR="00973360">
          <w:rPr>
            <w:noProof/>
            <w:webHidden/>
          </w:rPr>
        </w:r>
        <w:r w:rsidR="00973360">
          <w:rPr>
            <w:noProof/>
            <w:webHidden/>
          </w:rPr>
          <w:fldChar w:fldCharType="separate"/>
        </w:r>
        <w:r w:rsidR="00973360">
          <w:rPr>
            <w:noProof/>
            <w:webHidden/>
          </w:rPr>
          <w:t>62</w:t>
        </w:r>
        <w:r w:rsidR="00973360">
          <w:rPr>
            <w:noProof/>
            <w:webHidden/>
          </w:rPr>
          <w:fldChar w:fldCharType="end"/>
        </w:r>
      </w:hyperlink>
    </w:p>
    <w:p w14:paraId="2318CD68" w14:textId="0D8B486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6" w:history="1">
        <w:r w:rsidR="00973360" w:rsidRPr="009F42F1">
          <w:rPr>
            <w:rStyle w:val="Hyperlink"/>
            <w:noProof/>
          </w:rPr>
          <w:t>Table 5</w:t>
        </w:r>
        <w:r w:rsidR="00973360" w:rsidRPr="009F42F1">
          <w:rPr>
            <w:rStyle w:val="Hyperlink"/>
            <w:noProof/>
          </w:rPr>
          <w:noBreakHyphen/>
          <w:t>12 Industrial Conservation Potential, Washington</w:t>
        </w:r>
        <w:r w:rsidR="00973360">
          <w:rPr>
            <w:noProof/>
            <w:webHidden/>
          </w:rPr>
          <w:tab/>
        </w:r>
        <w:r w:rsidR="00973360">
          <w:rPr>
            <w:noProof/>
            <w:webHidden/>
          </w:rPr>
          <w:fldChar w:fldCharType="begin"/>
        </w:r>
        <w:r w:rsidR="00973360">
          <w:rPr>
            <w:noProof/>
            <w:webHidden/>
          </w:rPr>
          <w:instrText xml:space="preserve"> PAGEREF _Toc175912396 \h </w:instrText>
        </w:r>
        <w:r w:rsidR="00973360">
          <w:rPr>
            <w:noProof/>
            <w:webHidden/>
          </w:rPr>
        </w:r>
        <w:r w:rsidR="00973360">
          <w:rPr>
            <w:noProof/>
            <w:webHidden/>
          </w:rPr>
          <w:fldChar w:fldCharType="separate"/>
        </w:r>
        <w:r w:rsidR="00973360">
          <w:rPr>
            <w:noProof/>
            <w:webHidden/>
          </w:rPr>
          <w:t>63</w:t>
        </w:r>
        <w:r w:rsidR="00973360">
          <w:rPr>
            <w:noProof/>
            <w:webHidden/>
          </w:rPr>
          <w:fldChar w:fldCharType="end"/>
        </w:r>
      </w:hyperlink>
    </w:p>
    <w:p w14:paraId="098CE5C7" w14:textId="05D33797"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7" w:history="1">
        <w:r w:rsidR="00973360" w:rsidRPr="009F42F1">
          <w:rPr>
            <w:rStyle w:val="Hyperlink"/>
            <w:noProof/>
          </w:rPr>
          <w:t>Table 5</w:t>
        </w:r>
        <w:r w:rsidR="00973360" w:rsidRPr="009F42F1">
          <w:rPr>
            <w:rStyle w:val="Hyperlink"/>
            <w:noProof/>
          </w:rPr>
          <w:noBreakHyphen/>
          <w:t>13 Industrial Conservation Potential, Idaho</w:t>
        </w:r>
        <w:r w:rsidR="00973360">
          <w:rPr>
            <w:noProof/>
            <w:webHidden/>
          </w:rPr>
          <w:tab/>
        </w:r>
        <w:r w:rsidR="00973360">
          <w:rPr>
            <w:noProof/>
            <w:webHidden/>
          </w:rPr>
          <w:fldChar w:fldCharType="begin"/>
        </w:r>
        <w:r w:rsidR="00973360">
          <w:rPr>
            <w:noProof/>
            <w:webHidden/>
          </w:rPr>
          <w:instrText xml:space="preserve"> PAGEREF _Toc175912397 \h </w:instrText>
        </w:r>
        <w:r w:rsidR="00973360">
          <w:rPr>
            <w:noProof/>
            <w:webHidden/>
          </w:rPr>
        </w:r>
        <w:r w:rsidR="00973360">
          <w:rPr>
            <w:noProof/>
            <w:webHidden/>
          </w:rPr>
          <w:fldChar w:fldCharType="separate"/>
        </w:r>
        <w:r w:rsidR="00973360">
          <w:rPr>
            <w:noProof/>
            <w:webHidden/>
          </w:rPr>
          <w:t>63</w:t>
        </w:r>
        <w:r w:rsidR="00973360">
          <w:rPr>
            <w:noProof/>
            <w:webHidden/>
          </w:rPr>
          <w:fldChar w:fldCharType="end"/>
        </w:r>
      </w:hyperlink>
    </w:p>
    <w:p w14:paraId="7D57B258" w14:textId="0C630E5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8" w:history="1">
        <w:r w:rsidR="00973360" w:rsidRPr="009F42F1">
          <w:rPr>
            <w:rStyle w:val="Hyperlink"/>
            <w:noProof/>
          </w:rPr>
          <w:t>Table 5</w:t>
        </w:r>
        <w:r w:rsidR="00973360" w:rsidRPr="009F42F1">
          <w:rPr>
            <w:rStyle w:val="Hyperlink"/>
            <w:noProof/>
          </w:rPr>
          <w:noBreakHyphen/>
          <w:t>14 Industrial Top 20 Measures in 2045, Washington</w:t>
        </w:r>
        <w:r w:rsidR="00973360">
          <w:rPr>
            <w:noProof/>
            <w:webHidden/>
          </w:rPr>
          <w:tab/>
        </w:r>
        <w:r w:rsidR="00973360">
          <w:rPr>
            <w:noProof/>
            <w:webHidden/>
          </w:rPr>
          <w:fldChar w:fldCharType="begin"/>
        </w:r>
        <w:r w:rsidR="00973360">
          <w:rPr>
            <w:noProof/>
            <w:webHidden/>
          </w:rPr>
          <w:instrText xml:space="preserve"> PAGEREF _Toc175912398 \h </w:instrText>
        </w:r>
        <w:r w:rsidR="00973360">
          <w:rPr>
            <w:noProof/>
            <w:webHidden/>
          </w:rPr>
        </w:r>
        <w:r w:rsidR="00973360">
          <w:rPr>
            <w:noProof/>
            <w:webHidden/>
          </w:rPr>
          <w:fldChar w:fldCharType="separate"/>
        </w:r>
        <w:r w:rsidR="00973360">
          <w:rPr>
            <w:noProof/>
            <w:webHidden/>
          </w:rPr>
          <w:t>65</w:t>
        </w:r>
        <w:r w:rsidR="00973360">
          <w:rPr>
            <w:noProof/>
            <w:webHidden/>
          </w:rPr>
          <w:fldChar w:fldCharType="end"/>
        </w:r>
      </w:hyperlink>
    </w:p>
    <w:p w14:paraId="2861DCDF" w14:textId="5FF035DD"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399" w:history="1">
        <w:r w:rsidR="00973360" w:rsidRPr="009F42F1">
          <w:rPr>
            <w:rStyle w:val="Hyperlink"/>
            <w:noProof/>
          </w:rPr>
          <w:t>Table 5</w:t>
        </w:r>
        <w:r w:rsidR="00973360" w:rsidRPr="009F42F1">
          <w:rPr>
            <w:rStyle w:val="Hyperlink"/>
            <w:noProof/>
          </w:rPr>
          <w:noBreakHyphen/>
          <w:t>15 Industrial Top 20 Measures in 2045, Idaho</w:t>
        </w:r>
        <w:r w:rsidR="00973360">
          <w:rPr>
            <w:noProof/>
            <w:webHidden/>
          </w:rPr>
          <w:tab/>
        </w:r>
        <w:r w:rsidR="00973360">
          <w:rPr>
            <w:noProof/>
            <w:webHidden/>
          </w:rPr>
          <w:fldChar w:fldCharType="begin"/>
        </w:r>
        <w:r w:rsidR="00973360">
          <w:rPr>
            <w:noProof/>
            <w:webHidden/>
          </w:rPr>
          <w:instrText xml:space="preserve"> PAGEREF _Toc175912399 \h </w:instrText>
        </w:r>
        <w:r w:rsidR="00973360">
          <w:rPr>
            <w:noProof/>
            <w:webHidden/>
          </w:rPr>
        </w:r>
        <w:r w:rsidR="00973360">
          <w:rPr>
            <w:noProof/>
            <w:webHidden/>
          </w:rPr>
          <w:fldChar w:fldCharType="separate"/>
        </w:r>
        <w:r w:rsidR="00973360">
          <w:rPr>
            <w:noProof/>
            <w:webHidden/>
          </w:rPr>
          <w:t>67</w:t>
        </w:r>
        <w:r w:rsidR="00973360">
          <w:rPr>
            <w:noProof/>
            <w:webHidden/>
          </w:rPr>
          <w:fldChar w:fldCharType="end"/>
        </w:r>
      </w:hyperlink>
    </w:p>
    <w:p w14:paraId="4D631713" w14:textId="753168B1"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0" w:history="1">
        <w:r w:rsidR="00973360" w:rsidRPr="009F42F1">
          <w:rPr>
            <w:rStyle w:val="Hyperlink"/>
            <w:noProof/>
          </w:rPr>
          <w:t>Table 6</w:t>
        </w:r>
        <w:r w:rsidR="00973360" w:rsidRPr="009F42F1">
          <w:rPr>
            <w:rStyle w:val="Hyperlink"/>
            <w:noProof/>
          </w:rPr>
          <w:noBreakHyphen/>
          <w:t>1 Market Segmentation</w:t>
        </w:r>
        <w:r w:rsidR="00973360">
          <w:rPr>
            <w:noProof/>
            <w:webHidden/>
          </w:rPr>
          <w:tab/>
        </w:r>
        <w:r w:rsidR="00973360">
          <w:rPr>
            <w:noProof/>
            <w:webHidden/>
          </w:rPr>
          <w:fldChar w:fldCharType="begin"/>
        </w:r>
        <w:r w:rsidR="00973360">
          <w:rPr>
            <w:noProof/>
            <w:webHidden/>
          </w:rPr>
          <w:instrText xml:space="preserve"> PAGEREF _Toc175912400 \h </w:instrText>
        </w:r>
        <w:r w:rsidR="00973360">
          <w:rPr>
            <w:noProof/>
            <w:webHidden/>
          </w:rPr>
        </w:r>
        <w:r w:rsidR="00973360">
          <w:rPr>
            <w:noProof/>
            <w:webHidden/>
          </w:rPr>
          <w:fldChar w:fldCharType="separate"/>
        </w:r>
        <w:r w:rsidR="00973360">
          <w:rPr>
            <w:noProof/>
            <w:webHidden/>
          </w:rPr>
          <w:t>69</w:t>
        </w:r>
        <w:r w:rsidR="00973360">
          <w:rPr>
            <w:noProof/>
            <w:webHidden/>
          </w:rPr>
          <w:fldChar w:fldCharType="end"/>
        </w:r>
      </w:hyperlink>
    </w:p>
    <w:p w14:paraId="6D79195A" w14:textId="52E4A88B"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1" w:history="1">
        <w:r w:rsidR="00973360" w:rsidRPr="009F42F1">
          <w:rPr>
            <w:rStyle w:val="Hyperlink"/>
            <w:noProof/>
          </w:rPr>
          <w:t>Table 6</w:t>
        </w:r>
        <w:r w:rsidR="00973360" w:rsidRPr="009F42F1">
          <w:rPr>
            <w:rStyle w:val="Hyperlink"/>
            <w:noProof/>
          </w:rPr>
          <w:noBreakHyphen/>
          <w:t>2 Baseline Customer Forecast by Customer Class, Washington</w:t>
        </w:r>
        <w:r w:rsidR="00973360">
          <w:rPr>
            <w:noProof/>
            <w:webHidden/>
          </w:rPr>
          <w:tab/>
        </w:r>
        <w:r w:rsidR="00973360">
          <w:rPr>
            <w:noProof/>
            <w:webHidden/>
          </w:rPr>
          <w:fldChar w:fldCharType="begin"/>
        </w:r>
        <w:r w:rsidR="00973360">
          <w:rPr>
            <w:noProof/>
            <w:webHidden/>
          </w:rPr>
          <w:instrText xml:space="preserve"> PAGEREF _Toc175912401 \h </w:instrText>
        </w:r>
        <w:r w:rsidR="00973360">
          <w:rPr>
            <w:noProof/>
            <w:webHidden/>
          </w:rPr>
        </w:r>
        <w:r w:rsidR="00973360">
          <w:rPr>
            <w:noProof/>
            <w:webHidden/>
          </w:rPr>
          <w:fldChar w:fldCharType="separate"/>
        </w:r>
        <w:r w:rsidR="00973360">
          <w:rPr>
            <w:noProof/>
            <w:webHidden/>
          </w:rPr>
          <w:t>70</w:t>
        </w:r>
        <w:r w:rsidR="00973360">
          <w:rPr>
            <w:noProof/>
            <w:webHidden/>
          </w:rPr>
          <w:fldChar w:fldCharType="end"/>
        </w:r>
      </w:hyperlink>
    </w:p>
    <w:p w14:paraId="59CE8FA6" w14:textId="5B37D04E"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2" w:history="1">
        <w:r w:rsidR="00973360" w:rsidRPr="009F42F1">
          <w:rPr>
            <w:rStyle w:val="Hyperlink"/>
            <w:noProof/>
          </w:rPr>
          <w:t>Table 6</w:t>
        </w:r>
        <w:r w:rsidR="00973360" w:rsidRPr="009F42F1">
          <w:rPr>
            <w:rStyle w:val="Hyperlink"/>
            <w:noProof/>
          </w:rPr>
          <w:noBreakHyphen/>
          <w:t>3 Baseline Customer Forecast by Customer Class, Idaho</w:t>
        </w:r>
        <w:r w:rsidR="00973360">
          <w:rPr>
            <w:noProof/>
            <w:webHidden/>
          </w:rPr>
          <w:tab/>
        </w:r>
        <w:r w:rsidR="00973360">
          <w:rPr>
            <w:noProof/>
            <w:webHidden/>
          </w:rPr>
          <w:fldChar w:fldCharType="begin"/>
        </w:r>
        <w:r w:rsidR="00973360">
          <w:rPr>
            <w:noProof/>
            <w:webHidden/>
          </w:rPr>
          <w:instrText xml:space="preserve"> PAGEREF _Toc175912402 \h </w:instrText>
        </w:r>
        <w:r w:rsidR="00973360">
          <w:rPr>
            <w:noProof/>
            <w:webHidden/>
          </w:rPr>
        </w:r>
        <w:r w:rsidR="00973360">
          <w:rPr>
            <w:noProof/>
            <w:webHidden/>
          </w:rPr>
          <w:fldChar w:fldCharType="separate"/>
        </w:r>
        <w:r w:rsidR="00973360">
          <w:rPr>
            <w:noProof/>
            <w:webHidden/>
          </w:rPr>
          <w:t>70</w:t>
        </w:r>
        <w:r w:rsidR="00973360">
          <w:rPr>
            <w:noProof/>
            <w:webHidden/>
          </w:rPr>
          <w:fldChar w:fldCharType="end"/>
        </w:r>
      </w:hyperlink>
    </w:p>
    <w:p w14:paraId="6469BA2E" w14:textId="226941B3"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3" w:history="1">
        <w:r w:rsidR="00973360" w:rsidRPr="009F42F1">
          <w:rPr>
            <w:rStyle w:val="Hyperlink"/>
            <w:noProof/>
          </w:rPr>
          <w:t>Table 6</w:t>
        </w:r>
        <w:r w:rsidR="00973360" w:rsidRPr="009F42F1">
          <w:rPr>
            <w:rStyle w:val="Hyperlink"/>
            <w:noProof/>
          </w:rPr>
          <w:noBreakHyphen/>
          <w:t>4 Baseline July Summer System Peak Load (MW @Generation) by State</w:t>
        </w:r>
        <w:r w:rsidR="00973360">
          <w:rPr>
            <w:noProof/>
            <w:webHidden/>
          </w:rPr>
          <w:tab/>
        </w:r>
        <w:r w:rsidR="00973360">
          <w:rPr>
            <w:noProof/>
            <w:webHidden/>
          </w:rPr>
          <w:fldChar w:fldCharType="begin"/>
        </w:r>
        <w:r w:rsidR="00973360">
          <w:rPr>
            <w:noProof/>
            <w:webHidden/>
          </w:rPr>
          <w:instrText xml:space="preserve"> PAGEREF _Toc175912403 \h </w:instrText>
        </w:r>
        <w:r w:rsidR="00973360">
          <w:rPr>
            <w:noProof/>
            <w:webHidden/>
          </w:rPr>
        </w:r>
        <w:r w:rsidR="00973360">
          <w:rPr>
            <w:noProof/>
            <w:webHidden/>
          </w:rPr>
          <w:fldChar w:fldCharType="separate"/>
        </w:r>
        <w:r w:rsidR="00973360">
          <w:rPr>
            <w:noProof/>
            <w:webHidden/>
          </w:rPr>
          <w:t>70</w:t>
        </w:r>
        <w:r w:rsidR="00973360">
          <w:rPr>
            <w:noProof/>
            <w:webHidden/>
          </w:rPr>
          <w:fldChar w:fldCharType="end"/>
        </w:r>
      </w:hyperlink>
    </w:p>
    <w:p w14:paraId="47185F9C" w14:textId="6F786D8C"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4" w:history="1">
        <w:r w:rsidR="00973360" w:rsidRPr="009F42F1">
          <w:rPr>
            <w:rStyle w:val="Hyperlink"/>
            <w:noProof/>
          </w:rPr>
          <w:t>Table 6</w:t>
        </w:r>
        <w:r w:rsidR="00973360" w:rsidRPr="009F42F1">
          <w:rPr>
            <w:rStyle w:val="Hyperlink"/>
            <w:noProof/>
          </w:rPr>
          <w:noBreakHyphen/>
          <w:t>5 Baseline February Winter System Peak Forecast (MW @Generation) by State</w:t>
        </w:r>
        <w:r w:rsidR="00973360">
          <w:rPr>
            <w:noProof/>
            <w:webHidden/>
          </w:rPr>
          <w:tab/>
        </w:r>
        <w:r w:rsidR="00973360">
          <w:rPr>
            <w:noProof/>
            <w:webHidden/>
          </w:rPr>
          <w:fldChar w:fldCharType="begin"/>
        </w:r>
        <w:r w:rsidR="00973360">
          <w:rPr>
            <w:noProof/>
            <w:webHidden/>
          </w:rPr>
          <w:instrText xml:space="preserve"> PAGEREF _Toc175912404 \h </w:instrText>
        </w:r>
        <w:r w:rsidR="00973360">
          <w:rPr>
            <w:noProof/>
            <w:webHidden/>
          </w:rPr>
        </w:r>
        <w:r w:rsidR="00973360">
          <w:rPr>
            <w:noProof/>
            <w:webHidden/>
          </w:rPr>
          <w:fldChar w:fldCharType="separate"/>
        </w:r>
        <w:r w:rsidR="00973360">
          <w:rPr>
            <w:noProof/>
            <w:webHidden/>
          </w:rPr>
          <w:t>70</w:t>
        </w:r>
        <w:r w:rsidR="00973360">
          <w:rPr>
            <w:noProof/>
            <w:webHidden/>
          </w:rPr>
          <w:fldChar w:fldCharType="end"/>
        </w:r>
      </w:hyperlink>
    </w:p>
    <w:p w14:paraId="0D18C8E7" w14:textId="3D7A315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5" w:history="1">
        <w:r w:rsidR="00973360" w:rsidRPr="009F42F1">
          <w:rPr>
            <w:rStyle w:val="Hyperlink"/>
            <w:noProof/>
          </w:rPr>
          <w:t>Table 6</w:t>
        </w:r>
        <w:r w:rsidR="00973360" w:rsidRPr="009F42F1">
          <w:rPr>
            <w:rStyle w:val="Hyperlink"/>
            <w:noProof/>
          </w:rPr>
          <w:noBreakHyphen/>
          <w:t>6 DSM Steady-State Participation Rates (Percent of Eligible Customers)</w:t>
        </w:r>
        <w:r w:rsidR="00973360">
          <w:rPr>
            <w:noProof/>
            <w:webHidden/>
          </w:rPr>
          <w:tab/>
        </w:r>
        <w:r w:rsidR="00973360">
          <w:rPr>
            <w:noProof/>
            <w:webHidden/>
          </w:rPr>
          <w:fldChar w:fldCharType="begin"/>
        </w:r>
        <w:r w:rsidR="00973360">
          <w:rPr>
            <w:noProof/>
            <w:webHidden/>
          </w:rPr>
          <w:instrText xml:space="preserve"> PAGEREF _Toc175912405 \h </w:instrText>
        </w:r>
        <w:r w:rsidR="00973360">
          <w:rPr>
            <w:noProof/>
            <w:webHidden/>
          </w:rPr>
        </w:r>
        <w:r w:rsidR="00973360">
          <w:rPr>
            <w:noProof/>
            <w:webHidden/>
          </w:rPr>
          <w:fldChar w:fldCharType="separate"/>
        </w:r>
        <w:r w:rsidR="00973360">
          <w:rPr>
            <w:noProof/>
            <w:webHidden/>
          </w:rPr>
          <w:t>76</w:t>
        </w:r>
        <w:r w:rsidR="00973360">
          <w:rPr>
            <w:noProof/>
            <w:webHidden/>
          </w:rPr>
          <w:fldChar w:fldCharType="end"/>
        </w:r>
      </w:hyperlink>
    </w:p>
    <w:p w14:paraId="0AE0089C" w14:textId="6B937E4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6" w:history="1">
        <w:r w:rsidR="00973360" w:rsidRPr="009F42F1">
          <w:rPr>
            <w:rStyle w:val="Hyperlink"/>
            <w:noProof/>
          </w:rPr>
          <w:t>Table 6</w:t>
        </w:r>
        <w:r w:rsidR="00973360" w:rsidRPr="009F42F1">
          <w:rPr>
            <w:rStyle w:val="Hyperlink"/>
            <w:noProof/>
          </w:rPr>
          <w:noBreakHyphen/>
          <w:t>7 DSM Per Participant Impact Assumptions</w:t>
        </w:r>
        <w:r w:rsidR="00973360">
          <w:rPr>
            <w:noProof/>
            <w:webHidden/>
          </w:rPr>
          <w:tab/>
        </w:r>
        <w:r w:rsidR="00973360">
          <w:rPr>
            <w:noProof/>
            <w:webHidden/>
          </w:rPr>
          <w:fldChar w:fldCharType="begin"/>
        </w:r>
        <w:r w:rsidR="00973360">
          <w:rPr>
            <w:noProof/>
            <w:webHidden/>
          </w:rPr>
          <w:instrText xml:space="preserve"> PAGEREF _Toc175912406 \h </w:instrText>
        </w:r>
        <w:r w:rsidR="00973360">
          <w:rPr>
            <w:noProof/>
            <w:webHidden/>
          </w:rPr>
        </w:r>
        <w:r w:rsidR="00973360">
          <w:rPr>
            <w:noProof/>
            <w:webHidden/>
          </w:rPr>
          <w:fldChar w:fldCharType="separate"/>
        </w:r>
        <w:r w:rsidR="00973360">
          <w:rPr>
            <w:noProof/>
            <w:webHidden/>
          </w:rPr>
          <w:t>77</w:t>
        </w:r>
        <w:r w:rsidR="00973360">
          <w:rPr>
            <w:noProof/>
            <w:webHidden/>
          </w:rPr>
          <w:fldChar w:fldCharType="end"/>
        </w:r>
      </w:hyperlink>
    </w:p>
    <w:p w14:paraId="4FB6EF1C" w14:textId="3845B177"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7" w:history="1">
        <w:r w:rsidR="00973360" w:rsidRPr="009F42F1">
          <w:rPr>
            <w:rStyle w:val="Hyperlink"/>
            <w:noProof/>
          </w:rPr>
          <w:t>Table 6</w:t>
        </w:r>
        <w:r w:rsidR="00973360" w:rsidRPr="009F42F1">
          <w:rPr>
            <w:rStyle w:val="Hyperlink"/>
            <w:noProof/>
          </w:rPr>
          <w:noBreakHyphen/>
          <w:t>8 Summary of Integrated TOU Opt-in Potential (MW @ Generator), Summer</w:t>
        </w:r>
        <w:r w:rsidR="00973360">
          <w:rPr>
            <w:noProof/>
            <w:webHidden/>
          </w:rPr>
          <w:tab/>
        </w:r>
        <w:r w:rsidR="00973360">
          <w:rPr>
            <w:noProof/>
            <w:webHidden/>
          </w:rPr>
          <w:fldChar w:fldCharType="begin"/>
        </w:r>
        <w:r w:rsidR="00973360">
          <w:rPr>
            <w:noProof/>
            <w:webHidden/>
          </w:rPr>
          <w:instrText xml:space="preserve"> PAGEREF _Toc175912407 \h </w:instrText>
        </w:r>
        <w:r w:rsidR="00973360">
          <w:rPr>
            <w:noProof/>
            <w:webHidden/>
          </w:rPr>
        </w:r>
        <w:r w:rsidR="00973360">
          <w:rPr>
            <w:noProof/>
            <w:webHidden/>
          </w:rPr>
          <w:fldChar w:fldCharType="separate"/>
        </w:r>
        <w:r w:rsidR="00973360">
          <w:rPr>
            <w:noProof/>
            <w:webHidden/>
          </w:rPr>
          <w:t>78</w:t>
        </w:r>
        <w:r w:rsidR="00973360">
          <w:rPr>
            <w:noProof/>
            <w:webHidden/>
          </w:rPr>
          <w:fldChar w:fldCharType="end"/>
        </w:r>
      </w:hyperlink>
    </w:p>
    <w:p w14:paraId="37FFE5FB" w14:textId="2F0086CB"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8" w:history="1">
        <w:r w:rsidR="00973360" w:rsidRPr="009F42F1">
          <w:rPr>
            <w:rStyle w:val="Hyperlink"/>
            <w:noProof/>
          </w:rPr>
          <w:t>Table 6</w:t>
        </w:r>
        <w:r w:rsidR="00973360" w:rsidRPr="009F42F1">
          <w:rPr>
            <w:rStyle w:val="Hyperlink"/>
            <w:noProof/>
          </w:rPr>
          <w:noBreakHyphen/>
          <w:t>9 Summary of Integrated TOU Opt-in Potential (MW @ Generator), Winter</w:t>
        </w:r>
        <w:r w:rsidR="00973360">
          <w:rPr>
            <w:noProof/>
            <w:webHidden/>
          </w:rPr>
          <w:tab/>
        </w:r>
        <w:r w:rsidR="00973360">
          <w:rPr>
            <w:noProof/>
            <w:webHidden/>
          </w:rPr>
          <w:fldChar w:fldCharType="begin"/>
        </w:r>
        <w:r w:rsidR="00973360">
          <w:rPr>
            <w:noProof/>
            <w:webHidden/>
          </w:rPr>
          <w:instrText xml:space="preserve"> PAGEREF _Toc175912408 \h </w:instrText>
        </w:r>
        <w:r w:rsidR="00973360">
          <w:rPr>
            <w:noProof/>
            <w:webHidden/>
          </w:rPr>
        </w:r>
        <w:r w:rsidR="00973360">
          <w:rPr>
            <w:noProof/>
            <w:webHidden/>
          </w:rPr>
          <w:fldChar w:fldCharType="separate"/>
        </w:r>
        <w:r w:rsidR="00973360">
          <w:rPr>
            <w:noProof/>
            <w:webHidden/>
          </w:rPr>
          <w:t>79</w:t>
        </w:r>
        <w:r w:rsidR="00973360">
          <w:rPr>
            <w:noProof/>
            <w:webHidden/>
          </w:rPr>
          <w:fldChar w:fldCharType="end"/>
        </w:r>
      </w:hyperlink>
    </w:p>
    <w:p w14:paraId="6F269BBB" w14:textId="691D8381"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09" w:history="1">
        <w:r w:rsidR="00973360" w:rsidRPr="009F42F1">
          <w:rPr>
            <w:rStyle w:val="Hyperlink"/>
            <w:noProof/>
          </w:rPr>
          <w:t>Table 6</w:t>
        </w:r>
        <w:r w:rsidR="00973360" w:rsidRPr="009F42F1">
          <w:rPr>
            <w:rStyle w:val="Hyperlink"/>
            <w:noProof/>
          </w:rPr>
          <w:noBreakHyphen/>
          <w:t>7 Summary of Summer Potential by Option – TOU Opt-In (MW @ Generator)</w:t>
        </w:r>
        <w:r w:rsidR="00973360">
          <w:rPr>
            <w:noProof/>
            <w:webHidden/>
          </w:rPr>
          <w:tab/>
        </w:r>
        <w:r w:rsidR="00973360">
          <w:rPr>
            <w:noProof/>
            <w:webHidden/>
          </w:rPr>
          <w:fldChar w:fldCharType="begin"/>
        </w:r>
        <w:r w:rsidR="00973360">
          <w:rPr>
            <w:noProof/>
            <w:webHidden/>
          </w:rPr>
          <w:instrText xml:space="preserve"> PAGEREF _Toc175912409 \h </w:instrText>
        </w:r>
        <w:r w:rsidR="00973360">
          <w:rPr>
            <w:noProof/>
            <w:webHidden/>
          </w:rPr>
        </w:r>
        <w:r w:rsidR="00973360">
          <w:rPr>
            <w:noProof/>
            <w:webHidden/>
          </w:rPr>
          <w:fldChar w:fldCharType="separate"/>
        </w:r>
        <w:r w:rsidR="00973360">
          <w:rPr>
            <w:noProof/>
            <w:webHidden/>
          </w:rPr>
          <w:t>80</w:t>
        </w:r>
        <w:r w:rsidR="00973360">
          <w:rPr>
            <w:noProof/>
            <w:webHidden/>
          </w:rPr>
          <w:fldChar w:fldCharType="end"/>
        </w:r>
      </w:hyperlink>
    </w:p>
    <w:p w14:paraId="37315510" w14:textId="009C2D77"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10" w:history="1">
        <w:r w:rsidR="00973360" w:rsidRPr="009F42F1">
          <w:rPr>
            <w:rStyle w:val="Hyperlink"/>
            <w:noProof/>
          </w:rPr>
          <w:t>Table 6</w:t>
        </w:r>
        <w:r w:rsidR="00973360" w:rsidRPr="009F42F1">
          <w:rPr>
            <w:rStyle w:val="Hyperlink"/>
            <w:noProof/>
          </w:rPr>
          <w:noBreakHyphen/>
          <w:t>8 Summer Potential by Class – TOU Opt-In (MW @ Generator), Washington</w:t>
        </w:r>
        <w:r w:rsidR="00973360">
          <w:rPr>
            <w:noProof/>
            <w:webHidden/>
          </w:rPr>
          <w:tab/>
        </w:r>
        <w:r w:rsidR="00973360">
          <w:rPr>
            <w:noProof/>
            <w:webHidden/>
          </w:rPr>
          <w:fldChar w:fldCharType="begin"/>
        </w:r>
        <w:r w:rsidR="00973360">
          <w:rPr>
            <w:noProof/>
            <w:webHidden/>
          </w:rPr>
          <w:instrText xml:space="preserve"> PAGEREF _Toc175912410 \h </w:instrText>
        </w:r>
        <w:r w:rsidR="00973360">
          <w:rPr>
            <w:noProof/>
            <w:webHidden/>
          </w:rPr>
        </w:r>
        <w:r w:rsidR="00973360">
          <w:rPr>
            <w:noProof/>
            <w:webHidden/>
          </w:rPr>
          <w:fldChar w:fldCharType="separate"/>
        </w:r>
        <w:r w:rsidR="00973360">
          <w:rPr>
            <w:noProof/>
            <w:webHidden/>
          </w:rPr>
          <w:t>81</w:t>
        </w:r>
        <w:r w:rsidR="00973360">
          <w:rPr>
            <w:noProof/>
            <w:webHidden/>
          </w:rPr>
          <w:fldChar w:fldCharType="end"/>
        </w:r>
      </w:hyperlink>
    </w:p>
    <w:p w14:paraId="7A9911AA" w14:textId="48C44EB2"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11" w:history="1">
        <w:r w:rsidR="00973360" w:rsidRPr="009F42F1">
          <w:rPr>
            <w:rStyle w:val="Hyperlink"/>
            <w:noProof/>
          </w:rPr>
          <w:t>Table 6</w:t>
        </w:r>
        <w:r w:rsidR="00973360" w:rsidRPr="009F42F1">
          <w:rPr>
            <w:rStyle w:val="Hyperlink"/>
            <w:noProof/>
          </w:rPr>
          <w:noBreakHyphen/>
          <w:t>9 Summer Potential by Class – TOU Opt-In (MW @ Generator), Idaho</w:t>
        </w:r>
        <w:r w:rsidR="00973360">
          <w:rPr>
            <w:noProof/>
            <w:webHidden/>
          </w:rPr>
          <w:tab/>
        </w:r>
        <w:r w:rsidR="00973360">
          <w:rPr>
            <w:noProof/>
            <w:webHidden/>
          </w:rPr>
          <w:fldChar w:fldCharType="begin"/>
        </w:r>
        <w:r w:rsidR="00973360">
          <w:rPr>
            <w:noProof/>
            <w:webHidden/>
          </w:rPr>
          <w:instrText xml:space="preserve"> PAGEREF _Toc175912411 \h </w:instrText>
        </w:r>
        <w:r w:rsidR="00973360">
          <w:rPr>
            <w:noProof/>
            <w:webHidden/>
          </w:rPr>
        </w:r>
        <w:r w:rsidR="00973360">
          <w:rPr>
            <w:noProof/>
            <w:webHidden/>
          </w:rPr>
          <w:fldChar w:fldCharType="separate"/>
        </w:r>
        <w:r w:rsidR="00973360">
          <w:rPr>
            <w:noProof/>
            <w:webHidden/>
          </w:rPr>
          <w:t>81</w:t>
        </w:r>
        <w:r w:rsidR="00973360">
          <w:rPr>
            <w:noProof/>
            <w:webHidden/>
          </w:rPr>
          <w:fldChar w:fldCharType="end"/>
        </w:r>
      </w:hyperlink>
    </w:p>
    <w:p w14:paraId="5D479234" w14:textId="7D1D7345"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12" w:history="1">
        <w:r w:rsidR="00973360" w:rsidRPr="009F42F1">
          <w:rPr>
            <w:rStyle w:val="Hyperlink"/>
            <w:noProof/>
          </w:rPr>
          <w:t>Table 6</w:t>
        </w:r>
        <w:r w:rsidR="00973360" w:rsidRPr="009F42F1">
          <w:rPr>
            <w:rStyle w:val="Hyperlink"/>
            <w:noProof/>
          </w:rPr>
          <w:noBreakHyphen/>
          <w:t>13 Summary of Winter Potential by Option – TOU Opt-In (MW @ Generator)</w:t>
        </w:r>
        <w:r w:rsidR="00973360">
          <w:rPr>
            <w:noProof/>
            <w:webHidden/>
          </w:rPr>
          <w:tab/>
        </w:r>
        <w:r w:rsidR="00973360">
          <w:rPr>
            <w:noProof/>
            <w:webHidden/>
          </w:rPr>
          <w:fldChar w:fldCharType="begin"/>
        </w:r>
        <w:r w:rsidR="00973360">
          <w:rPr>
            <w:noProof/>
            <w:webHidden/>
          </w:rPr>
          <w:instrText xml:space="preserve"> PAGEREF _Toc175912412 \h </w:instrText>
        </w:r>
        <w:r w:rsidR="00973360">
          <w:rPr>
            <w:noProof/>
            <w:webHidden/>
          </w:rPr>
        </w:r>
        <w:r w:rsidR="00973360">
          <w:rPr>
            <w:noProof/>
            <w:webHidden/>
          </w:rPr>
          <w:fldChar w:fldCharType="separate"/>
        </w:r>
        <w:r w:rsidR="00973360">
          <w:rPr>
            <w:noProof/>
            <w:webHidden/>
          </w:rPr>
          <w:t>83</w:t>
        </w:r>
        <w:r w:rsidR="00973360">
          <w:rPr>
            <w:noProof/>
            <w:webHidden/>
          </w:rPr>
          <w:fldChar w:fldCharType="end"/>
        </w:r>
      </w:hyperlink>
    </w:p>
    <w:p w14:paraId="1DC0C104" w14:textId="3FB1E57F"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13" w:history="1">
        <w:r w:rsidR="00973360" w:rsidRPr="009F42F1">
          <w:rPr>
            <w:rStyle w:val="Hyperlink"/>
            <w:noProof/>
          </w:rPr>
          <w:t>Table 6</w:t>
        </w:r>
        <w:r w:rsidR="00973360" w:rsidRPr="009F42F1">
          <w:rPr>
            <w:rStyle w:val="Hyperlink"/>
            <w:noProof/>
          </w:rPr>
          <w:noBreakHyphen/>
          <w:t>14 Winter Potential by Class – TOU Opt-In (MW @Generator), Washington</w:t>
        </w:r>
        <w:r w:rsidR="00973360">
          <w:rPr>
            <w:noProof/>
            <w:webHidden/>
          </w:rPr>
          <w:tab/>
        </w:r>
        <w:r w:rsidR="00973360">
          <w:rPr>
            <w:noProof/>
            <w:webHidden/>
          </w:rPr>
          <w:fldChar w:fldCharType="begin"/>
        </w:r>
        <w:r w:rsidR="00973360">
          <w:rPr>
            <w:noProof/>
            <w:webHidden/>
          </w:rPr>
          <w:instrText xml:space="preserve"> PAGEREF _Toc175912413 \h </w:instrText>
        </w:r>
        <w:r w:rsidR="00973360">
          <w:rPr>
            <w:noProof/>
            <w:webHidden/>
          </w:rPr>
        </w:r>
        <w:r w:rsidR="00973360">
          <w:rPr>
            <w:noProof/>
            <w:webHidden/>
          </w:rPr>
          <w:fldChar w:fldCharType="separate"/>
        </w:r>
        <w:r w:rsidR="00973360">
          <w:rPr>
            <w:noProof/>
            <w:webHidden/>
          </w:rPr>
          <w:t>84</w:t>
        </w:r>
        <w:r w:rsidR="00973360">
          <w:rPr>
            <w:noProof/>
            <w:webHidden/>
          </w:rPr>
          <w:fldChar w:fldCharType="end"/>
        </w:r>
      </w:hyperlink>
    </w:p>
    <w:p w14:paraId="06B96E0E" w14:textId="4D697173"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14" w:history="1">
        <w:r w:rsidR="00973360" w:rsidRPr="009F42F1">
          <w:rPr>
            <w:rStyle w:val="Hyperlink"/>
            <w:noProof/>
          </w:rPr>
          <w:t>Table 6</w:t>
        </w:r>
        <w:r w:rsidR="00973360" w:rsidRPr="009F42F1">
          <w:rPr>
            <w:rStyle w:val="Hyperlink"/>
            <w:noProof/>
          </w:rPr>
          <w:noBreakHyphen/>
          <w:t>15 Winter Potential by Class – TOU Opt-In (MW @Generator), Idaho</w:t>
        </w:r>
        <w:r w:rsidR="00973360">
          <w:rPr>
            <w:noProof/>
            <w:webHidden/>
          </w:rPr>
          <w:tab/>
        </w:r>
        <w:r w:rsidR="00973360">
          <w:rPr>
            <w:noProof/>
            <w:webHidden/>
          </w:rPr>
          <w:fldChar w:fldCharType="begin"/>
        </w:r>
        <w:r w:rsidR="00973360">
          <w:rPr>
            <w:noProof/>
            <w:webHidden/>
          </w:rPr>
          <w:instrText xml:space="preserve"> PAGEREF _Toc175912414 \h </w:instrText>
        </w:r>
        <w:r w:rsidR="00973360">
          <w:rPr>
            <w:noProof/>
            <w:webHidden/>
          </w:rPr>
        </w:r>
        <w:r w:rsidR="00973360">
          <w:rPr>
            <w:noProof/>
            <w:webHidden/>
          </w:rPr>
          <w:fldChar w:fldCharType="separate"/>
        </w:r>
        <w:r w:rsidR="00973360">
          <w:rPr>
            <w:noProof/>
            <w:webHidden/>
          </w:rPr>
          <w:t>84</w:t>
        </w:r>
        <w:r w:rsidR="00973360">
          <w:rPr>
            <w:noProof/>
            <w:webHidden/>
          </w:rPr>
          <w:fldChar w:fldCharType="end"/>
        </w:r>
      </w:hyperlink>
    </w:p>
    <w:p w14:paraId="12BFBA06" w14:textId="5A88B95D" w:rsidR="00973360" w:rsidRDefault="00C13262">
      <w:pPr>
        <w:pStyle w:val="TableofFigures"/>
        <w:tabs>
          <w:tab w:val="right" w:leader="dot" w:pos="9170"/>
        </w:tabs>
        <w:rPr>
          <w:rFonts w:eastAsiaTheme="minorEastAsia" w:cstheme="minorBidi"/>
          <w:noProof/>
          <w:kern w:val="2"/>
          <w:sz w:val="24"/>
          <w:szCs w:val="24"/>
          <w14:ligatures w14:val="standardContextual"/>
        </w:rPr>
      </w:pPr>
      <w:hyperlink w:anchor="_Toc175912415" w:history="1">
        <w:r w:rsidR="00973360" w:rsidRPr="009F42F1">
          <w:rPr>
            <w:rStyle w:val="Hyperlink"/>
            <w:noProof/>
          </w:rPr>
          <w:t>Table 6</w:t>
        </w:r>
        <w:r w:rsidR="00973360" w:rsidRPr="009F42F1">
          <w:rPr>
            <w:rStyle w:val="Hyperlink"/>
            <w:noProof/>
          </w:rPr>
          <w:noBreakHyphen/>
          <w:t>16 Levelized Program Costs and Potential (TOU Opt-In)</w:t>
        </w:r>
        <w:r w:rsidR="00973360">
          <w:rPr>
            <w:noProof/>
            <w:webHidden/>
          </w:rPr>
          <w:tab/>
        </w:r>
        <w:r w:rsidR="00973360">
          <w:rPr>
            <w:noProof/>
            <w:webHidden/>
          </w:rPr>
          <w:fldChar w:fldCharType="begin"/>
        </w:r>
        <w:r w:rsidR="00973360">
          <w:rPr>
            <w:noProof/>
            <w:webHidden/>
          </w:rPr>
          <w:instrText xml:space="preserve"> PAGEREF _Toc175912415 \h </w:instrText>
        </w:r>
        <w:r w:rsidR="00973360">
          <w:rPr>
            <w:noProof/>
            <w:webHidden/>
          </w:rPr>
        </w:r>
        <w:r w:rsidR="00973360">
          <w:rPr>
            <w:noProof/>
            <w:webHidden/>
          </w:rPr>
          <w:fldChar w:fldCharType="separate"/>
        </w:r>
        <w:r w:rsidR="00973360">
          <w:rPr>
            <w:noProof/>
            <w:webHidden/>
          </w:rPr>
          <w:t>86</w:t>
        </w:r>
        <w:r w:rsidR="00973360">
          <w:rPr>
            <w:noProof/>
            <w:webHidden/>
          </w:rPr>
          <w:fldChar w:fldCharType="end"/>
        </w:r>
      </w:hyperlink>
    </w:p>
    <w:p w14:paraId="4C83D40A" w14:textId="20378590" w:rsidR="002A3F10" w:rsidRDefault="00CC48F9">
      <w:pPr>
        <w:pStyle w:val="TableofFigures"/>
        <w:tabs>
          <w:tab w:val="right" w:leader="dot" w:pos="9170"/>
        </w:tabs>
        <w:rPr>
          <w:rFonts w:eastAsiaTheme="minorEastAsia" w:cstheme="minorBidi"/>
          <w:noProof/>
          <w:kern w:val="2"/>
          <w:sz w:val="24"/>
          <w:szCs w:val="24"/>
          <w14:ligatures w14:val="standardContextual"/>
        </w:rPr>
      </w:pPr>
      <w:r>
        <w:rPr>
          <w:lang w:eastAsia="ja-JP"/>
        </w:rPr>
        <w:fldChar w:fldCharType="end"/>
      </w:r>
      <w:r w:rsidR="002A3F10">
        <w:rPr>
          <w:lang w:eastAsia="ja-JP"/>
        </w:rPr>
        <w:fldChar w:fldCharType="begin"/>
      </w:r>
      <w:r w:rsidR="002A3F10">
        <w:rPr>
          <w:lang w:eastAsia="ja-JP"/>
        </w:rPr>
        <w:instrText xml:space="preserve"> TOC \h \z \c "Table B - " </w:instrText>
      </w:r>
      <w:r w:rsidR="002A3F10">
        <w:rPr>
          <w:lang w:eastAsia="ja-JP"/>
        </w:rPr>
        <w:fldChar w:fldCharType="separate"/>
      </w:r>
      <w:hyperlink w:anchor="_Toc175912515" w:history="1">
        <w:r w:rsidR="002A3F10" w:rsidRPr="0031070F">
          <w:rPr>
            <w:rStyle w:val="Hyperlink"/>
            <w:noProof/>
          </w:rPr>
          <w:t>Table B -  1 Measure Ramp Rates Used in CPA</w:t>
        </w:r>
        <w:r w:rsidR="002A3F10">
          <w:rPr>
            <w:noProof/>
            <w:webHidden/>
          </w:rPr>
          <w:tab/>
        </w:r>
        <w:r w:rsidR="002A3F10">
          <w:rPr>
            <w:noProof/>
            <w:webHidden/>
          </w:rPr>
          <w:fldChar w:fldCharType="begin"/>
        </w:r>
        <w:r w:rsidR="002A3F10">
          <w:rPr>
            <w:noProof/>
            <w:webHidden/>
          </w:rPr>
          <w:instrText xml:space="preserve"> PAGEREF _Toc175912515 \h </w:instrText>
        </w:r>
        <w:r w:rsidR="002A3F10">
          <w:rPr>
            <w:noProof/>
            <w:webHidden/>
          </w:rPr>
        </w:r>
        <w:r w:rsidR="002A3F10">
          <w:rPr>
            <w:noProof/>
            <w:webHidden/>
          </w:rPr>
          <w:fldChar w:fldCharType="separate"/>
        </w:r>
        <w:r w:rsidR="002A3F10">
          <w:rPr>
            <w:noProof/>
            <w:webHidden/>
          </w:rPr>
          <w:t>B-1</w:t>
        </w:r>
        <w:r w:rsidR="002A3F10">
          <w:rPr>
            <w:noProof/>
            <w:webHidden/>
          </w:rPr>
          <w:fldChar w:fldCharType="end"/>
        </w:r>
      </w:hyperlink>
    </w:p>
    <w:p w14:paraId="5CCF26CA" w14:textId="52BA2796" w:rsidR="009411E8" w:rsidRDefault="002A3F10" w:rsidP="00D6177B">
      <w:pPr>
        <w:pStyle w:val="Heading1"/>
        <w:rPr>
          <w:lang w:eastAsia="ja-JP"/>
        </w:rPr>
      </w:pPr>
      <w:r>
        <w:rPr>
          <w:lang w:eastAsia="ja-JP"/>
        </w:rPr>
        <w:lastRenderedPageBreak/>
        <w:fldChar w:fldCharType="end"/>
      </w:r>
      <w:bookmarkStart w:id="0" w:name="_Toc175904839"/>
      <w:r w:rsidR="001C3662">
        <w:rPr>
          <w:lang w:eastAsia="ja-JP"/>
        </w:rPr>
        <w:t>Introduction</w:t>
      </w:r>
      <w:bookmarkEnd w:id="0"/>
    </w:p>
    <w:p w14:paraId="73730752" w14:textId="323BBD8B" w:rsidR="0084621A" w:rsidRPr="00E97D3F" w:rsidRDefault="0084621A" w:rsidP="0084621A">
      <w:pPr>
        <w:pStyle w:val="AEGBody"/>
      </w:pPr>
      <w:r w:rsidRPr="0084621A">
        <w:t xml:space="preserve">In </w:t>
      </w:r>
      <w:r w:rsidR="00CD1A99">
        <w:t>May</w:t>
      </w:r>
      <w:r w:rsidR="00CD1A99" w:rsidRPr="0084621A">
        <w:t xml:space="preserve"> </w:t>
      </w:r>
      <w:r w:rsidRPr="0084621A">
        <w:t>202</w:t>
      </w:r>
      <w:r w:rsidR="00CD1A99">
        <w:t>3</w:t>
      </w:r>
      <w:r w:rsidRPr="0084621A">
        <w:t xml:space="preserve">, Avista Corporation (Avista) engaged Applied Energy Group (AEG) to conduct a Conservation Potential Assessment (CPA) for its Washington and Idaho service areas. AEG first performed an electric CPA for Avista in 2013; since then, AEG has performed both electric and natural gas CPAs for Avista’s </w:t>
      </w:r>
      <w:r w:rsidR="00721320">
        <w:t xml:space="preserve">subsequent </w:t>
      </w:r>
      <w:r w:rsidRPr="0084621A">
        <w:t xml:space="preserve">planning cycles. The CPA is a 20-year study of electric and natural gas conservation potential, performed in accordance with Washington Initiative 937 and associated Washington Administrative Code provisions. This study provides data on conservation resources to support the development of Avista’s </w:t>
      </w:r>
      <w:r w:rsidRPr="00FF4586">
        <w:t>202</w:t>
      </w:r>
      <w:r w:rsidR="00721320" w:rsidRPr="00FF4586">
        <w:t>5</w:t>
      </w:r>
      <w:r w:rsidRPr="00FF4586">
        <w:t xml:space="preserve"> Integrated Resource Plan (IRP).</w:t>
      </w:r>
      <w:r w:rsidRPr="00E97D3F">
        <w:t xml:space="preserve"> For reporting purposes, the potential results are separated by fuel. This report documents the electric CPA.</w:t>
      </w:r>
    </w:p>
    <w:p w14:paraId="124876E5" w14:textId="42532B99" w:rsidR="0084621A" w:rsidRDefault="0084621A" w:rsidP="00FF4586">
      <w:pPr>
        <w:pStyle w:val="AEGBody"/>
      </w:pPr>
      <w:r w:rsidRPr="00FF4586">
        <w:t>Notable updates from prior CPAs include:</w:t>
      </w:r>
    </w:p>
    <w:p w14:paraId="71055FD2" w14:textId="4E65DFE4" w:rsidR="00721320" w:rsidRDefault="00721320" w:rsidP="0084621A">
      <w:pPr>
        <w:pStyle w:val="AEG-BulletList"/>
      </w:pPr>
      <w:r>
        <w:t xml:space="preserve">The analysis base year was </w:t>
      </w:r>
      <w:r w:rsidR="00240BC3">
        <w:t>updated to incorporate the full calendar year of data for 2021.</w:t>
      </w:r>
    </w:p>
    <w:p w14:paraId="6C874A46" w14:textId="77777777" w:rsidR="00721320" w:rsidRDefault="00721320" w:rsidP="0084621A">
      <w:pPr>
        <w:pStyle w:val="AEG-BulletList"/>
      </w:pPr>
      <w:r w:rsidRPr="00721320">
        <w:t>For the residential sector, the study still incorporates Avista’s GenPOP residential saturation survey from 2012, which provides a more localized look at Avista’s customers than regional surveys. The survey provided the foundation for the base year market characterization and energy market profiles. The Northwest Energy Efficiency Alliance’s (NEEA’s) 2016 Residential Building Stock Assessment II (RBSA) supplemented the GenPOP survey to account for trends in the intervening years.</w:t>
      </w:r>
      <w:r>
        <w:t xml:space="preserve"> </w:t>
      </w:r>
    </w:p>
    <w:p w14:paraId="2521FF32" w14:textId="0E99912E" w:rsidR="00721320" w:rsidRDefault="00721320" w:rsidP="00721320">
      <w:pPr>
        <w:pStyle w:val="AEG-BulletList"/>
        <w:numPr>
          <w:ilvl w:val="1"/>
          <w:numId w:val="2"/>
        </w:numPr>
      </w:pPr>
      <w:r>
        <w:t xml:space="preserve">Note that the 2022 RBSA was published in April </w:t>
      </w:r>
      <w:r w:rsidR="001E118C">
        <w:t>2024</w:t>
      </w:r>
      <w:r>
        <w:t xml:space="preserve">, </w:t>
      </w:r>
      <w:r w:rsidR="001E118C">
        <w:t xml:space="preserve">too late in the study process to be integrated into the baseline </w:t>
      </w:r>
    </w:p>
    <w:p w14:paraId="58086EE8" w14:textId="150D67AC" w:rsidR="0075427B" w:rsidRPr="00FF4586" w:rsidRDefault="0075427B" w:rsidP="0075427B">
      <w:pPr>
        <w:pStyle w:val="AEG-BulletList"/>
      </w:pPr>
      <w:r w:rsidRPr="00FF4586">
        <w:t>The list of energy conservation measures was updated with research from the Regional Technical Forum (RTF). In particular, light-emitting diode (LED) lamps continue to drop in price and provide a significant opportunity for savings, even accounting for RTF market transformation assumptions.</w:t>
      </w:r>
    </w:p>
    <w:p w14:paraId="6B981E55" w14:textId="77777777" w:rsidR="0075427B" w:rsidRPr="00FF4586" w:rsidRDefault="0075427B" w:rsidP="0075427B">
      <w:pPr>
        <w:pStyle w:val="AEG-BulletList"/>
      </w:pPr>
      <w:r w:rsidRPr="00FF4586">
        <w:t xml:space="preserve">The study incorporates updated forecasting assumptions that align with the most recent Avista load forecast. </w:t>
      </w:r>
    </w:p>
    <w:p w14:paraId="1627EBA5" w14:textId="5FE08E6B" w:rsidR="0075427B" w:rsidRPr="00FF4586" w:rsidRDefault="0075427B" w:rsidP="0075427B">
      <w:pPr>
        <w:pStyle w:val="AEG-BulletList"/>
      </w:pPr>
      <w:r w:rsidRPr="00FF4586">
        <w:t xml:space="preserve">A new Department of Energy (DOE) Heat Pump Water Heater (HPWH) </w:t>
      </w:r>
      <w:r w:rsidR="0099220E">
        <w:rPr>
          <w:iCs/>
        </w:rPr>
        <w:t>s</w:t>
      </w:r>
      <w:r w:rsidRPr="00FF4586">
        <w:t>tandard</w:t>
      </w:r>
      <w:r w:rsidR="0099220E">
        <w:rPr>
          <w:iCs/>
        </w:rPr>
        <w:t>,</w:t>
      </w:r>
      <w:r w:rsidRPr="00FF4586">
        <w:t xml:space="preserve"> </w:t>
      </w:r>
      <w:r w:rsidR="0099220E">
        <w:rPr>
          <w:iCs/>
        </w:rPr>
        <w:t xml:space="preserve">making residential HPWHs baseline in 2029, </w:t>
      </w:r>
      <w:r w:rsidRPr="00FF4586">
        <w:t>was published on April 30th</w:t>
      </w:r>
      <w:r w:rsidR="0099220E" w:rsidRPr="00FF4586">
        <w:t xml:space="preserve">. Ordinarily, forecast assumptions would </w:t>
      </w:r>
      <w:r w:rsidR="001E118C">
        <w:t>have been</w:t>
      </w:r>
      <w:r w:rsidR="0099220E" w:rsidRPr="00FF4586">
        <w:t xml:space="preserve"> frozen</w:t>
      </w:r>
      <w:r w:rsidR="001E118C">
        <w:t xml:space="preserve"> by that point in the study process</w:t>
      </w:r>
      <w:r w:rsidR="0099220E" w:rsidRPr="00FF4586">
        <w:t>, but given the impact on both baseline and major savings measures within the CPA, it was incorporated into the forecast</w:t>
      </w:r>
      <w:r w:rsidR="0099220E">
        <w:rPr>
          <w:iCs/>
        </w:rPr>
        <w:t xml:space="preserve"> and models rerun to account for its impact</w:t>
      </w:r>
      <w:r w:rsidR="0099220E" w:rsidRPr="00FF4586">
        <w:t xml:space="preserve">. </w:t>
      </w:r>
    </w:p>
    <w:p w14:paraId="79E1854E" w14:textId="37DB1F1F" w:rsidR="0075427B" w:rsidRDefault="0099220E" w:rsidP="0075427B">
      <w:pPr>
        <w:pStyle w:val="AEG-BulletList"/>
        <w:rPr>
          <w:iCs/>
        </w:rPr>
      </w:pPr>
      <w:r w:rsidRPr="00FF4586">
        <w:t xml:space="preserve">Solar and EV projections from the DER study in Washington </w:t>
      </w:r>
      <w:r>
        <w:rPr>
          <w:iCs/>
        </w:rPr>
        <w:t xml:space="preserve">were incorporated into Baseline forecasts. </w:t>
      </w:r>
    </w:p>
    <w:p w14:paraId="3E268638" w14:textId="72DD9BAE" w:rsidR="001E118C" w:rsidRPr="00FF4586" w:rsidRDefault="001E118C" w:rsidP="00FF4586">
      <w:pPr>
        <w:pStyle w:val="AEG-BulletList"/>
        <w:numPr>
          <w:ilvl w:val="1"/>
          <w:numId w:val="2"/>
        </w:numPr>
      </w:pPr>
      <w:r>
        <w:rPr>
          <w:iCs/>
        </w:rPr>
        <w:t>Solar and EV projections for Idaho were provided by Avista</w:t>
      </w:r>
    </w:p>
    <w:p w14:paraId="4FC4C725" w14:textId="73B9349D" w:rsidR="0075427B" w:rsidRPr="001E118C" w:rsidRDefault="0075427B" w:rsidP="00FF4586">
      <w:pPr>
        <w:pStyle w:val="AEGBody"/>
        <w:rPr>
          <w:rStyle w:val="Emphasis"/>
          <w:rFonts w:ascii="GT Eesti Display Light" w:hAnsi="GT Eesti Display Light"/>
          <w:i w:val="0"/>
          <w:iCs w:val="0"/>
          <w:spacing w:val="4"/>
        </w:rPr>
      </w:pPr>
      <w:r w:rsidRPr="00FF4586">
        <w:t>Enhancement retained from the previous CPA include:</w:t>
      </w:r>
    </w:p>
    <w:p w14:paraId="77BD6DF1" w14:textId="1DF18F39" w:rsidR="00D75114" w:rsidRDefault="00D75114" w:rsidP="00D75114">
      <w:pPr>
        <w:pStyle w:val="AEG-BulletList"/>
      </w:pPr>
      <w:r>
        <w:t>Analysis of economic potential was excluded from this study. Avista will screen for cost-effective opportunities directly within the IRP model. As such, economic potential and achievable potential have been replaced by a</w:t>
      </w:r>
      <w:r w:rsidR="00240BC3">
        <w:t>n</w:t>
      </w:r>
      <w:r>
        <w:t xml:space="preserve"> Achievable Technical Potential case. </w:t>
      </w:r>
    </w:p>
    <w:p w14:paraId="392FBC73" w14:textId="77777777" w:rsidR="00D75114" w:rsidRDefault="00D75114" w:rsidP="00D75114">
      <w:pPr>
        <w:pStyle w:val="AEG-BulletList"/>
      </w:pPr>
      <w:r>
        <w:t>In addition to analyzing annual energy savings, the study also estimated the opportunity for reduction of summer and winter peak demand. This involved a full characterization by sector, segment, and end use of peak demand in the base year.</w:t>
      </w:r>
    </w:p>
    <w:p w14:paraId="20FB9912" w14:textId="23246937" w:rsidR="0075427B" w:rsidRPr="0075427B" w:rsidRDefault="0075427B" w:rsidP="0075427B">
      <w:pPr>
        <w:pStyle w:val="AEG-BulletList"/>
      </w:pPr>
      <w:r w:rsidRPr="0075427B">
        <w:t xml:space="preserve">The residential segmentation </w:t>
      </w:r>
      <w:r w:rsidR="001E118C">
        <w:t xml:space="preserve">differentiates low income customers from others, with unique market characterization, building shell and usage </w:t>
      </w:r>
      <w:r w:rsidRPr="0075427B" w:rsidDel="001E118C">
        <w:t>characteristics</w:t>
      </w:r>
      <w:r w:rsidRPr="0075427B">
        <w:t>.</w:t>
      </w:r>
    </w:p>
    <w:p w14:paraId="1CDF4F00" w14:textId="62AE9DB8" w:rsidR="00721320" w:rsidRDefault="0075427B" w:rsidP="00721320">
      <w:pPr>
        <w:pStyle w:val="AEG-BulletList"/>
      </w:pPr>
      <w:r w:rsidRPr="0075427B">
        <w:lastRenderedPageBreak/>
        <w:t>NEEA’s 2019 Commercial Building Stock Assessment (CBSA)</w:t>
      </w:r>
      <w:r w:rsidR="00F30049">
        <w:t xml:space="preserve"> was used for characterization of the Commercial sector</w:t>
      </w:r>
    </w:p>
    <w:p w14:paraId="31BB154D" w14:textId="5FE58651" w:rsidR="0075427B" w:rsidRPr="0075427B" w:rsidRDefault="0075427B" w:rsidP="0075427B">
      <w:pPr>
        <w:pStyle w:val="AEG-BulletList"/>
      </w:pPr>
      <w:r w:rsidRPr="0075427B">
        <w:t xml:space="preserve">The industrial </w:t>
      </w:r>
      <w:r w:rsidR="00F30049">
        <w:t>sector, while relatively small for Avista’s territory, separates the pumping and general manufacturing segments for a better understanding of available potential than prior studies.</w:t>
      </w:r>
    </w:p>
    <w:p w14:paraId="777FDCA5" w14:textId="5BD6713F" w:rsidR="0075427B" w:rsidRPr="0084621A" w:rsidRDefault="0075427B" w:rsidP="001E118C">
      <w:pPr>
        <w:pStyle w:val="AEG-BulletList"/>
      </w:pPr>
      <w:r w:rsidRPr="0075427B">
        <w:t>Measure characterizations</w:t>
      </w:r>
      <w:r w:rsidR="001E118C">
        <w:t xml:space="preserve"> continue to use data from the Northwest Power and </w:t>
      </w:r>
      <w:r w:rsidR="00F30049">
        <w:t>Conservation</w:t>
      </w:r>
      <w:r w:rsidR="001E118C">
        <w:t xml:space="preserve"> Council’s</w:t>
      </w:r>
      <w:r w:rsidRPr="0075427B">
        <w:t xml:space="preserve"> 2021 Power Plan</w:t>
      </w:r>
      <w:r w:rsidR="001E118C">
        <w:t xml:space="preserve"> where this is the most current source</w:t>
      </w:r>
      <w:r w:rsidRPr="0075427B">
        <w:t>, including measure data, adoption rates, and updated measure applicability.</w:t>
      </w:r>
    </w:p>
    <w:p w14:paraId="1B5CE147" w14:textId="29AF5245" w:rsidR="00155A2F" w:rsidRDefault="007563CF" w:rsidP="009875ED">
      <w:pPr>
        <w:pStyle w:val="Heading2"/>
      </w:pPr>
      <w:bookmarkStart w:id="1" w:name="_Toc175904840"/>
      <w:r>
        <w:t>Summary of Report Contents</w:t>
      </w:r>
      <w:bookmarkEnd w:id="1"/>
    </w:p>
    <w:p w14:paraId="515ABA92" w14:textId="77777777" w:rsidR="001174A7" w:rsidRPr="005E5D69" w:rsidRDefault="001174A7" w:rsidP="001174A7">
      <w:pPr>
        <w:pStyle w:val="AEGBody"/>
      </w:pPr>
      <w:r w:rsidRPr="000F2821">
        <w:t xml:space="preserve">The </w:t>
      </w:r>
      <w:r>
        <w:t>report is div</w:t>
      </w:r>
      <w:r w:rsidRPr="000F2821">
        <w:t xml:space="preserve">ided into the following chapters, summarizing the approach, assumptions, and results of the </w:t>
      </w:r>
      <w:r>
        <w:t>electric CPA</w:t>
      </w:r>
      <w:r w:rsidRPr="005E5D69">
        <w:t>.</w:t>
      </w:r>
    </w:p>
    <w:p w14:paraId="20B451FA" w14:textId="77777777" w:rsidR="001174A7" w:rsidRPr="005E5D69" w:rsidRDefault="001174A7" w:rsidP="001174A7">
      <w:pPr>
        <w:pStyle w:val="AEG-BulletList"/>
        <w:rPr>
          <w:rStyle w:val="Emphasis"/>
          <w:rFonts w:ascii="GT Eesti Display Light" w:hAnsi="GT Eesti Display Light"/>
          <w:iCs w:val="0"/>
          <w:spacing w:val="4"/>
        </w:rPr>
      </w:pPr>
      <w:r w:rsidRPr="00EF48C3">
        <w:rPr>
          <w:rStyle w:val="Strong"/>
        </w:rPr>
        <w:t>Chapter 2 – Energy Efficiency Analysis Approach and Data Development.</w:t>
      </w:r>
      <w:r w:rsidRPr="005E5D69">
        <w:t xml:space="preserve"> </w:t>
      </w:r>
      <w:r>
        <w:t>A d</w:t>
      </w:r>
      <w:r w:rsidRPr="005E5D69">
        <w:t>etailed description of AEG’s approach to estimating the energy efficiency potential and documentation of data sources used.</w:t>
      </w:r>
      <w:r w:rsidRPr="005E5D69">
        <w:rPr>
          <w:rStyle w:val="Emphasis"/>
          <w:rFonts w:ascii="GT Eesti Display Light" w:hAnsi="GT Eesti Display Light"/>
          <w:spacing w:val="4"/>
        </w:rPr>
        <w:t xml:space="preserve"> </w:t>
      </w:r>
    </w:p>
    <w:p w14:paraId="40B99C9E" w14:textId="77777777" w:rsidR="001174A7" w:rsidRDefault="001174A7" w:rsidP="001174A7">
      <w:pPr>
        <w:pStyle w:val="AEG-BulletList"/>
      </w:pPr>
      <w:r w:rsidRPr="00BF0B9E">
        <w:rPr>
          <w:rStyle w:val="Strong"/>
        </w:rPr>
        <w:t>Chapter 3 – Energy Efficiency Market Characterization</w:t>
      </w:r>
      <w:r>
        <w:rPr>
          <w:rStyle w:val="Emphasis"/>
          <w:rFonts w:ascii="GT Eesti Display Light" w:hAnsi="GT Eesti Display Light"/>
          <w:b/>
          <w:bCs/>
          <w:spacing w:val="4"/>
        </w:rPr>
        <w:t xml:space="preserve"> </w:t>
      </w:r>
      <w:r w:rsidRPr="002C7DE4">
        <w:rPr>
          <w:rStyle w:val="Emphasis"/>
          <w:rFonts w:ascii="GT Eesti Display Light" w:hAnsi="GT Eesti Display Light"/>
          <w:spacing w:val="4"/>
        </w:rPr>
        <w:t>presents</w:t>
      </w:r>
      <w:r w:rsidRPr="002C7DE4">
        <w:t xml:space="preserve"> </w:t>
      </w:r>
      <w:r w:rsidRPr="00C62D7A">
        <w:t xml:space="preserve">how </w:t>
      </w:r>
      <w:r>
        <w:t xml:space="preserve">Avista’s </w:t>
      </w:r>
      <w:r w:rsidRPr="00C62D7A">
        <w:t xml:space="preserve">customers use electricity </w:t>
      </w:r>
      <w:r>
        <w:t>today and what equipment is currently being used</w:t>
      </w:r>
      <w:r w:rsidRPr="00C62D7A">
        <w:t>.</w:t>
      </w:r>
      <w:r w:rsidRPr="00C62D7A">
        <w:tab/>
      </w:r>
    </w:p>
    <w:p w14:paraId="2BBA271A" w14:textId="77777777" w:rsidR="001174A7" w:rsidRPr="0043458F" w:rsidRDefault="001174A7" w:rsidP="001174A7">
      <w:pPr>
        <w:pStyle w:val="AEG-BulletList"/>
        <w:rPr>
          <w:rStyle w:val="Emphasis"/>
          <w:rFonts w:ascii="GT Eesti Display Light" w:hAnsi="GT Eesti Display Light"/>
          <w:iCs w:val="0"/>
          <w:spacing w:val="4"/>
        </w:rPr>
      </w:pPr>
      <w:r w:rsidRPr="00BF0B9E">
        <w:rPr>
          <w:rStyle w:val="Strong"/>
        </w:rPr>
        <w:t>Chapter 4 – Energy Efficiency Baseline Projection</w:t>
      </w:r>
      <w:r w:rsidRPr="0043458F">
        <w:rPr>
          <w:rStyle w:val="Emphasis"/>
          <w:rFonts w:ascii="GT Eesti Display Light" w:hAnsi="GT Eesti Display Light"/>
          <w:spacing w:val="4"/>
        </w:rPr>
        <w:t xml:space="preserve"> </w:t>
      </w:r>
      <w:r>
        <w:rPr>
          <w:rStyle w:val="Emphasis"/>
          <w:rFonts w:ascii="GT Eesti Display Light" w:hAnsi="GT Eesti Display Light"/>
          <w:spacing w:val="4"/>
        </w:rPr>
        <w:t>p</w:t>
      </w:r>
      <w:r w:rsidRPr="0043458F">
        <w:rPr>
          <w:rStyle w:val="Emphasis"/>
          <w:rFonts w:ascii="GT Eesti Display Light" w:hAnsi="GT Eesti Display Light"/>
          <w:spacing w:val="4"/>
        </w:rPr>
        <w:t>resents the baseline end</w:t>
      </w:r>
      <w:r>
        <w:rPr>
          <w:rStyle w:val="Emphasis"/>
          <w:rFonts w:ascii="GT Eesti Display Light" w:hAnsi="GT Eesti Display Light"/>
          <w:spacing w:val="4"/>
        </w:rPr>
        <w:t>-</w:t>
      </w:r>
      <w:r w:rsidRPr="0043458F">
        <w:rPr>
          <w:rStyle w:val="Emphasis"/>
          <w:rFonts w:ascii="GT Eesti Display Light" w:hAnsi="GT Eesti Display Light"/>
          <w:spacing w:val="4"/>
        </w:rPr>
        <w:t>use projections developed for each sector and state, as well as a summary.</w:t>
      </w:r>
    </w:p>
    <w:p w14:paraId="1F7AD1C9" w14:textId="77777777" w:rsidR="001174A7" w:rsidRPr="00C62D7A" w:rsidRDefault="001174A7" w:rsidP="001174A7">
      <w:pPr>
        <w:pStyle w:val="AEG-BulletList"/>
      </w:pPr>
      <w:r w:rsidRPr="001F3020">
        <w:rPr>
          <w:rStyle w:val="Strong"/>
        </w:rPr>
        <w:t>Chapter 5 – Conservation Potential.</w:t>
      </w:r>
      <w:r w:rsidRPr="00C62D7A">
        <w:t xml:space="preserve"> Energy efficiency potential results </w:t>
      </w:r>
      <w:r>
        <w:t xml:space="preserve">for each state </w:t>
      </w:r>
      <w:r w:rsidRPr="00C62D7A">
        <w:t>across all sectors and separately for each sector.</w:t>
      </w:r>
    </w:p>
    <w:p w14:paraId="45CECE7B" w14:textId="77777777" w:rsidR="001174A7" w:rsidRPr="00C62D7A" w:rsidRDefault="001174A7" w:rsidP="001174A7">
      <w:pPr>
        <w:pStyle w:val="AEG-BulletList"/>
      </w:pPr>
      <w:r w:rsidRPr="001F3020">
        <w:rPr>
          <w:rStyle w:val="Strong"/>
        </w:rPr>
        <w:t>Chapter 6 – Demand Response Potential.</w:t>
      </w:r>
      <w:r w:rsidRPr="00C62D7A">
        <w:rPr>
          <w:rStyle w:val="Emphasis"/>
          <w:rFonts w:ascii="GT Eesti Display Light" w:hAnsi="GT Eesti Display Light"/>
          <w:spacing w:val="4"/>
        </w:rPr>
        <w:t xml:space="preserve"> Demand response potential results </w:t>
      </w:r>
      <w:r>
        <w:t xml:space="preserve">for each state </w:t>
      </w:r>
      <w:r w:rsidRPr="00C62D7A">
        <w:rPr>
          <w:rStyle w:val="Emphasis"/>
          <w:rFonts w:ascii="GT Eesti Display Light" w:hAnsi="GT Eesti Display Light"/>
          <w:spacing w:val="4"/>
        </w:rPr>
        <w:t xml:space="preserve">across all sectors and separately for each sector. </w:t>
      </w:r>
    </w:p>
    <w:p w14:paraId="29D422F2" w14:textId="77777777" w:rsidR="001174A7" w:rsidRDefault="001174A7" w:rsidP="001174A7">
      <w:pPr>
        <w:pStyle w:val="AEG-BulletList"/>
      </w:pPr>
      <w:r w:rsidRPr="001F3020">
        <w:rPr>
          <w:rStyle w:val="Strong"/>
        </w:rPr>
        <w:t>Appendices A through D</w:t>
      </w:r>
      <w:r w:rsidRPr="00C62D7A">
        <w:rPr>
          <w:rStyle w:val="Emphasis"/>
          <w:rFonts w:ascii="GT Eesti Display Light" w:hAnsi="GT Eesti Display Light"/>
          <w:spacing w:val="4"/>
        </w:rPr>
        <w:t xml:space="preserve"> provide backup detail on market profiles, market adoption (ramp) rates, measure</w:t>
      </w:r>
      <w:r w:rsidRPr="005E5D69">
        <w:rPr>
          <w:rStyle w:val="Emphasis"/>
          <w:rFonts w:ascii="GT Eesti Display Light" w:hAnsi="GT Eesti Display Light"/>
          <w:spacing w:val="4"/>
        </w:rPr>
        <w:t xml:space="preserve"> data, and demand response.</w:t>
      </w:r>
      <w:r w:rsidRPr="005E5D69">
        <w:t xml:space="preserve"> </w:t>
      </w:r>
    </w:p>
    <w:p w14:paraId="4A4D64B9" w14:textId="77777777" w:rsidR="001174A7" w:rsidRDefault="001174A7" w:rsidP="001174A7">
      <w:pPr>
        <w:pStyle w:val="AEGBody"/>
      </w:pPr>
      <w:r>
        <w:t>There are three types of tables presented in the report to easily distinguish between the types of data presented. There is one type of table for each: general Avista data, Washington-specific data, and Idaho-specific data.</w:t>
      </w:r>
    </w:p>
    <w:p w14:paraId="1BAEDB70" w14:textId="1B0BE3BC" w:rsidR="007563CF" w:rsidRDefault="007563CF" w:rsidP="009875ED">
      <w:pPr>
        <w:pStyle w:val="Heading2"/>
      </w:pPr>
      <w:bookmarkStart w:id="2" w:name="_Toc175904841"/>
      <w:r>
        <w:t>Abbreviations and Acronyms</w:t>
      </w:r>
      <w:bookmarkEnd w:id="2"/>
    </w:p>
    <w:p w14:paraId="5E5D7319" w14:textId="7B273254" w:rsidR="001174A7" w:rsidRDefault="00CF1AB0" w:rsidP="007563CF">
      <w:pPr>
        <w:pStyle w:val="AEGBody"/>
      </w:pPr>
      <w:r>
        <w:fldChar w:fldCharType="begin"/>
      </w:r>
      <w:r>
        <w:instrText xml:space="preserve"> REF _Ref175822611 \h </w:instrText>
      </w:r>
      <w:r>
        <w:fldChar w:fldCharType="separate"/>
      </w:r>
      <w:r>
        <w:t xml:space="preserve">Table </w:t>
      </w:r>
      <w:r>
        <w:rPr>
          <w:noProof/>
        </w:rPr>
        <w:t>1</w:t>
      </w:r>
      <w:r>
        <w:noBreakHyphen/>
      </w:r>
      <w:r>
        <w:rPr>
          <w:noProof/>
        </w:rPr>
        <w:t>1</w:t>
      </w:r>
      <w:r>
        <w:fldChar w:fldCharType="end"/>
      </w:r>
      <w:r>
        <w:t xml:space="preserve"> </w:t>
      </w:r>
      <w:r w:rsidR="001174A7" w:rsidRPr="00C22C96">
        <w:t>provides a list of abbreviations and acronyms used in this report, along with an explanation.</w:t>
      </w:r>
    </w:p>
    <w:p w14:paraId="225AF348" w14:textId="31844607" w:rsidR="001174A7" w:rsidRDefault="001174A7" w:rsidP="001174A7">
      <w:pPr>
        <w:pStyle w:val="Caption"/>
      </w:pPr>
      <w:bookmarkStart w:id="3" w:name="_Ref175822611"/>
      <w:bookmarkStart w:id="4" w:name="_Ref175811941"/>
      <w:bookmarkStart w:id="5" w:name="_Toc175912362"/>
      <w:r>
        <w:lastRenderedPageBreak/>
        <w:t xml:space="preserve">Table </w:t>
      </w:r>
      <w:r w:rsidR="00EE4707">
        <w:fldChar w:fldCharType="begin"/>
      </w:r>
      <w:r w:rsidR="00EE4707">
        <w:instrText xml:space="preserve"> STYLEREF 1 \s </w:instrText>
      </w:r>
      <w:r w:rsidR="00EE4707">
        <w:fldChar w:fldCharType="separate"/>
      </w:r>
      <w:r w:rsidR="00EE4707">
        <w:rPr>
          <w:noProof/>
        </w:rPr>
        <w:t>1</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w:t>
      </w:r>
      <w:r w:rsidR="00EE4707">
        <w:fldChar w:fldCharType="end"/>
      </w:r>
      <w:bookmarkEnd w:id="3"/>
      <w:r>
        <w:t xml:space="preserve"> Explanation of</w:t>
      </w:r>
      <w:r>
        <w:rPr>
          <w:noProof/>
        </w:rPr>
        <w:t xml:space="preserve"> Abbreviations and Acronyms</w:t>
      </w:r>
      <w:bookmarkEnd w:id="4"/>
      <w:bookmarkEnd w:id="5"/>
    </w:p>
    <w:tbl>
      <w:tblPr>
        <w:tblStyle w:val="AEG-DarkBanded"/>
        <w:tblW w:w="4879" w:type="pct"/>
        <w:jc w:val="center"/>
        <w:tblLook w:val="04A0" w:firstRow="1" w:lastRow="0" w:firstColumn="1" w:lastColumn="0" w:noHBand="0" w:noVBand="1"/>
      </w:tblPr>
      <w:tblGrid>
        <w:gridCol w:w="2160"/>
        <w:gridCol w:w="6798"/>
      </w:tblGrid>
      <w:tr w:rsidR="001174A7" w:rsidRPr="00E467B9" w14:paraId="7CC0EB8D" w14:textId="77777777" w:rsidTr="00883C0D">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350FDAB8" w14:textId="77777777" w:rsidR="001174A7" w:rsidRPr="000546BE" w:rsidRDefault="001174A7" w:rsidP="00883C0D">
            <w:pPr>
              <w:pStyle w:val="TableText"/>
              <w:keepNext/>
              <w:ind w:right="-115"/>
              <w:rPr>
                <w:rStyle w:val="Strong"/>
                <w:b w:val="0"/>
                <w:bCs/>
              </w:rPr>
            </w:pPr>
            <w:r w:rsidRPr="000546BE">
              <w:rPr>
                <w:rStyle w:val="Strong"/>
                <w:b w:val="0"/>
                <w:bCs/>
              </w:rPr>
              <w:t>Acronym</w:t>
            </w:r>
          </w:p>
        </w:tc>
        <w:tc>
          <w:tcPr>
            <w:tcW w:w="6798" w:type="dxa"/>
            <w:noWrap/>
            <w:hideMark/>
          </w:tcPr>
          <w:p w14:paraId="3C46A1FB" w14:textId="77777777" w:rsidR="001174A7" w:rsidRPr="000546BE" w:rsidRDefault="001174A7" w:rsidP="00883C0D">
            <w:pPr>
              <w:pStyle w:val="TableText"/>
              <w:keepNext/>
              <w:ind w:right="-115"/>
              <w:jc w:val="left"/>
              <w:cnfStyle w:val="100000000000" w:firstRow="1" w:lastRow="0" w:firstColumn="0" w:lastColumn="0" w:oddVBand="0" w:evenVBand="0" w:oddHBand="0" w:evenHBand="0" w:firstRowFirstColumn="0" w:firstRowLastColumn="0" w:lastRowFirstColumn="0" w:lastRowLastColumn="0"/>
              <w:rPr>
                <w:rStyle w:val="Strong"/>
                <w:b w:val="0"/>
                <w:bCs/>
              </w:rPr>
            </w:pPr>
            <w:r w:rsidRPr="000546BE">
              <w:rPr>
                <w:rStyle w:val="Strong"/>
                <w:b w:val="0"/>
                <w:bCs/>
              </w:rPr>
              <w:t>Explanation</w:t>
            </w:r>
          </w:p>
        </w:tc>
      </w:tr>
      <w:tr w:rsidR="001174A7" w14:paraId="78DC28AC"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10198A78"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A/C</w:t>
            </w:r>
          </w:p>
        </w:tc>
        <w:tc>
          <w:tcPr>
            <w:tcW w:w="6798" w:type="dxa"/>
            <w:noWrap/>
          </w:tcPr>
          <w:p w14:paraId="3EE1D604" w14:textId="77777777" w:rsidR="001174A7" w:rsidRPr="001B1D37"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B1D37">
              <w:rPr>
                <w:rFonts w:asciiTheme="minorHAnsi" w:hAnsiTheme="minorHAnsi"/>
              </w:rPr>
              <w:t>Air Conditioning</w:t>
            </w:r>
          </w:p>
        </w:tc>
      </w:tr>
      <w:tr w:rsidR="001174A7" w14:paraId="6288A29E"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31114ACB"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AEG</w:t>
            </w:r>
          </w:p>
        </w:tc>
        <w:tc>
          <w:tcPr>
            <w:tcW w:w="6798" w:type="dxa"/>
            <w:noWrap/>
          </w:tcPr>
          <w:p w14:paraId="7F6F0E68" w14:textId="77777777" w:rsidR="001174A7" w:rsidRPr="001B1D37"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1B1D37">
              <w:rPr>
                <w:rFonts w:asciiTheme="minorHAnsi" w:hAnsiTheme="minorHAnsi"/>
              </w:rPr>
              <w:t>Applied Energy Group</w:t>
            </w:r>
          </w:p>
        </w:tc>
      </w:tr>
      <w:tr w:rsidR="001174A7" w14:paraId="5A3321F5"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ED36489"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AEO</w:t>
            </w:r>
          </w:p>
        </w:tc>
        <w:tc>
          <w:tcPr>
            <w:tcW w:w="6798" w:type="dxa"/>
            <w:noWrap/>
            <w:hideMark/>
          </w:tcPr>
          <w:p w14:paraId="7EC4AD23" w14:textId="77777777" w:rsidR="001174A7" w:rsidRPr="001B1D37"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B1D37">
              <w:rPr>
                <w:rFonts w:asciiTheme="minorHAnsi" w:hAnsiTheme="minorHAnsi"/>
              </w:rPr>
              <w:t xml:space="preserve">EIA’s Annual Energy Outlook forecast </w:t>
            </w:r>
          </w:p>
        </w:tc>
      </w:tr>
      <w:tr w:rsidR="001174A7" w14:paraId="66C5B040"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76AA92C9"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AMI</w:t>
            </w:r>
          </w:p>
        </w:tc>
        <w:tc>
          <w:tcPr>
            <w:tcW w:w="6798" w:type="dxa"/>
            <w:noWrap/>
            <w:hideMark/>
          </w:tcPr>
          <w:p w14:paraId="08CE209C" w14:textId="77777777" w:rsidR="001174A7" w:rsidRPr="001B1D37"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1B1D37">
              <w:rPr>
                <w:rFonts w:asciiTheme="minorHAnsi" w:hAnsiTheme="minorHAnsi"/>
              </w:rPr>
              <w:t>Advanced Metering Infrastructure</w:t>
            </w:r>
          </w:p>
        </w:tc>
      </w:tr>
      <w:tr w:rsidR="001174A7" w14:paraId="649925CC"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49076E34"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BEST</w:t>
            </w:r>
          </w:p>
        </w:tc>
        <w:tc>
          <w:tcPr>
            <w:tcW w:w="6798" w:type="dxa"/>
            <w:noWrap/>
            <w:hideMark/>
          </w:tcPr>
          <w:p w14:paraId="3D1B8A65" w14:textId="77777777" w:rsidR="001174A7" w:rsidRPr="001B1D37"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B1D37">
              <w:rPr>
                <w:rFonts w:asciiTheme="minorHAnsi" w:hAnsiTheme="minorHAnsi"/>
              </w:rPr>
              <w:t>AEG’s Building Energy Simulation Tool</w:t>
            </w:r>
          </w:p>
        </w:tc>
      </w:tr>
      <w:tr w:rsidR="001174A7" w14:paraId="370777ED"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24BEC88"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BYOT</w:t>
            </w:r>
          </w:p>
        </w:tc>
        <w:tc>
          <w:tcPr>
            <w:tcW w:w="6798" w:type="dxa"/>
            <w:noWrap/>
          </w:tcPr>
          <w:p w14:paraId="15BE0D0D" w14:textId="77777777" w:rsidR="001174A7" w:rsidRPr="001B1D37"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1B1D37">
              <w:rPr>
                <w:rFonts w:asciiTheme="minorHAnsi" w:hAnsiTheme="minorHAnsi"/>
              </w:rPr>
              <w:t>Bring Your Own Thermostat</w:t>
            </w:r>
          </w:p>
        </w:tc>
      </w:tr>
      <w:tr w:rsidR="001174A7" w14:paraId="471A5282"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34908E86" w14:textId="77777777" w:rsidR="001174A7" w:rsidRPr="001B1D37" w:rsidRDefault="001174A7" w:rsidP="00883C0D">
            <w:pPr>
              <w:pStyle w:val="TableText"/>
              <w:keepNext/>
              <w:ind w:right="-115"/>
              <w:rPr>
                <w:rFonts w:asciiTheme="minorHAnsi" w:hAnsiTheme="minorHAnsi"/>
              </w:rPr>
            </w:pPr>
            <w:r w:rsidRPr="001B1D37">
              <w:rPr>
                <w:rFonts w:asciiTheme="minorHAnsi" w:hAnsiTheme="minorHAnsi"/>
              </w:rPr>
              <w:t>C&amp;I</w:t>
            </w:r>
          </w:p>
        </w:tc>
        <w:tc>
          <w:tcPr>
            <w:tcW w:w="6798" w:type="dxa"/>
            <w:noWrap/>
            <w:hideMark/>
          </w:tcPr>
          <w:p w14:paraId="28B872D6" w14:textId="77777777" w:rsidR="001174A7" w:rsidRPr="001B1D37"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B1D37">
              <w:rPr>
                <w:rFonts w:asciiTheme="minorHAnsi" w:hAnsiTheme="minorHAnsi"/>
              </w:rPr>
              <w:t>Commercial and Industrial</w:t>
            </w:r>
          </w:p>
        </w:tc>
      </w:tr>
      <w:tr w:rsidR="001174A7" w14:paraId="4B237732"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57DC2C1A"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CBSA</w:t>
            </w:r>
          </w:p>
        </w:tc>
        <w:tc>
          <w:tcPr>
            <w:tcW w:w="6798" w:type="dxa"/>
            <w:noWrap/>
          </w:tcPr>
          <w:p w14:paraId="3494CA59"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NEEA’s Commercial Building Stock Assessment</w:t>
            </w:r>
          </w:p>
        </w:tc>
      </w:tr>
      <w:tr w:rsidR="001174A7" w14:paraId="7F04AD76"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2AA0A237"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CPA</w:t>
            </w:r>
          </w:p>
        </w:tc>
        <w:tc>
          <w:tcPr>
            <w:tcW w:w="6798" w:type="dxa"/>
            <w:noWrap/>
          </w:tcPr>
          <w:p w14:paraId="6F7BE4C8"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Conservation Potential Assessment</w:t>
            </w:r>
          </w:p>
        </w:tc>
      </w:tr>
      <w:tr w:rsidR="001174A7" w14:paraId="54C0B6E2"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717F7BC7"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DEER</w:t>
            </w:r>
          </w:p>
        </w:tc>
        <w:tc>
          <w:tcPr>
            <w:tcW w:w="6798" w:type="dxa"/>
            <w:noWrap/>
          </w:tcPr>
          <w:p w14:paraId="42BC817F"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California Database for Energy Efficient Resources</w:t>
            </w:r>
          </w:p>
        </w:tc>
      </w:tr>
      <w:tr w:rsidR="001174A7" w14:paraId="4F007096"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0034DC77"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DEEM</w:t>
            </w:r>
          </w:p>
        </w:tc>
        <w:tc>
          <w:tcPr>
            <w:tcW w:w="6798" w:type="dxa"/>
            <w:noWrap/>
          </w:tcPr>
          <w:p w14:paraId="06FA64FA"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AEG’s Database of Energy Efficiency Measures</w:t>
            </w:r>
          </w:p>
        </w:tc>
      </w:tr>
      <w:tr w:rsidR="001174A7" w14:paraId="37F747CC"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5EEC0153"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DLC</w:t>
            </w:r>
          </w:p>
        </w:tc>
        <w:tc>
          <w:tcPr>
            <w:tcW w:w="6798" w:type="dxa"/>
            <w:noWrap/>
          </w:tcPr>
          <w:p w14:paraId="1EFBABB7"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Direct Load Control</w:t>
            </w:r>
          </w:p>
        </w:tc>
      </w:tr>
      <w:tr w:rsidR="001174A7" w14:paraId="7C4CD64F"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48A3F6B"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DR</w:t>
            </w:r>
          </w:p>
        </w:tc>
        <w:tc>
          <w:tcPr>
            <w:tcW w:w="6798" w:type="dxa"/>
            <w:noWrap/>
            <w:hideMark/>
          </w:tcPr>
          <w:p w14:paraId="66AFAB55"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Demand Response</w:t>
            </w:r>
          </w:p>
        </w:tc>
      </w:tr>
      <w:tr w:rsidR="001174A7" w14:paraId="32FBB045"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2AC68D43"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DSM</w:t>
            </w:r>
          </w:p>
        </w:tc>
        <w:tc>
          <w:tcPr>
            <w:tcW w:w="6798" w:type="dxa"/>
            <w:noWrap/>
          </w:tcPr>
          <w:p w14:paraId="1E2600DC"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Demand Side Management</w:t>
            </w:r>
          </w:p>
        </w:tc>
      </w:tr>
      <w:tr w:rsidR="001174A7" w14:paraId="5671A1EC"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hideMark/>
          </w:tcPr>
          <w:p w14:paraId="7CA61151"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EIA</w:t>
            </w:r>
          </w:p>
        </w:tc>
        <w:tc>
          <w:tcPr>
            <w:tcW w:w="6798" w:type="dxa"/>
            <w:noWrap/>
            <w:hideMark/>
          </w:tcPr>
          <w:p w14:paraId="09F350DB"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U.S. Energy Information Administration</w:t>
            </w:r>
          </w:p>
        </w:tc>
      </w:tr>
      <w:tr w:rsidR="001174A7" w14:paraId="3C850FA7"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05DB5B2"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EPRI</w:t>
            </w:r>
          </w:p>
        </w:tc>
        <w:tc>
          <w:tcPr>
            <w:tcW w:w="6798" w:type="dxa"/>
            <w:noWrap/>
          </w:tcPr>
          <w:p w14:paraId="06105B23"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Electric Power Research Institute</w:t>
            </w:r>
          </w:p>
        </w:tc>
      </w:tr>
      <w:tr w:rsidR="001174A7" w14:paraId="31A000B1"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57B64D83"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EUI</w:t>
            </w:r>
          </w:p>
        </w:tc>
        <w:tc>
          <w:tcPr>
            <w:tcW w:w="6798" w:type="dxa"/>
            <w:noWrap/>
          </w:tcPr>
          <w:p w14:paraId="07C87E40"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 xml:space="preserve">Energy Use Index </w:t>
            </w:r>
          </w:p>
        </w:tc>
      </w:tr>
      <w:tr w:rsidR="001174A7" w14:paraId="1AE1D3D8"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2475CEB"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EVSE</w:t>
            </w:r>
          </w:p>
        </w:tc>
        <w:tc>
          <w:tcPr>
            <w:tcW w:w="6798" w:type="dxa"/>
            <w:noWrap/>
          </w:tcPr>
          <w:p w14:paraId="66C47C4F"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Electric Vehicle Supply Equipment</w:t>
            </w:r>
          </w:p>
        </w:tc>
      </w:tr>
      <w:tr w:rsidR="001174A7" w14:paraId="1755295C"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488C395"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HVAC</w:t>
            </w:r>
          </w:p>
        </w:tc>
        <w:tc>
          <w:tcPr>
            <w:tcW w:w="6798" w:type="dxa"/>
            <w:noWrap/>
          </w:tcPr>
          <w:p w14:paraId="6DC41B38"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Heating Ventilation and Air Conditioning</w:t>
            </w:r>
          </w:p>
        </w:tc>
      </w:tr>
      <w:tr w:rsidR="001174A7" w14:paraId="153C6BA7"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39206532"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IFSA</w:t>
            </w:r>
          </w:p>
        </w:tc>
        <w:tc>
          <w:tcPr>
            <w:tcW w:w="6798" w:type="dxa"/>
            <w:noWrap/>
          </w:tcPr>
          <w:p w14:paraId="2AD7008A"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NEEA’s Industrial Facilities Site Assessment</w:t>
            </w:r>
          </w:p>
        </w:tc>
      </w:tr>
      <w:tr w:rsidR="001174A7" w14:paraId="6A22FED1"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49FA9E04"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IRP</w:t>
            </w:r>
          </w:p>
        </w:tc>
        <w:tc>
          <w:tcPr>
            <w:tcW w:w="6798" w:type="dxa"/>
            <w:noWrap/>
          </w:tcPr>
          <w:p w14:paraId="2E8CC9B5"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Integrated Resource Plan</w:t>
            </w:r>
          </w:p>
        </w:tc>
      </w:tr>
      <w:tr w:rsidR="001174A7" w14:paraId="40EFE52D"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5B967E80"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LCOE</w:t>
            </w:r>
          </w:p>
        </w:tc>
        <w:tc>
          <w:tcPr>
            <w:tcW w:w="6798" w:type="dxa"/>
            <w:noWrap/>
          </w:tcPr>
          <w:p w14:paraId="377FE7E4"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Levelized cost of energy</w:t>
            </w:r>
          </w:p>
        </w:tc>
      </w:tr>
      <w:tr w:rsidR="001174A7" w14:paraId="4E4FA58D"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4E37D6E6"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LED</w:t>
            </w:r>
          </w:p>
        </w:tc>
        <w:tc>
          <w:tcPr>
            <w:tcW w:w="6798" w:type="dxa"/>
            <w:noWrap/>
          </w:tcPr>
          <w:p w14:paraId="4F3C1071"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Light Emitting Diode Lamp</w:t>
            </w:r>
          </w:p>
        </w:tc>
      </w:tr>
      <w:tr w:rsidR="001174A7" w14:paraId="6E7A4A51"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08EFEA4"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LoadMAP</w:t>
            </w:r>
          </w:p>
        </w:tc>
        <w:tc>
          <w:tcPr>
            <w:tcW w:w="6798" w:type="dxa"/>
            <w:noWrap/>
          </w:tcPr>
          <w:p w14:paraId="68CBD369"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AEG’s Load Management Analysis and Planning</w:t>
            </w:r>
            <w:r w:rsidRPr="00D71E3B">
              <w:rPr>
                <w:rFonts w:asciiTheme="minorHAnsi" w:hAnsiTheme="minorHAnsi" w:cs="Calibri"/>
                <w:vertAlign w:val="superscript"/>
              </w:rPr>
              <w:t>™</w:t>
            </w:r>
            <w:r w:rsidRPr="00D71E3B">
              <w:rPr>
                <w:rFonts w:asciiTheme="minorHAnsi" w:hAnsiTheme="minorHAnsi"/>
              </w:rPr>
              <w:t xml:space="preserve"> tool</w:t>
            </w:r>
          </w:p>
        </w:tc>
      </w:tr>
      <w:tr w:rsidR="001174A7" w14:paraId="5CF9109D"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4820A32"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MW</w:t>
            </w:r>
          </w:p>
        </w:tc>
        <w:tc>
          <w:tcPr>
            <w:tcW w:w="6798" w:type="dxa"/>
            <w:noWrap/>
          </w:tcPr>
          <w:p w14:paraId="6BCE1B45"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Megawatt</w:t>
            </w:r>
          </w:p>
        </w:tc>
      </w:tr>
      <w:tr w:rsidR="001174A7" w14:paraId="37362C21"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59FF3C43"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MWh</w:t>
            </w:r>
          </w:p>
        </w:tc>
        <w:tc>
          <w:tcPr>
            <w:tcW w:w="6798" w:type="dxa"/>
            <w:noWrap/>
          </w:tcPr>
          <w:p w14:paraId="2FB7BF64"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Megawatt Hour</w:t>
            </w:r>
          </w:p>
        </w:tc>
      </w:tr>
      <w:tr w:rsidR="001174A7" w14:paraId="2B786E29"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3447CECC"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NEEA</w:t>
            </w:r>
          </w:p>
        </w:tc>
        <w:tc>
          <w:tcPr>
            <w:tcW w:w="6798" w:type="dxa"/>
            <w:noWrap/>
          </w:tcPr>
          <w:p w14:paraId="41D535A9"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Northwest Energy Efficiency Alliance</w:t>
            </w:r>
          </w:p>
        </w:tc>
      </w:tr>
      <w:tr w:rsidR="00195923" w14:paraId="293A76D9"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16C454D8" w14:textId="03968224" w:rsidR="00195923" w:rsidRPr="00D71E3B" w:rsidRDefault="00195923" w:rsidP="00883C0D">
            <w:pPr>
              <w:pStyle w:val="TableText"/>
              <w:keepNext/>
              <w:ind w:right="-115"/>
              <w:rPr>
                <w:rFonts w:asciiTheme="minorHAnsi" w:hAnsiTheme="minorHAnsi"/>
              </w:rPr>
            </w:pPr>
            <w:r w:rsidRPr="00D71E3B">
              <w:rPr>
                <w:rFonts w:asciiTheme="minorHAnsi" w:hAnsiTheme="minorHAnsi"/>
              </w:rPr>
              <w:t>NREL</w:t>
            </w:r>
          </w:p>
        </w:tc>
        <w:tc>
          <w:tcPr>
            <w:tcW w:w="6798" w:type="dxa"/>
            <w:noWrap/>
          </w:tcPr>
          <w:p w14:paraId="04F795CC" w14:textId="171039BA" w:rsidR="00195923" w:rsidRPr="00D71E3B" w:rsidRDefault="00195923"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National Renewable Energy Laboratory</w:t>
            </w:r>
          </w:p>
        </w:tc>
      </w:tr>
      <w:tr w:rsidR="001174A7" w14:paraId="6DCDF291"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4626E599"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NWPCC</w:t>
            </w:r>
          </w:p>
        </w:tc>
        <w:tc>
          <w:tcPr>
            <w:tcW w:w="6798" w:type="dxa"/>
            <w:noWrap/>
          </w:tcPr>
          <w:p w14:paraId="5D42FC17"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Northwest Power and Conservation Council</w:t>
            </w:r>
          </w:p>
        </w:tc>
      </w:tr>
      <w:tr w:rsidR="001174A7" w14:paraId="5E438BB1"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10DF9A51"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O&amp;M</w:t>
            </w:r>
          </w:p>
        </w:tc>
        <w:tc>
          <w:tcPr>
            <w:tcW w:w="6798" w:type="dxa"/>
            <w:noWrap/>
          </w:tcPr>
          <w:p w14:paraId="6D2FCFCB"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Operations and Maintenance</w:t>
            </w:r>
          </w:p>
        </w:tc>
      </w:tr>
      <w:tr w:rsidR="001174A7" w14:paraId="74E67E04"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052E356"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PTR</w:t>
            </w:r>
          </w:p>
        </w:tc>
        <w:tc>
          <w:tcPr>
            <w:tcW w:w="6798" w:type="dxa"/>
            <w:noWrap/>
          </w:tcPr>
          <w:p w14:paraId="66E83281"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Peak Time Rebate</w:t>
            </w:r>
          </w:p>
        </w:tc>
      </w:tr>
      <w:tr w:rsidR="001174A7" w14:paraId="0AC99C19"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497D42A8"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RTF</w:t>
            </w:r>
          </w:p>
        </w:tc>
        <w:tc>
          <w:tcPr>
            <w:tcW w:w="6798" w:type="dxa"/>
            <w:noWrap/>
          </w:tcPr>
          <w:p w14:paraId="657313C0"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NWPCC’s Regional Technical Forum</w:t>
            </w:r>
          </w:p>
        </w:tc>
      </w:tr>
      <w:tr w:rsidR="001174A7" w14:paraId="3245BEBF"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73761B68"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RBSA</w:t>
            </w:r>
          </w:p>
        </w:tc>
        <w:tc>
          <w:tcPr>
            <w:tcW w:w="6798" w:type="dxa"/>
            <w:noWrap/>
          </w:tcPr>
          <w:p w14:paraId="15066B0E"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NEEA’s Residential Building Stock Assessment</w:t>
            </w:r>
          </w:p>
        </w:tc>
      </w:tr>
      <w:tr w:rsidR="001174A7" w14:paraId="33924952"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38B363E1"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TOU</w:t>
            </w:r>
          </w:p>
        </w:tc>
        <w:tc>
          <w:tcPr>
            <w:tcW w:w="6798" w:type="dxa"/>
            <w:noWrap/>
          </w:tcPr>
          <w:p w14:paraId="550B74F2"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Time-of-Use</w:t>
            </w:r>
          </w:p>
        </w:tc>
      </w:tr>
      <w:tr w:rsidR="001174A7" w14:paraId="2695F0DA" w14:textId="77777777" w:rsidTr="00883C0D">
        <w:trPr>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0E13ADBA"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UEC</w:t>
            </w:r>
          </w:p>
        </w:tc>
        <w:tc>
          <w:tcPr>
            <w:tcW w:w="6798" w:type="dxa"/>
            <w:noWrap/>
          </w:tcPr>
          <w:p w14:paraId="23FC715E" w14:textId="77777777" w:rsidR="001174A7" w:rsidRPr="00D71E3B" w:rsidRDefault="001174A7" w:rsidP="00883C0D">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71E3B">
              <w:rPr>
                <w:rFonts w:asciiTheme="minorHAnsi" w:hAnsiTheme="minorHAnsi"/>
              </w:rPr>
              <w:t xml:space="preserve">Unit Energy Consumption </w:t>
            </w:r>
          </w:p>
        </w:tc>
      </w:tr>
      <w:tr w:rsidR="001174A7" w14:paraId="0EFD13B2" w14:textId="77777777" w:rsidTr="00883C0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60" w:type="dxa"/>
            <w:noWrap/>
          </w:tcPr>
          <w:p w14:paraId="61459C88" w14:textId="77777777" w:rsidR="001174A7" w:rsidRPr="00D71E3B" w:rsidRDefault="001174A7" w:rsidP="00883C0D">
            <w:pPr>
              <w:pStyle w:val="TableText"/>
              <w:keepNext/>
              <w:ind w:right="-115"/>
              <w:rPr>
                <w:rFonts w:asciiTheme="minorHAnsi" w:hAnsiTheme="minorHAnsi"/>
              </w:rPr>
            </w:pPr>
            <w:r w:rsidRPr="00D71E3B">
              <w:rPr>
                <w:rFonts w:asciiTheme="minorHAnsi" w:hAnsiTheme="minorHAnsi"/>
              </w:rPr>
              <w:t>VPP</w:t>
            </w:r>
          </w:p>
        </w:tc>
        <w:tc>
          <w:tcPr>
            <w:tcW w:w="6798" w:type="dxa"/>
            <w:noWrap/>
          </w:tcPr>
          <w:p w14:paraId="4692F63B" w14:textId="77777777" w:rsidR="001174A7" w:rsidRPr="00D71E3B" w:rsidRDefault="001174A7" w:rsidP="00883C0D">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D71E3B">
              <w:rPr>
                <w:rFonts w:asciiTheme="minorHAnsi" w:hAnsiTheme="minorHAnsi"/>
              </w:rPr>
              <w:t>Variable Peak Pricing</w:t>
            </w:r>
          </w:p>
        </w:tc>
      </w:tr>
    </w:tbl>
    <w:p w14:paraId="490DB268" w14:textId="77777777" w:rsidR="001174A7" w:rsidRPr="007563CF" w:rsidRDefault="001174A7" w:rsidP="007563CF">
      <w:pPr>
        <w:pStyle w:val="AEGBody"/>
        <w:rPr>
          <w:lang w:eastAsia="ja-JP"/>
        </w:rPr>
      </w:pPr>
    </w:p>
    <w:p w14:paraId="308213B7" w14:textId="19BC2A66" w:rsidR="00F2331B" w:rsidRDefault="001C3662" w:rsidP="00D6177B">
      <w:pPr>
        <w:pStyle w:val="Heading1"/>
      </w:pPr>
      <w:bookmarkStart w:id="6" w:name="_Toc175904842"/>
      <w:r>
        <w:lastRenderedPageBreak/>
        <w:t>Energy Efficiency Analysis Approach and Development</w:t>
      </w:r>
      <w:bookmarkEnd w:id="6"/>
    </w:p>
    <w:p w14:paraId="2EB97C91" w14:textId="363F21E1" w:rsidR="001174A7" w:rsidRPr="001174A7" w:rsidRDefault="001174A7" w:rsidP="001174A7">
      <w:pPr>
        <w:pStyle w:val="AEGBody"/>
      </w:pPr>
      <w:r>
        <w:t xml:space="preserve">This section describes the analysis approach taken and the data sources used to develop the energy efficiency potential estimates. The demand response analysis discussion can be found in </w:t>
      </w:r>
      <w:r w:rsidR="005F6F27">
        <w:rPr>
          <w:rFonts w:ascii="Aptos" w:hAnsi="Aptos"/>
        </w:rPr>
        <w:fldChar w:fldCharType="begin"/>
      </w:r>
      <w:r w:rsidR="005F6F27">
        <w:instrText xml:space="preserve"> REF _Ref175899719 \n \h </w:instrText>
      </w:r>
      <w:r w:rsidR="005F6F27">
        <w:rPr>
          <w:rFonts w:ascii="Aptos" w:hAnsi="Aptos"/>
        </w:rPr>
      </w:r>
      <w:r w:rsidR="005F6F27">
        <w:rPr>
          <w:rFonts w:ascii="Aptos" w:hAnsi="Aptos"/>
        </w:rPr>
        <w:fldChar w:fldCharType="separate"/>
      </w:r>
      <w:r w:rsidR="005A3107">
        <w:t>Chapter 6.</w:t>
      </w:r>
      <w:r w:rsidR="005F6F27">
        <w:t xml:space="preserve">  </w:t>
      </w:r>
      <w:r w:rsidR="005F6F27">
        <w:rPr>
          <w:rFonts w:ascii="Aptos" w:hAnsi="Aptos"/>
        </w:rPr>
        <w:fldChar w:fldCharType="end"/>
      </w:r>
    </w:p>
    <w:p w14:paraId="38E6AFAC" w14:textId="515D78D3" w:rsidR="00155A2F" w:rsidRDefault="007563CF" w:rsidP="009875ED">
      <w:pPr>
        <w:pStyle w:val="Heading2"/>
      </w:pPr>
      <w:bookmarkStart w:id="7" w:name="_Toc175904843"/>
      <w:r>
        <w:t>Overview of Analysis Approach</w:t>
      </w:r>
      <w:bookmarkEnd w:id="7"/>
    </w:p>
    <w:p w14:paraId="5A7B6064" w14:textId="77777777" w:rsidR="0074032C" w:rsidRPr="00357D2D" w:rsidRDefault="0074032C" w:rsidP="0074032C">
      <w:pPr>
        <w:pStyle w:val="AEGBody"/>
        <w:rPr>
          <w:color w:val="000000"/>
        </w:rPr>
      </w:pPr>
      <w:r w:rsidRPr="00B31BB4">
        <w:t xml:space="preserve">To perform the </w:t>
      </w:r>
      <w:r>
        <w:t>potential</w:t>
      </w:r>
      <w:r w:rsidRPr="00B31BB4">
        <w:t xml:space="preserve"> analysis, </w:t>
      </w:r>
      <w:r>
        <w:t>AEG</w:t>
      </w:r>
      <w:r w:rsidRPr="00B31BB4">
        <w:t xml:space="preserve"> used a bottom-up approach </w:t>
      </w:r>
      <w:r>
        <w:t>following the major steps listed below. These steps are described in more detail throughout this section.</w:t>
      </w:r>
    </w:p>
    <w:p w14:paraId="4A2DC095" w14:textId="7D2BCAB0" w:rsidR="0074032C" w:rsidRPr="00B31BB4" w:rsidRDefault="0074032C" w:rsidP="0074032C">
      <w:pPr>
        <w:pStyle w:val="AEG-NumberListopt2"/>
      </w:pPr>
      <w:r w:rsidRPr="00B31BB4">
        <w:t>Perform a market characterization to describe sector-level electricity</w:t>
      </w:r>
      <w:r>
        <w:t xml:space="preserve"> </w:t>
      </w:r>
      <w:r w:rsidRPr="00B31BB4">
        <w:t>use for the residential</w:t>
      </w:r>
      <w:r>
        <w:t>, commercial, and</w:t>
      </w:r>
      <w:r w:rsidRPr="00B31BB4">
        <w:t xml:space="preserve"> </w:t>
      </w:r>
      <w:r>
        <w:t xml:space="preserve">industrial </w:t>
      </w:r>
      <w:r w:rsidRPr="00B31BB4">
        <w:t xml:space="preserve">sectors for </w:t>
      </w:r>
      <w:r w:rsidRPr="00C66291">
        <w:t xml:space="preserve">the </w:t>
      </w:r>
      <w:r w:rsidRPr="00FF4586">
        <w:t>base year 202</w:t>
      </w:r>
      <w:r w:rsidR="00240BC3">
        <w:t>1</w:t>
      </w:r>
      <w:r w:rsidRPr="00FF4586">
        <w:t>.</w:t>
      </w:r>
      <w:r>
        <w:t xml:space="preserve"> </w:t>
      </w:r>
    </w:p>
    <w:p w14:paraId="5841EF51" w14:textId="140BB69B" w:rsidR="0074032C" w:rsidRPr="00B76C61" w:rsidRDefault="0074032C" w:rsidP="0074032C">
      <w:pPr>
        <w:pStyle w:val="AEG-NumberListopt2"/>
      </w:pPr>
      <w:r w:rsidRPr="00B31BB4">
        <w:t xml:space="preserve">Develop a baseline </w:t>
      </w:r>
      <w:r>
        <w:t>projection</w:t>
      </w:r>
      <w:r w:rsidRPr="00B31BB4">
        <w:t xml:space="preserve"> </w:t>
      </w:r>
      <w:r>
        <w:t xml:space="preserve">of energy consumption and peak demand </w:t>
      </w:r>
      <w:r w:rsidRPr="00B31BB4">
        <w:t>by sector, segment, and end use</w:t>
      </w:r>
      <w:r w:rsidR="001A6021">
        <w:t xml:space="preserve"> </w:t>
      </w:r>
      <w:r w:rsidR="001A6021" w:rsidRPr="001A6021">
        <w:t>for 202</w:t>
      </w:r>
      <w:r w:rsidR="00240BC3">
        <w:t>1</w:t>
      </w:r>
      <w:r w:rsidR="001A6021" w:rsidRPr="001A6021">
        <w:t xml:space="preserve"> through 2045</w:t>
      </w:r>
      <w:r w:rsidRPr="00231B81">
        <w:t>.</w:t>
      </w:r>
      <w:r w:rsidRPr="00B76C61">
        <w:t xml:space="preserve"> </w:t>
      </w:r>
    </w:p>
    <w:p w14:paraId="7486D26F" w14:textId="77777777" w:rsidR="0074032C" w:rsidRDefault="0074032C" w:rsidP="0074032C">
      <w:pPr>
        <w:pStyle w:val="AEG-NumberListopt2"/>
      </w:pPr>
      <w:r>
        <w:t xml:space="preserve">Define and characterize </w:t>
      </w:r>
      <w:r w:rsidRPr="00B76C61">
        <w:t xml:space="preserve">several hundred </w:t>
      </w:r>
      <w:r>
        <w:t xml:space="preserve">conservation </w:t>
      </w:r>
      <w:r w:rsidRPr="00B76C61">
        <w:t xml:space="preserve">measures </w:t>
      </w:r>
      <w:r>
        <w:t>to be applied to all sectors, segments, and end uses.</w:t>
      </w:r>
      <w:r w:rsidRPr="00B76C61">
        <w:t xml:space="preserve"> </w:t>
      </w:r>
    </w:p>
    <w:p w14:paraId="752EC2CA" w14:textId="54B22EC0" w:rsidR="0074032C" w:rsidRPr="0074032C" w:rsidRDefault="0074032C" w:rsidP="0074032C">
      <w:pPr>
        <w:pStyle w:val="AEG-NumberListopt2"/>
      </w:pPr>
      <w:r>
        <w:t>E</w:t>
      </w:r>
      <w:r w:rsidRPr="00B76C61">
        <w:t xml:space="preserve">stimate </w:t>
      </w:r>
      <w:r>
        <w:t>Technical and Achievable Technical Potential at the measure level in terms of energy and peak demand impacts from conservation measures</w:t>
      </w:r>
      <w:r w:rsidR="001A6021">
        <w:t xml:space="preserve"> </w:t>
      </w:r>
      <w:r w:rsidR="001A6021" w:rsidRPr="001A6021">
        <w:t>for 202</w:t>
      </w:r>
      <w:r w:rsidR="001A6021">
        <w:t>6</w:t>
      </w:r>
      <w:r w:rsidR="001A6021" w:rsidRPr="001A6021">
        <w:t>-2045</w:t>
      </w:r>
      <w:r w:rsidRPr="00B76C61">
        <w:t xml:space="preserve">. </w:t>
      </w:r>
    </w:p>
    <w:p w14:paraId="010F7812" w14:textId="72F91693" w:rsidR="007563CF" w:rsidRDefault="007563CF" w:rsidP="009875ED">
      <w:pPr>
        <w:pStyle w:val="Heading3"/>
      </w:pPr>
      <w:bookmarkStart w:id="8" w:name="_Toc175904844"/>
      <w:r>
        <w:t>LoadMAP Model</w:t>
      </w:r>
      <w:bookmarkEnd w:id="8"/>
    </w:p>
    <w:p w14:paraId="58D8FFF1" w14:textId="77E7BBD8" w:rsidR="00DB369C" w:rsidRPr="00565166" w:rsidRDefault="00DB369C" w:rsidP="00DB369C">
      <w:pPr>
        <w:pStyle w:val="AEGBody"/>
      </w:pPr>
      <w:r>
        <w:t xml:space="preserve">AEG used its </w:t>
      </w:r>
      <w:r w:rsidRPr="00C40A71">
        <w:t>Load Management Analysis and Planning tool (LoadMAP</w:t>
      </w:r>
      <w:r>
        <w:rPr>
          <w:rFonts w:cstheme="minorHAnsi"/>
          <w:vertAlign w:val="superscript"/>
        </w:rPr>
        <w:t>™</w:t>
      </w:r>
      <w:r w:rsidRPr="00C40A71">
        <w:t xml:space="preserve">) version </w:t>
      </w:r>
      <w:r>
        <w:t>5</w:t>
      </w:r>
      <w:r w:rsidRPr="00C40A71">
        <w:t xml:space="preserve">.0 to develop both the </w:t>
      </w:r>
      <w:r>
        <w:t>baseline projection</w:t>
      </w:r>
      <w:r w:rsidRPr="00C40A71">
        <w:t xml:space="preserve"> and the estimates of potential. </w:t>
      </w:r>
      <w:r>
        <w:t>AEG</w:t>
      </w:r>
      <w:r w:rsidRPr="00565166">
        <w:t xml:space="preserve"> developed LoadMAP in 2007 and has </w:t>
      </w:r>
      <w:r>
        <w:t xml:space="preserve">enhanced it over time, using </w:t>
      </w:r>
      <w:r w:rsidRPr="00565166">
        <w:t>it for the E</w:t>
      </w:r>
      <w:r>
        <w:t>lectric Power Research Institute (E</w:t>
      </w:r>
      <w:r w:rsidRPr="00565166">
        <w:t>PRI</w:t>
      </w:r>
      <w:r>
        <w:t>)</w:t>
      </w:r>
      <w:r w:rsidRPr="00565166">
        <w:t xml:space="preserve"> National Potential Study and numerous utility-specific forecasting and potential studies</w:t>
      </w:r>
      <w:r>
        <w:t xml:space="preserve"> since that time</w:t>
      </w:r>
      <w:r w:rsidRPr="00565166">
        <w:t xml:space="preserve">. Built in Excel, the LoadMAP </w:t>
      </w:r>
      <w:r w:rsidRPr="00F71BA8">
        <w:t>framework (se</w:t>
      </w:r>
      <w:r>
        <w:t xml:space="preserve">e </w:t>
      </w:r>
      <w:r w:rsidR="00195923">
        <w:fldChar w:fldCharType="begin"/>
      </w:r>
      <w:r w:rsidR="00195923">
        <w:instrText xml:space="preserve"> REF _Ref175811930 \h </w:instrText>
      </w:r>
      <w:r w:rsidR="00195923">
        <w:fldChar w:fldCharType="separate"/>
      </w:r>
      <w:r w:rsidR="00195923">
        <w:t xml:space="preserve">Figure </w:t>
      </w:r>
      <w:r w:rsidR="00195923">
        <w:rPr>
          <w:noProof/>
        </w:rPr>
        <w:t>2</w:t>
      </w:r>
      <w:r w:rsidR="00195923">
        <w:noBreakHyphen/>
      </w:r>
      <w:r w:rsidR="00195923">
        <w:rPr>
          <w:noProof/>
        </w:rPr>
        <w:t>1</w:t>
      </w:r>
      <w:r w:rsidR="00195923">
        <w:fldChar w:fldCharType="end"/>
      </w:r>
      <w:r>
        <w:t>)</w:t>
      </w:r>
      <w:r w:rsidRPr="00565166">
        <w:t xml:space="preserve"> is both accessible and transparent and has the following key features</w:t>
      </w:r>
      <w:r>
        <w:t>:</w:t>
      </w:r>
    </w:p>
    <w:p w14:paraId="17DF9F0A" w14:textId="77777777" w:rsidR="00DB369C" w:rsidRPr="00A25287" w:rsidRDefault="00DB369C" w:rsidP="00DB369C">
      <w:pPr>
        <w:pStyle w:val="AEG-BulletList"/>
      </w:pPr>
      <w:r w:rsidRPr="00A25287">
        <w:t>Embodies the basic principles of rigorous end-use models (such as EPRI</w:t>
      </w:r>
      <w:r>
        <w:t>’</w:t>
      </w:r>
      <w:r w:rsidRPr="00A25287">
        <w:t xml:space="preserve">s REEPS and COMMEND) but in a more simplified, accessible form. </w:t>
      </w:r>
    </w:p>
    <w:p w14:paraId="78E4F7FB" w14:textId="77777777" w:rsidR="00DB369C" w:rsidRPr="00A25287" w:rsidRDefault="00DB369C" w:rsidP="00DB369C">
      <w:pPr>
        <w:pStyle w:val="AEG-BulletList"/>
      </w:pPr>
      <w:r w:rsidRPr="00A25287">
        <w:t>Includes stock-accounting algorithms that treat older, less efficient appliance/equipment stock separately from newer, more efficient equipment. Equipment is replaced according to the measure life and appliance vintage distributions defined by the user.</w:t>
      </w:r>
    </w:p>
    <w:p w14:paraId="030A3E9D" w14:textId="77777777" w:rsidR="00DB369C" w:rsidRPr="00A25287" w:rsidRDefault="00DB369C" w:rsidP="00DB369C">
      <w:pPr>
        <w:pStyle w:val="AEG-BulletList"/>
      </w:pPr>
      <w:r w:rsidRPr="00A25287">
        <w:t>Balances the competing needs of simplicity and robustness</w:t>
      </w:r>
      <w:r>
        <w:t>. This is done</w:t>
      </w:r>
      <w:r w:rsidRPr="00A25287">
        <w:t xml:space="preserve"> by incorporating important modeling details related to equipment saturations, efficiencies, vintage, and the like, where market data are available, and treats end uses separately to account for varying importance and availability of data resources.</w:t>
      </w:r>
    </w:p>
    <w:p w14:paraId="3B10CC33" w14:textId="77777777" w:rsidR="00DB369C" w:rsidRPr="00A25287" w:rsidRDefault="00DB369C" w:rsidP="00DB369C">
      <w:pPr>
        <w:pStyle w:val="AEG-BulletList"/>
      </w:pPr>
      <w:r w:rsidRPr="00A25287">
        <w:t xml:space="preserve">Isolates new construction from existing equipment and buildings and treats purchase decisions for new construction and existing buildings separately. </w:t>
      </w:r>
    </w:p>
    <w:p w14:paraId="0E769F18" w14:textId="77777777" w:rsidR="00DB369C" w:rsidRPr="00A25287" w:rsidRDefault="00DB369C" w:rsidP="00DB369C">
      <w:pPr>
        <w:pStyle w:val="AEG-BulletList"/>
      </w:pPr>
      <w:r w:rsidRPr="00A25287">
        <w:t>Uses a simple logic for appliance and equipment decisions. Other models available for this purpose embody complex decision</w:t>
      </w:r>
      <w:r>
        <w:t>-</w:t>
      </w:r>
      <w:r w:rsidRPr="00A25287">
        <w:t>choice algorithms or diffusion assumptions</w:t>
      </w:r>
      <w:r>
        <w:t>. The</w:t>
      </w:r>
      <w:r w:rsidRPr="00A25287">
        <w:t xml:space="preserve"> model parameters tend to be difficult to estimate or observe</w:t>
      </w:r>
      <w:r>
        <w:t>,</w:t>
      </w:r>
      <w:r w:rsidRPr="00A25287">
        <w:t xml:space="preserve"> and sometimes produce anomalous results that require calibration or even overriding. The LoadMAP approach allows the user to drive the appliance and equipment choices year by year directly in the model. This flexible approach allows users to import the results from diffusion models or to input individual assumptions. The framework also facilitates sensitivity analysis. </w:t>
      </w:r>
    </w:p>
    <w:p w14:paraId="77C208AC" w14:textId="77777777" w:rsidR="00DB369C" w:rsidRPr="00565166" w:rsidRDefault="00DB369C" w:rsidP="00DB369C">
      <w:pPr>
        <w:pStyle w:val="AEG-BulletList"/>
      </w:pPr>
      <w:r w:rsidRPr="00565166">
        <w:t xml:space="preserve">Includes appliance and equipment models customized by end use. For example, the logic for lighting is distinct from refrigerators and freezers. </w:t>
      </w:r>
    </w:p>
    <w:p w14:paraId="69D3AE16" w14:textId="77777777" w:rsidR="00DB369C" w:rsidRPr="001752EB" w:rsidRDefault="00DB369C" w:rsidP="00DB369C">
      <w:pPr>
        <w:pStyle w:val="AEG-BulletList"/>
        <w:rPr>
          <w:b/>
        </w:rPr>
      </w:pPr>
      <w:r w:rsidRPr="00565166">
        <w:lastRenderedPageBreak/>
        <w:t>Can accommodate various levels of segmentation. Analysis can be performed at the sector level (e.g., total residential) or for customized segments within sectors (e.g., housing type or income level).</w:t>
      </w:r>
    </w:p>
    <w:p w14:paraId="78CA68B7" w14:textId="77777777" w:rsidR="00DB369C" w:rsidRPr="00DB369C" w:rsidRDefault="00DB369C" w:rsidP="00DB369C">
      <w:pPr>
        <w:pStyle w:val="AEG-BulletList"/>
        <w:rPr>
          <w:b/>
        </w:rPr>
      </w:pPr>
      <w:r>
        <w:t>Can incorporate conservation measures, demand-response options, combined heat and power, distributed generation options, and fuel switching.</w:t>
      </w:r>
    </w:p>
    <w:p w14:paraId="0EDED196" w14:textId="02B85A2C" w:rsidR="00DB369C" w:rsidRPr="00896606" w:rsidRDefault="00DB369C" w:rsidP="00DB369C">
      <w:pPr>
        <w:pStyle w:val="AEGBody"/>
        <w:rPr>
          <w:b/>
        </w:rPr>
      </w:pPr>
      <w:r w:rsidRPr="00565166">
        <w:t>Consistent with the segmentation scheme and market profiles describe</w:t>
      </w:r>
      <w:r>
        <w:t>d</w:t>
      </w:r>
      <w:r w:rsidRPr="00565166">
        <w:t xml:space="preserve"> below, LoadMAP provides </w:t>
      </w:r>
      <w:r>
        <w:t>projections</w:t>
      </w:r>
      <w:r w:rsidRPr="00565166">
        <w:t xml:space="preserve"> of baseline energy use by sector, segment, end use</w:t>
      </w:r>
      <w:r>
        <w:t>,</w:t>
      </w:r>
      <w:r w:rsidRPr="00565166">
        <w:t xml:space="preserve"> and technology for existing and new buildings. It provides forecasts of total energy use and energy</w:t>
      </w:r>
      <w:r>
        <w:t xml:space="preserve"> </w:t>
      </w:r>
      <w:r w:rsidRPr="00565166">
        <w:t xml:space="preserve">efficiency savings associated with the </w:t>
      </w:r>
      <w:r>
        <w:t>various</w:t>
      </w:r>
      <w:r w:rsidRPr="00565166">
        <w:t xml:space="preserve"> types of potential</w:t>
      </w:r>
      <w:r>
        <w:t xml:space="preserve">. </w:t>
      </w:r>
    </w:p>
    <w:p w14:paraId="20E7352D" w14:textId="2E0A9270" w:rsidR="00793B4D" w:rsidRDefault="00793B4D" w:rsidP="00DB369C">
      <w:pPr>
        <w:pStyle w:val="Caption"/>
      </w:pPr>
      <w:bookmarkStart w:id="9" w:name="_Ref175811930"/>
      <w:bookmarkStart w:id="10" w:name="_Toc175904420"/>
      <w:r>
        <w:t xml:space="preserve">Figure </w:t>
      </w:r>
      <w:r w:rsidR="000E34CB">
        <w:fldChar w:fldCharType="begin"/>
      </w:r>
      <w:r w:rsidR="000E34CB">
        <w:instrText xml:space="preserve"> STYLEREF 1 \s </w:instrText>
      </w:r>
      <w:r w:rsidR="000E34CB">
        <w:fldChar w:fldCharType="separate"/>
      </w:r>
      <w:r w:rsidR="000E34CB">
        <w:rPr>
          <w:noProof/>
        </w:rPr>
        <w:t>2</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w:t>
      </w:r>
      <w:r w:rsidR="000E34CB">
        <w:fldChar w:fldCharType="end"/>
      </w:r>
      <w:bookmarkEnd w:id="9"/>
      <w:r>
        <w:t xml:space="preserve"> LoadMAP Analysis Framework</w:t>
      </w:r>
      <w:bookmarkEnd w:id="10"/>
    </w:p>
    <w:p w14:paraId="76101E2C" w14:textId="6703A93E" w:rsidR="00793B4D" w:rsidRDefault="00793B4D" w:rsidP="00DE13EC">
      <w:pPr>
        <w:pStyle w:val="AEGBody"/>
        <w:jc w:val="center"/>
      </w:pPr>
    </w:p>
    <w:p w14:paraId="32ABEB55" w14:textId="77777777" w:rsidR="00067FC1" w:rsidRPr="00067FC1" w:rsidRDefault="00067FC1" w:rsidP="00067FC1">
      <w:pPr>
        <w:spacing w:before="120" w:line="240" w:lineRule="atLeast"/>
        <w:rPr>
          <w:rFonts w:ascii="Aptos" w:eastAsia="Segoe UI Variable Text" w:hAnsi="Aptos" w:cs="Times New Roman"/>
          <w:spacing w:val="4"/>
          <w:kern w:val="18"/>
          <w:sz w:val="21"/>
          <w:szCs w:val="18"/>
          <w14:ligatures w14:val="standardContextual"/>
        </w:rPr>
      </w:pPr>
      <w:r w:rsidRPr="00067FC1">
        <w:rPr>
          <w:rFonts w:ascii="Aptos" w:eastAsia="Segoe UI Variable Text" w:hAnsi="Aptos" w:cs="Times New Roman"/>
          <w:noProof/>
          <w:spacing w:val="4"/>
          <w:kern w:val="18"/>
          <w:sz w:val="21"/>
          <w:szCs w:val="18"/>
          <w14:ligatures w14:val="standardContextual"/>
        </w:rPr>
        <mc:AlternateContent>
          <mc:Choice Requires="wps">
            <w:drawing>
              <wp:anchor distT="0" distB="0" distL="114300" distR="114300" simplePos="0" relativeHeight="251658245" behindDoc="1" locked="0" layoutInCell="1" allowOverlap="1" wp14:anchorId="086FEC35" wp14:editId="48C555F1">
                <wp:simplePos x="0" y="0"/>
                <wp:positionH relativeFrom="margin">
                  <wp:posOffset>0</wp:posOffset>
                </wp:positionH>
                <wp:positionV relativeFrom="paragraph">
                  <wp:posOffset>19050</wp:posOffset>
                </wp:positionV>
                <wp:extent cx="6019800" cy="2952750"/>
                <wp:effectExtent l="0" t="19050" r="38100" b="38100"/>
                <wp:wrapNone/>
                <wp:docPr id="1303200141" name="Arrow: Right 1303200141"/>
                <wp:cNvGraphicFramePr/>
                <a:graphic xmlns:a="http://schemas.openxmlformats.org/drawingml/2006/main">
                  <a:graphicData uri="http://schemas.microsoft.com/office/word/2010/wordprocessingShape">
                    <wps:wsp>
                      <wps:cNvSpPr/>
                      <wps:spPr>
                        <a:xfrm>
                          <a:off x="0" y="0"/>
                          <a:ext cx="6019800" cy="2952750"/>
                        </a:xfrm>
                        <a:prstGeom prst="rightArrow">
                          <a:avLst/>
                        </a:prstGeom>
                        <a:solidFill>
                          <a:srgbClr val="F26549"/>
                        </a:solidFill>
                        <a:ln w="12700" cap="flat" cmpd="sng" algn="ctr">
                          <a:solidFill>
                            <a:srgbClr val="F2654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1A05C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303200141" o:spid="_x0000_s1026" type="#_x0000_t13" style="position:absolute;margin-left:0;margin-top:1.5pt;width:474pt;height:232.5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" adj="16303" fillcolor="#f26549" strokecolor="#b24833" strokeweight="1pt">
                <w10:wrap anchorx="margin"/>
              </v:shape>
            </w:pict>
          </mc:Fallback>
        </mc:AlternateContent>
      </w:r>
      <w:r w:rsidRPr="00067FC1">
        <w:rPr>
          <w:rFonts w:ascii="Aptos" w:eastAsia="Segoe UI Variable Text" w:hAnsi="Aptos" w:cs="Times New Roman"/>
          <w:noProof/>
          <w:spacing w:val="4"/>
          <w:kern w:val="18"/>
          <w:sz w:val="21"/>
          <w:szCs w:val="18"/>
          <w14:ligatures w14:val="standardContextual"/>
        </w:rPr>
        <w:drawing>
          <wp:inline distT="0" distB="0" distL="0" distR="0" wp14:anchorId="557ECA3A" wp14:editId="7C20FE70">
            <wp:extent cx="5876925" cy="2962656"/>
            <wp:effectExtent l="38100" t="0" r="28575" b="0"/>
            <wp:docPr id="896" name="Diagram 8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22F5587" w14:textId="77777777" w:rsidR="00793B4D" w:rsidRPr="00793B4D" w:rsidRDefault="00793B4D" w:rsidP="00793B4D">
      <w:pPr>
        <w:pStyle w:val="AEGBody"/>
      </w:pPr>
    </w:p>
    <w:p w14:paraId="3AC40A94" w14:textId="3E505A6E" w:rsidR="007563CF" w:rsidRDefault="007563CF" w:rsidP="009875ED">
      <w:pPr>
        <w:pStyle w:val="Heading3"/>
      </w:pPr>
      <w:bookmarkStart w:id="11" w:name="_Toc175904845"/>
      <w:r w:rsidRPr="009875ED">
        <w:t>Definitions of Potential</w:t>
      </w:r>
      <w:bookmarkEnd w:id="11"/>
    </w:p>
    <w:p w14:paraId="1CF33234" w14:textId="660A67F2" w:rsidR="00047A09" w:rsidRDefault="00047A09" w:rsidP="00D43C43">
      <w:pPr>
        <w:pStyle w:val="AEGBody"/>
      </w:pPr>
      <w:r>
        <w:t>AEG’s</w:t>
      </w:r>
      <w:r w:rsidRPr="0089750E">
        <w:t xml:space="preserve"> approach for this study</w:t>
      </w:r>
      <w:r>
        <w:t xml:space="preserve"> </w:t>
      </w:r>
      <w:r w:rsidRPr="0089750E">
        <w:t>adheres to the approaches and conventions outlined in the National Action Plan for Energy</w:t>
      </w:r>
      <w:r>
        <w:t xml:space="preserve"> </w:t>
      </w:r>
      <w:r w:rsidRPr="0089750E">
        <w:t>Efficiency</w:t>
      </w:r>
      <w:r>
        <w:t>’s</w:t>
      </w:r>
      <w:r w:rsidRPr="0089750E">
        <w:t xml:space="preserve"> Guide for Conducting Potential Studie</w:t>
      </w:r>
      <w:r w:rsidR="00D43C43">
        <w:t xml:space="preserve">s </w:t>
      </w:r>
      <w:r>
        <w:t>and is consistent with the methodology used by the Northwest Power and Conservation Council to develop its regional power plans</w:t>
      </w:r>
      <w:r w:rsidRPr="0089750E">
        <w:t xml:space="preserve">. The </w:t>
      </w:r>
      <w:r>
        <w:t>guide</w:t>
      </w:r>
      <w:r w:rsidRPr="0089750E">
        <w:t xml:space="preserve"> represents the most credible and comprehensive industry practice for specifying </w:t>
      </w:r>
      <w:r>
        <w:t>conservation</w:t>
      </w:r>
      <w:r w:rsidRPr="0089750E">
        <w:t xml:space="preserve"> potential. </w:t>
      </w:r>
      <w:r>
        <w:t xml:space="preserve">Two </w:t>
      </w:r>
      <w:r w:rsidRPr="0089750E">
        <w:t>types of potential</w:t>
      </w:r>
      <w:r>
        <w:t xml:space="preserve"> </w:t>
      </w:r>
      <w:r w:rsidRPr="0089750E">
        <w:t xml:space="preserve">were developed as part of this </w:t>
      </w:r>
      <w:r>
        <w:t>effort</w:t>
      </w:r>
      <w:r w:rsidRPr="0089750E">
        <w:t xml:space="preserve">: </w:t>
      </w:r>
    </w:p>
    <w:p w14:paraId="38D9A66B" w14:textId="77777777" w:rsidR="00047A09" w:rsidRPr="003F71CD" w:rsidRDefault="00047A09" w:rsidP="00D43C43">
      <w:pPr>
        <w:pStyle w:val="AEG-BulletList"/>
      </w:pPr>
      <w:r w:rsidRPr="001C3F6A">
        <w:rPr>
          <w:b/>
          <w:bCs/>
        </w:rPr>
        <w:t>Technical Potential</w:t>
      </w:r>
      <w:r w:rsidRPr="003F71CD">
        <w:t xml:space="preserve"> is the theoretical upper limit of conservation potential. It assumes that customers adopt all feasible </w:t>
      </w:r>
      <w:r>
        <w:t xml:space="preserve">efficient </w:t>
      </w:r>
      <w:r w:rsidRPr="003F71CD">
        <w:t xml:space="preserve">measures regardless of their cost. At the time of existing equipment failure, customers replace their equipment with the </w:t>
      </w:r>
      <w:r>
        <w:t xml:space="preserve">most </w:t>
      </w:r>
      <w:r w:rsidRPr="003F71CD">
        <w:t>efficient option available. In new construction, customers and developers choose the efficient equipment option relative to applicable codes and standards. Non-equipment measures</w:t>
      </w:r>
      <w:r>
        <w:t>,</w:t>
      </w:r>
      <w:r w:rsidRPr="003F71CD">
        <w:t xml:space="preserve"> which may be realistically installed apart from equipment replacements</w:t>
      </w:r>
      <w:r>
        <w:t>,</w:t>
      </w:r>
      <w:r w:rsidRPr="003F71CD">
        <w:t xml:space="preserve"> are implemented </w:t>
      </w:r>
      <w:r w:rsidRPr="00E57E32">
        <w:t xml:space="preserve">according to </w:t>
      </w:r>
      <w:r w:rsidRPr="00FF4586">
        <w:rPr>
          <w:rStyle w:val="Emphasis"/>
          <w:rFonts w:ascii="GT Eesti Display Light" w:hAnsi="GT Eesti Display Light"/>
          <w:i w:val="0"/>
          <w:spacing w:val="4"/>
        </w:rPr>
        <w:t>ramp rates developed by the NWPCC for its 2021 Power Plan,</w:t>
      </w:r>
      <w:r w:rsidRPr="003F71CD">
        <w:t xml:space="preserve"> applied to 100% of the applicable market. This case is provided primarily for planning and informational purposes.</w:t>
      </w:r>
    </w:p>
    <w:p w14:paraId="2284B384" w14:textId="1178E75A" w:rsidR="00047A09" w:rsidRPr="00047A09" w:rsidRDefault="00047A09" w:rsidP="00D43C43">
      <w:pPr>
        <w:pStyle w:val="AEG-BulletList"/>
      </w:pPr>
      <w:r w:rsidRPr="003F71CD">
        <w:rPr>
          <w:b/>
          <w:bCs/>
        </w:rPr>
        <w:t>Achievable</w:t>
      </w:r>
      <w:r>
        <w:rPr>
          <w:b/>
          <w:bCs/>
        </w:rPr>
        <w:t xml:space="preserve"> Technical</w:t>
      </w:r>
      <w:r w:rsidRPr="003F71CD">
        <w:rPr>
          <w:b/>
          <w:bCs/>
        </w:rPr>
        <w:t xml:space="preserve"> Potential</w:t>
      </w:r>
      <w:r w:rsidRPr="003F71CD">
        <w:t xml:space="preserve"> refines Technical Potential by applying </w:t>
      </w:r>
      <w:r w:rsidRPr="003441E4">
        <w:t>market</w:t>
      </w:r>
      <w:r>
        <w:t xml:space="preserve"> adoption</w:t>
      </w:r>
      <w:r w:rsidRPr="003F71CD">
        <w:t xml:space="preserve"> rates that account for market barriers, customer awareness and attitudes, program maturity, and </w:t>
      </w:r>
      <w:r w:rsidRPr="003F71CD">
        <w:lastRenderedPageBreak/>
        <w:t xml:space="preserve">other factors that may affect market penetration of </w:t>
      </w:r>
      <w:r>
        <w:t>energy efficiency</w:t>
      </w:r>
      <w:r w:rsidRPr="003F71CD">
        <w:t xml:space="preserve"> measures. </w:t>
      </w:r>
      <w:r>
        <w:t>AEG</w:t>
      </w:r>
      <w:r w:rsidRPr="003F71CD">
        <w:t xml:space="preserve"> used achievability assumptions from the </w:t>
      </w:r>
      <w:r>
        <w:t>NWPCC</w:t>
      </w:r>
      <w:r w:rsidRPr="003F71CD">
        <w:t>’s 2021 Power Plan, adjusted for Avista’s recent program accomplishments, as the customer adoption rates for this study. For the achievable</w:t>
      </w:r>
      <w:r>
        <w:t xml:space="preserve"> technical</w:t>
      </w:r>
      <w:r w:rsidRPr="003F71CD">
        <w:t xml:space="preserve"> case, ramp rates are applied to between 85%</w:t>
      </w:r>
      <w:r>
        <w:t xml:space="preserve"> - 100% </w:t>
      </w:r>
      <w:r w:rsidRPr="003F71CD">
        <w:t>of the</w:t>
      </w:r>
      <w:r>
        <w:t xml:space="preserve"> </w:t>
      </w:r>
      <w:r w:rsidR="00D43C43" w:rsidRPr="003F71CD">
        <w:t xml:space="preserve">applicable market, per </w:t>
      </w:r>
      <w:r w:rsidR="00D43C43">
        <w:t>NWPCC</w:t>
      </w:r>
      <w:r w:rsidR="00D43C43" w:rsidRPr="003F71CD">
        <w:t xml:space="preserve"> methodology. </w:t>
      </w:r>
      <w:r w:rsidR="00D43C43" w:rsidRPr="00735366">
        <w:t>This achievability factor represents potential that all available mechanisms, including utility programs, updated codes and standards, and market transformation, can reasonably acquire</w:t>
      </w:r>
      <w:r w:rsidR="00D43C43">
        <w:t xml:space="preserve">. </w:t>
      </w:r>
      <w:r w:rsidR="00D43C43" w:rsidRPr="00A72895">
        <w:t>Thus, the market applicability assumptions utilized in this study include savings outside of utility programs</w:t>
      </w:r>
      <w:r w:rsidR="00D43C43">
        <w:t>. T</w:t>
      </w:r>
      <w:r w:rsidR="00D43C43" w:rsidRPr="00183FEF">
        <w:t xml:space="preserve">he </w:t>
      </w:r>
      <w:r w:rsidR="00D43C43">
        <w:t>market adoption factors</w:t>
      </w:r>
      <w:r w:rsidR="00D43C43" w:rsidRPr="00183FEF">
        <w:t xml:space="preserve"> </w:t>
      </w:r>
      <w:r w:rsidR="00D43C43">
        <w:t>can be found</w:t>
      </w:r>
      <w:r w:rsidR="00D43C43" w:rsidRPr="00183FEF">
        <w:t xml:space="preserve"> in</w:t>
      </w:r>
      <w:r w:rsidR="00D43C43">
        <w:t xml:space="preserve"> Appendix B.</w:t>
      </w:r>
    </w:p>
    <w:p w14:paraId="352DD2D1" w14:textId="7B4C7F17" w:rsidR="007563CF" w:rsidRDefault="007563CF" w:rsidP="009875ED">
      <w:pPr>
        <w:pStyle w:val="Heading3"/>
      </w:pPr>
      <w:bookmarkStart w:id="12" w:name="_Toc175904846"/>
      <w:r w:rsidRPr="009875ED">
        <w:t>Market Characterization</w:t>
      </w:r>
      <w:bookmarkEnd w:id="12"/>
    </w:p>
    <w:p w14:paraId="6EDA5B90" w14:textId="096CF333" w:rsidR="0057380B" w:rsidRPr="0057380B" w:rsidRDefault="0057380B" w:rsidP="0057380B">
      <w:pPr>
        <w:pStyle w:val="AEGBody"/>
      </w:pPr>
      <w:r>
        <w:t xml:space="preserve">To estimate the savings potential from energy efficient measures, it is necessary to understand how much energy is used today and what equipment is currently being used. The characterization begins with a segmentation of Avista’s electricity footprint to quantify energy use by sector, segment, end-use application, and the current set of technologies used. To complete this step, AEG relied on information from Avista, NEEA, and secondary sources, as necessary. </w:t>
      </w:r>
    </w:p>
    <w:p w14:paraId="6AB4FC43" w14:textId="172D61BF" w:rsidR="007563CF" w:rsidRDefault="007563CF" w:rsidP="009875ED">
      <w:pPr>
        <w:pStyle w:val="Heading4"/>
      </w:pPr>
      <w:r>
        <w:t>Segmentation for Modeling Purposes</w:t>
      </w:r>
    </w:p>
    <w:p w14:paraId="73B2BEAF" w14:textId="03426F71" w:rsidR="0057380B" w:rsidRPr="0057380B" w:rsidRDefault="0057380B" w:rsidP="0057380B">
      <w:pPr>
        <w:pStyle w:val="AEGBody"/>
      </w:pPr>
      <w:r w:rsidRPr="0057380B">
        <w:t xml:space="preserve">The market assessment first defined the market segments (building types, end uses, and other dimensions) that are relevant in the Avista service territory. The segmentation scheme for this project is presented in </w:t>
      </w:r>
      <w:r w:rsidR="00195923">
        <w:fldChar w:fldCharType="begin"/>
      </w:r>
      <w:r w:rsidR="00195923">
        <w:instrText xml:space="preserve"> REF _Ref175811918 \h </w:instrText>
      </w:r>
      <w:r w:rsidR="00195923">
        <w:fldChar w:fldCharType="separate"/>
      </w:r>
      <w:r w:rsidR="00195923">
        <w:t xml:space="preserve">Table </w:t>
      </w:r>
      <w:r w:rsidR="00195923">
        <w:rPr>
          <w:noProof/>
        </w:rPr>
        <w:t>2</w:t>
      </w:r>
      <w:r w:rsidR="00195923">
        <w:noBreakHyphen/>
      </w:r>
      <w:r w:rsidR="00195923">
        <w:rPr>
          <w:noProof/>
        </w:rPr>
        <w:t>1</w:t>
      </w:r>
      <w:r w:rsidR="00195923">
        <w:fldChar w:fldCharType="end"/>
      </w:r>
      <w:r w:rsidRPr="0057380B">
        <w:t>.</w:t>
      </w:r>
    </w:p>
    <w:p w14:paraId="4E95C66D" w14:textId="6B3E6F71" w:rsidR="00793B4D" w:rsidRDefault="00793B4D" w:rsidP="00793B4D">
      <w:pPr>
        <w:pStyle w:val="Caption"/>
      </w:pPr>
      <w:bookmarkStart w:id="13" w:name="_Ref175811918"/>
      <w:bookmarkStart w:id="14" w:name="_Toc175912363"/>
      <w:r>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w:t>
      </w:r>
      <w:r w:rsidR="00EE4707">
        <w:fldChar w:fldCharType="end"/>
      </w:r>
      <w:bookmarkEnd w:id="13"/>
      <w:r>
        <w:t xml:space="preserve"> Overview of Avista Analysis Segmentation Scheme</w:t>
      </w:r>
      <w:bookmarkEnd w:id="14"/>
    </w:p>
    <w:tbl>
      <w:tblPr>
        <w:tblStyle w:val="AEG-DarkBanded"/>
        <w:tblW w:w="5000" w:type="pct"/>
        <w:jc w:val="center"/>
        <w:tblLook w:val="04A0" w:firstRow="1" w:lastRow="0" w:firstColumn="1" w:lastColumn="0" w:noHBand="0" w:noVBand="1"/>
      </w:tblPr>
      <w:tblGrid>
        <w:gridCol w:w="1063"/>
        <w:gridCol w:w="2130"/>
        <w:gridCol w:w="5987"/>
      </w:tblGrid>
      <w:tr w:rsidR="00793B4D" w:rsidRPr="00793B4D" w14:paraId="2D3C2FCB" w14:textId="77777777" w:rsidTr="00DE13EC">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5E74CA2F" w14:textId="77777777" w:rsidR="00793B4D" w:rsidRPr="00860025" w:rsidRDefault="00793B4D" w:rsidP="00793B4D">
            <w:pPr>
              <w:keepNext/>
              <w:widowControl w:val="0"/>
              <w:ind w:left="-19" w:right="-114"/>
              <w:jc w:val="left"/>
              <w:rPr>
                <w:rStyle w:val="Strong"/>
                <w:b w:val="0"/>
                <w:bCs/>
                <w:sz w:val="18"/>
                <w:szCs w:val="18"/>
              </w:rPr>
            </w:pPr>
            <w:r w:rsidRPr="00860025">
              <w:rPr>
                <w:rStyle w:val="Strong"/>
                <w:b w:val="0"/>
                <w:bCs/>
                <w:sz w:val="18"/>
                <w:szCs w:val="18"/>
              </w:rPr>
              <w:t>Dimension</w:t>
            </w:r>
          </w:p>
        </w:tc>
        <w:tc>
          <w:tcPr>
            <w:tcW w:w="2132" w:type="dxa"/>
          </w:tcPr>
          <w:p w14:paraId="417D4A36" w14:textId="77777777" w:rsidR="00793B4D" w:rsidRPr="00860025" w:rsidRDefault="00793B4D" w:rsidP="00793B4D">
            <w:pPr>
              <w:keepNext/>
              <w:widowControl w:val="0"/>
              <w:ind w:left="-112" w:right="-114"/>
              <w:jc w:val="left"/>
              <w:cnfStyle w:val="100000000000" w:firstRow="1" w:lastRow="0" w:firstColumn="0" w:lastColumn="0" w:oddVBand="0" w:evenVBand="0" w:oddHBand="0" w:evenHBand="0" w:firstRowFirstColumn="0" w:firstRowLastColumn="0" w:lastRowFirstColumn="0" w:lastRowLastColumn="0"/>
              <w:rPr>
                <w:rStyle w:val="Strong"/>
                <w:b w:val="0"/>
                <w:bCs/>
                <w:sz w:val="18"/>
                <w:szCs w:val="18"/>
              </w:rPr>
            </w:pPr>
            <w:r w:rsidRPr="00860025">
              <w:rPr>
                <w:rStyle w:val="Strong"/>
                <w:b w:val="0"/>
                <w:bCs/>
                <w:sz w:val="18"/>
                <w:szCs w:val="18"/>
              </w:rPr>
              <w:t>Segmentation Variable</w:t>
            </w:r>
          </w:p>
        </w:tc>
        <w:tc>
          <w:tcPr>
            <w:tcW w:w="6000" w:type="dxa"/>
          </w:tcPr>
          <w:p w14:paraId="7E94CAFC" w14:textId="77777777" w:rsidR="00793B4D" w:rsidRPr="00860025" w:rsidRDefault="00793B4D" w:rsidP="00793B4D">
            <w:pPr>
              <w:keepNext/>
              <w:widowControl w:val="0"/>
              <w:ind w:left="-112" w:right="-114"/>
              <w:jc w:val="left"/>
              <w:cnfStyle w:val="100000000000" w:firstRow="1" w:lastRow="0" w:firstColumn="0" w:lastColumn="0" w:oddVBand="0" w:evenVBand="0" w:oddHBand="0" w:evenHBand="0" w:firstRowFirstColumn="0" w:firstRowLastColumn="0" w:lastRowFirstColumn="0" w:lastRowLastColumn="0"/>
              <w:rPr>
                <w:rStyle w:val="Strong"/>
                <w:b w:val="0"/>
                <w:bCs/>
                <w:sz w:val="18"/>
                <w:szCs w:val="18"/>
              </w:rPr>
            </w:pPr>
            <w:r w:rsidRPr="00860025">
              <w:rPr>
                <w:rStyle w:val="Strong"/>
                <w:b w:val="0"/>
                <w:bCs/>
                <w:sz w:val="18"/>
                <w:szCs w:val="18"/>
              </w:rPr>
              <w:t>Description</w:t>
            </w:r>
          </w:p>
        </w:tc>
      </w:tr>
      <w:tr w:rsidR="00793B4D" w:rsidRPr="00793B4D" w14:paraId="551C6C18" w14:textId="77777777" w:rsidTr="00DE13EC">
        <w:trPr>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7902372A" w14:textId="77777777" w:rsidR="00793B4D" w:rsidRPr="00860025" w:rsidRDefault="00793B4D" w:rsidP="00793B4D">
            <w:pPr>
              <w:keepNext/>
              <w:widowControl w:val="0"/>
              <w:ind w:left="-19" w:right="-114"/>
              <w:jc w:val="left"/>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1</w:t>
            </w:r>
          </w:p>
        </w:tc>
        <w:tc>
          <w:tcPr>
            <w:tcW w:w="2132" w:type="dxa"/>
          </w:tcPr>
          <w:p w14:paraId="650B3DD7" w14:textId="77777777" w:rsidR="00793B4D" w:rsidRPr="00860025" w:rsidRDefault="00793B4D" w:rsidP="00793B4D">
            <w:pPr>
              <w:keepNext/>
              <w:widowControl w:val="0"/>
              <w:ind w:left="-112"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Sector</w:t>
            </w:r>
          </w:p>
        </w:tc>
        <w:tc>
          <w:tcPr>
            <w:tcW w:w="6000" w:type="dxa"/>
          </w:tcPr>
          <w:p w14:paraId="7B505D69" w14:textId="77777777" w:rsidR="00793B4D" w:rsidRPr="00860025" w:rsidRDefault="00793B4D" w:rsidP="00793B4D">
            <w:pPr>
              <w:keepNext/>
              <w:widowControl w:val="0"/>
              <w:ind w:left="-112"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Residential, commercial, industrial</w:t>
            </w:r>
          </w:p>
        </w:tc>
      </w:tr>
      <w:tr w:rsidR="00793B4D" w:rsidRPr="00793B4D" w14:paraId="65ACEFB2" w14:textId="77777777" w:rsidTr="00DE13EC">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3E6BC4BD" w14:textId="77777777" w:rsidR="00793B4D" w:rsidRPr="00860025" w:rsidRDefault="00793B4D" w:rsidP="00793B4D">
            <w:pPr>
              <w:keepNext/>
              <w:widowControl w:val="0"/>
              <w:ind w:left="-19" w:right="-114"/>
              <w:jc w:val="left"/>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2</w:t>
            </w:r>
          </w:p>
        </w:tc>
        <w:tc>
          <w:tcPr>
            <w:tcW w:w="2132" w:type="dxa"/>
          </w:tcPr>
          <w:p w14:paraId="47674F57"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Segment</w:t>
            </w:r>
          </w:p>
        </w:tc>
        <w:tc>
          <w:tcPr>
            <w:tcW w:w="6000" w:type="dxa"/>
          </w:tcPr>
          <w:p w14:paraId="615B9DC9"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Residential: single family, multifamily, manufactured home, differentiated by income level</w:t>
            </w:r>
          </w:p>
          <w:p w14:paraId="12C1186A"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 xml:space="preserve">Commercial: small office, large office, restaurant, retail, grocery, college, school, health, lodging, warehouse, and miscellaneous </w:t>
            </w:r>
          </w:p>
          <w:p w14:paraId="14D25FAB"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Industrial: total</w:t>
            </w:r>
          </w:p>
        </w:tc>
      </w:tr>
      <w:tr w:rsidR="00793B4D" w:rsidRPr="00793B4D" w14:paraId="50E0E539" w14:textId="77777777" w:rsidTr="00DE13EC">
        <w:trPr>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367471EE" w14:textId="77777777" w:rsidR="00793B4D" w:rsidRPr="00860025" w:rsidRDefault="00793B4D" w:rsidP="00793B4D">
            <w:pPr>
              <w:keepNext/>
              <w:widowControl w:val="0"/>
              <w:ind w:left="-19" w:right="-114"/>
              <w:jc w:val="left"/>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3</w:t>
            </w:r>
          </w:p>
        </w:tc>
        <w:tc>
          <w:tcPr>
            <w:tcW w:w="2132" w:type="dxa"/>
          </w:tcPr>
          <w:p w14:paraId="2C439160" w14:textId="77777777" w:rsidR="00793B4D" w:rsidRPr="00860025" w:rsidRDefault="00793B4D" w:rsidP="00793B4D">
            <w:pPr>
              <w:keepNext/>
              <w:widowControl w:val="0"/>
              <w:ind w:left="-112"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Vintage</w:t>
            </w:r>
          </w:p>
        </w:tc>
        <w:tc>
          <w:tcPr>
            <w:tcW w:w="6000" w:type="dxa"/>
          </w:tcPr>
          <w:p w14:paraId="372CE884" w14:textId="77777777" w:rsidR="00793B4D" w:rsidRPr="00860025" w:rsidRDefault="00793B4D" w:rsidP="00793B4D">
            <w:pPr>
              <w:keepNext/>
              <w:widowControl w:val="0"/>
              <w:ind w:left="-112"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Existing and new construction</w:t>
            </w:r>
          </w:p>
        </w:tc>
      </w:tr>
      <w:tr w:rsidR="00793B4D" w:rsidRPr="00793B4D" w14:paraId="389088EC" w14:textId="77777777" w:rsidTr="00DE13EC">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5EC68A4E" w14:textId="77777777" w:rsidR="00793B4D" w:rsidRPr="00860025" w:rsidRDefault="00793B4D" w:rsidP="00793B4D">
            <w:pPr>
              <w:keepNext/>
              <w:widowControl w:val="0"/>
              <w:ind w:left="-19" w:right="-114"/>
              <w:jc w:val="left"/>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4</w:t>
            </w:r>
          </w:p>
        </w:tc>
        <w:tc>
          <w:tcPr>
            <w:tcW w:w="2132" w:type="dxa"/>
          </w:tcPr>
          <w:p w14:paraId="01B4C0EF"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End uses</w:t>
            </w:r>
          </w:p>
        </w:tc>
        <w:tc>
          <w:tcPr>
            <w:tcW w:w="6000" w:type="dxa"/>
          </w:tcPr>
          <w:p w14:paraId="0E5A4833"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Cooling, lighting, water heat, motors, etc. (as appropriate by sector)</w:t>
            </w:r>
          </w:p>
        </w:tc>
      </w:tr>
      <w:tr w:rsidR="00793B4D" w:rsidRPr="00793B4D" w14:paraId="13B581AD" w14:textId="77777777" w:rsidTr="00DE13EC">
        <w:trPr>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1BE19FA7" w14:textId="77777777" w:rsidR="00793B4D" w:rsidRPr="00860025" w:rsidRDefault="00793B4D" w:rsidP="00793B4D">
            <w:pPr>
              <w:keepNext/>
              <w:widowControl w:val="0"/>
              <w:ind w:left="-19" w:right="-114"/>
              <w:jc w:val="left"/>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5</w:t>
            </w:r>
          </w:p>
        </w:tc>
        <w:tc>
          <w:tcPr>
            <w:tcW w:w="2132" w:type="dxa"/>
          </w:tcPr>
          <w:p w14:paraId="39B67BF2" w14:textId="77777777" w:rsidR="00793B4D" w:rsidRPr="00860025" w:rsidRDefault="00793B4D" w:rsidP="00793B4D">
            <w:pPr>
              <w:keepNext/>
              <w:widowControl w:val="0"/>
              <w:ind w:left="-112"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Appliances/end uses and technologies</w:t>
            </w:r>
          </w:p>
        </w:tc>
        <w:tc>
          <w:tcPr>
            <w:tcW w:w="6000" w:type="dxa"/>
          </w:tcPr>
          <w:p w14:paraId="28BDC82F" w14:textId="77777777" w:rsidR="00793B4D" w:rsidRPr="00860025" w:rsidRDefault="00793B4D" w:rsidP="00793B4D">
            <w:pPr>
              <w:keepNext/>
              <w:widowControl w:val="0"/>
              <w:ind w:left="-112"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Technologies such as lamp type, air conditioning equipment, motors by application, etc.</w:t>
            </w:r>
          </w:p>
        </w:tc>
      </w:tr>
      <w:tr w:rsidR="00793B4D" w:rsidRPr="00793B4D" w14:paraId="63404E89" w14:textId="77777777" w:rsidTr="00DE13EC">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48" w:type="dxa"/>
          </w:tcPr>
          <w:p w14:paraId="353C9214" w14:textId="77777777" w:rsidR="00793B4D" w:rsidRPr="00860025" w:rsidRDefault="00793B4D" w:rsidP="00793B4D">
            <w:pPr>
              <w:keepNext/>
              <w:widowControl w:val="0"/>
              <w:ind w:left="-19" w:right="-114"/>
              <w:jc w:val="left"/>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6</w:t>
            </w:r>
          </w:p>
        </w:tc>
        <w:tc>
          <w:tcPr>
            <w:tcW w:w="2132" w:type="dxa"/>
          </w:tcPr>
          <w:p w14:paraId="6FBCE700"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Equipment efficiency levels for new purchases</w:t>
            </w:r>
          </w:p>
        </w:tc>
        <w:tc>
          <w:tcPr>
            <w:tcW w:w="6000" w:type="dxa"/>
          </w:tcPr>
          <w:p w14:paraId="3CF6CDC2" w14:textId="77777777" w:rsidR="00793B4D" w:rsidRPr="00860025" w:rsidRDefault="00793B4D" w:rsidP="00793B4D">
            <w:pPr>
              <w:keepNext/>
              <w:widowControl w:val="0"/>
              <w:ind w:left="-112" w:right="-114"/>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pacing w:val="4"/>
                <w:kern w:val="18"/>
                <w:sz w:val="18"/>
                <w:szCs w:val="18"/>
              </w:rPr>
            </w:pPr>
            <w:r w:rsidRPr="00860025">
              <w:rPr>
                <w:rFonts w:asciiTheme="minorHAnsi" w:eastAsia="Times New Roman" w:hAnsiTheme="minorHAnsi"/>
                <w:color w:val="000000"/>
                <w:spacing w:val="4"/>
                <w:kern w:val="18"/>
                <w:sz w:val="18"/>
                <w:szCs w:val="18"/>
              </w:rPr>
              <w:t>Baseline and higher-efficiency options as appropriate for each technology</w:t>
            </w:r>
          </w:p>
        </w:tc>
      </w:tr>
    </w:tbl>
    <w:p w14:paraId="563CE13D" w14:textId="77777777" w:rsidR="00C4644B" w:rsidRDefault="00C4644B" w:rsidP="00C4644B">
      <w:pPr>
        <w:pStyle w:val="AEGBody"/>
      </w:pPr>
    </w:p>
    <w:p w14:paraId="2D1ADF00" w14:textId="435AC863" w:rsidR="00793B4D" w:rsidRPr="00793B4D" w:rsidRDefault="00C4644B" w:rsidP="00C4644B">
      <w:pPr>
        <w:pStyle w:val="AEGBody"/>
      </w:pPr>
      <w:r w:rsidRPr="002B6098">
        <w:t xml:space="preserve">With the segmentation scheme defined, </w:t>
      </w:r>
      <w:r>
        <w:t>AEG</w:t>
      </w:r>
      <w:r w:rsidRPr="002B6098">
        <w:t xml:space="preserve"> then performed a high-level market characterization of electricity sales in the base year to allocate sales to each customer segment. </w:t>
      </w:r>
      <w:r>
        <w:t>AEG</w:t>
      </w:r>
      <w:r w:rsidRPr="002B6098">
        <w:t xml:space="preserve"> used </w:t>
      </w:r>
      <w:r>
        <w:t>Avista data and secondary sources to allocate energy use and customers to the various sectors and segments such that the total customer count, energy consumption, and peak demand matched the Avista system totals from</w:t>
      </w:r>
      <w:r w:rsidR="006D026A">
        <w:t xml:space="preserve"> billing data</w:t>
      </w:r>
      <w:r>
        <w:t>.</w:t>
      </w:r>
      <w:r w:rsidRPr="002B6098">
        <w:t xml:space="preserve"> This information provided control </w:t>
      </w:r>
      <w:r>
        <w:t xml:space="preserve">totals at a sector level </w:t>
      </w:r>
      <w:r w:rsidRPr="002B6098">
        <w:t>for calibrating LoadMAP to known data for the base</w:t>
      </w:r>
      <w:r>
        <w:t xml:space="preserve"> </w:t>
      </w:r>
      <w:r w:rsidRPr="002B6098">
        <w:t>year</w:t>
      </w:r>
      <w:r>
        <w:t xml:space="preserve">. </w:t>
      </w:r>
    </w:p>
    <w:p w14:paraId="2598043A" w14:textId="672DAB4C" w:rsidR="007563CF" w:rsidRDefault="007563CF" w:rsidP="009875ED">
      <w:pPr>
        <w:pStyle w:val="Heading4"/>
      </w:pPr>
      <w:r>
        <w:t>Market Profiles</w:t>
      </w:r>
    </w:p>
    <w:p w14:paraId="5527660F" w14:textId="68111E01" w:rsidR="00C4644B" w:rsidRDefault="00C4644B" w:rsidP="00C4644B">
      <w:pPr>
        <w:pStyle w:val="AEGBody"/>
      </w:pPr>
      <w:r w:rsidRPr="0019453B">
        <w:t>The next step was to develop market profiles for each sector, customer segment, end use</w:t>
      </w:r>
      <w:r>
        <w:t>,</w:t>
      </w:r>
      <w:r w:rsidRPr="0019453B">
        <w:t xml:space="preserve"> and technology. </w:t>
      </w:r>
      <w:r>
        <w:t>T</w:t>
      </w:r>
      <w:r w:rsidRPr="00C22C96">
        <w:t xml:space="preserve">he market profiles provide the foundation for </w:t>
      </w:r>
      <w:r>
        <w:t xml:space="preserve">the </w:t>
      </w:r>
      <w:r w:rsidRPr="00C22C96">
        <w:t xml:space="preserve">development of the baseline projection and the potential estimates. </w:t>
      </w:r>
      <w:r w:rsidRPr="0019453B">
        <w:t>A market profile includes the following elements:</w:t>
      </w:r>
    </w:p>
    <w:p w14:paraId="65DEC5AC" w14:textId="14236426" w:rsidR="00C4644B" w:rsidRPr="00C4644B" w:rsidRDefault="00C4644B" w:rsidP="00C4644B">
      <w:pPr>
        <w:pStyle w:val="AEG-BulletList"/>
        <w:rPr>
          <w:rStyle w:val="Emphasis"/>
          <w:rFonts w:asciiTheme="minorHAnsi" w:hAnsiTheme="minorHAnsi" w:cs="Calibri Light"/>
          <w:i w:val="0"/>
          <w:iCs w:val="0"/>
          <w:szCs w:val="18"/>
        </w:rPr>
      </w:pPr>
      <w:r w:rsidRPr="00C758B1">
        <w:rPr>
          <w:rStyle w:val="Emphasis"/>
          <w:rFonts w:asciiTheme="minorHAnsi" w:hAnsiTheme="minorHAnsi"/>
          <w:b/>
          <w:bCs/>
          <w:spacing w:val="4"/>
        </w:rPr>
        <w:lastRenderedPageBreak/>
        <w:t>Market size</w:t>
      </w:r>
      <w:r w:rsidRPr="00F629F1">
        <w:t xml:space="preserve"> is a representation of the number of customers in the segment. For the residential sector, it is the number of households. In the commercial sector, it is floor space measured in square feet. For the </w:t>
      </w:r>
      <w:r>
        <w:t>industrial sector, it is overall electricity use.</w:t>
      </w:r>
    </w:p>
    <w:p w14:paraId="150EBB24" w14:textId="1EA97449" w:rsidR="00C4644B" w:rsidRPr="00F629F1" w:rsidRDefault="00C4644B" w:rsidP="00C4644B">
      <w:pPr>
        <w:pStyle w:val="AEG-BulletList"/>
      </w:pPr>
      <w:r w:rsidRPr="00C758B1">
        <w:rPr>
          <w:rStyle w:val="Emphasis"/>
          <w:rFonts w:asciiTheme="minorHAnsi" w:hAnsiTheme="minorHAnsi"/>
          <w:b/>
          <w:bCs/>
          <w:spacing w:val="4"/>
        </w:rPr>
        <w:t>Saturations</w:t>
      </w:r>
      <w:r w:rsidRPr="00F629F1">
        <w:t xml:space="preserve"> define the fraction of homes or square feet with the various technologies (e.g., homes with electric space heating). </w:t>
      </w:r>
    </w:p>
    <w:p w14:paraId="712E0B26" w14:textId="45B9DCFA" w:rsidR="00C4644B" w:rsidRPr="00F629F1" w:rsidRDefault="00C4644B" w:rsidP="00C4644B">
      <w:pPr>
        <w:pStyle w:val="AEG-BulletList"/>
      </w:pPr>
      <w:r w:rsidRPr="0035566D">
        <w:rPr>
          <w:rStyle w:val="Emphasis"/>
          <w:rFonts w:asciiTheme="minorHAnsi" w:hAnsiTheme="minorHAnsi"/>
          <w:spacing w:val="4"/>
        </w:rPr>
        <w:t>UEC (unit energy consumption) or EUI (energy use index)</w:t>
      </w:r>
      <w:r w:rsidRPr="00F629F1">
        <w:rPr>
          <w:rStyle w:val="Emphasis"/>
          <w:rFonts w:ascii="GT Eesti Display Light" w:hAnsi="GT Eesti Display Light"/>
          <w:spacing w:val="4"/>
        </w:rPr>
        <w:t xml:space="preserve"> </w:t>
      </w:r>
      <w:r w:rsidRPr="00F629F1">
        <w:t>describes the amount of energy consumed</w:t>
      </w:r>
      <w:r w:rsidR="00B805C0">
        <w:t xml:space="preserve"> in </w:t>
      </w:r>
      <w:r w:rsidR="00CF1AB0">
        <w:t>2021</w:t>
      </w:r>
      <w:r w:rsidR="00CF1AB0" w:rsidRPr="00F629F1">
        <w:t xml:space="preserve"> </w:t>
      </w:r>
      <w:r w:rsidRPr="00F629F1">
        <w:t>by a specific technology in buildings that have the technology. UECs are expressed in kWh/household for the residential sector</w:t>
      </w:r>
      <w:r>
        <w:t>,</w:t>
      </w:r>
      <w:r w:rsidRPr="00F629F1">
        <w:t xml:space="preserve"> and EUIs are expressed in kWh/square foot for the commercial sector. </w:t>
      </w:r>
    </w:p>
    <w:p w14:paraId="0E6E9E0E" w14:textId="5C9CC9CE" w:rsidR="00C4644B" w:rsidRPr="00F629F1" w:rsidRDefault="00C4644B" w:rsidP="00C4644B">
      <w:pPr>
        <w:pStyle w:val="AEG-BulletList"/>
      </w:pPr>
      <w:r w:rsidRPr="0035566D">
        <w:rPr>
          <w:rStyle w:val="Emphasis"/>
          <w:rFonts w:asciiTheme="minorHAnsi" w:hAnsiTheme="minorHAnsi"/>
          <w:b/>
          <w:bCs/>
          <w:spacing w:val="4"/>
        </w:rPr>
        <w:t>Annual Energy Intensity</w:t>
      </w:r>
      <w:r w:rsidRPr="00F629F1">
        <w:rPr>
          <w:rStyle w:val="Emphasis"/>
          <w:rFonts w:ascii="GT Eesti Display Light" w:hAnsi="GT Eesti Display Light"/>
          <w:spacing w:val="4"/>
        </w:rPr>
        <w:t xml:space="preserve"> </w:t>
      </w:r>
      <w:r w:rsidRPr="00F629F1">
        <w:t xml:space="preserve">for the residential sector represents the average energy use for the technology across all homes </w:t>
      </w:r>
      <w:r w:rsidR="00B805C0">
        <w:t xml:space="preserve">in </w:t>
      </w:r>
      <w:r w:rsidR="00CF1AB0">
        <w:t xml:space="preserve">2021 </w:t>
      </w:r>
      <w:r>
        <w:t>and</w:t>
      </w:r>
      <w:r w:rsidRPr="00F629F1">
        <w:t xml:space="preserve"> is the product of the saturation and UEC. </w:t>
      </w:r>
      <w:r>
        <w:t>T</w:t>
      </w:r>
      <w:r w:rsidRPr="00F629F1">
        <w:t>he commercial sector represents the average use for the technology across all floor space</w:t>
      </w:r>
      <w:r w:rsidR="00B805C0">
        <w:t xml:space="preserve"> in </w:t>
      </w:r>
      <w:r w:rsidR="00CF1AB0">
        <w:t xml:space="preserve">2021 </w:t>
      </w:r>
      <w:r>
        <w:t xml:space="preserve">and is </w:t>
      </w:r>
      <w:r w:rsidRPr="00F629F1">
        <w:t>the product of the saturation and EUI.</w:t>
      </w:r>
    </w:p>
    <w:p w14:paraId="44B22C45" w14:textId="77777777" w:rsidR="00C4644B" w:rsidRPr="00F629F1" w:rsidRDefault="00C4644B" w:rsidP="00C4644B">
      <w:pPr>
        <w:pStyle w:val="AEG-BulletList"/>
      </w:pPr>
      <w:r w:rsidRPr="0035566D">
        <w:rPr>
          <w:rStyle w:val="Emphasis"/>
          <w:rFonts w:asciiTheme="minorHAnsi" w:hAnsiTheme="minorHAnsi"/>
          <w:b/>
          <w:bCs/>
          <w:spacing w:val="4"/>
        </w:rPr>
        <w:t>Annual Usage</w:t>
      </w:r>
      <w:r w:rsidRPr="00F629F1">
        <w:t xml:space="preserve"> is the annual energy use by an end-use technology in the segment. It is the product of the market size and intensity and is quantified in GWh. </w:t>
      </w:r>
    </w:p>
    <w:p w14:paraId="46F505F4" w14:textId="05F6BE47" w:rsidR="00C4644B" w:rsidRPr="00F629F1" w:rsidRDefault="00C4644B" w:rsidP="00C4644B">
      <w:pPr>
        <w:pStyle w:val="AEG-BulletList"/>
      </w:pPr>
      <w:r w:rsidRPr="0035566D">
        <w:rPr>
          <w:rStyle w:val="Emphasis"/>
          <w:rFonts w:asciiTheme="minorHAnsi" w:hAnsiTheme="minorHAnsi"/>
          <w:b/>
          <w:bCs/>
          <w:spacing w:val="4"/>
        </w:rPr>
        <w:t>Peak Demand</w:t>
      </w:r>
      <w:r w:rsidRPr="0031112B">
        <w:rPr>
          <w:b/>
          <w:bCs/>
        </w:rPr>
        <w:t xml:space="preserve"> </w:t>
      </w:r>
      <w:r w:rsidRPr="0031112B">
        <w:rPr>
          <w:rStyle w:val="BodyTextChar"/>
        </w:rPr>
        <w:t>for each technology, summer peak and winter peak</w:t>
      </w:r>
      <w:r>
        <w:rPr>
          <w:rStyle w:val="BodyTextChar"/>
        </w:rPr>
        <w:t>,</w:t>
      </w:r>
      <w:r w:rsidRPr="0031112B">
        <w:rPr>
          <w:rStyle w:val="BodyTextChar"/>
        </w:rPr>
        <w:t xml:space="preserve"> </w:t>
      </w:r>
      <w:r>
        <w:rPr>
          <w:rStyle w:val="BodyTextChar"/>
        </w:rPr>
        <w:t>is</w:t>
      </w:r>
      <w:r w:rsidRPr="0031112B">
        <w:rPr>
          <w:rStyle w:val="BodyTextChar"/>
        </w:rPr>
        <w:t xml:space="preserve"> calculated using peak fractions of annual energy use from AEG’s </w:t>
      </w:r>
      <w:r w:rsidR="00240BC3">
        <w:rPr>
          <w:rStyle w:val="BodyTextChar"/>
        </w:rPr>
        <w:t>load shape</w:t>
      </w:r>
      <w:r w:rsidR="00240BC3" w:rsidRPr="0031112B">
        <w:rPr>
          <w:rStyle w:val="BodyTextChar"/>
        </w:rPr>
        <w:t xml:space="preserve"> </w:t>
      </w:r>
      <w:r w:rsidRPr="0031112B">
        <w:rPr>
          <w:rStyle w:val="BodyTextChar"/>
        </w:rPr>
        <w:t xml:space="preserve">library and Avista system peak data. </w:t>
      </w:r>
    </w:p>
    <w:p w14:paraId="18C011EB" w14:textId="165AFDF5" w:rsidR="00C4644B" w:rsidRPr="00C4644B" w:rsidRDefault="00F63273" w:rsidP="00F63273">
      <w:pPr>
        <w:pStyle w:val="AEGBody"/>
      </w:pPr>
      <w:r>
        <w:t xml:space="preserve">The market characterization is presented in Chapter 3, and market profiles are presented in Appendix A. </w:t>
      </w:r>
    </w:p>
    <w:p w14:paraId="6C3910EA" w14:textId="452AB3E8" w:rsidR="007563CF" w:rsidRDefault="007563CF" w:rsidP="009875ED">
      <w:pPr>
        <w:pStyle w:val="Heading3"/>
      </w:pPr>
      <w:bookmarkStart w:id="15" w:name="_Toc175904847"/>
      <w:r>
        <w:t>Baseline Projection</w:t>
      </w:r>
      <w:bookmarkEnd w:id="15"/>
    </w:p>
    <w:p w14:paraId="07FFF759" w14:textId="7C74EF58" w:rsidR="00F63273" w:rsidRPr="00F63273" w:rsidRDefault="00F63273" w:rsidP="00F63273">
      <w:pPr>
        <w:pStyle w:val="AEGBody"/>
      </w:pPr>
      <w:r w:rsidRPr="00F63273">
        <w:t xml:space="preserve">The next step was to develop the baseline projection of annual electricity use and peak demand for </w:t>
      </w:r>
      <w:r w:rsidR="00240BC3" w:rsidRPr="00FF4586">
        <w:t xml:space="preserve">2021 </w:t>
      </w:r>
      <w:r w:rsidRPr="00FF4586">
        <w:t xml:space="preserve">through </w:t>
      </w:r>
      <w:r w:rsidR="00240BC3" w:rsidRPr="00FF4586">
        <w:t xml:space="preserve">2045 </w:t>
      </w:r>
      <w:r w:rsidRPr="00FF4586">
        <w:t>by</w:t>
      </w:r>
      <w:r w:rsidRPr="00605C1B">
        <w:t xml:space="preserve"> customer</w:t>
      </w:r>
      <w:r w:rsidRPr="00F63273">
        <w:t xml:space="preserve"> segment and end use without new utility programs. The savings from past programs are embedded in the forecast, but the baseline projection assumes that those past programs cease to exist in the future. Possible savings from future programs are captured by the potential estimates. The projection includes the impacts of known codes and standards, which will unfold over the study timeframe. All such mandates that were defined as of </w:t>
      </w:r>
      <w:r w:rsidR="001F2FBC">
        <w:t>January 2024</w:t>
      </w:r>
      <w:r w:rsidRPr="00F63273">
        <w:t xml:space="preserve"> are included in the baseline</w:t>
      </w:r>
      <w:r w:rsidR="00E57E32">
        <w:rPr>
          <w:rStyle w:val="FootnoteReference"/>
        </w:rPr>
        <w:footnoteReference w:id="2"/>
      </w:r>
      <w:r w:rsidRPr="00F63273">
        <w:t xml:space="preserve">. </w:t>
      </w:r>
    </w:p>
    <w:p w14:paraId="01C0B647" w14:textId="77777777" w:rsidR="00F63273" w:rsidRPr="00F63273" w:rsidRDefault="00F63273" w:rsidP="00F63273">
      <w:pPr>
        <w:pStyle w:val="AEGBody"/>
      </w:pPr>
      <w:r w:rsidRPr="00F63273">
        <w:t xml:space="preserve">The baseline projection is the foundation for the analysis of savings from future conservation efforts as well as the metric against which potential savings are measured. Although AEG’s baseline projection aligns closely with Avista’s, it is not Avista’s official load forecast. </w:t>
      </w:r>
    </w:p>
    <w:p w14:paraId="591D63F6" w14:textId="77777777" w:rsidR="00F63273" w:rsidRPr="00F63273" w:rsidRDefault="00F63273" w:rsidP="00F63273">
      <w:pPr>
        <w:pStyle w:val="AEGBody"/>
      </w:pPr>
      <w:r w:rsidRPr="00F63273">
        <w:t>Inputs to the baseline projection include:</w:t>
      </w:r>
    </w:p>
    <w:p w14:paraId="1F4EC40A" w14:textId="77777777" w:rsidR="00F63273" w:rsidRPr="00C63273" w:rsidRDefault="00F63273" w:rsidP="00F63273">
      <w:pPr>
        <w:pStyle w:val="AEG-BulletList"/>
      </w:pPr>
      <w:r w:rsidRPr="00C63273">
        <w:t>Current economic growth forecasts (i.e., customer growth, income growth)</w:t>
      </w:r>
    </w:p>
    <w:p w14:paraId="2BC366A9" w14:textId="77777777" w:rsidR="00F63273" w:rsidRPr="00C63273" w:rsidRDefault="00F63273" w:rsidP="00F63273">
      <w:pPr>
        <w:pStyle w:val="AEG-BulletList"/>
      </w:pPr>
      <w:r w:rsidRPr="00C63273">
        <w:t>Electricity price forecasts</w:t>
      </w:r>
    </w:p>
    <w:p w14:paraId="02462FA0" w14:textId="77777777" w:rsidR="00F63273" w:rsidRPr="00C63273" w:rsidRDefault="00F63273" w:rsidP="00F63273">
      <w:pPr>
        <w:pStyle w:val="AEG-BulletList"/>
      </w:pPr>
      <w:r w:rsidRPr="00C63273">
        <w:t xml:space="preserve">Trends in fuel shares and equipment saturations </w:t>
      </w:r>
    </w:p>
    <w:p w14:paraId="599DB283" w14:textId="77777777" w:rsidR="00F63273" w:rsidRPr="00C63273" w:rsidRDefault="00F63273" w:rsidP="00F63273">
      <w:pPr>
        <w:pStyle w:val="AEG-BulletList"/>
      </w:pPr>
      <w:r w:rsidRPr="00C63273">
        <w:t>Existing and approved changes to building codes and equipment standards</w:t>
      </w:r>
    </w:p>
    <w:p w14:paraId="11D63DF0" w14:textId="77777777" w:rsidR="00F63273" w:rsidRPr="00C63273" w:rsidRDefault="00F63273" w:rsidP="00F63273">
      <w:pPr>
        <w:pStyle w:val="AEG-BulletList"/>
      </w:pPr>
      <w:r w:rsidRPr="00C63273">
        <w:t>Avista’s internally developed sector-level projections for electricity sales</w:t>
      </w:r>
    </w:p>
    <w:p w14:paraId="35776B51" w14:textId="4714E16D" w:rsidR="00F63273" w:rsidRPr="00F63273" w:rsidRDefault="00F63273" w:rsidP="00F63273">
      <w:pPr>
        <w:pStyle w:val="AEGBody"/>
      </w:pPr>
      <w:r>
        <w:t>AEG also developed a baseline projection for summer and winter peaks by applying peak fractions from the market profiles to the annual energy forecast in each year. The</w:t>
      </w:r>
      <w:r w:rsidRPr="00244A3E">
        <w:t xml:space="preserve"> </w:t>
      </w:r>
      <w:r>
        <w:t xml:space="preserve">baseline projection is presented </w:t>
      </w:r>
      <w:r w:rsidRPr="00244A3E">
        <w:t>in</w:t>
      </w:r>
      <w:r>
        <w:t xml:space="preserve"> Chapter 4.</w:t>
      </w:r>
    </w:p>
    <w:p w14:paraId="6F4E5E9F" w14:textId="6B3A2CB7" w:rsidR="007563CF" w:rsidRDefault="007563CF" w:rsidP="009875ED">
      <w:pPr>
        <w:pStyle w:val="Heading3"/>
      </w:pPr>
      <w:bookmarkStart w:id="16" w:name="_Toc175904848"/>
      <w:r>
        <w:lastRenderedPageBreak/>
        <w:t>Conservation Measure Analysis</w:t>
      </w:r>
      <w:bookmarkEnd w:id="16"/>
    </w:p>
    <w:p w14:paraId="69880AF3" w14:textId="09352E39" w:rsidR="00F63273" w:rsidRPr="00F63273" w:rsidRDefault="00F63273" w:rsidP="00F63273">
      <w:pPr>
        <w:pStyle w:val="AEGBody"/>
      </w:pPr>
      <w:r w:rsidRPr="007265DB">
        <w:t>This section describes the framework used to assess conservation measures' savings, costs, and other attributes</w:t>
      </w:r>
      <w:r w:rsidRPr="00244A3E">
        <w:t xml:space="preserve">. These characteristics form the basis for measure-level cost-effectiveness analyses </w:t>
      </w:r>
      <w:r>
        <w:t>and</w:t>
      </w:r>
      <w:r w:rsidRPr="00244A3E">
        <w:t xml:space="preserve"> for determining measure savings. For all measures, </w:t>
      </w:r>
      <w:r>
        <w:t>AEG</w:t>
      </w:r>
      <w:r w:rsidRPr="00244A3E">
        <w:t xml:space="preserve"> assembled information to reflect equipment performance, incremental costs, and equipment lifetimes. We used this information along with </w:t>
      </w:r>
      <w:r w:rsidRPr="00F02F9E">
        <w:t xml:space="preserve">the </w:t>
      </w:r>
      <w:r w:rsidRPr="00FF4586">
        <w:t>2021 Power Plan’s</w:t>
      </w:r>
      <w:r w:rsidRPr="00F02F9E">
        <w:t xml:space="preserve"> updated</w:t>
      </w:r>
      <w:r>
        <w:t xml:space="preserve"> ramp rates</w:t>
      </w:r>
      <w:r w:rsidRPr="00244A3E">
        <w:t xml:space="preserve"> to </w:t>
      </w:r>
      <w:r>
        <w:t>identify achievable technical measure potential</w:t>
      </w:r>
      <w:r w:rsidRPr="00244A3E">
        <w:t xml:space="preserve">. </w:t>
      </w:r>
    </w:p>
    <w:p w14:paraId="6B3E4A69" w14:textId="28A92BB4" w:rsidR="007563CF" w:rsidRDefault="007563CF" w:rsidP="009875ED">
      <w:pPr>
        <w:pStyle w:val="Heading4"/>
      </w:pPr>
      <w:r>
        <w:t>Conservation Measures</w:t>
      </w:r>
    </w:p>
    <w:p w14:paraId="7CAC3A18" w14:textId="72B692A9" w:rsidR="00C25A18" w:rsidRDefault="00195923" w:rsidP="00C25A18">
      <w:pPr>
        <w:pStyle w:val="AEGBody"/>
      </w:pPr>
      <w:r>
        <w:fldChar w:fldCharType="begin"/>
      </w:r>
      <w:r>
        <w:instrText xml:space="preserve"> REF _Ref175811902 \h </w:instrText>
      </w:r>
      <w:r>
        <w:fldChar w:fldCharType="separate"/>
      </w:r>
      <w:r>
        <w:t xml:space="preserve">Figure </w:t>
      </w:r>
      <w:r>
        <w:rPr>
          <w:noProof/>
        </w:rPr>
        <w:t>2</w:t>
      </w:r>
      <w:r>
        <w:noBreakHyphen/>
      </w:r>
      <w:r>
        <w:rPr>
          <w:noProof/>
        </w:rPr>
        <w:t>2</w:t>
      </w:r>
      <w:r>
        <w:fldChar w:fldCharType="end"/>
      </w:r>
      <w:r w:rsidR="00C25A18" w:rsidDel="00195923">
        <w:t xml:space="preserve"> </w:t>
      </w:r>
      <w:r w:rsidR="00C25A18" w:rsidRPr="00244A3E">
        <w:t xml:space="preserve">outlines the framework for </w:t>
      </w:r>
      <w:r w:rsidR="00C25A18">
        <w:t xml:space="preserve">conservation </w:t>
      </w:r>
      <w:r w:rsidR="00C25A18" w:rsidRPr="00244A3E">
        <w:t>measure analysis.</w:t>
      </w:r>
      <w:r w:rsidR="00C25A18" w:rsidRPr="00AD1526">
        <w:t xml:space="preserve"> </w:t>
      </w:r>
      <w:r w:rsidR="00C25A18">
        <w:t>The framework involves identifying the list of measures to include in the analysis, determining their applicability to each sector and segment, fully characterizing each measure, and calculating the levelized cost of conserved energy (LCOE). Potential measures include the replacement of a unit that has failed or is at the end of its useful life with an efficient unit, retrofit, or early replacement of equipment, improvements to the building envelope, the application of controls to optimize energy use, and other actions resulting in improved energy efficiency.</w:t>
      </w:r>
    </w:p>
    <w:p w14:paraId="763DB5EF" w14:textId="77777777" w:rsidR="00C25A18" w:rsidRDefault="00C25A18" w:rsidP="00C25A18">
      <w:pPr>
        <w:pStyle w:val="AEGBody"/>
      </w:pPr>
      <w:r>
        <w:t xml:space="preserve">AEG compiled a robust list of conservation measures for each customer sector, </w:t>
      </w:r>
      <w:r w:rsidRPr="0012078F">
        <w:t xml:space="preserve">drawing upon </w:t>
      </w:r>
      <w:r>
        <w:t xml:space="preserve">Avista’s measure database, the </w:t>
      </w:r>
      <w:r w:rsidRPr="0012078F">
        <w:t>RTF</w:t>
      </w:r>
      <w:r>
        <w:t xml:space="preserve">, and </w:t>
      </w:r>
      <w:r w:rsidRPr="00F02F9E">
        <w:t xml:space="preserve">the </w:t>
      </w:r>
      <w:r w:rsidRPr="00FF4586">
        <w:t>2021 Power Plan</w:t>
      </w:r>
      <w:r w:rsidRPr="00F02F9E">
        <w:t xml:space="preserve"> deemed</w:t>
      </w:r>
      <w:r>
        <w:t xml:space="preserve"> measures database, as well as a variety of secondary sources. This universal list of conservation measures covers all major types of end-use equipment, as well as devices and actions to reduce energy consumption. </w:t>
      </w:r>
    </w:p>
    <w:p w14:paraId="38797E8C" w14:textId="61254877" w:rsidR="00C25A18" w:rsidRDefault="00C25A18" w:rsidP="00C25A18">
      <w:pPr>
        <w:pStyle w:val="AEGBody"/>
      </w:pPr>
      <w:r>
        <w:t>Since an economic screen was not performed in this study, we calculated the LCOE for each measure evaluated. This value, expressed in dollars per</w:t>
      </w:r>
      <w:r w:rsidDel="0092394D">
        <w:t xml:space="preserve"> </w:t>
      </w:r>
      <w:r>
        <w:t xml:space="preserve">megawatt hour ($/MWh) saved, can be used by Avista’s IRP model to evaluate measure economics. To calculate a measure’s LCOE, first-year measure costs, annual non-energy impacts, and annual operations and maintenance (O&amp;M) costs are levelized over a measure’s lifetime, then divided by the first-year savings in MWh. Note that while non-energy benefits are typically included in the numerator of a traditional Total Resource Cost economic screen, the LCOE benefits have not been monetized. Therefore, these benefits are instead subtracted from the cost portion of the </w:t>
      </w:r>
      <w:r w:rsidRPr="00C55AB5">
        <w:t xml:space="preserve">test. </w:t>
      </w:r>
      <w:r w:rsidRPr="00FF4586">
        <w:t>These non-energy benefits are not included in the Utility Cost Test used in Idaho.</w:t>
      </w:r>
    </w:p>
    <w:p w14:paraId="3B8CF4CA" w14:textId="78339F03" w:rsidR="00D82A9C" w:rsidRDefault="00DE5A46">
      <w:pPr>
        <w:spacing w:before="40" w:after="80"/>
        <w:ind w:left="576"/>
        <w:jc w:val="left"/>
      </w:pPr>
      <w:r>
        <w:br w:type="page"/>
      </w:r>
    </w:p>
    <w:p w14:paraId="6BA36D1A" w14:textId="096617D2" w:rsidR="00D82A9C" w:rsidRDefault="00D82A9C" w:rsidP="00D82A9C">
      <w:pPr>
        <w:pStyle w:val="Caption"/>
      </w:pPr>
      <w:bookmarkStart w:id="17" w:name="_Ref175811902"/>
      <w:bookmarkStart w:id="18" w:name="_Toc175904421"/>
      <w:r>
        <w:lastRenderedPageBreak/>
        <w:t xml:space="preserve">Figure </w:t>
      </w:r>
      <w:r w:rsidR="000E34CB">
        <w:fldChar w:fldCharType="begin"/>
      </w:r>
      <w:r w:rsidR="000E34CB">
        <w:instrText xml:space="preserve"> STYLEREF 1 \s </w:instrText>
      </w:r>
      <w:r w:rsidR="000E34CB">
        <w:fldChar w:fldCharType="separate"/>
      </w:r>
      <w:r w:rsidR="000E34CB">
        <w:rPr>
          <w:noProof/>
        </w:rPr>
        <w:t>2</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2</w:t>
      </w:r>
      <w:r w:rsidR="000E34CB">
        <w:fldChar w:fldCharType="end"/>
      </w:r>
      <w:bookmarkEnd w:id="17"/>
      <w:r>
        <w:t xml:space="preserve"> Approach for Conservation Measure Assessment</w:t>
      </w:r>
      <w:bookmarkEnd w:id="18"/>
    </w:p>
    <w:p w14:paraId="3B354C65" w14:textId="45EB9DAC" w:rsidR="00D82A9C" w:rsidRDefault="00D82A9C" w:rsidP="00DE13EC">
      <w:pPr>
        <w:pStyle w:val="AEGBody"/>
        <w:jc w:val="center"/>
      </w:pPr>
    </w:p>
    <w:p w14:paraId="274B8DF9" w14:textId="2B83BAEC" w:rsidR="00716EA0" w:rsidRDefault="00A371FF" w:rsidP="00DE13EC">
      <w:pPr>
        <w:pStyle w:val="AEGBody"/>
        <w:jc w:val="center"/>
      </w:pPr>
      <w:r>
        <w:rPr>
          <w:noProof/>
        </w:rPr>
        <mc:AlternateContent>
          <mc:Choice Requires="wps">
            <w:drawing>
              <wp:anchor distT="0" distB="0" distL="114300" distR="114300" simplePos="0" relativeHeight="251658246" behindDoc="0" locked="0" layoutInCell="1" allowOverlap="1" wp14:anchorId="592F1E54" wp14:editId="77A6BCD5">
                <wp:simplePos x="0" y="0"/>
                <wp:positionH relativeFrom="column">
                  <wp:posOffset>2488565</wp:posOffset>
                </wp:positionH>
                <wp:positionV relativeFrom="paragraph">
                  <wp:posOffset>2171356</wp:posOffset>
                </wp:positionV>
                <wp:extent cx="1134462" cy="366883"/>
                <wp:effectExtent l="0" t="0" r="0" b="0"/>
                <wp:wrapNone/>
                <wp:docPr id="2037847220" name="Rectangle 1"/>
                <wp:cNvGraphicFramePr/>
                <a:graphic xmlns:a="http://schemas.openxmlformats.org/drawingml/2006/main">
                  <a:graphicData uri="http://schemas.microsoft.com/office/word/2010/wordprocessingShape">
                    <wps:wsp>
                      <wps:cNvSpPr/>
                      <wps:spPr>
                        <a:xfrm>
                          <a:off x="0" y="0"/>
                          <a:ext cx="1134462" cy="366883"/>
                        </a:xfrm>
                        <a:prstGeom prst="rect">
                          <a:avLst/>
                        </a:prstGeom>
                        <a:solidFill>
                          <a:sysClr val="window" lastClr="FFFFFF"/>
                        </a:solidFill>
                        <a:ln w="12700" cap="flat" cmpd="sng" algn="ctr">
                          <a:solidFill>
                            <a:srgbClr val="1C1D4D"/>
                          </a:solidFill>
                          <a:prstDash val="solid"/>
                          <a:miter lim="800000"/>
                        </a:ln>
                        <a:effectLst/>
                      </wps:spPr>
                      <wps:txbx>
                        <w:txbxContent>
                          <w:p w14:paraId="6F1EC80D" w14:textId="6F0D1676" w:rsidR="00A371FF" w:rsidRPr="002E7E7D" w:rsidRDefault="00A371FF" w:rsidP="00A371FF">
                            <w:pPr>
                              <w:pStyle w:val="NormalWeb"/>
                              <w:spacing w:before="0" w:beforeAutospacing="0" w:after="0" w:afterAutospacing="0"/>
                              <w:jc w:val="center"/>
                              <w:rPr>
                                <w:rFonts w:ascii="Aptos" w:hAnsi="Aptos" w:cs="Calibri Light"/>
                                <w:sz w:val="20"/>
                                <w:szCs w:val="20"/>
                              </w:rPr>
                            </w:pPr>
                            <w:r>
                              <w:rPr>
                                <w:rFonts w:ascii="Aptos" w:hAnsi="Aptos" w:cs="Calibri Light"/>
                                <w:color w:val="19172B" w:themeColor="text1"/>
                                <w:kern w:val="24"/>
                                <w:sz w:val="20"/>
                                <w:szCs w:val="20"/>
                              </w:rPr>
                              <w:t>Energy Savings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92F1E54" id="Rectangle 1" o:spid="_x0000_s1028" style="position:absolute;left:0;text-align:left;margin-left:195.95pt;margin-top:170.95pt;width:89.35pt;height:28.9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" fillcolor="window" strokecolor="#1c1d4d" strokeweight="1pt">
                <v:textbox inset="0,0,0,0">
                  <w:txbxContent>
                    <w:p w14:paraId="6F1EC80D" w14:textId="6F0D1676" w:rsidR="00A371FF" w:rsidRPr="002E7E7D" w:rsidRDefault="00A371FF" w:rsidP="00A371FF">
                      <w:pPr>
                        <w:pStyle w:val="NormalWeb"/>
                        <w:spacing w:before="0" w:beforeAutospacing="0" w:after="0" w:afterAutospacing="0"/>
                        <w:jc w:val="center"/>
                        <w:rPr>
                          <w:rFonts w:ascii="Aptos" w:hAnsi="Aptos" w:cs="Calibri Light"/>
                          <w:sz w:val="20"/>
                          <w:szCs w:val="20"/>
                        </w:rPr>
                      </w:pPr>
                      <w:r>
                        <w:rPr>
                          <w:rFonts w:ascii="Aptos" w:hAnsi="Aptos" w:cs="Calibri Light"/>
                          <w:color w:val="19172B" w:themeColor="text1"/>
                          <w:kern w:val="24"/>
                          <w:sz w:val="20"/>
                          <w:szCs w:val="20"/>
                        </w:rPr>
                        <w:t>Energy Savings</w:t>
                      </w:r>
                    </w:p>
                  </w:txbxContent>
                </v:textbox>
              </v:rect>
            </w:pict>
          </mc:Fallback>
        </mc:AlternateContent>
      </w:r>
      <w:r w:rsidR="002E7E7D" w:rsidRPr="00F232D7">
        <w:rPr>
          <w:rFonts w:ascii="Tahoma" w:hAnsi="Tahoma"/>
          <w:noProof/>
        </w:rPr>
        <mc:AlternateContent>
          <mc:Choice Requires="wpg">
            <w:drawing>
              <wp:inline distT="0" distB="0" distL="0" distR="0" wp14:anchorId="1E92045D" wp14:editId="34E7EE0C">
                <wp:extent cx="4570089" cy="3057525"/>
                <wp:effectExtent l="0" t="0" r="21590" b="28575"/>
                <wp:docPr id="253755265" name="Group 253755265"/>
                <wp:cNvGraphicFramePr/>
                <a:graphic xmlns:a="http://schemas.openxmlformats.org/drawingml/2006/main">
                  <a:graphicData uri="http://schemas.microsoft.com/office/word/2010/wordprocessingGroup">
                    <wpg:wgp>
                      <wpg:cNvGrpSpPr/>
                      <wpg:grpSpPr>
                        <a:xfrm>
                          <a:off x="0" y="0"/>
                          <a:ext cx="4570089" cy="3057525"/>
                          <a:chOff x="0" y="0"/>
                          <a:chExt cx="5714998" cy="3347998"/>
                        </a:xfrm>
                      </wpg:grpSpPr>
                      <wpg:grpSp>
                        <wpg:cNvPr id="562001458" name="Group 562001458"/>
                        <wpg:cNvGrpSpPr/>
                        <wpg:grpSpPr>
                          <a:xfrm>
                            <a:off x="0" y="0"/>
                            <a:ext cx="5714998" cy="3347998"/>
                            <a:chOff x="0" y="0"/>
                            <a:chExt cx="5714998" cy="3689880"/>
                          </a:xfrm>
                        </wpg:grpSpPr>
                        <wpg:grpSp>
                          <wpg:cNvPr id="1624883655" name="Group 1624883655"/>
                          <wpg:cNvGrpSpPr/>
                          <wpg:grpSpPr>
                            <a:xfrm>
                              <a:off x="0" y="452510"/>
                              <a:ext cx="5714998" cy="3237370"/>
                              <a:chOff x="0" y="452510"/>
                              <a:chExt cx="5745782" cy="3237370"/>
                            </a:xfrm>
                          </wpg:grpSpPr>
                          <wps:wsp>
                            <wps:cNvPr id="1028261228" name="Rectangle: Rounded Corners 1028261228"/>
                            <wps:cNvSpPr/>
                            <wps:spPr>
                              <a:xfrm>
                                <a:off x="3214768" y="452510"/>
                                <a:ext cx="1477700" cy="734802"/>
                              </a:xfrm>
                              <a:prstGeom prst="roundRect">
                                <a:avLst/>
                              </a:prstGeom>
                              <a:solidFill>
                                <a:schemeClr val="accent1"/>
                              </a:solidFill>
                              <a:ln w="12700" cap="flat" cmpd="sng" algn="ctr">
                                <a:solidFill>
                                  <a:srgbClr val="1C1D4D"/>
                                </a:solidFill>
                                <a:prstDash val="solid"/>
                                <a:miter lim="800000"/>
                              </a:ln>
                              <a:effectLst/>
                            </wps:spPr>
                            <wps:txbx>
                              <w:txbxContent>
                                <w:p w14:paraId="282B2C75" w14:textId="77777777" w:rsidR="002E7E7D" w:rsidRPr="0044147B" w:rsidRDefault="002E7E7D" w:rsidP="002E7E7D">
                                  <w:pPr>
                                    <w:pStyle w:val="NormalWeb"/>
                                    <w:spacing w:after="0" w:afterAutospacing="0"/>
                                    <w:jc w:val="center"/>
                                    <w:rPr>
                                      <w:rFonts w:ascii="Aptos" w:hAnsi="Aptos" w:cs="Calibri Light"/>
                                      <w:color w:val="F6F6F7" w:themeColor="background1"/>
                                      <w:sz w:val="16"/>
                                      <w:szCs w:val="20"/>
                                    </w:rPr>
                                  </w:pPr>
                                  <w:r w:rsidRPr="0044147B">
                                    <w:rPr>
                                      <w:rFonts w:ascii="Aptos" w:hAnsi="Aptos" w:cs="Calibri Light"/>
                                      <w:color w:val="F6F6F7" w:themeColor="background1"/>
                                      <w:kern w:val="24"/>
                                      <w:sz w:val="22"/>
                                      <w:szCs w:val="22"/>
                                    </w:rPr>
                                    <w:t>AEG Universal Measure List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75346370" name="Straight Arrow Connector 1875346370"/>
                            <wps:cNvCnPr>
                              <a:cxnSpLocks/>
                            </wps:cNvCnPr>
                            <wps:spPr>
                              <a:xfrm flipV="1">
                                <a:off x="1801697" y="862961"/>
                                <a:ext cx="1406567" cy="1"/>
                              </a:xfrm>
                              <a:prstGeom prst="straightConnector1">
                                <a:avLst/>
                              </a:prstGeom>
                              <a:noFill/>
                              <a:ln w="28575" cap="flat" cmpd="sng" algn="ctr">
                                <a:solidFill>
                                  <a:schemeClr val="tx2"/>
                                </a:solidFill>
                                <a:prstDash val="dash"/>
                                <a:miter lim="800000"/>
                                <a:tailEnd type="arrow"/>
                              </a:ln>
                              <a:effectLst/>
                            </wps:spPr>
                            <wps:bodyPr/>
                          </wps:wsp>
                          <wps:wsp>
                            <wps:cNvPr id="64740229" name="Rectangle 64740229"/>
                            <wps:cNvSpPr/>
                            <wps:spPr>
                              <a:xfrm>
                                <a:off x="0" y="645014"/>
                                <a:ext cx="1801698" cy="435894"/>
                              </a:xfrm>
                              <a:prstGeom prst="rect">
                                <a:avLst/>
                              </a:prstGeom>
                              <a:solidFill>
                                <a:sysClr val="window" lastClr="FFFFFF"/>
                              </a:solidFill>
                              <a:ln w="12700" cap="flat" cmpd="sng" algn="ctr">
                                <a:solidFill>
                                  <a:srgbClr val="1C1D4D"/>
                                </a:solidFill>
                                <a:prstDash val="solid"/>
                                <a:miter lim="800000"/>
                              </a:ln>
                              <a:effectLst/>
                            </wps:spPr>
                            <wps:txbx>
                              <w:txbxContent>
                                <w:p w14:paraId="1B554CAA" w14:textId="77777777" w:rsidR="002E7E7D" w:rsidRPr="00E95D31" w:rsidRDefault="002E7E7D" w:rsidP="002E7E7D">
                                  <w:pPr>
                                    <w:pStyle w:val="NormalWeb"/>
                                    <w:spacing w:after="0" w:afterAutospacing="0"/>
                                    <w:jc w:val="center"/>
                                    <w:rPr>
                                      <w:rFonts w:ascii="Aptos" w:hAnsi="Aptos" w:cs="Calibri Light"/>
                                      <w:sz w:val="18"/>
                                      <w:szCs w:val="22"/>
                                    </w:rPr>
                                  </w:pPr>
                                  <w:r>
                                    <w:rPr>
                                      <w:rFonts w:ascii="Aptos" w:hAnsi="Aptos" w:cs="Calibri Light"/>
                                      <w:color w:val="19172B" w:themeColor="text1"/>
                                      <w:kern w:val="24"/>
                                      <w:sz w:val="18"/>
                                      <w:szCs w:val="22"/>
                                    </w:rPr>
                                    <w:t>Avista</w:t>
                                  </w:r>
                                  <w:r w:rsidRPr="00E95D31">
                                    <w:rPr>
                                      <w:rFonts w:ascii="Aptos" w:hAnsi="Aptos" w:cs="Calibri Light"/>
                                      <w:color w:val="19172B" w:themeColor="text1"/>
                                      <w:kern w:val="24"/>
                                      <w:sz w:val="18"/>
                                      <w:szCs w:val="22"/>
                                    </w:rPr>
                                    <w:t xml:space="preserve"> Review / Feedback</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9586507" name="Rectangle: Rounded Corners 369586507"/>
                            <wps:cNvSpPr/>
                            <wps:spPr>
                              <a:xfrm>
                                <a:off x="3214768" y="1353668"/>
                                <a:ext cx="1477700" cy="760035"/>
                              </a:xfrm>
                              <a:prstGeom prst="roundRect">
                                <a:avLst/>
                              </a:prstGeom>
                              <a:solidFill>
                                <a:schemeClr val="accent2"/>
                              </a:solidFill>
                              <a:ln w="12700" cap="flat" cmpd="sng" algn="ctr">
                                <a:solidFill>
                                  <a:srgbClr val="1C1D4D"/>
                                </a:solidFill>
                                <a:prstDash val="solid"/>
                                <a:miter lim="800000"/>
                              </a:ln>
                              <a:effectLst/>
                            </wps:spPr>
                            <wps:txbx>
                              <w:txbxContent>
                                <w:p w14:paraId="326AC62A" w14:textId="77777777" w:rsidR="002E7E7D" w:rsidRPr="0044147B" w:rsidRDefault="002E7E7D" w:rsidP="002E7E7D">
                                  <w:pPr>
                                    <w:pStyle w:val="NormalWeb"/>
                                    <w:spacing w:after="0" w:afterAutospacing="0"/>
                                    <w:jc w:val="center"/>
                                    <w:rPr>
                                      <w:rFonts w:ascii="Aptos" w:hAnsi="Aptos" w:cs="Calibri Light"/>
                                      <w:color w:val="F6F6F7" w:themeColor="background1"/>
                                      <w:sz w:val="16"/>
                                      <w:szCs w:val="20"/>
                                    </w:rPr>
                                  </w:pPr>
                                  <w:r w:rsidRPr="0044147B">
                                    <w:rPr>
                                      <w:rFonts w:ascii="Aptos" w:hAnsi="Aptos" w:cs="Calibri Light"/>
                                      <w:color w:val="F6F6F7" w:themeColor="background1"/>
                                      <w:kern w:val="24"/>
                                      <w:sz w:val="22"/>
                                      <w:szCs w:val="22"/>
                                    </w:rPr>
                                    <w:t xml:space="preserve">Measure </w:t>
                                  </w:r>
                                  <w:r w:rsidRPr="0044147B">
                                    <w:rPr>
                                      <w:rFonts w:ascii="Aptos" w:hAnsi="Aptos" w:cs="Calibri Light"/>
                                      <w:color w:val="F6F6F7" w:themeColor="background1"/>
                                      <w:kern w:val="24"/>
                                      <w:sz w:val="22"/>
                                      <w:szCs w:val="22"/>
                                    </w:rPr>
                                    <w:br/>
                                    <w:t>Descriptions</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18265281" name="Rectangle: Rounded Corners 718265281"/>
                            <wps:cNvSpPr/>
                            <wps:spPr>
                              <a:xfrm>
                                <a:off x="2161454" y="2256245"/>
                                <a:ext cx="3584328" cy="1433635"/>
                              </a:xfrm>
                              <a:prstGeom prst="roundRect">
                                <a:avLst/>
                              </a:prstGeom>
                              <a:solidFill>
                                <a:schemeClr val="accent3"/>
                              </a:solidFill>
                              <a:ln w="12700" cap="flat" cmpd="sng" algn="ctr">
                                <a:solidFill>
                                  <a:srgbClr val="1C1D4D"/>
                                </a:solidFill>
                                <a:prstDash val="solid"/>
                                <a:miter lim="800000"/>
                              </a:ln>
                              <a:effectLst/>
                            </wps:spPr>
                            <wps:txbx>
                              <w:txbxContent>
                                <w:p w14:paraId="4540F9C5" w14:textId="77777777" w:rsidR="002E7E7D" w:rsidRPr="00E95D31" w:rsidRDefault="002E7E7D" w:rsidP="002E7E7D">
                                  <w:pPr>
                                    <w:pStyle w:val="NormalWeb"/>
                                    <w:jc w:val="center"/>
                                    <w:rPr>
                                      <w:rFonts w:ascii="Aptos" w:hAnsi="Aptos" w:cs="Calibri Light"/>
                                      <w:color w:val="F6F6F7" w:themeColor="background1"/>
                                      <w:sz w:val="22"/>
                                    </w:rPr>
                                  </w:pPr>
                                  <w:r w:rsidRPr="00E95D31">
                                    <w:rPr>
                                      <w:rFonts w:ascii="Aptos" w:hAnsi="Aptos" w:cs="Calibri Light"/>
                                      <w:color w:val="F6F6F7" w:themeColor="background1"/>
                                      <w:kern w:val="24"/>
                                      <w:szCs w:val="28"/>
                                    </w:rPr>
                                    <w:t>Measure characterization</w:t>
                                  </w:r>
                                </w:p>
                              </w:txbxContent>
                            </wps:txbx>
                            <wps:bodyPr rot="0" spcFirstLastPara="0" vert="horz" wrap="square" lIns="0" tIns="0" rIns="0" bIns="0" numCol="1" spcCol="0" rtlCol="0" fromWordArt="0" anchor="t" anchorCtr="0" forceAA="0" compatLnSpc="1">
                              <a:prstTxWarp prst="textNoShape">
                                <a:avLst/>
                              </a:prstTxWarp>
                              <a:noAutofit/>
                            </wps:bodyPr>
                          </wps:wsp>
                          <wps:wsp>
                            <wps:cNvPr id="316306276" name="Rectangle 316306276"/>
                            <wps:cNvSpPr/>
                            <wps:spPr>
                              <a:xfrm>
                                <a:off x="4042655" y="2616763"/>
                                <a:ext cx="1426508" cy="442762"/>
                              </a:xfrm>
                              <a:prstGeom prst="rect">
                                <a:avLst/>
                              </a:prstGeom>
                              <a:solidFill>
                                <a:sysClr val="window" lastClr="FFFFFF"/>
                              </a:solidFill>
                              <a:ln w="12700" cap="flat" cmpd="sng" algn="ctr">
                                <a:solidFill>
                                  <a:srgbClr val="1C1D4D"/>
                                </a:solidFill>
                                <a:prstDash val="solid"/>
                                <a:miter lim="800000"/>
                              </a:ln>
                              <a:effectLst/>
                            </wps:spPr>
                            <wps:txbx>
                              <w:txbxContent>
                                <w:p w14:paraId="64B53175" w14:textId="77777777" w:rsidR="002E7E7D" w:rsidRPr="002E7E7D" w:rsidRDefault="002E7E7D" w:rsidP="002E7E7D">
                                  <w:pPr>
                                    <w:pStyle w:val="NormalWeb"/>
                                    <w:spacing w:before="0" w:beforeAutospacing="0" w:after="0" w:afterAutospacing="0"/>
                                    <w:jc w:val="center"/>
                                    <w:rPr>
                                      <w:rFonts w:ascii="Aptos" w:hAnsi="Aptos" w:cs="Calibri Light"/>
                                      <w:sz w:val="20"/>
                                      <w:szCs w:val="20"/>
                                    </w:rPr>
                                  </w:pPr>
                                  <w:r w:rsidRPr="002E7E7D">
                                    <w:rPr>
                                      <w:rFonts w:ascii="Aptos" w:hAnsi="Aptos" w:cs="Calibri Light"/>
                                      <w:color w:val="19172B" w:themeColor="text1"/>
                                      <w:kern w:val="24"/>
                                      <w:sz w:val="20"/>
                                      <w:szCs w:val="20"/>
                                    </w:rPr>
                                    <w:t>Costs and NEIs</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6518286" name="Rectangle 386518286"/>
                            <wps:cNvSpPr/>
                            <wps:spPr>
                              <a:xfrm>
                                <a:off x="2350425" y="3155777"/>
                                <a:ext cx="1426508" cy="442762"/>
                              </a:xfrm>
                              <a:prstGeom prst="rect">
                                <a:avLst/>
                              </a:prstGeom>
                              <a:solidFill>
                                <a:sysClr val="window" lastClr="FFFFFF"/>
                              </a:solidFill>
                              <a:ln w="12700" cap="flat" cmpd="sng" algn="ctr">
                                <a:solidFill>
                                  <a:srgbClr val="1C1D4D"/>
                                </a:solidFill>
                                <a:prstDash val="solid"/>
                                <a:miter lim="800000"/>
                              </a:ln>
                              <a:effectLst/>
                            </wps:spPr>
                            <wps:txbx>
                              <w:txbxContent>
                                <w:p w14:paraId="16373E8E" w14:textId="77777777" w:rsidR="002E7E7D" w:rsidRPr="002E7E7D" w:rsidRDefault="002E7E7D" w:rsidP="002E7E7D">
                                  <w:pPr>
                                    <w:pStyle w:val="NormalWeb"/>
                                    <w:spacing w:after="0" w:afterAutospacing="0"/>
                                    <w:jc w:val="center"/>
                                    <w:rPr>
                                      <w:rFonts w:ascii="Aptos" w:hAnsi="Aptos" w:cs="Calibri Light"/>
                                      <w:sz w:val="20"/>
                                      <w:szCs w:val="20"/>
                                    </w:rPr>
                                  </w:pPr>
                                  <w:r w:rsidRPr="002E7E7D">
                                    <w:rPr>
                                      <w:rFonts w:ascii="Aptos" w:hAnsi="Aptos" w:cs="Calibri Light"/>
                                      <w:color w:val="19172B" w:themeColor="text1"/>
                                      <w:kern w:val="24"/>
                                      <w:sz w:val="20"/>
                                      <w:szCs w:val="20"/>
                                    </w:rPr>
                                    <w:t>Lifetime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43335211" name="Rectangle 1843335211"/>
                            <wps:cNvSpPr/>
                            <wps:spPr>
                              <a:xfrm>
                                <a:off x="4042655" y="3144315"/>
                                <a:ext cx="1426508" cy="454224"/>
                              </a:xfrm>
                              <a:prstGeom prst="rect">
                                <a:avLst/>
                              </a:prstGeom>
                              <a:solidFill>
                                <a:sysClr val="window" lastClr="FFFFFF"/>
                              </a:solidFill>
                              <a:ln w="12700" cap="flat" cmpd="sng" algn="ctr">
                                <a:solidFill>
                                  <a:srgbClr val="1C1D4D"/>
                                </a:solidFill>
                                <a:prstDash val="solid"/>
                                <a:miter lim="800000"/>
                              </a:ln>
                              <a:effectLst/>
                            </wps:spPr>
                            <wps:txbx>
                              <w:txbxContent>
                                <w:p w14:paraId="60679A63" w14:textId="77777777" w:rsidR="002E7E7D" w:rsidRPr="002E7E7D" w:rsidRDefault="002E7E7D" w:rsidP="002E7E7D">
                                  <w:pPr>
                                    <w:pStyle w:val="NormalWeb"/>
                                    <w:spacing w:before="0" w:beforeAutospacing="0" w:after="0" w:afterAutospacing="0" w:line="200" w:lineRule="exact"/>
                                    <w:jc w:val="center"/>
                                    <w:rPr>
                                      <w:rFonts w:ascii="Aptos" w:hAnsi="Aptos" w:cs="Calibri Light"/>
                                      <w:color w:val="19172B" w:themeColor="text1"/>
                                      <w:kern w:val="24"/>
                                      <w:sz w:val="20"/>
                                      <w:szCs w:val="20"/>
                                    </w:rPr>
                                  </w:pPr>
                                  <w:r w:rsidRPr="002E7E7D">
                                    <w:rPr>
                                      <w:rFonts w:ascii="Aptos" w:hAnsi="Aptos" w:cs="Calibri Light"/>
                                      <w:color w:val="19172B" w:themeColor="text1"/>
                                      <w:kern w:val="24"/>
                                      <w:sz w:val="20"/>
                                      <w:szCs w:val="20"/>
                                    </w:rPr>
                                    <w:t>Saturation &amp;</w:t>
                                  </w:r>
                                </w:p>
                                <w:p w14:paraId="6B37BC35" w14:textId="71CF68E1" w:rsidR="00716EA0" w:rsidRDefault="002E7E7D" w:rsidP="000E7F0E">
                                  <w:pPr>
                                    <w:pStyle w:val="NormalWeb"/>
                                    <w:spacing w:before="0" w:beforeAutospacing="0" w:after="0" w:afterAutospacing="0" w:line="200" w:lineRule="exact"/>
                                    <w:jc w:val="center"/>
                                    <w:rPr>
                                      <w:rFonts w:ascii="Aptos" w:hAnsi="Aptos" w:cs="Calibri Light"/>
                                      <w:kern w:val="24"/>
                                      <w:sz w:val="20"/>
                                      <w:szCs w:val="20"/>
                                    </w:rPr>
                                  </w:pPr>
                                  <w:r w:rsidRPr="002E7E7D">
                                    <w:rPr>
                                      <w:rFonts w:ascii="Aptos" w:hAnsi="Aptos" w:cs="Calibri Light"/>
                                      <w:color w:val="19172B" w:themeColor="text1"/>
                                      <w:kern w:val="24"/>
                                      <w:sz w:val="20"/>
                                      <w:szCs w:val="20"/>
                                    </w:rPr>
                                    <w:t>Applicability</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50902216" name="Rectangle 1950902216"/>
                            <wps:cNvSpPr/>
                            <wps:spPr>
                              <a:xfrm>
                                <a:off x="0" y="1274498"/>
                                <a:ext cx="1801698" cy="914916"/>
                              </a:xfrm>
                              <a:prstGeom prst="rect">
                                <a:avLst/>
                              </a:prstGeom>
                              <a:solidFill>
                                <a:sysClr val="window" lastClr="FFFFFF"/>
                              </a:solidFill>
                              <a:ln w="12700" cap="flat" cmpd="sng" algn="ctr">
                                <a:solidFill>
                                  <a:srgbClr val="1C1D4D"/>
                                </a:solidFill>
                                <a:prstDash val="solid"/>
                                <a:miter lim="800000"/>
                              </a:ln>
                              <a:effectLst/>
                            </wps:spPr>
                            <wps:txbx>
                              <w:txbxContent>
                                <w:p w14:paraId="5588BA7F" w14:textId="77777777" w:rsidR="0044147B" w:rsidRDefault="002E7E7D" w:rsidP="0044147B">
                                  <w:pPr>
                                    <w:pStyle w:val="NormalWeb"/>
                                    <w:spacing w:before="0" w:beforeAutospacing="0" w:after="0" w:afterAutospacing="0"/>
                                    <w:jc w:val="center"/>
                                    <w:rPr>
                                      <w:rFonts w:ascii="Aptos" w:hAnsi="Aptos" w:cs="Calibri Light"/>
                                      <w:color w:val="19172B" w:themeColor="text1"/>
                                      <w:kern w:val="24"/>
                                      <w:sz w:val="18"/>
                                      <w:szCs w:val="22"/>
                                    </w:rPr>
                                  </w:pPr>
                                  <w:r>
                                    <w:rPr>
                                      <w:rFonts w:ascii="Aptos" w:hAnsi="Aptos" w:cs="Calibri Light"/>
                                      <w:color w:val="19172B" w:themeColor="text1"/>
                                      <w:kern w:val="24"/>
                                      <w:sz w:val="18"/>
                                      <w:szCs w:val="22"/>
                                    </w:rPr>
                                    <w:t>Avista</w:t>
                                  </w:r>
                                  <w:r w:rsidRPr="00E95D31">
                                    <w:rPr>
                                      <w:rFonts w:ascii="Aptos" w:hAnsi="Aptos" w:cs="Calibri Light"/>
                                      <w:color w:val="19172B" w:themeColor="text1"/>
                                      <w:kern w:val="24"/>
                                      <w:sz w:val="18"/>
                                      <w:szCs w:val="22"/>
                                    </w:rPr>
                                    <w:t xml:space="preserve"> Measure Data</w:t>
                                  </w:r>
                                </w:p>
                                <w:p w14:paraId="2549817C" w14:textId="063C6203" w:rsidR="002E7E7D" w:rsidRPr="00E95D31" w:rsidRDefault="002E7E7D" w:rsidP="0044147B">
                                  <w:pPr>
                                    <w:pStyle w:val="NormalWeb"/>
                                    <w:spacing w:before="0" w:beforeAutospacing="0" w:after="0" w:afterAutospacing="0"/>
                                    <w:jc w:val="center"/>
                                    <w:rPr>
                                      <w:rFonts w:ascii="Aptos" w:hAnsi="Aptos" w:cs="Calibri Light"/>
                                      <w:sz w:val="18"/>
                                      <w:szCs w:val="22"/>
                                    </w:rPr>
                                  </w:pPr>
                                  <w:r w:rsidRPr="00E95D31">
                                    <w:rPr>
                                      <w:rFonts w:ascii="Aptos" w:hAnsi="Aptos" w:cs="Calibri Light"/>
                                      <w:color w:val="19172B" w:themeColor="text1"/>
                                      <w:kern w:val="24"/>
                                      <w:sz w:val="18"/>
                                      <w:szCs w:val="22"/>
                                    </w:rPr>
                                    <w:t xml:space="preserve"> </w:t>
                                  </w:r>
                                </w:p>
                                <w:p w14:paraId="0FF92574" w14:textId="77777777" w:rsidR="002E7E7D" w:rsidRPr="00E95D31" w:rsidRDefault="002E7E7D" w:rsidP="0044147B">
                                  <w:pPr>
                                    <w:pStyle w:val="NormalWeb"/>
                                    <w:spacing w:before="0" w:beforeAutospacing="0" w:after="0" w:afterAutospacing="0"/>
                                    <w:jc w:val="center"/>
                                    <w:rPr>
                                      <w:rFonts w:ascii="Aptos" w:hAnsi="Aptos" w:cs="Calibri Light"/>
                                      <w:sz w:val="16"/>
                                      <w:szCs w:val="18"/>
                                    </w:rPr>
                                  </w:pPr>
                                  <w:r w:rsidRPr="00E95D31">
                                    <w:rPr>
                                      <w:rFonts w:ascii="Aptos" w:hAnsi="Aptos" w:cs="Calibri Light"/>
                                      <w:color w:val="19172B" w:themeColor="text1"/>
                                      <w:kern w:val="24"/>
                                      <w:sz w:val="18"/>
                                    </w:rPr>
                                    <w:t>(Program Data, Evaluated Savings, etc.)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60887209" name="Rectangle 1660887209"/>
                            <wps:cNvSpPr/>
                            <wps:spPr>
                              <a:xfrm>
                                <a:off x="0" y="2320306"/>
                                <a:ext cx="1801698" cy="696006"/>
                              </a:xfrm>
                              <a:prstGeom prst="rect">
                                <a:avLst/>
                              </a:prstGeom>
                              <a:solidFill>
                                <a:sysClr val="window" lastClr="FFFFFF"/>
                              </a:solidFill>
                              <a:ln w="12700" cap="flat" cmpd="sng" algn="ctr">
                                <a:solidFill>
                                  <a:srgbClr val="1C1D4D"/>
                                </a:solidFill>
                                <a:prstDash val="solid"/>
                                <a:miter lim="800000"/>
                              </a:ln>
                              <a:effectLst/>
                            </wps:spPr>
                            <wps:txbx>
                              <w:txbxContent>
                                <w:p w14:paraId="641E82FB" w14:textId="77777777" w:rsidR="002E7E7D" w:rsidRPr="00E95D31" w:rsidRDefault="002E7E7D" w:rsidP="0044147B">
                                  <w:pPr>
                                    <w:pStyle w:val="NormalWeb"/>
                                    <w:spacing w:before="0" w:beforeAutospacing="0" w:after="0" w:afterAutospacing="0"/>
                                    <w:jc w:val="center"/>
                                    <w:rPr>
                                      <w:rFonts w:ascii="Aptos" w:hAnsi="Aptos" w:cs="Calibri Light"/>
                                      <w:sz w:val="18"/>
                                      <w:szCs w:val="22"/>
                                    </w:rPr>
                                  </w:pPr>
                                  <w:r w:rsidRPr="00E95D31">
                                    <w:rPr>
                                      <w:rFonts w:ascii="Aptos" w:hAnsi="Aptos" w:cs="Calibri Light"/>
                                      <w:color w:val="19172B" w:themeColor="text1"/>
                                      <w:kern w:val="24"/>
                                      <w:sz w:val="18"/>
                                      <w:szCs w:val="22"/>
                                    </w:rPr>
                                    <w:t>AEG Measure Data Library</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8636415" name="Rectangle 858636415"/>
                            <wps:cNvSpPr/>
                            <wps:spPr>
                              <a:xfrm>
                                <a:off x="0" y="3199382"/>
                                <a:ext cx="1801698" cy="435894"/>
                              </a:xfrm>
                              <a:prstGeom prst="rect">
                                <a:avLst/>
                              </a:prstGeom>
                              <a:solidFill>
                                <a:sysClr val="window" lastClr="FFFFFF"/>
                              </a:solidFill>
                              <a:ln w="12700" cap="flat" cmpd="sng" algn="ctr">
                                <a:solidFill>
                                  <a:srgbClr val="1C1D4D"/>
                                </a:solidFill>
                                <a:prstDash val="solid"/>
                                <a:miter lim="800000"/>
                              </a:ln>
                              <a:effectLst/>
                            </wps:spPr>
                            <wps:txbx>
                              <w:txbxContent>
                                <w:p w14:paraId="0193C359" w14:textId="77777777" w:rsidR="002E7E7D" w:rsidRPr="00E95D31" w:rsidRDefault="002E7E7D" w:rsidP="002E7E7D">
                                  <w:pPr>
                                    <w:pStyle w:val="NormalWeb"/>
                                    <w:spacing w:after="0" w:afterAutospacing="0"/>
                                    <w:jc w:val="center"/>
                                    <w:rPr>
                                      <w:rFonts w:ascii="Aptos" w:hAnsi="Aptos" w:cs="Calibri Light"/>
                                      <w:sz w:val="18"/>
                                      <w:szCs w:val="22"/>
                                    </w:rPr>
                                  </w:pPr>
                                  <w:r w:rsidRPr="00E95D31">
                                    <w:rPr>
                                      <w:rFonts w:ascii="Aptos" w:hAnsi="Aptos" w:cs="Calibri Light"/>
                                      <w:color w:val="19172B" w:themeColor="text1"/>
                                      <w:kern w:val="24"/>
                                      <w:sz w:val="18"/>
                                      <w:szCs w:val="22"/>
                                    </w:rPr>
                                    <w:t>Building Simulations</w:t>
                                  </w:r>
                                </w:p>
                              </w:txbxContent>
                            </wps:txbx>
                            <wps:bodyPr rot="0" spcFirstLastPara="0" vert="horz" wrap="square" lIns="0" tIns="0" rIns="0" bIns="0" numCol="1" spcCol="0" rtlCol="0" fromWordArt="0" anchor="ctr" anchorCtr="0" forceAA="0" compatLnSpc="1">
                              <a:prstTxWarp prst="textNoShape">
                                <a:avLst/>
                              </a:prstTxWarp>
                              <a:noAutofit/>
                            </wps:bodyPr>
                          </wps:wsp>
                        </wpg:grpSp>
                        <wps:wsp>
                          <wps:cNvPr id="378516196" name="TextBox 39"/>
                          <wps:cNvSpPr txBox="1"/>
                          <wps:spPr>
                            <a:xfrm>
                              <a:off x="455813" y="0"/>
                              <a:ext cx="880110" cy="476745"/>
                            </a:xfrm>
                            <a:prstGeom prst="rect">
                              <a:avLst/>
                            </a:prstGeom>
                            <a:noFill/>
                          </wps:spPr>
                          <wps:txbx>
                            <w:txbxContent>
                              <w:p w14:paraId="1CB9D532" w14:textId="77777777" w:rsidR="002E7E7D" w:rsidRPr="00E95D31" w:rsidRDefault="002E7E7D" w:rsidP="002E7E7D">
                                <w:pPr>
                                  <w:pStyle w:val="NormalWeb"/>
                                  <w:jc w:val="center"/>
                                  <w:rPr>
                                    <w:rFonts w:ascii="Aptos" w:hAnsi="Aptos" w:cs="Calibri Light"/>
                                  </w:rPr>
                                </w:pPr>
                                <w:r w:rsidRPr="00E95D31">
                                  <w:rPr>
                                    <w:rFonts w:ascii="Aptos" w:hAnsi="Aptos" w:cs="Calibri Light"/>
                                    <w:i/>
                                    <w:color w:val="19172B" w:themeColor="text1"/>
                                    <w:kern w:val="24"/>
                                    <w:sz w:val="28"/>
                                    <w:szCs w:val="36"/>
                                  </w:rPr>
                                  <w:t>Inputs</w:t>
                                </w:r>
                              </w:p>
                            </w:txbxContent>
                          </wps:txbx>
                          <wps:bodyPr wrap="square" rtlCol="0">
                            <a:noAutofit/>
                          </wps:bodyPr>
                        </wps:wsp>
                        <wps:wsp>
                          <wps:cNvPr id="1248105331" name="TextBox 40"/>
                          <wps:cNvSpPr txBox="1"/>
                          <wps:spPr>
                            <a:xfrm>
                              <a:off x="3402512" y="0"/>
                              <a:ext cx="1059180" cy="408019"/>
                            </a:xfrm>
                            <a:prstGeom prst="rect">
                              <a:avLst/>
                            </a:prstGeom>
                            <a:noFill/>
                          </wps:spPr>
                          <wps:txbx>
                            <w:txbxContent>
                              <w:p w14:paraId="2034AAEC" w14:textId="77777777" w:rsidR="002E7E7D" w:rsidRPr="00E95D31" w:rsidRDefault="002E7E7D" w:rsidP="002E7E7D">
                                <w:pPr>
                                  <w:pStyle w:val="NormalWeb"/>
                                  <w:jc w:val="center"/>
                                  <w:rPr>
                                    <w:rFonts w:ascii="Aptos" w:hAnsi="Aptos" w:cs="Calibri Light"/>
                                  </w:rPr>
                                </w:pPr>
                                <w:r w:rsidRPr="00E95D31">
                                  <w:rPr>
                                    <w:rFonts w:ascii="Aptos" w:hAnsi="Aptos" w:cs="Calibri Light"/>
                                    <w:i/>
                                    <w:color w:val="19172B" w:themeColor="text1"/>
                                    <w:kern w:val="24"/>
                                    <w:sz w:val="28"/>
                                    <w:szCs w:val="36"/>
                                  </w:rPr>
                                  <w:t>Process</w:t>
                                </w:r>
                              </w:p>
                            </w:txbxContent>
                          </wps:txbx>
                          <wps:bodyPr wrap="square" rtlCol="0">
                            <a:noAutofit/>
                          </wps:bodyPr>
                        </wps:wsp>
                      </wpg:grpSp>
                      <wps:wsp>
                        <wps:cNvPr id="1586266365" name="Arrow: Curved Left 1586266365"/>
                        <wps:cNvSpPr/>
                        <wps:spPr>
                          <a:xfrm>
                            <a:off x="4740960" y="718995"/>
                            <a:ext cx="558553" cy="997007"/>
                          </a:xfrm>
                          <a:prstGeom prst="curvedLeftArrow">
                            <a:avLst/>
                          </a:prstGeom>
                          <a:solidFill>
                            <a:schemeClr val="bg2"/>
                          </a:solidFill>
                          <a:ln w="1270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98747199" name="Straight Arrow Connector 1498747199"/>
                        <wps:cNvCnPr>
                          <a:cxnSpLocks/>
                        </wps:cNvCnPr>
                        <wps:spPr>
                          <a:xfrm flipV="1">
                            <a:off x="1792045" y="1543038"/>
                            <a:ext cx="1399032" cy="1"/>
                          </a:xfrm>
                          <a:prstGeom prst="straightConnector1">
                            <a:avLst/>
                          </a:prstGeom>
                          <a:noFill/>
                          <a:ln w="28575" cap="flat" cmpd="sng" algn="ctr">
                            <a:solidFill>
                              <a:schemeClr val="tx2"/>
                            </a:solidFill>
                            <a:prstDash val="dash"/>
                            <a:miter lim="800000"/>
                            <a:tailEnd type="arrow"/>
                          </a:ln>
                          <a:effectLst/>
                        </wps:spPr>
                        <wps:bodyPr/>
                      </wps:wsp>
                      <wps:wsp>
                        <wps:cNvPr id="374658453" name="Straight Arrow Connector 374658453"/>
                        <wps:cNvCnPr>
                          <a:cxnSpLocks/>
                        </wps:cNvCnPr>
                        <wps:spPr>
                          <a:xfrm>
                            <a:off x="1792046" y="1542034"/>
                            <a:ext cx="674928" cy="504893"/>
                          </a:xfrm>
                          <a:prstGeom prst="straightConnector1">
                            <a:avLst/>
                          </a:prstGeom>
                          <a:noFill/>
                          <a:ln w="28575" cap="flat" cmpd="sng" algn="ctr">
                            <a:solidFill>
                              <a:schemeClr val="tx2"/>
                            </a:solidFill>
                            <a:prstDash val="dash"/>
                            <a:miter lim="800000"/>
                            <a:tailEnd type="arrow"/>
                          </a:ln>
                          <a:effectLst/>
                        </wps:spPr>
                        <wps:bodyPr/>
                      </wps:wsp>
                      <wps:wsp>
                        <wps:cNvPr id="1683985826" name="Straight Arrow Connector 1683985826"/>
                        <wps:cNvCnPr>
                          <a:cxnSpLocks/>
                        </wps:cNvCnPr>
                        <wps:spPr>
                          <a:xfrm>
                            <a:off x="1792046" y="2420447"/>
                            <a:ext cx="357827" cy="0"/>
                          </a:xfrm>
                          <a:prstGeom prst="straightConnector1">
                            <a:avLst/>
                          </a:prstGeom>
                          <a:noFill/>
                          <a:ln w="28575" cap="flat" cmpd="sng" algn="ctr">
                            <a:solidFill>
                              <a:schemeClr val="tx2"/>
                            </a:solidFill>
                            <a:prstDash val="dash"/>
                            <a:miter lim="800000"/>
                            <a:tailEnd type="arrow"/>
                          </a:ln>
                          <a:effectLst/>
                        </wps:spPr>
                        <wps:bodyPr/>
                      </wps:wsp>
                      <wps:wsp>
                        <wps:cNvPr id="652081188" name="Straight Arrow Connector 652081188"/>
                        <wps:cNvCnPr>
                          <a:cxnSpLocks/>
                        </wps:cNvCnPr>
                        <wps:spPr>
                          <a:xfrm flipV="1">
                            <a:off x="1792046" y="3099890"/>
                            <a:ext cx="357827" cy="1"/>
                          </a:xfrm>
                          <a:prstGeom prst="straightConnector1">
                            <a:avLst/>
                          </a:prstGeom>
                          <a:noFill/>
                          <a:ln w="28575" cap="flat" cmpd="sng" algn="ctr">
                            <a:solidFill>
                              <a:schemeClr val="tx2"/>
                            </a:solidFill>
                            <a:prstDash val="dash"/>
                            <a:miter lim="800000"/>
                            <a:tailEnd type="arrow"/>
                          </a:ln>
                          <a:effectLst/>
                        </wps:spPr>
                        <wps:bodyPr/>
                      </wps:wsp>
                      <wps:wsp>
                        <wps:cNvPr id="1117225364" name="Arrow: Down 1117225364"/>
                        <wps:cNvSpPr/>
                        <wps:spPr>
                          <a:xfrm>
                            <a:off x="3756021" y="1009633"/>
                            <a:ext cx="352829" cy="324245"/>
                          </a:xfrm>
                          <a:prstGeom prst="downArrow">
                            <a:avLst/>
                          </a:prstGeom>
                          <a:solidFill>
                            <a:srgbClr val="ED7D31">
                              <a:lumMod val="40000"/>
                              <a:lumOff val="60000"/>
                            </a:srgbClr>
                          </a:solidFill>
                          <a:ln w="1270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50128787" name="Arrow: Down 250128787"/>
                        <wps:cNvSpPr/>
                        <wps:spPr>
                          <a:xfrm>
                            <a:off x="3756021" y="1816038"/>
                            <a:ext cx="352829" cy="324245"/>
                          </a:xfrm>
                          <a:prstGeom prst="downArrow">
                            <a:avLst/>
                          </a:prstGeom>
                          <a:solidFill>
                            <a:srgbClr val="ED7D31">
                              <a:lumMod val="40000"/>
                              <a:lumOff val="60000"/>
                            </a:srgbClr>
                          </a:solidFill>
                          <a:ln w="1270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92045D" id="Group 253755265" o:spid="_x0000_s1029" style="width:359.85pt;height:240.75pt;mso-position-horizontal-relative:char;mso-position-vertical-relative:line" coordsize="57149,33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">
                <v:group id="Group 562001458" o:spid="_x0000_s1030" style="position:absolute;width:57149;height:33479" coordsize="57149,36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">
                  <v:group id="Group 1624883655" o:spid="_x0000_s1031" style="position:absolute;top:4525;width:57149;height:32373" coordorigin=",4525" coordsize="57457,3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">
                    <v:roundrect id="Rectangle: Rounded Corners 1028261228" o:spid="_x0000_s1032" style="position:absolute;left:32147;top:4525;width:14777;height:73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" fillcolor="#f26549 [3204]" strokecolor="#1c1d4d" strokeweight="1pt">
                      <v:stroke joinstyle="miter"/>
                      <v:textbox inset="0,0,0,0">
                        <w:txbxContent>
                          <w:p w14:paraId="282B2C75" w14:textId="77777777" w:rsidR="002E7E7D" w:rsidRPr="0044147B" w:rsidRDefault="002E7E7D" w:rsidP="002E7E7D">
                            <w:pPr>
                              <w:pStyle w:val="NormalWeb"/>
                              <w:spacing w:after="0" w:afterAutospacing="0"/>
                              <w:jc w:val="center"/>
                              <w:rPr>
                                <w:rFonts w:ascii="Aptos" w:hAnsi="Aptos" w:cs="Calibri Light"/>
                                <w:color w:val="F6F6F7" w:themeColor="background1"/>
                                <w:sz w:val="16"/>
                                <w:szCs w:val="20"/>
                              </w:rPr>
                            </w:pPr>
                            <w:r w:rsidRPr="0044147B">
                              <w:rPr>
                                <w:rFonts w:ascii="Aptos" w:hAnsi="Aptos" w:cs="Calibri Light"/>
                                <w:color w:val="F6F6F7" w:themeColor="background1"/>
                                <w:kern w:val="24"/>
                                <w:sz w:val="22"/>
                                <w:szCs w:val="22"/>
                              </w:rPr>
                              <w:t>AEG Universal Measure List</w:t>
                            </w:r>
                          </w:p>
                        </w:txbxContent>
                      </v:textbox>
                    </v:roundrect>
                    <v:shapetype id="_x0000_t32" coordsize="21600,21600" o:spt="32" o:oned="t" path="m,l21600,21600e" filled="f">
                      <v:path arrowok="t" fillok="f" o:connecttype="none"/>
                      <o:lock v:ext="edit" shapetype="t"/>
                    </v:shapetype>
                    <v:shape id="Straight Arrow Connector 1875346370" o:spid="_x0000_s1033" type="#_x0000_t32" style="position:absolute;left:18016;top:8629;width:1406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" strokecolor="#444c5e [3215]" strokeweight="2.25pt">
                      <v:stroke dashstyle="dash" endarrow="open" joinstyle="miter"/>
                      <o:lock v:ext="edit" shapetype="f"/>
                    </v:shape>
                    <v:rect id="Rectangle 64740229" o:spid="_x0000_s1034" style="position:absolute;top:6450;width:18016;height:4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" fillcolor="window" strokecolor="#1c1d4d" strokeweight="1pt">
                      <v:textbox inset="0,0,0,0">
                        <w:txbxContent>
                          <w:p w14:paraId="1B554CAA" w14:textId="77777777" w:rsidR="002E7E7D" w:rsidRPr="00E95D31" w:rsidRDefault="002E7E7D" w:rsidP="002E7E7D">
                            <w:pPr>
                              <w:pStyle w:val="NormalWeb"/>
                              <w:spacing w:after="0" w:afterAutospacing="0"/>
                              <w:jc w:val="center"/>
                              <w:rPr>
                                <w:rFonts w:ascii="Aptos" w:hAnsi="Aptos" w:cs="Calibri Light"/>
                                <w:sz w:val="18"/>
                                <w:szCs w:val="22"/>
                              </w:rPr>
                            </w:pPr>
                            <w:r>
                              <w:rPr>
                                <w:rFonts w:ascii="Aptos" w:hAnsi="Aptos" w:cs="Calibri Light"/>
                                <w:color w:val="19172B" w:themeColor="text1"/>
                                <w:kern w:val="24"/>
                                <w:sz w:val="18"/>
                                <w:szCs w:val="22"/>
                              </w:rPr>
                              <w:t>Avista</w:t>
                            </w:r>
                            <w:r w:rsidRPr="00E95D31">
                              <w:rPr>
                                <w:rFonts w:ascii="Aptos" w:hAnsi="Aptos" w:cs="Calibri Light"/>
                                <w:color w:val="19172B" w:themeColor="text1"/>
                                <w:kern w:val="24"/>
                                <w:sz w:val="18"/>
                                <w:szCs w:val="22"/>
                              </w:rPr>
                              <w:t xml:space="preserve"> Review / Feedback</w:t>
                            </w:r>
                          </w:p>
                        </w:txbxContent>
                      </v:textbox>
                    </v:rect>
                    <v:roundrect id="Rectangle: Rounded Corners 369586507" o:spid="_x0000_s1035" style="position:absolute;left:32147;top:13536;width:14777;height:76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" fillcolor="#1e13a6 [3205]" strokecolor="#1c1d4d" strokeweight="1pt">
                      <v:stroke joinstyle="miter"/>
                      <v:textbox inset="0,0,0,0">
                        <w:txbxContent>
                          <w:p w14:paraId="326AC62A" w14:textId="77777777" w:rsidR="002E7E7D" w:rsidRPr="0044147B" w:rsidRDefault="002E7E7D" w:rsidP="002E7E7D">
                            <w:pPr>
                              <w:pStyle w:val="NormalWeb"/>
                              <w:spacing w:after="0" w:afterAutospacing="0"/>
                              <w:jc w:val="center"/>
                              <w:rPr>
                                <w:rFonts w:ascii="Aptos" w:hAnsi="Aptos" w:cs="Calibri Light"/>
                                <w:color w:val="F6F6F7" w:themeColor="background1"/>
                                <w:sz w:val="16"/>
                                <w:szCs w:val="20"/>
                              </w:rPr>
                            </w:pPr>
                            <w:r w:rsidRPr="0044147B">
                              <w:rPr>
                                <w:rFonts w:ascii="Aptos" w:hAnsi="Aptos" w:cs="Calibri Light"/>
                                <w:color w:val="F6F6F7" w:themeColor="background1"/>
                                <w:kern w:val="24"/>
                                <w:sz w:val="22"/>
                                <w:szCs w:val="22"/>
                              </w:rPr>
                              <w:t xml:space="preserve">Measure </w:t>
                            </w:r>
                            <w:r w:rsidRPr="0044147B">
                              <w:rPr>
                                <w:rFonts w:ascii="Aptos" w:hAnsi="Aptos" w:cs="Calibri Light"/>
                                <w:color w:val="F6F6F7" w:themeColor="background1"/>
                                <w:kern w:val="24"/>
                                <w:sz w:val="22"/>
                                <w:szCs w:val="22"/>
                              </w:rPr>
                              <w:br/>
                              <w:t>Descriptions</w:t>
                            </w:r>
                          </w:p>
                        </w:txbxContent>
                      </v:textbox>
                    </v:roundrect>
                    <v:roundrect id="Rectangle: Rounded Corners 718265281" o:spid="_x0000_s1036" style="position:absolute;left:21614;top:22562;width:35843;height:143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" fillcolor="#00b3ff [3206]" strokecolor="#1c1d4d" strokeweight="1pt">
                      <v:stroke joinstyle="miter"/>
                      <v:textbox inset="0,0,0,0">
                        <w:txbxContent>
                          <w:p w14:paraId="4540F9C5" w14:textId="77777777" w:rsidR="002E7E7D" w:rsidRPr="00E95D31" w:rsidRDefault="002E7E7D" w:rsidP="002E7E7D">
                            <w:pPr>
                              <w:pStyle w:val="NormalWeb"/>
                              <w:jc w:val="center"/>
                              <w:rPr>
                                <w:rFonts w:ascii="Aptos" w:hAnsi="Aptos" w:cs="Calibri Light"/>
                                <w:color w:val="F6F6F7" w:themeColor="background1"/>
                                <w:sz w:val="22"/>
                              </w:rPr>
                            </w:pPr>
                            <w:r w:rsidRPr="00E95D31">
                              <w:rPr>
                                <w:rFonts w:ascii="Aptos" w:hAnsi="Aptos" w:cs="Calibri Light"/>
                                <w:color w:val="F6F6F7" w:themeColor="background1"/>
                                <w:kern w:val="24"/>
                                <w:szCs w:val="28"/>
                              </w:rPr>
                              <w:t>Measure characterization</w:t>
                            </w:r>
                          </w:p>
                        </w:txbxContent>
                      </v:textbox>
                    </v:roundrect>
                    <v:rect id="Rectangle 316306276" o:spid="_x0000_s1037" style="position:absolute;left:40426;top:26167;width:14265;height:4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" fillcolor="window" strokecolor="#1c1d4d" strokeweight="1pt">
                      <v:textbox inset="0,0,0,0">
                        <w:txbxContent>
                          <w:p w14:paraId="64B53175" w14:textId="77777777" w:rsidR="002E7E7D" w:rsidRPr="002E7E7D" w:rsidRDefault="002E7E7D" w:rsidP="002E7E7D">
                            <w:pPr>
                              <w:pStyle w:val="NormalWeb"/>
                              <w:spacing w:before="0" w:beforeAutospacing="0" w:after="0" w:afterAutospacing="0"/>
                              <w:jc w:val="center"/>
                              <w:rPr>
                                <w:rFonts w:ascii="Aptos" w:hAnsi="Aptos" w:cs="Calibri Light"/>
                                <w:sz w:val="20"/>
                                <w:szCs w:val="20"/>
                              </w:rPr>
                            </w:pPr>
                            <w:r w:rsidRPr="002E7E7D">
                              <w:rPr>
                                <w:rFonts w:ascii="Aptos" w:hAnsi="Aptos" w:cs="Calibri Light"/>
                                <w:color w:val="19172B" w:themeColor="text1"/>
                                <w:kern w:val="24"/>
                                <w:sz w:val="20"/>
                                <w:szCs w:val="20"/>
                              </w:rPr>
                              <w:t>Costs and NEIs</w:t>
                            </w:r>
                          </w:p>
                        </w:txbxContent>
                      </v:textbox>
                    </v:rect>
                    <v:rect id="Rectangle 386518286" o:spid="_x0000_s1038" style="position:absolute;left:23504;top:31557;width:14265;height:4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" fillcolor="window" strokecolor="#1c1d4d" strokeweight="1pt">
                      <v:textbox inset="0,0,0,0">
                        <w:txbxContent>
                          <w:p w14:paraId="16373E8E" w14:textId="77777777" w:rsidR="002E7E7D" w:rsidRPr="002E7E7D" w:rsidRDefault="002E7E7D" w:rsidP="002E7E7D">
                            <w:pPr>
                              <w:pStyle w:val="NormalWeb"/>
                              <w:spacing w:after="0" w:afterAutospacing="0"/>
                              <w:jc w:val="center"/>
                              <w:rPr>
                                <w:rFonts w:ascii="Aptos" w:hAnsi="Aptos" w:cs="Calibri Light"/>
                                <w:sz w:val="20"/>
                                <w:szCs w:val="20"/>
                              </w:rPr>
                            </w:pPr>
                            <w:r w:rsidRPr="002E7E7D">
                              <w:rPr>
                                <w:rFonts w:ascii="Aptos" w:hAnsi="Aptos" w:cs="Calibri Light"/>
                                <w:color w:val="19172B" w:themeColor="text1"/>
                                <w:kern w:val="24"/>
                                <w:sz w:val="20"/>
                                <w:szCs w:val="20"/>
                              </w:rPr>
                              <w:t>Lifetime</w:t>
                            </w:r>
                          </w:p>
                        </w:txbxContent>
                      </v:textbox>
                    </v:rect>
                    <v:rect id="Rectangle 1843335211" o:spid="_x0000_s1039" style="position:absolute;left:40426;top:31443;width:14265;height:4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" fillcolor="window" strokecolor="#1c1d4d" strokeweight="1pt">
                      <v:textbox inset="0,0,0,0">
                        <w:txbxContent>
                          <w:p w14:paraId="60679A63" w14:textId="77777777" w:rsidR="002E7E7D" w:rsidRPr="002E7E7D" w:rsidRDefault="002E7E7D" w:rsidP="002E7E7D">
                            <w:pPr>
                              <w:pStyle w:val="NormalWeb"/>
                              <w:spacing w:before="0" w:beforeAutospacing="0" w:after="0" w:afterAutospacing="0" w:line="200" w:lineRule="exact"/>
                              <w:jc w:val="center"/>
                              <w:rPr>
                                <w:rFonts w:ascii="Aptos" w:hAnsi="Aptos" w:cs="Calibri Light"/>
                                <w:color w:val="19172B" w:themeColor="text1"/>
                                <w:kern w:val="24"/>
                                <w:sz w:val="20"/>
                                <w:szCs w:val="20"/>
                              </w:rPr>
                            </w:pPr>
                            <w:r w:rsidRPr="002E7E7D">
                              <w:rPr>
                                <w:rFonts w:ascii="Aptos" w:hAnsi="Aptos" w:cs="Calibri Light"/>
                                <w:color w:val="19172B" w:themeColor="text1"/>
                                <w:kern w:val="24"/>
                                <w:sz w:val="20"/>
                                <w:szCs w:val="20"/>
                              </w:rPr>
                              <w:t>Saturation &amp;</w:t>
                            </w:r>
                          </w:p>
                          <w:p w14:paraId="6B37BC35" w14:textId="71CF68E1" w:rsidR="00716EA0" w:rsidRDefault="002E7E7D" w:rsidP="000E7F0E">
                            <w:pPr>
                              <w:pStyle w:val="NormalWeb"/>
                              <w:spacing w:before="0" w:beforeAutospacing="0" w:after="0" w:afterAutospacing="0" w:line="200" w:lineRule="exact"/>
                              <w:jc w:val="center"/>
                              <w:rPr>
                                <w:rFonts w:ascii="Aptos" w:hAnsi="Aptos" w:cs="Calibri Light"/>
                                <w:kern w:val="24"/>
                                <w:sz w:val="20"/>
                                <w:szCs w:val="20"/>
                              </w:rPr>
                            </w:pPr>
                            <w:r w:rsidRPr="002E7E7D">
                              <w:rPr>
                                <w:rFonts w:ascii="Aptos" w:hAnsi="Aptos" w:cs="Calibri Light"/>
                                <w:color w:val="19172B" w:themeColor="text1"/>
                                <w:kern w:val="24"/>
                                <w:sz w:val="20"/>
                                <w:szCs w:val="20"/>
                              </w:rPr>
                              <w:t>Applicability</w:t>
                            </w:r>
                          </w:p>
                        </w:txbxContent>
                      </v:textbox>
                    </v:rect>
                    <v:rect id="Rectangle 1950902216" o:spid="_x0000_s1040" style="position:absolute;top:12744;width:18016;height:9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" fillcolor="window" strokecolor="#1c1d4d" strokeweight="1pt">
                      <v:textbox inset="0,0,0,0">
                        <w:txbxContent>
                          <w:p w14:paraId="5588BA7F" w14:textId="77777777" w:rsidR="0044147B" w:rsidRDefault="002E7E7D" w:rsidP="0044147B">
                            <w:pPr>
                              <w:pStyle w:val="NormalWeb"/>
                              <w:spacing w:before="0" w:beforeAutospacing="0" w:after="0" w:afterAutospacing="0"/>
                              <w:jc w:val="center"/>
                              <w:rPr>
                                <w:rFonts w:ascii="Aptos" w:hAnsi="Aptos" w:cs="Calibri Light"/>
                                <w:color w:val="19172B" w:themeColor="text1"/>
                                <w:kern w:val="24"/>
                                <w:sz w:val="18"/>
                                <w:szCs w:val="22"/>
                              </w:rPr>
                            </w:pPr>
                            <w:r>
                              <w:rPr>
                                <w:rFonts w:ascii="Aptos" w:hAnsi="Aptos" w:cs="Calibri Light"/>
                                <w:color w:val="19172B" w:themeColor="text1"/>
                                <w:kern w:val="24"/>
                                <w:sz w:val="18"/>
                                <w:szCs w:val="22"/>
                              </w:rPr>
                              <w:t>Avista</w:t>
                            </w:r>
                            <w:r w:rsidRPr="00E95D31">
                              <w:rPr>
                                <w:rFonts w:ascii="Aptos" w:hAnsi="Aptos" w:cs="Calibri Light"/>
                                <w:color w:val="19172B" w:themeColor="text1"/>
                                <w:kern w:val="24"/>
                                <w:sz w:val="18"/>
                                <w:szCs w:val="22"/>
                              </w:rPr>
                              <w:t xml:space="preserve"> Measure Data</w:t>
                            </w:r>
                          </w:p>
                          <w:p w14:paraId="2549817C" w14:textId="063C6203" w:rsidR="002E7E7D" w:rsidRPr="00E95D31" w:rsidRDefault="002E7E7D" w:rsidP="0044147B">
                            <w:pPr>
                              <w:pStyle w:val="NormalWeb"/>
                              <w:spacing w:before="0" w:beforeAutospacing="0" w:after="0" w:afterAutospacing="0"/>
                              <w:jc w:val="center"/>
                              <w:rPr>
                                <w:rFonts w:ascii="Aptos" w:hAnsi="Aptos" w:cs="Calibri Light"/>
                                <w:sz w:val="18"/>
                                <w:szCs w:val="22"/>
                              </w:rPr>
                            </w:pPr>
                            <w:r w:rsidRPr="00E95D31">
                              <w:rPr>
                                <w:rFonts w:ascii="Aptos" w:hAnsi="Aptos" w:cs="Calibri Light"/>
                                <w:color w:val="19172B" w:themeColor="text1"/>
                                <w:kern w:val="24"/>
                                <w:sz w:val="18"/>
                                <w:szCs w:val="22"/>
                              </w:rPr>
                              <w:t xml:space="preserve"> </w:t>
                            </w:r>
                          </w:p>
                          <w:p w14:paraId="0FF92574" w14:textId="77777777" w:rsidR="002E7E7D" w:rsidRPr="00E95D31" w:rsidRDefault="002E7E7D" w:rsidP="0044147B">
                            <w:pPr>
                              <w:pStyle w:val="NormalWeb"/>
                              <w:spacing w:before="0" w:beforeAutospacing="0" w:after="0" w:afterAutospacing="0"/>
                              <w:jc w:val="center"/>
                              <w:rPr>
                                <w:rFonts w:ascii="Aptos" w:hAnsi="Aptos" w:cs="Calibri Light"/>
                                <w:sz w:val="16"/>
                                <w:szCs w:val="18"/>
                              </w:rPr>
                            </w:pPr>
                            <w:r w:rsidRPr="00E95D31">
                              <w:rPr>
                                <w:rFonts w:ascii="Aptos" w:hAnsi="Aptos" w:cs="Calibri Light"/>
                                <w:color w:val="19172B" w:themeColor="text1"/>
                                <w:kern w:val="24"/>
                                <w:sz w:val="18"/>
                              </w:rPr>
                              <w:t>(Program Data, Evaluated Savings, etc.)</w:t>
                            </w:r>
                          </w:p>
                        </w:txbxContent>
                      </v:textbox>
                    </v:rect>
                    <v:rect id="Rectangle 1660887209" o:spid="_x0000_s1041" style="position:absolute;top:23203;width:18016;height:6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" fillcolor="window" strokecolor="#1c1d4d" strokeweight="1pt">
                      <v:textbox inset="0,0,0,0">
                        <w:txbxContent>
                          <w:p w14:paraId="641E82FB" w14:textId="77777777" w:rsidR="002E7E7D" w:rsidRPr="00E95D31" w:rsidRDefault="002E7E7D" w:rsidP="0044147B">
                            <w:pPr>
                              <w:pStyle w:val="NormalWeb"/>
                              <w:spacing w:before="0" w:beforeAutospacing="0" w:after="0" w:afterAutospacing="0"/>
                              <w:jc w:val="center"/>
                              <w:rPr>
                                <w:rFonts w:ascii="Aptos" w:hAnsi="Aptos" w:cs="Calibri Light"/>
                                <w:sz w:val="18"/>
                                <w:szCs w:val="22"/>
                              </w:rPr>
                            </w:pPr>
                            <w:r w:rsidRPr="00E95D31">
                              <w:rPr>
                                <w:rFonts w:ascii="Aptos" w:hAnsi="Aptos" w:cs="Calibri Light"/>
                                <w:color w:val="19172B" w:themeColor="text1"/>
                                <w:kern w:val="24"/>
                                <w:sz w:val="18"/>
                                <w:szCs w:val="22"/>
                              </w:rPr>
                              <w:t>AEG Measure Data Library</w:t>
                            </w:r>
                          </w:p>
                        </w:txbxContent>
                      </v:textbox>
                    </v:rect>
                    <v:rect id="Rectangle 858636415" o:spid="_x0000_s1042" style="position:absolute;top:31993;width:18016;height:4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" fillcolor="window" strokecolor="#1c1d4d" strokeweight="1pt">
                      <v:textbox inset="0,0,0,0">
                        <w:txbxContent>
                          <w:p w14:paraId="0193C359" w14:textId="77777777" w:rsidR="002E7E7D" w:rsidRPr="00E95D31" w:rsidRDefault="002E7E7D" w:rsidP="002E7E7D">
                            <w:pPr>
                              <w:pStyle w:val="NormalWeb"/>
                              <w:spacing w:after="0" w:afterAutospacing="0"/>
                              <w:jc w:val="center"/>
                              <w:rPr>
                                <w:rFonts w:ascii="Aptos" w:hAnsi="Aptos" w:cs="Calibri Light"/>
                                <w:sz w:val="18"/>
                                <w:szCs w:val="22"/>
                              </w:rPr>
                            </w:pPr>
                            <w:r w:rsidRPr="00E95D31">
                              <w:rPr>
                                <w:rFonts w:ascii="Aptos" w:hAnsi="Aptos" w:cs="Calibri Light"/>
                                <w:color w:val="19172B" w:themeColor="text1"/>
                                <w:kern w:val="24"/>
                                <w:sz w:val="18"/>
                                <w:szCs w:val="22"/>
                              </w:rPr>
                              <w:t>Building Simulations</w:t>
                            </w:r>
                          </w:p>
                        </w:txbxContent>
                      </v:textbox>
                    </v:rect>
                  </v:group>
                  <v:shape id="TextBox 39" o:spid="_x0000_s1043" type="#_x0000_t202" style="position:absolute;left:4558;width:8801;height:4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" filled="f" stroked="f">
                    <v:textbox>
                      <w:txbxContent>
                        <w:p w14:paraId="1CB9D532" w14:textId="77777777" w:rsidR="002E7E7D" w:rsidRPr="00E95D31" w:rsidRDefault="002E7E7D" w:rsidP="002E7E7D">
                          <w:pPr>
                            <w:pStyle w:val="NormalWeb"/>
                            <w:jc w:val="center"/>
                            <w:rPr>
                              <w:rFonts w:ascii="Aptos" w:hAnsi="Aptos" w:cs="Calibri Light"/>
                            </w:rPr>
                          </w:pPr>
                          <w:r w:rsidRPr="00E95D31">
                            <w:rPr>
                              <w:rFonts w:ascii="Aptos" w:hAnsi="Aptos" w:cs="Calibri Light"/>
                              <w:i/>
                              <w:color w:val="19172B" w:themeColor="text1"/>
                              <w:kern w:val="24"/>
                              <w:sz w:val="28"/>
                              <w:szCs w:val="36"/>
                            </w:rPr>
                            <w:t>Inputs</w:t>
                          </w:r>
                        </w:p>
                      </w:txbxContent>
                    </v:textbox>
                  </v:shape>
                  <v:shape id="TextBox 40" o:spid="_x0000_s1044" type="#_x0000_t202" style="position:absolute;left:34025;width:10591;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" filled="f" stroked="f">
                    <v:textbox>
                      <w:txbxContent>
                        <w:p w14:paraId="2034AAEC" w14:textId="77777777" w:rsidR="002E7E7D" w:rsidRPr="00E95D31" w:rsidRDefault="002E7E7D" w:rsidP="002E7E7D">
                          <w:pPr>
                            <w:pStyle w:val="NormalWeb"/>
                            <w:jc w:val="center"/>
                            <w:rPr>
                              <w:rFonts w:ascii="Aptos" w:hAnsi="Aptos" w:cs="Calibri Light"/>
                            </w:rPr>
                          </w:pPr>
                          <w:r w:rsidRPr="00E95D31">
                            <w:rPr>
                              <w:rFonts w:ascii="Aptos" w:hAnsi="Aptos" w:cs="Calibri Light"/>
                              <w:i/>
                              <w:color w:val="19172B" w:themeColor="text1"/>
                              <w:kern w:val="24"/>
                              <w:sz w:val="28"/>
                              <w:szCs w:val="36"/>
                            </w:rPr>
                            <w:t>Process</w:t>
                          </w:r>
                        </w:p>
                      </w:txbxContent>
                    </v:textbox>
                  </v:shape>
                </v:group>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1586266365" o:spid="_x0000_s1045" type="#_x0000_t103" style="position:absolute;left:47409;top:7189;width:5586;height:9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" adj="15550,20088,5400" fillcolor="#f6f6f7 [3214]" strokecolor="#444c5e [3215]" strokeweight="1pt"/>
                <v:shape id="Straight Arrow Connector 1498747199" o:spid="_x0000_s1046" type="#_x0000_t32" style="position:absolute;left:17920;top:15430;width:1399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" strokecolor="#444c5e [3215]" strokeweight="2.25pt">
                  <v:stroke dashstyle="dash" endarrow="open" joinstyle="miter"/>
                  <o:lock v:ext="edit" shapetype="f"/>
                </v:shape>
                <v:shape id="Straight Arrow Connector 374658453" o:spid="_x0000_s1047" type="#_x0000_t32" style="position:absolute;left:17920;top:15420;width:6749;height:5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" strokecolor="#444c5e [3215]" strokeweight="2.25pt">
                  <v:stroke dashstyle="dash" endarrow="open" joinstyle="miter"/>
                  <o:lock v:ext="edit" shapetype="f"/>
                </v:shape>
                <v:shape id="Straight Arrow Connector 1683985826" o:spid="_x0000_s1048" type="#_x0000_t32" style="position:absolute;left:17920;top:24204;width:3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" strokecolor="#444c5e [3215]" strokeweight="2.25pt">
                  <v:stroke dashstyle="dash" endarrow="open" joinstyle="miter"/>
                  <o:lock v:ext="edit" shapetype="f"/>
                </v:shape>
                <v:shape id="Straight Arrow Connector 652081188" o:spid="_x0000_s1049" type="#_x0000_t32" style="position:absolute;left:17920;top:30998;width:357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" strokecolor="#444c5e [3215]" strokeweight="2.25pt">
                  <v:stroke dashstyle="dash" endarrow="open" joinstyle="miter"/>
                  <o:lock v:ext="edit" shapetype="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17225364" o:spid="_x0000_s1050" type="#_x0000_t67" style="position:absolute;left:37560;top:10096;width:3528;height:3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" adj="10800" fillcolor="#f8cbad" strokecolor="#444c5e [3215]" strokeweight="1pt"/>
                <v:shape id="Arrow: Down 250128787" o:spid="_x0000_s1051" type="#_x0000_t67" style="position:absolute;left:37560;top:18160;width:3528;height:3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" adj="10800" fillcolor="#f8cbad" strokecolor="#444c5e [3215]" strokeweight="1pt"/>
                <w10:anchorlock/>
              </v:group>
            </w:pict>
          </mc:Fallback>
        </mc:AlternateContent>
      </w:r>
    </w:p>
    <w:p w14:paraId="14EC634B" w14:textId="77777777" w:rsidR="00DE13EC" w:rsidRDefault="00DE13EC" w:rsidP="00DE13EC">
      <w:pPr>
        <w:pStyle w:val="AEGBody"/>
        <w:jc w:val="center"/>
      </w:pPr>
    </w:p>
    <w:p w14:paraId="7FA17AD8" w14:textId="77777777" w:rsidR="00454138" w:rsidRDefault="00454138" w:rsidP="00454138">
      <w:pPr>
        <w:pStyle w:val="BodyText"/>
      </w:pPr>
      <w:r w:rsidRPr="001D3563">
        <w:t>The selected measures are categorized into the two following types according to the LoadMAP taxonomy:</w:t>
      </w:r>
    </w:p>
    <w:p w14:paraId="63F26FC7" w14:textId="390398D6" w:rsidR="00454138" w:rsidRPr="001D3563" w:rsidRDefault="00454138" w:rsidP="00454138">
      <w:pPr>
        <w:pStyle w:val="AEG-BulletList"/>
      </w:pPr>
      <w:r w:rsidRPr="00450C78">
        <w:rPr>
          <w:rStyle w:val="BodyTextChar"/>
          <w:b/>
          <w:bCs/>
        </w:rPr>
        <w:t>Equipment measures</w:t>
      </w:r>
      <w:r w:rsidRPr="001D3563">
        <w:t xml:space="preserve"> are efficient energy-consuming pieces of equipment that save energy by providing the same service with a lower energy requirement than a standard unit. An example is an ENERGY STAR refrigerator that replaces a standard efficiency refrigerator. For equipment measures, many efficiency levels may be available for a given technology, ranging from the baseline unit (often determined by code or standard) up to the most efficient product commercially available. For instance, in the case of central air conditioners, this list begins with the current federal standard SEER </w:t>
      </w:r>
      <w:r w:rsidR="00F3297B">
        <w:t>14</w:t>
      </w:r>
      <w:r w:rsidR="00F3297B" w:rsidRPr="001D3563">
        <w:t xml:space="preserve"> </w:t>
      </w:r>
      <w:r w:rsidRPr="001D3563">
        <w:t>unit and spans a broad spectrum up to a maximum efficiency of a SEER 2</w:t>
      </w:r>
      <w:r>
        <w:t>4</w:t>
      </w:r>
      <w:r w:rsidRPr="001D3563">
        <w:t xml:space="preserve"> unit. The </w:t>
      </w:r>
      <w:r>
        <w:t>2021</w:t>
      </w:r>
      <w:r w:rsidRPr="001D3563">
        <w:t xml:space="preserve"> Power Plan’s “Lost Opportunity” ramp rates are primarily applied to equipment measures.</w:t>
      </w:r>
    </w:p>
    <w:p w14:paraId="66B71F59" w14:textId="72BB037A" w:rsidR="00454138" w:rsidRPr="001D3563" w:rsidRDefault="00454138" w:rsidP="00454138">
      <w:pPr>
        <w:pStyle w:val="AEG-BulletList"/>
      </w:pPr>
      <w:r w:rsidRPr="00450C78">
        <w:rPr>
          <w:rStyle w:val="BodyTextChar"/>
          <w:b/>
          <w:bCs/>
        </w:rPr>
        <w:t>Non-equipment measures</w:t>
      </w:r>
      <w:r w:rsidRPr="001D3563">
        <w:t xml:space="preserve"> save energy by reducing the need for delivered energy but do not involve replacement or purchase of major end-use equipment (such as a refrigerator or </w:t>
      </w:r>
      <w:r>
        <w:t xml:space="preserve">central </w:t>
      </w:r>
      <w:r w:rsidRPr="001D3563">
        <w:t xml:space="preserve">air conditioner). An example would be a programmable thermostat that is pre-set to run heating and cooling systems only when people are home. Non-equipment measures can apply to more than one end use. For instance, </w:t>
      </w:r>
      <w:r>
        <w:t xml:space="preserve">the </w:t>
      </w:r>
      <w:r w:rsidRPr="001D3563">
        <w:t xml:space="preserve">addition of wall insulation will affect the energy use of both space heating and cooling. The </w:t>
      </w:r>
      <w:r>
        <w:t>2021</w:t>
      </w:r>
      <w:r w:rsidRPr="001D3563">
        <w:t xml:space="preserve"> Power Plan’s “Retrofit” ramp rates are primarily applied to no</w:t>
      </w:r>
      <w:r w:rsidR="00861A45">
        <w:t>n</w:t>
      </w:r>
      <w:r w:rsidRPr="001D3563">
        <w:t xml:space="preserve">-equipment measures. Non-equipment measures typically fall into one of the following categories: </w:t>
      </w:r>
    </w:p>
    <w:p w14:paraId="1A3A956A" w14:textId="77777777" w:rsidR="00454138" w:rsidRPr="002839E2" w:rsidRDefault="00454138" w:rsidP="007555EC">
      <w:pPr>
        <w:pStyle w:val="AEG-BulletList"/>
        <w:numPr>
          <w:ilvl w:val="1"/>
          <w:numId w:val="2"/>
        </w:numPr>
      </w:pPr>
      <w:r w:rsidRPr="008B05D0">
        <w:t>Buil</w:t>
      </w:r>
      <w:r w:rsidRPr="00FD5B89">
        <w:t xml:space="preserve">ding </w:t>
      </w:r>
      <w:r w:rsidRPr="002839E2">
        <w:t>shell (windows, insulation, roofing material)</w:t>
      </w:r>
    </w:p>
    <w:p w14:paraId="5482D58E" w14:textId="77777777" w:rsidR="00454138" w:rsidRPr="002839E2" w:rsidRDefault="00454138" w:rsidP="007555EC">
      <w:pPr>
        <w:pStyle w:val="AEG-BulletList"/>
        <w:numPr>
          <w:ilvl w:val="1"/>
          <w:numId w:val="2"/>
        </w:numPr>
      </w:pPr>
      <w:r w:rsidRPr="002839E2">
        <w:t>Equipment controls (thermostat, compressor staging</w:t>
      </w:r>
      <w:r>
        <w:t>,</w:t>
      </w:r>
      <w:r w:rsidRPr="002839E2">
        <w:t xml:space="preserve"> and controls)</w:t>
      </w:r>
    </w:p>
    <w:p w14:paraId="3A477E74" w14:textId="77777777" w:rsidR="00454138" w:rsidRPr="002839E2" w:rsidRDefault="00454138" w:rsidP="007555EC">
      <w:pPr>
        <w:pStyle w:val="AEG-BulletList"/>
        <w:numPr>
          <w:ilvl w:val="1"/>
          <w:numId w:val="2"/>
        </w:numPr>
      </w:pPr>
      <w:r w:rsidRPr="002839E2">
        <w:t>Equipment maintenance (cleaning filters, changing setpoints)</w:t>
      </w:r>
    </w:p>
    <w:p w14:paraId="63CB081F" w14:textId="77777777" w:rsidR="00454138" w:rsidRPr="002839E2" w:rsidRDefault="00454138" w:rsidP="007555EC">
      <w:pPr>
        <w:pStyle w:val="AEG-BulletList"/>
        <w:numPr>
          <w:ilvl w:val="1"/>
          <w:numId w:val="2"/>
        </w:numPr>
      </w:pPr>
      <w:r w:rsidRPr="002839E2">
        <w:t>Whole-building design (building orientation, advanced new construction designs)</w:t>
      </w:r>
    </w:p>
    <w:p w14:paraId="7F03813F" w14:textId="77777777" w:rsidR="00454138" w:rsidRPr="002839E2" w:rsidRDefault="00454138" w:rsidP="007555EC">
      <w:pPr>
        <w:pStyle w:val="AEG-BulletList"/>
        <w:numPr>
          <w:ilvl w:val="1"/>
          <w:numId w:val="2"/>
        </w:numPr>
      </w:pPr>
      <w:r w:rsidRPr="002839E2">
        <w:t>Lighting retrofits (assumed to be implemented alongside new LEDs at the equipment’s normal end of life)</w:t>
      </w:r>
    </w:p>
    <w:p w14:paraId="448254FC" w14:textId="77777777" w:rsidR="00454138" w:rsidRPr="002839E2" w:rsidRDefault="00454138" w:rsidP="007555EC">
      <w:pPr>
        <w:pStyle w:val="AEG-BulletList"/>
        <w:numPr>
          <w:ilvl w:val="1"/>
          <w:numId w:val="2"/>
        </w:numPr>
      </w:pPr>
      <w:r w:rsidRPr="002839E2">
        <w:lastRenderedPageBreak/>
        <w:t xml:space="preserve">Displacement measures (ceiling fan to reduce </w:t>
      </w:r>
      <w:r>
        <w:t xml:space="preserve">the </w:t>
      </w:r>
      <w:r w:rsidRPr="002839E2">
        <w:t>use of central air conditioners)</w:t>
      </w:r>
    </w:p>
    <w:p w14:paraId="57030E34" w14:textId="77777777" w:rsidR="00454138" w:rsidRDefault="00454138" w:rsidP="007555EC">
      <w:pPr>
        <w:pStyle w:val="AEG-BulletList"/>
        <w:numPr>
          <w:ilvl w:val="1"/>
          <w:numId w:val="2"/>
        </w:numPr>
      </w:pPr>
      <w:r w:rsidRPr="00547DEA">
        <w:t>Commissioning</w:t>
      </w:r>
      <w:r w:rsidRPr="002839E2">
        <w:t xml:space="preserve"> and retrocommissioning (initial or ongoing monitoring of building energy systems to optimize</w:t>
      </w:r>
      <w:r w:rsidRPr="00FD5B89">
        <w:t xml:space="preserve"> energy use)</w:t>
      </w:r>
    </w:p>
    <w:p w14:paraId="25AE2AD2" w14:textId="3B3DBFAD" w:rsidR="00D82A9C" w:rsidRPr="00454138" w:rsidRDefault="00454138" w:rsidP="00454138">
      <w:pPr>
        <w:pStyle w:val="AEGBody"/>
      </w:pPr>
      <w:r w:rsidRPr="00454138">
        <w:t xml:space="preserve">We developed a preliminary list of conservation measures, which was distributed to the Avista project team for review. The list was finalized after incorporating comments. Next, the project team characterized measure savings, incremental cost, service life, and other performance factors, drawing upon data from the Avista measure database, </w:t>
      </w:r>
      <w:r w:rsidRPr="00C55AB5">
        <w:t xml:space="preserve">the </w:t>
      </w:r>
      <w:r w:rsidRPr="00FF4586">
        <w:t>2021 Power Plan, the RTF deemed measure workbooks, simulation modeling, and other well-vetted sources as required</w:t>
      </w:r>
      <w:r w:rsidRPr="00C55AB5">
        <w:t>.</w:t>
      </w:r>
      <w:r w:rsidRPr="00454138">
        <w:t xml:space="preserve"> Measure data can be found in Appendix C. </w:t>
      </w:r>
      <w:r w:rsidR="00195923">
        <w:fldChar w:fldCharType="begin"/>
      </w:r>
      <w:r w:rsidR="00195923">
        <w:instrText xml:space="preserve"> REF _Ref175811889 \h </w:instrText>
      </w:r>
      <w:r w:rsidR="00195923">
        <w:fldChar w:fldCharType="separate"/>
      </w:r>
      <w:r w:rsidR="00195923">
        <w:t xml:space="preserve">Table </w:t>
      </w:r>
      <w:r w:rsidR="00195923">
        <w:rPr>
          <w:noProof/>
        </w:rPr>
        <w:t>2</w:t>
      </w:r>
      <w:r w:rsidR="00195923">
        <w:noBreakHyphen/>
      </w:r>
      <w:r w:rsidR="00195923">
        <w:rPr>
          <w:noProof/>
        </w:rPr>
        <w:t>2</w:t>
      </w:r>
      <w:r w:rsidR="00195923">
        <w:fldChar w:fldCharType="end"/>
      </w:r>
      <w:r w:rsidRPr="00454138">
        <w:t xml:space="preserve"> summarizes the number of measures evaluated for each segment within each sector.</w:t>
      </w:r>
      <w:r>
        <w:t xml:space="preserve"> </w:t>
      </w:r>
    </w:p>
    <w:p w14:paraId="60D662DA" w14:textId="70C9C5A3" w:rsidR="00D82A9C" w:rsidRDefault="00D82A9C" w:rsidP="00D82A9C">
      <w:pPr>
        <w:pStyle w:val="Caption"/>
      </w:pPr>
      <w:bookmarkStart w:id="19" w:name="_Ref175811889"/>
      <w:bookmarkStart w:id="20" w:name="_Toc175912364"/>
      <w:r>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2</w:t>
      </w:r>
      <w:r w:rsidR="00EE4707">
        <w:fldChar w:fldCharType="end"/>
      </w:r>
      <w:bookmarkEnd w:id="19"/>
      <w:r>
        <w:t xml:space="preserve"> Number of Measures Evaluated</w:t>
      </w:r>
      <w:bookmarkEnd w:id="20"/>
    </w:p>
    <w:tbl>
      <w:tblPr>
        <w:tblStyle w:val="AEG-DarkBanded"/>
        <w:tblW w:w="9330" w:type="dxa"/>
        <w:jc w:val="center"/>
        <w:tblLook w:val="04A0" w:firstRow="1" w:lastRow="0" w:firstColumn="1" w:lastColumn="0" w:noHBand="0" w:noVBand="1"/>
      </w:tblPr>
      <w:tblGrid>
        <w:gridCol w:w="3110"/>
        <w:gridCol w:w="1728"/>
        <w:gridCol w:w="2160"/>
        <w:gridCol w:w="2332"/>
      </w:tblGrid>
      <w:tr w:rsidR="00D82A9C" w:rsidRPr="00150922" w14:paraId="4682A44D" w14:textId="77777777" w:rsidTr="001021E1">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110" w:type="dxa"/>
            <w:hideMark/>
          </w:tcPr>
          <w:p w14:paraId="218292BD" w14:textId="77777777" w:rsidR="00D82A9C" w:rsidRPr="00FF732E" w:rsidRDefault="00D82A9C" w:rsidP="00D82A9C">
            <w:pPr>
              <w:jc w:val="left"/>
              <w:rPr>
                <w:rFonts w:asciiTheme="majorHAnsi" w:hAnsiTheme="majorHAnsi"/>
                <w:b w:val="0"/>
                <w:bCs/>
                <w:szCs w:val="18"/>
              </w:rPr>
            </w:pPr>
            <w:r w:rsidRPr="00FF732E">
              <w:rPr>
                <w:rFonts w:asciiTheme="majorHAnsi" w:hAnsiTheme="majorHAnsi"/>
                <w:b w:val="0"/>
                <w:bCs/>
                <w:szCs w:val="18"/>
              </w:rPr>
              <w:t>Sector</w:t>
            </w:r>
          </w:p>
        </w:tc>
        <w:tc>
          <w:tcPr>
            <w:tcW w:w="1728" w:type="dxa"/>
            <w:hideMark/>
          </w:tcPr>
          <w:p w14:paraId="2944160F" w14:textId="0BD6AF7C" w:rsidR="00D82A9C" w:rsidRPr="00FF732E" w:rsidRDefault="00D82A9C" w:rsidP="00D82A9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szCs w:val="18"/>
              </w:rPr>
            </w:pPr>
            <w:r w:rsidRPr="00FF732E">
              <w:rPr>
                <w:rFonts w:asciiTheme="majorHAnsi" w:hAnsiTheme="majorHAnsi"/>
                <w:b w:val="0"/>
                <w:bCs/>
                <w:szCs w:val="18"/>
              </w:rPr>
              <w:t xml:space="preserve">Total </w:t>
            </w:r>
            <w:r w:rsidRPr="00FF732E">
              <w:rPr>
                <w:rFonts w:asciiTheme="majorHAnsi" w:hAnsiTheme="majorHAnsi"/>
                <w:b w:val="0"/>
                <w:bCs/>
                <w:szCs w:val="18"/>
              </w:rPr>
              <w:br/>
              <w:t>Measures</w:t>
            </w:r>
          </w:p>
        </w:tc>
        <w:tc>
          <w:tcPr>
            <w:tcW w:w="2160" w:type="dxa"/>
            <w:hideMark/>
          </w:tcPr>
          <w:p w14:paraId="340EF62C" w14:textId="77777777" w:rsidR="00D82A9C" w:rsidRPr="00FF732E" w:rsidRDefault="00D82A9C" w:rsidP="00D82A9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szCs w:val="18"/>
              </w:rPr>
            </w:pPr>
            <w:r w:rsidRPr="00FF732E">
              <w:rPr>
                <w:rFonts w:asciiTheme="majorHAnsi" w:hAnsiTheme="majorHAnsi"/>
                <w:b w:val="0"/>
                <w:bCs/>
                <w:szCs w:val="18"/>
              </w:rPr>
              <w:t>Measure Permutations w/ 2 Vintages</w:t>
            </w:r>
          </w:p>
        </w:tc>
        <w:tc>
          <w:tcPr>
            <w:tcW w:w="2332" w:type="dxa"/>
            <w:hideMark/>
          </w:tcPr>
          <w:p w14:paraId="3D06BCB8" w14:textId="4616D288" w:rsidR="00D82A9C" w:rsidRPr="00FF732E" w:rsidRDefault="00D82A9C" w:rsidP="00D82A9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szCs w:val="18"/>
              </w:rPr>
            </w:pPr>
            <w:r w:rsidRPr="00FF732E">
              <w:rPr>
                <w:rFonts w:asciiTheme="majorHAnsi" w:hAnsiTheme="majorHAnsi"/>
                <w:b w:val="0"/>
                <w:bCs/>
                <w:szCs w:val="18"/>
              </w:rPr>
              <w:t>Measure Permutations w/ Segments</w:t>
            </w:r>
          </w:p>
        </w:tc>
      </w:tr>
      <w:tr w:rsidR="00AF625F" w:rsidRPr="00150922" w14:paraId="2D4C5C77"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1CE6066D" w14:textId="77777777" w:rsidR="00AF625F" w:rsidRPr="007671A2" w:rsidRDefault="00AF625F" w:rsidP="00AF625F">
            <w:pPr>
              <w:jc w:val="left"/>
              <w:rPr>
                <w:rFonts w:asciiTheme="minorHAnsi" w:hAnsiTheme="minorHAnsi"/>
                <w:szCs w:val="18"/>
              </w:rPr>
            </w:pPr>
            <w:r w:rsidRPr="007671A2">
              <w:rPr>
                <w:rFonts w:asciiTheme="minorHAnsi" w:hAnsiTheme="minorHAnsi"/>
                <w:szCs w:val="18"/>
              </w:rPr>
              <w:t>Residential</w:t>
            </w:r>
          </w:p>
        </w:tc>
        <w:tc>
          <w:tcPr>
            <w:tcW w:w="0" w:type="dxa"/>
            <w:hideMark/>
          </w:tcPr>
          <w:p w14:paraId="3F913F04" w14:textId="77EC8E58" w:rsidR="00AF625F" w:rsidRPr="007671A2" w:rsidRDefault="00AF625F" w:rsidP="00FF45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highlight w:val="yellow"/>
              </w:rPr>
            </w:pPr>
            <w:r w:rsidRPr="007671A2">
              <w:rPr>
                <w:rFonts w:asciiTheme="minorHAnsi" w:hAnsiTheme="minorHAnsi"/>
              </w:rPr>
              <w:t>107</w:t>
            </w:r>
          </w:p>
        </w:tc>
        <w:tc>
          <w:tcPr>
            <w:tcW w:w="0" w:type="dxa"/>
            <w:hideMark/>
          </w:tcPr>
          <w:p w14:paraId="422B57DE" w14:textId="156B01C4" w:rsidR="00AF625F" w:rsidRPr="007671A2" w:rsidRDefault="00AF625F" w:rsidP="00FF45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highlight w:val="yellow"/>
              </w:rPr>
            </w:pPr>
            <w:r w:rsidRPr="007671A2">
              <w:rPr>
                <w:rFonts w:asciiTheme="minorHAnsi" w:hAnsiTheme="minorHAnsi"/>
              </w:rPr>
              <w:t>214</w:t>
            </w:r>
          </w:p>
        </w:tc>
        <w:tc>
          <w:tcPr>
            <w:tcW w:w="0" w:type="dxa"/>
            <w:hideMark/>
          </w:tcPr>
          <w:p w14:paraId="13D6AA35" w14:textId="4B712EA1" w:rsidR="00AF625F" w:rsidRPr="007671A2" w:rsidRDefault="00AF625F" w:rsidP="00FF45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highlight w:val="yellow"/>
              </w:rPr>
            </w:pPr>
            <w:r w:rsidRPr="007671A2">
              <w:rPr>
                <w:rFonts w:asciiTheme="minorHAnsi" w:hAnsiTheme="minorHAnsi"/>
              </w:rPr>
              <w:t>1,284</w:t>
            </w:r>
          </w:p>
        </w:tc>
      </w:tr>
      <w:tr w:rsidR="00AF625F" w:rsidRPr="00150922" w14:paraId="77E895F1"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65841752" w14:textId="77777777" w:rsidR="00AF625F" w:rsidRPr="007671A2" w:rsidRDefault="00AF625F" w:rsidP="00AF625F">
            <w:pPr>
              <w:jc w:val="left"/>
              <w:rPr>
                <w:rFonts w:asciiTheme="minorHAnsi" w:hAnsiTheme="minorHAnsi"/>
                <w:szCs w:val="18"/>
              </w:rPr>
            </w:pPr>
            <w:r w:rsidRPr="007671A2">
              <w:rPr>
                <w:rFonts w:asciiTheme="minorHAnsi" w:hAnsiTheme="minorHAnsi"/>
                <w:szCs w:val="18"/>
              </w:rPr>
              <w:t>Commercial</w:t>
            </w:r>
          </w:p>
        </w:tc>
        <w:tc>
          <w:tcPr>
            <w:tcW w:w="0" w:type="dxa"/>
            <w:hideMark/>
          </w:tcPr>
          <w:p w14:paraId="177F99AE" w14:textId="0FDC4AAF" w:rsidR="00AF625F" w:rsidRPr="007671A2" w:rsidRDefault="00AF625F" w:rsidP="00FF4586">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Cs w:val="18"/>
                <w:highlight w:val="yellow"/>
              </w:rPr>
            </w:pPr>
            <w:r w:rsidRPr="007671A2">
              <w:rPr>
                <w:rFonts w:asciiTheme="minorHAnsi" w:hAnsiTheme="minorHAnsi"/>
              </w:rPr>
              <w:t>137</w:t>
            </w:r>
          </w:p>
        </w:tc>
        <w:tc>
          <w:tcPr>
            <w:tcW w:w="0" w:type="dxa"/>
            <w:hideMark/>
          </w:tcPr>
          <w:p w14:paraId="1537697A" w14:textId="0DFB8040" w:rsidR="00AF625F" w:rsidRPr="007671A2" w:rsidRDefault="00AF625F" w:rsidP="00FF4586">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Cs w:val="18"/>
                <w:highlight w:val="yellow"/>
              </w:rPr>
            </w:pPr>
            <w:r w:rsidRPr="007671A2">
              <w:rPr>
                <w:rFonts w:asciiTheme="minorHAnsi" w:hAnsiTheme="minorHAnsi"/>
              </w:rPr>
              <w:t>274</w:t>
            </w:r>
          </w:p>
        </w:tc>
        <w:tc>
          <w:tcPr>
            <w:tcW w:w="0" w:type="dxa"/>
            <w:hideMark/>
          </w:tcPr>
          <w:p w14:paraId="09D628D1" w14:textId="67D38326" w:rsidR="00AF625F" w:rsidRPr="007671A2" w:rsidRDefault="00AF625F" w:rsidP="00FF4586">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Cs w:val="18"/>
                <w:highlight w:val="yellow"/>
              </w:rPr>
            </w:pPr>
            <w:r w:rsidRPr="007671A2">
              <w:rPr>
                <w:rFonts w:asciiTheme="minorHAnsi" w:hAnsiTheme="minorHAnsi"/>
              </w:rPr>
              <w:t>3,014</w:t>
            </w:r>
          </w:p>
        </w:tc>
      </w:tr>
      <w:tr w:rsidR="00AF625F" w:rsidRPr="00150922" w14:paraId="280A4CB2"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30CD2B59" w14:textId="77777777" w:rsidR="00AF625F" w:rsidRPr="007671A2" w:rsidRDefault="00AF625F" w:rsidP="00AF625F">
            <w:pPr>
              <w:jc w:val="left"/>
              <w:rPr>
                <w:rFonts w:asciiTheme="minorHAnsi" w:hAnsiTheme="minorHAnsi"/>
                <w:szCs w:val="18"/>
              </w:rPr>
            </w:pPr>
            <w:r w:rsidRPr="007671A2">
              <w:rPr>
                <w:rFonts w:asciiTheme="minorHAnsi" w:hAnsiTheme="minorHAnsi"/>
                <w:szCs w:val="18"/>
              </w:rPr>
              <w:t>Industrial</w:t>
            </w:r>
          </w:p>
        </w:tc>
        <w:tc>
          <w:tcPr>
            <w:tcW w:w="0" w:type="dxa"/>
            <w:hideMark/>
          </w:tcPr>
          <w:p w14:paraId="4A04C548" w14:textId="1C74F84C" w:rsidR="00AF625F" w:rsidRPr="007671A2" w:rsidRDefault="00AF625F" w:rsidP="00FF45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highlight w:val="yellow"/>
              </w:rPr>
            </w:pPr>
            <w:r w:rsidRPr="007671A2">
              <w:rPr>
                <w:rFonts w:asciiTheme="minorHAnsi" w:hAnsiTheme="minorHAnsi"/>
              </w:rPr>
              <w:t>74</w:t>
            </w:r>
          </w:p>
        </w:tc>
        <w:tc>
          <w:tcPr>
            <w:tcW w:w="0" w:type="dxa"/>
            <w:hideMark/>
          </w:tcPr>
          <w:p w14:paraId="34112DBA" w14:textId="40B915B5" w:rsidR="00AF625F" w:rsidRPr="007671A2" w:rsidRDefault="00AF625F" w:rsidP="00FF45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highlight w:val="yellow"/>
              </w:rPr>
            </w:pPr>
            <w:r w:rsidRPr="007671A2">
              <w:rPr>
                <w:rFonts w:asciiTheme="minorHAnsi" w:hAnsiTheme="minorHAnsi"/>
              </w:rPr>
              <w:t>148</w:t>
            </w:r>
          </w:p>
        </w:tc>
        <w:tc>
          <w:tcPr>
            <w:tcW w:w="0" w:type="dxa"/>
            <w:hideMark/>
          </w:tcPr>
          <w:p w14:paraId="121418DB" w14:textId="09771F20" w:rsidR="00AF625F" w:rsidRPr="007671A2" w:rsidRDefault="00AF625F" w:rsidP="00FF45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highlight w:val="yellow"/>
              </w:rPr>
            </w:pPr>
            <w:r w:rsidRPr="007671A2">
              <w:rPr>
                <w:rFonts w:asciiTheme="minorHAnsi" w:hAnsiTheme="minorHAnsi"/>
              </w:rPr>
              <w:t>296</w:t>
            </w:r>
          </w:p>
        </w:tc>
      </w:tr>
      <w:tr w:rsidR="00AF625F" w:rsidRPr="00150922" w14:paraId="5443B1C8"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2E2D18EA" w14:textId="77777777" w:rsidR="00AF625F" w:rsidRPr="007671A2" w:rsidRDefault="00AF625F" w:rsidP="00AF625F">
            <w:pPr>
              <w:jc w:val="left"/>
              <w:rPr>
                <w:rFonts w:asciiTheme="majorHAnsi" w:hAnsiTheme="majorHAnsi"/>
                <w:szCs w:val="18"/>
              </w:rPr>
            </w:pPr>
            <w:r w:rsidRPr="007671A2">
              <w:rPr>
                <w:rFonts w:asciiTheme="majorHAnsi" w:hAnsiTheme="majorHAnsi"/>
                <w:szCs w:val="18"/>
              </w:rPr>
              <w:t>Total Measures Evaluated</w:t>
            </w:r>
          </w:p>
        </w:tc>
        <w:tc>
          <w:tcPr>
            <w:tcW w:w="0" w:type="dxa"/>
            <w:hideMark/>
          </w:tcPr>
          <w:p w14:paraId="13219118" w14:textId="0BE98306" w:rsidR="00AF625F" w:rsidRPr="007671A2" w:rsidRDefault="00AF625F" w:rsidP="00FF4586">
            <w:pPr>
              <w:jc w:val="right"/>
              <w:cnfStyle w:val="000000010000" w:firstRow="0" w:lastRow="0" w:firstColumn="0" w:lastColumn="0" w:oddVBand="0" w:evenVBand="0" w:oddHBand="0" w:evenHBand="1" w:firstRowFirstColumn="0" w:firstRowLastColumn="0" w:lastRowFirstColumn="0" w:lastRowLastColumn="0"/>
              <w:rPr>
                <w:rFonts w:asciiTheme="majorHAnsi" w:hAnsiTheme="majorHAnsi"/>
                <w:szCs w:val="18"/>
                <w:highlight w:val="yellow"/>
              </w:rPr>
            </w:pPr>
            <w:r w:rsidRPr="007671A2">
              <w:rPr>
                <w:rFonts w:asciiTheme="majorHAnsi" w:hAnsiTheme="majorHAnsi"/>
              </w:rPr>
              <w:t>318</w:t>
            </w:r>
          </w:p>
        </w:tc>
        <w:tc>
          <w:tcPr>
            <w:tcW w:w="0" w:type="dxa"/>
            <w:hideMark/>
          </w:tcPr>
          <w:p w14:paraId="09C7EF28" w14:textId="72767C35" w:rsidR="00AF625F" w:rsidRPr="007671A2" w:rsidRDefault="00AF625F" w:rsidP="00FF4586">
            <w:pPr>
              <w:jc w:val="right"/>
              <w:cnfStyle w:val="000000010000" w:firstRow="0" w:lastRow="0" w:firstColumn="0" w:lastColumn="0" w:oddVBand="0" w:evenVBand="0" w:oddHBand="0" w:evenHBand="1" w:firstRowFirstColumn="0" w:firstRowLastColumn="0" w:lastRowFirstColumn="0" w:lastRowLastColumn="0"/>
              <w:rPr>
                <w:rFonts w:asciiTheme="majorHAnsi" w:hAnsiTheme="majorHAnsi"/>
                <w:szCs w:val="18"/>
                <w:highlight w:val="yellow"/>
              </w:rPr>
            </w:pPr>
            <w:r w:rsidRPr="007671A2">
              <w:rPr>
                <w:rFonts w:asciiTheme="majorHAnsi" w:hAnsiTheme="majorHAnsi"/>
              </w:rPr>
              <w:t>636</w:t>
            </w:r>
          </w:p>
        </w:tc>
        <w:tc>
          <w:tcPr>
            <w:tcW w:w="0" w:type="dxa"/>
            <w:hideMark/>
          </w:tcPr>
          <w:p w14:paraId="562E962A" w14:textId="67EE3BE0" w:rsidR="00AF625F" w:rsidRPr="007671A2" w:rsidRDefault="00AF625F" w:rsidP="00FF4586">
            <w:pPr>
              <w:jc w:val="right"/>
              <w:cnfStyle w:val="000000010000" w:firstRow="0" w:lastRow="0" w:firstColumn="0" w:lastColumn="0" w:oddVBand="0" w:evenVBand="0" w:oddHBand="0" w:evenHBand="1" w:firstRowFirstColumn="0" w:firstRowLastColumn="0" w:lastRowFirstColumn="0" w:lastRowLastColumn="0"/>
              <w:rPr>
                <w:rFonts w:asciiTheme="majorHAnsi" w:hAnsiTheme="majorHAnsi"/>
                <w:szCs w:val="18"/>
                <w:highlight w:val="yellow"/>
              </w:rPr>
            </w:pPr>
            <w:r w:rsidRPr="007671A2">
              <w:rPr>
                <w:rFonts w:asciiTheme="majorHAnsi" w:hAnsiTheme="majorHAnsi"/>
              </w:rPr>
              <w:t>4,594</w:t>
            </w:r>
          </w:p>
        </w:tc>
      </w:tr>
    </w:tbl>
    <w:p w14:paraId="54B6F88F" w14:textId="77777777" w:rsidR="00D82A9C" w:rsidRPr="00D82A9C" w:rsidRDefault="00D82A9C" w:rsidP="00D82A9C">
      <w:pPr>
        <w:pStyle w:val="AEGBody"/>
      </w:pPr>
    </w:p>
    <w:p w14:paraId="2FD25568" w14:textId="59F15A42" w:rsidR="007563CF" w:rsidRDefault="007563CF" w:rsidP="009875ED">
      <w:pPr>
        <w:pStyle w:val="Heading2"/>
      </w:pPr>
      <w:bookmarkStart w:id="21" w:name="_Toc175904849"/>
      <w:r>
        <w:t>Data Development</w:t>
      </w:r>
      <w:bookmarkEnd w:id="21"/>
    </w:p>
    <w:p w14:paraId="1A11EC15" w14:textId="317F943A" w:rsidR="00A5736F" w:rsidRPr="00A5736F" w:rsidRDefault="00A5736F" w:rsidP="00A5736F">
      <w:pPr>
        <w:pStyle w:val="AEGBody"/>
      </w:pPr>
      <w:r w:rsidRPr="003831A1">
        <w:t xml:space="preserve">This section </w:t>
      </w:r>
      <w:r>
        <w:t>details</w:t>
      </w:r>
      <w:r w:rsidRPr="003831A1">
        <w:t xml:space="preserve"> the data sources used in this study, followed by a discussion of how these sources were applied</w:t>
      </w:r>
      <w:r>
        <w:t xml:space="preserve">. In general, data sources were applied in the following order: Avista data, Northwest regional data, and well-vetted national or other regional secondary sources. </w:t>
      </w:r>
    </w:p>
    <w:p w14:paraId="16E17FA2" w14:textId="7185E61D" w:rsidR="007563CF" w:rsidRDefault="009875ED" w:rsidP="009875ED">
      <w:pPr>
        <w:pStyle w:val="Heading3"/>
      </w:pPr>
      <w:bookmarkStart w:id="22" w:name="_Toc175904850"/>
      <w:r>
        <w:t>Avista Data</w:t>
      </w:r>
      <w:bookmarkEnd w:id="22"/>
    </w:p>
    <w:p w14:paraId="4530CBDF" w14:textId="77777777" w:rsidR="00DA2823" w:rsidRPr="00DA2823" w:rsidRDefault="00DA2823" w:rsidP="00DA2823">
      <w:pPr>
        <w:pStyle w:val="AEGBody"/>
      </w:pPr>
      <w:r w:rsidRPr="00DA2823">
        <w:t xml:space="preserve">Our highest priority data sources for this study were those that were specific to Avista. </w:t>
      </w:r>
    </w:p>
    <w:p w14:paraId="7C0A0E30" w14:textId="77777777" w:rsidR="00DA2823" w:rsidRPr="00DA2823" w:rsidRDefault="00DA2823" w:rsidP="00DA2823">
      <w:pPr>
        <w:pStyle w:val="AEG-BulletList"/>
      </w:pPr>
      <w:r w:rsidRPr="00A72FAA">
        <w:rPr>
          <w:rStyle w:val="Emphasis"/>
          <w:rFonts w:asciiTheme="minorHAnsi" w:hAnsiTheme="minorHAnsi"/>
          <w:b/>
          <w:bCs/>
          <w:iCs w:val="0"/>
          <w:spacing w:val="4"/>
        </w:rPr>
        <w:t>Customer Data:</w:t>
      </w:r>
      <w:r w:rsidRPr="00DA2823">
        <w:t xml:space="preserve"> Avista provided billing data for the development of customer counts and energy use for each sector. We also used the results of the Avista GenPOP survey, a residential saturation survey.</w:t>
      </w:r>
    </w:p>
    <w:p w14:paraId="28CF4206" w14:textId="143B9A9B" w:rsidR="00DA2823" w:rsidRPr="00DA2823" w:rsidRDefault="00DA2823" w:rsidP="00DA2823">
      <w:pPr>
        <w:pStyle w:val="AEG-BulletList"/>
      </w:pPr>
      <w:r w:rsidRPr="00A72FAA">
        <w:rPr>
          <w:rStyle w:val="Emphasis"/>
          <w:rFonts w:asciiTheme="minorHAnsi" w:hAnsiTheme="minorHAnsi"/>
          <w:b/>
          <w:bCs/>
          <w:iCs w:val="0"/>
          <w:spacing w:val="4"/>
        </w:rPr>
        <w:t>Load</w:t>
      </w:r>
      <w:r w:rsidR="00F26406">
        <w:rPr>
          <w:rStyle w:val="Emphasis"/>
          <w:rFonts w:asciiTheme="minorHAnsi" w:hAnsiTheme="minorHAnsi"/>
          <w:b/>
          <w:bCs/>
          <w:iCs w:val="0"/>
          <w:spacing w:val="4"/>
        </w:rPr>
        <w:t xml:space="preserve"> </w:t>
      </w:r>
      <w:r w:rsidRPr="00A72FAA">
        <w:rPr>
          <w:rStyle w:val="Emphasis"/>
          <w:rFonts w:asciiTheme="minorHAnsi" w:hAnsiTheme="minorHAnsi"/>
          <w:b/>
          <w:bCs/>
          <w:iCs w:val="0"/>
          <w:spacing w:val="4"/>
        </w:rPr>
        <w:t>Forecasts:</w:t>
      </w:r>
      <w:r w:rsidRPr="00DA2823">
        <w:t xml:space="preserve"> Avista provided an economic growth forecast by sector; electric load forecast; peak-demand forecasts at the sector level; and retail electricity price history and forecasts.</w:t>
      </w:r>
    </w:p>
    <w:p w14:paraId="322499F3" w14:textId="1508EB56" w:rsidR="00DA2823" w:rsidRPr="00DA2823" w:rsidRDefault="00DA2823" w:rsidP="00DA2823">
      <w:pPr>
        <w:pStyle w:val="AEG-BulletList"/>
      </w:pPr>
      <w:r w:rsidRPr="00A72FAA">
        <w:rPr>
          <w:rStyle w:val="Emphasis"/>
          <w:rFonts w:asciiTheme="minorHAnsi" w:hAnsiTheme="minorHAnsi"/>
          <w:b/>
          <w:bCs/>
          <w:iCs w:val="0"/>
          <w:spacing w:val="4"/>
        </w:rPr>
        <w:t>Economic Information:</w:t>
      </w:r>
      <w:r w:rsidRPr="00DA2823">
        <w:t xml:space="preserve"> Avista provided a discount rate</w:t>
      </w:r>
      <w:r w:rsidR="005F47E6">
        <w:t xml:space="preserve">, </w:t>
      </w:r>
      <w:r w:rsidRPr="00DA2823">
        <w:t>line loss factor</w:t>
      </w:r>
      <w:r w:rsidR="005F47E6">
        <w:t>, and retail prices for both electricity and natural gas to inform the customer choice model</w:t>
      </w:r>
      <w:r w:rsidRPr="00DA2823">
        <w:t xml:space="preserve">. Avoided costs </w:t>
      </w:r>
      <w:r w:rsidR="005F47E6">
        <w:t xml:space="preserve">for the TRC perspective </w:t>
      </w:r>
      <w:r w:rsidRPr="00DA2823">
        <w:t xml:space="preserve">were provided </w:t>
      </w:r>
      <w:r w:rsidR="005F47E6">
        <w:t>based on the previous IRP only for use in benchmarking</w:t>
      </w:r>
      <w:r w:rsidR="003161D3">
        <w:t>; potential was not screened for cost effectiveness by AEG.</w:t>
      </w:r>
    </w:p>
    <w:p w14:paraId="0663E054" w14:textId="48E35753" w:rsidR="00DA2823" w:rsidRPr="00DA2823" w:rsidRDefault="00DA2823" w:rsidP="00DA2823">
      <w:pPr>
        <w:pStyle w:val="AEG-BulletList"/>
      </w:pPr>
      <w:r w:rsidRPr="00A72FAA">
        <w:rPr>
          <w:rStyle w:val="Emphasis"/>
          <w:rFonts w:asciiTheme="minorHAnsi" w:hAnsiTheme="minorHAnsi"/>
          <w:b/>
          <w:bCs/>
          <w:iCs w:val="0"/>
          <w:spacing w:val="4"/>
        </w:rPr>
        <w:t>Program Data:</w:t>
      </w:r>
      <w:r w:rsidRPr="00DA2823">
        <w:t xml:space="preserve"> Avista provided information about past and current programs, including program descriptions, goals, and achievements to date.</w:t>
      </w:r>
    </w:p>
    <w:p w14:paraId="6D456A98" w14:textId="338F882B" w:rsidR="00CC6A72" w:rsidRDefault="009875ED" w:rsidP="009875ED">
      <w:pPr>
        <w:pStyle w:val="Heading3"/>
      </w:pPr>
      <w:bookmarkStart w:id="23" w:name="_Toc175904851"/>
      <w:r>
        <w:t>Northwest Energy Efficiency Alliance Data</w:t>
      </w:r>
      <w:bookmarkEnd w:id="23"/>
    </w:p>
    <w:p w14:paraId="17409A4C" w14:textId="77777777" w:rsidR="00F26406" w:rsidRPr="00646BB1" w:rsidRDefault="00F26406" w:rsidP="00F26406">
      <w:pPr>
        <w:pStyle w:val="AEGBody"/>
      </w:pPr>
      <w:r>
        <w:t xml:space="preserve">The NEEA conducts research for the </w:t>
      </w:r>
      <w:r w:rsidRPr="009A67D8">
        <w:t xml:space="preserve">Northwest region. </w:t>
      </w:r>
      <w:r w:rsidRPr="00FF4586">
        <w:t>The following studies were particularly useful:</w:t>
      </w:r>
    </w:p>
    <w:p w14:paraId="246C1603" w14:textId="77777777" w:rsidR="00F26406" w:rsidRPr="00E30390" w:rsidRDefault="00F26406" w:rsidP="00F26406">
      <w:pPr>
        <w:pStyle w:val="AEG-BulletList"/>
      </w:pPr>
      <w:r>
        <w:rPr>
          <w:rStyle w:val="BodyTextChar"/>
        </w:rPr>
        <w:t>RBSA II,</w:t>
      </w:r>
      <w:r w:rsidRPr="00E30390">
        <w:rPr>
          <w:rStyle w:val="BodyTextChar"/>
        </w:rPr>
        <w:t xml:space="preserve"> </w:t>
      </w:r>
      <w:hyperlink r:id="rId19" w:history="1">
        <w:r w:rsidRPr="00E30390">
          <w:rPr>
            <w:rStyle w:val="Hyperlink"/>
          </w:rPr>
          <w:t>Single-Family Homes Report 2016-2017</w:t>
        </w:r>
      </w:hyperlink>
      <w:r w:rsidRPr="00E30390">
        <w:rPr>
          <w:rStyle w:val="BodyTextChar"/>
        </w:rPr>
        <w:t>.</w:t>
      </w:r>
    </w:p>
    <w:p w14:paraId="61953C5B" w14:textId="77777777" w:rsidR="00F26406" w:rsidRPr="00E30390" w:rsidRDefault="00F26406" w:rsidP="00F26406">
      <w:pPr>
        <w:pStyle w:val="AEG-BulletList"/>
      </w:pPr>
      <w:r>
        <w:rPr>
          <w:rStyle w:val="BodyTextChar"/>
        </w:rPr>
        <w:t>RBSA II</w:t>
      </w:r>
      <w:r w:rsidRPr="00E30390">
        <w:rPr>
          <w:rStyle w:val="BodyTextChar"/>
        </w:rPr>
        <w:t xml:space="preserve">, </w:t>
      </w:r>
      <w:hyperlink r:id="rId20" w:history="1">
        <w:r w:rsidRPr="00E30390">
          <w:rPr>
            <w:rStyle w:val="Hyperlink"/>
          </w:rPr>
          <w:t>Manufactured Homes Report 2016-2017</w:t>
        </w:r>
      </w:hyperlink>
      <w:r w:rsidRPr="00E30390">
        <w:rPr>
          <w:rStyle w:val="BodyTextChar"/>
        </w:rPr>
        <w:t>.</w:t>
      </w:r>
      <w:r w:rsidRPr="00E30390">
        <w:t xml:space="preserve"> </w:t>
      </w:r>
    </w:p>
    <w:p w14:paraId="3539474A" w14:textId="77777777" w:rsidR="00F26406" w:rsidRDefault="00F26406" w:rsidP="00F26406">
      <w:pPr>
        <w:pStyle w:val="AEG-BulletList"/>
      </w:pPr>
      <w:r>
        <w:rPr>
          <w:rStyle w:val="BodyTextChar"/>
        </w:rPr>
        <w:t>RBSA</w:t>
      </w:r>
      <w:r w:rsidRPr="00E30390">
        <w:rPr>
          <w:rStyle w:val="BodyTextChar"/>
        </w:rPr>
        <w:t xml:space="preserve"> II,</w:t>
      </w:r>
      <w:r w:rsidRPr="00C22C96">
        <w:rPr>
          <w:rStyle w:val="BodyTextChar"/>
        </w:rPr>
        <w:t xml:space="preserve"> </w:t>
      </w:r>
      <w:hyperlink r:id="rId21" w:history="1">
        <w:r w:rsidRPr="00974CA0">
          <w:rPr>
            <w:rStyle w:val="Hyperlink"/>
          </w:rPr>
          <w:t>Multifamily Buildings Report 2016-2017</w:t>
        </w:r>
      </w:hyperlink>
      <w:r>
        <w:rPr>
          <w:rStyle w:val="BodyTextChar"/>
        </w:rPr>
        <w:t>.</w:t>
      </w:r>
      <w:r>
        <w:t xml:space="preserve"> </w:t>
      </w:r>
    </w:p>
    <w:p w14:paraId="7170A3F8" w14:textId="77777777" w:rsidR="00F26406" w:rsidRPr="00E30390" w:rsidRDefault="00C13262" w:rsidP="00F26406">
      <w:pPr>
        <w:pStyle w:val="AEG-BulletList"/>
      </w:pPr>
      <w:hyperlink r:id="rId22" w:history="1">
        <w:r w:rsidR="00F26406" w:rsidRPr="00E30390">
          <w:rPr>
            <w:rStyle w:val="Hyperlink"/>
          </w:rPr>
          <w:t>2019 Commercial Building Stock Assessment</w:t>
        </w:r>
      </w:hyperlink>
      <w:r w:rsidR="00F26406">
        <w:rPr>
          <w:rStyle w:val="BodyTextChar"/>
        </w:rPr>
        <w:t xml:space="preserve"> (CBSA),</w:t>
      </w:r>
      <w:r w:rsidR="00F26406" w:rsidRPr="00E30390">
        <w:rPr>
          <w:rStyle w:val="BodyTextChar"/>
        </w:rPr>
        <w:t xml:space="preserve"> May 21, 2020</w:t>
      </w:r>
      <w:r w:rsidR="00F26406" w:rsidRPr="00E30390">
        <w:rPr>
          <w:iCs/>
        </w:rPr>
        <w:t>.</w:t>
      </w:r>
      <w:r w:rsidR="00F26406" w:rsidRPr="00E30390">
        <w:t xml:space="preserve"> </w:t>
      </w:r>
    </w:p>
    <w:p w14:paraId="052B94C2" w14:textId="6542A8A6" w:rsidR="00F26406" w:rsidRPr="00F26406" w:rsidRDefault="00C13262" w:rsidP="00F26406">
      <w:pPr>
        <w:pStyle w:val="AEG-BulletList"/>
      </w:pPr>
      <w:hyperlink r:id="rId23" w:history="1">
        <w:r w:rsidR="00F26406" w:rsidRPr="00E30390">
          <w:rPr>
            <w:rStyle w:val="Hyperlink"/>
          </w:rPr>
          <w:t>2014 Industrial Facilities Site Assessment</w:t>
        </w:r>
      </w:hyperlink>
      <w:r w:rsidR="00F26406" w:rsidRPr="00E30390">
        <w:rPr>
          <w:rStyle w:val="BodyTextChar"/>
        </w:rPr>
        <w:t xml:space="preserve"> </w:t>
      </w:r>
      <w:r w:rsidR="00F26406">
        <w:rPr>
          <w:rStyle w:val="BodyTextChar"/>
        </w:rPr>
        <w:t xml:space="preserve">(IFSA), </w:t>
      </w:r>
      <w:r w:rsidR="00F26406" w:rsidRPr="00E30390">
        <w:rPr>
          <w:rStyle w:val="BodyTextChar"/>
        </w:rPr>
        <w:t>December 29, 2014.</w:t>
      </w:r>
    </w:p>
    <w:p w14:paraId="33E4D829" w14:textId="7BB3D838" w:rsidR="00CC6A72" w:rsidRDefault="009875ED" w:rsidP="009875ED">
      <w:pPr>
        <w:pStyle w:val="Heading3"/>
      </w:pPr>
      <w:bookmarkStart w:id="24" w:name="_Toc175904852"/>
      <w:r>
        <w:t>Northwest Power and Conservation Council Data</w:t>
      </w:r>
      <w:bookmarkEnd w:id="24"/>
    </w:p>
    <w:p w14:paraId="7D61B222" w14:textId="77777777" w:rsidR="00F26406" w:rsidRPr="00D02505" w:rsidRDefault="00F26406" w:rsidP="00F26406">
      <w:pPr>
        <w:pStyle w:val="AEGBody"/>
      </w:pPr>
      <w:r>
        <w:t>Several sources of data were used to characterize the conservation measures. We used the following regional data sources and supplemented them with AEG’s data sources to fill in any gaps.</w:t>
      </w:r>
    </w:p>
    <w:p w14:paraId="27FBC374" w14:textId="77777777" w:rsidR="00F26406" w:rsidRPr="00405560" w:rsidRDefault="00C13262" w:rsidP="00F26406">
      <w:pPr>
        <w:pStyle w:val="AEG-BulletList"/>
      </w:pPr>
      <w:hyperlink r:id="rId24" w:history="1">
        <w:r w:rsidR="00F26406" w:rsidRPr="00435BB5">
          <w:rPr>
            <w:rStyle w:val="Hyperlink"/>
          </w:rPr>
          <w:t>RTF Deemed Measures</w:t>
        </w:r>
      </w:hyperlink>
      <w:r w:rsidR="00F26406" w:rsidRPr="00435BB5">
        <w:rPr>
          <w:rStyle w:val="BodyTextChar"/>
        </w:rPr>
        <w:t>.</w:t>
      </w:r>
      <w:r w:rsidR="00F26406" w:rsidRPr="00405560">
        <w:t xml:space="preserve"> The NWPCC R</w:t>
      </w:r>
      <w:r w:rsidR="00F26406">
        <w:t>TF</w:t>
      </w:r>
      <w:r w:rsidR="00F26406" w:rsidRPr="00405560">
        <w:t xml:space="preserve"> maintains databases of deemed measure savings data</w:t>
      </w:r>
      <w:r w:rsidR="00F26406">
        <w:t>.</w:t>
      </w:r>
    </w:p>
    <w:p w14:paraId="0CE4FEDD" w14:textId="77777777" w:rsidR="00F26406" w:rsidRDefault="00C13262" w:rsidP="00F26406">
      <w:pPr>
        <w:pStyle w:val="AEG-BulletList"/>
      </w:pPr>
      <w:hyperlink r:id="rId25" w:history="1">
        <w:r w:rsidR="00F26406" w:rsidRPr="00435BB5">
          <w:rPr>
            <w:rStyle w:val="Hyperlink"/>
          </w:rPr>
          <w:t>NWPCC 2021 Power Plan Conservation Supply Curve Workbooks</w:t>
        </w:r>
      </w:hyperlink>
      <w:r w:rsidR="00F26406" w:rsidRPr="00435BB5">
        <w:rPr>
          <w:rStyle w:val="BodyTextChar"/>
        </w:rPr>
        <w:t>.</w:t>
      </w:r>
      <w:r w:rsidR="00F26406" w:rsidRPr="00435BB5">
        <w:t xml:space="preserve"> </w:t>
      </w:r>
      <w:r w:rsidR="00F26406" w:rsidRPr="00405560">
        <w:t>To develop its 2021 Power Plan, the Council used workbooks with detailed information about measures</w:t>
      </w:r>
      <w:r w:rsidR="00F26406">
        <w:t>.</w:t>
      </w:r>
    </w:p>
    <w:p w14:paraId="194D56AC" w14:textId="3AFCBCD5" w:rsidR="00F26406" w:rsidRPr="00F26406" w:rsidRDefault="00C13262" w:rsidP="00F26406">
      <w:pPr>
        <w:pStyle w:val="AEG-BulletList"/>
      </w:pPr>
      <w:hyperlink r:id="rId26" w:history="1">
        <w:r w:rsidR="00F26406" w:rsidRPr="00233B32">
          <w:rPr>
            <w:rStyle w:val="Hyperlink"/>
          </w:rPr>
          <w:t>NWPCC, MC and Loadshape File</w:t>
        </w:r>
      </w:hyperlink>
      <w:r w:rsidR="00F26406" w:rsidRPr="00F26406">
        <w:rPr>
          <w:rStyle w:val="BodyTextChar"/>
          <w:i/>
          <w:iCs/>
        </w:rPr>
        <w:t>,</w:t>
      </w:r>
      <w:r w:rsidR="00F26406" w:rsidRPr="00F26406">
        <w:rPr>
          <w:rStyle w:val="BodyTextChar"/>
          <w:b/>
          <w:bCs/>
        </w:rPr>
        <w:t xml:space="preserve"> </w:t>
      </w:r>
      <w:r w:rsidR="00F26406" w:rsidRPr="00C22C96">
        <w:rPr>
          <w:rStyle w:val="BodyTextChar"/>
        </w:rPr>
        <w:t>September 29, 2016.</w:t>
      </w:r>
      <w:r w:rsidR="00F26406" w:rsidRPr="00405560">
        <w:t xml:space="preserve"> The Council’s load shape library was utilized to convert CPA results into hourly conservation impacts for use in Avista’s IRP process.</w:t>
      </w:r>
    </w:p>
    <w:p w14:paraId="20830BE8" w14:textId="41F07730" w:rsidR="009875ED" w:rsidRDefault="009875ED" w:rsidP="009875ED">
      <w:pPr>
        <w:pStyle w:val="Heading3"/>
      </w:pPr>
      <w:bookmarkStart w:id="25" w:name="_Toc175904853"/>
      <w:r>
        <w:t>AEG Data</w:t>
      </w:r>
      <w:bookmarkEnd w:id="25"/>
    </w:p>
    <w:p w14:paraId="5F35EB81" w14:textId="77777777" w:rsidR="00DA2823" w:rsidRPr="00D02505" w:rsidRDefault="00DA2823" w:rsidP="00DA2823">
      <w:pPr>
        <w:pStyle w:val="AEGBody"/>
      </w:pPr>
      <w:r>
        <w:t>AEG</w:t>
      </w:r>
      <w:r w:rsidRPr="00D02505">
        <w:t xml:space="preserve"> mainta</w:t>
      </w:r>
      <w:r w:rsidRPr="008643F3">
        <w:t>ins several databases and modeling tools that we use for forecasting and poten</w:t>
      </w:r>
      <w:r w:rsidRPr="00D02505">
        <w:t xml:space="preserve">tial studies. </w:t>
      </w:r>
      <w:r>
        <w:t>Relevant data from these tools have been incorporated into the analysis and deliverables for this study.</w:t>
      </w:r>
    </w:p>
    <w:p w14:paraId="32989725" w14:textId="77777777" w:rsidR="00DA2823" w:rsidRPr="00DA2823" w:rsidRDefault="00DA2823" w:rsidP="00DA2823">
      <w:pPr>
        <w:pStyle w:val="AEG-BulletList"/>
      </w:pPr>
      <w:r w:rsidRPr="00DA2823">
        <w:rPr>
          <w:rStyle w:val="Emphasis"/>
          <w:rFonts w:asciiTheme="minorHAnsi" w:hAnsiTheme="minorHAnsi"/>
          <w:b/>
          <w:bCs/>
          <w:spacing w:val="4"/>
        </w:rPr>
        <w:t>AEG Energy Market Profiles:</w:t>
      </w:r>
      <w:r w:rsidRPr="00DA2823">
        <w:t xml:space="preserve"> AEG maintains regional profiles of end-use consumption. The profiles include market size, fuel shares, unit consumption estimates, annual energy use by fuel (electricity and natural gas), customer segment, and end use for ten (10) regions in the U.S. The U.S. Energy Information Administration (EIA) surveys (RECS, CBECS, and MECS), as well as state-level statistics and local customer research provide the foundation for these regional profiles.</w:t>
      </w:r>
    </w:p>
    <w:p w14:paraId="22EB33C5" w14:textId="77777777" w:rsidR="00DA2823" w:rsidRPr="00DA2823" w:rsidRDefault="00DA2823" w:rsidP="00DA2823">
      <w:pPr>
        <w:pStyle w:val="AEG-BulletList"/>
      </w:pPr>
      <w:r w:rsidRPr="00DA2823">
        <w:rPr>
          <w:rStyle w:val="Emphasis"/>
          <w:rFonts w:asciiTheme="minorHAnsi" w:hAnsiTheme="minorHAnsi"/>
          <w:b/>
          <w:bCs/>
          <w:spacing w:val="4"/>
        </w:rPr>
        <w:t>Building Energy Simulation Tool (BEST):</w:t>
      </w:r>
      <w:r w:rsidRPr="00DA2823">
        <w:t xml:space="preserve"> AEG’s BEST is a derivative of the DOE 2.2 building simulation model, used to estimate base-year UECs and EUIs, as well as measure savings for the HVAC-related measures.</w:t>
      </w:r>
    </w:p>
    <w:p w14:paraId="342DD16D" w14:textId="77777777" w:rsidR="00DA2823" w:rsidRPr="00DA2823" w:rsidRDefault="00DA2823" w:rsidP="00DA2823">
      <w:pPr>
        <w:pStyle w:val="AEG-BulletList"/>
      </w:pPr>
      <w:r w:rsidRPr="00DA2823">
        <w:rPr>
          <w:rStyle w:val="Emphasis"/>
          <w:rFonts w:asciiTheme="minorHAnsi" w:hAnsiTheme="minorHAnsi"/>
          <w:b/>
          <w:bCs/>
          <w:spacing w:val="4"/>
        </w:rPr>
        <w:t>AEG’s Database of Energy Efficiency Measures (DEEM):</w:t>
      </w:r>
      <w:r w:rsidRPr="00DA2823">
        <w:t xml:space="preserve"> AEG maintains an extensive database of measure data, drawing upon reliable sources, including the California Database for Energy Efficient Resources (DEER), the EIA Technology Forecast Updates – Residential and Commercial Building Technologies – Reference Case, RS Means cost data, and Grainger Catalog Cost data. </w:t>
      </w:r>
    </w:p>
    <w:p w14:paraId="78DE1F35" w14:textId="68B3ACBE" w:rsidR="00DA2823" w:rsidRPr="00DA2823" w:rsidRDefault="00DA2823" w:rsidP="00DA2823">
      <w:pPr>
        <w:pStyle w:val="AEG-BulletList"/>
      </w:pPr>
      <w:r w:rsidRPr="00DA2823">
        <w:rPr>
          <w:rStyle w:val="Emphasis"/>
          <w:rFonts w:asciiTheme="minorHAnsi" w:hAnsiTheme="minorHAnsi"/>
          <w:b/>
          <w:bCs/>
          <w:spacing w:val="4"/>
        </w:rPr>
        <w:t>Recent studies:</w:t>
      </w:r>
      <w:r w:rsidRPr="00DA2823">
        <w:t xml:space="preserve"> AEG has conducted numerous studies of energy efficiency potential in the last five years. We checked our input assumptions and analysis results against the results from these other studies, which include but are not limited to Tacoma Power, Idaho Power, and PacifiCorp. </w:t>
      </w:r>
    </w:p>
    <w:p w14:paraId="1703AD58" w14:textId="1238F20D" w:rsidR="00CC6A72" w:rsidRDefault="00CC6A72" w:rsidP="009875ED">
      <w:pPr>
        <w:pStyle w:val="Heading3"/>
      </w:pPr>
      <w:bookmarkStart w:id="26" w:name="_Toc175904854"/>
      <w:r>
        <w:t>Other Secondary Da</w:t>
      </w:r>
      <w:r w:rsidR="0088060C">
        <w:t>t</w:t>
      </w:r>
      <w:r>
        <w:t>a and Reports</w:t>
      </w:r>
      <w:bookmarkEnd w:id="26"/>
    </w:p>
    <w:p w14:paraId="637F5DBD" w14:textId="77777777" w:rsidR="00DA2823" w:rsidRDefault="00DA2823" w:rsidP="00DA2823">
      <w:pPr>
        <w:pStyle w:val="AEGBody"/>
      </w:pPr>
      <w:r w:rsidRPr="00D02505">
        <w:t xml:space="preserve">Finally, a variety of secondary data sources and reports were used for this study. The main sources </w:t>
      </w:r>
      <w:r>
        <w:t>include:</w:t>
      </w:r>
      <w:r w:rsidRPr="00D02505">
        <w:t xml:space="preserve"> </w:t>
      </w:r>
    </w:p>
    <w:p w14:paraId="283C1499" w14:textId="477E57B6" w:rsidR="00DA2823" w:rsidRPr="00DA2823" w:rsidRDefault="00DA2823" w:rsidP="00DA2823">
      <w:pPr>
        <w:pStyle w:val="AEG-BulletList"/>
      </w:pPr>
      <w:r w:rsidRPr="00DA2823">
        <w:rPr>
          <w:rStyle w:val="Emphasis"/>
          <w:rFonts w:asciiTheme="minorHAnsi" w:hAnsiTheme="minorHAnsi"/>
          <w:b/>
          <w:bCs/>
          <w:spacing w:val="4"/>
        </w:rPr>
        <w:t>Annual Energy Outlook (AEO):</w:t>
      </w:r>
      <w:r w:rsidRPr="00DA2823">
        <w:t xml:space="preserve"> Conducted each year by the U.S. EIA, the AEO presents yearly projections and analysis of energy topics. For this study, we used data from </w:t>
      </w:r>
      <w:r w:rsidRPr="006A3977">
        <w:t xml:space="preserve">the </w:t>
      </w:r>
      <w:r w:rsidRPr="00FF4586">
        <w:t>202</w:t>
      </w:r>
      <w:r w:rsidR="006A3977" w:rsidRPr="00FF4586">
        <w:t>3</w:t>
      </w:r>
      <w:r w:rsidRPr="00FF4586">
        <w:t xml:space="preserve"> AEO</w:t>
      </w:r>
      <w:r w:rsidRPr="00DA2823">
        <w:t xml:space="preserve">. </w:t>
      </w:r>
    </w:p>
    <w:p w14:paraId="23EEEB81" w14:textId="77777777" w:rsidR="00DA2823" w:rsidRPr="00DA2823" w:rsidRDefault="00DA2823" w:rsidP="00DA2823">
      <w:pPr>
        <w:pStyle w:val="AEG-BulletList"/>
      </w:pPr>
      <w:r w:rsidRPr="00DA2823">
        <w:rPr>
          <w:rStyle w:val="Emphasis"/>
          <w:rFonts w:asciiTheme="minorHAnsi" w:hAnsiTheme="minorHAnsi"/>
          <w:b/>
          <w:bCs/>
          <w:spacing w:val="4"/>
        </w:rPr>
        <w:t>Local Weather Data:</w:t>
      </w:r>
      <w:r w:rsidRPr="00DA2823">
        <w:rPr>
          <w:rStyle w:val="Emphasis"/>
          <w:rFonts w:asciiTheme="minorHAnsi" w:hAnsiTheme="minorHAnsi"/>
          <w:spacing w:val="4"/>
        </w:rPr>
        <w:t xml:space="preserve"> </w:t>
      </w:r>
      <w:r w:rsidRPr="00DA2823">
        <w:t>Weather from National Oceanic and Atmospheric Administration’s National Climatic Data Center for Spokane, Washington, was used as the basis for building simulations.</w:t>
      </w:r>
    </w:p>
    <w:p w14:paraId="1FCD7700" w14:textId="59C88771" w:rsidR="00DA2823" w:rsidRPr="00DA2823" w:rsidRDefault="00DA2823" w:rsidP="00DA2823">
      <w:pPr>
        <w:pStyle w:val="AEG-BulletList"/>
      </w:pPr>
      <w:r w:rsidRPr="00DA2823">
        <w:rPr>
          <w:rStyle w:val="Emphasis"/>
          <w:rFonts w:asciiTheme="minorHAnsi" w:hAnsiTheme="minorHAnsi"/>
          <w:b/>
          <w:bCs/>
          <w:spacing w:val="4"/>
        </w:rPr>
        <w:lastRenderedPageBreak/>
        <w:t>EPRI End-Use Models (REEPS and COMMEND):</w:t>
      </w:r>
      <w:r w:rsidRPr="00DA2823">
        <w:t xml:space="preserve"> These models provide the </w:t>
      </w:r>
      <w:r w:rsidR="00A00DEA">
        <w:t xml:space="preserve">default </w:t>
      </w:r>
      <w:r w:rsidRPr="00DA2823">
        <w:t>elasticities we apply to electricity prices, household income, home size, and heating and cooling.</w:t>
      </w:r>
    </w:p>
    <w:p w14:paraId="285B0B40" w14:textId="77777777" w:rsidR="00DA2823" w:rsidRDefault="00DA2823" w:rsidP="00DA2823">
      <w:pPr>
        <w:pStyle w:val="AEG-BulletList"/>
      </w:pPr>
      <w:r w:rsidRPr="00DA2823">
        <w:rPr>
          <w:rStyle w:val="Emphasis"/>
          <w:rFonts w:asciiTheme="minorHAnsi" w:hAnsiTheme="minorHAnsi"/>
          <w:b/>
          <w:bCs/>
          <w:spacing w:val="4"/>
        </w:rPr>
        <w:t>DEER:</w:t>
      </w:r>
      <w:r w:rsidRPr="00DA2823">
        <w:t xml:space="preserve"> The California Energy Commission and California Public Utilities Commission sponsor this database, which is designed to provide well-documented estimates of energy and peak demand savings values, measure costs, and effective useful life for the state of California. We used the DEER database to cross-check the measure savings we developed using BEST and DEEM.</w:t>
      </w:r>
    </w:p>
    <w:p w14:paraId="5F3587CE" w14:textId="01C70CDD" w:rsidR="00C77A53" w:rsidRPr="00DA2823" w:rsidRDefault="008D591C" w:rsidP="00DA2823">
      <w:pPr>
        <w:pStyle w:val="AEG-BulletList"/>
      </w:pPr>
      <w:r>
        <w:rPr>
          <w:rStyle w:val="Emphasis"/>
          <w:rFonts w:asciiTheme="minorHAnsi" w:hAnsiTheme="minorHAnsi"/>
          <w:b/>
          <w:bCs/>
          <w:spacing w:val="4"/>
        </w:rPr>
        <w:t>NREL End-</w:t>
      </w:r>
      <w:r w:rsidRPr="00FF4586">
        <w:rPr>
          <w:rStyle w:val="Emphasis"/>
          <w:rFonts w:asciiTheme="minorHAnsi" w:hAnsiTheme="minorHAnsi"/>
          <w:b/>
          <w:spacing w:val="4"/>
        </w:rPr>
        <w:t>Use Load Profiles.</w:t>
      </w:r>
      <w:r>
        <w:t xml:space="preserve"> </w:t>
      </w:r>
      <w:r w:rsidR="00D72D3F">
        <w:t>L</w:t>
      </w:r>
      <w:r w:rsidR="00A1722F">
        <w:t xml:space="preserve">oad shapes specific to Avista’s geographic region were used to </w:t>
      </w:r>
      <w:r w:rsidR="00261322" w:rsidRPr="00261322">
        <w:t>calculate hourly profiles of the end use projection</w:t>
      </w:r>
      <w:r w:rsidR="001D7242">
        <w:t xml:space="preserve"> and </w:t>
      </w:r>
      <w:r w:rsidR="00F91BB2">
        <w:t xml:space="preserve">hourly </w:t>
      </w:r>
      <w:r w:rsidR="001D7242">
        <w:t xml:space="preserve">savings </w:t>
      </w:r>
      <w:r w:rsidR="00F91BB2">
        <w:t xml:space="preserve">inputs </w:t>
      </w:r>
      <w:r w:rsidR="001D7242">
        <w:t xml:space="preserve">for the </w:t>
      </w:r>
      <w:r w:rsidR="002E63C9">
        <w:t>IRP.</w:t>
      </w:r>
      <w:r w:rsidR="003F0CA8">
        <w:t xml:space="preserve"> </w:t>
      </w:r>
      <w:r w:rsidR="007B6635">
        <w:t xml:space="preserve">Load shapes were </w:t>
      </w:r>
      <w:r w:rsidR="0050724E">
        <w:t xml:space="preserve">collected at the sector, </w:t>
      </w:r>
      <w:r w:rsidR="00D701A1">
        <w:t>segment and technology level where available.</w:t>
      </w:r>
    </w:p>
    <w:p w14:paraId="1FFE876D" w14:textId="47CB5E55" w:rsidR="00DA2823" w:rsidRPr="00DA2823" w:rsidRDefault="00DA2823" w:rsidP="00DA2823">
      <w:pPr>
        <w:pStyle w:val="AEG-BulletList"/>
      </w:pPr>
      <w:r w:rsidRPr="00DA2823">
        <w:rPr>
          <w:rStyle w:val="Emphasis"/>
          <w:rFonts w:asciiTheme="minorHAnsi" w:hAnsiTheme="minorHAnsi"/>
          <w:b/>
          <w:bCs/>
          <w:spacing w:val="4"/>
        </w:rPr>
        <w:t>Other relevant regional sources:</w:t>
      </w:r>
      <w:r w:rsidRPr="00DA2823">
        <w:rPr>
          <w:b/>
          <w:bCs/>
        </w:rPr>
        <w:t xml:space="preserve"> </w:t>
      </w:r>
      <w:r w:rsidRPr="00DA2823">
        <w:t>These include reports from the Consortium for Energy Efficiency, the Environmental Protection Agency, and the American Council for an Energy-Efficient Economy.</w:t>
      </w:r>
    </w:p>
    <w:p w14:paraId="337CF32D" w14:textId="2FA407C0" w:rsidR="007563CF" w:rsidRDefault="007563CF" w:rsidP="009875ED">
      <w:pPr>
        <w:pStyle w:val="Heading2"/>
      </w:pPr>
      <w:bookmarkStart w:id="27" w:name="_Toc175904855"/>
      <w:r>
        <w:t>Data Application</w:t>
      </w:r>
      <w:bookmarkEnd w:id="27"/>
    </w:p>
    <w:p w14:paraId="2570217F" w14:textId="59C1C80C" w:rsidR="00C9743B" w:rsidRPr="00C9743B" w:rsidRDefault="00C9743B" w:rsidP="00C9743B">
      <w:pPr>
        <w:pStyle w:val="AEGBody"/>
      </w:pPr>
      <w:r w:rsidRPr="003831A1">
        <w:t>We now discuss how the data sources described above were used for each step of the study.</w:t>
      </w:r>
    </w:p>
    <w:p w14:paraId="5CD64B54" w14:textId="4811D5EC" w:rsidR="007563CF" w:rsidRDefault="007563CF" w:rsidP="009875ED">
      <w:pPr>
        <w:pStyle w:val="Heading3"/>
      </w:pPr>
      <w:bookmarkStart w:id="28" w:name="_Toc175904856"/>
      <w:r>
        <w:t>Data Application for Market Characterization</w:t>
      </w:r>
      <w:bookmarkEnd w:id="28"/>
    </w:p>
    <w:p w14:paraId="758A5EEB" w14:textId="77777777" w:rsidR="00C9743B" w:rsidRDefault="00C9743B" w:rsidP="00C9743B">
      <w:pPr>
        <w:pStyle w:val="AEGBody"/>
      </w:pPr>
      <w:r w:rsidRPr="00A624AC">
        <w:t xml:space="preserve">To construct the high-level market characterization of electricity use and households/floor space for </w:t>
      </w:r>
      <w:r>
        <w:t>each sector</w:t>
      </w:r>
      <w:r w:rsidRPr="00A624AC">
        <w:t xml:space="preserve">, we </w:t>
      </w:r>
      <w:r>
        <w:t xml:space="preserve">used Avista billing data and customer surveys </w:t>
      </w:r>
      <w:r w:rsidRPr="00A624AC">
        <w:t xml:space="preserve">to </w:t>
      </w:r>
      <w:r>
        <w:t>estimate energy use.</w:t>
      </w:r>
    </w:p>
    <w:p w14:paraId="58684B84" w14:textId="31412AD9" w:rsidR="00C9743B" w:rsidRPr="007C0B0E" w:rsidRDefault="00C9743B" w:rsidP="00C9743B">
      <w:pPr>
        <w:pStyle w:val="AEG-BulletList"/>
      </w:pPr>
      <w:r w:rsidRPr="00E30390">
        <w:rPr>
          <w:b/>
          <w:bCs/>
        </w:rPr>
        <w:t>Residential Se</w:t>
      </w:r>
      <w:r>
        <w:rPr>
          <w:b/>
          <w:bCs/>
        </w:rPr>
        <w:t>gments</w:t>
      </w:r>
      <w:r w:rsidRPr="00E30390">
        <w:rPr>
          <w:b/>
          <w:bCs/>
        </w:rPr>
        <w:t>.</w:t>
      </w:r>
      <w:r w:rsidRPr="007C0B0E">
        <w:t xml:space="preserve"> </w:t>
      </w:r>
      <w:r w:rsidR="00C458C4">
        <w:t>To distinguish low-income households within each housing segment</w:t>
      </w:r>
      <w:r w:rsidR="003F5432">
        <w:t xml:space="preserve">, </w:t>
      </w:r>
      <w:r w:rsidR="00307092" w:rsidRPr="00307092">
        <w:t>AEG cross referenced geographic data from Avista’s customer database with data from the US Census American Community Survey to estimate the presence of low-income households within Avista’s service territory</w:t>
      </w:r>
      <w:r w:rsidR="000E1251">
        <w:t xml:space="preserve">. </w:t>
      </w:r>
      <w:r w:rsidR="00FF1D2F" w:rsidRPr="00FF1D2F">
        <w:t>“Low Income” was defined by household size. In Washington the threshold is 80% of Area Median Income, and in Idaho it is 200% of the Federal Poverty Level.</w:t>
      </w:r>
      <w:r w:rsidR="00FF1D2F">
        <w:t xml:space="preserve"> </w:t>
      </w:r>
      <w:r w:rsidR="000E1251" w:rsidRPr="000E1251">
        <w:t>Data from NEEA’s Residential Building Stock Assessment (RBSA II, 2016) was used to differentiate energy characteristics of low-income households, including differences in building shells, energy use per customer, and presence of energy-using equipment</w:t>
      </w:r>
      <w:r w:rsidR="00FF1D2F">
        <w:t>.</w:t>
      </w:r>
    </w:p>
    <w:p w14:paraId="5AD76424" w14:textId="4C7D9A30" w:rsidR="00C9743B" w:rsidRPr="00C9743B" w:rsidRDefault="00C9743B" w:rsidP="00C9743B">
      <w:pPr>
        <w:pStyle w:val="AEG-BulletList"/>
      </w:pPr>
      <w:r>
        <w:rPr>
          <w:b/>
          <w:bCs/>
        </w:rPr>
        <w:t xml:space="preserve">C&amp;I </w:t>
      </w:r>
      <w:r w:rsidRPr="00CD618A">
        <w:rPr>
          <w:b/>
          <w:bCs/>
        </w:rPr>
        <w:t>Segments</w:t>
      </w:r>
      <w:r>
        <w:t xml:space="preserve">. </w:t>
      </w:r>
      <w:r w:rsidR="002F71BD">
        <w:t>Cust</w:t>
      </w:r>
      <w:r w:rsidR="00EA1D30">
        <w:t>omer</w:t>
      </w:r>
      <w:r w:rsidR="003575E7">
        <w:t>s</w:t>
      </w:r>
      <w:r w:rsidR="00F77B08">
        <w:t xml:space="preserve"> </w:t>
      </w:r>
      <w:r w:rsidRPr="007C0B0E">
        <w:t xml:space="preserve"> and sales were allocated to building type based on </w:t>
      </w:r>
      <w:r w:rsidR="00F61EBF">
        <w:t xml:space="preserve">intensity and floor space </w:t>
      </w:r>
      <w:r w:rsidR="007E3089">
        <w:t xml:space="preserve">data from </w:t>
      </w:r>
      <w:r w:rsidR="00A87B9B">
        <w:t xml:space="preserve">the </w:t>
      </w:r>
      <w:r w:rsidR="00BA2215">
        <w:t xml:space="preserve">2019 </w:t>
      </w:r>
      <w:r w:rsidR="007E3089">
        <w:t xml:space="preserve">Commercial Building Stock Assessment </w:t>
      </w:r>
      <w:r w:rsidR="00D41A0D">
        <w:t>(CBSA)</w:t>
      </w:r>
      <w:r w:rsidR="0087469F">
        <w:t xml:space="preserve"> by state</w:t>
      </w:r>
      <w:r w:rsidRPr="007C0B0E">
        <w:t xml:space="preserve">, with some adjustments between the </w:t>
      </w:r>
      <w:r>
        <w:t>C&amp;I</w:t>
      </w:r>
      <w:r w:rsidRPr="007C0B0E">
        <w:t xml:space="preserve"> sectors to better group energy use by facility type and predominate end uses. </w:t>
      </w:r>
    </w:p>
    <w:p w14:paraId="500F05B1" w14:textId="18E6BB2E" w:rsidR="007563CF" w:rsidRDefault="007563CF" w:rsidP="009875ED">
      <w:pPr>
        <w:pStyle w:val="Heading3"/>
      </w:pPr>
      <w:bookmarkStart w:id="29" w:name="_Toc175904857"/>
      <w:r>
        <w:t>Data Application for Market Profiles</w:t>
      </w:r>
      <w:bookmarkEnd w:id="29"/>
    </w:p>
    <w:p w14:paraId="66E3370B" w14:textId="0990FBEE" w:rsidR="00C9743B" w:rsidRPr="003831A1" w:rsidRDefault="00C9743B" w:rsidP="00C9743B">
      <w:pPr>
        <w:pStyle w:val="AEGBody"/>
      </w:pPr>
      <w:r w:rsidRPr="003831A1">
        <w:t xml:space="preserve">The specific data elements for the market profiles, together with the key data sources, are shown </w:t>
      </w:r>
      <w:r w:rsidRPr="003F7D8B">
        <w:t>i</w:t>
      </w:r>
      <w:r>
        <w:t xml:space="preserve">n </w:t>
      </w:r>
      <w:r w:rsidR="00DF49E7">
        <w:fldChar w:fldCharType="begin"/>
      </w:r>
      <w:r w:rsidR="00DF49E7">
        <w:instrText xml:space="preserve"> REF _Ref175811868 \h </w:instrText>
      </w:r>
      <w:r w:rsidR="00DF49E7">
        <w:fldChar w:fldCharType="separate"/>
      </w:r>
      <w:r w:rsidR="00DF49E7">
        <w:t xml:space="preserve">Table </w:t>
      </w:r>
      <w:r w:rsidR="00DF49E7">
        <w:rPr>
          <w:noProof/>
        </w:rPr>
        <w:t>2</w:t>
      </w:r>
      <w:r w:rsidR="00DF49E7">
        <w:noBreakHyphen/>
      </w:r>
      <w:r w:rsidR="00DF49E7">
        <w:rPr>
          <w:noProof/>
        </w:rPr>
        <w:t>3</w:t>
      </w:r>
      <w:r w:rsidR="00DF49E7">
        <w:fldChar w:fldCharType="end"/>
      </w:r>
      <w:r w:rsidRPr="003831A1">
        <w:t>.</w:t>
      </w:r>
      <w:r>
        <w:t xml:space="preserve"> </w:t>
      </w:r>
      <w:r w:rsidRPr="003831A1">
        <w:t xml:space="preserve">To develop the market profiles for each segment, </w:t>
      </w:r>
      <w:r>
        <w:t>AEG performed</w:t>
      </w:r>
      <w:r w:rsidRPr="003831A1">
        <w:t xml:space="preserve"> the following</w:t>
      </w:r>
      <w:r>
        <w:t xml:space="preserve"> steps:</w:t>
      </w:r>
      <w:r w:rsidRPr="003831A1">
        <w:t xml:space="preserve"> </w:t>
      </w:r>
    </w:p>
    <w:p w14:paraId="35C382EE" w14:textId="77777777" w:rsidR="00C9743B" w:rsidRPr="008B76DA" w:rsidRDefault="00C9743B" w:rsidP="00FF4586">
      <w:pPr>
        <w:pStyle w:val="AEG-NumberListopt2"/>
        <w:numPr>
          <w:ilvl w:val="0"/>
          <w:numId w:val="20"/>
        </w:numPr>
      </w:pPr>
      <w:r w:rsidRPr="003831A1">
        <w:t xml:space="preserve">Developed control totals for each segment. These include market </w:t>
      </w:r>
      <w:r w:rsidRPr="008B76DA">
        <w:t xml:space="preserve">size, segment-level annual electricity use, and annual intensity. </w:t>
      </w:r>
    </w:p>
    <w:p w14:paraId="2882A773" w14:textId="77777777" w:rsidR="00C9743B" w:rsidRPr="008B76DA" w:rsidRDefault="00C9743B" w:rsidP="00C9743B">
      <w:pPr>
        <w:pStyle w:val="AEG-NumberListopt2"/>
      </w:pPr>
      <w:r w:rsidRPr="008B76DA">
        <w:t xml:space="preserve">Used </w:t>
      </w:r>
      <w:r>
        <w:t>the Avista GenPOP Survey; NEEA’s RBSA, CBSA, and IFSA;</w:t>
      </w:r>
      <w:r w:rsidRPr="008B76DA">
        <w:t xml:space="preserve"> </w:t>
      </w:r>
      <w:r>
        <w:t xml:space="preserve">and AEG’s Energy Market Profiles database </w:t>
      </w:r>
      <w:r w:rsidRPr="008B76DA">
        <w:t xml:space="preserve">to </w:t>
      </w:r>
      <w:r>
        <w:t xml:space="preserve">develop </w:t>
      </w:r>
      <w:r w:rsidRPr="008B76DA">
        <w:t xml:space="preserve">existing appliance saturations, appliance and equipment characteristics, and building characteristics. </w:t>
      </w:r>
    </w:p>
    <w:p w14:paraId="375EA917" w14:textId="77777777" w:rsidR="00C9743B" w:rsidRPr="008B76DA" w:rsidRDefault="00C9743B" w:rsidP="00C9743B">
      <w:pPr>
        <w:pStyle w:val="AEG-NumberListopt2"/>
      </w:pPr>
      <w:r w:rsidRPr="008B76DA">
        <w:t>Ensured calibration to control totals for annual electricity sales in each sector and segment.</w:t>
      </w:r>
    </w:p>
    <w:p w14:paraId="4589A7AE" w14:textId="77777777" w:rsidR="00C9743B" w:rsidRDefault="00C9743B" w:rsidP="00C9743B">
      <w:pPr>
        <w:pStyle w:val="AEG-NumberListopt2"/>
      </w:pPr>
      <w:r w:rsidRPr="008B76DA">
        <w:t xml:space="preserve">Compared and cross-checked with other recent </w:t>
      </w:r>
      <w:r>
        <w:t>AEG studies.</w:t>
      </w:r>
    </w:p>
    <w:p w14:paraId="4CF28D43" w14:textId="77777777" w:rsidR="00C9743B" w:rsidRDefault="00C9743B" w:rsidP="00C9743B">
      <w:pPr>
        <w:pStyle w:val="AEG-NumberListopt2"/>
      </w:pPr>
      <w:r>
        <w:t>W</w:t>
      </w:r>
      <w:r w:rsidRPr="008B76DA">
        <w:t xml:space="preserve">orked with </w:t>
      </w:r>
      <w:r>
        <w:t>Avista</w:t>
      </w:r>
      <w:r w:rsidRPr="008B76DA">
        <w:t xml:space="preserve"> staff to vet the data against their knowledge and experience</w:t>
      </w:r>
      <w:r w:rsidRPr="003831A1">
        <w:t>.</w:t>
      </w:r>
    </w:p>
    <w:p w14:paraId="7E6F2886" w14:textId="77777777" w:rsidR="00C9743B" w:rsidRPr="00C9743B" w:rsidRDefault="00C9743B" w:rsidP="00C9743B">
      <w:pPr>
        <w:pStyle w:val="AEGBody"/>
      </w:pPr>
    </w:p>
    <w:p w14:paraId="70761955" w14:textId="62BFDE8C" w:rsidR="00A22B78" w:rsidRDefault="00A22B78" w:rsidP="00A22B78">
      <w:pPr>
        <w:pStyle w:val="Caption"/>
      </w:pPr>
      <w:bookmarkStart w:id="30" w:name="_Ref175811868"/>
      <w:bookmarkStart w:id="31" w:name="_Toc175912365"/>
      <w:r>
        <w:lastRenderedPageBreak/>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3</w:t>
      </w:r>
      <w:r w:rsidR="00EE4707">
        <w:fldChar w:fldCharType="end"/>
      </w:r>
      <w:bookmarkEnd w:id="30"/>
      <w:r>
        <w:t xml:space="preserve"> Data Applied for the Market Profiles</w:t>
      </w:r>
      <w:bookmarkEnd w:id="31"/>
    </w:p>
    <w:tbl>
      <w:tblPr>
        <w:tblStyle w:val="AEG-DarkBanded"/>
        <w:tblW w:w="5000" w:type="pct"/>
        <w:jc w:val="center"/>
        <w:tblLook w:val="04A0" w:firstRow="1" w:lastRow="0" w:firstColumn="1" w:lastColumn="0" w:noHBand="0" w:noVBand="1"/>
      </w:tblPr>
      <w:tblGrid>
        <w:gridCol w:w="1971"/>
        <w:gridCol w:w="3502"/>
        <w:gridCol w:w="3707"/>
      </w:tblGrid>
      <w:tr w:rsidR="00A72FAA" w:rsidRPr="00A22B78" w14:paraId="22B58DB4" w14:textId="77777777" w:rsidTr="001021E1">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30365404" w14:textId="77777777" w:rsidR="00A72FAA" w:rsidRPr="00837B1B" w:rsidRDefault="00A72FAA" w:rsidP="00CD4B24">
            <w:pPr>
              <w:pStyle w:val="TableText"/>
              <w:keepNext/>
              <w:ind w:right="-115"/>
              <w:jc w:val="left"/>
              <w:rPr>
                <w:rFonts w:asciiTheme="majorHAnsi" w:hAnsiTheme="majorHAnsi" w:cs="Calibri"/>
                <w:b w:val="0"/>
                <w:bCs/>
                <w:color w:val="F6F6F7" w:themeColor="background1"/>
              </w:rPr>
            </w:pPr>
            <w:r w:rsidRPr="00837B1B">
              <w:rPr>
                <w:rFonts w:asciiTheme="majorHAnsi" w:hAnsiTheme="majorHAnsi" w:cs="Calibri"/>
                <w:b w:val="0"/>
                <w:bCs/>
                <w:color w:val="F6F6F7" w:themeColor="background1"/>
              </w:rPr>
              <w:t>Model Inputs</w:t>
            </w:r>
          </w:p>
        </w:tc>
        <w:tc>
          <w:tcPr>
            <w:tcW w:w="3534" w:type="dxa"/>
          </w:tcPr>
          <w:p w14:paraId="2F41DD4B" w14:textId="77777777" w:rsidR="00A72FAA" w:rsidRPr="00837B1B" w:rsidRDefault="00A72FAA" w:rsidP="00CD4B24">
            <w:pPr>
              <w:pStyle w:val="TableText"/>
              <w:keepNext/>
              <w:ind w:right="-115"/>
              <w:cnfStyle w:val="100000000000" w:firstRow="1" w:lastRow="0" w:firstColumn="0" w:lastColumn="0" w:oddVBand="0" w:evenVBand="0" w:oddHBand="0" w:evenHBand="0" w:firstRowFirstColumn="0" w:firstRowLastColumn="0" w:lastRowFirstColumn="0" w:lastRowLastColumn="0"/>
              <w:rPr>
                <w:rFonts w:asciiTheme="majorHAnsi" w:hAnsiTheme="majorHAnsi" w:cs="Calibri"/>
                <w:b w:val="0"/>
                <w:bCs/>
                <w:color w:val="F6F6F7" w:themeColor="background1"/>
              </w:rPr>
            </w:pPr>
            <w:r w:rsidRPr="00837B1B">
              <w:rPr>
                <w:rFonts w:asciiTheme="majorHAnsi" w:hAnsiTheme="majorHAnsi" w:cs="Calibri"/>
                <w:b w:val="0"/>
                <w:bCs/>
                <w:color w:val="F6F6F7" w:themeColor="background1"/>
              </w:rPr>
              <w:t>Description</w:t>
            </w:r>
          </w:p>
        </w:tc>
        <w:tc>
          <w:tcPr>
            <w:tcW w:w="3764" w:type="dxa"/>
          </w:tcPr>
          <w:p w14:paraId="0CD356CC" w14:textId="77777777" w:rsidR="00A72FAA" w:rsidRPr="00837B1B" w:rsidRDefault="00A72FAA" w:rsidP="00CD4B24">
            <w:pPr>
              <w:pStyle w:val="TableText"/>
              <w:keepNext/>
              <w:ind w:right="-115"/>
              <w:cnfStyle w:val="100000000000" w:firstRow="1" w:lastRow="0" w:firstColumn="0" w:lastColumn="0" w:oddVBand="0" w:evenVBand="0" w:oddHBand="0" w:evenHBand="0" w:firstRowFirstColumn="0" w:firstRowLastColumn="0" w:lastRowFirstColumn="0" w:lastRowLastColumn="0"/>
              <w:rPr>
                <w:rFonts w:asciiTheme="majorHAnsi" w:hAnsiTheme="majorHAnsi" w:cs="Calibri"/>
                <w:b w:val="0"/>
                <w:bCs/>
                <w:color w:val="F6F6F7" w:themeColor="background1"/>
              </w:rPr>
            </w:pPr>
            <w:r w:rsidRPr="00837B1B">
              <w:rPr>
                <w:rFonts w:asciiTheme="majorHAnsi" w:hAnsiTheme="majorHAnsi" w:cs="Calibri"/>
                <w:b w:val="0"/>
                <w:bCs/>
                <w:color w:val="F6F6F7" w:themeColor="background1"/>
              </w:rPr>
              <w:t>Key Sources</w:t>
            </w:r>
          </w:p>
        </w:tc>
      </w:tr>
      <w:tr w:rsidR="00A72FAA" w:rsidRPr="00A22B78" w14:paraId="1CB37355"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2A09F1B5" w14:textId="77777777" w:rsidR="00A72FAA" w:rsidRPr="00837B1B" w:rsidRDefault="00A72FAA" w:rsidP="00C54C72">
            <w:pPr>
              <w:pStyle w:val="TableText"/>
              <w:keepNext/>
              <w:ind w:right="-115"/>
              <w:jc w:val="left"/>
              <w:rPr>
                <w:rFonts w:asciiTheme="minorHAnsi" w:hAnsiTheme="minorHAnsi" w:cs="Calibri"/>
              </w:rPr>
            </w:pPr>
            <w:r w:rsidRPr="00837B1B">
              <w:rPr>
                <w:rFonts w:asciiTheme="minorHAnsi" w:hAnsiTheme="minorHAnsi" w:cs="Calibri"/>
              </w:rPr>
              <w:t>Market size</w:t>
            </w:r>
          </w:p>
        </w:tc>
        <w:tc>
          <w:tcPr>
            <w:tcW w:w="3534" w:type="dxa"/>
          </w:tcPr>
          <w:p w14:paraId="5A8A72E3" w14:textId="77777777" w:rsidR="00A72FAA" w:rsidRPr="00837B1B"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837B1B">
              <w:rPr>
                <w:rFonts w:asciiTheme="minorHAnsi" w:hAnsiTheme="minorHAnsi" w:cs="Calibri"/>
              </w:rPr>
              <w:t>Base-year residential dwellings, commercial floor space, and industrial employment</w:t>
            </w:r>
          </w:p>
        </w:tc>
        <w:tc>
          <w:tcPr>
            <w:tcW w:w="3764" w:type="dxa"/>
          </w:tcPr>
          <w:p w14:paraId="0C6648E8"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Avista billing data</w:t>
            </w:r>
          </w:p>
          <w:p w14:paraId="4B07A8F9"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Avista GenPOP Survey</w:t>
            </w:r>
          </w:p>
          <w:p w14:paraId="7FEA373D"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NEEA RBSA and CBSA</w:t>
            </w:r>
          </w:p>
          <w:p w14:paraId="575616BF" w14:textId="1A1DA0CC"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 xml:space="preserve">AEO </w:t>
            </w:r>
            <w:r w:rsidR="0088060C" w:rsidRPr="00FF4586">
              <w:rPr>
                <w:rFonts w:asciiTheme="minorHAnsi" w:hAnsiTheme="minorHAnsi" w:cs="Calibri"/>
              </w:rPr>
              <w:t>2023</w:t>
            </w:r>
          </w:p>
        </w:tc>
      </w:tr>
      <w:tr w:rsidR="00A72FAA" w:rsidRPr="00A22B78" w14:paraId="7D19D81A"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2B5C4478" w14:textId="77777777" w:rsidR="00A72FAA" w:rsidRPr="00837B1B" w:rsidRDefault="00A72FAA" w:rsidP="00C54C72">
            <w:pPr>
              <w:pStyle w:val="TableText"/>
              <w:keepNext/>
              <w:ind w:right="-115"/>
              <w:jc w:val="left"/>
              <w:rPr>
                <w:rFonts w:asciiTheme="minorHAnsi" w:hAnsiTheme="minorHAnsi" w:cs="Calibri"/>
              </w:rPr>
            </w:pPr>
            <w:r w:rsidRPr="00837B1B">
              <w:rPr>
                <w:rFonts w:asciiTheme="minorHAnsi" w:hAnsiTheme="minorHAnsi" w:cs="Calibri"/>
              </w:rPr>
              <w:t>Annual intensity</w:t>
            </w:r>
          </w:p>
        </w:tc>
        <w:tc>
          <w:tcPr>
            <w:tcW w:w="3534" w:type="dxa"/>
          </w:tcPr>
          <w:p w14:paraId="0DBB791A" w14:textId="77777777" w:rsidR="00A72FAA" w:rsidRPr="00837B1B"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837B1B">
              <w:rPr>
                <w:rFonts w:asciiTheme="minorHAnsi" w:hAnsiTheme="minorHAnsi" w:cs="Calibri"/>
              </w:rPr>
              <w:t>Residential: Annual use per household</w:t>
            </w:r>
          </w:p>
          <w:p w14:paraId="5F653BDC" w14:textId="48AD9F29" w:rsidR="00A72FAA" w:rsidRPr="00837B1B"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837B1B">
              <w:rPr>
                <w:rFonts w:asciiTheme="minorHAnsi" w:hAnsiTheme="minorHAnsi" w:cs="Calibri"/>
              </w:rPr>
              <w:t>Commercial: Annual use per square foot</w:t>
            </w:r>
          </w:p>
        </w:tc>
        <w:tc>
          <w:tcPr>
            <w:tcW w:w="3764" w:type="dxa"/>
          </w:tcPr>
          <w:p w14:paraId="5F85751A" w14:textId="0F5C3AB7" w:rsidR="00833A56"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rPr>
              <w:t>Avista billing data</w:t>
            </w:r>
          </w:p>
          <w:p w14:paraId="07E60885" w14:textId="77777777" w:rsidR="00833A56" w:rsidRPr="00FF4586" w:rsidRDefault="00833A56"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US DOE RECS and CBECS data</w:t>
            </w:r>
          </w:p>
          <w:p w14:paraId="2C8B250E" w14:textId="62378B40"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NEEA RBSA and CBSA</w:t>
            </w:r>
          </w:p>
          <w:p w14:paraId="711952B0" w14:textId="6045284A"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 xml:space="preserve">AEO </w:t>
            </w:r>
            <w:r w:rsidR="0088060C" w:rsidRPr="00FF4586">
              <w:rPr>
                <w:rFonts w:asciiTheme="minorHAnsi" w:hAnsiTheme="minorHAnsi" w:cs="Calibri"/>
              </w:rPr>
              <w:t>2023</w:t>
            </w:r>
          </w:p>
          <w:p w14:paraId="73862A83" w14:textId="77777777"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Other recent studies</w:t>
            </w:r>
          </w:p>
        </w:tc>
      </w:tr>
      <w:tr w:rsidR="00A72FAA" w:rsidRPr="00A22B78" w14:paraId="57483940"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638448AA" w14:textId="77777777" w:rsidR="00A72FAA" w:rsidRPr="00837B1B" w:rsidRDefault="00A72FAA" w:rsidP="00C54C72">
            <w:pPr>
              <w:pStyle w:val="TableText"/>
              <w:keepNext/>
              <w:ind w:right="-115"/>
              <w:jc w:val="left"/>
              <w:rPr>
                <w:rFonts w:asciiTheme="minorHAnsi" w:hAnsiTheme="minorHAnsi" w:cs="Calibri"/>
              </w:rPr>
            </w:pPr>
            <w:r w:rsidRPr="00837B1B">
              <w:rPr>
                <w:rFonts w:asciiTheme="minorHAnsi" w:hAnsiTheme="minorHAnsi" w:cs="Calibri"/>
              </w:rPr>
              <w:t>Appliance/equipment saturations</w:t>
            </w:r>
          </w:p>
        </w:tc>
        <w:tc>
          <w:tcPr>
            <w:tcW w:w="3534" w:type="dxa"/>
          </w:tcPr>
          <w:p w14:paraId="64E49F43" w14:textId="77777777" w:rsidR="00A72FAA" w:rsidRPr="00837B1B"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837B1B">
              <w:rPr>
                <w:rFonts w:asciiTheme="minorHAnsi" w:hAnsiTheme="minorHAnsi" w:cs="Calibri"/>
              </w:rPr>
              <w:t>Fraction of dwellings with an appliance/technology</w:t>
            </w:r>
            <w:r w:rsidRPr="00837B1B">
              <w:rPr>
                <w:rFonts w:asciiTheme="minorHAnsi" w:hAnsiTheme="minorHAnsi" w:cs="Calibri"/>
              </w:rPr>
              <w:br/>
              <w:t>Percentage of C&amp;I floor space/employment with equipment/technology</w:t>
            </w:r>
          </w:p>
        </w:tc>
        <w:tc>
          <w:tcPr>
            <w:tcW w:w="3764" w:type="dxa"/>
          </w:tcPr>
          <w:p w14:paraId="31BEB0B2"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Avista GenPOP Survey</w:t>
            </w:r>
          </w:p>
          <w:p w14:paraId="7B8D70F5"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NEEA RBSA and CBSA</w:t>
            </w:r>
          </w:p>
          <w:p w14:paraId="7C334E1A"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AEG’s Energy Market Profiles</w:t>
            </w:r>
          </w:p>
        </w:tc>
      </w:tr>
      <w:tr w:rsidR="00A72FAA" w:rsidRPr="00A22B78" w14:paraId="493BB51B"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08C92532" w14:textId="77777777" w:rsidR="00A72FAA" w:rsidRPr="00837B1B" w:rsidRDefault="00A72FAA" w:rsidP="00C54C72">
            <w:pPr>
              <w:pStyle w:val="TableText"/>
              <w:keepNext/>
              <w:ind w:right="-115"/>
              <w:jc w:val="left"/>
              <w:rPr>
                <w:rFonts w:asciiTheme="minorHAnsi" w:hAnsiTheme="minorHAnsi" w:cs="Calibri"/>
              </w:rPr>
            </w:pPr>
            <w:r w:rsidRPr="00837B1B">
              <w:rPr>
                <w:rFonts w:asciiTheme="minorHAnsi" w:hAnsiTheme="minorHAnsi" w:cs="Calibri"/>
              </w:rPr>
              <w:t>UEC/EUI for each end-use technology</w:t>
            </w:r>
          </w:p>
        </w:tc>
        <w:tc>
          <w:tcPr>
            <w:tcW w:w="3534" w:type="dxa"/>
          </w:tcPr>
          <w:p w14:paraId="27A49395" w14:textId="77777777" w:rsidR="00A72FAA" w:rsidRPr="00837B1B"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837B1B">
              <w:rPr>
                <w:rFonts w:asciiTheme="minorHAnsi" w:hAnsiTheme="minorHAnsi" w:cs="Calibri"/>
              </w:rPr>
              <w:t>UEC: Annual electricity use in homes and buildings that have the technology</w:t>
            </w:r>
            <w:r w:rsidRPr="00837B1B">
              <w:rPr>
                <w:rFonts w:asciiTheme="minorHAnsi" w:hAnsiTheme="minorHAnsi" w:cs="Calibri"/>
              </w:rPr>
              <w:br/>
              <w:t>EUI: Annual electricity use per square foot/employee for a technology in floor space that has the technology</w:t>
            </w:r>
          </w:p>
        </w:tc>
        <w:tc>
          <w:tcPr>
            <w:tcW w:w="3764" w:type="dxa"/>
          </w:tcPr>
          <w:p w14:paraId="6FBE793E" w14:textId="77777777"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NWPCC RTF and 2021 Power Plan and RTF</w:t>
            </w:r>
          </w:p>
          <w:p w14:paraId="793E2F9D" w14:textId="5827865C" w:rsidR="00A72FAA" w:rsidRPr="00FF4586" w:rsidRDefault="00E57E32"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Building simulations</w:t>
            </w:r>
          </w:p>
          <w:p w14:paraId="090B796F" w14:textId="24B6D2D4" w:rsidR="00A72FAA" w:rsidRPr="00FF4586" w:rsidRDefault="00833A56"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US RECS and CBECS data</w:t>
            </w:r>
          </w:p>
          <w:p w14:paraId="4F674E82" w14:textId="15C6A244" w:rsidR="00833A56" w:rsidRPr="00FF4586" w:rsidRDefault="00833A56"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EIA Technical Data</w:t>
            </w:r>
          </w:p>
        </w:tc>
      </w:tr>
      <w:tr w:rsidR="00A72FAA" w:rsidRPr="00A22B78" w14:paraId="5153F892"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129FAB85" w14:textId="77777777" w:rsidR="00A72FAA" w:rsidRPr="00837B1B" w:rsidRDefault="00A72FAA" w:rsidP="00C54C72">
            <w:pPr>
              <w:pStyle w:val="TableText"/>
              <w:keepNext/>
              <w:ind w:right="-115"/>
              <w:jc w:val="left"/>
              <w:rPr>
                <w:rFonts w:asciiTheme="minorHAnsi" w:hAnsiTheme="minorHAnsi" w:cs="Calibri"/>
              </w:rPr>
            </w:pPr>
            <w:r w:rsidRPr="00837B1B">
              <w:rPr>
                <w:rFonts w:asciiTheme="minorHAnsi" w:hAnsiTheme="minorHAnsi" w:cs="Calibri"/>
              </w:rPr>
              <w:t>Appliance/equipment age distribution</w:t>
            </w:r>
          </w:p>
        </w:tc>
        <w:tc>
          <w:tcPr>
            <w:tcW w:w="3534" w:type="dxa"/>
          </w:tcPr>
          <w:p w14:paraId="1283D793" w14:textId="77777777" w:rsidR="00A72FAA" w:rsidRPr="00837B1B"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837B1B">
              <w:rPr>
                <w:rFonts w:asciiTheme="minorHAnsi" w:hAnsiTheme="minorHAnsi" w:cs="Calibri"/>
              </w:rPr>
              <w:t>Age distribution for each technology</w:t>
            </w:r>
          </w:p>
        </w:tc>
        <w:tc>
          <w:tcPr>
            <w:tcW w:w="3764" w:type="dxa"/>
          </w:tcPr>
          <w:p w14:paraId="66F1D61A" w14:textId="14C2D4C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 xml:space="preserve">RTF and NWPCC </w:t>
            </w:r>
            <w:r w:rsidR="00E57E32" w:rsidRPr="00FF4586">
              <w:rPr>
                <w:rFonts w:asciiTheme="minorHAnsi" w:hAnsiTheme="minorHAnsi" w:cs="Calibri"/>
              </w:rPr>
              <w:t>2021 Power Plan</w:t>
            </w:r>
            <w:r w:rsidRPr="00FF4586">
              <w:rPr>
                <w:rFonts w:asciiTheme="minorHAnsi" w:hAnsiTheme="minorHAnsi" w:cs="Calibri"/>
              </w:rPr>
              <w:t xml:space="preserve"> data</w:t>
            </w:r>
          </w:p>
          <w:p w14:paraId="66AF8A05"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 xml:space="preserve">NEEA regional survey data </w:t>
            </w:r>
          </w:p>
          <w:p w14:paraId="774ED534"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 xml:space="preserve">Utility saturation surveys </w:t>
            </w:r>
          </w:p>
          <w:p w14:paraId="2656219B" w14:textId="77777777" w:rsidR="00A72FAA" w:rsidRPr="00FF4586"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Recent AEG studies</w:t>
            </w:r>
          </w:p>
        </w:tc>
      </w:tr>
      <w:tr w:rsidR="00A72FAA" w:rsidRPr="00A22B78" w14:paraId="5432DE79"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1D73DAE6" w14:textId="77777777" w:rsidR="00A72FAA" w:rsidRPr="00837B1B" w:rsidRDefault="00A72FAA" w:rsidP="00C54C72">
            <w:pPr>
              <w:pStyle w:val="TableText"/>
              <w:keepNext/>
              <w:ind w:right="-115"/>
              <w:jc w:val="left"/>
              <w:rPr>
                <w:rFonts w:asciiTheme="minorHAnsi" w:hAnsiTheme="minorHAnsi" w:cs="Calibri"/>
              </w:rPr>
            </w:pPr>
            <w:r w:rsidRPr="00837B1B">
              <w:rPr>
                <w:rFonts w:asciiTheme="minorHAnsi" w:hAnsiTheme="minorHAnsi" w:cs="Calibri"/>
              </w:rPr>
              <w:t>Efficiency options for each technology</w:t>
            </w:r>
          </w:p>
        </w:tc>
        <w:tc>
          <w:tcPr>
            <w:tcW w:w="3534" w:type="dxa"/>
          </w:tcPr>
          <w:p w14:paraId="00A16594" w14:textId="77777777" w:rsidR="00A72FAA" w:rsidRPr="00837B1B"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837B1B">
              <w:rPr>
                <w:rFonts w:asciiTheme="minorHAnsi" w:hAnsiTheme="minorHAnsi" w:cs="Calibri"/>
              </w:rPr>
              <w:t>List of available efficiency options and annual energy use for each technology</w:t>
            </w:r>
          </w:p>
        </w:tc>
        <w:tc>
          <w:tcPr>
            <w:tcW w:w="3764" w:type="dxa"/>
          </w:tcPr>
          <w:p w14:paraId="4AC27ED6" w14:textId="77777777"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AEG DEEM</w:t>
            </w:r>
          </w:p>
          <w:p w14:paraId="2288A7B2" w14:textId="1169A4E5"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 xml:space="preserve">AEO </w:t>
            </w:r>
            <w:r w:rsidR="0088060C" w:rsidRPr="00FF4586">
              <w:rPr>
                <w:rFonts w:asciiTheme="minorHAnsi" w:hAnsiTheme="minorHAnsi" w:cs="Calibri"/>
              </w:rPr>
              <w:t>2023</w:t>
            </w:r>
          </w:p>
          <w:p w14:paraId="6AD72E81" w14:textId="77777777" w:rsidR="00A72FAA" w:rsidRPr="00FF4586" w:rsidRDefault="00A72FAA"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RTF and NWPCC 2021 Plan data</w:t>
            </w:r>
          </w:p>
          <w:p w14:paraId="5C200A2A" w14:textId="407C9742" w:rsidR="00A72FAA" w:rsidRPr="00FF4586" w:rsidRDefault="00E57E32" w:rsidP="00FF4586">
            <w:pPr>
              <w:pStyle w:val="TableText"/>
              <w:keepNext/>
              <w:ind w:right="-115"/>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US EIA Tech Data sheets</w:t>
            </w:r>
          </w:p>
        </w:tc>
      </w:tr>
      <w:tr w:rsidR="00A72FAA" w:rsidRPr="00A22B78" w14:paraId="278A643D"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882" w:type="dxa"/>
          </w:tcPr>
          <w:p w14:paraId="3E8DB368" w14:textId="77777777" w:rsidR="00A72FAA" w:rsidRPr="0061617E" w:rsidRDefault="00A72FAA" w:rsidP="00C54C72">
            <w:pPr>
              <w:pStyle w:val="TableText"/>
              <w:keepNext/>
              <w:ind w:right="-115"/>
              <w:jc w:val="left"/>
              <w:rPr>
                <w:rFonts w:asciiTheme="minorHAnsi" w:hAnsiTheme="minorHAnsi" w:cs="Calibri"/>
              </w:rPr>
            </w:pPr>
            <w:r w:rsidRPr="0061617E">
              <w:rPr>
                <w:rFonts w:asciiTheme="minorHAnsi" w:hAnsiTheme="minorHAnsi" w:cs="Calibri"/>
              </w:rPr>
              <w:t>Peak factors</w:t>
            </w:r>
          </w:p>
        </w:tc>
        <w:tc>
          <w:tcPr>
            <w:tcW w:w="3534" w:type="dxa"/>
          </w:tcPr>
          <w:p w14:paraId="5D286263" w14:textId="77777777" w:rsidR="00A72FAA" w:rsidRPr="0061617E" w:rsidRDefault="00A72FAA"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61617E">
              <w:rPr>
                <w:rFonts w:asciiTheme="minorHAnsi" w:hAnsiTheme="minorHAnsi" w:cs="Calibri"/>
              </w:rPr>
              <w:t>Share of technology energy use that occurs during the peak hour</w:t>
            </w:r>
          </w:p>
        </w:tc>
        <w:tc>
          <w:tcPr>
            <w:tcW w:w="3764" w:type="dxa"/>
          </w:tcPr>
          <w:p w14:paraId="71536659" w14:textId="06C38843" w:rsidR="00A72FAA" w:rsidRPr="00FF4586" w:rsidRDefault="00E57E32" w:rsidP="00FF4586">
            <w:pPr>
              <w:pStyle w:val="TableText"/>
              <w:keepNext/>
              <w:ind w:right="-115"/>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NREL and AEG simulation load shapes</w:t>
            </w:r>
          </w:p>
        </w:tc>
      </w:tr>
    </w:tbl>
    <w:p w14:paraId="5C497CA2" w14:textId="77777777" w:rsidR="00A72FAA" w:rsidRDefault="00A72FAA" w:rsidP="00A72FAA">
      <w:pPr>
        <w:pStyle w:val="AEGBody"/>
      </w:pPr>
    </w:p>
    <w:p w14:paraId="37CA0FA2" w14:textId="77777777" w:rsidR="00A72FAA" w:rsidRPr="00A72FAA" w:rsidRDefault="00A72FAA" w:rsidP="00A72FAA">
      <w:pPr>
        <w:pStyle w:val="AEGBody"/>
      </w:pPr>
    </w:p>
    <w:p w14:paraId="4316F854" w14:textId="56D1D3A2" w:rsidR="007563CF" w:rsidRDefault="007563CF" w:rsidP="009875ED">
      <w:pPr>
        <w:pStyle w:val="Heading3"/>
      </w:pPr>
      <w:bookmarkStart w:id="32" w:name="_Toc175904858"/>
      <w:r>
        <w:t>Data Application for Baseline Projection</w:t>
      </w:r>
      <w:bookmarkEnd w:id="32"/>
    </w:p>
    <w:p w14:paraId="4A277F82" w14:textId="164F182E" w:rsidR="001409AF" w:rsidRPr="001409AF" w:rsidRDefault="00DF49E7" w:rsidP="001409AF">
      <w:pPr>
        <w:pStyle w:val="AEGBody"/>
      </w:pPr>
      <w:r>
        <w:fldChar w:fldCharType="begin"/>
      </w:r>
      <w:r>
        <w:instrText xml:space="preserve"> REF _Ref175811859 \h </w:instrText>
      </w:r>
      <w:r>
        <w:fldChar w:fldCharType="separate"/>
      </w:r>
      <w:r>
        <w:t xml:space="preserve">Table </w:t>
      </w:r>
      <w:r>
        <w:rPr>
          <w:noProof/>
        </w:rPr>
        <w:t>2</w:t>
      </w:r>
      <w:r>
        <w:noBreakHyphen/>
      </w:r>
      <w:r>
        <w:rPr>
          <w:noProof/>
        </w:rPr>
        <w:t>4</w:t>
      </w:r>
      <w:r>
        <w:fldChar w:fldCharType="end"/>
      </w:r>
      <w:r w:rsidR="00833A56">
        <w:t xml:space="preserve"> </w:t>
      </w:r>
      <w:r w:rsidR="001409AF" w:rsidRPr="001409AF">
        <w:t>summarizes the LoadMAP model inputs required for the baseline projection. These inputs are required for each segment within each sector, as well as for new construction and existing dwellings/buildings.</w:t>
      </w:r>
    </w:p>
    <w:p w14:paraId="7DF85303" w14:textId="3AF546B1" w:rsidR="00CD4B24" w:rsidRDefault="00CD4B24" w:rsidP="00CD4B24">
      <w:pPr>
        <w:pStyle w:val="Caption"/>
      </w:pPr>
      <w:bookmarkStart w:id="33" w:name="_Ref175811859"/>
      <w:bookmarkStart w:id="34" w:name="_Toc175912366"/>
      <w:r>
        <w:lastRenderedPageBreak/>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4</w:t>
      </w:r>
      <w:r w:rsidR="00EE4707">
        <w:fldChar w:fldCharType="end"/>
      </w:r>
      <w:bookmarkEnd w:id="33"/>
      <w:r>
        <w:t xml:space="preserve"> </w:t>
      </w:r>
      <w:r w:rsidRPr="00B71C53">
        <w:t>Data Needs for Baseline Projection and Potentials Estimation in LoadMAP</w:t>
      </w:r>
      <w:bookmarkEnd w:id="34"/>
    </w:p>
    <w:tbl>
      <w:tblPr>
        <w:tblStyle w:val="AEG-DarkBanded"/>
        <w:tblW w:w="4981" w:type="pct"/>
        <w:jc w:val="center"/>
        <w:tblLook w:val="04A0" w:firstRow="1" w:lastRow="0" w:firstColumn="1" w:lastColumn="0" w:noHBand="0" w:noVBand="1"/>
      </w:tblPr>
      <w:tblGrid>
        <w:gridCol w:w="1666"/>
        <w:gridCol w:w="3513"/>
        <w:gridCol w:w="3966"/>
      </w:tblGrid>
      <w:tr w:rsidR="00A412CD" w14:paraId="6A4C716D" w14:textId="77777777" w:rsidTr="001021E1">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66" w:type="dxa"/>
          </w:tcPr>
          <w:p w14:paraId="43E322DD" w14:textId="77777777" w:rsidR="00A412CD" w:rsidRPr="0061617E" w:rsidRDefault="00A412CD" w:rsidP="00C54C72">
            <w:pPr>
              <w:pStyle w:val="TableText"/>
              <w:keepNext/>
              <w:ind w:right="-72"/>
              <w:jc w:val="left"/>
              <w:rPr>
                <w:rFonts w:asciiTheme="majorHAnsi" w:hAnsiTheme="majorHAnsi" w:cs="Calibri"/>
                <w:b w:val="0"/>
                <w:bCs/>
                <w:caps/>
                <w:color w:val="F6F6F7" w:themeColor="background1"/>
                <w:sz w:val="22"/>
              </w:rPr>
            </w:pPr>
            <w:r w:rsidRPr="0061617E">
              <w:rPr>
                <w:rFonts w:asciiTheme="majorHAnsi" w:hAnsiTheme="majorHAnsi" w:cs="Calibri"/>
                <w:b w:val="0"/>
                <w:bCs/>
                <w:color w:val="F6F6F7" w:themeColor="background1"/>
              </w:rPr>
              <w:t>Model Inputs</w:t>
            </w:r>
          </w:p>
        </w:tc>
        <w:tc>
          <w:tcPr>
            <w:tcW w:w="3513" w:type="dxa"/>
          </w:tcPr>
          <w:p w14:paraId="7BBD44DC" w14:textId="77777777" w:rsidR="00A412CD" w:rsidRPr="0061617E" w:rsidRDefault="00A412CD" w:rsidP="00CD4B24">
            <w:pPr>
              <w:pStyle w:val="TableText"/>
              <w:keepNext/>
              <w:ind w:right="-72"/>
              <w:cnfStyle w:val="100000000000" w:firstRow="1" w:lastRow="0" w:firstColumn="0" w:lastColumn="0" w:oddVBand="0" w:evenVBand="0" w:oddHBand="0" w:evenHBand="0" w:firstRowFirstColumn="0" w:firstRowLastColumn="0" w:lastRowFirstColumn="0" w:lastRowLastColumn="0"/>
              <w:rPr>
                <w:rFonts w:asciiTheme="majorHAnsi" w:hAnsiTheme="majorHAnsi" w:cs="Calibri"/>
                <w:b w:val="0"/>
                <w:bCs/>
                <w:caps/>
                <w:color w:val="F6F6F7" w:themeColor="background1"/>
                <w:sz w:val="22"/>
              </w:rPr>
            </w:pPr>
            <w:r w:rsidRPr="0061617E">
              <w:rPr>
                <w:rFonts w:asciiTheme="majorHAnsi" w:hAnsiTheme="majorHAnsi" w:cs="Calibri"/>
                <w:b w:val="0"/>
                <w:bCs/>
                <w:color w:val="F6F6F7" w:themeColor="background1"/>
              </w:rPr>
              <w:t>Description</w:t>
            </w:r>
          </w:p>
        </w:tc>
        <w:tc>
          <w:tcPr>
            <w:tcW w:w="3966" w:type="dxa"/>
          </w:tcPr>
          <w:p w14:paraId="27079E30" w14:textId="77777777" w:rsidR="00A412CD" w:rsidRPr="0061617E" w:rsidRDefault="00A412CD" w:rsidP="00CD4B24">
            <w:pPr>
              <w:pStyle w:val="TableText"/>
              <w:keepNext/>
              <w:ind w:right="-72"/>
              <w:cnfStyle w:val="100000000000" w:firstRow="1" w:lastRow="0" w:firstColumn="0" w:lastColumn="0" w:oddVBand="0" w:evenVBand="0" w:oddHBand="0" w:evenHBand="0" w:firstRowFirstColumn="0" w:firstRowLastColumn="0" w:lastRowFirstColumn="0" w:lastRowLastColumn="0"/>
              <w:rPr>
                <w:rFonts w:asciiTheme="majorHAnsi" w:hAnsiTheme="majorHAnsi" w:cs="Calibri"/>
                <w:b w:val="0"/>
                <w:bCs/>
                <w:caps/>
                <w:color w:val="F6F6F7" w:themeColor="background1"/>
                <w:sz w:val="22"/>
              </w:rPr>
            </w:pPr>
            <w:r w:rsidRPr="0061617E">
              <w:rPr>
                <w:rFonts w:asciiTheme="majorHAnsi" w:hAnsiTheme="majorHAnsi" w:cs="Calibri"/>
                <w:b w:val="0"/>
                <w:bCs/>
                <w:color w:val="F6F6F7" w:themeColor="background1"/>
              </w:rPr>
              <w:t>Key Sources</w:t>
            </w:r>
          </w:p>
        </w:tc>
      </w:tr>
      <w:tr w:rsidR="00A412CD" w14:paraId="7F653D49"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666" w:type="dxa"/>
          </w:tcPr>
          <w:p w14:paraId="11A84236" w14:textId="77777777" w:rsidR="00A412CD" w:rsidRPr="0061617E" w:rsidRDefault="00A412CD" w:rsidP="00C54C72">
            <w:pPr>
              <w:pStyle w:val="TableText"/>
              <w:keepNext/>
              <w:ind w:right="-72"/>
              <w:jc w:val="left"/>
              <w:rPr>
                <w:rFonts w:asciiTheme="minorHAnsi" w:hAnsiTheme="minorHAnsi"/>
              </w:rPr>
            </w:pPr>
            <w:r w:rsidRPr="0061617E">
              <w:rPr>
                <w:rFonts w:asciiTheme="minorHAnsi" w:hAnsiTheme="minorHAnsi"/>
              </w:rPr>
              <w:t>Customer growth forecasts</w:t>
            </w:r>
          </w:p>
        </w:tc>
        <w:tc>
          <w:tcPr>
            <w:tcW w:w="3513" w:type="dxa"/>
          </w:tcPr>
          <w:p w14:paraId="7F00BC66" w14:textId="754D2BF3" w:rsidR="00A412CD" w:rsidRPr="0061617E" w:rsidRDefault="00A412CD"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61617E">
              <w:rPr>
                <w:rFonts w:asciiTheme="minorHAnsi" w:hAnsiTheme="minorHAnsi"/>
              </w:rPr>
              <w:t>Forecasts of new construction in residential, commercial, and industrial sectors</w:t>
            </w:r>
          </w:p>
        </w:tc>
        <w:tc>
          <w:tcPr>
            <w:tcW w:w="3966" w:type="dxa"/>
          </w:tcPr>
          <w:p w14:paraId="5A488A64" w14:textId="74746276" w:rsidR="00A412CD" w:rsidRPr="00FF4586" w:rsidRDefault="00A412CD"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F4586">
              <w:rPr>
                <w:rFonts w:asciiTheme="minorHAnsi" w:hAnsiTheme="minorHAnsi"/>
              </w:rPr>
              <w:t>Avista</w:t>
            </w:r>
            <w:r w:rsidR="001367D7" w:rsidRPr="00FF4586">
              <w:rPr>
                <w:rFonts w:asciiTheme="minorHAnsi" w:hAnsiTheme="minorHAnsi"/>
              </w:rPr>
              <w:t xml:space="preserve"> short term</w:t>
            </w:r>
            <w:r w:rsidRPr="00FF4586">
              <w:rPr>
                <w:rFonts w:asciiTheme="minorHAnsi" w:hAnsiTheme="minorHAnsi"/>
              </w:rPr>
              <w:t xml:space="preserve"> load forecast</w:t>
            </w:r>
          </w:p>
          <w:p w14:paraId="2BF2098D" w14:textId="735F6C22" w:rsidR="00A412CD" w:rsidRPr="00FF4586" w:rsidRDefault="00A412CD"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F4586">
              <w:rPr>
                <w:rFonts w:asciiTheme="minorHAnsi" w:hAnsiTheme="minorHAnsi"/>
              </w:rPr>
              <w:t xml:space="preserve">AEO </w:t>
            </w:r>
            <w:r w:rsidR="0088060C" w:rsidRPr="00FF4586">
              <w:rPr>
                <w:rFonts w:asciiTheme="minorHAnsi" w:hAnsiTheme="minorHAnsi"/>
              </w:rPr>
              <w:t xml:space="preserve">2023 </w:t>
            </w:r>
            <w:r w:rsidRPr="00FF4586">
              <w:rPr>
                <w:rFonts w:asciiTheme="minorHAnsi" w:hAnsiTheme="minorHAnsi"/>
              </w:rPr>
              <w:t>economic growth forecast</w:t>
            </w:r>
          </w:p>
        </w:tc>
      </w:tr>
      <w:tr w:rsidR="00A412CD" w14:paraId="154D8AA4"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66" w:type="dxa"/>
          </w:tcPr>
          <w:p w14:paraId="69ED1C44" w14:textId="77777777" w:rsidR="00A412CD" w:rsidRPr="0061617E" w:rsidRDefault="00A412CD" w:rsidP="00C54C72">
            <w:pPr>
              <w:pStyle w:val="TableText"/>
              <w:keepNext/>
              <w:ind w:right="-72"/>
              <w:jc w:val="left"/>
              <w:rPr>
                <w:rFonts w:asciiTheme="minorHAnsi" w:hAnsiTheme="minorHAnsi"/>
              </w:rPr>
            </w:pPr>
            <w:r w:rsidRPr="0061617E">
              <w:rPr>
                <w:rFonts w:asciiTheme="minorHAnsi" w:hAnsiTheme="minorHAnsi"/>
              </w:rPr>
              <w:t>Equipment purchase shares for baseline projection</w:t>
            </w:r>
          </w:p>
        </w:tc>
        <w:tc>
          <w:tcPr>
            <w:tcW w:w="3513" w:type="dxa"/>
          </w:tcPr>
          <w:p w14:paraId="48625B8E" w14:textId="77777777" w:rsidR="00A412CD" w:rsidRPr="0061617E" w:rsidRDefault="00A412CD" w:rsidP="00FF4586">
            <w:pPr>
              <w:pStyle w:val="TableText"/>
              <w:keepN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61617E">
              <w:rPr>
                <w:rFonts w:asciiTheme="minorHAnsi" w:hAnsiTheme="minorHAnsi"/>
              </w:rPr>
              <w:t>For each equipment/technology, purchase shares for each efficiency level; specified separately for existing equipment replacement and new construction</w:t>
            </w:r>
          </w:p>
        </w:tc>
        <w:tc>
          <w:tcPr>
            <w:tcW w:w="3966" w:type="dxa"/>
          </w:tcPr>
          <w:p w14:paraId="005F4449" w14:textId="77777777" w:rsidR="00A412CD" w:rsidRPr="00FF4586" w:rsidRDefault="00A412CD" w:rsidP="00FF4586">
            <w:pPr>
              <w:pStyle w:val="TableText"/>
              <w:keepN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FF4586">
              <w:rPr>
                <w:rFonts w:asciiTheme="minorHAnsi" w:hAnsiTheme="minorHAnsi"/>
              </w:rPr>
              <w:t>Shipments data from AEO and ENERGY STAR</w:t>
            </w:r>
          </w:p>
          <w:p w14:paraId="61CB54FF" w14:textId="2EC442DF" w:rsidR="00A412CD" w:rsidRPr="00FF4586" w:rsidRDefault="00A412CD" w:rsidP="00FF4586">
            <w:pPr>
              <w:pStyle w:val="TableText"/>
              <w:keepN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FF4586">
              <w:rPr>
                <w:rFonts w:asciiTheme="minorHAnsi" w:hAnsiTheme="minorHAnsi"/>
              </w:rPr>
              <w:t xml:space="preserve">AEO </w:t>
            </w:r>
            <w:r w:rsidR="0088060C" w:rsidRPr="00FF4586">
              <w:rPr>
                <w:rFonts w:asciiTheme="minorHAnsi" w:hAnsiTheme="minorHAnsi"/>
              </w:rPr>
              <w:t xml:space="preserve">2023 </w:t>
            </w:r>
            <w:r w:rsidRPr="00FF4586">
              <w:rPr>
                <w:rFonts w:asciiTheme="minorHAnsi" w:hAnsiTheme="minorHAnsi"/>
              </w:rPr>
              <w:t>regional forecast assumptions</w:t>
            </w:r>
            <w:r w:rsidRPr="00FF4586">
              <w:rPr>
                <w:rStyle w:val="FootnoteReference"/>
                <w:rFonts w:asciiTheme="minorHAnsi" w:hAnsiTheme="minorHAnsi"/>
              </w:rPr>
              <w:footnoteReference w:id="3"/>
            </w:r>
          </w:p>
          <w:p w14:paraId="5088A87B" w14:textId="77777777" w:rsidR="00A412CD" w:rsidRPr="00FF4586" w:rsidRDefault="00A412CD" w:rsidP="00FF4586">
            <w:pPr>
              <w:pStyle w:val="TableText"/>
              <w:keepN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FF4586">
              <w:rPr>
                <w:rFonts w:asciiTheme="minorHAnsi" w:hAnsiTheme="minorHAnsi"/>
              </w:rPr>
              <w:t>Appliance/efficiency standards analysis</w:t>
            </w:r>
          </w:p>
          <w:p w14:paraId="25B469DA" w14:textId="77777777" w:rsidR="00A412CD" w:rsidRPr="00FF4586" w:rsidRDefault="00A412CD" w:rsidP="00FF4586">
            <w:pPr>
              <w:pStyle w:val="TableText"/>
              <w:keepN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rPr>
            </w:pPr>
            <w:r w:rsidRPr="00FF4586">
              <w:rPr>
                <w:rFonts w:asciiTheme="minorHAnsi" w:hAnsiTheme="minorHAnsi"/>
              </w:rPr>
              <w:t>Avista program results and evaluation reports</w:t>
            </w:r>
          </w:p>
        </w:tc>
      </w:tr>
      <w:tr w:rsidR="00A412CD" w14:paraId="7AE25968"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666" w:type="dxa"/>
          </w:tcPr>
          <w:p w14:paraId="5ACC8321" w14:textId="77777777" w:rsidR="00A412CD" w:rsidRPr="0061617E" w:rsidRDefault="00A412CD" w:rsidP="00C54C72">
            <w:pPr>
              <w:pStyle w:val="TableText"/>
              <w:keepNext/>
              <w:ind w:right="-72"/>
              <w:jc w:val="left"/>
              <w:rPr>
                <w:rFonts w:asciiTheme="minorHAnsi" w:hAnsiTheme="minorHAnsi"/>
              </w:rPr>
            </w:pPr>
            <w:r w:rsidRPr="0061617E">
              <w:rPr>
                <w:rFonts w:asciiTheme="minorHAnsi" w:hAnsiTheme="minorHAnsi"/>
              </w:rPr>
              <w:t>Utilization model parameters</w:t>
            </w:r>
          </w:p>
        </w:tc>
        <w:tc>
          <w:tcPr>
            <w:tcW w:w="3513" w:type="dxa"/>
          </w:tcPr>
          <w:p w14:paraId="72CF62C0" w14:textId="77777777" w:rsidR="00A412CD" w:rsidRPr="0061617E" w:rsidRDefault="00A412CD"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61617E">
              <w:rPr>
                <w:rFonts w:asciiTheme="minorHAnsi" w:hAnsiTheme="minorHAnsi"/>
              </w:rPr>
              <w:t>Price elasticities, elasticities for other variables (income, weather)</w:t>
            </w:r>
          </w:p>
        </w:tc>
        <w:tc>
          <w:tcPr>
            <w:tcW w:w="3966" w:type="dxa"/>
          </w:tcPr>
          <w:p w14:paraId="190C50D2" w14:textId="77777777" w:rsidR="00A412CD" w:rsidRDefault="00A412CD"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F4586">
              <w:rPr>
                <w:rFonts w:asciiTheme="minorHAnsi" w:hAnsiTheme="minorHAnsi"/>
              </w:rPr>
              <w:t>EPRI’s REEPS and COMMEND models</w:t>
            </w:r>
          </w:p>
          <w:p w14:paraId="65F0EF96" w14:textId="632C7A2B" w:rsidR="001367D7" w:rsidRPr="00FF4586" w:rsidRDefault="001367D7"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Avista short-term forecast calibration</w:t>
            </w:r>
          </w:p>
          <w:p w14:paraId="08853F84" w14:textId="3A463BDB" w:rsidR="00A412CD" w:rsidRPr="00FF4586" w:rsidRDefault="00A412CD" w:rsidP="00FF4586">
            <w:pPr>
              <w:pStyle w:val="TableText"/>
              <w:keepN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FF4586">
              <w:rPr>
                <w:rFonts w:asciiTheme="minorHAnsi" w:hAnsiTheme="minorHAnsi"/>
              </w:rPr>
              <w:t xml:space="preserve">AEO </w:t>
            </w:r>
            <w:r w:rsidR="0088060C" w:rsidRPr="00FF4586">
              <w:rPr>
                <w:rFonts w:asciiTheme="minorHAnsi" w:hAnsiTheme="minorHAnsi"/>
              </w:rPr>
              <w:t>2023</w:t>
            </w:r>
          </w:p>
        </w:tc>
      </w:tr>
    </w:tbl>
    <w:p w14:paraId="15E987F5" w14:textId="77777777" w:rsidR="00195927" w:rsidRDefault="00195927" w:rsidP="000F5F8E">
      <w:pPr>
        <w:pStyle w:val="AEGBody"/>
        <w:rPr>
          <w:lang w:eastAsia="ja-JP"/>
        </w:rPr>
        <w:sectPr w:rsidR="00195927" w:rsidSect="002A1BED">
          <w:headerReference w:type="default" r:id="rId27"/>
          <w:footerReference w:type="default" r:id="rId28"/>
          <w:pgSz w:w="12240" w:h="15840"/>
          <w:pgMar w:top="1440" w:right="1620" w:bottom="1440" w:left="1440" w:header="720" w:footer="576" w:gutter="0"/>
          <w:cols w:space="720"/>
          <w:titlePg/>
          <w:docGrid w:linePitch="360"/>
        </w:sectPr>
      </w:pPr>
    </w:p>
    <w:p w14:paraId="3A193DD8" w14:textId="77777777" w:rsidR="00A412CD" w:rsidRDefault="00A412CD" w:rsidP="000F5F8E">
      <w:pPr>
        <w:pStyle w:val="AEGBody"/>
        <w:rPr>
          <w:lang w:eastAsia="ja-JP"/>
        </w:rPr>
      </w:pPr>
    </w:p>
    <w:p w14:paraId="08985F47" w14:textId="77777777" w:rsidR="00336482" w:rsidRDefault="00F26406" w:rsidP="00336482">
      <w:pPr>
        <w:pStyle w:val="Caption"/>
      </w:pPr>
      <w:bookmarkStart w:id="35" w:name="_Toc175912367"/>
      <w:r>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5</w:t>
      </w:r>
      <w:r w:rsidR="00EE4707">
        <w:fldChar w:fldCharType="end"/>
      </w:r>
      <w:r w:rsidR="00336482">
        <w:t xml:space="preserve"> Residential Electric Equipment Standards</w:t>
      </w:r>
      <w:bookmarkEnd w:id="35"/>
    </w:p>
    <w:tbl>
      <w:tblPr>
        <w:tblW w:w="10527" w:type="dxa"/>
        <w:tblLook w:val="04A0" w:firstRow="1" w:lastRow="0" w:firstColumn="1" w:lastColumn="0" w:noHBand="0" w:noVBand="1"/>
      </w:tblPr>
      <w:tblGrid>
        <w:gridCol w:w="1562"/>
        <w:gridCol w:w="1958"/>
        <w:gridCol w:w="874"/>
        <w:gridCol w:w="680"/>
        <w:gridCol w:w="678"/>
        <w:gridCol w:w="681"/>
        <w:gridCol w:w="679"/>
        <w:gridCol w:w="679"/>
        <w:gridCol w:w="683"/>
        <w:gridCol w:w="679"/>
        <w:gridCol w:w="7"/>
        <w:gridCol w:w="674"/>
        <w:gridCol w:w="679"/>
        <w:gridCol w:w="14"/>
      </w:tblGrid>
      <w:tr w:rsidR="00A469DF" w:rsidRPr="00844A41" w14:paraId="12322F58" w14:textId="77777777" w:rsidTr="00A469DF">
        <w:trPr>
          <w:gridAfter w:val="1"/>
          <w:wAfter w:w="14" w:type="dxa"/>
          <w:trHeight w:val="363"/>
        </w:trPr>
        <w:tc>
          <w:tcPr>
            <w:tcW w:w="1564" w:type="dxa"/>
            <w:tcBorders>
              <w:top w:val="nil"/>
              <w:left w:val="nil"/>
              <w:bottom w:val="nil"/>
              <w:right w:val="nil"/>
            </w:tcBorders>
            <w:shd w:val="clear" w:color="000000" w:fill="444C5E"/>
            <w:vAlign w:val="center"/>
            <w:hideMark/>
          </w:tcPr>
          <w:p w14:paraId="588BC97C"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End Use</w:t>
            </w:r>
          </w:p>
        </w:tc>
        <w:tc>
          <w:tcPr>
            <w:tcW w:w="1960" w:type="dxa"/>
            <w:tcBorders>
              <w:top w:val="nil"/>
              <w:left w:val="nil"/>
              <w:bottom w:val="single" w:sz="8" w:space="0" w:color="7140D1"/>
              <w:right w:val="nil"/>
            </w:tcBorders>
            <w:shd w:val="clear" w:color="000000" w:fill="444C5E"/>
            <w:vAlign w:val="center"/>
            <w:hideMark/>
          </w:tcPr>
          <w:p w14:paraId="05BD77B6" w14:textId="77777777" w:rsidR="00844A41" w:rsidRPr="007631AF" w:rsidRDefault="00844A41" w:rsidP="00844A41">
            <w:pPr>
              <w:keepNext/>
              <w:jc w:val="left"/>
              <w:rPr>
                <w:rFonts w:asciiTheme="majorHAnsi" w:eastAsia="Times New Roman" w:hAnsiTheme="majorHAnsi"/>
                <w:color w:val="FFFFFF"/>
                <w:sz w:val="18"/>
                <w:szCs w:val="18"/>
              </w:rPr>
            </w:pPr>
            <w:r w:rsidRPr="007631AF">
              <w:rPr>
                <w:rFonts w:asciiTheme="majorHAnsi" w:eastAsia="Times New Roman" w:hAnsiTheme="majorHAnsi"/>
                <w:color w:val="FFFFFF"/>
                <w:sz w:val="18"/>
                <w:szCs w:val="18"/>
              </w:rPr>
              <w:t>Technology</w:t>
            </w:r>
          </w:p>
        </w:tc>
        <w:tc>
          <w:tcPr>
            <w:tcW w:w="875" w:type="dxa"/>
            <w:tcBorders>
              <w:top w:val="nil"/>
              <w:left w:val="nil"/>
              <w:bottom w:val="nil"/>
              <w:right w:val="nil"/>
            </w:tcBorders>
            <w:shd w:val="clear" w:color="000000" w:fill="444C5E"/>
            <w:vAlign w:val="center"/>
            <w:hideMark/>
          </w:tcPr>
          <w:p w14:paraId="50A6368A"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2022</w:t>
            </w:r>
          </w:p>
        </w:tc>
        <w:tc>
          <w:tcPr>
            <w:tcW w:w="679" w:type="dxa"/>
            <w:tcBorders>
              <w:top w:val="nil"/>
              <w:left w:val="nil"/>
              <w:bottom w:val="nil"/>
              <w:right w:val="nil"/>
            </w:tcBorders>
            <w:shd w:val="clear" w:color="000000" w:fill="444C5E"/>
            <w:vAlign w:val="center"/>
            <w:hideMark/>
          </w:tcPr>
          <w:p w14:paraId="13873988"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2023</w:t>
            </w:r>
          </w:p>
        </w:tc>
        <w:tc>
          <w:tcPr>
            <w:tcW w:w="678" w:type="dxa"/>
            <w:tcBorders>
              <w:top w:val="nil"/>
              <w:left w:val="nil"/>
              <w:bottom w:val="nil"/>
              <w:right w:val="nil"/>
            </w:tcBorders>
            <w:shd w:val="clear" w:color="000000" w:fill="444C5E"/>
            <w:vAlign w:val="center"/>
            <w:hideMark/>
          </w:tcPr>
          <w:p w14:paraId="45B6D160"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2024</w:t>
            </w:r>
          </w:p>
        </w:tc>
        <w:tc>
          <w:tcPr>
            <w:tcW w:w="679" w:type="dxa"/>
            <w:tcBorders>
              <w:top w:val="nil"/>
              <w:left w:val="nil"/>
              <w:bottom w:val="nil"/>
              <w:right w:val="nil"/>
            </w:tcBorders>
            <w:shd w:val="clear" w:color="000000" w:fill="444C5E"/>
            <w:vAlign w:val="center"/>
            <w:hideMark/>
          </w:tcPr>
          <w:p w14:paraId="118B27D8"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2025</w:t>
            </w:r>
          </w:p>
        </w:tc>
        <w:tc>
          <w:tcPr>
            <w:tcW w:w="679" w:type="dxa"/>
            <w:tcBorders>
              <w:top w:val="nil"/>
              <w:left w:val="nil"/>
              <w:bottom w:val="nil"/>
              <w:right w:val="nil"/>
            </w:tcBorders>
            <w:shd w:val="clear" w:color="000000" w:fill="444C5E"/>
            <w:vAlign w:val="center"/>
            <w:hideMark/>
          </w:tcPr>
          <w:p w14:paraId="22844663"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2026</w:t>
            </w:r>
          </w:p>
        </w:tc>
        <w:tc>
          <w:tcPr>
            <w:tcW w:w="679" w:type="dxa"/>
            <w:tcBorders>
              <w:top w:val="nil"/>
              <w:left w:val="nil"/>
              <w:bottom w:val="nil"/>
              <w:right w:val="nil"/>
            </w:tcBorders>
            <w:shd w:val="clear" w:color="000000" w:fill="444C5E"/>
            <w:vAlign w:val="center"/>
            <w:hideMark/>
          </w:tcPr>
          <w:p w14:paraId="478D114A"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olor w:val="FFFFFF"/>
                <w:sz w:val="18"/>
                <w:szCs w:val="18"/>
              </w:rPr>
              <w:t>2027</w:t>
            </w:r>
          </w:p>
        </w:tc>
        <w:tc>
          <w:tcPr>
            <w:tcW w:w="681" w:type="dxa"/>
            <w:tcBorders>
              <w:top w:val="nil"/>
              <w:left w:val="nil"/>
              <w:bottom w:val="nil"/>
              <w:right w:val="nil"/>
            </w:tcBorders>
            <w:shd w:val="clear" w:color="000000" w:fill="444C5E"/>
            <w:vAlign w:val="center"/>
            <w:hideMark/>
          </w:tcPr>
          <w:p w14:paraId="09DD2F1C"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olor w:val="FFFFFF"/>
                <w:sz w:val="18"/>
                <w:szCs w:val="18"/>
              </w:rPr>
              <w:t>2028</w:t>
            </w:r>
          </w:p>
        </w:tc>
        <w:tc>
          <w:tcPr>
            <w:tcW w:w="679" w:type="dxa"/>
            <w:tcBorders>
              <w:top w:val="nil"/>
              <w:left w:val="nil"/>
              <w:bottom w:val="nil"/>
              <w:right w:val="nil"/>
            </w:tcBorders>
            <w:shd w:val="clear" w:color="000000" w:fill="444C5E"/>
            <w:vAlign w:val="center"/>
            <w:hideMark/>
          </w:tcPr>
          <w:p w14:paraId="0564F5E1"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olor w:val="FFFFFF"/>
                <w:sz w:val="18"/>
                <w:szCs w:val="18"/>
              </w:rPr>
              <w:t>2029</w:t>
            </w:r>
          </w:p>
        </w:tc>
        <w:tc>
          <w:tcPr>
            <w:tcW w:w="681" w:type="dxa"/>
            <w:gridSpan w:val="2"/>
            <w:tcBorders>
              <w:top w:val="nil"/>
              <w:left w:val="nil"/>
              <w:bottom w:val="nil"/>
              <w:right w:val="nil"/>
            </w:tcBorders>
            <w:shd w:val="clear" w:color="000000" w:fill="444C5E"/>
            <w:vAlign w:val="center"/>
            <w:hideMark/>
          </w:tcPr>
          <w:p w14:paraId="0D396EC4"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olor w:val="FFFFFF"/>
                <w:sz w:val="18"/>
                <w:szCs w:val="18"/>
              </w:rPr>
              <w:t>2030</w:t>
            </w:r>
          </w:p>
        </w:tc>
        <w:tc>
          <w:tcPr>
            <w:tcW w:w="679" w:type="dxa"/>
            <w:tcBorders>
              <w:top w:val="nil"/>
              <w:left w:val="nil"/>
              <w:bottom w:val="nil"/>
              <w:right w:val="nil"/>
            </w:tcBorders>
            <w:shd w:val="clear" w:color="000000" w:fill="444C5E"/>
            <w:vAlign w:val="center"/>
            <w:hideMark/>
          </w:tcPr>
          <w:p w14:paraId="6F5B0741" w14:textId="77777777" w:rsidR="00844A41" w:rsidRPr="007631AF" w:rsidRDefault="00844A41" w:rsidP="00844A41">
            <w:pPr>
              <w:keepNext/>
              <w:jc w:val="center"/>
              <w:rPr>
                <w:rFonts w:asciiTheme="majorHAnsi" w:eastAsia="Times New Roman" w:hAnsiTheme="majorHAnsi"/>
                <w:color w:val="FFFFFF"/>
                <w:sz w:val="18"/>
                <w:szCs w:val="18"/>
              </w:rPr>
            </w:pPr>
            <w:r w:rsidRPr="007631AF">
              <w:rPr>
                <w:rFonts w:asciiTheme="majorHAnsi" w:eastAsia="Times New Roman" w:hAnsiTheme="majorHAnsi" w:cs="Calibri Light"/>
                <w:color w:val="FFFFFF"/>
                <w:sz w:val="18"/>
                <w:szCs w:val="18"/>
              </w:rPr>
              <w:t>2031</w:t>
            </w:r>
          </w:p>
        </w:tc>
      </w:tr>
      <w:tr w:rsidR="00A469DF" w:rsidRPr="00844A41" w14:paraId="1140D5AD" w14:textId="77777777" w:rsidTr="00A469DF">
        <w:trPr>
          <w:trHeight w:val="348"/>
        </w:trPr>
        <w:tc>
          <w:tcPr>
            <w:tcW w:w="1564" w:type="dxa"/>
            <w:vMerge w:val="restart"/>
            <w:tcBorders>
              <w:top w:val="single" w:sz="8" w:space="0" w:color="7140D1"/>
              <w:left w:val="nil"/>
              <w:bottom w:val="single" w:sz="4" w:space="0" w:color="7140D1"/>
              <w:right w:val="nil"/>
            </w:tcBorders>
            <w:shd w:val="clear" w:color="auto" w:fill="auto"/>
            <w:vAlign w:val="center"/>
            <w:hideMark/>
          </w:tcPr>
          <w:p w14:paraId="2A4EF7A5" w14:textId="77777777" w:rsidR="00844A41" w:rsidRPr="007631AF" w:rsidRDefault="00844A41" w:rsidP="00844A41">
            <w:pPr>
              <w:keepNext/>
              <w:jc w:val="left"/>
              <w:rPr>
                <w:rFonts w:asciiTheme="majorHAnsi" w:eastAsia="Times New Roman" w:hAnsiTheme="majorHAnsi"/>
                <w:sz w:val="18"/>
                <w:szCs w:val="18"/>
              </w:rPr>
            </w:pPr>
            <w:r w:rsidRPr="007631AF">
              <w:rPr>
                <w:rFonts w:asciiTheme="majorHAnsi" w:eastAsia="Times New Roman" w:hAnsiTheme="majorHAnsi"/>
                <w:sz w:val="18"/>
                <w:szCs w:val="18"/>
              </w:rPr>
              <w:t>Cooling</w:t>
            </w:r>
          </w:p>
        </w:tc>
        <w:tc>
          <w:tcPr>
            <w:tcW w:w="1960" w:type="dxa"/>
            <w:tcBorders>
              <w:top w:val="nil"/>
              <w:left w:val="nil"/>
              <w:bottom w:val="single" w:sz="4" w:space="0" w:color="7140D1"/>
              <w:right w:val="single" w:sz="4" w:space="0" w:color="7140D1"/>
            </w:tcBorders>
            <w:shd w:val="clear" w:color="auto" w:fill="auto"/>
            <w:vAlign w:val="center"/>
            <w:hideMark/>
          </w:tcPr>
          <w:p w14:paraId="327F4305"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Central AC</w:t>
            </w:r>
          </w:p>
        </w:tc>
        <w:tc>
          <w:tcPr>
            <w:tcW w:w="875" w:type="dxa"/>
            <w:tcBorders>
              <w:top w:val="single" w:sz="8" w:space="0" w:color="7140D1"/>
              <w:left w:val="nil"/>
              <w:bottom w:val="single" w:sz="4" w:space="0" w:color="7140D1"/>
              <w:right w:val="single" w:sz="4" w:space="0" w:color="7140D1"/>
            </w:tcBorders>
            <w:shd w:val="clear" w:color="auto" w:fill="auto"/>
            <w:vAlign w:val="center"/>
            <w:hideMark/>
          </w:tcPr>
          <w:p w14:paraId="573AD4A2"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SEER 13.0</w:t>
            </w:r>
          </w:p>
        </w:tc>
        <w:tc>
          <w:tcPr>
            <w:tcW w:w="6127" w:type="dxa"/>
            <w:gridSpan w:val="11"/>
            <w:tcBorders>
              <w:top w:val="single" w:sz="8" w:space="0" w:color="7140D1"/>
              <w:left w:val="nil"/>
              <w:bottom w:val="single" w:sz="4" w:space="0" w:color="7140D1"/>
              <w:right w:val="nil"/>
            </w:tcBorders>
            <w:shd w:val="clear" w:color="auto" w:fill="auto"/>
            <w:vAlign w:val="center"/>
            <w:hideMark/>
          </w:tcPr>
          <w:p w14:paraId="06FC1F13"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SEER 14.0 </w:t>
            </w:r>
          </w:p>
        </w:tc>
      </w:tr>
      <w:tr w:rsidR="00A469DF" w:rsidRPr="00844A41" w14:paraId="33698BD7" w14:textId="77777777" w:rsidTr="00A469DF">
        <w:trPr>
          <w:trHeight w:val="348"/>
        </w:trPr>
        <w:tc>
          <w:tcPr>
            <w:tcW w:w="1564" w:type="dxa"/>
            <w:vMerge/>
            <w:tcBorders>
              <w:top w:val="single" w:sz="8" w:space="0" w:color="7140D1"/>
              <w:left w:val="nil"/>
              <w:bottom w:val="single" w:sz="4" w:space="0" w:color="7140D1"/>
              <w:right w:val="nil"/>
            </w:tcBorders>
            <w:vAlign w:val="center"/>
            <w:hideMark/>
          </w:tcPr>
          <w:p w14:paraId="7F52030B"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000000" w:fill="F2F2F2"/>
            <w:vAlign w:val="center"/>
            <w:hideMark/>
          </w:tcPr>
          <w:p w14:paraId="084BBBDA"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Room AC</w:t>
            </w:r>
          </w:p>
        </w:tc>
        <w:tc>
          <w:tcPr>
            <w:tcW w:w="2914" w:type="dxa"/>
            <w:gridSpan w:val="4"/>
            <w:tcBorders>
              <w:top w:val="single" w:sz="4" w:space="0" w:color="7140D1"/>
              <w:left w:val="nil"/>
              <w:bottom w:val="single" w:sz="4" w:space="0" w:color="7140D1"/>
              <w:right w:val="single" w:sz="4" w:space="0" w:color="7140D1"/>
            </w:tcBorders>
            <w:shd w:val="clear" w:color="000000" w:fill="F2F2F2"/>
            <w:vAlign w:val="center"/>
            <w:hideMark/>
          </w:tcPr>
          <w:p w14:paraId="5C72619A"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CEER 10.9</w:t>
            </w:r>
          </w:p>
        </w:tc>
        <w:tc>
          <w:tcPr>
            <w:tcW w:w="4088" w:type="dxa"/>
            <w:gridSpan w:val="8"/>
            <w:tcBorders>
              <w:top w:val="single" w:sz="4" w:space="0" w:color="7140D1"/>
              <w:left w:val="nil"/>
              <w:bottom w:val="single" w:sz="4" w:space="0" w:color="7140D1"/>
              <w:right w:val="single" w:sz="4" w:space="0" w:color="7140D1"/>
            </w:tcBorders>
            <w:shd w:val="clear" w:color="000000" w:fill="F2F2F2"/>
            <w:vAlign w:val="center"/>
            <w:hideMark/>
          </w:tcPr>
          <w:p w14:paraId="2B172EC2"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CEER 16.0</w:t>
            </w:r>
          </w:p>
        </w:tc>
      </w:tr>
      <w:tr w:rsidR="00A469DF" w:rsidRPr="00844A41" w14:paraId="03D8B7F5" w14:textId="77777777" w:rsidTr="00A469DF">
        <w:trPr>
          <w:trHeight w:val="485"/>
        </w:trPr>
        <w:tc>
          <w:tcPr>
            <w:tcW w:w="1564" w:type="dxa"/>
            <w:tcBorders>
              <w:top w:val="nil"/>
              <w:left w:val="nil"/>
              <w:bottom w:val="single" w:sz="4" w:space="0" w:color="7140D1"/>
              <w:right w:val="nil"/>
            </w:tcBorders>
            <w:shd w:val="clear" w:color="auto" w:fill="auto"/>
            <w:vAlign w:val="center"/>
            <w:hideMark/>
          </w:tcPr>
          <w:p w14:paraId="732675E5" w14:textId="77777777" w:rsidR="00844A41" w:rsidRPr="007631AF" w:rsidRDefault="00844A41" w:rsidP="00844A41">
            <w:pPr>
              <w:keepNext/>
              <w:jc w:val="left"/>
              <w:rPr>
                <w:rFonts w:asciiTheme="majorHAnsi" w:eastAsia="Times New Roman" w:hAnsiTheme="majorHAnsi"/>
                <w:sz w:val="18"/>
                <w:szCs w:val="18"/>
              </w:rPr>
            </w:pPr>
            <w:r w:rsidRPr="007631AF">
              <w:rPr>
                <w:rFonts w:asciiTheme="majorHAnsi" w:eastAsia="Times New Roman" w:hAnsiTheme="majorHAnsi"/>
                <w:sz w:val="18"/>
                <w:szCs w:val="18"/>
              </w:rPr>
              <w:t>Cool/Heating</w:t>
            </w:r>
          </w:p>
        </w:tc>
        <w:tc>
          <w:tcPr>
            <w:tcW w:w="1960" w:type="dxa"/>
            <w:tcBorders>
              <w:top w:val="nil"/>
              <w:left w:val="nil"/>
              <w:bottom w:val="single" w:sz="4" w:space="0" w:color="7140D1"/>
              <w:right w:val="single" w:sz="4" w:space="0" w:color="7140D1"/>
            </w:tcBorders>
            <w:shd w:val="clear" w:color="auto" w:fill="auto"/>
            <w:vAlign w:val="center"/>
            <w:hideMark/>
          </w:tcPr>
          <w:p w14:paraId="2585B446"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Heat Pumps</w:t>
            </w:r>
          </w:p>
        </w:tc>
        <w:tc>
          <w:tcPr>
            <w:tcW w:w="875" w:type="dxa"/>
            <w:tcBorders>
              <w:top w:val="nil"/>
              <w:left w:val="nil"/>
              <w:bottom w:val="single" w:sz="4" w:space="0" w:color="7140D1"/>
              <w:right w:val="single" w:sz="4" w:space="0" w:color="7140D1"/>
            </w:tcBorders>
            <w:shd w:val="clear" w:color="auto" w:fill="auto"/>
            <w:vAlign w:val="center"/>
            <w:hideMark/>
          </w:tcPr>
          <w:p w14:paraId="1561B26E"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SEER 14.0 / HSPF 7.7</w:t>
            </w:r>
          </w:p>
        </w:tc>
        <w:tc>
          <w:tcPr>
            <w:tcW w:w="6127" w:type="dxa"/>
            <w:gridSpan w:val="11"/>
            <w:tcBorders>
              <w:top w:val="single" w:sz="4" w:space="0" w:color="7140D1"/>
              <w:left w:val="nil"/>
              <w:bottom w:val="single" w:sz="4" w:space="0" w:color="7140D1"/>
              <w:right w:val="single" w:sz="4" w:space="0" w:color="7140D1"/>
            </w:tcBorders>
            <w:shd w:val="clear" w:color="auto" w:fill="auto"/>
            <w:vAlign w:val="center"/>
            <w:hideMark/>
          </w:tcPr>
          <w:p w14:paraId="6006E6FF"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SEER 15.0 / HSPF 8.8 | SEER2 14.3 / HSPF2 7.5</w:t>
            </w:r>
          </w:p>
        </w:tc>
      </w:tr>
      <w:tr w:rsidR="00A469DF" w:rsidRPr="00844A41" w14:paraId="5A052023" w14:textId="77777777" w:rsidTr="00A469DF">
        <w:trPr>
          <w:trHeight w:val="348"/>
        </w:trPr>
        <w:tc>
          <w:tcPr>
            <w:tcW w:w="1564" w:type="dxa"/>
            <w:vMerge w:val="restart"/>
            <w:tcBorders>
              <w:top w:val="nil"/>
              <w:left w:val="nil"/>
              <w:bottom w:val="single" w:sz="4" w:space="0" w:color="7140D1"/>
              <w:right w:val="nil"/>
            </w:tcBorders>
            <w:shd w:val="clear" w:color="000000" w:fill="FFFFFF"/>
            <w:vAlign w:val="center"/>
            <w:hideMark/>
          </w:tcPr>
          <w:p w14:paraId="2C15D406" w14:textId="77777777" w:rsidR="00844A41" w:rsidRPr="007631AF" w:rsidRDefault="00844A41" w:rsidP="00844A41">
            <w:pPr>
              <w:keepNext/>
              <w:jc w:val="left"/>
              <w:rPr>
                <w:rFonts w:asciiTheme="majorHAnsi" w:eastAsia="Times New Roman" w:hAnsiTheme="majorHAnsi"/>
                <w:sz w:val="18"/>
                <w:szCs w:val="18"/>
              </w:rPr>
            </w:pPr>
            <w:r w:rsidRPr="007631AF">
              <w:rPr>
                <w:rFonts w:asciiTheme="majorHAnsi" w:eastAsia="Times New Roman" w:hAnsiTheme="majorHAnsi"/>
                <w:sz w:val="18"/>
                <w:szCs w:val="18"/>
              </w:rPr>
              <w:t>Water Heating</w:t>
            </w:r>
          </w:p>
        </w:tc>
        <w:tc>
          <w:tcPr>
            <w:tcW w:w="1960" w:type="dxa"/>
            <w:tcBorders>
              <w:top w:val="nil"/>
              <w:left w:val="nil"/>
              <w:bottom w:val="single" w:sz="4" w:space="0" w:color="7140D1"/>
              <w:right w:val="single" w:sz="4" w:space="0" w:color="7140D1"/>
            </w:tcBorders>
            <w:shd w:val="clear" w:color="000000" w:fill="F2F2F2"/>
            <w:vAlign w:val="center"/>
            <w:hideMark/>
          </w:tcPr>
          <w:p w14:paraId="5C73AF7D"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Water Heater ≤55Gal</w:t>
            </w:r>
          </w:p>
        </w:tc>
        <w:tc>
          <w:tcPr>
            <w:tcW w:w="5641" w:type="dxa"/>
            <w:gridSpan w:val="9"/>
            <w:tcBorders>
              <w:top w:val="single" w:sz="4" w:space="0" w:color="7140D1"/>
              <w:left w:val="nil"/>
              <w:bottom w:val="single" w:sz="4" w:space="0" w:color="7140D1"/>
              <w:right w:val="single" w:sz="4" w:space="0" w:color="7140D1"/>
            </w:tcBorders>
            <w:shd w:val="clear" w:color="000000" w:fill="F2F2F2"/>
            <w:vAlign w:val="center"/>
            <w:hideMark/>
          </w:tcPr>
          <w:p w14:paraId="5D2028EC"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UEF 0.92</w:t>
            </w:r>
          </w:p>
        </w:tc>
        <w:tc>
          <w:tcPr>
            <w:tcW w:w="1362" w:type="dxa"/>
            <w:gridSpan w:val="3"/>
            <w:tcBorders>
              <w:top w:val="single" w:sz="4" w:space="0" w:color="7140D1"/>
              <w:left w:val="nil"/>
              <w:bottom w:val="single" w:sz="4" w:space="0" w:color="7140D1"/>
              <w:right w:val="nil"/>
            </w:tcBorders>
            <w:shd w:val="clear" w:color="000000" w:fill="F2F2F2"/>
            <w:vAlign w:val="center"/>
            <w:hideMark/>
          </w:tcPr>
          <w:p w14:paraId="35CECFC2"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CCE 2.0 (NEEA Tier 1)</w:t>
            </w:r>
          </w:p>
        </w:tc>
      </w:tr>
      <w:tr w:rsidR="00A469DF" w:rsidRPr="00844A41" w14:paraId="21A5B7F6" w14:textId="77777777" w:rsidTr="00A469DF">
        <w:trPr>
          <w:trHeight w:val="348"/>
        </w:trPr>
        <w:tc>
          <w:tcPr>
            <w:tcW w:w="1564" w:type="dxa"/>
            <w:vMerge/>
            <w:tcBorders>
              <w:top w:val="nil"/>
              <w:left w:val="nil"/>
              <w:bottom w:val="single" w:sz="4" w:space="0" w:color="7140D1"/>
              <w:right w:val="nil"/>
            </w:tcBorders>
            <w:vAlign w:val="center"/>
            <w:hideMark/>
          </w:tcPr>
          <w:p w14:paraId="11AED6AE"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auto" w:fill="auto"/>
            <w:vAlign w:val="center"/>
            <w:hideMark/>
          </w:tcPr>
          <w:p w14:paraId="7B6E7D44"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 xml:space="preserve">Water Heater &gt;55Gal </w:t>
            </w:r>
          </w:p>
        </w:tc>
        <w:tc>
          <w:tcPr>
            <w:tcW w:w="7003" w:type="dxa"/>
            <w:gridSpan w:val="12"/>
            <w:tcBorders>
              <w:top w:val="single" w:sz="4" w:space="0" w:color="7140D1"/>
              <w:left w:val="nil"/>
              <w:bottom w:val="single" w:sz="4" w:space="0" w:color="7140D1"/>
              <w:right w:val="nil"/>
            </w:tcBorders>
            <w:shd w:val="clear" w:color="auto" w:fill="auto"/>
            <w:vAlign w:val="center"/>
            <w:hideMark/>
          </w:tcPr>
          <w:p w14:paraId="58C89269"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CCE 2.0 (NEEA Tier 1)</w:t>
            </w:r>
          </w:p>
        </w:tc>
      </w:tr>
      <w:tr w:rsidR="00A469DF" w:rsidRPr="00844A41" w14:paraId="4C902D41" w14:textId="77777777" w:rsidTr="00A469DF">
        <w:trPr>
          <w:trHeight w:val="348"/>
        </w:trPr>
        <w:tc>
          <w:tcPr>
            <w:tcW w:w="1564" w:type="dxa"/>
            <w:vMerge w:val="restart"/>
            <w:tcBorders>
              <w:top w:val="nil"/>
              <w:left w:val="nil"/>
              <w:bottom w:val="single" w:sz="4" w:space="0" w:color="7140D1"/>
              <w:right w:val="nil"/>
            </w:tcBorders>
            <w:shd w:val="clear" w:color="000000" w:fill="FFFFFF"/>
            <w:vAlign w:val="center"/>
            <w:hideMark/>
          </w:tcPr>
          <w:p w14:paraId="6D8F2ED5" w14:textId="77777777" w:rsidR="00844A41" w:rsidRPr="007631AF" w:rsidRDefault="00844A41" w:rsidP="00844A41">
            <w:pPr>
              <w:keepNext/>
              <w:jc w:val="left"/>
              <w:rPr>
                <w:rFonts w:asciiTheme="majorHAnsi" w:eastAsia="Times New Roman" w:hAnsiTheme="majorHAnsi"/>
                <w:sz w:val="18"/>
                <w:szCs w:val="18"/>
              </w:rPr>
            </w:pPr>
            <w:r w:rsidRPr="007631AF">
              <w:rPr>
                <w:rFonts w:asciiTheme="majorHAnsi" w:eastAsia="Times New Roman" w:hAnsiTheme="majorHAnsi"/>
                <w:sz w:val="18"/>
                <w:szCs w:val="18"/>
              </w:rPr>
              <w:t>Lighting</w:t>
            </w:r>
          </w:p>
        </w:tc>
        <w:tc>
          <w:tcPr>
            <w:tcW w:w="1960" w:type="dxa"/>
            <w:tcBorders>
              <w:top w:val="nil"/>
              <w:left w:val="nil"/>
              <w:bottom w:val="single" w:sz="4" w:space="0" w:color="7140D1"/>
              <w:right w:val="single" w:sz="4" w:space="0" w:color="7140D1"/>
            </w:tcBorders>
            <w:shd w:val="clear" w:color="000000" w:fill="F2F2F2"/>
            <w:vAlign w:val="center"/>
            <w:hideMark/>
          </w:tcPr>
          <w:p w14:paraId="290492BF"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General Service</w:t>
            </w:r>
          </w:p>
        </w:tc>
        <w:tc>
          <w:tcPr>
            <w:tcW w:w="1555" w:type="dxa"/>
            <w:gridSpan w:val="2"/>
            <w:tcBorders>
              <w:top w:val="single" w:sz="4" w:space="0" w:color="7140D1"/>
              <w:left w:val="nil"/>
              <w:bottom w:val="single" w:sz="4" w:space="0" w:color="7140D1"/>
              <w:right w:val="single" w:sz="4" w:space="0" w:color="7140D1"/>
            </w:tcBorders>
            <w:shd w:val="clear" w:color="000000" w:fill="F2F2F2"/>
            <w:vAlign w:val="center"/>
            <w:hideMark/>
          </w:tcPr>
          <w:p w14:paraId="2F7E7C7C"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EISA Tier 1 (18.6 lm/W)</w:t>
            </w:r>
          </w:p>
        </w:tc>
        <w:tc>
          <w:tcPr>
            <w:tcW w:w="5447" w:type="dxa"/>
            <w:gridSpan w:val="10"/>
            <w:tcBorders>
              <w:top w:val="single" w:sz="4" w:space="0" w:color="7140D1"/>
              <w:left w:val="nil"/>
              <w:bottom w:val="single" w:sz="4" w:space="0" w:color="7140D1"/>
              <w:right w:val="single" w:sz="4" w:space="0" w:color="7140D1"/>
            </w:tcBorders>
            <w:shd w:val="clear" w:color="000000" w:fill="F2F2F2"/>
            <w:vAlign w:val="center"/>
            <w:hideMark/>
          </w:tcPr>
          <w:p w14:paraId="227A6562"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EISA Tier 2 (45.0 lm/W)</w:t>
            </w:r>
          </w:p>
        </w:tc>
      </w:tr>
      <w:tr w:rsidR="00A469DF" w:rsidRPr="00844A41" w14:paraId="39A36B02" w14:textId="77777777" w:rsidTr="00A469DF">
        <w:trPr>
          <w:trHeight w:val="303"/>
        </w:trPr>
        <w:tc>
          <w:tcPr>
            <w:tcW w:w="1564" w:type="dxa"/>
            <w:vMerge/>
            <w:tcBorders>
              <w:top w:val="nil"/>
              <w:left w:val="nil"/>
              <w:bottom w:val="single" w:sz="4" w:space="0" w:color="7140D1"/>
              <w:right w:val="nil"/>
            </w:tcBorders>
            <w:vAlign w:val="center"/>
            <w:hideMark/>
          </w:tcPr>
          <w:p w14:paraId="5224E97C"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auto" w:fill="auto"/>
            <w:vAlign w:val="center"/>
            <w:hideMark/>
          </w:tcPr>
          <w:p w14:paraId="6D1E0FD6"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Linear Fluorescent</w:t>
            </w:r>
          </w:p>
        </w:tc>
        <w:tc>
          <w:tcPr>
            <w:tcW w:w="7003" w:type="dxa"/>
            <w:gridSpan w:val="12"/>
            <w:tcBorders>
              <w:top w:val="single" w:sz="4" w:space="0" w:color="7140D1"/>
              <w:left w:val="nil"/>
              <w:bottom w:val="single" w:sz="4" w:space="0" w:color="7140D1"/>
              <w:right w:val="single" w:sz="4" w:space="0" w:color="7140D1"/>
            </w:tcBorders>
            <w:shd w:val="clear" w:color="auto" w:fill="auto"/>
            <w:vAlign w:val="center"/>
            <w:hideMark/>
          </w:tcPr>
          <w:p w14:paraId="3552841F"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T8-F32 (80.0 lm/W system)</w:t>
            </w:r>
          </w:p>
        </w:tc>
      </w:tr>
      <w:tr w:rsidR="00A469DF" w:rsidRPr="00844A41" w14:paraId="0CBC622F" w14:textId="77777777" w:rsidTr="00A469DF">
        <w:trPr>
          <w:trHeight w:val="303"/>
        </w:trPr>
        <w:tc>
          <w:tcPr>
            <w:tcW w:w="1564" w:type="dxa"/>
            <w:vMerge w:val="restart"/>
            <w:tcBorders>
              <w:top w:val="nil"/>
              <w:left w:val="nil"/>
              <w:bottom w:val="single" w:sz="4" w:space="0" w:color="7140D1"/>
              <w:right w:val="nil"/>
            </w:tcBorders>
            <w:shd w:val="clear" w:color="000000" w:fill="FFFFFF"/>
            <w:vAlign w:val="center"/>
            <w:hideMark/>
          </w:tcPr>
          <w:p w14:paraId="4D4D0C15" w14:textId="77777777" w:rsidR="00844A41" w:rsidRPr="007631AF" w:rsidRDefault="00844A41" w:rsidP="00844A41">
            <w:pPr>
              <w:keepNext/>
              <w:jc w:val="left"/>
              <w:rPr>
                <w:rFonts w:asciiTheme="majorHAnsi" w:eastAsia="Times New Roman" w:hAnsiTheme="majorHAnsi"/>
                <w:sz w:val="18"/>
                <w:szCs w:val="18"/>
              </w:rPr>
            </w:pPr>
            <w:r w:rsidRPr="007631AF">
              <w:rPr>
                <w:rFonts w:asciiTheme="majorHAnsi" w:eastAsia="Times New Roman" w:hAnsiTheme="majorHAnsi"/>
                <w:sz w:val="18"/>
                <w:szCs w:val="18"/>
              </w:rPr>
              <w:t>Appliances</w:t>
            </w:r>
          </w:p>
        </w:tc>
        <w:tc>
          <w:tcPr>
            <w:tcW w:w="1960" w:type="dxa"/>
            <w:tcBorders>
              <w:top w:val="nil"/>
              <w:left w:val="nil"/>
              <w:bottom w:val="single" w:sz="4" w:space="0" w:color="7140D1"/>
              <w:right w:val="single" w:sz="4" w:space="0" w:color="7140D1"/>
            </w:tcBorders>
            <w:shd w:val="clear" w:color="000000" w:fill="F2F2F2"/>
            <w:vAlign w:val="center"/>
            <w:hideMark/>
          </w:tcPr>
          <w:p w14:paraId="1FD57219"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Refrigerator/Freezer</w:t>
            </w:r>
          </w:p>
        </w:tc>
        <w:tc>
          <w:tcPr>
            <w:tcW w:w="5641" w:type="dxa"/>
            <w:gridSpan w:val="9"/>
            <w:tcBorders>
              <w:top w:val="single" w:sz="4" w:space="0" w:color="7140D1"/>
              <w:left w:val="nil"/>
              <w:bottom w:val="single" w:sz="4" w:space="0" w:color="7140D1"/>
              <w:right w:val="single" w:sz="4" w:space="0" w:color="7140D1"/>
            </w:tcBorders>
            <w:shd w:val="clear" w:color="000000" w:fill="F2F2F2"/>
            <w:vAlign w:val="center"/>
            <w:hideMark/>
          </w:tcPr>
          <w:p w14:paraId="5A86F535"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2014 Standard</w:t>
            </w:r>
          </w:p>
        </w:tc>
        <w:tc>
          <w:tcPr>
            <w:tcW w:w="1362" w:type="dxa"/>
            <w:gridSpan w:val="3"/>
            <w:tcBorders>
              <w:top w:val="single" w:sz="4" w:space="0" w:color="7140D1"/>
              <w:left w:val="nil"/>
              <w:bottom w:val="single" w:sz="4" w:space="0" w:color="7140D1"/>
              <w:right w:val="nil"/>
            </w:tcBorders>
            <w:shd w:val="clear" w:color="000000" w:fill="F2F2F2"/>
            <w:vAlign w:val="center"/>
            <w:hideMark/>
          </w:tcPr>
          <w:p w14:paraId="0679E114"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2029 Standard</w:t>
            </w:r>
          </w:p>
        </w:tc>
      </w:tr>
      <w:tr w:rsidR="00A469DF" w:rsidRPr="00844A41" w14:paraId="4E28B507" w14:textId="77777777" w:rsidTr="00A469DF">
        <w:trPr>
          <w:trHeight w:val="303"/>
        </w:trPr>
        <w:tc>
          <w:tcPr>
            <w:tcW w:w="1564" w:type="dxa"/>
            <w:vMerge/>
            <w:tcBorders>
              <w:top w:val="nil"/>
              <w:left w:val="nil"/>
              <w:bottom w:val="single" w:sz="4" w:space="0" w:color="7140D1"/>
              <w:right w:val="nil"/>
            </w:tcBorders>
            <w:vAlign w:val="center"/>
            <w:hideMark/>
          </w:tcPr>
          <w:p w14:paraId="320F551B"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auto" w:fill="auto"/>
            <w:vAlign w:val="center"/>
            <w:hideMark/>
          </w:tcPr>
          <w:p w14:paraId="1140B0D9"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Clothes Washer</w:t>
            </w:r>
          </w:p>
        </w:tc>
        <w:tc>
          <w:tcPr>
            <w:tcW w:w="7003" w:type="dxa"/>
            <w:gridSpan w:val="12"/>
            <w:tcBorders>
              <w:top w:val="single" w:sz="4" w:space="0" w:color="7140D1"/>
              <w:left w:val="nil"/>
              <w:bottom w:val="single" w:sz="4" w:space="0" w:color="7140D1"/>
              <w:right w:val="single" w:sz="4" w:space="0" w:color="7140D1"/>
            </w:tcBorders>
            <w:shd w:val="clear" w:color="auto" w:fill="auto"/>
            <w:vAlign w:val="center"/>
            <w:hideMark/>
          </w:tcPr>
          <w:p w14:paraId="79CD259B"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IMEF 1.71 / IWF 5.6</w:t>
            </w:r>
          </w:p>
        </w:tc>
      </w:tr>
      <w:tr w:rsidR="00A469DF" w:rsidRPr="00844A41" w14:paraId="16CD81FE" w14:textId="77777777" w:rsidTr="00A469DF">
        <w:trPr>
          <w:trHeight w:val="303"/>
        </w:trPr>
        <w:tc>
          <w:tcPr>
            <w:tcW w:w="1564" w:type="dxa"/>
            <w:vMerge/>
            <w:tcBorders>
              <w:top w:val="nil"/>
              <w:left w:val="nil"/>
              <w:bottom w:val="single" w:sz="4" w:space="0" w:color="7140D1"/>
              <w:right w:val="nil"/>
            </w:tcBorders>
            <w:vAlign w:val="center"/>
            <w:hideMark/>
          </w:tcPr>
          <w:p w14:paraId="0AB5A1FE"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000000" w:fill="F2F2F2"/>
            <w:vAlign w:val="center"/>
            <w:hideMark/>
          </w:tcPr>
          <w:p w14:paraId="75143595"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Clothes Dryer</w:t>
            </w:r>
          </w:p>
        </w:tc>
        <w:tc>
          <w:tcPr>
            <w:tcW w:w="7003" w:type="dxa"/>
            <w:gridSpan w:val="12"/>
            <w:tcBorders>
              <w:top w:val="single" w:sz="4" w:space="0" w:color="7140D1"/>
              <w:left w:val="nil"/>
              <w:bottom w:val="single" w:sz="4" w:space="0" w:color="7140D1"/>
              <w:right w:val="single" w:sz="4" w:space="0" w:color="7140D1"/>
            </w:tcBorders>
            <w:shd w:val="clear" w:color="000000" w:fill="F2F2F2"/>
            <w:vAlign w:val="center"/>
            <w:hideMark/>
          </w:tcPr>
          <w:p w14:paraId="23588AB2"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UCEF 2.29</w:t>
            </w:r>
          </w:p>
        </w:tc>
      </w:tr>
      <w:tr w:rsidR="00A469DF" w:rsidRPr="00844A41" w14:paraId="6CDB5A84" w14:textId="77777777" w:rsidTr="00A469DF">
        <w:trPr>
          <w:trHeight w:val="303"/>
        </w:trPr>
        <w:tc>
          <w:tcPr>
            <w:tcW w:w="1564" w:type="dxa"/>
            <w:vMerge/>
            <w:tcBorders>
              <w:top w:val="nil"/>
              <w:left w:val="nil"/>
              <w:bottom w:val="single" w:sz="4" w:space="0" w:color="7140D1"/>
              <w:right w:val="nil"/>
            </w:tcBorders>
            <w:vAlign w:val="center"/>
            <w:hideMark/>
          </w:tcPr>
          <w:p w14:paraId="6500B102"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000000" w:fill="FFFFFF"/>
            <w:vAlign w:val="center"/>
            <w:hideMark/>
          </w:tcPr>
          <w:p w14:paraId="66937B5B"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Microwave</w:t>
            </w:r>
          </w:p>
        </w:tc>
        <w:tc>
          <w:tcPr>
            <w:tcW w:w="2914" w:type="dxa"/>
            <w:gridSpan w:val="4"/>
            <w:tcBorders>
              <w:top w:val="single" w:sz="4" w:space="0" w:color="7140D1"/>
              <w:left w:val="nil"/>
              <w:bottom w:val="single" w:sz="4" w:space="0" w:color="7140D1"/>
              <w:right w:val="single" w:sz="4" w:space="0" w:color="7140D1"/>
            </w:tcBorders>
            <w:shd w:val="clear" w:color="000000" w:fill="FFFFFF"/>
            <w:vAlign w:val="center"/>
            <w:hideMark/>
          </w:tcPr>
          <w:p w14:paraId="42F045E6"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2016 Standard</w:t>
            </w:r>
          </w:p>
        </w:tc>
        <w:tc>
          <w:tcPr>
            <w:tcW w:w="4088" w:type="dxa"/>
            <w:gridSpan w:val="8"/>
            <w:tcBorders>
              <w:top w:val="single" w:sz="4" w:space="0" w:color="7140D1"/>
              <w:left w:val="nil"/>
              <w:bottom w:val="single" w:sz="4" w:space="0" w:color="7140D1"/>
              <w:right w:val="single" w:sz="4" w:space="0" w:color="7140D1"/>
            </w:tcBorders>
            <w:shd w:val="clear" w:color="000000" w:fill="FFFFFF"/>
            <w:vAlign w:val="center"/>
            <w:hideMark/>
          </w:tcPr>
          <w:p w14:paraId="16B65B5A"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2026 Standard</w:t>
            </w:r>
          </w:p>
        </w:tc>
      </w:tr>
      <w:tr w:rsidR="00A469DF" w:rsidRPr="00844A41" w14:paraId="7FBB75CA" w14:textId="77777777" w:rsidTr="00A469DF">
        <w:trPr>
          <w:trHeight w:val="303"/>
        </w:trPr>
        <w:tc>
          <w:tcPr>
            <w:tcW w:w="1564" w:type="dxa"/>
            <w:vMerge/>
            <w:tcBorders>
              <w:top w:val="nil"/>
              <w:left w:val="nil"/>
              <w:bottom w:val="single" w:sz="4" w:space="0" w:color="7140D1"/>
              <w:right w:val="nil"/>
            </w:tcBorders>
            <w:vAlign w:val="center"/>
            <w:hideMark/>
          </w:tcPr>
          <w:p w14:paraId="362C7D74"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000000" w:fill="F2F2F2"/>
            <w:vAlign w:val="center"/>
            <w:hideMark/>
          </w:tcPr>
          <w:p w14:paraId="63D59C96"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Stove/Oven</w:t>
            </w:r>
          </w:p>
        </w:tc>
        <w:tc>
          <w:tcPr>
            <w:tcW w:w="4955" w:type="dxa"/>
            <w:gridSpan w:val="7"/>
            <w:tcBorders>
              <w:top w:val="single" w:sz="4" w:space="0" w:color="7140D1"/>
              <w:left w:val="nil"/>
              <w:bottom w:val="single" w:sz="4" w:space="0" w:color="7140D1"/>
              <w:right w:val="single" w:sz="4" w:space="0" w:color="7140D1"/>
            </w:tcBorders>
            <w:shd w:val="clear" w:color="000000" w:fill="F2F2F2"/>
            <w:vAlign w:val="center"/>
            <w:hideMark/>
          </w:tcPr>
          <w:p w14:paraId="14E51158"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Typical</w:t>
            </w:r>
          </w:p>
        </w:tc>
        <w:tc>
          <w:tcPr>
            <w:tcW w:w="2047" w:type="dxa"/>
            <w:gridSpan w:val="5"/>
            <w:tcBorders>
              <w:top w:val="single" w:sz="4" w:space="0" w:color="7140D1"/>
              <w:left w:val="nil"/>
              <w:bottom w:val="single" w:sz="4" w:space="0" w:color="7140D1"/>
              <w:right w:val="nil"/>
            </w:tcBorders>
            <w:shd w:val="clear" w:color="000000" w:fill="F2F2F2"/>
            <w:vAlign w:val="center"/>
            <w:hideMark/>
          </w:tcPr>
          <w:p w14:paraId="32D71132"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2028 Standard</w:t>
            </w:r>
          </w:p>
        </w:tc>
      </w:tr>
      <w:tr w:rsidR="00A469DF" w:rsidRPr="00844A41" w14:paraId="53E54D5B" w14:textId="77777777" w:rsidTr="00A469DF">
        <w:trPr>
          <w:trHeight w:val="303"/>
        </w:trPr>
        <w:tc>
          <w:tcPr>
            <w:tcW w:w="1564" w:type="dxa"/>
            <w:vMerge/>
            <w:tcBorders>
              <w:top w:val="nil"/>
              <w:left w:val="nil"/>
              <w:bottom w:val="single" w:sz="4" w:space="0" w:color="7140D1"/>
              <w:right w:val="nil"/>
            </w:tcBorders>
            <w:vAlign w:val="center"/>
            <w:hideMark/>
          </w:tcPr>
          <w:p w14:paraId="55A2C34A"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000000" w:fill="FFFFFF"/>
            <w:vAlign w:val="center"/>
            <w:hideMark/>
          </w:tcPr>
          <w:p w14:paraId="602ABFED"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Air Purifier</w:t>
            </w:r>
          </w:p>
        </w:tc>
        <w:tc>
          <w:tcPr>
            <w:tcW w:w="1555" w:type="dxa"/>
            <w:gridSpan w:val="2"/>
            <w:tcBorders>
              <w:top w:val="single" w:sz="4" w:space="0" w:color="7140D1"/>
              <w:left w:val="nil"/>
              <w:bottom w:val="single" w:sz="4" w:space="0" w:color="7140D1"/>
              <w:right w:val="single" w:sz="4" w:space="0" w:color="7140D1"/>
            </w:tcBorders>
            <w:shd w:val="clear" w:color="000000" w:fill="FFFFFF"/>
            <w:vAlign w:val="center"/>
            <w:hideMark/>
          </w:tcPr>
          <w:p w14:paraId="6311E354"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1.5 CADR/W</w:t>
            </w:r>
          </w:p>
        </w:tc>
        <w:tc>
          <w:tcPr>
            <w:tcW w:w="1358" w:type="dxa"/>
            <w:gridSpan w:val="2"/>
            <w:tcBorders>
              <w:top w:val="single" w:sz="4" w:space="0" w:color="7140D1"/>
              <w:left w:val="nil"/>
              <w:bottom w:val="single" w:sz="4" w:space="0" w:color="7140D1"/>
              <w:right w:val="single" w:sz="4" w:space="0" w:color="7140D1"/>
            </w:tcBorders>
            <w:shd w:val="clear" w:color="000000" w:fill="FFFFFF"/>
            <w:vAlign w:val="center"/>
            <w:hideMark/>
          </w:tcPr>
          <w:p w14:paraId="404AED80"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1.9 CADR/W</w:t>
            </w:r>
          </w:p>
        </w:tc>
        <w:tc>
          <w:tcPr>
            <w:tcW w:w="4088" w:type="dxa"/>
            <w:gridSpan w:val="8"/>
            <w:tcBorders>
              <w:top w:val="single" w:sz="4" w:space="0" w:color="7140D1"/>
              <w:left w:val="nil"/>
              <w:bottom w:val="single" w:sz="4" w:space="0" w:color="7140D1"/>
              <w:right w:val="single" w:sz="4" w:space="0" w:color="7140D1"/>
            </w:tcBorders>
            <w:shd w:val="clear" w:color="000000" w:fill="FFFFFF"/>
            <w:vAlign w:val="center"/>
            <w:hideMark/>
          </w:tcPr>
          <w:p w14:paraId="15861521"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2.4 CADR/W</w:t>
            </w:r>
          </w:p>
        </w:tc>
      </w:tr>
      <w:tr w:rsidR="00A469DF" w:rsidRPr="00844A41" w14:paraId="720A1CCC" w14:textId="77777777" w:rsidTr="00A469DF">
        <w:trPr>
          <w:trHeight w:val="303"/>
        </w:trPr>
        <w:tc>
          <w:tcPr>
            <w:tcW w:w="1564" w:type="dxa"/>
            <w:vMerge/>
            <w:tcBorders>
              <w:top w:val="nil"/>
              <w:left w:val="nil"/>
              <w:bottom w:val="single" w:sz="4" w:space="0" w:color="7140D1"/>
              <w:right w:val="nil"/>
            </w:tcBorders>
            <w:vAlign w:val="center"/>
            <w:hideMark/>
          </w:tcPr>
          <w:p w14:paraId="1ED58902" w14:textId="77777777" w:rsidR="00844A41" w:rsidRPr="007631AF" w:rsidRDefault="00844A41" w:rsidP="00844A41">
            <w:pPr>
              <w:keepNext/>
              <w:jc w:val="left"/>
              <w:rPr>
                <w:rFonts w:asciiTheme="majorHAnsi" w:eastAsia="Times New Roman" w:hAnsiTheme="majorHAnsi"/>
                <w:sz w:val="18"/>
                <w:szCs w:val="18"/>
              </w:rPr>
            </w:pPr>
          </w:p>
        </w:tc>
        <w:tc>
          <w:tcPr>
            <w:tcW w:w="1960" w:type="dxa"/>
            <w:tcBorders>
              <w:top w:val="nil"/>
              <w:left w:val="nil"/>
              <w:bottom w:val="single" w:sz="4" w:space="0" w:color="7140D1"/>
              <w:right w:val="single" w:sz="4" w:space="0" w:color="7140D1"/>
            </w:tcBorders>
            <w:shd w:val="clear" w:color="000000" w:fill="F2F2F2"/>
            <w:vAlign w:val="center"/>
            <w:hideMark/>
          </w:tcPr>
          <w:p w14:paraId="00F5C941" w14:textId="77777777" w:rsidR="00844A41" w:rsidRPr="007631AF" w:rsidRDefault="00844A41" w:rsidP="00844A41">
            <w:pPr>
              <w:keepNext/>
              <w:jc w:val="left"/>
              <w:rPr>
                <w:rFonts w:ascii="Aptos" w:eastAsia="Times New Roman" w:hAnsi="Aptos"/>
                <w:sz w:val="18"/>
                <w:szCs w:val="18"/>
              </w:rPr>
            </w:pPr>
            <w:r w:rsidRPr="007631AF">
              <w:rPr>
                <w:rFonts w:ascii="Aptos" w:eastAsia="Times New Roman" w:hAnsi="Aptos"/>
                <w:sz w:val="18"/>
                <w:szCs w:val="18"/>
              </w:rPr>
              <w:t>Dehumidifier</w:t>
            </w:r>
          </w:p>
        </w:tc>
        <w:tc>
          <w:tcPr>
            <w:tcW w:w="7003" w:type="dxa"/>
            <w:gridSpan w:val="12"/>
            <w:tcBorders>
              <w:top w:val="single" w:sz="4" w:space="0" w:color="7140D1"/>
              <w:left w:val="nil"/>
              <w:bottom w:val="single" w:sz="4" w:space="0" w:color="7140D1"/>
              <w:right w:val="single" w:sz="4" w:space="0" w:color="7140D1"/>
            </w:tcBorders>
            <w:shd w:val="clear" w:color="000000" w:fill="F2F2F2"/>
            <w:vAlign w:val="center"/>
            <w:hideMark/>
          </w:tcPr>
          <w:p w14:paraId="70366694" w14:textId="77777777" w:rsidR="00844A41" w:rsidRPr="007631AF" w:rsidRDefault="00844A41" w:rsidP="00844A41">
            <w:pPr>
              <w:keepNext/>
              <w:jc w:val="center"/>
              <w:rPr>
                <w:rFonts w:ascii="Aptos" w:eastAsia="Times New Roman" w:hAnsi="Aptos"/>
                <w:sz w:val="18"/>
                <w:szCs w:val="18"/>
              </w:rPr>
            </w:pPr>
            <w:r w:rsidRPr="007631AF">
              <w:rPr>
                <w:rFonts w:ascii="Aptos" w:eastAsia="Times New Roman" w:hAnsi="Aptos"/>
                <w:sz w:val="18"/>
                <w:szCs w:val="18"/>
              </w:rPr>
              <w:t>2016 Standard</w:t>
            </w:r>
          </w:p>
        </w:tc>
      </w:tr>
      <w:tr w:rsidR="00A469DF" w:rsidRPr="00844A41" w14:paraId="3BED0BFC" w14:textId="77777777" w:rsidTr="00A469DF">
        <w:trPr>
          <w:trHeight w:val="303"/>
        </w:trPr>
        <w:tc>
          <w:tcPr>
            <w:tcW w:w="1564" w:type="dxa"/>
            <w:tcBorders>
              <w:top w:val="nil"/>
              <w:left w:val="nil"/>
              <w:bottom w:val="single" w:sz="4" w:space="0" w:color="7140D1"/>
              <w:right w:val="nil"/>
            </w:tcBorders>
            <w:shd w:val="clear" w:color="000000" w:fill="FFFFFF"/>
            <w:vAlign w:val="center"/>
            <w:hideMark/>
          </w:tcPr>
          <w:p w14:paraId="08FFAC2F" w14:textId="77777777" w:rsidR="00844A41" w:rsidRPr="007631AF" w:rsidRDefault="00844A41" w:rsidP="00844A41">
            <w:pPr>
              <w:jc w:val="left"/>
              <w:rPr>
                <w:rFonts w:asciiTheme="majorHAnsi" w:eastAsia="Times New Roman" w:hAnsiTheme="majorHAnsi"/>
                <w:sz w:val="18"/>
                <w:szCs w:val="18"/>
              </w:rPr>
            </w:pPr>
            <w:r w:rsidRPr="007631AF">
              <w:rPr>
                <w:rFonts w:asciiTheme="majorHAnsi" w:eastAsia="Times New Roman" w:hAnsiTheme="majorHAnsi"/>
                <w:sz w:val="18"/>
                <w:szCs w:val="18"/>
              </w:rPr>
              <w:t>Miscellaneous</w:t>
            </w:r>
          </w:p>
        </w:tc>
        <w:tc>
          <w:tcPr>
            <w:tcW w:w="1960" w:type="dxa"/>
            <w:tcBorders>
              <w:top w:val="nil"/>
              <w:left w:val="nil"/>
              <w:bottom w:val="single" w:sz="4" w:space="0" w:color="7140D1"/>
              <w:right w:val="single" w:sz="4" w:space="0" w:color="7140D1"/>
            </w:tcBorders>
            <w:shd w:val="clear" w:color="000000" w:fill="FFFFFF"/>
            <w:vAlign w:val="center"/>
            <w:hideMark/>
          </w:tcPr>
          <w:p w14:paraId="537D341B" w14:textId="77777777" w:rsidR="00844A41" w:rsidRPr="007631AF" w:rsidRDefault="00844A41" w:rsidP="00844A41">
            <w:pPr>
              <w:jc w:val="left"/>
              <w:rPr>
                <w:rFonts w:ascii="Aptos" w:eastAsia="Times New Roman" w:hAnsi="Aptos"/>
                <w:sz w:val="18"/>
                <w:szCs w:val="18"/>
              </w:rPr>
            </w:pPr>
            <w:r w:rsidRPr="007631AF">
              <w:rPr>
                <w:rFonts w:ascii="Aptos" w:eastAsia="Times New Roman" w:hAnsi="Aptos"/>
                <w:sz w:val="18"/>
                <w:szCs w:val="18"/>
              </w:rPr>
              <w:t>Furnace Fans</w:t>
            </w:r>
          </w:p>
        </w:tc>
        <w:tc>
          <w:tcPr>
            <w:tcW w:w="7003" w:type="dxa"/>
            <w:gridSpan w:val="12"/>
            <w:tcBorders>
              <w:top w:val="single" w:sz="4" w:space="0" w:color="7140D1"/>
              <w:left w:val="nil"/>
              <w:bottom w:val="single" w:sz="4" w:space="0" w:color="7140D1"/>
              <w:right w:val="single" w:sz="4" w:space="0" w:color="7140D1"/>
            </w:tcBorders>
            <w:shd w:val="clear" w:color="000000" w:fill="FFFFFF"/>
            <w:vAlign w:val="center"/>
            <w:hideMark/>
          </w:tcPr>
          <w:p w14:paraId="0544D005" w14:textId="77777777" w:rsidR="00844A41" w:rsidRPr="007631AF" w:rsidRDefault="00844A41" w:rsidP="00844A41">
            <w:pPr>
              <w:jc w:val="center"/>
              <w:rPr>
                <w:rFonts w:ascii="Aptos" w:eastAsia="Times New Roman" w:hAnsi="Aptos"/>
                <w:sz w:val="18"/>
                <w:szCs w:val="18"/>
              </w:rPr>
            </w:pPr>
            <w:r w:rsidRPr="007631AF">
              <w:rPr>
                <w:rFonts w:ascii="Aptos" w:eastAsia="Times New Roman" w:hAnsi="Aptos"/>
                <w:sz w:val="18"/>
                <w:szCs w:val="18"/>
              </w:rPr>
              <w:t>ECM</w:t>
            </w:r>
          </w:p>
        </w:tc>
      </w:tr>
    </w:tbl>
    <w:p w14:paraId="0FF196EB" w14:textId="77777777" w:rsidR="00A412CD" w:rsidRDefault="00A412CD" w:rsidP="000F5F8E">
      <w:pPr>
        <w:pStyle w:val="AEGBody"/>
        <w:rPr>
          <w:lang w:eastAsia="ja-JP"/>
        </w:rPr>
      </w:pPr>
    </w:p>
    <w:p w14:paraId="3CE8B6E7" w14:textId="77777777" w:rsidR="00336482" w:rsidRDefault="00336482" w:rsidP="000F5F8E">
      <w:pPr>
        <w:pStyle w:val="AEGBody"/>
        <w:rPr>
          <w:lang w:eastAsia="ja-JP"/>
        </w:rPr>
      </w:pPr>
    </w:p>
    <w:p w14:paraId="7004DDB8" w14:textId="77777777" w:rsidR="00336482" w:rsidRDefault="00336482" w:rsidP="000F5F8E">
      <w:pPr>
        <w:pStyle w:val="AEGBody"/>
        <w:rPr>
          <w:lang w:eastAsia="ja-JP"/>
        </w:rPr>
      </w:pPr>
    </w:p>
    <w:p w14:paraId="3D7328BD" w14:textId="77777777" w:rsidR="00336482" w:rsidRDefault="00336482" w:rsidP="000F5F8E">
      <w:pPr>
        <w:pStyle w:val="AEGBody"/>
        <w:rPr>
          <w:lang w:eastAsia="ja-JP"/>
        </w:rPr>
        <w:sectPr w:rsidR="00336482" w:rsidSect="00FF4586">
          <w:headerReference w:type="first" r:id="rId29"/>
          <w:footerReference w:type="first" r:id="rId30"/>
          <w:pgSz w:w="15840" w:h="12240" w:orient="landscape"/>
          <w:pgMar w:top="1440" w:right="1440" w:bottom="1620" w:left="1440" w:header="720" w:footer="576" w:gutter="0"/>
          <w:cols w:space="720"/>
          <w:titlePg/>
          <w:docGrid w:linePitch="360"/>
        </w:sectPr>
      </w:pPr>
    </w:p>
    <w:p w14:paraId="6CB2D44C" w14:textId="77777777" w:rsidR="00336482" w:rsidRDefault="00336482" w:rsidP="000F5F8E">
      <w:pPr>
        <w:pStyle w:val="AEGBody"/>
        <w:rPr>
          <w:lang w:eastAsia="ja-JP"/>
        </w:rPr>
      </w:pPr>
    </w:p>
    <w:p w14:paraId="1EADBFE9" w14:textId="41F7AED2" w:rsidR="00F26406" w:rsidRDefault="00F26406" w:rsidP="00F26406">
      <w:pPr>
        <w:pStyle w:val="Caption"/>
      </w:pPr>
      <w:bookmarkStart w:id="36" w:name="_Toc175912368"/>
      <w:r>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6</w:t>
      </w:r>
      <w:r w:rsidR="00EE4707">
        <w:fldChar w:fldCharType="end"/>
      </w:r>
      <w:r>
        <w:t xml:space="preserve"> Commercial and Industrial Electric Equipment Standards</w:t>
      </w:r>
      <w:bookmarkEnd w:id="36"/>
    </w:p>
    <w:tbl>
      <w:tblPr>
        <w:tblW w:w="9440" w:type="dxa"/>
        <w:tblLook w:val="04A0" w:firstRow="1" w:lastRow="0" w:firstColumn="1" w:lastColumn="0" w:noHBand="0" w:noVBand="1"/>
      </w:tblPr>
      <w:tblGrid>
        <w:gridCol w:w="1700"/>
        <w:gridCol w:w="1980"/>
        <w:gridCol w:w="960"/>
        <w:gridCol w:w="960"/>
        <w:gridCol w:w="960"/>
        <w:gridCol w:w="960"/>
        <w:gridCol w:w="960"/>
        <w:gridCol w:w="960"/>
      </w:tblGrid>
      <w:tr w:rsidR="00844A41" w:rsidRPr="00844A41" w14:paraId="22D74C37" w14:textId="77777777" w:rsidTr="00844A41">
        <w:trPr>
          <w:trHeight w:val="315"/>
        </w:trPr>
        <w:tc>
          <w:tcPr>
            <w:tcW w:w="1700" w:type="dxa"/>
            <w:tcBorders>
              <w:top w:val="nil"/>
              <w:left w:val="nil"/>
              <w:bottom w:val="nil"/>
              <w:right w:val="nil"/>
            </w:tcBorders>
            <w:shd w:val="clear" w:color="000000" w:fill="444C5E"/>
            <w:vAlign w:val="center"/>
            <w:hideMark/>
          </w:tcPr>
          <w:p w14:paraId="0E079213"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End Use</w:t>
            </w:r>
          </w:p>
        </w:tc>
        <w:tc>
          <w:tcPr>
            <w:tcW w:w="1980" w:type="dxa"/>
            <w:tcBorders>
              <w:top w:val="nil"/>
              <w:left w:val="nil"/>
              <w:bottom w:val="single" w:sz="8" w:space="0" w:color="7140D1"/>
              <w:right w:val="nil"/>
            </w:tcBorders>
            <w:shd w:val="clear" w:color="000000" w:fill="444C5E"/>
            <w:noWrap/>
            <w:vAlign w:val="center"/>
            <w:hideMark/>
          </w:tcPr>
          <w:p w14:paraId="537BA61D" w14:textId="77777777" w:rsidR="00844A41" w:rsidRPr="002230A8" w:rsidRDefault="00844A41" w:rsidP="00844A41">
            <w:pPr>
              <w:keepNext/>
              <w:jc w:val="left"/>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Technology</w:t>
            </w:r>
          </w:p>
        </w:tc>
        <w:tc>
          <w:tcPr>
            <w:tcW w:w="960" w:type="dxa"/>
            <w:tcBorders>
              <w:top w:val="nil"/>
              <w:left w:val="nil"/>
              <w:bottom w:val="nil"/>
              <w:right w:val="nil"/>
            </w:tcBorders>
            <w:shd w:val="clear" w:color="000000" w:fill="444C5E"/>
            <w:vAlign w:val="center"/>
            <w:hideMark/>
          </w:tcPr>
          <w:p w14:paraId="49A07DC0"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2022</w:t>
            </w:r>
          </w:p>
        </w:tc>
        <w:tc>
          <w:tcPr>
            <w:tcW w:w="960" w:type="dxa"/>
            <w:tcBorders>
              <w:top w:val="nil"/>
              <w:left w:val="nil"/>
              <w:bottom w:val="nil"/>
              <w:right w:val="nil"/>
            </w:tcBorders>
            <w:shd w:val="clear" w:color="000000" w:fill="444C5E"/>
            <w:vAlign w:val="center"/>
            <w:hideMark/>
          </w:tcPr>
          <w:p w14:paraId="2D051913"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2023</w:t>
            </w:r>
          </w:p>
        </w:tc>
        <w:tc>
          <w:tcPr>
            <w:tcW w:w="960" w:type="dxa"/>
            <w:tcBorders>
              <w:top w:val="nil"/>
              <w:left w:val="nil"/>
              <w:bottom w:val="nil"/>
              <w:right w:val="nil"/>
            </w:tcBorders>
            <w:shd w:val="clear" w:color="000000" w:fill="444C5E"/>
            <w:vAlign w:val="center"/>
            <w:hideMark/>
          </w:tcPr>
          <w:p w14:paraId="379FBE14"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2024</w:t>
            </w:r>
          </w:p>
        </w:tc>
        <w:tc>
          <w:tcPr>
            <w:tcW w:w="960" w:type="dxa"/>
            <w:tcBorders>
              <w:top w:val="nil"/>
              <w:left w:val="nil"/>
              <w:bottom w:val="nil"/>
              <w:right w:val="nil"/>
            </w:tcBorders>
            <w:shd w:val="clear" w:color="000000" w:fill="444C5E"/>
            <w:vAlign w:val="center"/>
            <w:hideMark/>
          </w:tcPr>
          <w:p w14:paraId="064BC662"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2025</w:t>
            </w:r>
          </w:p>
        </w:tc>
        <w:tc>
          <w:tcPr>
            <w:tcW w:w="960" w:type="dxa"/>
            <w:tcBorders>
              <w:top w:val="nil"/>
              <w:left w:val="nil"/>
              <w:bottom w:val="nil"/>
              <w:right w:val="nil"/>
            </w:tcBorders>
            <w:shd w:val="clear" w:color="000000" w:fill="444C5E"/>
            <w:vAlign w:val="center"/>
            <w:hideMark/>
          </w:tcPr>
          <w:p w14:paraId="24064B29"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s="Calibri Light"/>
                <w:color w:val="FFFFFF"/>
                <w:sz w:val="18"/>
                <w:szCs w:val="18"/>
              </w:rPr>
              <w:t>2026</w:t>
            </w:r>
          </w:p>
        </w:tc>
        <w:tc>
          <w:tcPr>
            <w:tcW w:w="960" w:type="dxa"/>
            <w:tcBorders>
              <w:top w:val="nil"/>
              <w:left w:val="nil"/>
              <w:bottom w:val="nil"/>
              <w:right w:val="nil"/>
            </w:tcBorders>
            <w:shd w:val="clear" w:color="000000" w:fill="444C5E"/>
            <w:vAlign w:val="center"/>
            <w:hideMark/>
          </w:tcPr>
          <w:p w14:paraId="207E2828" w14:textId="77777777" w:rsidR="00844A41" w:rsidRPr="002230A8" w:rsidRDefault="00844A41" w:rsidP="00844A41">
            <w:pPr>
              <w:keepNext/>
              <w:jc w:val="center"/>
              <w:rPr>
                <w:rFonts w:asciiTheme="majorHAnsi" w:eastAsia="Times New Roman" w:hAnsiTheme="majorHAnsi"/>
                <w:color w:val="FFFFFF"/>
                <w:sz w:val="18"/>
                <w:szCs w:val="18"/>
              </w:rPr>
            </w:pPr>
            <w:r w:rsidRPr="002230A8">
              <w:rPr>
                <w:rFonts w:asciiTheme="majorHAnsi" w:eastAsia="Times New Roman" w:hAnsiTheme="majorHAnsi"/>
                <w:color w:val="FFFFFF"/>
                <w:sz w:val="18"/>
                <w:szCs w:val="18"/>
              </w:rPr>
              <w:t>2027</w:t>
            </w:r>
          </w:p>
        </w:tc>
      </w:tr>
      <w:tr w:rsidR="00844A41" w:rsidRPr="00844A41" w14:paraId="664DE6FF" w14:textId="77777777" w:rsidTr="00844A41">
        <w:trPr>
          <w:trHeight w:val="300"/>
        </w:trPr>
        <w:tc>
          <w:tcPr>
            <w:tcW w:w="1700" w:type="dxa"/>
            <w:vMerge w:val="restart"/>
            <w:tcBorders>
              <w:top w:val="single" w:sz="8" w:space="0" w:color="7140D1"/>
              <w:left w:val="nil"/>
              <w:bottom w:val="single" w:sz="4" w:space="0" w:color="7140D1"/>
              <w:right w:val="nil"/>
            </w:tcBorders>
            <w:shd w:val="clear" w:color="auto" w:fill="auto"/>
            <w:vAlign w:val="center"/>
            <w:hideMark/>
          </w:tcPr>
          <w:p w14:paraId="3893B0F9" w14:textId="77777777" w:rsidR="00844A41" w:rsidRPr="002230A8" w:rsidRDefault="00844A41" w:rsidP="00844A41">
            <w:pPr>
              <w:keepNext/>
              <w:jc w:val="left"/>
              <w:rPr>
                <w:rFonts w:asciiTheme="majorHAnsi" w:eastAsia="Times New Roman" w:hAnsiTheme="majorHAnsi"/>
                <w:sz w:val="18"/>
                <w:szCs w:val="18"/>
              </w:rPr>
            </w:pPr>
            <w:r w:rsidRPr="002230A8">
              <w:rPr>
                <w:rFonts w:asciiTheme="majorHAnsi" w:eastAsia="Times New Roman" w:hAnsiTheme="majorHAnsi"/>
                <w:sz w:val="18"/>
                <w:szCs w:val="18"/>
              </w:rPr>
              <w:t>Cooling</w:t>
            </w:r>
          </w:p>
        </w:tc>
        <w:tc>
          <w:tcPr>
            <w:tcW w:w="1980" w:type="dxa"/>
            <w:tcBorders>
              <w:top w:val="nil"/>
              <w:left w:val="nil"/>
              <w:bottom w:val="single" w:sz="4" w:space="0" w:color="7140D1"/>
              <w:right w:val="single" w:sz="4" w:space="0" w:color="7140D1"/>
            </w:tcBorders>
            <w:shd w:val="clear" w:color="auto" w:fill="auto"/>
            <w:noWrap/>
            <w:vAlign w:val="center"/>
            <w:hideMark/>
          </w:tcPr>
          <w:p w14:paraId="14F915E1"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Air-Cooled Chiller</w:t>
            </w:r>
          </w:p>
        </w:tc>
        <w:tc>
          <w:tcPr>
            <w:tcW w:w="5760" w:type="dxa"/>
            <w:gridSpan w:val="6"/>
            <w:tcBorders>
              <w:top w:val="single" w:sz="8" w:space="0" w:color="7140D1"/>
              <w:left w:val="nil"/>
              <w:bottom w:val="single" w:sz="4" w:space="0" w:color="7140D1"/>
              <w:right w:val="single" w:sz="4" w:space="0" w:color="7140D1"/>
            </w:tcBorders>
            <w:shd w:val="clear" w:color="auto" w:fill="auto"/>
            <w:vAlign w:val="center"/>
            <w:hideMark/>
          </w:tcPr>
          <w:p w14:paraId="32C90EEA"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COP 4.10 (IPLV 14.0)</w:t>
            </w:r>
          </w:p>
        </w:tc>
      </w:tr>
      <w:tr w:rsidR="00844A41" w:rsidRPr="00844A41" w14:paraId="7938108E" w14:textId="77777777" w:rsidTr="00844A41">
        <w:trPr>
          <w:trHeight w:val="300"/>
        </w:trPr>
        <w:tc>
          <w:tcPr>
            <w:tcW w:w="1700" w:type="dxa"/>
            <w:vMerge/>
            <w:tcBorders>
              <w:top w:val="single" w:sz="8" w:space="0" w:color="7140D1"/>
              <w:left w:val="nil"/>
              <w:bottom w:val="single" w:sz="4" w:space="0" w:color="7140D1"/>
              <w:right w:val="nil"/>
            </w:tcBorders>
            <w:vAlign w:val="center"/>
            <w:hideMark/>
          </w:tcPr>
          <w:p w14:paraId="55A3A31F"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000000" w:fill="F2F2F2"/>
            <w:noWrap/>
            <w:vAlign w:val="center"/>
            <w:hideMark/>
          </w:tcPr>
          <w:p w14:paraId="01B5B7FA"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Water-Cooled Chiller</w:t>
            </w:r>
          </w:p>
        </w:tc>
        <w:tc>
          <w:tcPr>
            <w:tcW w:w="5760" w:type="dxa"/>
            <w:gridSpan w:val="6"/>
            <w:tcBorders>
              <w:top w:val="single" w:sz="4" w:space="0" w:color="7140D1"/>
              <w:left w:val="nil"/>
              <w:bottom w:val="single" w:sz="4" w:space="0" w:color="7140D1"/>
              <w:right w:val="single" w:sz="4" w:space="0" w:color="7140D1"/>
            </w:tcBorders>
            <w:shd w:val="clear" w:color="000000" w:fill="F2F2F2"/>
            <w:vAlign w:val="center"/>
            <w:hideMark/>
          </w:tcPr>
          <w:p w14:paraId="335FB1E3"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COP 7.03 (0.5 kW/ton)</w:t>
            </w:r>
          </w:p>
        </w:tc>
      </w:tr>
      <w:tr w:rsidR="00844A41" w:rsidRPr="00844A41" w14:paraId="7DBAB6C9" w14:textId="77777777" w:rsidTr="00844A41">
        <w:trPr>
          <w:trHeight w:val="300"/>
        </w:trPr>
        <w:tc>
          <w:tcPr>
            <w:tcW w:w="1700" w:type="dxa"/>
            <w:vMerge/>
            <w:tcBorders>
              <w:top w:val="single" w:sz="8" w:space="0" w:color="7140D1"/>
              <w:left w:val="nil"/>
              <w:bottom w:val="single" w:sz="4" w:space="0" w:color="7140D1"/>
              <w:right w:val="nil"/>
            </w:tcBorders>
            <w:vAlign w:val="center"/>
            <w:hideMark/>
          </w:tcPr>
          <w:p w14:paraId="76E0062D"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auto" w:fill="auto"/>
            <w:noWrap/>
            <w:vAlign w:val="center"/>
            <w:hideMark/>
          </w:tcPr>
          <w:p w14:paraId="0B59F073"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RTUs</w:t>
            </w:r>
          </w:p>
        </w:tc>
        <w:tc>
          <w:tcPr>
            <w:tcW w:w="960" w:type="dxa"/>
            <w:tcBorders>
              <w:top w:val="nil"/>
              <w:left w:val="nil"/>
              <w:bottom w:val="single" w:sz="4" w:space="0" w:color="7140D1"/>
              <w:right w:val="single" w:sz="4" w:space="0" w:color="7140D1"/>
            </w:tcBorders>
            <w:shd w:val="clear" w:color="auto" w:fill="auto"/>
            <w:vAlign w:val="center"/>
            <w:hideMark/>
          </w:tcPr>
          <w:p w14:paraId="146A283F"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IEER 12.9</w:t>
            </w:r>
          </w:p>
        </w:tc>
        <w:tc>
          <w:tcPr>
            <w:tcW w:w="4800" w:type="dxa"/>
            <w:gridSpan w:val="5"/>
            <w:tcBorders>
              <w:top w:val="single" w:sz="4" w:space="0" w:color="7140D1"/>
              <w:left w:val="nil"/>
              <w:bottom w:val="single" w:sz="4" w:space="0" w:color="7140D1"/>
              <w:right w:val="single" w:sz="4" w:space="0" w:color="7140D1"/>
            </w:tcBorders>
            <w:shd w:val="clear" w:color="auto" w:fill="auto"/>
            <w:vAlign w:val="center"/>
            <w:hideMark/>
          </w:tcPr>
          <w:p w14:paraId="4796C2C4"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IEER 14.8</w:t>
            </w:r>
          </w:p>
        </w:tc>
      </w:tr>
      <w:tr w:rsidR="00844A41" w:rsidRPr="00844A41" w14:paraId="1E16D800" w14:textId="77777777" w:rsidTr="00844A41">
        <w:trPr>
          <w:trHeight w:val="300"/>
        </w:trPr>
        <w:tc>
          <w:tcPr>
            <w:tcW w:w="1700" w:type="dxa"/>
            <w:vMerge/>
            <w:tcBorders>
              <w:top w:val="single" w:sz="8" w:space="0" w:color="7140D1"/>
              <w:left w:val="nil"/>
              <w:bottom w:val="single" w:sz="4" w:space="0" w:color="7140D1"/>
              <w:right w:val="nil"/>
            </w:tcBorders>
            <w:vAlign w:val="center"/>
            <w:hideMark/>
          </w:tcPr>
          <w:p w14:paraId="7F033833"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000000" w:fill="F2F2F2"/>
            <w:noWrap/>
            <w:vAlign w:val="center"/>
            <w:hideMark/>
          </w:tcPr>
          <w:p w14:paraId="398FEE0B"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PTAC</w:t>
            </w:r>
          </w:p>
        </w:tc>
        <w:tc>
          <w:tcPr>
            <w:tcW w:w="5760" w:type="dxa"/>
            <w:gridSpan w:val="6"/>
            <w:tcBorders>
              <w:top w:val="single" w:sz="4" w:space="0" w:color="7140D1"/>
              <w:left w:val="nil"/>
              <w:bottom w:val="single" w:sz="4" w:space="0" w:color="7140D1"/>
              <w:right w:val="single" w:sz="4" w:space="0" w:color="7140D1"/>
            </w:tcBorders>
            <w:shd w:val="clear" w:color="000000" w:fill="F2F2F2"/>
            <w:vAlign w:val="center"/>
            <w:hideMark/>
          </w:tcPr>
          <w:p w14:paraId="61ABFD07"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EER 10.4</w:t>
            </w:r>
          </w:p>
        </w:tc>
      </w:tr>
      <w:tr w:rsidR="00844A41" w:rsidRPr="00844A41" w14:paraId="5554D8D7" w14:textId="77777777" w:rsidTr="00844A41">
        <w:trPr>
          <w:trHeight w:val="480"/>
        </w:trPr>
        <w:tc>
          <w:tcPr>
            <w:tcW w:w="1700" w:type="dxa"/>
            <w:vMerge w:val="restart"/>
            <w:tcBorders>
              <w:top w:val="nil"/>
              <w:left w:val="nil"/>
              <w:bottom w:val="single" w:sz="4" w:space="0" w:color="7140D1"/>
              <w:right w:val="nil"/>
            </w:tcBorders>
            <w:shd w:val="clear" w:color="auto" w:fill="auto"/>
            <w:vAlign w:val="center"/>
            <w:hideMark/>
          </w:tcPr>
          <w:p w14:paraId="6D694566" w14:textId="77777777" w:rsidR="00844A41" w:rsidRPr="002230A8" w:rsidRDefault="00844A41" w:rsidP="00844A41">
            <w:pPr>
              <w:keepNext/>
              <w:jc w:val="left"/>
              <w:rPr>
                <w:rFonts w:asciiTheme="majorHAnsi" w:eastAsia="Times New Roman" w:hAnsiTheme="majorHAnsi"/>
                <w:sz w:val="18"/>
                <w:szCs w:val="18"/>
              </w:rPr>
            </w:pPr>
            <w:r w:rsidRPr="002230A8">
              <w:rPr>
                <w:rFonts w:asciiTheme="majorHAnsi" w:eastAsia="Times New Roman" w:hAnsiTheme="majorHAnsi"/>
                <w:sz w:val="18"/>
                <w:szCs w:val="18"/>
              </w:rPr>
              <w:t>Cool/Heating</w:t>
            </w:r>
          </w:p>
        </w:tc>
        <w:tc>
          <w:tcPr>
            <w:tcW w:w="1980" w:type="dxa"/>
            <w:tcBorders>
              <w:top w:val="nil"/>
              <w:left w:val="nil"/>
              <w:bottom w:val="single" w:sz="4" w:space="0" w:color="7140D1"/>
              <w:right w:val="single" w:sz="4" w:space="0" w:color="7140D1"/>
            </w:tcBorders>
            <w:shd w:val="clear" w:color="auto" w:fill="auto"/>
            <w:noWrap/>
            <w:vAlign w:val="center"/>
            <w:hideMark/>
          </w:tcPr>
          <w:p w14:paraId="7A984C3E"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Heat Pump</w:t>
            </w:r>
          </w:p>
        </w:tc>
        <w:tc>
          <w:tcPr>
            <w:tcW w:w="960" w:type="dxa"/>
            <w:tcBorders>
              <w:top w:val="nil"/>
              <w:left w:val="nil"/>
              <w:bottom w:val="single" w:sz="4" w:space="0" w:color="7140D1"/>
              <w:right w:val="single" w:sz="4" w:space="0" w:color="7140D1"/>
            </w:tcBorders>
            <w:shd w:val="clear" w:color="auto" w:fill="auto"/>
            <w:vAlign w:val="center"/>
            <w:hideMark/>
          </w:tcPr>
          <w:p w14:paraId="3FB1DFD5"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IEER 12.8 / COP 3.3</w:t>
            </w:r>
          </w:p>
        </w:tc>
        <w:tc>
          <w:tcPr>
            <w:tcW w:w="4800" w:type="dxa"/>
            <w:gridSpan w:val="5"/>
            <w:tcBorders>
              <w:top w:val="single" w:sz="4" w:space="0" w:color="7140D1"/>
              <w:left w:val="nil"/>
              <w:bottom w:val="single" w:sz="4" w:space="0" w:color="7140D1"/>
              <w:right w:val="single" w:sz="4" w:space="0" w:color="7140D1"/>
            </w:tcBorders>
            <w:shd w:val="clear" w:color="auto" w:fill="auto"/>
            <w:vAlign w:val="center"/>
            <w:hideMark/>
          </w:tcPr>
          <w:p w14:paraId="25E4CB38"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IEER 14.1 / COP 3.4</w:t>
            </w:r>
          </w:p>
        </w:tc>
      </w:tr>
      <w:tr w:rsidR="00844A41" w:rsidRPr="00844A41" w14:paraId="133CE52F" w14:textId="77777777" w:rsidTr="00844A41">
        <w:trPr>
          <w:trHeight w:val="480"/>
        </w:trPr>
        <w:tc>
          <w:tcPr>
            <w:tcW w:w="1700" w:type="dxa"/>
            <w:vMerge/>
            <w:tcBorders>
              <w:top w:val="nil"/>
              <w:left w:val="nil"/>
              <w:bottom w:val="single" w:sz="4" w:space="0" w:color="7140D1"/>
              <w:right w:val="nil"/>
            </w:tcBorders>
            <w:vAlign w:val="center"/>
            <w:hideMark/>
          </w:tcPr>
          <w:p w14:paraId="330FA478"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000000" w:fill="F2F2F2"/>
            <w:noWrap/>
            <w:vAlign w:val="center"/>
            <w:hideMark/>
          </w:tcPr>
          <w:p w14:paraId="7A256CCD"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PTHP</w:t>
            </w:r>
          </w:p>
        </w:tc>
        <w:tc>
          <w:tcPr>
            <w:tcW w:w="5760" w:type="dxa"/>
            <w:gridSpan w:val="6"/>
            <w:tcBorders>
              <w:top w:val="single" w:sz="4" w:space="0" w:color="7140D1"/>
              <w:left w:val="nil"/>
              <w:bottom w:val="single" w:sz="4" w:space="0" w:color="7140D1"/>
              <w:right w:val="single" w:sz="4" w:space="0" w:color="7140D1"/>
            </w:tcBorders>
            <w:shd w:val="clear" w:color="000000" w:fill="F2F2F2"/>
            <w:vAlign w:val="center"/>
            <w:hideMark/>
          </w:tcPr>
          <w:p w14:paraId="08CBF32E"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EER 10.4/COP 3.1</w:t>
            </w:r>
          </w:p>
        </w:tc>
      </w:tr>
      <w:tr w:rsidR="00844A41" w:rsidRPr="00954113" w14:paraId="63162267" w14:textId="77777777" w:rsidTr="00844A41">
        <w:trPr>
          <w:trHeight w:val="300"/>
        </w:trPr>
        <w:tc>
          <w:tcPr>
            <w:tcW w:w="1700" w:type="dxa"/>
            <w:tcBorders>
              <w:top w:val="nil"/>
              <w:left w:val="nil"/>
              <w:bottom w:val="single" w:sz="4" w:space="0" w:color="7140D1"/>
              <w:right w:val="nil"/>
            </w:tcBorders>
            <w:shd w:val="clear" w:color="auto" w:fill="auto"/>
            <w:vAlign w:val="center"/>
            <w:hideMark/>
          </w:tcPr>
          <w:p w14:paraId="2230FBC4" w14:textId="77777777" w:rsidR="00844A41" w:rsidRPr="002230A8" w:rsidRDefault="00844A41" w:rsidP="00844A41">
            <w:pPr>
              <w:keepNext/>
              <w:jc w:val="left"/>
              <w:rPr>
                <w:rFonts w:asciiTheme="majorHAnsi" w:eastAsia="Times New Roman" w:hAnsiTheme="majorHAnsi"/>
                <w:sz w:val="18"/>
                <w:szCs w:val="18"/>
              </w:rPr>
            </w:pPr>
            <w:r w:rsidRPr="002230A8">
              <w:rPr>
                <w:rFonts w:asciiTheme="majorHAnsi" w:eastAsia="Times New Roman" w:hAnsiTheme="majorHAnsi"/>
                <w:sz w:val="18"/>
                <w:szCs w:val="18"/>
              </w:rPr>
              <w:t>Ventilation</w:t>
            </w:r>
          </w:p>
        </w:tc>
        <w:tc>
          <w:tcPr>
            <w:tcW w:w="1980" w:type="dxa"/>
            <w:tcBorders>
              <w:top w:val="nil"/>
              <w:left w:val="nil"/>
              <w:bottom w:val="single" w:sz="4" w:space="0" w:color="7140D1"/>
              <w:right w:val="single" w:sz="4" w:space="0" w:color="7140D1"/>
            </w:tcBorders>
            <w:shd w:val="clear" w:color="auto" w:fill="auto"/>
            <w:noWrap/>
            <w:vAlign w:val="center"/>
            <w:hideMark/>
          </w:tcPr>
          <w:p w14:paraId="4C3750D0"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All</w:t>
            </w:r>
          </w:p>
        </w:tc>
        <w:tc>
          <w:tcPr>
            <w:tcW w:w="5760" w:type="dxa"/>
            <w:gridSpan w:val="6"/>
            <w:tcBorders>
              <w:top w:val="single" w:sz="4" w:space="0" w:color="7140D1"/>
              <w:left w:val="nil"/>
              <w:bottom w:val="single" w:sz="4" w:space="0" w:color="7140D1"/>
              <w:right w:val="single" w:sz="4" w:space="0" w:color="7140D1"/>
            </w:tcBorders>
            <w:shd w:val="clear" w:color="auto" w:fill="auto"/>
            <w:vAlign w:val="center"/>
            <w:hideMark/>
          </w:tcPr>
          <w:p w14:paraId="012427C3" w14:textId="77777777" w:rsidR="00844A41" w:rsidRPr="00874E03" w:rsidRDefault="00844A41" w:rsidP="00844A41">
            <w:pPr>
              <w:keepNext/>
              <w:jc w:val="center"/>
              <w:rPr>
                <w:rFonts w:ascii="Aptos" w:eastAsia="Times New Roman" w:hAnsi="Aptos"/>
                <w:sz w:val="18"/>
                <w:szCs w:val="18"/>
                <w:lang w:val="fr-FR"/>
              </w:rPr>
            </w:pPr>
            <w:r w:rsidRPr="00874E03">
              <w:rPr>
                <w:rFonts w:ascii="Aptos" w:eastAsia="Times New Roman" w:hAnsi="Aptos"/>
                <w:sz w:val="18"/>
                <w:szCs w:val="18"/>
                <w:lang w:val="fr-FR"/>
              </w:rPr>
              <w:t>Constant Air Volume/Variable Air Volume</w:t>
            </w:r>
          </w:p>
        </w:tc>
      </w:tr>
      <w:tr w:rsidR="00844A41" w:rsidRPr="00844A41" w14:paraId="0FB7A42C" w14:textId="77777777" w:rsidTr="00844A41">
        <w:trPr>
          <w:trHeight w:val="300"/>
        </w:trPr>
        <w:tc>
          <w:tcPr>
            <w:tcW w:w="1700" w:type="dxa"/>
            <w:vMerge w:val="restart"/>
            <w:tcBorders>
              <w:top w:val="nil"/>
              <w:left w:val="nil"/>
              <w:bottom w:val="single" w:sz="4" w:space="0" w:color="7140D1"/>
              <w:right w:val="nil"/>
            </w:tcBorders>
            <w:shd w:val="clear" w:color="000000" w:fill="FFFFFF"/>
            <w:vAlign w:val="center"/>
            <w:hideMark/>
          </w:tcPr>
          <w:p w14:paraId="6332BCF5" w14:textId="77777777" w:rsidR="00844A41" w:rsidRPr="002230A8" w:rsidRDefault="00844A41" w:rsidP="00844A41">
            <w:pPr>
              <w:keepNext/>
              <w:jc w:val="left"/>
              <w:rPr>
                <w:rFonts w:asciiTheme="majorHAnsi" w:eastAsia="Times New Roman" w:hAnsiTheme="majorHAnsi"/>
                <w:sz w:val="18"/>
                <w:szCs w:val="18"/>
              </w:rPr>
            </w:pPr>
            <w:r w:rsidRPr="002230A8">
              <w:rPr>
                <w:rFonts w:asciiTheme="majorHAnsi" w:eastAsia="Times New Roman" w:hAnsiTheme="majorHAnsi"/>
                <w:sz w:val="18"/>
                <w:szCs w:val="18"/>
              </w:rPr>
              <w:t>Lighting</w:t>
            </w:r>
          </w:p>
        </w:tc>
        <w:tc>
          <w:tcPr>
            <w:tcW w:w="1980" w:type="dxa"/>
            <w:tcBorders>
              <w:top w:val="nil"/>
              <w:left w:val="nil"/>
              <w:bottom w:val="single" w:sz="4" w:space="0" w:color="7140D1"/>
              <w:right w:val="single" w:sz="4" w:space="0" w:color="7140D1"/>
            </w:tcBorders>
            <w:shd w:val="clear" w:color="000000" w:fill="F2F2F2"/>
            <w:noWrap/>
            <w:vAlign w:val="center"/>
            <w:hideMark/>
          </w:tcPr>
          <w:p w14:paraId="2C87EBC1"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General Service</w:t>
            </w:r>
          </w:p>
        </w:tc>
        <w:tc>
          <w:tcPr>
            <w:tcW w:w="1920" w:type="dxa"/>
            <w:gridSpan w:val="2"/>
            <w:tcBorders>
              <w:top w:val="single" w:sz="4" w:space="0" w:color="7140D1"/>
              <w:left w:val="nil"/>
              <w:bottom w:val="single" w:sz="4" w:space="0" w:color="7140D1"/>
              <w:right w:val="single" w:sz="4" w:space="0" w:color="7140D1"/>
            </w:tcBorders>
            <w:shd w:val="clear" w:color="000000" w:fill="F2F2F2"/>
            <w:vAlign w:val="center"/>
            <w:hideMark/>
          </w:tcPr>
          <w:p w14:paraId="756C2267"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EISA Compliant (19.8 lm/W)</w:t>
            </w:r>
          </w:p>
        </w:tc>
        <w:tc>
          <w:tcPr>
            <w:tcW w:w="3840" w:type="dxa"/>
            <w:gridSpan w:val="4"/>
            <w:tcBorders>
              <w:top w:val="single" w:sz="4" w:space="0" w:color="7140D1"/>
              <w:left w:val="nil"/>
              <w:bottom w:val="single" w:sz="4" w:space="0" w:color="7140D1"/>
              <w:right w:val="single" w:sz="4" w:space="0" w:color="7140D1"/>
            </w:tcBorders>
            <w:shd w:val="clear" w:color="000000" w:fill="F2F2F2"/>
            <w:vAlign w:val="center"/>
            <w:hideMark/>
          </w:tcPr>
          <w:p w14:paraId="5070BAB5"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EISA Compliant (45.0 lm/W)</w:t>
            </w:r>
          </w:p>
        </w:tc>
      </w:tr>
      <w:tr w:rsidR="00844A41" w:rsidRPr="00844A41" w14:paraId="4B6B5ED2" w14:textId="77777777" w:rsidTr="00844A41">
        <w:trPr>
          <w:trHeight w:val="300"/>
        </w:trPr>
        <w:tc>
          <w:tcPr>
            <w:tcW w:w="1700" w:type="dxa"/>
            <w:vMerge/>
            <w:tcBorders>
              <w:top w:val="nil"/>
              <w:left w:val="nil"/>
              <w:bottom w:val="single" w:sz="4" w:space="0" w:color="7140D1"/>
              <w:right w:val="nil"/>
            </w:tcBorders>
            <w:vAlign w:val="center"/>
            <w:hideMark/>
          </w:tcPr>
          <w:p w14:paraId="1321ED7A"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auto" w:fill="auto"/>
            <w:noWrap/>
            <w:vAlign w:val="center"/>
            <w:hideMark/>
          </w:tcPr>
          <w:p w14:paraId="17A00B5C"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Linear Lighting</w:t>
            </w:r>
          </w:p>
        </w:tc>
        <w:tc>
          <w:tcPr>
            <w:tcW w:w="5760" w:type="dxa"/>
            <w:gridSpan w:val="6"/>
            <w:tcBorders>
              <w:top w:val="single" w:sz="4" w:space="0" w:color="7140D1"/>
              <w:left w:val="nil"/>
              <w:bottom w:val="single" w:sz="4" w:space="0" w:color="7140D1"/>
              <w:right w:val="single" w:sz="4" w:space="0" w:color="7140D1"/>
            </w:tcBorders>
            <w:shd w:val="clear" w:color="auto" w:fill="auto"/>
            <w:vAlign w:val="center"/>
            <w:hideMark/>
          </w:tcPr>
          <w:p w14:paraId="71E07813"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T8 - F32 (82.5 lm/W system)</w:t>
            </w:r>
          </w:p>
        </w:tc>
      </w:tr>
      <w:tr w:rsidR="00844A41" w:rsidRPr="00844A41" w14:paraId="58724CA6" w14:textId="77777777" w:rsidTr="00844A41">
        <w:trPr>
          <w:trHeight w:val="300"/>
        </w:trPr>
        <w:tc>
          <w:tcPr>
            <w:tcW w:w="1700" w:type="dxa"/>
            <w:vMerge/>
            <w:tcBorders>
              <w:top w:val="nil"/>
              <w:left w:val="nil"/>
              <w:bottom w:val="single" w:sz="4" w:space="0" w:color="7140D1"/>
              <w:right w:val="nil"/>
            </w:tcBorders>
            <w:vAlign w:val="center"/>
            <w:hideMark/>
          </w:tcPr>
          <w:p w14:paraId="71218A1C"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000000" w:fill="F2F2F2"/>
            <w:noWrap/>
            <w:vAlign w:val="center"/>
            <w:hideMark/>
          </w:tcPr>
          <w:p w14:paraId="2EBC3CA0"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High Bay</w:t>
            </w:r>
          </w:p>
        </w:tc>
        <w:tc>
          <w:tcPr>
            <w:tcW w:w="5760" w:type="dxa"/>
            <w:gridSpan w:val="6"/>
            <w:tcBorders>
              <w:top w:val="single" w:sz="4" w:space="0" w:color="7140D1"/>
              <w:left w:val="nil"/>
              <w:bottom w:val="single" w:sz="4" w:space="0" w:color="7140D1"/>
              <w:right w:val="single" w:sz="4" w:space="0" w:color="7140D1"/>
            </w:tcBorders>
            <w:shd w:val="clear" w:color="000000" w:fill="F2F2F2"/>
            <w:vAlign w:val="center"/>
            <w:hideMark/>
          </w:tcPr>
          <w:p w14:paraId="066E81B2"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High-Intensity Discharge (56.0 lm/W)</w:t>
            </w:r>
          </w:p>
        </w:tc>
      </w:tr>
      <w:tr w:rsidR="00844A41" w:rsidRPr="00844A41" w14:paraId="3EBFDA79" w14:textId="77777777" w:rsidTr="00844A41">
        <w:trPr>
          <w:trHeight w:val="300"/>
        </w:trPr>
        <w:tc>
          <w:tcPr>
            <w:tcW w:w="1700" w:type="dxa"/>
            <w:vMerge w:val="restart"/>
            <w:tcBorders>
              <w:top w:val="nil"/>
              <w:left w:val="nil"/>
              <w:bottom w:val="single" w:sz="4" w:space="0" w:color="7140D1"/>
              <w:right w:val="nil"/>
            </w:tcBorders>
            <w:shd w:val="clear" w:color="000000" w:fill="FFFFFF"/>
            <w:vAlign w:val="center"/>
            <w:hideMark/>
          </w:tcPr>
          <w:p w14:paraId="33F364FB" w14:textId="77777777" w:rsidR="00844A41" w:rsidRPr="002230A8" w:rsidRDefault="00844A41" w:rsidP="00844A41">
            <w:pPr>
              <w:keepNext/>
              <w:jc w:val="left"/>
              <w:rPr>
                <w:rFonts w:asciiTheme="majorHAnsi" w:eastAsia="Times New Roman" w:hAnsiTheme="majorHAnsi"/>
                <w:sz w:val="18"/>
                <w:szCs w:val="18"/>
              </w:rPr>
            </w:pPr>
            <w:r w:rsidRPr="002230A8">
              <w:rPr>
                <w:rFonts w:asciiTheme="majorHAnsi" w:eastAsia="Times New Roman" w:hAnsiTheme="majorHAnsi"/>
                <w:sz w:val="18"/>
                <w:szCs w:val="18"/>
              </w:rPr>
              <w:t>Refrigeration</w:t>
            </w:r>
          </w:p>
        </w:tc>
        <w:tc>
          <w:tcPr>
            <w:tcW w:w="1980" w:type="dxa"/>
            <w:tcBorders>
              <w:top w:val="nil"/>
              <w:left w:val="nil"/>
              <w:bottom w:val="single" w:sz="4" w:space="0" w:color="7140D1"/>
              <w:right w:val="single" w:sz="4" w:space="0" w:color="7140D1"/>
            </w:tcBorders>
            <w:shd w:val="clear" w:color="auto" w:fill="auto"/>
            <w:noWrap/>
            <w:vAlign w:val="center"/>
            <w:hideMark/>
          </w:tcPr>
          <w:p w14:paraId="1B75C182"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Walk-In</w:t>
            </w:r>
          </w:p>
        </w:tc>
        <w:tc>
          <w:tcPr>
            <w:tcW w:w="5760" w:type="dxa"/>
            <w:gridSpan w:val="6"/>
            <w:tcBorders>
              <w:top w:val="single" w:sz="4" w:space="0" w:color="7140D1"/>
              <w:left w:val="nil"/>
              <w:bottom w:val="single" w:sz="4" w:space="0" w:color="7140D1"/>
              <w:right w:val="single" w:sz="4" w:space="0" w:color="7140D1"/>
            </w:tcBorders>
            <w:shd w:val="clear" w:color="auto" w:fill="auto"/>
            <w:vAlign w:val="center"/>
            <w:hideMark/>
          </w:tcPr>
          <w:p w14:paraId="0F8D6747"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2020 Standard</w:t>
            </w:r>
          </w:p>
        </w:tc>
      </w:tr>
      <w:tr w:rsidR="00844A41" w:rsidRPr="00844A41" w14:paraId="421B6837" w14:textId="77777777" w:rsidTr="00844A41">
        <w:trPr>
          <w:trHeight w:val="480"/>
        </w:trPr>
        <w:tc>
          <w:tcPr>
            <w:tcW w:w="1700" w:type="dxa"/>
            <w:vMerge/>
            <w:tcBorders>
              <w:top w:val="nil"/>
              <w:left w:val="nil"/>
              <w:bottom w:val="single" w:sz="4" w:space="0" w:color="7140D1"/>
              <w:right w:val="nil"/>
            </w:tcBorders>
            <w:vAlign w:val="center"/>
            <w:hideMark/>
          </w:tcPr>
          <w:p w14:paraId="612D18F7"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000000" w:fill="F2F2F2"/>
            <w:vAlign w:val="center"/>
            <w:hideMark/>
          </w:tcPr>
          <w:p w14:paraId="1A23A0BD"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Reach-In / Glass Door/ Open Display</w:t>
            </w:r>
          </w:p>
        </w:tc>
        <w:tc>
          <w:tcPr>
            <w:tcW w:w="5760" w:type="dxa"/>
            <w:gridSpan w:val="6"/>
            <w:tcBorders>
              <w:top w:val="single" w:sz="4" w:space="0" w:color="7140D1"/>
              <w:left w:val="nil"/>
              <w:bottom w:val="single" w:sz="4" w:space="0" w:color="7140D1"/>
              <w:right w:val="single" w:sz="4" w:space="0" w:color="7140D1"/>
            </w:tcBorders>
            <w:shd w:val="clear" w:color="000000" w:fill="F2F2F2"/>
            <w:vAlign w:val="center"/>
            <w:hideMark/>
          </w:tcPr>
          <w:p w14:paraId="63DA2071"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2017 Standard</w:t>
            </w:r>
          </w:p>
        </w:tc>
      </w:tr>
      <w:tr w:rsidR="00844A41" w:rsidRPr="00844A41" w14:paraId="52C11A84" w14:textId="77777777" w:rsidTr="00844A41">
        <w:trPr>
          <w:trHeight w:val="300"/>
        </w:trPr>
        <w:tc>
          <w:tcPr>
            <w:tcW w:w="1700" w:type="dxa"/>
            <w:vMerge/>
            <w:tcBorders>
              <w:top w:val="nil"/>
              <w:left w:val="nil"/>
              <w:bottom w:val="single" w:sz="4" w:space="0" w:color="7140D1"/>
              <w:right w:val="nil"/>
            </w:tcBorders>
            <w:vAlign w:val="center"/>
            <w:hideMark/>
          </w:tcPr>
          <w:p w14:paraId="3079E5AA" w14:textId="77777777" w:rsidR="00844A41" w:rsidRPr="002230A8" w:rsidRDefault="00844A41" w:rsidP="00844A41">
            <w:pPr>
              <w:keepNext/>
              <w:jc w:val="left"/>
              <w:rPr>
                <w:rFonts w:asciiTheme="majorHAnsi" w:eastAsia="Times New Roman" w:hAnsiTheme="majorHAnsi"/>
                <w:sz w:val="18"/>
                <w:szCs w:val="18"/>
              </w:rPr>
            </w:pPr>
          </w:p>
        </w:tc>
        <w:tc>
          <w:tcPr>
            <w:tcW w:w="1980" w:type="dxa"/>
            <w:tcBorders>
              <w:top w:val="nil"/>
              <w:left w:val="nil"/>
              <w:bottom w:val="single" w:sz="4" w:space="0" w:color="7140D1"/>
              <w:right w:val="single" w:sz="4" w:space="0" w:color="7140D1"/>
            </w:tcBorders>
            <w:shd w:val="clear" w:color="auto" w:fill="auto"/>
            <w:noWrap/>
            <w:vAlign w:val="center"/>
            <w:hideMark/>
          </w:tcPr>
          <w:p w14:paraId="4F6C82DF"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Vending Machine</w:t>
            </w:r>
          </w:p>
        </w:tc>
        <w:tc>
          <w:tcPr>
            <w:tcW w:w="5760" w:type="dxa"/>
            <w:gridSpan w:val="6"/>
            <w:tcBorders>
              <w:top w:val="single" w:sz="4" w:space="0" w:color="7140D1"/>
              <w:left w:val="nil"/>
              <w:bottom w:val="single" w:sz="4" w:space="0" w:color="7140D1"/>
              <w:right w:val="single" w:sz="4" w:space="0" w:color="7140D1"/>
            </w:tcBorders>
            <w:shd w:val="clear" w:color="auto" w:fill="auto"/>
            <w:vAlign w:val="center"/>
            <w:hideMark/>
          </w:tcPr>
          <w:p w14:paraId="10E5963B"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2019 Standard</w:t>
            </w:r>
          </w:p>
        </w:tc>
      </w:tr>
      <w:tr w:rsidR="00844A41" w:rsidRPr="00844A41" w14:paraId="59C807A2" w14:textId="77777777" w:rsidTr="00844A41">
        <w:trPr>
          <w:trHeight w:val="300"/>
        </w:trPr>
        <w:tc>
          <w:tcPr>
            <w:tcW w:w="1700" w:type="dxa"/>
            <w:tcBorders>
              <w:top w:val="nil"/>
              <w:left w:val="nil"/>
              <w:bottom w:val="single" w:sz="4" w:space="0" w:color="7140D1"/>
              <w:right w:val="nil"/>
            </w:tcBorders>
            <w:shd w:val="clear" w:color="000000" w:fill="FFFFFF"/>
            <w:vAlign w:val="center"/>
            <w:hideMark/>
          </w:tcPr>
          <w:p w14:paraId="552325EC" w14:textId="77777777" w:rsidR="00844A41" w:rsidRPr="002230A8" w:rsidRDefault="00844A41" w:rsidP="00844A41">
            <w:pPr>
              <w:keepNext/>
              <w:jc w:val="left"/>
              <w:rPr>
                <w:rFonts w:asciiTheme="majorHAnsi" w:eastAsia="Times New Roman" w:hAnsiTheme="majorHAnsi"/>
                <w:sz w:val="18"/>
                <w:szCs w:val="18"/>
              </w:rPr>
            </w:pPr>
            <w:r w:rsidRPr="002230A8">
              <w:rPr>
                <w:rFonts w:asciiTheme="majorHAnsi" w:eastAsia="Times New Roman" w:hAnsiTheme="majorHAnsi"/>
                <w:sz w:val="18"/>
                <w:szCs w:val="18"/>
              </w:rPr>
              <w:t>Food Service</w:t>
            </w:r>
          </w:p>
        </w:tc>
        <w:tc>
          <w:tcPr>
            <w:tcW w:w="1980" w:type="dxa"/>
            <w:tcBorders>
              <w:top w:val="nil"/>
              <w:left w:val="nil"/>
              <w:bottom w:val="single" w:sz="4" w:space="0" w:color="7140D1"/>
              <w:right w:val="single" w:sz="4" w:space="0" w:color="7140D1"/>
            </w:tcBorders>
            <w:shd w:val="clear" w:color="000000" w:fill="F2F2F2"/>
            <w:noWrap/>
            <w:vAlign w:val="center"/>
            <w:hideMark/>
          </w:tcPr>
          <w:p w14:paraId="4072C51F" w14:textId="77777777" w:rsidR="00844A41" w:rsidRPr="00874E03" w:rsidRDefault="00844A41" w:rsidP="00844A41">
            <w:pPr>
              <w:keepNext/>
              <w:jc w:val="left"/>
              <w:rPr>
                <w:rFonts w:ascii="Aptos" w:eastAsia="Times New Roman" w:hAnsi="Aptos"/>
                <w:sz w:val="18"/>
                <w:szCs w:val="18"/>
              </w:rPr>
            </w:pPr>
            <w:r w:rsidRPr="00874E03">
              <w:rPr>
                <w:rFonts w:ascii="Aptos" w:eastAsia="Times New Roman" w:hAnsi="Aptos"/>
                <w:sz w:val="18"/>
                <w:szCs w:val="18"/>
              </w:rPr>
              <w:t>Pre-Rinse Spray Valve</w:t>
            </w:r>
          </w:p>
        </w:tc>
        <w:tc>
          <w:tcPr>
            <w:tcW w:w="5760" w:type="dxa"/>
            <w:gridSpan w:val="6"/>
            <w:tcBorders>
              <w:top w:val="single" w:sz="4" w:space="0" w:color="7140D1"/>
              <w:left w:val="nil"/>
              <w:bottom w:val="single" w:sz="4" w:space="0" w:color="7140D1"/>
              <w:right w:val="single" w:sz="4" w:space="0" w:color="7140D1"/>
            </w:tcBorders>
            <w:shd w:val="clear" w:color="000000" w:fill="F2F2F2"/>
            <w:vAlign w:val="center"/>
            <w:hideMark/>
          </w:tcPr>
          <w:p w14:paraId="0E010FCE" w14:textId="77777777" w:rsidR="00844A41" w:rsidRPr="00874E03" w:rsidRDefault="00844A41" w:rsidP="00844A41">
            <w:pPr>
              <w:keepNext/>
              <w:jc w:val="center"/>
              <w:rPr>
                <w:rFonts w:ascii="Aptos" w:eastAsia="Times New Roman" w:hAnsi="Aptos"/>
                <w:sz w:val="18"/>
                <w:szCs w:val="18"/>
              </w:rPr>
            </w:pPr>
            <w:r w:rsidRPr="00874E03">
              <w:rPr>
                <w:rFonts w:ascii="Aptos" w:eastAsia="Times New Roman" w:hAnsi="Aptos"/>
                <w:sz w:val="18"/>
                <w:szCs w:val="18"/>
              </w:rPr>
              <w:t>1.0 GPM</w:t>
            </w:r>
          </w:p>
        </w:tc>
      </w:tr>
      <w:tr w:rsidR="00844A41" w:rsidRPr="00844A41" w14:paraId="063DE974" w14:textId="77777777" w:rsidTr="00844A41">
        <w:trPr>
          <w:trHeight w:val="300"/>
        </w:trPr>
        <w:tc>
          <w:tcPr>
            <w:tcW w:w="1700" w:type="dxa"/>
            <w:tcBorders>
              <w:top w:val="nil"/>
              <w:left w:val="nil"/>
              <w:bottom w:val="single" w:sz="4" w:space="0" w:color="7140D1"/>
              <w:right w:val="nil"/>
            </w:tcBorders>
            <w:shd w:val="clear" w:color="auto" w:fill="auto"/>
            <w:vAlign w:val="center"/>
            <w:hideMark/>
          </w:tcPr>
          <w:p w14:paraId="69D9BBB9" w14:textId="77777777" w:rsidR="00844A41" w:rsidRPr="002230A8" w:rsidRDefault="00844A41" w:rsidP="00844A41">
            <w:pPr>
              <w:jc w:val="left"/>
              <w:rPr>
                <w:rFonts w:asciiTheme="majorHAnsi" w:eastAsia="Times New Roman" w:hAnsiTheme="majorHAnsi"/>
                <w:sz w:val="18"/>
                <w:szCs w:val="18"/>
              </w:rPr>
            </w:pPr>
            <w:r w:rsidRPr="002230A8">
              <w:rPr>
                <w:rFonts w:asciiTheme="majorHAnsi" w:eastAsia="Times New Roman" w:hAnsiTheme="majorHAnsi"/>
                <w:sz w:val="18"/>
                <w:szCs w:val="18"/>
              </w:rPr>
              <w:t>Motors</w:t>
            </w:r>
          </w:p>
        </w:tc>
        <w:tc>
          <w:tcPr>
            <w:tcW w:w="1980" w:type="dxa"/>
            <w:tcBorders>
              <w:top w:val="nil"/>
              <w:left w:val="nil"/>
              <w:bottom w:val="single" w:sz="4" w:space="0" w:color="7140D1"/>
              <w:right w:val="single" w:sz="4" w:space="0" w:color="7140D1"/>
            </w:tcBorders>
            <w:shd w:val="clear" w:color="auto" w:fill="auto"/>
            <w:noWrap/>
            <w:vAlign w:val="center"/>
            <w:hideMark/>
          </w:tcPr>
          <w:p w14:paraId="61039B4C" w14:textId="77777777" w:rsidR="00844A41" w:rsidRPr="00874E03" w:rsidRDefault="00844A41" w:rsidP="00844A41">
            <w:pPr>
              <w:jc w:val="left"/>
              <w:rPr>
                <w:rFonts w:ascii="Aptos" w:eastAsia="Times New Roman" w:hAnsi="Aptos"/>
                <w:sz w:val="18"/>
                <w:szCs w:val="18"/>
              </w:rPr>
            </w:pPr>
            <w:r w:rsidRPr="00874E03">
              <w:rPr>
                <w:rFonts w:ascii="Aptos" w:eastAsia="Times New Roman" w:hAnsi="Aptos"/>
                <w:sz w:val="18"/>
                <w:szCs w:val="18"/>
              </w:rPr>
              <w:t>All</w:t>
            </w:r>
          </w:p>
        </w:tc>
        <w:tc>
          <w:tcPr>
            <w:tcW w:w="5760" w:type="dxa"/>
            <w:gridSpan w:val="6"/>
            <w:tcBorders>
              <w:top w:val="single" w:sz="4" w:space="0" w:color="7140D1"/>
              <w:left w:val="nil"/>
              <w:bottom w:val="single" w:sz="4" w:space="0" w:color="7140D1"/>
              <w:right w:val="single" w:sz="4" w:space="0" w:color="7140D1"/>
            </w:tcBorders>
            <w:shd w:val="clear" w:color="auto" w:fill="auto"/>
            <w:vAlign w:val="center"/>
            <w:hideMark/>
          </w:tcPr>
          <w:p w14:paraId="62698C72" w14:textId="77777777" w:rsidR="00844A41" w:rsidRPr="00874E03" w:rsidRDefault="00844A41" w:rsidP="00844A41">
            <w:pPr>
              <w:jc w:val="center"/>
              <w:rPr>
                <w:rFonts w:ascii="Aptos" w:eastAsia="Times New Roman" w:hAnsi="Aptos"/>
                <w:sz w:val="18"/>
                <w:szCs w:val="18"/>
              </w:rPr>
            </w:pPr>
            <w:r w:rsidRPr="00874E03">
              <w:rPr>
                <w:rFonts w:ascii="Aptos" w:eastAsia="Times New Roman" w:hAnsi="Aptos"/>
                <w:sz w:val="18"/>
                <w:szCs w:val="18"/>
              </w:rPr>
              <w:t>NEMA Premium</w:t>
            </w:r>
          </w:p>
        </w:tc>
      </w:tr>
    </w:tbl>
    <w:p w14:paraId="75E19E1E" w14:textId="77777777" w:rsidR="001409AF" w:rsidRPr="000F5F8E" w:rsidRDefault="001409AF" w:rsidP="000F5F8E">
      <w:pPr>
        <w:pStyle w:val="AEGBody"/>
        <w:rPr>
          <w:lang w:eastAsia="ja-JP"/>
        </w:rPr>
      </w:pPr>
    </w:p>
    <w:p w14:paraId="79B05111" w14:textId="3CE1BE68" w:rsidR="007563CF" w:rsidRDefault="007563CF" w:rsidP="009875ED">
      <w:pPr>
        <w:pStyle w:val="Heading3"/>
      </w:pPr>
      <w:bookmarkStart w:id="37" w:name="_Toc175904859"/>
      <w:r>
        <w:t>Conservation Measure Data Application</w:t>
      </w:r>
      <w:bookmarkEnd w:id="37"/>
    </w:p>
    <w:p w14:paraId="153CBFC8" w14:textId="2AB782D6" w:rsidR="000F5F8E" w:rsidRDefault="00DF49E7" w:rsidP="000F5F8E">
      <w:pPr>
        <w:pStyle w:val="AEGBody"/>
        <w:rPr>
          <w:lang w:eastAsia="ja-JP"/>
        </w:rPr>
      </w:pPr>
      <w:r>
        <w:rPr>
          <w:lang w:eastAsia="ja-JP"/>
        </w:rPr>
        <w:fldChar w:fldCharType="begin"/>
      </w:r>
      <w:r>
        <w:rPr>
          <w:lang w:eastAsia="ja-JP"/>
        </w:rPr>
        <w:instrText xml:space="preserve"> REF _Ref175811849 \h </w:instrText>
      </w:r>
      <w:r>
        <w:rPr>
          <w:lang w:eastAsia="ja-JP"/>
        </w:rPr>
      </w:r>
      <w:r>
        <w:rPr>
          <w:lang w:eastAsia="ja-JP"/>
        </w:rPr>
        <w:fldChar w:fldCharType="separate"/>
      </w:r>
      <w:r>
        <w:t xml:space="preserve">Table </w:t>
      </w:r>
      <w:r>
        <w:rPr>
          <w:noProof/>
        </w:rPr>
        <w:t>2</w:t>
      </w:r>
      <w:r>
        <w:noBreakHyphen/>
      </w:r>
      <w:r>
        <w:rPr>
          <w:noProof/>
        </w:rPr>
        <w:t>7</w:t>
      </w:r>
      <w:r>
        <w:rPr>
          <w:lang w:eastAsia="ja-JP"/>
        </w:rPr>
        <w:fldChar w:fldCharType="end"/>
      </w:r>
      <w:r w:rsidR="00415CDA">
        <w:rPr>
          <w:lang w:eastAsia="ja-JP"/>
        </w:rPr>
        <w:t xml:space="preserve"> </w:t>
      </w:r>
      <w:r w:rsidR="00527178">
        <w:rPr>
          <w:lang w:eastAsia="ja-JP"/>
        </w:rPr>
        <w:t>details the energy efficiency data inputs to the LoadMAP model, describes each input, and identifies the key sources used in the analysis.</w:t>
      </w:r>
    </w:p>
    <w:p w14:paraId="02C5CB06" w14:textId="78FF77B3" w:rsidR="00527178" w:rsidRDefault="00527178" w:rsidP="00527178">
      <w:pPr>
        <w:pStyle w:val="Caption"/>
      </w:pPr>
      <w:bookmarkStart w:id="38" w:name="_Ref175811849"/>
      <w:bookmarkStart w:id="39" w:name="_Toc175912369"/>
      <w:r>
        <w:lastRenderedPageBreak/>
        <w:t xml:space="preserve">Table </w:t>
      </w:r>
      <w:r w:rsidR="00EE4707">
        <w:fldChar w:fldCharType="begin"/>
      </w:r>
      <w:r w:rsidR="00EE4707">
        <w:instrText xml:space="preserve"> STYLEREF 1 \s </w:instrText>
      </w:r>
      <w:r w:rsidR="00EE4707">
        <w:fldChar w:fldCharType="separate"/>
      </w:r>
      <w:r w:rsidR="00EE4707">
        <w:rPr>
          <w:noProof/>
        </w:rPr>
        <w:t>2</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7</w:t>
      </w:r>
      <w:r w:rsidR="00EE4707">
        <w:fldChar w:fldCharType="end"/>
      </w:r>
      <w:bookmarkEnd w:id="38"/>
      <w:r>
        <w:t xml:space="preserve"> Data Needs for Measure Characteristics in LoadMAP</w:t>
      </w:r>
      <w:bookmarkEnd w:id="39"/>
    </w:p>
    <w:tbl>
      <w:tblPr>
        <w:tblStyle w:val="AEG-DarkBanded"/>
        <w:tblpPr w:leftFromText="180" w:rightFromText="180" w:vertAnchor="text" w:horzAnchor="margin" w:tblpXSpec="center" w:tblpY="-66"/>
        <w:tblW w:w="0" w:type="auto"/>
        <w:tblLook w:val="04A0" w:firstRow="1" w:lastRow="0" w:firstColumn="1" w:lastColumn="0" w:noHBand="0" w:noVBand="1"/>
      </w:tblPr>
      <w:tblGrid>
        <w:gridCol w:w="1432"/>
        <w:gridCol w:w="5060"/>
        <w:gridCol w:w="2688"/>
      </w:tblGrid>
      <w:tr w:rsidR="00527178" w:rsidRPr="00527178" w14:paraId="5AC29D05" w14:textId="77777777" w:rsidTr="001021E1">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432" w:type="dxa"/>
          </w:tcPr>
          <w:p w14:paraId="2AB18EF5" w14:textId="77777777" w:rsidR="00527178" w:rsidRPr="00874E03" w:rsidRDefault="00527178" w:rsidP="00C54C72">
            <w:pPr>
              <w:pStyle w:val="TableText"/>
              <w:ind w:right="-72"/>
              <w:jc w:val="left"/>
              <w:rPr>
                <w:rFonts w:asciiTheme="majorHAnsi" w:hAnsiTheme="majorHAnsi" w:cs="Calibri"/>
                <w:b w:val="0"/>
                <w:bCs/>
                <w:caps/>
                <w:color w:val="F6F6F7" w:themeColor="background1"/>
              </w:rPr>
            </w:pPr>
            <w:r w:rsidRPr="00874E03">
              <w:rPr>
                <w:rFonts w:asciiTheme="majorHAnsi" w:hAnsiTheme="majorHAnsi" w:cs="Calibri"/>
                <w:b w:val="0"/>
                <w:bCs/>
                <w:color w:val="F6F6F7" w:themeColor="background1"/>
              </w:rPr>
              <w:t>Model Inputs</w:t>
            </w:r>
          </w:p>
        </w:tc>
        <w:tc>
          <w:tcPr>
            <w:tcW w:w="5060" w:type="dxa"/>
          </w:tcPr>
          <w:p w14:paraId="78C61A2D" w14:textId="77777777" w:rsidR="00527178" w:rsidRPr="00874E03" w:rsidRDefault="00527178" w:rsidP="00C54C72">
            <w:pPr>
              <w:pStyle w:val="TableText"/>
              <w:ind w:right="-72"/>
              <w:cnfStyle w:val="100000000000" w:firstRow="1" w:lastRow="0" w:firstColumn="0" w:lastColumn="0" w:oddVBand="0" w:evenVBand="0" w:oddHBand="0" w:evenHBand="0" w:firstRowFirstColumn="0" w:firstRowLastColumn="0" w:lastRowFirstColumn="0" w:lastRowLastColumn="0"/>
              <w:rPr>
                <w:rFonts w:asciiTheme="majorHAnsi" w:hAnsiTheme="majorHAnsi" w:cs="Calibri"/>
                <w:b w:val="0"/>
                <w:bCs/>
                <w:caps/>
                <w:color w:val="F6F6F7" w:themeColor="background1"/>
              </w:rPr>
            </w:pPr>
            <w:r w:rsidRPr="00874E03">
              <w:rPr>
                <w:rFonts w:asciiTheme="majorHAnsi" w:hAnsiTheme="majorHAnsi" w:cs="Calibri"/>
                <w:b w:val="0"/>
                <w:bCs/>
                <w:color w:val="F6F6F7" w:themeColor="background1"/>
              </w:rPr>
              <w:t>Description</w:t>
            </w:r>
          </w:p>
        </w:tc>
        <w:tc>
          <w:tcPr>
            <w:tcW w:w="2688" w:type="dxa"/>
          </w:tcPr>
          <w:p w14:paraId="62E733FF" w14:textId="77777777" w:rsidR="00527178" w:rsidRPr="00874E03" w:rsidRDefault="00527178" w:rsidP="00C54C72">
            <w:pPr>
              <w:pStyle w:val="TableText"/>
              <w:ind w:right="-72"/>
              <w:cnfStyle w:val="100000000000" w:firstRow="1" w:lastRow="0" w:firstColumn="0" w:lastColumn="0" w:oddVBand="0" w:evenVBand="0" w:oddHBand="0" w:evenHBand="0" w:firstRowFirstColumn="0" w:firstRowLastColumn="0" w:lastRowFirstColumn="0" w:lastRowLastColumn="0"/>
              <w:rPr>
                <w:rFonts w:asciiTheme="majorHAnsi" w:hAnsiTheme="majorHAnsi" w:cs="Calibri"/>
                <w:b w:val="0"/>
                <w:bCs/>
                <w:caps/>
                <w:color w:val="F6F6F7" w:themeColor="background1"/>
              </w:rPr>
            </w:pPr>
            <w:r w:rsidRPr="00874E03">
              <w:rPr>
                <w:rFonts w:asciiTheme="majorHAnsi" w:hAnsiTheme="majorHAnsi" w:cs="Calibri"/>
                <w:b w:val="0"/>
                <w:bCs/>
                <w:color w:val="F6F6F7" w:themeColor="background1"/>
              </w:rPr>
              <w:t>Key Sources</w:t>
            </w:r>
          </w:p>
        </w:tc>
      </w:tr>
      <w:tr w:rsidR="00527178" w:rsidRPr="00527178" w14:paraId="44A0ED21"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432" w:type="dxa"/>
          </w:tcPr>
          <w:p w14:paraId="770EAB6B" w14:textId="77777777" w:rsidR="00527178" w:rsidRPr="00FF4586" w:rsidRDefault="00527178" w:rsidP="00C54C72">
            <w:pPr>
              <w:pStyle w:val="TableText"/>
              <w:ind w:right="-72"/>
              <w:jc w:val="left"/>
              <w:rPr>
                <w:rFonts w:asciiTheme="minorHAnsi" w:hAnsiTheme="minorHAnsi" w:cs="Calibri"/>
              </w:rPr>
            </w:pPr>
            <w:r w:rsidRPr="00FF4586">
              <w:rPr>
                <w:rFonts w:asciiTheme="minorHAnsi" w:hAnsiTheme="minorHAnsi" w:cs="Calibri"/>
              </w:rPr>
              <w:t>Energy Impacts</w:t>
            </w:r>
          </w:p>
        </w:tc>
        <w:tc>
          <w:tcPr>
            <w:tcW w:w="5060" w:type="dxa"/>
          </w:tcPr>
          <w:p w14:paraId="08D32993" w14:textId="77777777" w:rsidR="00527178" w:rsidRPr="00FF4586" w:rsidRDefault="00527178" w:rsidP="00FF458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The annual reduction in consumption attributable to each specific measure. Savings were developed as a percentage of the energy end use that the measure affects.</w:t>
            </w:r>
          </w:p>
        </w:tc>
        <w:tc>
          <w:tcPr>
            <w:tcW w:w="2688" w:type="dxa"/>
          </w:tcPr>
          <w:p w14:paraId="27EEB010"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Avista measure data</w:t>
            </w:r>
          </w:p>
          <w:p w14:paraId="0AE5307B"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NWPCC workbooks, RTF</w:t>
            </w:r>
          </w:p>
          <w:p w14:paraId="58CE1417" w14:textId="7A3C4C83" w:rsidR="00527178" w:rsidRPr="00FF4586" w:rsidRDefault="00527178" w:rsidP="00833A5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rPr>
              <w:t>NWPCC 2021 Plan conservation workbooks</w:t>
            </w:r>
          </w:p>
          <w:p w14:paraId="74E5A818" w14:textId="76503938"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 xml:space="preserve">AEO </w:t>
            </w:r>
            <w:r w:rsidR="007F3F47" w:rsidRPr="00FF4586">
              <w:rPr>
                <w:rFonts w:asciiTheme="minorHAnsi" w:hAnsiTheme="minorHAnsi" w:cs="Calibri"/>
              </w:rPr>
              <w:t>2023</w:t>
            </w:r>
          </w:p>
          <w:p w14:paraId="296E9695" w14:textId="7EB00E74" w:rsidR="00527178" w:rsidRPr="00FF4586" w:rsidRDefault="00833A56"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EIA Technical Data</w:t>
            </w:r>
          </w:p>
          <w:p w14:paraId="1293A155"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Other secondary sources</w:t>
            </w:r>
          </w:p>
        </w:tc>
      </w:tr>
      <w:tr w:rsidR="00527178" w:rsidRPr="00527178" w14:paraId="10F562D8"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432" w:type="dxa"/>
          </w:tcPr>
          <w:p w14:paraId="6CB5EE1E" w14:textId="77777777" w:rsidR="00527178" w:rsidRPr="00FF4586" w:rsidRDefault="00527178" w:rsidP="00C54C72">
            <w:pPr>
              <w:pStyle w:val="TableText"/>
              <w:ind w:right="-72"/>
              <w:jc w:val="left"/>
              <w:rPr>
                <w:rFonts w:asciiTheme="minorHAnsi" w:hAnsiTheme="minorHAnsi" w:cs="Calibri"/>
              </w:rPr>
            </w:pPr>
            <w:r w:rsidRPr="00FF4586">
              <w:rPr>
                <w:rFonts w:asciiTheme="minorHAnsi" w:hAnsiTheme="minorHAnsi" w:cs="Calibri"/>
              </w:rPr>
              <w:t>Peak Demand Impacts</w:t>
            </w:r>
          </w:p>
        </w:tc>
        <w:tc>
          <w:tcPr>
            <w:tcW w:w="5060" w:type="dxa"/>
          </w:tcPr>
          <w:p w14:paraId="1A7CDAA7" w14:textId="77777777" w:rsidR="00527178" w:rsidRPr="00FF4586" w:rsidRDefault="00527178" w:rsidP="00FF4586">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Savings during the peak demand periods are specified for each electric measure. These impacts relate to the energy savings and depend on the extent to which each measure is coincident with the system peak.</w:t>
            </w:r>
          </w:p>
        </w:tc>
        <w:tc>
          <w:tcPr>
            <w:tcW w:w="2688" w:type="dxa"/>
          </w:tcPr>
          <w:p w14:paraId="42DD05EB" w14:textId="77777777" w:rsidR="00527178" w:rsidRPr="00FF4586" w:rsidRDefault="00527178"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Avista measure data</w:t>
            </w:r>
          </w:p>
          <w:p w14:paraId="69A8A12C" w14:textId="26AF8455" w:rsidR="00833A56" w:rsidRPr="00FF4586" w:rsidRDefault="00833A56"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Building Simulations</w:t>
            </w:r>
          </w:p>
          <w:p w14:paraId="74DA00BE" w14:textId="37902894" w:rsidR="00833A56" w:rsidRPr="00FF4586" w:rsidRDefault="00833A56"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RTF workbooks</w:t>
            </w:r>
          </w:p>
          <w:p w14:paraId="0A058614" w14:textId="3939B17A" w:rsidR="009E20BD" w:rsidRPr="00FF4586" w:rsidRDefault="009E20BD"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NREL</w:t>
            </w:r>
            <w:r w:rsidR="00DF49E7" w:rsidRPr="00FF4586">
              <w:rPr>
                <w:rFonts w:asciiTheme="minorHAnsi" w:hAnsiTheme="minorHAnsi" w:cs="Calibri"/>
              </w:rPr>
              <w:t xml:space="preserve"> End-Use Load Profiles</w:t>
            </w:r>
          </w:p>
        </w:tc>
      </w:tr>
      <w:tr w:rsidR="00527178" w:rsidRPr="00527178" w14:paraId="001D57CD"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432" w:type="dxa"/>
          </w:tcPr>
          <w:p w14:paraId="30DDA713" w14:textId="77777777" w:rsidR="00527178" w:rsidRPr="00FF4586" w:rsidRDefault="00527178" w:rsidP="00C54C72">
            <w:pPr>
              <w:pStyle w:val="TableText"/>
              <w:ind w:right="-72"/>
              <w:jc w:val="left"/>
              <w:rPr>
                <w:rFonts w:asciiTheme="minorHAnsi" w:hAnsiTheme="minorHAnsi" w:cs="Calibri"/>
              </w:rPr>
            </w:pPr>
            <w:r w:rsidRPr="00FF4586">
              <w:rPr>
                <w:rFonts w:asciiTheme="minorHAnsi" w:hAnsiTheme="minorHAnsi" w:cs="Calibri"/>
              </w:rPr>
              <w:t>Costs</w:t>
            </w:r>
          </w:p>
        </w:tc>
        <w:tc>
          <w:tcPr>
            <w:tcW w:w="5060" w:type="dxa"/>
          </w:tcPr>
          <w:p w14:paraId="425F5CFE" w14:textId="77777777" w:rsidR="00527178" w:rsidRPr="00FF4586" w:rsidRDefault="00527178" w:rsidP="00FF458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Equipment Measures: Includes the full cost of purchasing and installing the equipment on a per-household, per-square-foot, per employee or per service point basis for the residential, commercial, and industrial sectors, respectively.</w:t>
            </w:r>
          </w:p>
          <w:p w14:paraId="5F7F54FD" w14:textId="77777777" w:rsidR="00527178" w:rsidRPr="00FF4586" w:rsidRDefault="00527178" w:rsidP="00FF458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Non-equipment measures: Existing buildings – full installed cost. New Construction - the costs may be either the full cost of the measure, or as appropriate, it may be the incremental cost of upgrading from a standard level to a higher efficiency level.</w:t>
            </w:r>
          </w:p>
        </w:tc>
        <w:tc>
          <w:tcPr>
            <w:tcW w:w="2688" w:type="dxa"/>
          </w:tcPr>
          <w:p w14:paraId="32EC4A26"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Avista measure data</w:t>
            </w:r>
          </w:p>
          <w:p w14:paraId="2DE55E49"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NWPCC workbooks, RTF</w:t>
            </w:r>
          </w:p>
          <w:p w14:paraId="79A2A8D6" w14:textId="058A4B1D" w:rsidR="00527178" w:rsidRPr="00FF4586" w:rsidRDefault="00527178" w:rsidP="00833A5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rPr>
              <w:t>NWPCC 2021 Plan conservation workbooks</w:t>
            </w:r>
          </w:p>
          <w:p w14:paraId="4CFA974A" w14:textId="507812CE" w:rsidR="00833A56" w:rsidRPr="00FF4586" w:rsidRDefault="00527178" w:rsidP="00833A5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rPr>
              <w:t xml:space="preserve">AEO </w:t>
            </w:r>
            <w:r w:rsidR="007F3F47" w:rsidRPr="00FF4586">
              <w:rPr>
                <w:rFonts w:asciiTheme="minorHAnsi" w:hAnsiTheme="minorHAnsi"/>
              </w:rPr>
              <w:t>2023</w:t>
            </w:r>
          </w:p>
          <w:p w14:paraId="61B53774" w14:textId="77777777" w:rsidR="00527178" w:rsidRPr="00FF4586" w:rsidRDefault="00527178" w:rsidP="00833A5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 xml:space="preserve">Other secondary sources </w:t>
            </w:r>
          </w:p>
        </w:tc>
      </w:tr>
      <w:tr w:rsidR="00527178" w:rsidRPr="00527178" w14:paraId="5F2CE1EB"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432" w:type="dxa"/>
          </w:tcPr>
          <w:p w14:paraId="00BE1437" w14:textId="77777777" w:rsidR="00527178" w:rsidRPr="00FF4586" w:rsidRDefault="00527178" w:rsidP="00C54C72">
            <w:pPr>
              <w:pStyle w:val="TableText"/>
              <w:ind w:right="-72"/>
              <w:jc w:val="left"/>
              <w:rPr>
                <w:rFonts w:asciiTheme="minorHAnsi" w:hAnsiTheme="minorHAnsi" w:cs="Calibri"/>
              </w:rPr>
            </w:pPr>
            <w:r w:rsidRPr="00FF4586">
              <w:rPr>
                <w:rFonts w:asciiTheme="minorHAnsi" w:hAnsiTheme="minorHAnsi" w:cs="Calibri"/>
              </w:rPr>
              <w:t>Measure Lifetimes</w:t>
            </w:r>
          </w:p>
        </w:tc>
        <w:tc>
          <w:tcPr>
            <w:tcW w:w="5060" w:type="dxa"/>
          </w:tcPr>
          <w:p w14:paraId="171A3310" w14:textId="77777777" w:rsidR="00527178" w:rsidRPr="00FF4586" w:rsidRDefault="00527178" w:rsidP="00FF4586">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Estimates derived from the technical data and secondary data sources that support the measure demand and energy savings analysis.</w:t>
            </w:r>
          </w:p>
        </w:tc>
        <w:tc>
          <w:tcPr>
            <w:tcW w:w="2688" w:type="dxa"/>
          </w:tcPr>
          <w:p w14:paraId="6325ADB0" w14:textId="77777777" w:rsidR="00527178" w:rsidRPr="00FF4586" w:rsidRDefault="00527178"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Avista measure data</w:t>
            </w:r>
          </w:p>
          <w:p w14:paraId="378512ED" w14:textId="77777777" w:rsidR="00527178" w:rsidRPr="00FF4586" w:rsidRDefault="00527178"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NWPCC workbooks, RTF</w:t>
            </w:r>
          </w:p>
          <w:p w14:paraId="6E3309E6" w14:textId="17431B6C" w:rsidR="00527178" w:rsidRPr="00FF4586" w:rsidRDefault="00527178" w:rsidP="00833A56">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rPr>
              <w:t xml:space="preserve">NWPCC 2021 Plan conservation workbooks </w:t>
            </w:r>
          </w:p>
          <w:p w14:paraId="3F042165" w14:textId="0AA590C9" w:rsidR="00833A56" w:rsidRPr="00FF4586" w:rsidRDefault="00527178" w:rsidP="00833A56">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rPr>
              <w:t xml:space="preserve">AEO </w:t>
            </w:r>
            <w:r w:rsidR="007F3F47" w:rsidRPr="00FF4586">
              <w:rPr>
                <w:rFonts w:asciiTheme="minorHAnsi" w:hAnsiTheme="minorHAnsi"/>
              </w:rPr>
              <w:t>2023</w:t>
            </w:r>
          </w:p>
          <w:p w14:paraId="586CC0CA" w14:textId="77777777" w:rsidR="00527178" w:rsidRPr="00FF4586" w:rsidRDefault="00527178" w:rsidP="00833A56">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Other secondary sources</w:t>
            </w:r>
          </w:p>
        </w:tc>
      </w:tr>
      <w:tr w:rsidR="00527178" w:rsidRPr="00527178" w14:paraId="09ACECA0"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432" w:type="dxa"/>
          </w:tcPr>
          <w:p w14:paraId="57E3DAB9" w14:textId="77777777" w:rsidR="00527178" w:rsidRPr="00FF4586" w:rsidRDefault="00527178" w:rsidP="00C54C72">
            <w:pPr>
              <w:pStyle w:val="TableText"/>
              <w:ind w:right="-72"/>
              <w:jc w:val="left"/>
              <w:rPr>
                <w:rFonts w:asciiTheme="minorHAnsi" w:hAnsiTheme="minorHAnsi" w:cs="Calibri"/>
              </w:rPr>
            </w:pPr>
            <w:r w:rsidRPr="00FF4586">
              <w:rPr>
                <w:rFonts w:asciiTheme="minorHAnsi" w:hAnsiTheme="minorHAnsi" w:cs="Calibri"/>
              </w:rPr>
              <w:t>Applicability</w:t>
            </w:r>
          </w:p>
        </w:tc>
        <w:tc>
          <w:tcPr>
            <w:tcW w:w="5060" w:type="dxa"/>
          </w:tcPr>
          <w:p w14:paraId="5B4AC9B1" w14:textId="77777777" w:rsidR="00527178" w:rsidRPr="00FF4586" w:rsidRDefault="00527178" w:rsidP="00FF458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Estimate of the percentage of dwellings in the residential sector, square feet in the commercial sector, or employees in the industrial sector where the measure is applicable and where it is technically feasible to implement.</w:t>
            </w:r>
          </w:p>
        </w:tc>
        <w:tc>
          <w:tcPr>
            <w:tcW w:w="2688" w:type="dxa"/>
          </w:tcPr>
          <w:p w14:paraId="5F286703"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Avista measure data</w:t>
            </w:r>
          </w:p>
          <w:p w14:paraId="2C04C485" w14:textId="77777777" w:rsidR="00527178" w:rsidRPr="00FF4586" w:rsidRDefault="00527178" w:rsidP="00C54C72">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NWPCC workbooks, RTF</w:t>
            </w:r>
          </w:p>
          <w:p w14:paraId="115F6A7C" w14:textId="0508DC91" w:rsidR="00833A56" w:rsidRPr="00FF4586" w:rsidRDefault="00527178" w:rsidP="00833A5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rPr>
              <w:t>NWPCC 2021 Plan conservation workbooks</w:t>
            </w:r>
          </w:p>
          <w:p w14:paraId="147C8FFF" w14:textId="77777777" w:rsidR="00527178" w:rsidRPr="00FF4586" w:rsidRDefault="00527178" w:rsidP="00833A56">
            <w:pPr>
              <w:pStyle w:val="TableText"/>
              <w:ind w:right="-72"/>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
              </w:rPr>
            </w:pPr>
            <w:r w:rsidRPr="00FF4586">
              <w:rPr>
                <w:rFonts w:asciiTheme="minorHAnsi" w:hAnsiTheme="minorHAnsi" w:cs="Calibri"/>
              </w:rPr>
              <w:t>Other secondary sources</w:t>
            </w:r>
          </w:p>
        </w:tc>
      </w:tr>
      <w:tr w:rsidR="00527178" w:rsidRPr="00527178" w14:paraId="5999A3C1"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432" w:type="dxa"/>
          </w:tcPr>
          <w:p w14:paraId="49FE7870" w14:textId="77777777" w:rsidR="00527178" w:rsidRPr="00FF4586" w:rsidRDefault="00527178" w:rsidP="00C54C72">
            <w:pPr>
              <w:pStyle w:val="TableText"/>
              <w:ind w:right="-72"/>
              <w:jc w:val="left"/>
              <w:rPr>
                <w:rFonts w:asciiTheme="minorHAnsi" w:hAnsiTheme="minorHAnsi" w:cs="Calibri"/>
              </w:rPr>
            </w:pPr>
            <w:r w:rsidRPr="00FF4586">
              <w:rPr>
                <w:rFonts w:asciiTheme="minorHAnsi" w:hAnsiTheme="minorHAnsi" w:cs="Calibri"/>
              </w:rPr>
              <w:t>On Market and Off Market Availability</w:t>
            </w:r>
          </w:p>
        </w:tc>
        <w:tc>
          <w:tcPr>
            <w:tcW w:w="5060" w:type="dxa"/>
          </w:tcPr>
          <w:p w14:paraId="425F3103" w14:textId="77777777" w:rsidR="00527178" w:rsidRPr="00FF4586" w:rsidRDefault="00527178" w:rsidP="00FF4586">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Expressed as years for equipment measures to reflect when the equipment technology is available or no longer available in the market.</w:t>
            </w:r>
          </w:p>
        </w:tc>
        <w:tc>
          <w:tcPr>
            <w:tcW w:w="2688" w:type="dxa"/>
          </w:tcPr>
          <w:p w14:paraId="58E80F23" w14:textId="77777777" w:rsidR="00527178" w:rsidRPr="00FF4586" w:rsidRDefault="00527178" w:rsidP="00C54C72">
            <w:pPr>
              <w:pStyle w:val="TableText"/>
              <w:ind w:right="-72"/>
              <w:jc w:val="left"/>
              <w:cnfStyle w:val="000000010000" w:firstRow="0" w:lastRow="0" w:firstColumn="0" w:lastColumn="0" w:oddVBand="0" w:evenVBand="0" w:oddHBand="0" w:evenHBand="1" w:firstRowFirstColumn="0" w:firstRowLastColumn="0" w:lastRowFirstColumn="0" w:lastRowLastColumn="0"/>
              <w:rPr>
                <w:rFonts w:asciiTheme="minorHAnsi" w:hAnsiTheme="minorHAnsi" w:cs="Calibri"/>
              </w:rPr>
            </w:pPr>
            <w:r w:rsidRPr="00FF4586">
              <w:rPr>
                <w:rFonts w:asciiTheme="minorHAnsi" w:hAnsiTheme="minorHAnsi" w:cs="Calibri"/>
              </w:rPr>
              <w:t>AEG appliance standards and building codes analysis</w:t>
            </w:r>
          </w:p>
        </w:tc>
      </w:tr>
    </w:tbl>
    <w:p w14:paraId="52AAE1B3" w14:textId="77777777" w:rsidR="00527178" w:rsidRPr="000F5F8E" w:rsidRDefault="00527178" w:rsidP="000F5F8E">
      <w:pPr>
        <w:pStyle w:val="AEGBody"/>
        <w:rPr>
          <w:lang w:eastAsia="ja-JP"/>
        </w:rPr>
      </w:pPr>
    </w:p>
    <w:p w14:paraId="64A27000" w14:textId="186A794D" w:rsidR="007563CF" w:rsidRDefault="007563CF" w:rsidP="009875ED">
      <w:pPr>
        <w:pStyle w:val="Heading3"/>
      </w:pPr>
      <w:bookmarkStart w:id="40" w:name="_Toc175904860"/>
      <w:r>
        <w:t>Data Application for Achievable Technical Potential</w:t>
      </w:r>
      <w:bookmarkEnd w:id="40"/>
    </w:p>
    <w:p w14:paraId="6A6B566B" w14:textId="77777777" w:rsidR="00493B73" w:rsidRDefault="00493B73" w:rsidP="00493B73">
      <w:pPr>
        <w:pStyle w:val="AEGBody"/>
      </w:pPr>
      <w:r w:rsidRPr="00D83E8B">
        <w:t xml:space="preserve">To estimate </w:t>
      </w:r>
      <w:r>
        <w:t>Achievable Technical Potential,</w:t>
      </w:r>
      <w:r w:rsidRPr="00D83E8B">
        <w:t xml:space="preserve"> </w:t>
      </w:r>
      <w:r>
        <w:t>two</w:t>
      </w:r>
      <w:r w:rsidRPr="00D83E8B">
        <w:t xml:space="preserve"> sets of parameters </w:t>
      </w:r>
      <w:r>
        <w:t xml:space="preserve">are needed to represent customer decision-making behavior with respect to energy-efficiency choices. </w:t>
      </w:r>
    </w:p>
    <w:p w14:paraId="32DF2E93" w14:textId="5E1B9D3C" w:rsidR="00493B73" w:rsidRPr="00DA2B92" w:rsidRDefault="00493B73" w:rsidP="00493B73">
      <w:pPr>
        <w:pStyle w:val="AEG-BulletList"/>
      </w:pPr>
      <w:r w:rsidRPr="00EB60AC">
        <w:rPr>
          <w:b/>
          <w:bCs/>
        </w:rPr>
        <w:t>Technical diffusion curves for non-equipment measures.</w:t>
      </w:r>
      <w:r w:rsidRPr="00DA2B92">
        <w:t xml:space="preserve"> Equipment measures are installed when existing units fail. Non-equipment measures do not have this natural periodicity, so rather than installing all available non-equipment measures in the first year of the projection (instantaneous potential), they are phased in according to adoption schedules that generally align with the diffusion of similar equipment measures. Like the </w:t>
      </w:r>
      <w:r w:rsidR="007C71ED" w:rsidRPr="00DA2B92">
        <w:t>20</w:t>
      </w:r>
      <w:r w:rsidR="007C71ED">
        <w:t>2</w:t>
      </w:r>
      <w:r w:rsidR="00DF49E7">
        <w:t>2</w:t>
      </w:r>
      <w:r w:rsidR="007C71ED" w:rsidRPr="00DA2B92">
        <w:t xml:space="preserve"> </w:t>
      </w:r>
      <w:r w:rsidRPr="00DA2B92">
        <w:t>CPA, we applied the “Retrofit” ramp rates from the 2021 Power Plan directly as diffusion curves. For technical potential, these rates summed up to 100% by the 20th year for all measures.</w:t>
      </w:r>
    </w:p>
    <w:p w14:paraId="370A7FDD" w14:textId="09B585A7" w:rsidR="00493B73" w:rsidRDefault="00493B73" w:rsidP="00493B73">
      <w:pPr>
        <w:pStyle w:val="AEG-BulletList"/>
      </w:pPr>
      <w:r w:rsidRPr="00EB60AC">
        <w:rPr>
          <w:b/>
          <w:bCs/>
        </w:rPr>
        <w:lastRenderedPageBreak/>
        <w:t>Adoption rates.</w:t>
      </w:r>
      <w:r w:rsidRPr="00DA2B92">
        <w:t xml:space="preserve"> Customer adoption rates or take rates are applied to technical potential to estimate Achievable</w:t>
      </w:r>
      <w:r>
        <w:t xml:space="preserve"> Technical</w:t>
      </w:r>
      <w:r w:rsidRPr="00DA2B92">
        <w:t xml:space="preserve"> Potential. For equipment measures, the Council’s “Lost Opportunity” ramp rates were applied to technical potential with a maximum achievability of 85%-100%</w:t>
      </w:r>
      <w:r>
        <w:t>,</w:t>
      </w:r>
      <w:r w:rsidRPr="00DA2B92">
        <w:t xml:space="preserve"> depending on the measure. For non-equipment measures, the Council’s “Retrofit” ramp rates have already been applied to calculate technical diffusion. In this case, we multiply each of these by 85% (for most measures) to calculate Achievable</w:t>
      </w:r>
      <w:r>
        <w:t xml:space="preserve"> Technical</w:t>
      </w:r>
      <w:r w:rsidRPr="00DA2B92">
        <w:t xml:space="preserve"> Potential. Adoption rates are presented in </w:t>
      </w:r>
      <w:r>
        <w:t>Appendix B.</w:t>
      </w:r>
    </w:p>
    <w:p w14:paraId="6667FFA8" w14:textId="77777777" w:rsidR="00493B73" w:rsidRPr="00493B73" w:rsidRDefault="00493B73" w:rsidP="00493B73">
      <w:pPr>
        <w:pStyle w:val="AEGBody"/>
      </w:pPr>
    </w:p>
    <w:p w14:paraId="1296A244" w14:textId="77777777" w:rsidR="009C068F" w:rsidRPr="009C068F" w:rsidRDefault="009C068F" w:rsidP="009C068F">
      <w:pPr>
        <w:pStyle w:val="AEGBody"/>
      </w:pPr>
    </w:p>
    <w:p w14:paraId="492D24A0" w14:textId="4EFEBB01" w:rsidR="006F5223" w:rsidRPr="006F5223" w:rsidRDefault="001C3662" w:rsidP="00D6177B">
      <w:pPr>
        <w:pStyle w:val="Heading1"/>
      </w:pPr>
      <w:bookmarkStart w:id="41" w:name="_Toc175904861"/>
      <w:r>
        <w:lastRenderedPageBreak/>
        <w:t>Energy Efficiency Market Characterization</w:t>
      </w:r>
      <w:bookmarkEnd w:id="41"/>
    </w:p>
    <w:p w14:paraId="69FB8F5A" w14:textId="1E2A6A20" w:rsidR="00ED5979" w:rsidRPr="00ED5979" w:rsidRDefault="00ED5979" w:rsidP="00ED5979">
      <w:pPr>
        <w:pStyle w:val="AEGBody"/>
      </w:pPr>
      <w:r>
        <w:t xml:space="preserve">This chapter presents how Avista’s customers in Washington and Idaho use electricity </w:t>
      </w:r>
      <w:r w:rsidRPr="00FF4586">
        <w:t xml:space="preserve">in </w:t>
      </w:r>
      <w:r w:rsidR="009E20BD" w:rsidRPr="00FF4586">
        <w:t>2021</w:t>
      </w:r>
      <w:r w:rsidRPr="00FF4586">
        <w:t>, the base year of the study</w:t>
      </w:r>
      <w:r w:rsidRPr="00661259">
        <w:t>. We begin with a high-level summary of energy use by state and</w:t>
      </w:r>
      <w:r>
        <w:t xml:space="preserve"> then delve into each sector.</w:t>
      </w:r>
    </w:p>
    <w:p w14:paraId="7814600D" w14:textId="14B60CF6" w:rsidR="00F96724" w:rsidRDefault="007563CF" w:rsidP="00D6177B">
      <w:pPr>
        <w:pStyle w:val="Heading2"/>
      </w:pPr>
      <w:bookmarkStart w:id="42" w:name="_Toc175904862"/>
      <w:r w:rsidRPr="00D6177B">
        <w:t>Energy Use Summary</w:t>
      </w:r>
      <w:bookmarkEnd w:id="42"/>
    </w:p>
    <w:p w14:paraId="7F9E431D" w14:textId="62A1A72E" w:rsidR="006667DE" w:rsidRPr="006667DE" w:rsidRDefault="006667DE" w:rsidP="006667DE">
      <w:pPr>
        <w:pStyle w:val="AEGBody"/>
      </w:pPr>
      <w:r w:rsidRPr="00DF1C69">
        <w:t xml:space="preserve">Total electricity use for </w:t>
      </w:r>
      <w:r w:rsidRPr="009D77D5">
        <w:t xml:space="preserve">Avista in </w:t>
      </w:r>
      <w:r w:rsidR="009E20BD" w:rsidRPr="009D77D5">
        <w:t>202</w:t>
      </w:r>
      <w:r w:rsidR="009E20BD">
        <w:t>1</w:t>
      </w:r>
      <w:r w:rsidR="009E20BD" w:rsidRPr="009D77D5">
        <w:t xml:space="preserve"> </w:t>
      </w:r>
      <w:r w:rsidRPr="009D77D5">
        <w:t>was 8</w:t>
      </w:r>
      <w:r w:rsidR="009D77D5">
        <w:t>,</w:t>
      </w:r>
      <w:r w:rsidRPr="009D77D5">
        <w:t>028 GWh</w:t>
      </w:r>
      <w:r>
        <w:t xml:space="preserve">, 5,306 </w:t>
      </w:r>
      <w:r w:rsidRPr="00DF1C69">
        <w:t>GWh</w:t>
      </w:r>
      <w:r>
        <w:t xml:space="preserve"> in Washington, and 2,722 GWh in Idaho</w:t>
      </w:r>
      <w:r w:rsidRPr="00DF1C69">
        <w:t>.</w:t>
      </w:r>
      <w:r>
        <w:t xml:space="preserve"> The residential sector accounts </w:t>
      </w:r>
      <w:r w:rsidRPr="00F50811">
        <w:t xml:space="preserve">for </w:t>
      </w:r>
      <w:r>
        <w:t>around</w:t>
      </w:r>
      <w:r w:rsidRPr="00F50811">
        <w:t xml:space="preserve"> 50% of annual energy use</w:t>
      </w:r>
      <w:r>
        <w:t xml:space="preserve"> in both states</w:t>
      </w:r>
      <w:r w:rsidRPr="00F50811">
        <w:t xml:space="preserve">, followed by commercial at around 40% of annual energy use. </w:t>
      </w:r>
      <w:r>
        <w:t>For</w:t>
      </w:r>
      <w:r w:rsidRPr="00F50811">
        <w:t xml:space="preserve"> winter peak demand, the total system peak in </w:t>
      </w:r>
      <w:r w:rsidR="009E20BD" w:rsidRPr="00F50811">
        <w:t>20</w:t>
      </w:r>
      <w:r w:rsidR="009E20BD">
        <w:t>21</w:t>
      </w:r>
      <w:r w:rsidR="009E20BD" w:rsidRPr="00F50811">
        <w:t xml:space="preserve"> </w:t>
      </w:r>
      <w:r w:rsidRPr="00F50811">
        <w:t>was 1,</w:t>
      </w:r>
      <w:r>
        <w:t>471</w:t>
      </w:r>
      <w:r w:rsidRPr="00F50811">
        <w:t xml:space="preserve"> MW: </w:t>
      </w:r>
      <w:r>
        <w:t>988</w:t>
      </w:r>
      <w:r w:rsidRPr="00F50811">
        <w:t xml:space="preserve"> </w:t>
      </w:r>
      <w:r>
        <w:t xml:space="preserve">MW in </w:t>
      </w:r>
      <w:r w:rsidRPr="006667DE">
        <w:t>Washington and 4</w:t>
      </w:r>
      <w:r>
        <w:t>83</w:t>
      </w:r>
      <w:r w:rsidRPr="006667DE">
        <w:t xml:space="preserve"> MW in Idaho. In both states, the residential sector represents the largest share of the winter peak.</w:t>
      </w:r>
    </w:p>
    <w:p w14:paraId="65E4B367" w14:textId="6E978067" w:rsidR="00F96724" w:rsidRDefault="00F96724" w:rsidP="00F96724">
      <w:pPr>
        <w:pStyle w:val="Caption"/>
      </w:pPr>
      <w:bookmarkStart w:id="43" w:name="_Toc175904422"/>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w:t>
      </w:r>
      <w:r w:rsidR="000E34CB">
        <w:fldChar w:fldCharType="end"/>
      </w:r>
      <w:r>
        <w:t xml:space="preserve"> Sector-Level Electricity Use</w:t>
      </w:r>
      <w:r w:rsidR="003E73E3">
        <w:t xml:space="preserve"> in</w:t>
      </w:r>
      <w:r>
        <w:t xml:space="preserve"> Base Year </w:t>
      </w:r>
      <w:r w:rsidR="009E20BD">
        <w:t>2021</w:t>
      </w:r>
      <w:r>
        <w:t>, Washington</w:t>
      </w:r>
      <w:bookmarkEnd w:id="43"/>
    </w:p>
    <w:p w14:paraId="72A8184F" w14:textId="193C3260" w:rsidR="00984734" w:rsidRDefault="00984734" w:rsidP="001021E1">
      <w:pPr>
        <w:pStyle w:val="AEGBody"/>
        <w:jc w:val="center"/>
        <w:rPr>
          <w:lang w:eastAsia="ja-JP"/>
        </w:rPr>
      </w:pPr>
      <w:r>
        <w:rPr>
          <w:noProof/>
        </w:rPr>
        <w:drawing>
          <wp:inline distT="0" distB="0" distL="0" distR="0" wp14:anchorId="0402975B" wp14:editId="435B27E5">
            <wp:extent cx="2876550" cy="2619375"/>
            <wp:effectExtent l="0" t="0" r="0" b="0"/>
            <wp:docPr id="1698802019" name="Chart 1">
              <a:extLst xmlns:a="http://schemas.openxmlformats.org/drawingml/2006/main">
                <a:ext uri="{FF2B5EF4-FFF2-40B4-BE49-F238E27FC236}">
                  <a16:creationId xmlns:a16="http://schemas.microsoft.com/office/drawing/2014/main" id="{68B1F972-F885-ED4A-3C3B-C7B130D9B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F96724">
        <w:rPr>
          <w:noProof/>
        </w:rPr>
        <w:drawing>
          <wp:inline distT="0" distB="0" distL="0" distR="0" wp14:anchorId="35653D81" wp14:editId="00E5B8FF">
            <wp:extent cx="2752725" cy="2619375"/>
            <wp:effectExtent l="0" t="0" r="0" b="0"/>
            <wp:docPr id="659599728" name="Chart 1">
              <a:extLst xmlns:a="http://schemas.openxmlformats.org/drawingml/2006/main">
                <a:ext uri="{FF2B5EF4-FFF2-40B4-BE49-F238E27FC236}">
                  <a16:creationId xmlns:a16="http://schemas.microsoft.com/office/drawing/2014/main" id="{49EF7724-CC56-477D-A106-56372B12D7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6380277" w14:textId="77777777" w:rsidR="00984734" w:rsidRDefault="00984734" w:rsidP="00C064EF">
      <w:pPr>
        <w:pStyle w:val="AEGBody"/>
        <w:rPr>
          <w:lang w:eastAsia="ja-JP"/>
        </w:rPr>
      </w:pPr>
    </w:p>
    <w:p w14:paraId="014E0C4C" w14:textId="77777777" w:rsidR="006B27E8" w:rsidRDefault="006B27E8" w:rsidP="00C064EF">
      <w:pPr>
        <w:pStyle w:val="AEGBody"/>
        <w:rPr>
          <w:lang w:eastAsia="ja-JP"/>
        </w:rPr>
      </w:pPr>
    </w:p>
    <w:p w14:paraId="516BAE7E" w14:textId="634930DD" w:rsidR="003E73E3" w:rsidRDefault="003E73E3" w:rsidP="00C064EF">
      <w:pPr>
        <w:pStyle w:val="AEGBody"/>
        <w:rPr>
          <w:rFonts w:cstheme="minorBidi"/>
        </w:rPr>
      </w:pPr>
    </w:p>
    <w:p w14:paraId="4DD93167" w14:textId="097DF666" w:rsidR="001815F5" w:rsidRPr="00675258" w:rsidRDefault="003E73E3" w:rsidP="00675258">
      <w:pPr>
        <w:pStyle w:val="Caption"/>
      </w:pPr>
      <w:bookmarkStart w:id="44" w:name="_Toc175912370"/>
      <w:r>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w:t>
      </w:r>
      <w:r w:rsidR="00EE4707">
        <w:fldChar w:fldCharType="end"/>
      </w:r>
      <w:r w:rsidR="00015121">
        <w:t xml:space="preserve"> </w:t>
      </w:r>
      <w:r>
        <w:t>Avista Sector Control Totals (</w:t>
      </w:r>
      <w:r w:rsidR="009E20BD">
        <w:t>2021</w:t>
      </w:r>
      <w:r>
        <w:t>), Washington</w:t>
      </w:r>
      <w:bookmarkEnd w:id="44"/>
    </w:p>
    <w:tbl>
      <w:tblPr>
        <w:tblStyle w:val="AEG-DarkBanded"/>
        <w:tblW w:w="5000" w:type="pct"/>
        <w:jc w:val="center"/>
        <w:tblLook w:val="04A0" w:firstRow="1" w:lastRow="0" w:firstColumn="1" w:lastColumn="0" w:noHBand="0" w:noVBand="1"/>
      </w:tblPr>
      <w:tblGrid>
        <w:gridCol w:w="2192"/>
        <w:gridCol w:w="2731"/>
        <w:gridCol w:w="1865"/>
        <w:gridCol w:w="2572"/>
      </w:tblGrid>
      <w:tr w:rsidR="00451E66" w:rsidRPr="001815F5" w14:paraId="46133C74" w14:textId="77777777" w:rsidTr="001021E1">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71" w:type="pct"/>
            <w:noWrap/>
            <w:hideMark/>
          </w:tcPr>
          <w:p w14:paraId="6279E2D7" w14:textId="6C6DDD8C" w:rsidR="001815F5" w:rsidRPr="00E93C69" w:rsidRDefault="001815F5" w:rsidP="001815F5">
            <w:pPr>
              <w:jc w:val="left"/>
              <w:rPr>
                <w:rFonts w:asciiTheme="majorHAnsi" w:eastAsia="Times New Roman" w:hAnsiTheme="majorHAnsi"/>
                <w:b w:val="0"/>
                <w:szCs w:val="20"/>
              </w:rPr>
            </w:pPr>
            <w:r w:rsidRPr="00E93C69">
              <w:rPr>
                <w:rFonts w:asciiTheme="majorHAnsi" w:eastAsia="Times New Roman" w:hAnsiTheme="majorHAnsi"/>
                <w:b w:val="0"/>
                <w:szCs w:val="20"/>
              </w:rPr>
              <w:t>Sector</w:t>
            </w:r>
          </w:p>
        </w:tc>
        <w:tc>
          <w:tcPr>
            <w:tcW w:w="1459" w:type="pct"/>
            <w:hideMark/>
          </w:tcPr>
          <w:p w14:paraId="79003F93" w14:textId="77777777" w:rsidR="001815F5" w:rsidRPr="00E93C69" w:rsidRDefault="001815F5" w:rsidP="001815F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93C69">
              <w:rPr>
                <w:rFonts w:asciiTheme="majorHAnsi" w:eastAsia="Times New Roman" w:hAnsiTheme="majorHAnsi"/>
                <w:b w:val="0"/>
                <w:szCs w:val="20"/>
              </w:rPr>
              <w:t>Energy Use (GWh)</w:t>
            </w:r>
          </w:p>
        </w:tc>
        <w:tc>
          <w:tcPr>
            <w:tcW w:w="996" w:type="pct"/>
            <w:hideMark/>
          </w:tcPr>
          <w:p w14:paraId="1993D2B5" w14:textId="77777777" w:rsidR="001815F5" w:rsidRPr="00E93C69" w:rsidRDefault="001815F5" w:rsidP="001815F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93C69">
              <w:rPr>
                <w:rFonts w:asciiTheme="majorHAnsi" w:eastAsia="Times New Roman" w:hAnsiTheme="majorHAnsi"/>
                <w:b w:val="0"/>
                <w:szCs w:val="20"/>
              </w:rPr>
              <w:t>% of Energy Total</w:t>
            </w:r>
          </w:p>
        </w:tc>
        <w:tc>
          <w:tcPr>
            <w:tcW w:w="1374" w:type="pct"/>
            <w:noWrap/>
            <w:hideMark/>
          </w:tcPr>
          <w:p w14:paraId="5707173C" w14:textId="77777777" w:rsidR="001815F5" w:rsidRPr="00E93C69" w:rsidRDefault="001815F5" w:rsidP="001815F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93C69">
              <w:rPr>
                <w:rFonts w:asciiTheme="majorHAnsi" w:eastAsia="Times New Roman" w:hAnsiTheme="majorHAnsi"/>
                <w:b w:val="0"/>
                <w:szCs w:val="20"/>
              </w:rPr>
              <w:t>Winter Peak (MW)</w:t>
            </w:r>
          </w:p>
        </w:tc>
      </w:tr>
      <w:tr w:rsidR="00451E66" w:rsidRPr="001815F5" w14:paraId="3072A686"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6B02F7F1" w14:textId="77777777" w:rsidR="00451E66" w:rsidRPr="00E93C69" w:rsidRDefault="00451E66" w:rsidP="00451E66">
            <w:pPr>
              <w:jc w:val="left"/>
              <w:rPr>
                <w:rFonts w:asciiTheme="minorHAnsi" w:eastAsia="Times New Roman" w:hAnsiTheme="minorHAnsi"/>
                <w:color w:val="19172B"/>
                <w:szCs w:val="20"/>
              </w:rPr>
            </w:pPr>
            <w:r w:rsidRPr="00E93C69">
              <w:rPr>
                <w:rFonts w:asciiTheme="minorHAnsi" w:eastAsia="Times New Roman" w:hAnsiTheme="minorHAnsi"/>
                <w:color w:val="19172B"/>
                <w:szCs w:val="20"/>
              </w:rPr>
              <w:t xml:space="preserve"> Residential </w:t>
            </w:r>
          </w:p>
        </w:tc>
        <w:tc>
          <w:tcPr>
            <w:tcW w:w="0" w:type="pct"/>
            <w:noWrap/>
            <w:hideMark/>
          </w:tcPr>
          <w:p w14:paraId="6BEED587" w14:textId="77777777" w:rsidR="00451E66" w:rsidRPr="00E93C69" w:rsidRDefault="00451E66"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E93C69">
              <w:rPr>
                <w:rFonts w:asciiTheme="minorHAnsi" w:eastAsia="Times New Roman" w:hAnsiTheme="minorHAnsi"/>
                <w:color w:val="19172B"/>
                <w:szCs w:val="20"/>
              </w:rPr>
              <w:t xml:space="preserve">                             2,671 </w:t>
            </w:r>
          </w:p>
        </w:tc>
        <w:tc>
          <w:tcPr>
            <w:tcW w:w="0" w:type="pct"/>
            <w:noWrap/>
            <w:hideMark/>
          </w:tcPr>
          <w:p w14:paraId="44829B59" w14:textId="77777777" w:rsidR="00451E66" w:rsidRPr="00E93C69" w:rsidRDefault="00451E66" w:rsidP="00CD509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E93C69">
              <w:rPr>
                <w:rFonts w:asciiTheme="minorHAnsi" w:eastAsia="Times New Roman" w:hAnsiTheme="minorHAnsi"/>
                <w:color w:val="19172B"/>
                <w:szCs w:val="20"/>
              </w:rPr>
              <w:t>50%</w:t>
            </w:r>
          </w:p>
        </w:tc>
        <w:tc>
          <w:tcPr>
            <w:tcW w:w="0" w:type="pct"/>
            <w:noWrap/>
            <w:hideMark/>
          </w:tcPr>
          <w:p w14:paraId="618E702F" w14:textId="441E55C3" w:rsidR="00451E66" w:rsidRPr="00E93C69" w:rsidRDefault="00451E66"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E93C69">
              <w:rPr>
                <w:rFonts w:asciiTheme="minorHAnsi" w:hAnsiTheme="minorHAnsi"/>
                <w:color w:val="19172B"/>
                <w:szCs w:val="20"/>
              </w:rPr>
              <w:t xml:space="preserve">                             656 </w:t>
            </w:r>
          </w:p>
        </w:tc>
      </w:tr>
      <w:tr w:rsidR="00D86716" w:rsidRPr="001815F5" w14:paraId="73B714A6"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96B284A" w14:textId="77777777" w:rsidR="00451E66" w:rsidRPr="00E93C69" w:rsidRDefault="00451E66" w:rsidP="00451E66">
            <w:pPr>
              <w:jc w:val="left"/>
              <w:rPr>
                <w:rFonts w:asciiTheme="minorHAnsi" w:eastAsia="Times New Roman" w:hAnsiTheme="minorHAnsi"/>
                <w:color w:val="19172B"/>
                <w:szCs w:val="20"/>
              </w:rPr>
            </w:pPr>
            <w:r w:rsidRPr="00E93C69">
              <w:rPr>
                <w:rFonts w:asciiTheme="minorHAnsi" w:eastAsia="Times New Roman" w:hAnsiTheme="minorHAnsi"/>
                <w:color w:val="19172B"/>
                <w:szCs w:val="20"/>
              </w:rPr>
              <w:t xml:space="preserve"> Commercial </w:t>
            </w:r>
          </w:p>
        </w:tc>
        <w:tc>
          <w:tcPr>
            <w:tcW w:w="0" w:type="pct"/>
            <w:noWrap/>
            <w:hideMark/>
          </w:tcPr>
          <w:p w14:paraId="5EF56EE8" w14:textId="77777777" w:rsidR="00451E66" w:rsidRPr="00E93C69" w:rsidRDefault="00451E66"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E93C69">
              <w:rPr>
                <w:rFonts w:asciiTheme="minorHAnsi" w:eastAsia="Times New Roman" w:hAnsiTheme="minorHAnsi"/>
                <w:color w:val="19172B"/>
                <w:szCs w:val="20"/>
              </w:rPr>
              <w:t xml:space="preserve">                             2,075 </w:t>
            </w:r>
          </w:p>
        </w:tc>
        <w:tc>
          <w:tcPr>
            <w:tcW w:w="0" w:type="pct"/>
            <w:noWrap/>
            <w:hideMark/>
          </w:tcPr>
          <w:p w14:paraId="08AC93D3" w14:textId="77777777" w:rsidR="00451E66" w:rsidRPr="00E93C69" w:rsidRDefault="00451E66" w:rsidP="00CD5099">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E93C69">
              <w:rPr>
                <w:rFonts w:asciiTheme="minorHAnsi" w:eastAsia="Times New Roman" w:hAnsiTheme="minorHAnsi"/>
                <w:color w:val="19172B"/>
                <w:szCs w:val="20"/>
              </w:rPr>
              <w:t>39%</w:t>
            </w:r>
          </w:p>
        </w:tc>
        <w:tc>
          <w:tcPr>
            <w:tcW w:w="0" w:type="pct"/>
            <w:noWrap/>
            <w:hideMark/>
          </w:tcPr>
          <w:p w14:paraId="5FAFBB73" w14:textId="06173015" w:rsidR="00451E66" w:rsidRPr="00E93C69" w:rsidRDefault="00451E66"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E93C69">
              <w:rPr>
                <w:rFonts w:asciiTheme="minorHAnsi" w:hAnsiTheme="minorHAnsi"/>
                <w:color w:val="19172B"/>
                <w:szCs w:val="20"/>
              </w:rPr>
              <w:t xml:space="preserve">                             276 </w:t>
            </w:r>
          </w:p>
        </w:tc>
      </w:tr>
      <w:tr w:rsidR="00451E66" w:rsidRPr="001815F5" w14:paraId="2C0F3142"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51A01765" w14:textId="77777777" w:rsidR="00451E66" w:rsidRPr="00E93C69" w:rsidRDefault="00451E66" w:rsidP="00451E66">
            <w:pPr>
              <w:jc w:val="left"/>
              <w:rPr>
                <w:rFonts w:asciiTheme="minorHAnsi" w:eastAsia="Times New Roman" w:hAnsiTheme="minorHAnsi"/>
                <w:color w:val="19172B"/>
                <w:szCs w:val="20"/>
              </w:rPr>
            </w:pPr>
            <w:r w:rsidRPr="00E93C69">
              <w:rPr>
                <w:rFonts w:asciiTheme="minorHAnsi" w:eastAsia="Times New Roman" w:hAnsiTheme="minorHAnsi"/>
                <w:color w:val="19172B"/>
                <w:szCs w:val="20"/>
              </w:rPr>
              <w:t xml:space="preserve"> Industrial </w:t>
            </w:r>
          </w:p>
        </w:tc>
        <w:tc>
          <w:tcPr>
            <w:tcW w:w="0" w:type="pct"/>
            <w:noWrap/>
            <w:hideMark/>
          </w:tcPr>
          <w:p w14:paraId="05AE5789" w14:textId="77777777" w:rsidR="00451E66" w:rsidRPr="00E93C69" w:rsidRDefault="00451E66"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E93C69">
              <w:rPr>
                <w:rFonts w:asciiTheme="minorHAnsi" w:eastAsia="Times New Roman" w:hAnsiTheme="minorHAnsi"/>
                <w:color w:val="19172B"/>
                <w:szCs w:val="20"/>
              </w:rPr>
              <w:t xml:space="preserve">                                559 </w:t>
            </w:r>
          </w:p>
        </w:tc>
        <w:tc>
          <w:tcPr>
            <w:tcW w:w="0" w:type="pct"/>
            <w:noWrap/>
            <w:hideMark/>
          </w:tcPr>
          <w:p w14:paraId="0C60CE15" w14:textId="77777777" w:rsidR="00451E66" w:rsidRPr="00E93C69" w:rsidRDefault="00451E66" w:rsidP="00CD509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E93C69">
              <w:rPr>
                <w:rFonts w:asciiTheme="minorHAnsi" w:eastAsia="Times New Roman" w:hAnsiTheme="minorHAnsi"/>
                <w:color w:val="19172B"/>
                <w:szCs w:val="20"/>
              </w:rPr>
              <w:t>11%</w:t>
            </w:r>
          </w:p>
        </w:tc>
        <w:tc>
          <w:tcPr>
            <w:tcW w:w="0" w:type="pct"/>
            <w:noWrap/>
            <w:hideMark/>
          </w:tcPr>
          <w:p w14:paraId="78CEAEA7" w14:textId="000F4999" w:rsidR="00451E66" w:rsidRPr="00E93C69" w:rsidRDefault="00451E66"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E93C69">
              <w:rPr>
                <w:rFonts w:asciiTheme="minorHAnsi" w:hAnsiTheme="minorHAnsi"/>
                <w:color w:val="19172B"/>
                <w:szCs w:val="20"/>
              </w:rPr>
              <w:t xml:space="preserve">                               56 </w:t>
            </w:r>
          </w:p>
        </w:tc>
      </w:tr>
      <w:tr w:rsidR="00451E66" w:rsidRPr="001815F5" w14:paraId="00D290F6"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5DE17CBA" w14:textId="77777777" w:rsidR="00451E66" w:rsidRPr="00E93C69" w:rsidRDefault="00451E66" w:rsidP="00FF4586">
            <w:pPr>
              <w:jc w:val="left"/>
              <w:rPr>
                <w:rFonts w:asciiTheme="majorHAnsi" w:eastAsia="Times New Roman" w:hAnsiTheme="majorHAnsi"/>
                <w:color w:val="19172B"/>
                <w:szCs w:val="20"/>
              </w:rPr>
            </w:pPr>
            <w:r w:rsidRPr="00E93C69">
              <w:rPr>
                <w:rFonts w:asciiTheme="majorHAnsi" w:eastAsia="Times New Roman" w:hAnsiTheme="majorHAnsi"/>
                <w:color w:val="19172B"/>
                <w:szCs w:val="20"/>
              </w:rPr>
              <w:t>Total</w:t>
            </w:r>
          </w:p>
        </w:tc>
        <w:tc>
          <w:tcPr>
            <w:tcW w:w="0" w:type="pct"/>
            <w:noWrap/>
            <w:hideMark/>
          </w:tcPr>
          <w:p w14:paraId="2E7ADDEA" w14:textId="77777777" w:rsidR="00451E66" w:rsidRPr="00E93C69" w:rsidRDefault="00451E6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E93C69">
              <w:rPr>
                <w:rFonts w:asciiTheme="majorHAnsi" w:eastAsia="Times New Roman" w:hAnsiTheme="majorHAnsi"/>
                <w:color w:val="19172B"/>
                <w:szCs w:val="20"/>
              </w:rPr>
              <w:t xml:space="preserve">                             5,306 </w:t>
            </w:r>
          </w:p>
        </w:tc>
        <w:tc>
          <w:tcPr>
            <w:tcW w:w="0" w:type="pct"/>
            <w:noWrap/>
            <w:hideMark/>
          </w:tcPr>
          <w:p w14:paraId="3AA01487" w14:textId="77777777" w:rsidR="00451E66" w:rsidRPr="00E93C69" w:rsidRDefault="00451E66" w:rsidP="00CD5099">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E93C69">
              <w:rPr>
                <w:rFonts w:asciiTheme="majorHAnsi" w:eastAsia="Times New Roman" w:hAnsiTheme="majorHAnsi"/>
                <w:color w:val="19172B"/>
                <w:szCs w:val="20"/>
              </w:rPr>
              <w:t>100%</w:t>
            </w:r>
          </w:p>
        </w:tc>
        <w:tc>
          <w:tcPr>
            <w:tcW w:w="0" w:type="pct"/>
            <w:noWrap/>
            <w:hideMark/>
          </w:tcPr>
          <w:p w14:paraId="2A405390" w14:textId="0C3385FB" w:rsidR="00451E66" w:rsidRPr="00E93C69" w:rsidRDefault="00451E6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E93C69">
              <w:rPr>
                <w:rFonts w:asciiTheme="majorHAnsi" w:hAnsiTheme="majorHAnsi"/>
                <w:color w:val="19172B"/>
                <w:szCs w:val="20"/>
              </w:rPr>
              <w:t xml:space="preserve">                             988 </w:t>
            </w:r>
          </w:p>
        </w:tc>
      </w:tr>
    </w:tbl>
    <w:p w14:paraId="3928AC77" w14:textId="42DD6EAC" w:rsidR="00C064EF" w:rsidRDefault="00C064EF" w:rsidP="00C064EF">
      <w:pPr>
        <w:pStyle w:val="AEGBody"/>
        <w:rPr>
          <w:lang w:eastAsia="ja-JP"/>
        </w:rPr>
      </w:pPr>
    </w:p>
    <w:p w14:paraId="6220F891" w14:textId="77777777" w:rsidR="006B27E8" w:rsidRDefault="006B27E8" w:rsidP="00C064EF">
      <w:pPr>
        <w:pStyle w:val="AEGBody"/>
        <w:rPr>
          <w:lang w:eastAsia="ja-JP"/>
        </w:rPr>
      </w:pPr>
    </w:p>
    <w:p w14:paraId="179DD0F0" w14:textId="43473E25" w:rsidR="003E73E3" w:rsidRDefault="003E73E3" w:rsidP="003E73E3">
      <w:pPr>
        <w:pStyle w:val="Caption"/>
      </w:pPr>
      <w:bookmarkStart w:id="45" w:name="_Toc175904423"/>
      <w:r>
        <w:lastRenderedPageBreak/>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2</w:t>
      </w:r>
      <w:r w:rsidR="000E34CB">
        <w:fldChar w:fldCharType="end"/>
      </w:r>
      <w:r w:rsidRPr="003E73E3">
        <w:t xml:space="preserve"> </w:t>
      </w:r>
      <w:r>
        <w:t xml:space="preserve">Sector-Level Electricity Use in Base Year </w:t>
      </w:r>
      <w:r w:rsidR="009E20BD">
        <w:t>2021</w:t>
      </w:r>
      <w:r>
        <w:t>, Idaho</w:t>
      </w:r>
      <w:bookmarkEnd w:id="45"/>
    </w:p>
    <w:p w14:paraId="043FA788" w14:textId="3FE46079" w:rsidR="001815F5" w:rsidRDefault="00F6729E" w:rsidP="001021E1">
      <w:pPr>
        <w:pStyle w:val="AEGBody"/>
        <w:jc w:val="center"/>
        <w:rPr>
          <w:lang w:eastAsia="ja-JP"/>
        </w:rPr>
      </w:pPr>
      <w:r>
        <w:rPr>
          <w:noProof/>
        </w:rPr>
        <w:drawing>
          <wp:inline distT="0" distB="0" distL="0" distR="0" wp14:anchorId="33605B55" wp14:editId="702CC433">
            <wp:extent cx="2876550" cy="2676525"/>
            <wp:effectExtent l="0" t="0" r="0" b="0"/>
            <wp:docPr id="302298396" name="Chart 1">
              <a:extLst xmlns:a="http://schemas.openxmlformats.org/drawingml/2006/main">
                <a:ext uri="{FF2B5EF4-FFF2-40B4-BE49-F238E27FC236}">
                  <a16:creationId xmlns:a16="http://schemas.microsoft.com/office/drawing/2014/main" id="{68B1F972-F885-ED4A-3C3B-C7B130D9B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noProof/>
        </w:rPr>
        <w:drawing>
          <wp:inline distT="0" distB="0" distL="0" distR="0" wp14:anchorId="146270FA" wp14:editId="69DD770B">
            <wp:extent cx="2809875" cy="2676525"/>
            <wp:effectExtent l="0" t="0" r="0" b="0"/>
            <wp:docPr id="1564602754" name="Chart 1">
              <a:extLst xmlns:a="http://schemas.openxmlformats.org/drawingml/2006/main">
                <a:ext uri="{FF2B5EF4-FFF2-40B4-BE49-F238E27FC236}">
                  <a16:creationId xmlns:a16="http://schemas.microsoft.com/office/drawing/2014/main" id="{49EF7724-CC56-477D-A106-56372B12D7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A7B8DCC" w14:textId="3481F951" w:rsidR="001815F5" w:rsidRDefault="001815F5" w:rsidP="00C064EF">
      <w:pPr>
        <w:pStyle w:val="AEGBody"/>
        <w:rPr>
          <w:rFonts w:cstheme="minorBidi"/>
        </w:rPr>
      </w:pPr>
    </w:p>
    <w:p w14:paraId="73782C87" w14:textId="176E1365" w:rsidR="001815F5" w:rsidRDefault="001815F5" w:rsidP="001815F5">
      <w:pPr>
        <w:pStyle w:val="Caption"/>
      </w:pPr>
      <w:bookmarkStart w:id="46" w:name="_Toc175912371"/>
      <w:r>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2</w:t>
      </w:r>
      <w:r w:rsidR="00EE4707">
        <w:fldChar w:fldCharType="end"/>
      </w:r>
      <w:r>
        <w:t xml:space="preserve"> Avista Sector Control Totals</w:t>
      </w:r>
      <w:r w:rsidR="009E20BD">
        <w:t xml:space="preserve"> (2021)</w:t>
      </w:r>
      <w:r>
        <w:t>, Idaho</w:t>
      </w:r>
      <w:bookmarkEnd w:id="46"/>
    </w:p>
    <w:tbl>
      <w:tblPr>
        <w:tblStyle w:val="AEGBlue2"/>
        <w:tblW w:w="5000" w:type="pct"/>
        <w:tblLook w:val="04A0" w:firstRow="1" w:lastRow="0" w:firstColumn="1" w:lastColumn="0" w:noHBand="0" w:noVBand="1"/>
      </w:tblPr>
      <w:tblGrid>
        <w:gridCol w:w="2216"/>
        <w:gridCol w:w="2769"/>
        <w:gridCol w:w="1702"/>
        <w:gridCol w:w="2673"/>
      </w:tblGrid>
      <w:tr w:rsidR="00D86716" w:rsidRPr="001815F5" w14:paraId="14C465C9" w14:textId="77777777" w:rsidTr="00FF4586">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3DF632C5" w14:textId="70446249" w:rsidR="001815F5" w:rsidRPr="00C972B8" w:rsidRDefault="001815F5" w:rsidP="001815F5">
            <w:pPr>
              <w:jc w:val="left"/>
              <w:rPr>
                <w:rFonts w:asciiTheme="majorHAnsi" w:eastAsia="Times New Roman" w:hAnsiTheme="majorHAnsi"/>
                <w:szCs w:val="20"/>
              </w:rPr>
            </w:pPr>
            <w:r w:rsidRPr="00C972B8">
              <w:rPr>
                <w:rFonts w:asciiTheme="majorHAnsi" w:eastAsia="Times New Roman" w:hAnsiTheme="majorHAnsi"/>
                <w:szCs w:val="20"/>
              </w:rPr>
              <w:t>Sector</w:t>
            </w:r>
          </w:p>
        </w:tc>
        <w:tc>
          <w:tcPr>
            <w:tcW w:w="0" w:type="pct"/>
            <w:hideMark/>
          </w:tcPr>
          <w:p w14:paraId="29068D87" w14:textId="77777777" w:rsidR="001815F5" w:rsidRPr="00C972B8" w:rsidRDefault="001815F5" w:rsidP="001815F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972B8">
              <w:rPr>
                <w:rFonts w:asciiTheme="majorHAnsi" w:eastAsia="Times New Roman" w:hAnsiTheme="majorHAnsi"/>
                <w:szCs w:val="20"/>
              </w:rPr>
              <w:t>Energy Use (GWh)</w:t>
            </w:r>
          </w:p>
        </w:tc>
        <w:tc>
          <w:tcPr>
            <w:tcW w:w="0" w:type="pct"/>
            <w:hideMark/>
          </w:tcPr>
          <w:p w14:paraId="7B704556" w14:textId="77777777" w:rsidR="001815F5" w:rsidRPr="00C972B8" w:rsidRDefault="001815F5" w:rsidP="001815F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972B8">
              <w:rPr>
                <w:rFonts w:asciiTheme="majorHAnsi" w:eastAsia="Times New Roman" w:hAnsiTheme="majorHAnsi"/>
                <w:szCs w:val="20"/>
              </w:rPr>
              <w:t>% of Energy Total</w:t>
            </w:r>
          </w:p>
        </w:tc>
        <w:tc>
          <w:tcPr>
            <w:tcW w:w="0" w:type="pct"/>
            <w:noWrap/>
            <w:hideMark/>
          </w:tcPr>
          <w:p w14:paraId="1D20F785" w14:textId="77777777" w:rsidR="001815F5" w:rsidRPr="00C972B8" w:rsidRDefault="001815F5" w:rsidP="001815F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972B8">
              <w:rPr>
                <w:rFonts w:asciiTheme="majorHAnsi" w:eastAsia="Times New Roman" w:hAnsiTheme="majorHAnsi"/>
                <w:szCs w:val="20"/>
              </w:rPr>
              <w:t>Winter Peak (MW)</w:t>
            </w:r>
          </w:p>
        </w:tc>
      </w:tr>
      <w:tr w:rsidR="00451E66" w:rsidRPr="001815F5" w14:paraId="58344DB6"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4D8199E6" w14:textId="77777777" w:rsidR="00451E66" w:rsidRPr="00C972B8" w:rsidRDefault="00451E66" w:rsidP="00451E66">
            <w:pPr>
              <w:jc w:val="left"/>
              <w:rPr>
                <w:rFonts w:eastAsia="Times New Roman"/>
                <w:color w:val="19172B"/>
                <w:szCs w:val="20"/>
              </w:rPr>
            </w:pPr>
            <w:r w:rsidRPr="00C972B8">
              <w:rPr>
                <w:rFonts w:eastAsia="Times New Roman"/>
                <w:color w:val="19172B"/>
                <w:szCs w:val="20"/>
              </w:rPr>
              <w:t xml:space="preserve"> Residential </w:t>
            </w:r>
          </w:p>
        </w:tc>
        <w:tc>
          <w:tcPr>
            <w:tcW w:w="0" w:type="pct"/>
            <w:noWrap/>
            <w:hideMark/>
          </w:tcPr>
          <w:p w14:paraId="7FF9EA23" w14:textId="77777777" w:rsidR="00451E66" w:rsidRPr="00C972B8" w:rsidRDefault="00451E66" w:rsidP="00FF4586">
            <w:pPr>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C972B8">
              <w:rPr>
                <w:rFonts w:eastAsia="Times New Roman"/>
                <w:color w:val="19172B"/>
                <w:szCs w:val="20"/>
              </w:rPr>
              <w:t xml:space="preserve">                             1,320 </w:t>
            </w:r>
          </w:p>
        </w:tc>
        <w:tc>
          <w:tcPr>
            <w:tcW w:w="0" w:type="pct"/>
            <w:noWrap/>
            <w:hideMark/>
          </w:tcPr>
          <w:p w14:paraId="31983BE6" w14:textId="77777777" w:rsidR="00451E66" w:rsidRPr="00C972B8" w:rsidRDefault="00451E66" w:rsidP="00BB2FD0">
            <w:pPr>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C972B8">
              <w:rPr>
                <w:rFonts w:eastAsia="Times New Roman"/>
                <w:color w:val="19172B"/>
                <w:szCs w:val="20"/>
              </w:rPr>
              <w:t>48%</w:t>
            </w:r>
          </w:p>
        </w:tc>
        <w:tc>
          <w:tcPr>
            <w:tcW w:w="0" w:type="pct"/>
            <w:noWrap/>
            <w:hideMark/>
          </w:tcPr>
          <w:p w14:paraId="383EB1B5" w14:textId="09C745EB" w:rsidR="00451E66" w:rsidRPr="00C972B8" w:rsidRDefault="00451E66" w:rsidP="00FF4586">
            <w:pPr>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C972B8">
              <w:rPr>
                <w:color w:val="19172B"/>
                <w:szCs w:val="20"/>
              </w:rPr>
              <w:t xml:space="preserve">                             314 </w:t>
            </w:r>
          </w:p>
        </w:tc>
      </w:tr>
      <w:tr w:rsidR="00D86716" w:rsidRPr="001815F5" w14:paraId="5ADBC3FC"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69961A9A" w14:textId="77777777" w:rsidR="00451E66" w:rsidRPr="00C972B8" w:rsidRDefault="00451E66" w:rsidP="00451E66">
            <w:pPr>
              <w:jc w:val="left"/>
              <w:rPr>
                <w:rFonts w:eastAsia="Times New Roman"/>
                <w:color w:val="19172B"/>
                <w:szCs w:val="20"/>
              </w:rPr>
            </w:pPr>
            <w:r w:rsidRPr="00C972B8">
              <w:rPr>
                <w:rFonts w:eastAsia="Times New Roman"/>
                <w:color w:val="19172B"/>
                <w:szCs w:val="20"/>
              </w:rPr>
              <w:t xml:space="preserve"> Commercial </w:t>
            </w:r>
          </w:p>
        </w:tc>
        <w:tc>
          <w:tcPr>
            <w:tcW w:w="0" w:type="pct"/>
            <w:noWrap/>
            <w:hideMark/>
          </w:tcPr>
          <w:p w14:paraId="3E877DD5" w14:textId="77777777" w:rsidR="00451E66" w:rsidRPr="00C972B8" w:rsidRDefault="00451E66" w:rsidP="00FF4586">
            <w:pPr>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C972B8">
              <w:rPr>
                <w:rFonts w:eastAsia="Times New Roman"/>
                <w:color w:val="19172B"/>
                <w:szCs w:val="20"/>
              </w:rPr>
              <w:t xml:space="preserve">                                986 </w:t>
            </w:r>
          </w:p>
        </w:tc>
        <w:tc>
          <w:tcPr>
            <w:tcW w:w="0" w:type="pct"/>
            <w:noWrap/>
            <w:hideMark/>
          </w:tcPr>
          <w:p w14:paraId="6EF31FD4" w14:textId="77777777" w:rsidR="00451E66" w:rsidRPr="00C972B8" w:rsidRDefault="00451E66" w:rsidP="00BB2FD0">
            <w:pPr>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C972B8">
              <w:rPr>
                <w:rFonts w:eastAsia="Times New Roman"/>
                <w:color w:val="19172B"/>
                <w:szCs w:val="20"/>
              </w:rPr>
              <w:t>36%</w:t>
            </w:r>
          </w:p>
        </w:tc>
        <w:tc>
          <w:tcPr>
            <w:tcW w:w="0" w:type="pct"/>
            <w:noWrap/>
            <w:hideMark/>
          </w:tcPr>
          <w:p w14:paraId="001904DA" w14:textId="5F3BBF8E" w:rsidR="00451E66" w:rsidRPr="00C972B8" w:rsidRDefault="00451E66" w:rsidP="00FF4586">
            <w:pPr>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C972B8">
              <w:rPr>
                <w:color w:val="19172B"/>
                <w:szCs w:val="20"/>
              </w:rPr>
              <w:t xml:space="preserve">                             125 </w:t>
            </w:r>
          </w:p>
        </w:tc>
      </w:tr>
      <w:tr w:rsidR="00451E66" w:rsidRPr="001815F5" w14:paraId="3072197B"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3BFA7B82" w14:textId="77777777" w:rsidR="00451E66" w:rsidRPr="00C972B8" w:rsidRDefault="00451E66" w:rsidP="00451E66">
            <w:pPr>
              <w:jc w:val="left"/>
              <w:rPr>
                <w:rFonts w:eastAsia="Times New Roman"/>
                <w:color w:val="19172B"/>
                <w:szCs w:val="20"/>
              </w:rPr>
            </w:pPr>
            <w:r w:rsidRPr="00C972B8">
              <w:rPr>
                <w:rFonts w:eastAsia="Times New Roman"/>
                <w:color w:val="19172B"/>
                <w:szCs w:val="20"/>
              </w:rPr>
              <w:t xml:space="preserve"> Industrial </w:t>
            </w:r>
          </w:p>
        </w:tc>
        <w:tc>
          <w:tcPr>
            <w:tcW w:w="0" w:type="pct"/>
            <w:noWrap/>
            <w:hideMark/>
          </w:tcPr>
          <w:p w14:paraId="1360ECFE" w14:textId="77777777" w:rsidR="00451E66" w:rsidRPr="00C972B8" w:rsidRDefault="00451E66" w:rsidP="00FF4586">
            <w:pPr>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C972B8">
              <w:rPr>
                <w:rFonts w:eastAsia="Times New Roman"/>
                <w:color w:val="19172B"/>
                <w:szCs w:val="20"/>
              </w:rPr>
              <w:t xml:space="preserve">                                416 </w:t>
            </w:r>
          </w:p>
        </w:tc>
        <w:tc>
          <w:tcPr>
            <w:tcW w:w="0" w:type="pct"/>
            <w:noWrap/>
            <w:hideMark/>
          </w:tcPr>
          <w:p w14:paraId="087079AF" w14:textId="77777777" w:rsidR="00451E66" w:rsidRPr="00C972B8" w:rsidRDefault="00451E66" w:rsidP="00BB2FD0">
            <w:pPr>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C972B8">
              <w:rPr>
                <w:rFonts w:eastAsia="Times New Roman"/>
                <w:color w:val="19172B"/>
                <w:szCs w:val="20"/>
              </w:rPr>
              <w:t>15%</w:t>
            </w:r>
          </w:p>
        </w:tc>
        <w:tc>
          <w:tcPr>
            <w:tcW w:w="0" w:type="pct"/>
            <w:noWrap/>
            <w:hideMark/>
          </w:tcPr>
          <w:p w14:paraId="5DF8E4E5" w14:textId="6A9A182A" w:rsidR="00451E66" w:rsidRPr="00C972B8" w:rsidRDefault="00451E66" w:rsidP="00FF4586">
            <w:pPr>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C972B8">
              <w:rPr>
                <w:color w:val="19172B"/>
                <w:szCs w:val="20"/>
              </w:rPr>
              <w:t xml:space="preserve">                               44 </w:t>
            </w:r>
          </w:p>
        </w:tc>
      </w:tr>
      <w:tr w:rsidR="00451E66" w:rsidRPr="001815F5" w14:paraId="22A13163"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244859EE" w14:textId="77777777" w:rsidR="00451E66" w:rsidRPr="00C972B8" w:rsidRDefault="00451E66" w:rsidP="00FF4586">
            <w:pPr>
              <w:jc w:val="left"/>
              <w:rPr>
                <w:rFonts w:asciiTheme="majorHAnsi" w:eastAsia="Times New Roman" w:hAnsiTheme="majorHAnsi"/>
                <w:color w:val="19172B"/>
                <w:szCs w:val="20"/>
              </w:rPr>
            </w:pPr>
            <w:r w:rsidRPr="00C972B8">
              <w:rPr>
                <w:rFonts w:asciiTheme="majorHAnsi" w:eastAsia="Times New Roman" w:hAnsiTheme="majorHAnsi"/>
                <w:color w:val="19172B"/>
                <w:szCs w:val="20"/>
              </w:rPr>
              <w:t>Total</w:t>
            </w:r>
          </w:p>
        </w:tc>
        <w:tc>
          <w:tcPr>
            <w:tcW w:w="0" w:type="pct"/>
            <w:noWrap/>
            <w:hideMark/>
          </w:tcPr>
          <w:p w14:paraId="06AEB590" w14:textId="77777777" w:rsidR="00451E66" w:rsidRPr="00C972B8" w:rsidRDefault="00451E6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972B8">
              <w:rPr>
                <w:rFonts w:asciiTheme="majorHAnsi" w:eastAsia="Times New Roman" w:hAnsiTheme="majorHAnsi"/>
                <w:color w:val="19172B"/>
                <w:szCs w:val="20"/>
              </w:rPr>
              <w:t xml:space="preserve">                             2,722 </w:t>
            </w:r>
          </w:p>
        </w:tc>
        <w:tc>
          <w:tcPr>
            <w:tcW w:w="0" w:type="pct"/>
            <w:noWrap/>
            <w:hideMark/>
          </w:tcPr>
          <w:p w14:paraId="77780E54" w14:textId="77777777" w:rsidR="00451E66" w:rsidRPr="00C972B8" w:rsidRDefault="00451E66" w:rsidP="00BB2FD0">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972B8">
              <w:rPr>
                <w:rFonts w:asciiTheme="majorHAnsi" w:eastAsia="Times New Roman" w:hAnsiTheme="majorHAnsi"/>
                <w:color w:val="19172B"/>
                <w:szCs w:val="20"/>
              </w:rPr>
              <w:t>100%</w:t>
            </w:r>
          </w:p>
        </w:tc>
        <w:tc>
          <w:tcPr>
            <w:tcW w:w="0" w:type="pct"/>
            <w:noWrap/>
            <w:hideMark/>
          </w:tcPr>
          <w:p w14:paraId="53CAB57C" w14:textId="29937E99" w:rsidR="00451E66" w:rsidRPr="00C972B8" w:rsidRDefault="00451E6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972B8">
              <w:rPr>
                <w:rFonts w:asciiTheme="majorHAnsi" w:hAnsiTheme="majorHAnsi"/>
                <w:color w:val="19172B"/>
                <w:szCs w:val="20"/>
              </w:rPr>
              <w:t xml:space="preserve">                             483 </w:t>
            </w:r>
          </w:p>
        </w:tc>
      </w:tr>
    </w:tbl>
    <w:p w14:paraId="131D253C" w14:textId="77777777" w:rsidR="001815F5" w:rsidRPr="00C064EF" w:rsidRDefault="001815F5" w:rsidP="00C064EF">
      <w:pPr>
        <w:pStyle w:val="AEGBody"/>
        <w:rPr>
          <w:lang w:eastAsia="ja-JP"/>
        </w:rPr>
      </w:pPr>
    </w:p>
    <w:p w14:paraId="6FA426E6" w14:textId="7B971174" w:rsidR="00F0216C" w:rsidRDefault="007563CF" w:rsidP="009875ED">
      <w:pPr>
        <w:pStyle w:val="Heading2"/>
      </w:pPr>
      <w:bookmarkStart w:id="47" w:name="_Toc175904863"/>
      <w:r>
        <w:t>Residential Sector</w:t>
      </w:r>
      <w:bookmarkEnd w:id="47"/>
    </w:p>
    <w:p w14:paraId="40A61FEB" w14:textId="5DE360E2" w:rsidR="00BE4672" w:rsidRPr="00BE4672" w:rsidRDefault="00BE4672" w:rsidP="00BE4672">
      <w:pPr>
        <w:pStyle w:val="AEGBody"/>
      </w:pPr>
      <w:r w:rsidRPr="00072427">
        <w:t xml:space="preserve">The total number of households and electricity sales were obtained from Avista’s customer database. </w:t>
      </w:r>
      <w:r w:rsidRPr="00907AF1">
        <w:t xml:space="preserve">In </w:t>
      </w:r>
      <w:r w:rsidR="009E20BD" w:rsidRPr="00907AF1">
        <w:t>202</w:t>
      </w:r>
      <w:r w:rsidR="009E20BD">
        <w:t>1</w:t>
      </w:r>
      <w:r w:rsidRPr="00907AF1">
        <w:t>,</w:t>
      </w:r>
      <w:r w:rsidRPr="00072427">
        <w:t xml:space="preserve"> </w:t>
      </w:r>
      <w:r>
        <w:t>Avista provided electric service to</w:t>
      </w:r>
      <w:r w:rsidRPr="00072427">
        <w:t xml:space="preserve"> 234,506 households in Washington</w:t>
      </w:r>
      <w:r>
        <w:t xml:space="preserve">; those households </w:t>
      </w:r>
      <w:r w:rsidRPr="00072427">
        <w:t>used a total of 2,6</w:t>
      </w:r>
      <w:r>
        <w:t>71</w:t>
      </w:r>
      <w:r w:rsidRPr="00072427">
        <w:t xml:space="preserve"> GWh with </w:t>
      </w:r>
      <w:r w:rsidRPr="007639AD">
        <w:t xml:space="preserve">a winter peak demand of </w:t>
      </w:r>
      <w:r w:rsidR="007639AD" w:rsidRPr="007639AD">
        <w:t>656</w:t>
      </w:r>
      <w:r w:rsidRPr="007639AD">
        <w:t xml:space="preserve"> MW.</w:t>
      </w:r>
      <w:r w:rsidRPr="00072427">
        <w:t xml:space="preserve"> </w:t>
      </w:r>
      <w:r>
        <w:t>The a</w:t>
      </w:r>
      <w:r w:rsidRPr="00072427">
        <w:t>verage use per household at 11,</w:t>
      </w:r>
      <w:r>
        <w:t>391</w:t>
      </w:r>
      <w:r w:rsidRPr="00072427">
        <w:t xml:space="preserve"> kWh is about average compared to other regions of the country. In </w:t>
      </w:r>
      <w:r w:rsidR="009E20BD" w:rsidRPr="00907AF1">
        <w:t>202</w:t>
      </w:r>
      <w:r w:rsidR="009E20BD">
        <w:t>1</w:t>
      </w:r>
      <w:r w:rsidRPr="00907AF1">
        <w:t>, Avista</w:t>
      </w:r>
      <w:r>
        <w:t xml:space="preserve"> provided electric service to</w:t>
      </w:r>
      <w:r w:rsidRPr="00072427">
        <w:t xml:space="preserve"> 120,131 households in Idaho</w:t>
      </w:r>
      <w:r>
        <w:t xml:space="preserve">; those households </w:t>
      </w:r>
      <w:r w:rsidRPr="00072427">
        <w:t>used a total of 1,32</w:t>
      </w:r>
      <w:r>
        <w:t>0</w:t>
      </w:r>
      <w:r w:rsidRPr="00072427">
        <w:t xml:space="preserve"> GWh with </w:t>
      </w:r>
      <w:r w:rsidRPr="007639AD">
        <w:t xml:space="preserve">winter peak demand of </w:t>
      </w:r>
      <w:r w:rsidR="007639AD" w:rsidRPr="007639AD">
        <w:t>314</w:t>
      </w:r>
      <w:r w:rsidRPr="007639AD">
        <w:t xml:space="preserve"> MW.</w:t>
      </w:r>
      <w:r w:rsidRPr="00072427">
        <w:t xml:space="preserve"> </w:t>
      </w:r>
      <w:r>
        <w:t>The a</w:t>
      </w:r>
      <w:r w:rsidRPr="00072427">
        <w:t>verage use per household was 1</w:t>
      </w:r>
      <w:r>
        <w:t>0,986</w:t>
      </w:r>
      <w:r w:rsidRPr="00072427">
        <w:t xml:space="preserve"> kWh. </w:t>
      </w:r>
      <w:r w:rsidR="00195923">
        <w:fldChar w:fldCharType="begin"/>
      </w:r>
      <w:r w:rsidR="00195923">
        <w:instrText xml:space="preserve"> REF _Ref175812138 \h </w:instrText>
      </w:r>
      <w:r w:rsidR="00195923">
        <w:fldChar w:fldCharType="separate"/>
      </w:r>
      <w:r w:rsidR="00195923" w:rsidRPr="00F07CC6">
        <w:t xml:space="preserve">Table </w:t>
      </w:r>
      <w:r w:rsidR="00195923">
        <w:rPr>
          <w:noProof/>
        </w:rPr>
        <w:t>3</w:t>
      </w:r>
      <w:r w:rsidR="00195923">
        <w:noBreakHyphen/>
      </w:r>
      <w:r w:rsidR="00195923">
        <w:rPr>
          <w:noProof/>
        </w:rPr>
        <w:t>3</w:t>
      </w:r>
      <w:r w:rsidR="00195923">
        <w:fldChar w:fldCharType="end"/>
      </w:r>
      <w:r w:rsidR="00823182">
        <w:t xml:space="preserve"> </w:t>
      </w:r>
      <w:r w:rsidRPr="00072427">
        <w:t xml:space="preserve">and </w:t>
      </w:r>
      <w:r w:rsidR="00195923">
        <w:fldChar w:fldCharType="begin"/>
      </w:r>
      <w:r w:rsidR="00195923">
        <w:instrText xml:space="preserve"> REF _Ref175812143 \h </w:instrText>
      </w:r>
      <w:r w:rsidR="00195923">
        <w:fldChar w:fldCharType="separate"/>
      </w:r>
      <w:r w:rsidR="00195923">
        <w:t xml:space="preserve">Table </w:t>
      </w:r>
      <w:r w:rsidR="00195923">
        <w:rPr>
          <w:noProof/>
        </w:rPr>
        <w:t>3</w:t>
      </w:r>
      <w:r w:rsidR="00195923">
        <w:noBreakHyphen/>
      </w:r>
      <w:r w:rsidR="00195923">
        <w:rPr>
          <w:noProof/>
        </w:rPr>
        <w:t>4</w:t>
      </w:r>
      <w:r w:rsidR="00195923">
        <w:fldChar w:fldCharType="end"/>
      </w:r>
      <w:r w:rsidR="00823182">
        <w:t xml:space="preserve"> </w:t>
      </w:r>
      <w:r w:rsidRPr="00072427">
        <w:t xml:space="preserve">show the total number of households and electricity sales in the six residential segments for each state. </w:t>
      </w:r>
    </w:p>
    <w:p w14:paraId="0FF49E28" w14:textId="7EC89247" w:rsidR="00C501E6" w:rsidRPr="00F07CC6" w:rsidRDefault="00C501E6" w:rsidP="00F07CC6">
      <w:pPr>
        <w:pStyle w:val="FigureorTableCaption"/>
      </w:pPr>
      <w:bookmarkStart w:id="48" w:name="_Ref175812138"/>
      <w:bookmarkStart w:id="49" w:name="_Toc175912372"/>
      <w:r w:rsidRPr="00F07CC6">
        <w:lastRenderedPageBreak/>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3</w:t>
      </w:r>
      <w:r w:rsidR="00EE4707">
        <w:fldChar w:fldCharType="end"/>
      </w:r>
      <w:bookmarkEnd w:id="48"/>
      <w:r w:rsidR="00015121">
        <w:t xml:space="preserve"> </w:t>
      </w:r>
      <w:r w:rsidRPr="00F07CC6">
        <w:t>Base Year Electric Consumption Summary (Control Totals), Washington</w:t>
      </w:r>
      <w:bookmarkEnd w:id="49"/>
    </w:p>
    <w:tbl>
      <w:tblPr>
        <w:tblStyle w:val="AEG-DarkBanded"/>
        <w:tblW w:w="4275" w:type="pct"/>
        <w:jc w:val="center"/>
        <w:tblLayout w:type="fixed"/>
        <w:tblCellMar>
          <w:left w:w="72" w:type="dxa"/>
          <w:right w:w="72" w:type="dxa"/>
        </w:tblCellMar>
        <w:tblLook w:val="04A0" w:firstRow="1" w:lastRow="0" w:firstColumn="1" w:lastColumn="0" w:noHBand="0" w:noVBand="1"/>
      </w:tblPr>
      <w:tblGrid>
        <w:gridCol w:w="1761"/>
        <w:gridCol w:w="1561"/>
        <w:gridCol w:w="1561"/>
        <w:gridCol w:w="1561"/>
        <w:gridCol w:w="1559"/>
      </w:tblGrid>
      <w:tr w:rsidR="00CF1AB0" w:rsidRPr="00EF17D5" w14:paraId="527C7009" w14:textId="77777777" w:rsidTr="00FF4586">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474A9103" w14:textId="77777777" w:rsidR="00CF1AB0" w:rsidRPr="00525A9D" w:rsidRDefault="00CF1AB0" w:rsidP="00C54C72">
            <w:pPr>
              <w:keepNext/>
              <w:jc w:val="left"/>
              <w:rPr>
                <w:rFonts w:asciiTheme="majorHAnsi" w:eastAsia="Times New Roman" w:hAnsiTheme="majorHAnsi"/>
                <w:b w:val="0"/>
                <w:szCs w:val="20"/>
              </w:rPr>
            </w:pPr>
            <w:r w:rsidRPr="00525A9D">
              <w:rPr>
                <w:rFonts w:asciiTheme="majorHAnsi" w:eastAsia="Times New Roman" w:hAnsiTheme="majorHAnsi"/>
                <w:b w:val="0"/>
                <w:szCs w:val="20"/>
              </w:rPr>
              <w:t>Segment</w:t>
            </w:r>
          </w:p>
        </w:tc>
        <w:tc>
          <w:tcPr>
            <w:tcW w:w="975" w:type="pct"/>
            <w:hideMark/>
          </w:tcPr>
          <w:p w14:paraId="12A9FDB7" w14:textId="77777777" w:rsidR="00CF1AB0" w:rsidRPr="00525A9D" w:rsidRDefault="00CF1AB0" w:rsidP="004F763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525A9D">
              <w:rPr>
                <w:rFonts w:asciiTheme="majorHAnsi" w:eastAsia="Times New Roman" w:hAnsiTheme="majorHAnsi"/>
                <w:b w:val="0"/>
                <w:szCs w:val="20"/>
              </w:rPr>
              <w:t>Electric Use (GWh)</w:t>
            </w:r>
          </w:p>
        </w:tc>
        <w:tc>
          <w:tcPr>
            <w:tcW w:w="975" w:type="pct"/>
            <w:noWrap/>
            <w:hideMark/>
          </w:tcPr>
          <w:p w14:paraId="1E771A91" w14:textId="7FFD66D4" w:rsidR="00CF1AB0" w:rsidRPr="00525A9D" w:rsidRDefault="00CF1AB0" w:rsidP="004F763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525A9D">
              <w:rPr>
                <w:rFonts w:asciiTheme="majorHAnsi" w:eastAsia="Times New Roman" w:hAnsiTheme="majorHAnsi"/>
                <w:b w:val="0"/>
                <w:szCs w:val="20"/>
              </w:rPr>
              <w:t>Customers</w:t>
            </w:r>
          </w:p>
        </w:tc>
        <w:tc>
          <w:tcPr>
            <w:tcW w:w="975" w:type="pct"/>
            <w:noWrap/>
            <w:hideMark/>
          </w:tcPr>
          <w:p w14:paraId="5A42F248" w14:textId="14BA968A" w:rsidR="00CF1AB0" w:rsidRPr="00525A9D" w:rsidRDefault="00CF1AB0" w:rsidP="004F763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525A9D">
              <w:rPr>
                <w:rFonts w:asciiTheme="majorHAnsi" w:eastAsia="Times New Roman" w:hAnsiTheme="majorHAnsi"/>
                <w:b w:val="0"/>
                <w:szCs w:val="20"/>
              </w:rPr>
              <w:t>Annual Use/Customer (kWh/HH)</w:t>
            </w:r>
          </w:p>
        </w:tc>
        <w:tc>
          <w:tcPr>
            <w:tcW w:w="975" w:type="pct"/>
            <w:hideMark/>
          </w:tcPr>
          <w:p w14:paraId="5555AA8B" w14:textId="77777777" w:rsidR="00CF1AB0" w:rsidRPr="00525A9D" w:rsidRDefault="00CF1AB0" w:rsidP="004F763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525A9D">
              <w:rPr>
                <w:rFonts w:asciiTheme="majorHAnsi" w:eastAsia="Times New Roman" w:hAnsiTheme="majorHAnsi"/>
                <w:b w:val="0"/>
                <w:szCs w:val="20"/>
              </w:rPr>
              <w:t>% of Annual Use</w:t>
            </w:r>
          </w:p>
        </w:tc>
      </w:tr>
      <w:tr w:rsidR="00CF1AB0" w:rsidRPr="00EF17D5" w14:paraId="49913AC5"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3D8896D6" w14:textId="77777777" w:rsidR="00CF1AB0" w:rsidRPr="00DF050F" w:rsidRDefault="00CF1AB0" w:rsidP="00C54C72">
            <w:pPr>
              <w:keepNext/>
              <w:jc w:val="left"/>
              <w:rPr>
                <w:rFonts w:asciiTheme="minorHAnsi" w:eastAsia="Times New Roman" w:hAnsiTheme="minorHAnsi"/>
                <w:color w:val="19172B"/>
                <w:szCs w:val="20"/>
              </w:rPr>
            </w:pPr>
            <w:r w:rsidRPr="00DF050F">
              <w:rPr>
                <w:rFonts w:asciiTheme="minorHAnsi" w:eastAsia="Times New Roman" w:hAnsiTheme="minorHAnsi"/>
                <w:color w:val="19172B"/>
                <w:szCs w:val="20"/>
              </w:rPr>
              <w:t xml:space="preserve"> Single Family </w:t>
            </w:r>
          </w:p>
        </w:tc>
        <w:tc>
          <w:tcPr>
            <w:tcW w:w="975" w:type="pct"/>
            <w:noWrap/>
            <w:hideMark/>
          </w:tcPr>
          <w:p w14:paraId="3C0F5C78" w14:textId="77B764BE"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1,300</w:t>
            </w:r>
          </w:p>
        </w:tc>
        <w:tc>
          <w:tcPr>
            <w:tcW w:w="975" w:type="pct"/>
            <w:noWrap/>
            <w:hideMark/>
          </w:tcPr>
          <w:p w14:paraId="345B416F" w14:textId="1ED48251"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97,304</w:t>
            </w:r>
          </w:p>
        </w:tc>
        <w:tc>
          <w:tcPr>
            <w:tcW w:w="975" w:type="pct"/>
            <w:noWrap/>
            <w:hideMark/>
          </w:tcPr>
          <w:p w14:paraId="2BEA10FF" w14:textId="398562D3"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13,362</w:t>
            </w:r>
          </w:p>
        </w:tc>
        <w:tc>
          <w:tcPr>
            <w:tcW w:w="975" w:type="pct"/>
            <w:noWrap/>
            <w:hideMark/>
          </w:tcPr>
          <w:p w14:paraId="4D9AE007" w14:textId="77777777"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49%</w:t>
            </w:r>
          </w:p>
        </w:tc>
      </w:tr>
      <w:tr w:rsidR="00CF1AB0" w:rsidRPr="00EF17D5" w14:paraId="66867ACC"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02570CC5" w14:textId="77777777" w:rsidR="00CF1AB0" w:rsidRPr="00DF050F" w:rsidRDefault="00CF1AB0" w:rsidP="00C54C72">
            <w:pPr>
              <w:keepNext/>
              <w:jc w:val="left"/>
              <w:rPr>
                <w:rFonts w:asciiTheme="minorHAnsi" w:eastAsia="Times New Roman" w:hAnsiTheme="minorHAnsi"/>
                <w:color w:val="19172B"/>
                <w:szCs w:val="20"/>
              </w:rPr>
            </w:pPr>
            <w:r w:rsidRPr="00DF050F">
              <w:rPr>
                <w:rFonts w:asciiTheme="minorHAnsi" w:eastAsia="Times New Roman" w:hAnsiTheme="minorHAnsi"/>
                <w:color w:val="19172B"/>
                <w:szCs w:val="20"/>
              </w:rPr>
              <w:t xml:space="preserve"> Multi-Family </w:t>
            </w:r>
          </w:p>
        </w:tc>
        <w:tc>
          <w:tcPr>
            <w:tcW w:w="975" w:type="pct"/>
            <w:noWrap/>
            <w:hideMark/>
          </w:tcPr>
          <w:p w14:paraId="60919C15" w14:textId="534B330B"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95</w:t>
            </w:r>
          </w:p>
        </w:tc>
        <w:tc>
          <w:tcPr>
            <w:tcW w:w="975" w:type="pct"/>
            <w:noWrap/>
            <w:hideMark/>
          </w:tcPr>
          <w:p w14:paraId="4D1DCC83" w14:textId="0D92B634"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12,712</w:t>
            </w:r>
          </w:p>
        </w:tc>
        <w:tc>
          <w:tcPr>
            <w:tcW w:w="975" w:type="pct"/>
            <w:noWrap/>
            <w:hideMark/>
          </w:tcPr>
          <w:p w14:paraId="0B3BAA3D" w14:textId="3E98F647"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7,459</w:t>
            </w:r>
          </w:p>
        </w:tc>
        <w:tc>
          <w:tcPr>
            <w:tcW w:w="975" w:type="pct"/>
            <w:noWrap/>
            <w:hideMark/>
          </w:tcPr>
          <w:p w14:paraId="0AFEA82D" w14:textId="77777777"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4%</w:t>
            </w:r>
          </w:p>
        </w:tc>
      </w:tr>
      <w:tr w:rsidR="00CF1AB0" w:rsidRPr="00EF17D5" w14:paraId="46DC10B7"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3A5B5B1F" w14:textId="77777777" w:rsidR="00CF1AB0" w:rsidRPr="00DF050F" w:rsidRDefault="00CF1AB0" w:rsidP="00C54C72">
            <w:pPr>
              <w:keepNext/>
              <w:jc w:val="left"/>
              <w:rPr>
                <w:rFonts w:asciiTheme="minorHAnsi" w:eastAsia="Times New Roman" w:hAnsiTheme="minorHAnsi"/>
                <w:color w:val="19172B"/>
                <w:szCs w:val="20"/>
              </w:rPr>
            </w:pPr>
            <w:r w:rsidRPr="00DF050F">
              <w:rPr>
                <w:rFonts w:asciiTheme="minorHAnsi" w:eastAsia="Times New Roman" w:hAnsiTheme="minorHAnsi"/>
                <w:color w:val="19172B"/>
                <w:szCs w:val="20"/>
              </w:rPr>
              <w:t xml:space="preserve"> Mobile Home </w:t>
            </w:r>
          </w:p>
        </w:tc>
        <w:tc>
          <w:tcPr>
            <w:tcW w:w="975" w:type="pct"/>
            <w:noWrap/>
            <w:hideMark/>
          </w:tcPr>
          <w:p w14:paraId="5DC3875B" w14:textId="0D1DC596"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155</w:t>
            </w:r>
          </w:p>
        </w:tc>
        <w:tc>
          <w:tcPr>
            <w:tcW w:w="975" w:type="pct"/>
            <w:noWrap/>
            <w:hideMark/>
          </w:tcPr>
          <w:p w14:paraId="312C98C2" w14:textId="73A2C8CE"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8,704</w:t>
            </w:r>
          </w:p>
        </w:tc>
        <w:tc>
          <w:tcPr>
            <w:tcW w:w="975" w:type="pct"/>
            <w:noWrap/>
            <w:hideMark/>
          </w:tcPr>
          <w:p w14:paraId="16ED1722" w14:textId="29482DBB"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17,754</w:t>
            </w:r>
          </w:p>
        </w:tc>
        <w:tc>
          <w:tcPr>
            <w:tcW w:w="975" w:type="pct"/>
            <w:noWrap/>
            <w:hideMark/>
          </w:tcPr>
          <w:p w14:paraId="209D1FDC" w14:textId="77777777"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6%</w:t>
            </w:r>
          </w:p>
        </w:tc>
      </w:tr>
      <w:tr w:rsidR="00CF1AB0" w:rsidRPr="00EF17D5" w14:paraId="62303508"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7D977AE1" w14:textId="77777777" w:rsidR="00CF1AB0" w:rsidRPr="00DF050F" w:rsidRDefault="00CF1AB0" w:rsidP="00C54C72">
            <w:pPr>
              <w:keepNext/>
              <w:jc w:val="left"/>
              <w:rPr>
                <w:rFonts w:asciiTheme="minorHAnsi" w:eastAsia="Times New Roman" w:hAnsiTheme="minorHAnsi"/>
                <w:color w:val="19172B"/>
                <w:szCs w:val="20"/>
              </w:rPr>
            </w:pPr>
            <w:r w:rsidRPr="00DF050F">
              <w:rPr>
                <w:rFonts w:asciiTheme="minorHAnsi" w:eastAsia="Times New Roman" w:hAnsiTheme="minorHAnsi"/>
                <w:color w:val="19172B"/>
                <w:szCs w:val="20"/>
              </w:rPr>
              <w:t xml:space="preserve"> LI - Single Family </w:t>
            </w:r>
          </w:p>
        </w:tc>
        <w:tc>
          <w:tcPr>
            <w:tcW w:w="975" w:type="pct"/>
            <w:noWrap/>
            <w:hideMark/>
          </w:tcPr>
          <w:p w14:paraId="37521076" w14:textId="4BDD2553"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790</w:t>
            </w:r>
          </w:p>
        </w:tc>
        <w:tc>
          <w:tcPr>
            <w:tcW w:w="975" w:type="pct"/>
            <w:noWrap/>
            <w:hideMark/>
          </w:tcPr>
          <w:p w14:paraId="624E491F" w14:textId="22066CA6"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62,690</w:t>
            </w:r>
          </w:p>
        </w:tc>
        <w:tc>
          <w:tcPr>
            <w:tcW w:w="975" w:type="pct"/>
            <w:noWrap/>
            <w:hideMark/>
          </w:tcPr>
          <w:p w14:paraId="70580453" w14:textId="17555BB5"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12,605</w:t>
            </w:r>
          </w:p>
        </w:tc>
        <w:tc>
          <w:tcPr>
            <w:tcW w:w="975" w:type="pct"/>
            <w:noWrap/>
            <w:hideMark/>
          </w:tcPr>
          <w:p w14:paraId="7BAACABA" w14:textId="77777777"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30%</w:t>
            </w:r>
          </w:p>
        </w:tc>
      </w:tr>
      <w:tr w:rsidR="00CF1AB0" w:rsidRPr="00EF17D5" w14:paraId="07E077C0"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4441EDCB" w14:textId="77777777" w:rsidR="00CF1AB0" w:rsidRPr="00DF050F" w:rsidRDefault="00CF1AB0" w:rsidP="00C54C72">
            <w:pPr>
              <w:keepNext/>
              <w:jc w:val="left"/>
              <w:rPr>
                <w:rFonts w:asciiTheme="minorHAnsi" w:eastAsia="Times New Roman" w:hAnsiTheme="minorHAnsi"/>
                <w:color w:val="19172B"/>
                <w:szCs w:val="20"/>
              </w:rPr>
            </w:pPr>
            <w:r w:rsidRPr="00DF050F">
              <w:rPr>
                <w:rFonts w:asciiTheme="minorHAnsi" w:eastAsia="Times New Roman" w:hAnsiTheme="minorHAnsi"/>
                <w:color w:val="19172B"/>
                <w:szCs w:val="20"/>
              </w:rPr>
              <w:t xml:space="preserve"> LI - Multi-Family </w:t>
            </w:r>
          </w:p>
        </w:tc>
        <w:tc>
          <w:tcPr>
            <w:tcW w:w="975" w:type="pct"/>
            <w:noWrap/>
            <w:hideMark/>
          </w:tcPr>
          <w:p w14:paraId="304C5BE4" w14:textId="1D6EBEF8"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220</w:t>
            </w:r>
          </w:p>
        </w:tc>
        <w:tc>
          <w:tcPr>
            <w:tcW w:w="975" w:type="pct"/>
            <w:noWrap/>
            <w:hideMark/>
          </w:tcPr>
          <w:p w14:paraId="7C6DF6D1" w14:textId="0671C53F"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45,261</w:t>
            </w:r>
          </w:p>
        </w:tc>
        <w:tc>
          <w:tcPr>
            <w:tcW w:w="975" w:type="pct"/>
            <w:noWrap/>
            <w:hideMark/>
          </w:tcPr>
          <w:p w14:paraId="21A2AA96" w14:textId="428216A2"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4,856</w:t>
            </w:r>
          </w:p>
        </w:tc>
        <w:tc>
          <w:tcPr>
            <w:tcW w:w="975" w:type="pct"/>
            <w:noWrap/>
            <w:hideMark/>
          </w:tcPr>
          <w:p w14:paraId="7876FD4D" w14:textId="77777777" w:rsidR="00CF1AB0" w:rsidRPr="00DF050F"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8%</w:t>
            </w:r>
          </w:p>
        </w:tc>
      </w:tr>
      <w:tr w:rsidR="00CF1AB0" w:rsidRPr="00EF17D5" w14:paraId="7120B78E"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50716F89" w14:textId="77777777" w:rsidR="00CF1AB0" w:rsidRPr="00DF050F" w:rsidRDefault="00CF1AB0" w:rsidP="00C54C72">
            <w:pPr>
              <w:keepNext/>
              <w:jc w:val="left"/>
              <w:rPr>
                <w:rFonts w:asciiTheme="minorHAnsi" w:eastAsia="Times New Roman" w:hAnsiTheme="minorHAnsi"/>
                <w:color w:val="19172B"/>
                <w:szCs w:val="20"/>
              </w:rPr>
            </w:pPr>
            <w:r w:rsidRPr="00DF050F">
              <w:rPr>
                <w:rFonts w:asciiTheme="minorHAnsi" w:eastAsia="Times New Roman" w:hAnsiTheme="minorHAnsi"/>
                <w:color w:val="19172B"/>
                <w:szCs w:val="20"/>
              </w:rPr>
              <w:t xml:space="preserve"> LI - Mobile Home </w:t>
            </w:r>
          </w:p>
        </w:tc>
        <w:tc>
          <w:tcPr>
            <w:tcW w:w="975" w:type="pct"/>
            <w:noWrap/>
            <w:hideMark/>
          </w:tcPr>
          <w:p w14:paraId="2AD0BFD9" w14:textId="254F8EC9"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112</w:t>
            </w:r>
          </w:p>
        </w:tc>
        <w:tc>
          <w:tcPr>
            <w:tcW w:w="975" w:type="pct"/>
            <w:noWrap/>
            <w:hideMark/>
          </w:tcPr>
          <w:p w14:paraId="255CC2F2" w14:textId="53A162B2"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7,836</w:t>
            </w:r>
          </w:p>
        </w:tc>
        <w:tc>
          <w:tcPr>
            <w:tcW w:w="975" w:type="pct"/>
            <w:noWrap/>
            <w:hideMark/>
          </w:tcPr>
          <w:p w14:paraId="72AF92F4" w14:textId="46B720C6"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14,248</w:t>
            </w:r>
          </w:p>
        </w:tc>
        <w:tc>
          <w:tcPr>
            <w:tcW w:w="975" w:type="pct"/>
            <w:noWrap/>
            <w:hideMark/>
          </w:tcPr>
          <w:p w14:paraId="54A5A110" w14:textId="77777777" w:rsidR="00CF1AB0" w:rsidRPr="00DF050F" w:rsidRDefault="00CF1AB0"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050F">
              <w:rPr>
                <w:rFonts w:asciiTheme="minorHAnsi" w:eastAsia="Times New Roman" w:hAnsiTheme="minorHAnsi"/>
                <w:color w:val="19172B"/>
                <w:szCs w:val="20"/>
              </w:rPr>
              <w:t>4%</w:t>
            </w:r>
          </w:p>
        </w:tc>
      </w:tr>
      <w:tr w:rsidR="00CF1AB0" w:rsidRPr="00EF17D5" w14:paraId="6EF9C725"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101" w:type="pct"/>
            <w:noWrap/>
            <w:hideMark/>
          </w:tcPr>
          <w:p w14:paraId="0CB4D695" w14:textId="5C6DED9F" w:rsidR="00CF1AB0" w:rsidRPr="00A111FC" w:rsidRDefault="00CF1AB0" w:rsidP="00FF4586">
            <w:pPr>
              <w:keepNext/>
              <w:jc w:val="left"/>
              <w:rPr>
                <w:rFonts w:asciiTheme="majorHAnsi" w:eastAsia="Times New Roman" w:hAnsiTheme="majorHAnsi"/>
                <w:color w:val="19172B"/>
                <w:szCs w:val="20"/>
              </w:rPr>
            </w:pPr>
            <w:r w:rsidRPr="00A111FC">
              <w:rPr>
                <w:rFonts w:asciiTheme="majorHAnsi" w:eastAsia="Times New Roman" w:hAnsiTheme="majorHAnsi"/>
                <w:color w:val="19172B"/>
                <w:szCs w:val="20"/>
              </w:rPr>
              <w:t>Total</w:t>
            </w:r>
          </w:p>
        </w:tc>
        <w:tc>
          <w:tcPr>
            <w:tcW w:w="975" w:type="pct"/>
            <w:noWrap/>
            <w:hideMark/>
          </w:tcPr>
          <w:p w14:paraId="1098D4D1" w14:textId="5F9AE111" w:rsidR="00CF1AB0" w:rsidRPr="00A111FC"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A111FC">
              <w:rPr>
                <w:rFonts w:asciiTheme="majorHAnsi" w:eastAsia="Times New Roman" w:hAnsiTheme="majorHAnsi"/>
                <w:color w:val="19172B"/>
                <w:szCs w:val="20"/>
              </w:rPr>
              <w:t>2,671</w:t>
            </w:r>
          </w:p>
        </w:tc>
        <w:tc>
          <w:tcPr>
            <w:tcW w:w="975" w:type="pct"/>
            <w:noWrap/>
            <w:hideMark/>
          </w:tcPr>
          <w:p w14:paraId="522922BA" w14:textId="040D7943" w:rsidR="00CF1AB0" w:rsidRPr="00A111FC"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A111FC">
              <w:rPr>
                <w:rFonts w:asciiTheme="majorHAnsi" w:eastAsia="Times New Roman" w:hAnsiTheme="majorHAnsi"/>
                <w:color w:val="19172B"/>
                <w:szCs w:val="20"/>
              </w:rPr>
              <w:t>234,506</w:t>
            </w:r>
          </w:p>
        </w:tc>
        <w:tc>
          <w:tcPr>
            <w:tcW w:w="975" w:type="pct"/>
            <w:noWrap/>
            <w:hideMark/>
          </w:tcPr>
          <w:p w14:paraId="0F261A62" w14:textId="3AA50AC1" w:rsidR="00CF1AB0" w:rsidRPr="00A111FC"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A111FC">
              <w:rPr>
                <w:rFonts w:asciiTheme="majorHAnsi" w:eastAsia="Times New Roman" w:hAnsiTheme="majorHAnsi"/>
                <w:color w:val="19172B"/>
                <w:szCs w:val="20"/>
              </w:rPr>
              <w:t>11,391</w:t>
            </w:r>
          </w:p>
        </w:tc>
        <w:tc>
          <w:tcPr>
            <w:tcW w:w="975" w:type="pct"/>
            <w:noWrap/>
            <w:hideMark/>
          </w:tcPr>
          <w:p w14:paraId="43CEC8CA" w14:textId="77777777" w:rsidR="00CF1AB0" w:rsidRPr="00A111FC" w:rsidRDefault="00CF1AB0"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A111FC">
              <w:rPr>
                <w:rFonts w:asciiTheme="majorHAnsi" w:eastAsia="Times New Roman" w:hAnsiTheme="majorHAnsi"/>
                <w:color w:val="19172B"/>
                <w:szCs w:val="20"/>
              </w:rPr>
              <w:t>100%</w:t>
            </w:r>
          </w:p>
        </w:tc>
      </w:tr>
    </w:tbl>
    <w:p w14:paraId="1348026A" w14:textId="77777777" w:rsidR="001C0023" w:rsidRDefault="001C0023" w:rsidP="00F0216C">
      <w:pPr>
        <w:pStyle w:val="AEGBody"/>
        <w:rPr>
          <w:lang w:eastAsia="ja-JP"/>
        </w:rPr>
      </w:pPr>
    </w:p>
    <w:p w14:paraId="1683AD7A" w14:textId="04226BD3" w:rsidR="00C501E6" w:rsidRDefault="00C501E6" w:rsidP="001C0023">
      <w:pPr>
        <w:pStyle w:val="FigureorTableCaption"/>
      </w:pPr>
      <w:bookmarkStart w:id="50" w:name="_Ref175812143"/>
      <w:bookmarkStart w:id="51" w:name="_Toc175912373"/>
      <w:r>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4</w:t>
      </w:r>
      <w:r w:rsidR="00EE4707">
        <w:fldChar w:fldCharType="end"/>
      </w:r>
      <w:bookmarkEnd w:id="50"/>
      <w:r w:rsidR="00015121">
        <w:t xml:space="preserve"> </w:t>
      </w:r>
      <w:r w:rsidRPr="004F53AB">
        <w:t>Base Year Electric Consumption Summary (Control Totals), Idaho</w:t>
      </w:r>
      <w:bookmarkEnd w:id="51"/>
    </w:p>
    <w:tbl>
      <w:tblPr>
        <w:tblStyle w:val="AEGBlue2"/>
        <w:tblW w:w="4274" w:type="pct"/>
        <w:tblInd w:w="690" w:type="dxa"/>
        <w:tblLayout w:type="fixed"/>
        <w:tblLook w:val="04A0" w:firstRow="1" w:lastRow="0" w:firstColumn="1" w:lastColumn="0" w:noHBand="0" w:noVBand="1"/>
      </w:tblPr>
      <w:tblGrid>
        <w:gridCol w:w="1762"/>
        <w:gridCol w:w="1560"/>
        <w:gridCol w:w="1560"/>
        <w:gridCol w:w="1560"/>
        <w:gridCol w:w="1559"/>
      </w:tblGrid>
      <w:tr w:rsidR="00CF1AB0" w:rsidRPr="003E0852" w14:paraId="30206DD2" w14:textId="77777777" w:rsidTr="00FF4586">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1D85A83C" w14:textId="77777777" w:rsidR="00CF1AB0" w:rsidRPr="003E0852" w:rsidRDefault="00CF1AB0" w:rsidP="00C54C72">
            <w:pPr>
              <w:keepNext/>
              <w:keepLines/>
              <w:jc w:val="left"/>
              <w:rPr>
                <w:rFonts w:asciiTheme="majorHAnsi" w:eastAsia="Times New Roman" w:hAnsiTheme="majorHAnsi"/>
                <w:szCs w:val="20"/>
              </w:rPr>
            </w:pPr>
            <w:r w:rsidRPr="003E0852">
              <w:rPr>
                <w:rFonts w:asciiTheme="majorHAnsi" w:eastAsia="Times New Roman" w:hAnsiTheme="majorHAnsi"/>
                <w:szCs w:val="20"/>
              </w:rPr>
              <w:t>Segment</w:t>
            </w:r>
          </w:p>
        </w:tc>
        <w:tc>
          <w:tcPr>
            <w:tcW w:w="975" w:type="pct"/>
            <w:hideMark/>
          </w:tcPr>
          <w:p w14:paraId="2B93BCB9" w14:textId="77777777" w:rsidR="00CF1AB0" w:rsidRPr="003E0852" w:rsidRDefault="00CF1AB0" w:rsidP="001C0023">
            <w:pPr>
              <w:keepNext/>
              <w:keepLine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E0852">
              <w:rPr>
                <w:rFonts w:asciiTheme="majorHAnsi" w:eastAsia="Times New Roman" w:hAnsiTheme="majorHAnsi"/>
                <w:szCs w:val="20"/>
              </w:rPr>
              <w:t>Electric Use (GWh)</w:t>
            </w:r>
          </w:p>
        </w:tc>
        <w:tc>
          <w:tcPr>
            <w:tcW w:w="975" w:type="pct"/>
            <w:noWrap/>
            <w:hideMark/>
          </w:tcPr>
          <w:p w14:paraId="5DBBBE27" w14:textId="16E78177" w:rsidR="00CF1AB0" w:rsidRPr="003E0852" w:rsidRDefault="00CF1AB0" w:rsidP="001C0023">
            <w:pPr>
              <w:keepNext/>
              <w:keepLine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E0852">
              <w:rPr>
                <w:rFonts w:asciiTheme="majorHAnsi" w:eastAsia="Times New Roman" w:hAnsiTheme="majorHAnsi"/>
                <w:szCs w:val="20"/>
              </w:rPr>
              <w:t>Customers</w:t>
            </w:r>
          </w:p>
        </w:tc>
        <w:tc>
          <w:tcPr>
            <w:tcW w:w="975" w:type="pct"/>
            <w:noWrap/>
            <w:hideMark/>
          </w:tcPr>
          <w:p w14:paraId="067AB9CF" w14:textId="4E8BF2F5" w:rsidR="00CF1AB0" w:rsidRPr="003E0852" w:rsidRDefault="00CF1AB0" w:rsidP="001C0023">
            <w:pPr>
              <w:keepNext/>
              <w:keepLine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E0852">
              <w:rPr>
                <w:rFonts w:asciiTheme="majorHAnsi" w:eastAsia="Times New Roman" w:hAnsiTheme="majorHAnsi"/>
                <w:szCs w:val="20"/>
              </w:rPr>
              <w:t>Annual Use/Customer (kWh/HH)</w:t>
            </w:r>
          </w:p>
        </w:tc>
        <w:tc>
          <w:tcPr>
            <w:tcW w:w="974" w:type="pct"/>
            <w:hideMark/>
          </w:tcPr>
          <w:p w14:paraId="2D36F34C" w14:textId="77777777" w:rsidR="00CF1AB0" w:rsidRPr="003E0852" w:rsidRDefault="00CF1AB0" w:rsidP="001C0023">
            <w:pPr>
              <w:keepNext/>
              <w:keepLine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E0852">
              <w:rPr>
                <w:rFonts w:asciiTheme="majorHAnsi" w:eastAsia="Times New Roman" w:hAnsiTheme="majorHAnsi"/>
                <w:szCs w:val="20"/>
              </w:rPr>
              <w:t>% of Annual Use</w:t>
            </w:r>
          </w:p>
        </w:tc>
      </w:tr>
      <w:tr w:rsidR="00CF1AB0" w:rsidRPr="00F0216C" w14:paraId="6D7C890F"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1AE18730" w14:textId="77777777" w:rsidR="00CF1AB0" w:rsidRPr="003E0852" w:rsidRDefault="00CF1AB0" w:rsidP="00C54C72">
            <w:pPr>
              <w:keepNext/>
              <w:keepLines/>
              <w:jc w:val="left"/>
              <w:rPr>
                <w:rFonts w:eastAsia="Times New Roman"/>
                <w:color w:val="19172B"/>
                <w:szCs w:val="20"/>
              </w:rPr>
            </w:pPr>
            <w:r w:rsidRPr="003E0852">
              <w:rPr>
                <w:rFonts w:eastAsia="Times New Roman"/>
                <w:color w:val="19172B"/>
                <w:szCs w:val="20"/>
              </w:rPr>
              <w:t xml:space="preserve"> Single Family </w:t>
            </w:r>
          </w:p>
        </w:tc>
        <w:tc>
          <w:tcPr>
            <w:tcW w:w="975" w:type="pct"/>
            <w:noWrap/>
            <w:hideMark/>
          </w:tcPr>
          <w:p w14:paraId="590C0C9C" w14:textId="540567BC"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934</w:t>
            </w:r>
          </w:p>
        </w:tc>
        <w:tc>
          <w:tcPr>
            <w:tcW w:w="975" w:type="pct"/>
            <w:noWrap/>
            <w:hideMark/>
          </w:tcPr>
          <w:p w14:paraId="3E4CA426" w14:textId="6059840A"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79,840</w:t>
            </w:r>
          </w:p>
        </w:tc>
        <w:tc>
          <w:tcPr>
            <w:tcW w:w="975" w:type="pct"/>
            <w:noWrap/>
            <w:hideMark/>
          </w:tcPr>
          <w:p w14:paraId="1D4219BA" w14:textId="48EBF0C4"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11,698</w:t>
            </w:r>
          </w:p>
        </w:tc>
        <w:tc>
          <w:tcPr>
            <w:tcW w:w="974" w:type="pct"/>
            <w:noWrap/>
            <w:hideMark/>
          </w:tcPr>
          <w:p w14:paraId="0BE1B8D5" w14:textId="77777777"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71%</w:t>
            </w:r>
          </w:p>
        </w:tc>
      </w:tr>
      <w:tr w:rsidR="00CF1AB0" w:rsidRPr="00F0216C" w14:paraId="469AE997"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51891154" w14:textId="77777777" w:rsidR="00CF1AB0" w:rsidRPr="003E0852" w:rsidRDefault="00CF1AB0" w:rsidP="00C54C72">
            <w:pPr>
              <w:keepNext/>
              <w:keepLines/>
              <w:jc w:val="left"/>
              <w:rPr>
                <w:rFonts w:eastAsia="Times New Roman"/>
                <w:color w:val="19172B"/>
                <w:szCs w:val="20"/>
              </w:rPr>
            </w:pPr>
            <w:r w:rsidRPr="003E0852">
              <w:rPr>
                <w:rFonts w:eastAsia="Times New Roman"/>
                <w:color w:val="19172B"/>
                <w:szCs w:val="20"/>
              </w:rPr>
              <w:t xml:space="preserve"> Multi-Family </w:t>
            </w:r>
          </w:p>
        </w:tc>
        <w:tc>
          <w:tcPr>
            <w:tcW w:w="975" w:type="pct"/>
            <w:noWrap/>
            <w:hideMark/>
          </w:tcPr>
          <w:p w14:paraId="126AA706" w14:textId="41BD407A"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77</w:t>
            </w:r>
          </w:p>
        </w:tc>
        <w:tc>
          <w:tcPr>
            <w:tcW w:w="975" w:type="pct"/>
            <w:noWrap/>
            <w:hideMark/>
          </w:tcPr>
          <w:p w14:paraId="20964D0D" w14:textId="27CD2D05"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13,065</w:t>
            </w:r>
          </w:p>
        </w:tc>
        <w:tc>
          <w:tcPr>
            <w:tcW w:w="975" w:type="pct"/>
            <w:noWrap/>
            <w:hideMark/>
          </w:tcPr>
          <w:p w14:paraId="4116A438" w14:textId="3EF041CB"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5,859</w:t>
            </w:r>
          </w:p>
        </w:tc>
        <w:tc>
          <w:tcPr>
            <w:tcW w:w="974" w:type="pct"/>
            <w:noWrap/>
            <w:hideMark/>
          </w:tcPr>
          <w:p w14:paraId="1CA6D089" w14:textId="77777777"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6%</w:t>
            </w:r>
          </w:p>
        </w:tc>
      </w:tr>
      <w:tr w:rsidR="00CF1AB0" w:rsidRPr="00F0216C" w14:paraId="5FAABC4D"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61D22A0E" w14:textId="77777777" w:rsidR="00CF1AB0" w:rsidRPr="003E0852" w:rsidRDefault="00CF1AB0" w:rsidP="00C54C72">
            <w:pPr>
              <w:keepNext/>
              <w:keepLines/>
              <w:jc w:val="left"/>
              <w:rPr>
                <w:rFonts w:eastAsia="Times New Roman"/>
                <w:color w:val="19172B"/>
                <w:szCs w:val="20"/>
              </w:rPr>
            </w:pPr>
            <w:r w:rsidRPr="003E0852">
              <w:rPr>
                <w:rFonts w:eastAsia="Times New Roman"/>
                <w:color w:val="19172B"/>
                <w:szCs w:val="20"/>
              </w:rPr>
              <w:t xml:space="preserve"> Mobile Home </w:t>
            </w:r>
          </w:p>
        </w:tc>
        <w:tc>
          <w:tcPr>
            <w:tcW w:w="975" w:type="pct"/>
            <w:noWrap/>
            <w:hideMark/>
          </w:tcPr>
          <w:p w14:paraId="56A44DF3" w14:textId="2EBC718C"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115</w:t>
            </w:r>
          </w:p>
        </w:tc>
        <w:tc>
          <w:tcPr>
            <w:tcW w:w="975" w:type="pct"/>
            <w:noWrap/>
            <w:hideMark/>
          </w:tcPr>
          <w:p w14:paraId="784F4E92" w14:textId="191546B0"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8,275</w:t>
            </w:r>
          </w:p>
        </w:tc>
        <w:tc>
          <w:tcPr>
            <w:tcW w:w="975" w:type="pct"/>
            <w:noWrap/>
            <w:hideMark/>
          </w:tcPr>
          <w:p w14:paraId="15863B71" w14:textId="6998E21A"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13,906</w:t>
            </w:r>
          </w:p>
        </w:tc>
        <w:tc>
          <w:tcPr>
            <w:tcW w:w="974" w:type="pct"/>
            <w:noWrap/>
            <w:hideMark/>
          </w:tcPr>
          <w:p w14:paraId="59A31007" w14:textId="77777777"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9%</w:t>
            </w:r>
          </w:p>
        </w:tc>
      </w:tr>
      <w:tr w:rsidR="00CF1AB0" w:rsidRPr="00F0216C" w14:paraId="11A43FDE"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005CC730" w14:textId="77777777" w:rsidR="00CF1AB0" w:rsidRPr="003E0852" w:rsidRDefault="00CF1AB0" w:rsidP="00C54C72">
            <w:pPr>
              <w:keepNext/>
              <w:keepLines/>
              <w:jc w:val="left"/>
              <w:rPr>
                <w:rFonts w:eastAsia="Times New Roman"/>
                <w:color w:val="19172B"/>
                <w:szCs w:val="20"/>
              </w:rPr>
            </w:pPr>
            <w:r w:rsidRPr="003E0852">
              <w:rPr>
                <w:rFonts w:eastAsia="Times New Roman"/>
                <w:color w:val="19172B"/>
                <w:szCs w:val="20"/>
              </w:rPr>
              <w:t xml:space="preserve"> LI - Single Family </w:t>
            </w:r>
          </w:p>
        </w:tc>
        <w:tc>
          <w:tcPr>
            <w:tcW w:w="975" w:type="pct"/>
            <w:noWrap/>
            <w:hideMark/>
          </w:tcPr>
          <w:p w14:paraId="02521B89" w14:textId="57839C7A"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119</w:t>
            </w:r>
          </w:p>
        </w:tc>
        <w:tc>
          <w:tcPr>
            <w:tcW w:w="975" w:type="pct"/>
            <w:noWrap/>
            <w:hideMark/>
          </w:tcPr>
          <w:p w14:paraId="22F718DC" w14:textId="5A31BE15"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9,913</w:t>
            </w:r>
          </w:p>
        </w:tc>
        <w:tc>
          <w:tcPr>
            <w:tcW w:w="975" w:type="pct"/>
            <w:noWrap/>
            <w:hideMark/>
          </w:tcPr>
          <w:p w14:paraId="7C8179B6" w14:textId="1BE320DB"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11,956</w:t>
            </w:r>
          </w:p>
        </w:tc>
        <w:tc>
          <w:tcPr>
            <w:tcW w:w="974" w:type="pct"/>
            <w:noWrap/>
            <w:hideMark/>
          </w:tcPr>
          <w:p w14:paraId="0E273837" w14:textId="77777777"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9%</w:t>
            </w:r>
          </w:p>
        </w:tc>
      </w:tr>
      <w:tr w:rsidR="00CF1AB0" w:rsidRPr="00F0216C" w14:paraId="6EBED8D8"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6E23A8BB" w14:textId="77777777" w:rsidR="00CF1AB0" w:rsidRPr="003E0852" w:rsidRDefault="00CF1AB0" w:rsidP="00C54C72">
            <w:pPr>
              <w:keepNext/>
              <w:keepLines/>
              <w:jc w:val="left"/>
              <w:rPr>
                <w:rFonts w:eastAsia="Times New Roman"/>
                <w:color w:val="19172B"/>
                <w:szCs w:val="20"/>
              </w:rPr>
            </w:pPr>
            <w:r w:rsidRPr="003E0852">
              <w:rPr>
                <w:rFonts w:eastAsia="Times New Roman"/>
                <w:color w:val="19172B"/>
                <w:szCs w:val="20"/>
              </w:rPr>
              <w:t xml:space="preserve"> LI - Multi-Family </w:t>
            </w:r>
          </w:p>
        </w:tc>
        <w:tc>
          <w:tcPr>
            <w:tcW w:w="975" w:type="pct"/>
            <w:noWrap/>
            <w:hideMark/>
          </w:tcPr>
          <w:p w14:paraId="690CF8EE" w14:textId="3112D2E4"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47</w:t>
            </w:r>
          </w:p>
        </w:tc>
        <w:tc>
          <w:tcPr>
            <w:tcW w:w="975" w:type="pct"/>
            <w:noWrap/>
            <w:hideMark/>
          </w:tcPr>
          <w:p w14:paraId="31B6AAFD" w14:textId="0D95EAF9"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6,890</w:t>
            </w:r>
          </w:p>
        </w:tc>
        <w:tc>
          <w:tcPr>
            <w:tcW w:w="975" w:type="pct"/>
            <w:noWrap/>
            <w:hideMark/>
          </w:tcPr>
          <w:p w14:paraId="47CA6E4C" w14:textId="587525C9"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6,849</w:t>
            </w:r>
          </w:p>
        </w:tc>
        <w:tc>
          <w:tcPr>
            <w:tcW w:w="974" w:type="pct"/>
            <w:noWrap/>
            <w:hideMark/>
          </w:tcPr>
          <w:p w14:paraId="3BF630E7" w14:textId="77777777"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3E0852">
              <w:rPr>
                <w:rFonts w:eastAsia="Times New Roman"/>
                <w:color w:val="19172B"/>
                <w:szCs w:val="20"/>
              </w:rPr>
              <w:t>4%</w:t>
            </w:r>
          </w:p>
        </w:tc>
      </w:tr>
      <w:tr w:rsidR="00CF1AB0" w:rsidRPr="00F0216C" w14:paraId="3B54E588"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35D46E07" w14:textId="1652D1E3" w:rsidR="00CF1AB0" w:rsidRPr="003E0852" w:rsidRDefault="00CF1AB0" w:rsidP="00C54C72">
            <w:pPr>
              <w:keepNext/>
              <w:keepLines/>
              <w:jc w:val="left"/>
              <w:rPr>
                <w:rFonts w:eastAsia="Times New Roman"/>
                <w:color w:val="19172B"/>
                <w:szCs w:val="20"/>
              </w:rPr>
            </w:pPr>
            <w:r w:rsidRPr="003E0852">
              <w:rPr>
                <w:rFonts w:eastAsia="Times New Roman"/>
                <w:color w:val="19172B"/>
                <w:szCs w:val="20"/>
              </w:rPr>
              <w:t xml:space="preserve"> LI - Mobile Home</w:t>
            </w:r>
          </w:p>
        </w:tc>
        <w:tc>
          <w:tcPr>
            <w:tcW w:w="975" w:type="pct"/>
            <w:noWrap/>
            <w:hideMark/>
          </w:tcPr>
          <w:p w14:paraId="318DD9E9" w14:textId="695A46C2"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28</w:t>
            </w:r>
          </w:p>
        </w:tc>
        <w:tc>
          <w:tcPr>
            <w:tcW w:w="975" w:type="pct"/>
            <w:noWrap/>
            <w:hideMark/>
          </w:tcPr>
          <w:p w14:paraId="29ED918B" w14:textId="4F1AAB59"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2,148</w:t>
            </w:r>
          </w:p>
        </w:tc>
        <w:tc>
          <w:tcPr>
            <w:tcW w:w="975" w:type="pct"/>
            <w:noWrap/>
            <w:hideMark/>
          </w:tcPr>
          <w:p w14:paraId="19F5496E" w14:textId="39F704DC"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13,265</w:t>
            </w:r>
          </w:p>
        </w:tc>
        <w:tc>
          <w:tcPr>
            <w:tcW w:w="974" w:type="pct"/>
            <w:noWrap/>
            <w:hideMark/>
          </w:tcPr>
          <w:p w14:paraId="720EC2D2" w14:textId="77777777" w:rsidR="00CF1AB0" w:rsidRPr="003E0852" w:rsidRDefault="00CF1AB0" w:rsidP="00FF4586">
            <w:pPr>
              <w:keepNext/>
              <w:keepLines/>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3E0852">
              <w:rPr>
                <w:rFonts w:eastAsia="Times New Roman"/>
                <w:color w:val="19172B"/>
                <w:szCs w:val="20"/>
              </w:rPr>
              <w:t>2%</w:t>
            </w:r>
          </w:p>
        </w:tc>
      </w:tr>
      <w:tr w:rsidR="00CF1AB0" w:rsidRPr="00F0216C" w14:paraId="1B9AE88F"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1101" w:type="pct"/>
            <w:noWrap/>
            <w:hideMark/>
          </w:tcPr>
          <w:p w14:paraId="7F002875" w14:textId="6DEEA4FA" w:rsidR="00CF1AB0" w:rsidRPr="003E0852" w:rsidRDefault="00CF1AB0" w:rsidP="00FF4586">
            <w:pPr>
              <w:keepNext/>
              <w:keepLines/>
              <w:jc w:val="left"/>
              <w:rPr>
                <w:rFonts w:asciiTheme="majorHAnsi" w:eastAsia="Times New Roman" w:hAnsiTheme="majorHAnsi"/>
                <w:color w:val="19172B"/>
                <w:szCs w:val="20"/>
              </w:rPr>
            </w:pPr>
            <w:r w:rsidRPr="003E0852">
              <w:rPr>
                <w:rFonts w:asciiTheme="majorHAnsi" w:eastAsia="Times New Roman" w:hAnsiTheme="majorHAnsi"/>
                <w:color w:val="19172B"/>
                <w:szCs w:val="20"/>
              </w:rPr>
              <w:t>Total</w:t>
            </w:r>
          </w:p>
        </w:tc>
        <w:tc>
          <w:tcPr>
            <w:tcW w:w="975" w:type="pct"/>
            <w:noWrap/>
            <w:hideMark/>
          </w:tcPr>
          <w:p w14:paraId="441D08C4" w14:textId="2602CCC5"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3E0852">
              <w:rPr>
                <w:rFonts w:asciiTheme="majorHAnsi" w:eastAsia="Times New Roman" w:hAnsiTheme="majorHAnsi"/>
                <w:color w:val="19172B"/>
                <w:szCs w:val="20"/>
              </w:rPr>
              <w:t>1,320</w:t>
            </w:r>
          </w:p>
        </w:tc>
        <w:tc>
          <w:tcPr>
            <w:tcW w:w="975" w:type="pct"/>
            <w:noWrap/>
            <w:hideMark/>
          </w:tcPr>
          <w:p w14:paraId="28E60F36" w14:textId="5EEDA786"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3E0852">
              <w:rPr>
                <w:rFonts w:asciiTheme="majorHAnsi" w:eastAsia="Times New Roman" w:hAnsiTheme="majorHAnsi"/>
                <w:color w:val="19172B"/>
                <w:szCs w:val="20"/>
              </w:rPr>
              <w:t>120,131</w:t>
            </w:r>
          </w:p>
        </w:tc>
        <w:tc>
          <w:tcPr>
            <w:tcW w:w="975" w:type="pct"/>
            <w:noWrap/>
            <w:hideMark/>
          </w:tcPr>
          <w:p w14:paraId="1CE25373" w14:textId="704589DD"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3E0852">
              <w:rPr>
                <w:rFonts w:asciiTheme="majorHAnsi" w:eastAsia="Times New Roman" w:hAnsiTheme="majorHAnsi"/>
                <w:color w:val="19172B"/>
                <w:szCs w:val="20"/>
              </w:rPr>
              <w:t>10,986</w:t>
            </w:r>
          </w:p>
        </w:tc>
        <w:tc>
          <w:tcPr>
            <w:tcW w:w="974" w:type="pct"/>
            <w:noWrap/>
            <w:hideMark/>
          </w:tcPr>
          <w:p w14:paraId="31A82B89" w14:textId="77777777" w:rsidR="00CF1AB0" w:rsidRPr="003E0852" w:rsidRDefault="00CF1AB0" w:rsidP="00FF4586">
            <w:pPr>
              <w:keepNext/>
              <w:keepLine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3E0852">
              <w:rPr>
                <w:rFonts w:asciiTheme="majorHAnsi" w:eastAsia="Times New Roman" w:hAnsiTheme="majorHAnsi"/>
                <w:color w:val="19172B"/>
                <w:szCs w:val="20"/>
              </w:rPr>
              <w:t>100%</w:t>
            </w:r>
          </w:p>
        </w:tc>
      </w:tr>
    </w:tbl>
    <w:p w14:paraId="20D87BDC" w14:textId="77777777" w:rsidR="003F3A1D" w:rsidRPr="00F8466E" w:rsidRDefault="003F3A1D" w:rsidP="00F8466E">
      <w:pPr>
        <w:pStyle w:val="AEGBody"/>
      </w:pPr>
    </w:p>
    <w:p w14:paraId="42637841" w14:textId="5EB44BFF" w:rsidR="00231696" w:rsidRPr="00F8466E" w:rsidRDefault="009E20BD" w:rsidP="00F8466E">
      <w:pPr>
        <w:pStyle w:val="AEGBody"/>
      </w:pPr>
      <w:r>
        <w:fldChar w:fldCharType="begin"/>
      </w:r>
      <w:r>
        <w:instrText xml:space="preserve"> REF _Ref175811657 \h </w:instrText>
      </w:r>
      <w:r>
        <w:fldChar w:fldCharType="separate"/>
      </w:r>
      <w:r>
        <w:t xml:space="preserve">Figure </w:t>
      </w:r>
      <w:r>
        <w:rPr>
          <w:noProof/>
        </w:rPr>
        <w:t>3</w:t>
      </w:r>
      <w:r>
        <w:noBreakHyphen/>
      </w:r>
      <w:r>
        <w:rPr>
          <w:noProof/>
        </w:rPr>
        <w:t>3</w:t>
      </w:r>
      <w:r>
        <w:fldChar w:fldCharType="end"/>
      </w:r>
      <w:r w:rsidR="00231696" w:rsidRPr="00F8466E">
        <w:t xml:space="preserve"> and </w:t>
      </w:r>
      <w:r>
        <w:fldChar w:fldCharType="begin"/>
      </w:r>
      <w:r>
        <w:instrText xml:space="preserve"> REF _Ref175811673 \h </w:instrText>
      </w:r>
      <w:r>
        <w:fldChar w:fldCharType="separate"/>
      </w:r>
      <w:r>
        <w:t xml:space="preserve">Figure </w:t>
      </w:r>
      <w:r>
        <w:rPr>
          <w:noProof/>
        </w:rPr>
        <w:t>3</w:t>
      </w:r>
      <w:r>
        <w:noBreakHyphen/>
      </w:r>
      <w:r>
        <w:rPr>
          <w:noProof/>
        </w:rPr>
        <w:t>4</w:t>
      </w:r>
      <w:r>
        <w:fldChar w:fldCharType="end"/>
      </w:r>
      <w:r w:rsidR="00D102FF">
        <w:t xml:space="preserve"> </w:t>
      </w:r>
      <w:r w:rsidR="00231696" w:rsidRPr="00F8466E">
        <w:t>show the distribution of annual electricity use by end use for all customers in Washington and Idaho, respectively. Two main electricity end uses —space heating and miscellaneous— account for approximately 50% of total usage. Miscellaneous includes furnace fans, pool pumps, electric vehicles, and other “plug” loads (all other usages, such as hair dryers, power tools, coffee makers, etc.). The figures show estimates of winter peak demand by end use. As expected, space heating is the largest contributor to winter peak demand, followed by miscellaneous</w:t>
      </w:r>
      <w:r w:rsidR="00F8466E" w:rsidRPr="00F8466E">
        <w:t>,</w:t>
      </w:r>
      <w:r w:rsidR="00231696" w:rsidRPr="00F8466E">
        <w:t xml:space="preserve"> water heating</w:t>
      </w:r>
      <w:r w:rsidR="00F8466E" w:rsidRPr="00F8466E">
        <w:t>,</w:t>
      </w:r>
      <w:r w:rsidR="00231696" w:rsidRPr="00F8466E">
        <w:t xml:space="preserve"> and lighting. </w:t>
      </w:r>
    </w:p>
    <w:p w14:paraId="5213F3BE" w14:textId="1C655E0C" w:rsidR="00332C0F" w:rsidRPr="00F8466E" w:rsidRDefault="009E20BD" w:rsidP="00F8466E">
      <w:pPr>
        <w:pStyle w:val="AEGBody"/>
      </w:pPr>
      <w:r>
        <w:fldChar w:fldCharType="begin"/>
      </w:r>
      <w:r>
        <w:instrText xml:space="preserve"> REF _Ref175811684 \h </w:instrText>
      </w:r>
      <w:r>
        <w:fldChar w:fldCharType="separate"/>
      </w:r>
      <w:r>
        <w:t xml:space="preserve">Figure </w:t>
      </w:r>
      <w:r>
        <w:rPr>
          <w:noProof/>
        </w:rPr>
        <w:t>3</w:t>
      </w:r>
      <w:r>
        <w:noBreakHyphen/>
      </w:r>
      <w:r>
        <w:rPr>
          <w:noProof/>
        </w:rPr>
        <w:t>5</w:t>
      </w:r>
      <w:r>
        <w:fldChar w:fldCharType="end"/>
      </w:r>
      <w:r w:rsidR="00D102FF">
        <w:t xml:space="preserve"> </w:t>
      </w:r>
      <w:r w:rsidR="00231696" w:rsidRPr="00F8466E">
        <w:t xml:space="preserve">and </w:t>
      </w:r>
      <w:r>
        <w:fldChar w:fldCharType="begin"/>
      </w:r>
      <w:r>
        <w:instrText xml:space="preserve"> REF _Ref175811689 \h </w:instrText>
      </w:r>
      <w:r>
        <w:fldChar w:fldCharType="separate"/>
      </w:r>
      <w:r>
        <w:t xml:space="preserve">Figure </w:t>
      </w:r>
      <w:r>
        <w:rPr>
          <w:noProof/>
        </w:rPr>
        <w:t>3</w:t>
      </w:r>
      <w:r>
        <w:noBreakHyphen/>
      </w:r>
      <w:r>
        <w:rPr>
          <w:noProof/>
        </w:rPr>
        <w:t>6</w:t>
      </w:r>
      <w:r>
        <w:fldChar w:fldCharType="end"/>
      </w:r>
      <w:r w:rsidR="00D102FF">
        <w:t xml:space="preserve"> </w:t>
      </w:r>
      <w:r w:rsidR="00231696" w:rsidRPr="00F8466E">
        <w:t xml:space="preserve">present the electricity intensities by end use and housing type for Washington and Idaho, respectively. Mobile homes have the highest use per customer at </w:t>
      </w:r>
      <w:r w:rsidR="00F8466E" w:rsidRPr="00F8466E">
        <w:t xml:space="preserve">17,754 </w:t>
      </w:r>
      <w:r w:rsidR="00231696" w:rsidRPr="00F8466E">
        <w:t>kWh/year in Washington and 13,9</w:t>
      </w:r>
      <w:r w:rsidR="00F8466E" w:rsidRPr="00F8466E">
        <w:t>0</w:t>
      </w:r>
      <w:r w:rsidR="00231696" w:rsidRPr="00F8466E">
        <w:t>6 kWh/year in Idaho.</w:t>
      </w:r>
    </w:p>
    <w:p w14:paraId="527907B5" w14:textId="77777777" w:rsidR="00332C0F" w:rsidRDefault="00332C0F" w:rsidP="00F0216C">
      <w:pPr>
        <w:pStyle w:val="AEGBody"/>
        <w:rPr>
          <w:lang w:eastAsia="ja-JP"/>
        </w:rPr>
      </w:pPr>
    </w:p>
    <w:p w14:paraId="3AB6D991" w14:textId="77777777" w:rsidR="00332C0F" w:rsidRDefault="00332C0F" w:rsidP="00F0216C">
      <w:pPr>
        <w:pStyle w:val="AEGBody"/>
        <w:rPr>
          <w:lang w:eastAsia="ja-JP"/>
        </w:rPr>
      </w:pPr>
    </w:p>
    <w:p w14:paraId="5EE7243A" w14:textId="77777777" w:rsidR="00332C0F" w:rsidRDefault="00332C0F" w:rsidP="00F0216C">
      <w:pPr>
        <w:pStyle w:val="AEGBody"/>
        <w:rPr>
          <w:lang w:eastAsia="ja-JP"/>
        </w:rPr>
      </w:pPr>
    </w:p>
    <w:p w14:paraId="2A68987D" w14:textId="77777777" w:rsidR="00332C0F" w:rsidRDefault="00332C0F" w:rsidP="00F0216C">
      <w:pPr>
        <w:pStyle w:val="AEGBody"/>
        <w:rPr>
          <w:lang w:eastAsia="ja-JP"/>
        </w:rPr>
      </w:pPr>
    </w:p>
    <w:p w14:paraId="14A4DEB3" w14:textId="77777777" w:rsidR="00332C0F" w:rsidRDefault="00332C0F" w:rsidP="00F0216C">
      <w:pPr>
        <w:pStyle w:val="AEGBody"/>
        <w:rPr>
          <w:lang w:eastAsia="ja-JP"/>
        </w:rPr>
      </w:pPr>
    </w:p>
    <w:p w14:paraId="6955B8E4" w14:textId="77777777" w:rsidR="00332C0F" w:rsidRDefault="00332C0F" w:rsidP="00F0216C">
      <w:pPr>
        <w:pStyle w:val="AEGBody"/>
        <w:rPr>
          <w:lang w:eastAsia="ja-JP"/>
        </w:rPr>
      </w:pPr>
    </w:p>
    <w:p w14:paraId="3D42C369" w14:textId="77777777" w:rsidR="00332C0F" w:rsidRDefault="00332C0F" w:rsidP="00F0216C">
      <w:pPr>
        <w:pStyle w:val="AEGBody"/>
        <w:rPr>
          <w:lang w:eastAsia="ja-JP"/>
        </w:rPr>
      </w:pPr>
    </w:p>
    <w:p w14:paraId="13820C4F" w14:textId="77777777" w:rsidR="00332C0F" w:rsidRDefault="00332C0F" w:rsidP="00F0216C">
      <w:pPr>
        <w:pStyle w:val="AEGBody"/>
        <w:rPr>
          <w:lang w:eastAsia="ja-JP"/>
        </w:rPr>
      </w:pPr>
    </w:p>
    <w:p w14:paraId="29D77074" w14:textId="77777777" w:rsidR="00B77C15" w:rsidRDefault="00B77C15" w:rsidP="00F0216C">
      <w:pPr>
        <w:pStyle w:val="AEGBody"/>
        <w:rPr>
          <w:lang w:eastAsia="ja-JP"/>
        </w:rPr>
      </w:pPr>
    </w:p>
    <w:p w14:paraId="791107BD" w14:textId="283BD014" w:rsidR="00414BD8" w:rsidRDefault="00414BD8" w:rsidP="00414BD8">
      <w:pPr>
        <w:pStyle w:val="FigureorTableCaption"/>
      </w:pPr>
      <w:bookmarkStart w:id="52" w:name="_Ref175811657"/>
      <w:bookmarkStart w:id="53" w:name="_Toc175904424"/>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3</w:t>
      </w:r>
      <w:r w:rsidR="000E34CB">
        <w:fldChar w:fldCharType="end"/>
      </w:r>
      <w:bookmarkEnd w:id="52"/>
      <w:r w:rsidR="00015121">
        <w:t xml:space="preserve"> </w:t>
      </w:r>
      <w:r w:rsidRPr="00A342B0">
        <w:t>Residential Electricity Use and Winter Peak Demand by End Use, Washington</w:t>
      </w:r>
      <w:bookmarkEnd w:id="53"/>
    </w:p>
    <w:p w14:paraId="7BB7F3C4" w14:textId="4FA68A02" w:rsidR="00B77C15" w:rsidRDefault="00B77C15" w:rsidP="001021E1">
      <w:pPr>
        <w:pStyle w:val="AEGBody"/>
        <w:jc w:val="center"/>
        <w:rPr>
          <w:lang w:eastAsia="ja-JP"/>
        </w:rPr>
      </w:pPr>
      <w:r>
        <w:rPr>
          <w:noProof/>
        </w:rPr>
        <w:drawing>
          <wp:inline distT="0" distB="0" distL="0" distR="0" wp14:anchorId="05A82FF7" wp14:editId="24FA4602">
            <wp:extent cx="2923540" cy="2592475"/>
            <wp:effectExtent l="0" t="0" r="0" b="0"/>
            <wp:docPr id="2124510726" name="Chart 1">
              <a:extLst xmlns:a="http://schemas.openxmlformats.org/drawingml/2006/main">
                <a:ext uri="{FF2B5EF4-FFF2-40B4-BE49-F238E27FC236}">
                  <a16:creationId xmlns:a16="http://schemas.microsoft.com/office/drawing/2014/main" id="{A8CF2BC0-0977-769E-90B8-DD2B30C080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FF01E0">
        <w:rPr>
          <w:noProof/>
        </w:rPr>
        <w:drawing>
          <wp:inline distT="0" distB="0" distL="0" distR="0" wp14:anchorId="4C7424C6" wp14:editId="3B6805C0">
            <wp:extent cx="2883877" cy="2601595"/>
            <wp:effectExtent l="0" t="0" r="0" b="0"/>
            <wp:docPr id="52694225" name="Chart 1">
              <a:extLst xmlns:a="http://schemas.openxmlformats.org/drawingml/2006/main">
                <a:ext uri="{FF2B5EF4-FFF2-40B4-BE49-F238E27FC236}">
                  <a16:creationId xmlns:a16="http://schemas.microsoft.com/office/drawing/2014/main" id="{50DFA51B-2112-4209-8ED5-A9D6A9ADA2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2B247C4" w14:textId="1AFAA386" w:rsidR="00B77C15" w:rsidRDefault="00B77C15" w:rsidP="00F0216C">
      <w:pPr>
        <w:pStyle w:val="AEGBody"/>
        <w:rPr>
          <w:lang w:eastAsia="ja-JP"/>
        </w:rPr>
      </w:pPr>
    </w:p>
    <w:p w14:paraId="7F26DB56" w14:textId="77777777" w:rsidR="00B77C15" w:rsidRDefault="00B77C15" w:rsidP="00F0216C">
      <w:pPr>
        <w:pStyle w:val="AEGBody"/>
        <w:rPr>
          <w:lang w:eastAsia="ja-JP"/>
        </w:rPr>
      </w:pPr>
    </w:p>
    <w:p w14:paraId="038F324D" w14:textId="2FC64C94" w:rsidR="00414BD8" w:rsidRDefault="00414BD8" w:rsidP="00414BD8">
      <w:pPr>
        <w:pStyle w:val="Caption"/>
      </w:pPr>
      <w:bookmarkStart w:id="54" w:name="_Ref175811673"/>
      <w:bookmarkStart w:id="55" w:name="_Toc175904425"/>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4</w:t>
      </w:r>
      <w:r w:rsidR="000E34CB">
        <w:fldChar w:fldCharType="end"/>
      </w:r>
      <w:bookmarkEnd w:id="54"/>
      <w:r w:rsidR="00015121">
        <w:t xml:space="preserve"> </w:t>
      </w:r>
      <w:r w:rsidRPr="00EA252B">
        <w:t>Residential Electricity Use and Winter Peak Demand by End Use, Idaho</w:t>
      </w:r>
      <w:bookmarkEnd w:id="55"/>
    </w:p>
    <w:p w14:paraId="77E00BD2" w14:textId="765C4F27" w:rsidR="00B77C15" w:rsidRDefault="00B77C15" w:rsidP="001021E1">
      <w:pPr>
        <w:pStyle w:val="AEGBody"/>
        <w:jc w:val="center"/>
        <w:rPr>
          <w:lang w:eastAsia="ja-JP"/>
        </w:rPr>
      </w:pPr>
      <w:r>
        <w:rPr>
          <w:noProof/>
        </w:rPr>
        <w:drawing>
          <wp:inline distT="0" distB="0" distL="0" distR="0" wp14:anchorId="0CF2831F" wp14:editId="0F75D025">
            <wp:extent cx="2873375" cy="2512088"/>
            <wp:effectExtent l="0" t="0" r="3175" b="2540"/>
            <wp:docPr id="1840449304" name="Chart 1">
              <a:extLst xmlns:a="http://schemas.openxmlformats.org/drawingml/2006/main">
                <a:ext uri="{FF2B5EF4-FFF2-40B4-BE49-F238E27FC236}">
                  <a16:creationId xmlns:a16="http://schemas.microsoft.com/office/drawing/2014/main" id="{A8CF2BC0-0977-769E-90B8-DD2B30C080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F13208">
        <w:rPr>
          <w:noProof/>
        </w:rPr>
        <w:drawing>
          <wp:inline distT="0" distB="0" distL="0" distR="0" wp14:anchorId="45FCF217" wp14:editId="721DD5AC">
            <wp:extent cx="2762885" cy="2511013"/>
            <wp:effectExtent l="0" t="0" r="0" b="3810"/>
            <wp:docPr id="388952010" name="Chart 1">
              <a:extLst xmlns:a="http://schemas.openxmlformats.org/drawingml/2006/main">
                <a:ext uri="{FF2B5EF4-FFF2-40B4-BE49-F238E27FC236}">
                  <a16:creationId xmlns:a16="http://schemas.microsoft.com/office/drawing/2014/main" id="{50DFA51B-2112-4209-8ED5-A9D6A9ADA2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FA5F1BB" w14:textId="77777777" w:rsidR="00602922" w:rsidRDefault="00602922" w:rsidP="00F0216C">
      <w:pPr>
        <w:pStyle w:val="AEGBody"/>
        <w:rPr>
          <w:lang w:eastAsia="ja-JP"/>
        </w:rPr>
      </w:pPr>
    </w:p>
    <w:p w14:paraId="4319A87B" w14:textId="7A4DCCA2" w:rsidR="00414BD8" w:rsidRDefault="00414BD8" w:rsidP="00414BD8">
      <w:pPr>
        <w:pStyle w:val="FigureorTableCaption"/>
      </w:pPr>
      <w:bookmarkStart w:id="56" w:name="_Ref175811684"/>
      <w:bookmarkStart w:id="57" w:name="_Toc175904426"/>
      <w:r>
        <w:lastRenderedPageBreak/>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5</w:t>
      </w:r>
      <w:r w:rsidR="000E34CB">
        <w:fldChar w:fldCharType="end"/>
      </w:r>
      <w:bookmarkEnd w:id="56"/>
      <w:r w:rsidR="00015121">
        <w:t xml:space="preserve"> </w:t>
      </w:r>
      <w:r w:rsidRPr="00582C03">
        <w:t>Residential Intensity by End Use and Segment, Washington</w:t>
      </w:r>
      <w:bookmarkEnd w:id="57"/>
    </w:p>
    <w:p w14:paraId="3B529453" w14:textId="1A188FEF" w:rsidR="003E1F7D" w:rsidRDefault="009C4AF0" w:rsidP="001021E1">
      <w:pPr>
        <w:pStyle w:val="AEGBody"/>
        <w:jc w:val="center"/>
        <w:rPr>
          <w:lang w:eastAsia="ja-JP"/>
        </w:rPr>
      </w:pPr>
      <w:r>
        <w:rPr>
          <w:noProof/>
        </w:rPr>
        <w:drawing>
          <wp:inline distT="0" distB="0" distL="0" distR="0" wp14:anchorId="3B5672F4" wp14:editId="08BD7F42">
            <wp:extent cx="5829300" cy="3213100"/>
            <wp:effectExtent l="0" t="0" r="0" b="6350"/>
            <wp:docPr id="1477606274" name="Chart 1">
              <a:extLst xmlns:a="http://schemas.openxmlformats.org/drawingml/2006/main">
                <a:ext uri="{FF2B5EF4-FFF2-40B4-BE49-F238E27FC236}">
                  <a16:creationId xmlns:a16="http://schemas.microsoft.com/office/drawing/2014/main" id="{969C68ED-CC59-400C-9F0B-4D73284C98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81BAEB3" w14:textId="654BE50E" w:rsidR="00414BD8" w:rsidRDefault="00414BD8" w:rsidP="00414BD8">
      <w:pPr>
        <w:pStyle w:val="FigureorTableCaption"/>
      </w:pPr>
      <w:bookmarkStart w:id="58" w:name="_Ref175811689"/>
      <w:bookmarkStart w:id="59" w:name="_Toc175904427"/>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6</w:t>
      </w:r>
      <w:r w:rsidR="000E34CB">
        <w:fldChar w:fldCharType="end"/>
      </w:r>
      <w:bookmarkEnd w:id="58"/>
      <w:r w:rsidR="00015121">
        <w:t xml:space="preserve"> </w:t>
      </w:r>
      <w:r w:rsidRPr="00AF1522">
        <w:t>Residential Intensity by End Use and Segment, Idaho</w:t>
      </w:r>
      <w:bookmarkEnd w:id="59"/>
    </w:p>
    <w:p w14:paraId="2A0809D2" w14:textId="75708375" w:rsidR="003E1F7D" w:rsidRDefault="009C4AF0" w:rsidP="001021E1">
      <w:pPr>
        <w:pStyle w:val="AEGBody"/>
        <w:jc w:val="center"/>
        <w:rPr>
          <w:lang w:eastAsia="ja-JP"/>
        </w:rPr>
      </w:pPr>
      <w:r>
        <w:rPr>
          <w:noProof/>
        </w:rPr>
        <w:drawing>
          <wp:inline distT="0" distB="0" distL="0" distR="0" wp14:anchorId="78700F25" wp14:editId="4C3D0631">
            <wp:extent cx="5829300" cy="3213100"/>
            <wp:effectExtent l="0" t="0" r="0" b="6350"/>
            <wp:docPr id="2112664182" name="Chart 1">
              <a:extLst xmlns:a="http://schemas.openxmlformats.org/drawingml/2006/main">
                <a:ext uri="{FF2B5EF4-FFF2-40B4-BE49-F238E27FC236}">
                  <a16:creationId xmlns:a16="http://schemas.microsoft.com/office/drawing/2014/main" id="{969C68ED-CC59-400C-9F0B-4D73284C98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A81BAC4" w14:textId="77777777" w:rsidR="00A81696" w:rsidRPr="00F0216C" w:rsidRDefault="00A81696" w:rsidP="00F0216C">
      <w:pPr>
        <w:pStyle w:val="AEGBody"/>
        <w:rPr>
          <w:lang w:eastAsia="ja-JP"/>
        </w:rPr>
      </w:pPr>
    </w:p>
    <w:p w14:paraId="30458C26" w14:textId="08FD740E" w:rsidR="00F0216C" w:rsidRDefault="007563CF" w:rsidP="009875ED">
      <w:pPr>
        <w:pStyle w:val="Heading2"/>
      </w:pPr>
      <w:bookmarkStart w:id="60" w:name="_Toc175904864"/>
      <w:r>
        <w:t>Commercial Sector</w:t>
      </w:r>
      <w:bookmarkEnd w:id="60"/>
    </w:p>
    <w:p w14:paraId="2763642C" w14:textId="5CBF4C60" w:rsidR="00417FE3" w:rsidRPr="00417FE3" w:rsidRDefault="00417FE3" w:rsidP="00417FE3">
      <w:pPr>
        <w:pStyle w:val="AEGBody"/>
      </w:pPr>
      <w:r w:rsidRPr="00417FE3">
        <w:t xml:space="preserve">The total electric energy consumed by commercial customers in </w:t>
      </w:r>
      <w:r w:rsidR="00057F72" w:rsidRPr="00907AF1">
        <w:t>202</w:t>
      </w:r>
      <w:r w:rsidR="00057F72">
        <w:t>1</w:t>
      </w:r>
      <w:r w:rsidR="00057F72" w:rsidRPr="00417FE3">
        <w:t xml:space="preserve"> </w:t>
      </w:r>
      <w:r w:rsidRPr="00417FE3">
        <w:t>was 2,0</w:t>
      </w:r>
      <w:r>
        <w:t>75</w:t>
      </w:r>
      <w:r w:rsidRPr="00417FE3">
        <w:t xml:space="preserve"> GWh in Washington and 98</w:t>
      </w:r>
      <w:r>
        <w:t>6</w:t>
      </w:r>
      <w:r w:rsidRPr="00417FE3">
        <w:t xml:space="preserve"> GWh in Idaho. Avista billing data, CBSA, and secondary data were used to allocate this energy usage to building type segments and to develop estimates of energy intensity (annual kWh/square foot). Using the electricity use and intensity estimates, AEG inferred floor space (the </w:t>
      </w:r>
      <w:r w:rsidRPr="00417FE3">
        <w:lastRenderedPageBreak/>
        <w:t>unit of analysis in LoadMAP for the commercial sector). The average building intensities by segment are based on regional information from the CBSA; therefore, the intensity is the same in both states. However, the overall end-use mix is different due to the different mix of building types.</w:t>
      </w:r>
    </w:p>
    <w:p w14:paraId="350DDF6B" w14:textId="086764EC" w:rsidR="00F94445" w:rsidRDefault="00F94445" w:rsidP="00F94445">
      <w:pPr>
        <w:pStyle w:val="FigureorTableCaption"/>
      </w:pPr>
      <w:bookmarkStart w:id="61" w:name="_Toc175912374"/>
      <w:r>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5</w:t>
      </w:r>
      <w:r w:rsidR="00EE4707">
        <w:fldChar w:fldCharType="end"/>
      </w:r>
      <w:r w:rsidR="00015121">
        <w:t xml:space="preserve"> </w:t>
      </w:r>
      <w:r w:rsidRPr="00E6007F">
        <w:t>Base Year Electric Consumption Summary (Control Totals), Washington</w:t>
      </w:r>
      <w:bookmarkEnd w:id="61"/>
    </w:p>
    <w:tbl>
      <w:tblPr>
        <w:tblStyle w:val="AEG-DarkBanded"/>
        <w:tblW w:w="0" w:type="auto"/>
        <w:jc w:val="center"/>
        <w:tblLayout w:type="fixed"/>
        <w:tblLook w:val="04A0" w:firstRow="1" w:lastRow="0" w:firstColumn="1" w:lastColumn="0" w:noHBand="0" w:noVBand="1"/>
      </w:tblPr>
      <w:tblGrid>
        <w:gridCol w:w="236"/>
        <w:gridCol w:w="1788"/>
        <w:gridCol w:w="1789"/>
        <w:gridCol w:w="1789"/>
        <w:gridCol w:w="1789"/>
        <w:gridCol w:w="1789"/>
      </w:tblGrid>
      <w:tr w:rsidR="007821F7" w:rsidRPr="00F94DD6" w14:paraId="45809FD6" w14:textId="77777777" w:rsidTr="00A469DF">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2" w:type="dxa"/>
            <w:noWrap/>
            <w:hideMark/>
          </w:tcPr>
          <w:p w14:paraId="4E22503F" w14:textId="77777777" w:rsidR="00F94DD6" w:rsidRPr="00F94DD6" w:rsidRDefault="00F94DD6" w:rsidP="00C54C72">
            <w:pPr>
              <w:keepNext/>
              <w:jc w:val="left"/>
              <w:rPr>
                <w:rFonts w:ascii="Calibri" w:eastAsia="Times New Roman" w:hAnsi="Calibri"/>
                <w:b w:val="0"/>
                <w:bCs/>
                <w:szCs w:val="20"/>
              </w:rPr>
            </w:pPr>
          </w:p>
        </w:tc>
        <w:tc>
          <w:tcPr>
            <w:tcW w:w="1788" w:type="dxa"/>
            <w:noWrap/>
            <w:hideMark/>
          </w:tcPr>
          <w:p w14:paraId="156D5303" w14:textId="77777777" w:rsidR="00F94DD6" w:rsidRPr="00C8636E" w:rsidRDefault="00F94DD6" w:rsidP="00C54C7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C8636E">
              <w:rPr>
                <w:rFonts w:asciiTheme="majorHAnsi" w:eastAsia="Times New Roman" w:hAnsiTheme="majorHAnsi"/>
                <w:b w:val="0"/>
                <w:szCs w:val="20"/>
              </w:rPr>
              <w:t>Segment</w:t>
            </w:r>
          </w:p>
        </w:tc>
        <w:tc>
          <w:tcPr>
            <w:tcW w:w="1789" w:type="dxa"/>
            <w:hideMark/>
          </w:tcPr>
          <w:p w14:paraId="1E165091" w14:textId="77777777" w:rsidR="00F94DD6" w:rsidRPr="00C8636E" w:rsidRDefault="00F94DD6"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C8636E">
              <w:rPr>
                <w:rFonts w:asciiTheme="majorHAnsi" w:eastAsia="Times New Roman" w:hAnsiTheme="majorHAnsi"/>
                <w:b w:val="0"/>
                <w:szCs w:val="20"/>
              </w:rPr>
              <w:t>Electric Use (GWh)</w:t>
            </w:r>
          </w:p>
        </w:tc>
        <w:tc>
          <w:tcPr>
            <w:tcW w:w="1789" w:type="dxa"/>
            <w:hideMark/>
          </w:tcPr>
          <w:p w14:paraId="591D802C" w14:textId="77777777" w:rsidR="00F94DD6" w:rsidRPr="00C8636E" w:rsidRDefault="00F94DD6"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C8636E">
              <w:rPr>
                <w:rFonts w:asciiTheme="majorHAnsi" w:eastAsia="Times New Roman" w:hAnsiTheme="majorHAnsi"/>
                <w:b w:val="0"/>
                <w:szCs w:val="20"/>
              </w:rPr>
              <w:t>Floor Space (million sqft)</w:t>
            </w:r>
          </w:p>
        </w:tc>
        <w:tc>
          <w:tcPr>
            <w:tcW w:w="1789" w:type="dxa"/>
            <w:noWrap/>
            <w:hideMark/>
          </w:tcPr>
          <w:p w14:paraId="5BCB0C59" w14:textId="3835333A" w:rsidR="00F94DD6" w:rsidRPr="00C8636E" w:rsidRDefault="007821F7"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C8636E">
              <w:rPr>
                <w:rFonts w:asciiTheme="majorHAnsi" w:eastAsia="Times New Roman" w:hAnsiTheme="majorHAnsi"/>
                <w:b w:val="0"/>
                <w:szCs w:val="20"/>
              </w:rPr>
              <w:t>Intensity (</w:t>
            </w:r>
            <w:r w:rsidR="00F94DD6" w:rsidRPr="00C8636E">
              <w:rPr>
                <w:rFonts w:asciiTheme="majorHAnsi" w:eastAsia="Times New Roman" w:hAnsiTheme="majorHAnsi"/>
                <w:b w:val="0"/>
                <w:szCs w:val="20"/>
              </w:rPr>
              <w:t>kWh/Sqft</w:t>
            </w:r>
            <w:r w:rsidRPr="00C8636E">
              <w:rPr>
                <w:rFonts w:asciiTheme="majorHAnsi" w:eastAsia="Times New Roman" w:hAnsiTheme="majorHAnsi"/>
                <w:b w:val="0"/>
                <w:szCs w:val="20"/>
              </w:rPr>
              <w:t>)</w:t>
            </w:r>
          </w:p>
        </w:tc>
        <w:tc>
          <w:tcPr>
            <w:tcW w:w="1789" w:type="dxa"/>
            <w:hideMark/>
          </w:tcPr>
          <w:p w14:paraId="17A58F8C" w14:textId="77777777" w:rsidR="00F94DD6" w:rsidRPr="00C8636E" w:rsidRDefault="00F94DD6"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C8636E">
              <w:rPr>
                <w:rFonts w:asciiTheme="majorHAnsi" w:eastAsia="Times New Roman" w:hAnsiTheme="majorHAnsi"/>
                <w:b w:val="0"/>
                <w:szCs w:val="20"/>
              </w:rPr>
              <w:t>% of Annual Use</w:t>
            </w:r>
          </w:p>
        </w:tc>
      </w:tr>
      <w:tr w:rsidR="00F94DD6" w:rsidRPr="00F94DD6" w14:paraId="59AE53E8"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7280B47F" w14:textId="77777777" w:rsidR="00F94DD6" w:rsidRPr="00F94DD6" w:rsidRDefault="00F94DD6" w:rsidP="00C54C72">
            <w:pPr>
              <w:keepNext/>
              <w:jc w:val="left"/>
              <w:rPr>
                <w:rFonts w:ascii="Calibri" w:eastAsia="Times New Roman" w:hAnsi="Calibri"/>
                <w:b/>
                <w:bCs/>
                <w:color w:val="FFFFFF"/>
                <w:szCs w:val="20"/>
              </w:rPr>
            </w:pPr>
          </w:p>
        </w:tc>
        <w:tc>
          <w:tcPr>
            <w:tcW w:w="0" w:type="dxa"/>
            <w:noWrap/>
            <w:hideMark/>
          </w:tcPr>
          <w:p w14:paraId="4E997195" w14:textId="77777777" w:rsidR="00F94DD6" w:rsidRPr="0036599F" w:rsidRDefault="00F94DD6" w:rsidP="00C54C72">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Large Office </w:t>
            </w:r>
          </w:p>
        </w:tc>
        <w:tc>
          <w:tcPr>
            <w:tcW w:w="0" w:type="dxa"/>
            <w:noWrap/>
            <w:hideMark/>
          </w:tcPr>
          <w:p w14:paraId="6FA74E4C" w14:textId="720228FE"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162</w:t>
            </w:r>
          </w:p>
        </w:tc>
        <w:tc>
          <w:tcPr>
            <w:tcW w:w="0" w:type="dxa"/>
            <w:noWrap/>
            <w:hideMark/>
          </w:tcPr>
          <w:p w14:paraId="0073AC67" w14:textId="0193711C"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6</w:t>
            </w:r>
          </w:p>
        </w:tc>
        <w:tc>
          <w:tcPr>
            <w:tcW w:w="0" w:type="dxa"/>
            <w:noWrap/>
            <w:hideMark/>
          </w:tcPr>
          <w:p w14:paraId="70A9A962" w14:textId="582FBF36"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25.9</w:t>
            </w:r>
          </w:p>
        </w:tc>
        <w:tc>
          <w:tcPr>
            <w:tcW w:w="0" w:type="dxa"/>
            <w:noWrap/>
            <w:hideMark/>
          </w:tcPr>
          <w:p w14:paraId="37D3F6C2" w14:textId="7777777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8%</w:t>
            </w:r>
          </w:p>
        </w:tc>
      </w:tr>
      <w:tr w:rsidR="007821F7" w:rsidRPr="00F94DD6" w14:paraId="15C8251A"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0FD5C68C"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172EA57B" w14:textId="77777777" w:rsidR="00F94DD6" w:rsidRPr="0036599F" w:rsidRDefault="00F94DD6" w:rsidP="00C54C72">
            <w:pPr>
              <w:keepNext/>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Small Office </w:t>
            </w:r>
          </w:p>
        </w:tc>
        <w:tc>
          <w:tcPr>
            <w:tcW w:w="0" w:type="dxa"/>
            <w:noWrap/>
            <w:hideMark/>
          </w:tcPr>
          <w:p w14:paraId="738F1122" w14:textId="0BD90FE3"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192</w:t>
            </w:r>
          </w:p>
        </w:tc>
        <w:tc>
          <w:tcPr>
            <w:tcW w:w="0" w:type="dxa"/>
            <w:noWrap/>
            <w:hideMark/>
          </w:tcPr>
          <w:p w14:paraId="5291410F" w14:textId="2AD2DA34"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14</w:t>
            </w:r>
          </w:p>
        </w:tc>
        <w:tc>
          <w:tcPr>
            <w:tcW w:w="0" w:type="dxa"/>
            <w:noWrap/>
            <w:hideMark/>
          </w:tcPr>
          <w:p w14:paraId="2979B218" w14:textId="71BC1E66"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14.0</w:t>
            </w:r>
          </w:p>
        </w:tc>
        <w:tc>
          <w:tcPr>
            <w:tcW w:w="0" w:type="dxa"/>
            <w:noWrap/>
            <w:hideMark/>
          </w:tcPr>
          <w:p w14:paraId="3CB20DCC" w14:textId="77777777"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9%</w:t>
            </w:r>
          </w:p>
        </w:tc>
      </w:tr>
      <w:tr w:rsidR="00F94DD6" w:rsidRPr="00F94DD6" w14:paraId="4FA7F613"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3A440FB1"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601ACA72" w14:textId="77777777" w:rsidR="00F94DD6" w:rsidRPr="0036599F" w:rsidRDefault="00F94DD6" w:rsidP="00C54C72">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Retail </w:t>
            </w:r>
          </w:p>
        </w:tc>
        <w:tc>
          <w:tcPr>
            <w:tcW w:w="0" w:type="dxa"/>
            <w:noWrap/>
            <w:hideMark/>
          </w:tcPr>
          <w:p w14:paraId="7ED56CC0" w14:textId="3401F748"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460</w:t>
            </w:r>
          </w:p>
        </w:tc>
        <w:tc>
          <w:tcPr>
            <w:tcW w:w="0" w:type="dxa"/>
            <w:noWrap/>
            <w:hideMark/>
          </w:tcPr>
          <w:p w14:paraId="5CB9ECD2" w14:textId="05F858CA"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39</w:t>
            </w:r>
          </w:p>
        </w:tc>
        <w:tc>
          <w:tcPr>
            <w:tcW w:w="0" w:type="dxa"/>
            <w:noWrap/>
            <w:hideMark/>
          </w:tcPr>
          <w:p w14:paraId="63BF23DB" w14:textId="09C5EE29"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11.9</w:t>
            </w:r>
          </w:p>
        </w:tc>
        <w:tc>
          <w:tcPr>
            <w:tcW w:w="0" w:type="dxa"/>
            <w:noWrap/>
            <w:hideMark/>
          </w:tcPr>
          <w:p w14:paraId="36CF7428" w14:textId="7777777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22%</w:t>
            </w:r>
          </w:p>
        </w:tc>
      </w:tr>
      <w:tr w:rsidR="007821F7" w:rsidRPr="00F94DD6" w14:paraId="0907C454"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7998250B"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5CD217A6" w14:textId="77777777" w:rsidR="00F94DD6" w:rsidRPr="0036599F" w:rsidRDefault="00F94DD6" w:rsidP="00C54C72">
            <w:pPr>
              <w:keepNext/>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Restaurant </w:t>
            </w:r>
          </w:p>
        </w:tc>
        <w:tc>
          <w:tcPr>
            <w:tcW w:w="0" w:type="dxa"/>
            <w:noWrap/>
            <w:hideMark/>
          </w:tcPr>
          <w:p w14:paraId="02E21081" w14:textId="1C85FFA9"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263</w:t>
            </w:r>
          </w:p>
        </w:tc>
        <w:tc>
          <w:tcPr>
            <w:tcW w:w="0" w:type="dxa"/>
            <w:noWrap/>
            <w:hideMark/>
          </w:tcPr>
          <w:p w14:paraId="359FC622" w14:textId="31AAF28E"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6</w:t>
            </w:r>
          </w:p>
        </w:tc>
        <w:tc>
          <w:tcPr>
            <w:tcW w:w="0" w:type="dxa"/>
            <w:noWrap/>
            <w:hideMark/>
          </w:tcPr>
          <w:p w14:paraId="4D80D2B5" w14:textId="45F56CAE"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46.0</w:t>
            </w:r>
          </w:p>
        </w:tc>
        <w:tc>
          <w:tcPr>
            <w:tcW w:w="0" w:type="dxa"/>
            <w:noWrap/>
            <w:hideMark/>
          </w:tcPr>
          <w:p w14:paraId="622037C1" w14:textId="77777777"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13%</w:t>
            </w:r>
          </w:p>
        </w:tc>
      </w:tr>
      <w:tr w:rsidR="00F94DD6" w:rsidRPr="00F94DD6" w14:paraId="3BDFB2F6"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0A037C7F"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42CBCD88" w14:textId="77777777" w:rsidR="00F94DD6" w:rsidRPr="0036599F" w:rsidRDefault="00F94DD6" w:rsidP="00C54C72">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Grocery </w:t>
            </w:r>
          </w:p>
        </w:tc>
        <w:tc>
          <w:tcPr>
            <w:tcW w:w="0" w:type="dxa"/>
            <w:noWrap/>
            <w:hideMark/>
          </w:tcPr>
          <w:p w14:paraId="1F98B97E" w14:textId="71309081"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127</w:t>
            </w:r>
          </w:p>
        </w:tc>
        <w:tc>
          <w:tcPr>
            <w:tcW w:w="0" w:type="dxa"/>
            <w:noWrap/>
            <w:hideMark/>
          </w:tcPr>
          <w:p w14:paraId="4110DD82" w14:textId="6B47D5A5"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4</w:t>
            </w:r>
          </w:p>
        </w:tc>
        <w:tc>
          <w:tcPr>
            <w:tcW w:w="0" w:type="dxa"/>
            <w:noWrap/>
            <w:hideMark/>
          </w:tcPr>
          <w:p w14:paraId="3F0E89AF" w14:textId="3EA5BC3A"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28.2</w:t>
            </w:r>
          </w:p>
        </w:tc>
        <w:tc>
          <w:tcPr>
            <w:tcW w:w="0" w:type="dxa"/>
            <w:noWrap/>
            <w:hideMark/>
          </w:tcPr>
          <w:p w14:paraId="2BC4E707" w14:textId="7777777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6%</w:t>
            </w:r>
          </w:p>
        </w:tc>
      </w:tr>
      <w:tr w:rsidR="007821F7" w:rsidRPr="00F94DD6" w14:paraId="2D0D59AB"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0FE162C8"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54975D35" w14:textId="77777777" w:rsidR="00F94DD6" w:rsidRPr="0036599F" w:rsidRDefault="00F94DD6" w:rsidP="00C54C72">
            <w:pPr>
              <w:keepNext/>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College </w:t>
            </w:r>
          </w:p>
        </w:tc>
        <w:tc>
          <w:tcPr>
            <w:tcW w:w="0" w:type="dxa"/>
            <w:noWrap/>
            <w:hideMark/>
          </w:tcPr>
          <w:p w14:paraId="4DDFB031" w14:textId="717D3C11"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116</w:t>
            </w:r>
          </w:p>
        </w:tc>
        <w:tc>
          <w:tcPr>
            <w:tcW w:w="0" w:type="dxa"/>
            <w:noWrap/>
            <w:hideMark/>
          </w:tcPr>
          <w:p w14:paraId="19771DE5" w14:textId="1351912D"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8</w:t>
            </w:r>
          </w:p>
        </w:tc>
        <w:tc>
          <w:tcPr>
            <w:tcW w:w="0" w:type="dxa"/>
            <w:noWrap/>
            <w:hideMark/>
          </w:tcPr>
          <w:p w14:paraId="09C2A8B8" w14:textId="69F16A18"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15.3</w:t>
            </w:r>
          </w:p>
        </w:tc>
        <w:tc>
          <w:tcPr>
            <w:tcW w:w="0" w:type="dxa"/>
            <w:noWrap/>
            <w:hideMark/>
          </w:tcPr>
          <w:p w14:paraId="0BCF5C1C" w14:textId="77777777"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6%</w:t>
            </w:r>
          </w:p>
        </w:tc>
      </w:tr>
      <w:tr w:rsidR="00F94DD6" w:rsidRPr="00F94DD6" w14:paraId="70C760CB"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7435B123"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4AD97883" w14:textId="77777777" w:rsidR="00F94DD6" w:rsidRPr="0036599F" w:rsidRDefault="00F94DD6" w:rsidP="00C54C72">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School </w:t>
            </w:r>
          </w:p>
        </w:tc>
        <w:tc>
          <w:tcPr>
            <w:tcW w:w="0" w:type="dxa"/>
            <w:noWrap/>
            <w:hideMark/>
          </w:tcPr>
          <w:p w14:paraId="13F1098B" w14:textId="6245D311"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191</w:t>
            </w:r>
          </w:p>
        </w:tc>
        <w:tc>
          <w:tcPr>
            <w:tcW w:w="0" w:type="dxa"/>
            <w:noWrap/>
            <w:hideMark/>
          </w:tcPr>
          <w:p w14:paraId="2107C5B5" w14:textId="5CC79416"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19</w:t>
            </w:r>
          </w:p>
        </w:tc>
        <w:tc>
          <w:tcPr>
            <w:tcW w:w="0" w:type="dxa"/>
            <w:noWrap/>
            <w:hideMark/>
          </w:tcPr>
          <w:p w14:paraId="42386AAC" w14:textId="765675D1"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9.9</w:t>
            </w:r>
          </w:p>
        </w:tc>
        <w:tc>
          <w:tcPr>
            <w:tcW w:w="0" w:type="dxa"/>
            <w:noWrap/>
            <w:hideMark/>
          </w:tcPr>
          <w:p w14:paraId="096131FD" w14:textId="7777777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9%</w:t>
            </w:r>
          </w:p>
        </w:tc>
      </w:tr>
      <w:tr w:rsidR="007821F7" w:rsidRPr="00F94DD6" w14:paraId="3D08FCA1"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BD93A31"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479A39C0" w14:textId="77777777" w:rsidR="00F94DD6" w:rsidRPr="0036599F" w:rsidRDefault="00F94DD6" w:rsidP="00C54C72">
            <w:pPr>
              <w:keepNext/>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Health </w:t>
            </w:r>
          </w:p>
        </w:tc>
        <w:tc>
          <w:tcPr>
            <w:tcW w:w="0" w:type="dxa"/>
            <w:noWrap/>
            <w:hideMark/>
          </w:tcPr>
          <w:p w14:paraId="02A64D53" w14:textId="190A5A2F"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54</w:t>
            </w:r>
          </w:p>
        </w:tc>
        <w:tc>
          <w:tcPr>
            <w:tcW w:w="0" w:type="dxa"/>
            <w:noWrap/>
            <w:hideMark/>
          </w:tcPr>
          <w:p w14:paraId="40F12312" w14:textId="558186F6"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3</w:t>
            </w:r>
          </w:p>
        </w:tc>
        <w:tc>
          <w:tcPr>
            <w:tcW w:w="0" w:type="dxa"/>
            <w:noWrap/>
            <w:hideMark/>
          </w:tcPr>
          <w:p w14:paraId="7DDB5309" w14:textId="18B24228"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17.6</w:t>
            </w:r>
          </w:p>
        </w:tc>
        <w:tc>
          <w:tcPr>
            <w:tcW w:w="0" w:type="dxa"/>
            <w:noWrap/>
            <w:hideMark/>
          </w:tcPr>
          <w:p w14:paraId="620D8DE2" w14:textId="77777777"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3%</w:t>
            </w:r>
          </w:p>
        </w:tc>
      </w:tr>
      <w:tr w:rsidR="00F94DD6" w:rsidRPr="00F94DD6" w14:paraId="6D13B02E"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1CD08B0D"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07732E0B" w14:textId="77777777" w:rsidR="00F94DD6" w:rsidRPr="0036599F" w:rsidRDefault="00F94DD6" w:rsidP="00C54C72">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Lodging </w:t>
            </w:r>
          </w:p>
        </w:tc>
        <w:tc>
          <w:tcPr>
            <w:tcW w:w="0" w:type="dxa"/>
            <w:noWrap/>
            <w:hideMark/>
          </w:tcPr>
          <w:p w14:paraId="68BA17F0" w14:textId="72D42754"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200</w:t>
            </w:r>
          </w:p>
        </w:tc>
        <w:tc>
          <w:tcPr>
            <w:tcW w:w="0" w:type="dxa"/>
            <w:noWrap/>
            <w:hideMark/>
          </w:tcPr>
          <w:p w14:paraId="46353804" w14:textId="2088D371"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11</w:t>
            </w:r>
          </w:p>
        </w:tc>
        <w:tc>
          <w:tcPr>
            <w:tcW w:w="0" w:type="dxa"/>
            <w:noWrap/>
            <w:hideMark/>
          </w:tcPr>
          <w:p w14:paraId="02B2C587" w14:textId="571CF21A"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18.3</w:t>
            </w:r>
          </w:p>
        </w:tc>
        <w:tc>
          <w:tcPr>
            <w:tcW w:w="0" w:type="dxa"/>
            <w:noWrap/>
            <w:hideMark/>
          </w:tcPr>
          <w:p w14:paraId="1F5077E1" w14:textId="7777777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10%</w:t>
            </w:r>
          </w:p>
        </w:tc>
      </w:tr>
      <w:tr w:rsidR="007821F7" w:rsidRPr="00F94DD6" w14:paraId="712B94EB"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75AC375"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600924F6" w14:textId="77777777" w:rsidR="00F94DD6" w:rsidRPr="0036599F" w:rsidRDefault="00F94DD6" w:rsidP="00C54C72">
            <w:pPr>
              <w:keepNext/>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Warehouse </w:t>
            </w:r>
          </w:p>
        </w:tc>
        <w:tc>
          <w:tcPr>
            <w:tcW w:w="0" w:type="dxa"/>
            <w:noWrap/>
            <w:hideMark/>
          </w:tcPr>
          <w:p w14:paraId="59DBD9D1" w14:textId="40B432A1"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145</w:t>
            </w:r>
          </w:p>
        </w:tc>
        <w:tc>
          <w:tcPr>
            <w:tcW w:w="0" w:type="dxa"/>
            <w:noWrap/>
            <w:hideMark/>
          </w:tcPr>
          <w:p w14:paraId="624008B5" w14:textId="18826245"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24</w:t>
            </w:r>
          </w:p>
        </w:tc>
        <w:tc>
          <w:tcPr>
            <w:tcW w:w="0" w:type="dxa"/>
            <w:noWrap/>
            <w:hideMark/>
          </w:tcPr>
          <w:p w14:paraId="4D9AE32A" w14:textId="7CEBD7B5"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6.1</w:t>
            </w:r>
          </w:p>
        </w:tc>
        <w:tc>
          <w:tcPr>
            <w:tcW w:w="0" w:type="dxa"/>
            <w:noWrap/>
            <w:hideMark/>
          </w:tcPr>
          <w:p w14:paraId="4A09B32D" w14:textId="77777777" w:rsidR="00F94DD6" w:rsidRPr="0036599F"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7%</w:t>
            </w:r>
          </w:p>
        </w:tc>
      </w:tr>
      <w:tr w:rsidR="00F94DD6" w:rsidRPr="00F94DD6" w14:paraId="7DAC8486"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FFCF7D4" w14:textId="77777777" w:rsidR="00F94DD6" w:rsidRPr="00F94DD6" w:rsidRDefault="00F94DD6" w:rsidP="00C54C72">
            <w:pPr>
              <w:keepNext/>
              <w:jc w:val="left"/>
              <w:rPr>
                <w:rFonts w:ascii="Calibri" w:eastAsia="Times New Roman" w:hAnsi="Calibri"/>
                <w:color w:val="19172B"/>
                <w:szCs w:val="20"/>
              </w:rPr>
            </w:pPr>
          </w:p>
        </w:tc>
        <w:tc>
          <w:tcPr>
            <w:tcW w:w="0" w:type="dxa"/>
            <w:noWrap/>
            <w:hideMark/>
          </w:tcPr>
          <w:p w14:paraId="16BC4E9E" w14:textId="77777777" w:rsidR="00F94DD6" w:rsidRPr="0036599F" w:rsidRDefault="00F94DD6" w:rsidP="00C54C72">
            <w:pPr>
              <w:keepNext/>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 xml:space="preserve"> Miscellaneous </w:t>
            </w:r>
          </w:p>
        </w:tc>
        <w:tc>
          <w:tcPr>
            <w:tcW w:w="0" w:type="dxa"/>
            <w:noWrap/>
            <w:hideMark/>
          </w:tcPr>
          <w:p w14:paraId="5120CBA1" w14:textId="08F7FE2C"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166</w:t>
            </w:r>
          </w:p>
        </w:tc>
        <w:tc>
          <w:tcPr>
            <w:tcW w:w="0" w:type="dxa"/>
            <w:noWrap/>
            <w:hideMark/>
          </w:tcPr>
          <w:p w14:paraId="7230BD39" w14:textId="70DE34C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18</w:t>
            </w:r>
          </w:p>
        </w:tc>
        <w:tc>
          <w:tcPr>
            <w:tcW w:w="0" w:type="dxa"/>
            <w:noWrap/>
            <w:hideMark/>
          </w:tcPr>
          <w:p w14:paraId="52D81676" w14:textId="4BBAB7A0"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9.4</w:t>
            </w:r>
          </w:p>
        </w:tc>
        <w:tc>
          <w:tcPr>
            <w:tcW w:w="0" w:type="dxa"/>
            <w:noWrap/>
            <w:hideMark/>
          </w:tcPr>
          <w:p w14:paraId="46E2964B" w14:textId="77777777" w:rsidR="00F94DD6" w:rsidRPr="0036599F" w:rsidRDefault="00F94DD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36599F">
              <w:rPr>
                <w:rFonts w:asciiTheme="minorHAnsi" w:eastAsia="Times New Roman" w:hAnsiTheme="minorHAnsi"/>
                <w:color w:val="19172B"/>
                <w:szCs w:val="20"/>
              </w:rPr>
              <w:t>8%</w:t>
            </w:r>
          </w:p>
        </w:tc>
      </w:tr>
      <w:tr w:rsidR="00F94DD6" w:rsidRPr="00F94DD6" w14:paraId="77F82D1C"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5E64FB3E" w14:textId="77777777" w:rsidR="00F94DD6" w:rsidRPr="00F94DD6" w:rsidRDefault="00F94DD6" w:rsidP="009336C2">
            <w:pPr>
              <w:keepNext/>
              <w:jc w:val="right"/>
              <w:rPr>
                <w:rFonts w:ascii="Calibri" w:eastAsia="Times New Roman" w:hAnsi="Calibri"/>
                <w:color w:val="19172B"/>
                <w:szCs w:val="20"/>
              </w:rPr>
            </w:pPr>
          </w:p>
        </w:tc>
        <w:tc>
          <w:tcPr>
            <w:tcW w:w="0" w:type="dxa"/>
            <w:noWrap/>
            <w:hideMark/>
          </w:tcPr>
          <w:p w14:paraId="63076F62" w14:textId="091400FC" w:rsidR="00F94DD6" w:rsidRPr="00351C89" w:rsidRDefault="00F94DD6" w:rsidP="00FF4586">
            <w:pPr>
              <w:keepNext/>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51C89">
              <w:rPr>
                <w:rFonts w:asciiTheme="majorHAnsi" w:eastAsia="Times New Roman" w:hAnsiTheme="majorHAnsi"/>
                <w:color w:val="19172B"/>
                <w:szCs w:val="20"/>
              </w:rPr>
              <w:t>Total</w:t>
            </w:r>
          </w:p>
        </w:tc>
        <w:tc>
          <w:tcPr>
            <w:tcW w:w="0" w:type="dxa"/>
            <w:noWrap/>
            <w:hideMark/>
          </w:tcPr>
          <w:p w14:paraId="2F48F817" w14:textId="46570E60" w:rsidR="00F94DD6" w:rsidRPr="00351C89"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51C89">
              <w:rPr>
                <w:rFonts w:asciiTheme="majorHAnsi" w:eastAsia="Times New Roman" w:hAnsiTheme="majorHAnsi"/>
                <w:color w:val="19172B"/>
                <w:szCs w:val="20"/>
              </w:rPr>
              <w:t>2,075</w:t>
            </w:r>
          </w:p>
        </w:tc>
        <w:tc>
          <w:tcPr>
            <w:tcW w:w="0" w:type="dxa"/>
            <w:noWrap/>
            <w:hideMark/>
          </w:tcPr>
          <w:p w14:paraId="1D625D01" w14:textId="734889C2" w:rsidR="00F94DD6" w:rsidRPr="00351C89"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51C89">
              <w:rPr>
                <w:rFonts w:asciiTheme="majorHAnsi" w:eastAsia="Times New Roman" w:hAnsiTheme="majorHAnsi"/>
                <w:color w:val="19172B"/>
                <w:szCs w:val="20"/>
              </w:rPr>
              <w:t>151</w:t>
            </w:r>
          </w:p>
        </w:tc>
        <w:tc>
          <w:tcPr>
            <w:tcW w:w="0" w:type="dxa"/>
            <w:noWrap/>
            <w:hideMark/>
          </w:tcPr>
          <w:p w14:paraId="6196B040" w14:textId="7EBB70D2" w:rsidR="00F94DD6" w:rsidRPr="00351C89"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51C89">
              <w:rPr>
                <w:rFonts w:asciiTheme="majorHAnsi" w:eastAsia="Times New Roman" w:hAnsiTheme="majorHAnsi"/>
                <w:color w:val="19172B"/>
                <w:szCs w:val="20"/>
              </w:rPr>
              <w:t>13.7</w:t>
            </w:r>
          </w:p>
        </w:tc>
        <w:tc>
          <w:tcPr>
            <w:tcW w:w="0" w:type="dxa"/>
            <w:noWrap/>
            <w:hideMark/>
          </w:tcPr>
          <w:p w14:paraId="6CF46CA0" w14:textId="77777777" w:rsidR="00F94DD6" w:rsidRPr="00351C89" w:rsidRDefault="00F94DD6"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51C89">
              <w:rPr>
                <w:rFonts w:asciiTheme="majorHAnsi" w:eastAsia="Times New Roman" w:hAnsiTheme="majorHAnsi"/>
                <w:color w:val="19172B"/>
                <w:szCs w:val="20"/>
              </w:rPr>
              <w:t>100%</w:t>
            </w:r>
          </w:p>
        </w:tc>
      </w:tr>
    </w:tbl>
    <w:p w14:paraId="3BE925AA" w14:textId="77777777" w:rsidR="001C0023" w:rsidRDefault="001C0023" w:rsidP="00F0216C">
      <w:pPr>
        <w:pStyle w:val="AEGBody"/>
        <w:rPr>
          <w:rFonts w:cstheme="minorBidi"/>
        </w:rPr>
      </w:pPr>
    </w:p>
    <w:p w14:paraId="70291C05" w14:textId="0B7748E2" w:rsidR="00F94445" w:rsidRDefault="00F94445" w:rsidP="001C0023">
      <w:pPr>
        <w:pStyle w:val="FigureorTableCaption"/>
        <w:divId w:val="1914126027"/>
      </w:pPr>
      <w:bookmarkStart w:id="62" w:name="_Toc175912375"/>
      <w:r>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6</w:t>
      </w:r>
      <w:r w:rsidR="00EE4707">
        <w:fldChar w:fldCharType="end"/>
      </w:r>
      <w:r w:rsidR="00015121">
        <w:t xml:space="preserve"> </w:t>
      </w:r>
      <w:r w:rsidRPr="00300DEC">
        <w:t>Base Year Electric Consumption Summary (Control Totals), Idaho</w:t>
      </w:r>
      <w:bookmarkEnd w:id="62"/>
    </w:p>
    <w:tbl>
      <w:tblPr>
        <w:tblStyle w:val="AEGBlue2"/>
        <w:tblW w:w="5050" w:type="pct"/>
        <w:jc w:val="center"/>
        <w:tblLayout w:type="fixed"/>
        <w:tblLook w:val="04A0" w:firstRow="1" w:lastRow="0" w:firstColumn="1" w:lastColumn="0" w:noHBand="0" w:noVBand="1"/>
      </w:tblPr>
      <w:tblGrid>
        <w:gridCol w:w="236"/>
        <w:gridCol w:w="1843"/>
        <w:gridCol w:w="1843"/>
        <w:gridCol w:w="1844"/>
        <w:gridCol w:w="1844"/>
        <w:gridCol w:w="1844"/>
      </w:tblGrid>
      <w:tr w:rsidR="00C838AE" w:rsidRPr="00252F6F" w14:paraId="588FE09A" w14:textId="77777777" w:rsidTr="00A469DF">
        <w:trPr>
          <w:cnfStyle w:val="100000000000" w:firstRow="1" w:lastRow="0" w:firstColumn="0" w:lastColumn="0" w:oddVBand="0" w:evenVBand="0" w:oddHBand="0" w:evenHBand="0"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120" w:type="pct"/>
            <w:noWrap/>
            <w:hideMark/>
          </w:tcPr>
          <w:p w14:paraId="581838E9" w14:textId="77777777" w:rsidR="00252F6F" w:rsidRPr="00252F6F" w:rsidRDefault="00252F6F" w:rsidP="00C54C72">
            <w:pPr>
              <w:keepNext/>
              <w:jc w:val="left"/>
              <w:rPr>
                <w:rFonts w:ascii="Calibri" w:eastAsia="Times New Roman" w:hAnsi="Calibri"/>
                <w:b/>
                <w:bCs/>
                <w:szCs w:val="20"/>
              </w:rPr>
            </w:pPr>
          </w:p>
        </w:tc>
        <w:tc>
          <w:tcPr>
            <w:tcW w:w="976" w:type="pct"/>
            <w:noWrap/>
            <w:hideMark/>
          </w:tcPr>
          <w:p w14:paraId="344C24A7" w14:textId="77777777" w:rsidR="00252F6F" w:rsidRPr="0036599F" w:rsidRDefault="00252F6F" w:rsidP="00C54C7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6599F">
              <w:rPr>
                <w:rFonts w:asciiTheme="majorHAnsi" w:eastAsia="Times New Roman" w:hAnsiTheme="majorHAnsi"/>
                <w:szCs w:val="20"/>
              </w:rPr>
              <w:t>Segment</w:t>
            </w:r>
          </w:p>
        </w:tc>
        <w:tc>
          <w:tcPr>
            <w:tcW w:w="976" w:type="pct"/>
            <w:hideMark/>
          </w:tcPr>
          <w:p w14:paraId="6826E49F" w14:textId="77777777" w:rsidR="00252F6F" w:rsidRPr="0036599F" w:rsidRDefault="00252F6F" w:rsidP="001C0023">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6599F">
              <w:rPr>
                <w:rFonts w:asciiTheme="majorHAnsi" w:eastAsia="Times New Roman" w:hAnsiTheme="majorHAnsi"/>
                <w:szCs w:val="20"/>
              </w:rPr>
              <w:t>Electric Use (GWh)</w:t>
            </w:r>
          </w:p>
        </w:tc>
        <w:tc>
          <w:tcPr>
            <w:tcW w:w="976" w:type="pct"/>
            <w:hideMark/>
          </w:tcPr>
          <w:p w14:paraId="371D8C51" w14:textId="77777777" w:rsidR="00252F6F" w:rsidRPr="0036599F" w:rsidRDefault="00252F6F" w:rsidP="001C0023">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6599F">
              <w:rPr>
                <w:rFonts w:asciiTheme="majorHAnsi" w:eastAsia="Times New Roman" w:hAnsiTheme="majorHAnsi"/>
                <w:szCs w:val="20"/>
              </w:rPr>
              <w:t>Floor Space (million sqft)</w:t>
            </w:r>
          </w:p>
        </w:tc>
        <w:tc>
          <w:tcPr>
            <w:tcW w:w="976" w:type="pct"/>
            <w:noWrap/>
            <w:hideMark/>
          </w:tcPr>
          <w:p w14:paraId="039CD021" w14:textId="165D4467" w:rsidR="00252F6F" w:rsidRPr="0036599F" w:rsidRDefault="007821F7" w:rsidP="001C0023">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6599F">
              <w:rPr>
                <w:rFonts w:asciiTheme="majorHAnsi" w:eastAsia="Times New Roman" w:hAnsiTheme="majorHAnsi"/>
                <w:szCs w:val="20"/>
              </w:rPr>
              <w:t>Intensity (</w:t>
            </w:r>
            <w:r w:rsidR="00252F6F" w:rsidRPr="0036599F">
              <w:rPr>
                <w:rFonts w:asciiTheme="majorHAnsi" w:eastAsia="Times New Roman" w:hAnsiTheme="majorHAnsi"/>
                <w:szCs w:val="20"/>
              </w:rPr>
              <w:t>kWh/Sqft</w:t>
            </w:r>
            <w:r w:rsidRPr="0036599F">
              <w:rPr>
                <w:rFonts w:asciiTheme="majorHAnsi" w:eastAsia="Times New Roman" w:hAnsiTheme="majorHAnsi"/>
                <w:szCs w:val="20"/>
              </w:rPr>
              <w:t>)</w:t>
            </w:r>
          </w:p>
        </w:tc>
        <w:tc>
          <w:tcPr>
            <w:tcW w:w="976" w:type="pct"/>
            <w:hideMark/>
          </w:tcPr>
          <w:p w14:paraId="31E92727" w14:textId="77777777" w:rsidR="00252F6F" w:rsidRPr="0036599F" w:rsidRDefault="00252F6F" w:rsidP="001C0023">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36599F">
              <w:rPr>
                <w:rFonts w:asciiTheme="majorHAnsi" w:eastAsia="Times New Roman" w:hAnsiTheme="majorHAnsi"/>
                <w:szCs w:val="20"/>
              </w:rPr>
              <w:t>% of Annual Use</w:t>
            </w:r>
          </w:p>
        </w:tc>
      </w:tr>
      <w:tr w:rsidR="00C838AE" w:rsidRPr="00252F6F" w14:paraId="68E158E0" w14:textId="77777777" w:rsidTr="00FF4586">
        <w:trPr>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22A86131" w14:textId="77777777" w:rsidR="00252F6F" w:rsidRPr="00252F6F" w:rsidRDefault="00252F6F" w:rsidP="00C54C72">
            <w:pPr>
              <w:keepNext/>
              <w:jc w:val="left"/>
              <w:rPr>
                <w:rFonts w:ascii="Calibri" w:eastAsia="Times New Roman" w:hAnsi="Calibri"/>
                <w:b/>
                <w:bCs/>
                <w:color w:val="FFFFFF"/>
                <w:szCs w:val="20"/>
              </w:rPr>
            </w:pPr>
          </w:p>
        </w:tc>
        <w:tc>
          <w:tcPr>
            <w:tcW w:w="0" w:type="pct"/>
            <w:noWrap/>
            <w:hideMark/>
          </w:tcPr>
          <w:p w14:paraId="30A56832" w14:textId="77777777" w:rsidR="00252F6F" w:rsidRPr="005216C3" w:rsidRDefault="00252F6F" w:rsidP="00C54C72">
            <w:pPr>
              <w:keepNext/>
              <w:jc w:val="lef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 xml:space="preserve"> Large Office </w:t>
            </w:r>
          </w:p>
        </w:tc>
        <w:tc>
          <w:tcPr>
            <w:tcW w:w="0" w:type="pct"/>
            <w:noWrap/>
            <w:hideMark/>
          </w:tcPr>
          <w:p w14:paraId="549B265F" w14:textId="7CC37582"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125</w:t>
            </w:r>
          </w:p>
        </w:tc>
        <w:tc>
          <w:tcPr>
            <w:tcW w:w="0" w:type="pct"/>
            <w:noWrap/>
            <w:hideMark/>
          </w:tcPr>
          <w:p w14:paraId="5F1BED0A" w14:textId="57120D8D"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5</w:t>
            </w:r>
          </w:p>
        </w:tc>
        <w:tc>
          <w:tcPr>
            <w:tcW w:w="0" w:type="pct"/>
            <w:noWrap/>
            <w:hideMark/>
          </w:tcPr>
          <w:p w14:paraId="4D61935D" w14:textId="65DBD691"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25.9</w:t>
            </w:r>
          </w:p>
        </w:tc>
        <w:tc>
          <w:tcPr>
            <w:tcW w:w="0" w:type="pct"/>
            <w:noWrap/>
            <w:hideMark/>
          </w:tcPr>
          <w:p w14:paraId="335F44DB" w14:textId="77777777"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13%</w:t>
            </w:r>
          </w:p>
        </w:tc>
      </w:tr>
      <w:tr w:rsidR="00C838AE" w:rsidRPr="00252F6F" w14:paraId="0789B678" w14:textId="77777777" w:rsidTr="00FF4586">
        <w:trPr>
          <w:cnfStyle w:val="000000010000" w:firstRow="0" w:lastRow="0" w:firstColumn="0" w:lastColumn="0" w:oddVBand="0" w:evenVBand="0" w:oddHBand="0" w:evenHBand="1"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281B88FB"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4362C579" w14:textId="77777777" w:rsidR="00252F6F" w:rsidRPr="005216C3" w:rsidRDefault="00252F6F" w:rsidP="00C54C72">
            <w:pPr>
              <w:keepNext/>
              <w:jc w:val="lef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 xml:space="preserve"> Small Office </w:t>
            </w:r>
          </w:p>
        </w:tc>
        <w:tc>
          <w:tcPr>
            <w:tcW w:w="0" w:type="pct"/>
            <w:noWrap/>
            <w:hideMark/>
          </w:tcPr>
          <w:p w14:paraId="3F3E86F4" w14:textId="0E77279F"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39</w:t>
            </w:r>
          </w:p>
        </w:tc>
        <w:tc>
          <w:tcPr>
            <w:tcW w:w="0" w:type="pct"/>
            <w:noWrap/>
            <w:hideMark/>
          </w:tcPr>
          <w:p w14:paraId="5CCC09DE" w14:textId="50925643"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3</w:t>
            </w:r>
          </w:p>
        </w:tc>
        <w:tc>
          <w:tcPr>
            <w:tcW w:w="0" w:type="pct"/>
            <w:noWrap/>
            <w:hideMark/>
          </w:tcPr>
          <w:p w14:paraId="1AA37194" w14:textId="4ED98DCC"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14.0</w:t>
            </w:r>
          </w:p>
        </w:tc>
        <w:tc>
          <w:tcPr>
            <w:tcW w:w="0" w:type="pct"/>
            <w:noWrap/>
            <w:hideMark/>
          </w:tcPr>
          <w:p w14:paraId="0B48EBC6" w14:textId="7777777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4%</w:t>
            </w:r>
          </w:p>
        </w:tc>
      </w:tr>
      <w:tr w:rsidR="00C838AE" w:rsidRPr="00252F6F" w14:paraId="41814A17" w14:textId="77777777" w:rsidTr="00FF4586">
        <w:trPr>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4929BB29"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60FDFC1E" w14:textId="77777777" w:rsidR="00252F6F" w:rsidRPr="005216C3" w:rsidRDefault="00252F6F" w:rsidP="00C54C72">
            <w:pPr>
              <w:keepNext/>
              <w:jc w:val="lef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 xml:space="preserve"> Retail </w:t>
            </w:r>
          </w:p>
        </w:tc>
        <w:tc>
          <w:tcPr>
            <w:tcW w:w="0" w:type="pct"/>
            <w:noWrap/>
            <w:hideMark/>
          </w:tcPr>
          <w:p w14:paraId="0ABDFE24" w14:textId="23D61A8E"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218</w:t>
            </w:r>
          </w:p>
        </w:tc>
        <w:tc>
          <w:tcPr>
            <w:tcW w:w="0" w:type="pct"/>
            <w:noWrap/>
            <w:hideMark/>
          </w:tcPr>
          <w:p w14:paraId="35CB6C7E" w14:textId="208A9BB9"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18</w:t>
            </w:r>
          </w:p>
        </w:tc>
        <w:tc>
          <w:tcPr>
            <w:tcW w:w="0" w:type="pct"/>
            <w:noWrap/>
            <w:hideMark/>
          </w:tcPr>
          <w:p w14:paraId="580DE734" w14:textId="000CAFA5"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11.9</w:t>
            </w:r>
          </w:p>
        </w:tc>
        <w:tc>
          <w:tcPr>
            <w:tcW w:w="0" w:type="pct"/>
            <w:noWrap/>
            <w:hideMark/>
          </w:tcPr>
          <w:p w14:paraId="286B9008" w14:textId="77777777"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22%</w:t>
            </w:r>
          </w:p>
        </w:tc>
      </w:tr>
      <w:tr w:rsidR="00C838AE" w:rsidRPr="00252F6F" w14:paraId="1CB8D86D" w14:textId="77777777" w:rsidTr="00FF4586">
        <w:trPr>
          <w:cnfStyle w:val="000000010000" w:firstRow="0" w:lastRow="0" w:firstColumn="0" w:lastColumn="0" w:oddVBand="0" w:evenVBand="0" w:oddHBand="0" w:evenHBand="1"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18041D43"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70E36310" w14:textId="77777777" w:rsidR="00252F6F" w:rsidRPr="005216C3" w:rsidRDefault="00252F6F" w:rsidP="00C54C72">
            <w:pPr>
              <w:keepNext/>
              <w:jc w:val="lef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 xml:space="preserve"> Restaurant </w:t>
            </w:r>
          </w:p>
        </w:tc>
        <w:tc>
          <w:tcPr>
            <w:tcW w:w="0" w:type="pct"/>
            <w:noWrap/>
            <w:hideMark/>
          </w:tcPr>
          <w:p w14:paraId="5E5C40D7" w14:textId="7F145A24"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152</w:t>
            </w:r>
          </w:p>
        </w:tc>
        <w:tc>
          <w:tcPr>
            <w:tcW w:w="0" w:type="pct"/>
            <w:noWrap/>
            <w:hideMark/>
          </w:tcPr>
          <w:p w14:paraId="143064D4" w14:textId="1EDEC58B"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3</w:t>
            </w:r>
          </w:p>
        </w:tc>
        <w:tc>
          <w:tcPr>
            <w:tcW w:w="0" w:type="pct"/>
            <w:noWrap/>
            <w:hideMark/>
          </w:tcPr>
          <w:p w14:paraId="1F98E200" w14:textId="24A641E0"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45.9</w:t>
            </w:r>
          </w:p>
        </w:tc>
        <w:tc>
          <w:tcPr>
            <w:tcW w:w="0" w:type="pct"/>
            <w:noWrap/>
            <w:hideMark/>
          </w:tcPr>
          <w:p w14:paraId="4722CA54" w14:textId="7777777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15%</w:t>
            </w:r>
          </w:p>
        </w:tc>
      </w:tr>
      <w:tr w:rsidR="00C838AE" w:rsidRPr="00252F6F" w14:paraId="3D4DA379" w14:textId="77777777" w:rsidTr="00FF4586">
        <w:trPr>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7A539440"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736B6677" w14:textId="77777777" w:rsidR="00252F6F" w:rsidRPr="005216C3" w:rsidRDefault="00252F6F" w:rsidP="00C54C72">
            <w:pPr>
              <w:keepNext/>
              <w:jc w:val="lef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 xml:space="preserve"> Grocery </w:t>
            </w:r>
          </w:p>
        </w:tc>
        <w:tc>
          <w:tcPr>
            <w:tcW w:w="0" w:type="pct"/>
            <w:noWrap/>
            <w:hideMark/>
          </w:tcPr>
          <w:p w14:paraId="7A46CFF3" w14:textId="5E1888AA"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143</w:t>
            </w:r>
          </w:p>
        </w:tc>
        <w:tc>
          <w:tcPr>
            <w:tcW w:w="0" w:type="pct"/>
            <w:noWrap/>
            <w:hideMark/>
          </w:tcPr>
          <w:p w14:paraId="09A48CB3" w14:textId="22149FD4"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5</w:t>
            </w:r>
          </w:p>
        </w:tc>
        <w:tc>
          <w:tcPr>
            <w:tcW w:w="0" w:type="pct"/>
            <w:noWrap/>
            <w:hideMark/>
          </w:tcPr>
          <w:p w14:paraId="08B66667" w14:textId="331DC641"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28.2</w:t>
            </w:r>
          </w:p>
        </w:tc>
        <w:tc>
          <w:tcPr>
            <w:tcW w:w="0" w:type="pct"/>
            <w:noWrap/>
            <w:hideMark/>
          </w:tcPr>
          <w:p w14:paraId="588339CF" w14:textId="77777777"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14%</w:t>
            </w:r>
          </w:p>
        </w:tc>
      </w:tr>
      <w:tr w:rsidR="00C838AE" w:rsidRPr="00252F6F" w14:paraId="57998E63" w14:textId="77777777" w:rsidTr="00FF4586">
        <w:trPr>
          <w:cnfStyle w:val="000000010000" w:firstRow="0" w:lastRow="0" w:firstColumn="0" w:lastColumn="0" w:oddVBand="0" w:evenVBand="0" w:oddHBand="0" w:evenHBand="1"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66853AA9"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20286034" w14:textId="77777777" w:rsidR="00252F6F" w:rsidRPr="005216C3" w:rsidRDefault="00252F6F" w:rsidP="00C54C72">
            <w:pPr>
              <w:keepNext/>
              <w:jc w:val="lef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 xml:space="preserve"> College </w:t>
            </w:r>
          </w:p>
        </w:tc>
        <w:tc>
          <w:tcPr>
            <w:tcW w:w="0" w:type="pct"/>
            <w:noWrap/>
            <w:hideMark/>
          </w:tcPr>
          <w:p w14:paraId="47FF7991" w14:textId="21D32144"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58</w:t>
            </w:r>
          </w:p>
        </w:tc>
        <w:tc>
          <w:tcPr>
            <w:tcW w:w="0" w:type="pct"/>
            <w:noWrap/>
            <w:hideMark/>
          </w:tcPr>
          <w:p w14:paraId="2EE77EE0" w14:textId="68F08A41"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4</w:t>
            </w:r>
          </w:p>
        </w:tc>
        <w:tc>
          <w:tcPr>
            <w:tcW w:w="0" w:type="pct"/>
            <w:noWrap/>
            <w:hideMark/>
          </w:tcPr>
          <w:p w14:paraId="01FB30FE" w14:textId="423E31FA"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15.3</w:t>
            </w:r>
          </w:p>
        </w:tc>
        <w:tc>
          <w:tcPr>
            <w:tcW w:w="0" w:type="pct"/>
            <w:noWrap/>
            <w:hideMark/>
          </w:tcPr>
          <w:p w14:paraId="1C933D0B" w14:textId="7777777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6%</w:t>
            </w:r>
          </w:p>
        </w:tc>
      </w:tr>
      <w:tr w:rsidR="00C838AE" w:rsidRPr="00252F6F" w14:paraId="2D30786A" w14:textId="77777777" w:rsidTr="00FF4586">
        <w:trPr>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8F85012"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29248FCB" w14:textId="77777777" w:rsidR="00252F6F" w:rsidRPr="005216C3" w:rsidRDefault="00252F6F" w:rsidP="00C54C72">
            <w:pPr>
              <w:keepNext/>
              <w:jc w:val="lef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 xml:space="preserve"> School </w:t>
            </w:r>
          </w:p>
        </w:tc>
        <w:tc>
          <w:tcPr>
            <w:tcW w:w="0" w:type="pct"/>
            <w:noWrap/>
            <w:hideMark/>
          </w:tcPr>
          <w:p w14:paraId="7AAD1CA2" w14:textId="72DE1094"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11</w:t>
            </w:r>
          </w:p>
        </w:tc>
        <w:tc>
          <w:tcPr>
            <w:tcW w:w="0" w:type="pct"/>
            <w:noWrap/>
            <w:hideMark/>
          </w:tcPr>
          <w:p w14:paraId="5E307467" w14:textId="3EEC4635"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w:t>
            </w:r>
          </w:p>
        </w:tc>
        <w:tc>
          <w:tcPr>
            <w:tcW w:w="0" w:type="pct"/>
            <w:noWrap/>
            <w:hideMark/>
          </w:tcPr>
          <w:p w14:paraId="03EE6F82" w14:textId="18478706"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9.9</w:t>
            </w:r>
          </w:p>
        </w:tc>
        <w:tc>
          <w:tcPr>
            <w:tcW w:w="0" w:type="pct"/>
            <w:noWrap/>
            <w:hideMark/>
          </w:tcPr>
          <w:p w14:paraId="6D388AC4" w14:textId="77777777"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w:t>
            </w:r>
          </w:p>
        </w:tc>
      </w:tr>
      <w:tr w:rsidR="00C838AE" w:rsidRPr="00252F6F" w14:paraId="2E959452" w14:textId="77777777" w:rsidTr="00FF4586">
        <w:trPr>
          <w:cnfStyle w:val="000000010000" w:firstRow="0" w:lastRow="0" w:firstColumn="0" w:lastColumn="0" w:oddVBand="0" w:evenVBand="0" w:oddHBand="0" w:evenHBand="1"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788540C"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040D2C86" w14:textId="77777777" w:rsidR="00252F6F" w:rsidRPr="005216C3" w:rsidRDefault="00252F6F" w:rsidP="00C54C72">
            <w:pPr>
              <w:keepNext/>
              <w:jc w:val="lef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 xml:space="preserve"> Health </w:t>
            </w:r>
          </w:p>
        </w:tc>
        <w:tc>
          <w:tcPr>
            <w:tcW w:w="0" w:type="pct"/>
            <w:noWrap/>
            <w:hideMark/>
          </w:tcPr>
          <w:p w14:paraId="0871D432" w14:textId="0D809D1C"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4</w:t>
            </w:r>
          </w:p>
        </w:tc>
        <w:tc>
          <w:tcPr>
            <w:tcW w:w="0" w:type="pct"/>
            <w:noWrap/>
            <w:hideMark/>
          </w:tcPr>
          <w:p w14:paraId="11E62888" w14:textId="237304BF"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0</w:t>
            </w:r>
          </w:p>
        </w:tc>
        <w:tc>
          <w:tcPr>
            <w:tcW w:w="0" w:type="pct"/>
            <w:noWrap/>
            <w:hideMark/>
          </w:tcPr>
          <w:p w14:paraId="45AD9CE2" w14:textId="585C69E9"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17.7</w:t>
            </w:r>
          </w:p>
        </w:tc>
        <w:tc>
          <w:tcPr>
            <w:tcW w:w="0" w:type="pct"/>
            <w:noWrap/>
            <w:hideMark/>
          </w:tcPr>
          <w:p w14:paraId="30685BC6" w14:textId="7777777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0%</w:t>
            </w:r>
          </w:p>
        </w:tc>
      </w:tr>
      <w:tr w:rsidR="00C838AE" w:rsidRPr="00252F6F" w14:paraId="02401F08" w14:textId="77777777" w:rsidTr="00FF4586">
        <w:trPr>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B67DC04"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1A705135" w14:textId="77777777" w:rsidR="00252F6F" w:rsidRPr="005216C3" w:rsidRDefault="00252F6F" w:rsidP="00C54C72">
            <w:pPr>
              <w:keepNext/>
              <w:jc w:val="lef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 xml:space="preserve"> Lodging </w:t>
            </w:r>
          </w:p>
        </w:tc>
        <w:tc>
          <w:tcPr>
            <w:tcW w:w="0" w:type="pct"/>
            <w:noWrap/>
            <w:hideMark/>
          </w:tcPr>
          <w:p w14:paraId="61E82A3B" w14:textId="05965559"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85</w:t>
            </w:r>
          </w:p>
        </w:tc>
        <w:tc>
          <w:tcPr>
            <w:tcW w:w="0" w:type="pct"/>
            <w:noWrap/>
            <w:hideMark/>
          </w:tcPr>
          <w:p w14:paraId="22A8FA51" w14:textId="1E16BDF9"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5</w:t>
            </w:r>
          </w:p>
        </w:tc>
        <w:tc>
          <w:tcPr>
            <w:tcW w:w="0" w:type="pct"/>
            <w:noWrap/>
            <w:hideMark/>
          </w:tcPr>
          <w:p w14:paraId="4797C9F2" w14:textId="58EB738F"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18.3</w:t>
            </w:r>
          </w:p>
        </w:tc>
        <w:tc>
          <w:tcPr>
            <w:tcW w:w="0" w:type="pct"/>
            <w:noWrap/>
            <w:hideMark/>
          </w:tcPr>
          <w:p w14:paraId="252B1E8F" w14:textId="77777777"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9%</w:t>
            </w:r>
          </w:p>
        </w:tc>
      </w:tr>
      <w:tr w:rsidR="00C838AE" w:rsidRPr="00252F6F" w14:paraId="4CC850C6" w14:textId="77777777" w:rsidTr="00FF4586">
        <w:trPr>
          <w:cnfStyle w:val="000000010000" w:firstRow="0" w:lastRow="0" w:firstColumn="0" w:lastColumn="0" w:oddVBand="0" w:evenVBand="0" w:oddHBand="0" w:evenHBand="1"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70F32987"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3B8D2605" w14:textId="77777777" w:rsidR="00252F6F" w:rsidRPr="005216C3" w:rsidRDefault="00252F6F" w:rsidP="00C54C72">
            <w:pPr>
              <w:keepNext/>
              <w:jc w:val="lef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 xml:space="preserve"> Warehouse </w:t>
            </w:r>
          </w:p>
        </w:tc>
        <w:tc>
          <w:tcPr>
            <w:tcW w:w="0" w:type="pct"/>
            <w:noWrap/>
            <w:hideMark/>
          </w:tcPr>
          <w:p w14:paraId="30F84FAE" w14:textId="00CA579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35</w:t>
            </w:r>
          </w:p>
        </w:tc>
        <w:tc>
          <w:tcPr>
            <w:tcW w:w="0" w:type="pct"/>
            <w:noWrap/>
            <w:hideMark/>
          </w:tcPr>
          <w:p w14:paraId="41159316" w14:textId="20665735"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6</w:t>
            </w:r>
          </w:p>
        </w:tc>
        <w:tc>
          <w:tcPr>
            <w:tcW w:w="0" w:type="pct"/>
            <w:noWrap/>
            <w:hideMark/>
          </w:tcPr>
          <w:p w14:paraId="73B89AC4" w14:textId="6D950C90"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6.1</w:t>
            </w:r>
          </w:p>
        </w:tc>
        <w:tc>
          <w:tcPr>
            <w:tcW w:w="0" w:type="pct"/>
            <w:noWrap/>
            <w:hideMark/>
          </w:tcPr>
          <w:p w14:paraId="0C164100" w14:textId="7777777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5216C3">
              <w:rPr>
                <w:rFonts w:eastAsia="Times New Roman"/>
                <w:color w:val="19172B"/>
                <w:szCs w:val="20"/>
              </w:rPr>
              <w:t>4%</w:t>
            </w:r>
          </w:p>
        </w:tc>
      </w:tr>
      <w:tr w:rsidR="00C838AE" w:rsidRPr="00252F6F" w14:paraId="58B98AFF" w14:textId="77777777" w:rsidTr="00FF4586">
        <w:trPr>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BCFA97A" w14:textId="77777777" w:rsidR="00252F6F" w:rsidRPr="00252F6F" w:rsidRDefault="00252F6F" w:rsidP="00C54C72">
            <w:pPr>
              <w:keepNext/>
              <w:jc w:val="left"/>
              <w:rPr>
                <w:rFonts w:ascii="Calibri" w:eastAsia="Times New Roman" w:hAnsi="Calibri"/>
                <w:color w:val="19172B"/>
                <w:szCs w:val="20"/>
              </w:rPr>
            </w:pPr>
          </w:p>
        </w:tc>
        <w:tc>
          <w:tcPr>
            <w:tcW w:w="0" w:type="pct"/>
            <w:noWrap/>
            <w:hideMark/>
          </w:tcPr>
          <w:p w14:paraId="28A5763A" w14:textId="77777777" w:rsidR="00252F6F" w:rsidRPr="005216C3" w:rsidRDefault="00252F6F" w:rsidP="00C54C72">
            <w:pPr>
              <w:keepNext/>
              <w:jc w:val="lef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 xml:space="preserve"> Miscellaneous </w:t>
            </w:r>
          </w:p>
        </w:tc>
        <w:tc>
          <w:tcPr>
            <w:tcW w:w="0" w:type="pct"/>
            <w:noWrap/>
            <w:hideMark/>
          </w:tcPr>
          <w:p w14:paraId="6EB55ECB" w14:textId="1F151A84"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115</w:t>
            </w:r>
          </w:p>
        </w:tc>
        <w:tc>
          <w:tcPr>
            <w:tcW w:w="0" w:type="pct"/>
            <w:noWrap/>
            <w:hideMark/>
          </w:tcPr>
          <w:p w14:paraId="3F0275C7" w14:textId="2AB5BDB6"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12</w:t>
            </w:r>
          </w:p>
        </w:tc>
        <w:tc>
          <w:tcPr>
            <w:tcW w:w="0" w:type="pct"/>
            <w:noWrap/>
            <w:hideMark/>
          </w:tcPr>
          <w:p w14:paraId="5C6D19A6" w14:textId="23296CBE"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9.4</w:t>
            </w:r>
          </w:p>
        </w:tc>
        <w:tc>
          <w:tcPr>
            <w:tcW w:w="0" w:type="pct"/>
            <w:noWrap/>
            <w:hideMark/>
          </w:tcPr>
          <w:p w14:paraId="607DE4A5" w14:textId="77777777" w:rsidR="00252F6F" w:rsidRPr="005216C3" w:rsidRDefault="00252F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5216C3">
              <w:rPr>
                <w:rFonts w:eastAsia="Times New Roman"/>
                <w:color w:val="19172B"/>
                <w:szCs w:val="20"/>
              </w:rPr>
              <w:t>12%</w:t>
            </w:r>
          </w:p>
        </w:tc>
      </w:tr>
      <w:tr w:rsidR="00C838AE" w:rsidRPr="00252F6F" w14:paraId="12F3E2AC" w14:textId="77777777" w:rsidTr="00FF4586">
        <w:trPr>
          <w:cnfStyle w:val="000000010000" w:firstRow="0" w:lastRow="0" w:firstColumn="0" w:lastColumn="0" w:oddVBand="0" w:evenVBand="0" w:oddHBand="0" w:evenHBand="1" w:firstRowFirstColumn="0" w:firstRowLastColumn="0" w:lastRowFirstColumn="0" w:lastRowLastColumn="0"/>
          <w:divId w:val="1914126027"/>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6116388B" w14:textId="77777777" w:rsidR="00252F6F" w:rsidRPr="00252F6F" w:rsidRDefault="00252F6F" w:rsidP="001C0023">
            <w:pPr>
              <w:keepNext/>
              <w:jc w:val="right"/>
              <w:rPr>
                <w:rFonts w:ascii="Calibri" w:eastAsia="Times New Roman" w:hAnsi="Calibri"/>
                <w:color w:val="19172B"/>
                <w:szCs w:val="20"/>
              </w:rPr>
            </w:pPr>
          </w:p>
        </w:tc>
        <w:tc>
          <w:tcPr>
            <w:tcW w:w="0" w:type="pct"/>
            <w:noWrap/>
            <w:hideMark/>
          </w:tcPr>
          <w:p w14:paraId="2C841985" w14:textId="77777777" w:rsidR="00252F6F" w:rsidRPr="005216C3" w:rsidRDefault="00252F6F" w:rsidP="00FF4586">
            <w:pPr>
              <w:keepNext/>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5216C3">
              <w:rPr>
                <w:rFonts w:asciiTheme="majorHAnsi" w:eastAsia="Times New Roman" w:hAnsiTheme="majorHAnsi"/>
                <w:color w:val="19172B"/>
                <w:szCs w:val="20"/>
              </w:rPr>
              <w:t xml:space="preserve"> Total </w:t>
            </w:r>
          </w:p>
        </w:tc>
        <w:tc>
          <w:tcPr>
            <w:tcW w:w="0" w:type="pct"/>
            <w:noWrap/>
            <w:hideMark/>
          </w:tcPr>
          <w:p w14:paraId="62D3C1CE" w14:textId="5B969462"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5216C3">
              <w:rPr>
                <w:rFonts w:asciiTheme="majorHAnsi" w:eastAsia="Times New Roman" w:hAnsiTheme="majorHAnsi"/>
                <w:color w:val="19172B"/>
                <w:szCs w:val="20"/>
              </w:rPr>
              <w:t>986</w:t>
            </w:r>
          </w:p>
        </w:tc>
        <w:tc>
          <w:tcPr>
            <w:tcW w:w="0" w:type="pct"/>
            <w:noWrap/>
            <w:hideMark/>
          </w:tcPr>
          <w:p w14:paraId="70BEE868" w14:textId="0E203520"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5216C3">
              <w:rPr>
                <w:rFonts w:asciiTheme="majorHAnsi" w:eastAsia="Times New Roman" w:hAnsiTheme="majorHAnsi"/>
                <w:color w:val="19172B"/>
                <w:szCs w:val="20"/>
              </w:rPr>
              <w:t>62</w:t>
            </w:r>
          </w:p>
        </w:tc>
        <w:tc>
          <w:tcPr>
            <w:tcW w:w="0" w:type="pct"/>
            <w:noWrap/>
            <w:hideMark/>
          </w:tcPr>
          <w:p w14:paraId="66E6BF30" w14:textId="7611B030"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5216C3">
              <w:rPr>
                <w:rFonts w:asciiTheme="majorHAnsi" w:eastAsia="Times New Roman" w:hAnsiTheme="majorHAnsi"/>
                <w:color w:val="19172B"/>
                <w:szCs w:val="20"/>
              </w:rPr>
              <w:t>15.8</w:t>
            </w:r>
          </w:p>
        </w:tc>
        <w:tc>
          <w:tcPr>
            <w:tcW w:w="0" w:type="pct"/>
            <w:noWrap/>
            <w:hideMark/>
          </w:tcPr>
          <w:p w14:paraId="3D41735F" w14:textId="77777777" w:rsidR="00252F6F" w:rsidRPr="005216C3" w:rsidRDefault="00252F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5216C3">
              <w:rPr>
                <w:rFonts w:asciiTheme="majorHAnsi" w:eastAsia="Times New Roman" w:hAnsiTheme="majorHAnsi"/>
                <w:color w:val="19172B"/>
                <w:szCs w:val="20"/>
              </w:rPr>
              <w:t>100%</w:t>
            </w:r>
          </w:p>
        </w:tc>
      </w:tr>
    </w:tbl>
    <w:p w14:paraId="37DC795F" w14:textId="77777777" w:rsidR="00B26E37" w:rsidRDefault="00B26E37" w:rsidP="00B26E37">
      <w:pPr>
        <w:pStyle w:val="AEGBody"/>
      </w:pPr>
    </w:p>
    <w:p w14:paraId="1C865C0C" w14:textId="3FF339C6" w:rsidR="00B26E37" w:rsidRPr="00B26E37" w:rsidRDefault="00057F72" w:rsidP="00B26E37">
      <w:pPr>
        <w:pStyle w:val="AEGBody"/>
      </w:pPr>
      <w:r>
        <w:fldChar w:fldCharType="begin"/>
      </w:r>
      <w:r>
        <w:instrText xml:space="preserve"> REF _Ref175812725 \h </w:instrText>
      </w:r>
      <w:r>
        <w:fldChar w:fldCharType="separate"/>
      </w:r>
      <w:r>
        <w:t xml:space="preserve">Figure </w:t>
      </w:r>
      <w:r>
        <w:rPr>
          <w:noProof/>
        </w:rPr>
        <w:t>3</w:t>
      </w:r>
      <w:r>
        <w:noBreakHyphen/>
      </w:r>
      <w:r>
        <w:rPr>
          <w:noProof/>
        </w:rPr>
        <w:t>7</w:t>
      </w:r>
      <w:r>
        <w:fldChar w:fldCharType="end"/>
      </w:r>
      <w:r w:rsidR="00B26E37" w:rsidRPr="00B26E37">
        <w:t xml:space="preserve"> and </w:t>
      </w:r>
      <w:r>
        <w:fldChar w:fldCharType="begin"/>
      </w:r>
      <w:r>
        <w:instrText xml:space="preserve"> REF _Ref175812730 \h </w:instrText>
      </w:r>
      <w:r>
        <w:fldChar w:fldCharType="separate"/>
      </w:r>
      <w:r>
        <w:t xml:space="preserve">Figure </w:t>
      </w:r>
      <w:r>
        <w:rPr>
          <w:noProof/>
        </w:rPr>
        <w:t>3</w:t>
      </w:r>
      <w:r>
        <w:noBreakHyphen/>
      </w:r>
      <w:r>
        <w:rPr>
          <w:noProof/>
        </w:rPr>
        <w:t>8</w:t>
      </w:r>
      <w:r>
        <w:fldChar w:fldCharType="end"/>
      </w:r>
      <w:r w:rsidR="00B26E37" w:rsidRPr="00B26E37">
        <w:t xml:space="preserve"> show the distribution of annual electricity consumption and winter peak demand by end use across all commercial buildings in Washington and Idaho, respectively. Electric usage is dominated by lighting and ventilation, </w:t>
      </w:r>
      <w:r w:rsidR="00B26E37" w:rsidRPr="00FC033C">
        <w:t>which comprise nearly 40%</w:t>
      </w:r>
      <w:r w:rsidR="00B26E37" w:rsidRPr="00B26E37">
        <w:t xml:space="preserve"> of annual electricity usage. Lighting and ventilation also make up the largest portions of winter peak; however, electric space heating represents a greater part of the peak than it does annual energy.</w:t>
      </w:r>
    </w:p>
    <w:p w14:paraId="53E8A911" w14:textId="77777777" w:rsidR="00B26E37" w:rsidRPr="00B26E37" w:rsidRDefault="00B26E37" w:rsidP="00B26E37">
      <w:pPr>
        <w:pStyle w:val="AEGBody"/>
      </w:pPr>
    </w:p>
    <w:p w14:paraId="223EA8A9" w14:textId="3ECA5EA0" w:rsidR="00F94445" w:rsidRDefault="00F94445" w:rsidP="00F94445">
      <w:pPr>
        <w:pStyle w:val="FigureorTableCaption"/>
      </w:pPr>
      <w:bookmarkStart w:id="63" w:name="_Ref175812725"/>
      <w:bookmarkStart w:id="64" w:name="_Toc175904428"/>
      <w:r>
        <w:lastRenderedPageBreak/>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7</w:t>
      </w:r>
      <w:r w:rsidR="000E34CB">
        <w:fldChar w:fldCharType="end"/>
      </w:r>
      <w:bookmarkEnd w:id="63"/>
      <w:r w:rsidR="00015121">
        <w:t xml:space="preserve"> </w:t>
      </w:r>
      <w:r w:rsidRPr="00D138E0">
        <w:t>Commercial Electricity Use and Winter Peak Demand by End Use, Washington</w:t>
      </w:r>
      <w:bookmarkEnd w:id="64"/>
    </w:p>
    <w:p w14:paraId="5B20F7C6" w14:textId="3CF8342C" w:rsidR="00135AB2" w:rsidRDefault="00135AB2" w:rsidP="001021E1">
      <w:pPr>
        <w:pStyle w:val="AEGBody"/>
        <w:jc w:val="center"/>
        <w:rPr>
          <w:lang w:eastAsia="ja-JP"/>
        </w:rPr>
      </w:pPr>
      <w:r>
        <w:rPr>
          <w:noProof/>
        </w:rPr>
        <w:drawing>
          <wp:inline distT="0" distB="0" distL="0" distR="0" wp14:anchorId="131FFD6A" wp14:editId="398DFD3C">
            <wp:extent cx="2936759" cy="2428875"/>
            <wp:effectExtent l="0" t="0" r="0" b="0"/>
            <wp:docPr id="1672222158" name="Chart 1">
              <a:extLst xmlns:a="http://schemas.openxmlformats.org/drawingml/2006/main">
                <a:ext uri="{FF2B5EF4-FFF2-40B4-BE49-F238E27FC236}">
                  <a16:creationId xmlns:a16="http://schemas.microsoft.com/office/drawing/2014/main" id="{23F22134-53F7-CF50-BE87-56BDEC3671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DB4BB4">
        <w:rPr>
          <w:noProof/>
        </w:rPr>
        <w:drawing>
          <wp:inline distT="0" distB="0" distL="0" distR="0" wp14:anchorId="18F6457E" wp14:editId="1B3B8723">
            <wp:extent cx="2876689" cy="2413635"/>
            <wp:effectExtent l="0" t="0" r="0" b="5715"/>
            <wp:docPr id="810641123" name="Chart 1">
              <a:extLst xmlns:a="http://schemas.openxmlformats.org/drawingml/2006/main">
                <a:ext uri="{FF2B5EF4-FFF2-40B4-BE49-F238E27FC236}">
                  <a16:creationId xmlns:a16="http://schemas.microsoft.com/office/drawing/2014/main" id="{1D7A92B7-91E7-4924-86A2-57C7D19FE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9B2E8EA" w14:textId="1753FCC5" w:rsidR="009D430B" w:rsidRDefault="009D430B" w:rsidP="00F0216C">
      <w:pPr>
        <w:pStyle w:val="AEGBody"/>
        <w:rPr>
          <w:lang w:eastAsia="ja-JP"/>
        </w:rPr>
      </w:pPr>
    </w:p>
    <w:p w14:paraId="3F4A7CE5" w14:textId="77777777" w:rsidR="00C17802" w:rsidRDefault="00C17802" w:rsidP="00F0216C">
      <w:pPr>
        <w:pStyle w:val="AEGBody"/>
      </w:pPr>
    </w:p>
    <w:p w14:paraId="1C31C911" w14:textId="45445867" w:rsidR="00AA76D3" w:rsidRDefault="00AA76D3" w:rsidP="00AA76D3">
      <w:pPr>
        <w:pStyle w:val="FigureorTableCaption"/>
      </w:pPr>
      <w:bookmarkStart w:id="65" w:name="_Ref175812730"/>
      <w:bookmarkStart w:id="66" w:name="_Toc175904429"/>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8</w:t>
      </w:r>
      <w:r w:rsidR="000E34CB">
        <w:fldChar w:fldCharType="end"/>
      </w:r>
      <w:bookmarkEnd w:id="65"/>
      <w:r w:rsidR="00015121">
        <w:t xml:space="preserve"> </w:t>
      </w:r>
      <w:r w:rsidRPr="00E672FD">
        <w:t>Commercial Electricity Use and Winter Peak Demand by End Use, Idaho</w:t>
      </w:r>
      <w:bookmarkEnd w:id="66"/>
    </w:p>
    <w:p w14:paraId="78112465" w14:textId="08EE146F" w:rsidR="00B26E37" w:rsidRDefault="00135AB2" w:rsidP="001021E1">
      <w:pPr>
        <w:pStyle w:val="AEGBody"/>
        <w:jc w:val="center"/>
        <w:rPr>
          <w:lang w:eastAsia="ja-JP"/>
        </w:rPr>
      </w:pPr>
      <w:r>
        <w:rPr>
          <w:noProof/>
        </w:rPr>
        <w:drawing>
          <wp:inline distT="0" distB="0" distL="0" distR="0" wp14:anchorId="44E6D8E0" wp14:editId="0E848446">
            <wp:extent cx="2882900" cy="2429501"/>
            <wp:effectExtent l="0" t="0" r="0" b="0"/>
            <wp:docPr id="1791463506" name="Chart 1">
              <a:extLst xmlns:a="http://schemas.openxmlformats.org/drawingml/2006/main">
                <a:ext uri="{FF2B5EF4-FFF2-40B4-BE49-F238E27FC236}">
                  <a16:creationId xmlns:a16="http://schemas.microsoft.com/office/drawing/2014/main" id="{23F22134-53F7-CF50-BE87-56BDEC3671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7753E8">
        <w:rPr>
          <w:noProof/>
        </w:rPr>
        <w:drawing>
          <wp:inline distT="0" distB="0" distL="0" distR="0" wp14:anchorId="791E8828" wp14:editId="63F14260">
            <wp:extent cx="2936240" cy="2429501"/>
            <wp:effectExtent l="0" t="0" r="0" b="0"/>
            <wp:docPr id="906785956" name="Chart 1">
              <a:extLst xmlns:a="http://schemas.openxmlformats.org/drawingml/2006/main">
                <a:ext uri="{FF2B5EF4-FFF2-40B4-BE49-F238E27FC236}">
                  <a16:creationId xmlns:a16="http://schemas.microsoft.com/office/drawing/2014/main" id="{1D7A92B7-91E7-4924-86A2-57C7D19FE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4FA89F0" w14:textId="77777777" w:rsidR="00165C17" w:rsidRDefault="00165C17" w:rsidP="00F0216C">
      <w:pPr>
        <w:pStyle w:val="AEGBody"/>
        <w:rPr>
          <w:lang w:eastAsia="ja-JP"/>
        </w:rPr>
      </w:pPr>
    </w:p>
    <w:p w14:paraId="6B1DB9B2" w14:textId="46E5D426" w:rsidR="00B26E37" w:rsidRDefault="00057F72" w:rsidP="00F0216C">
      <w:pPr>
        <w:pStyle w:val="AEGBody"/>
        <w:rPr>
          <w:lang w:eastAsia="ja-JP"/>
        </w:rPr>
      </w:pPr>
      <w:r>
        <w:rPr>
          <w:lang w:eastAsia="ja-JP"/>
        </w:rPr>
        <w:fldChar w:fldCharType="begin"/>
      </w:r>
      <w:r>
        <w:rPr>
          <w:lang w:eastAsia="ja-JP"/>
        </w:rPr>
        <w:instrText xml:space="preserve"> REF _Ref175812736 \h </w:instrText>
      </w:r>
      <w:r>
        <w:rPr>
          <w:lang w:eastAsia="ja-JP"/>
        </w:rPr>
      </w:r>
      <w:r>
        <w:rPr>
          <w:lang w:eastAsia="ja-JP"/>
        </w:rPr>
        <w:fldChar w:fldCharType="separate"/>
      </w:r>
      <w:r>
        <w:t xml:space="preserve">Figure </w:t>
      </w:r>
      <w:r>
        <w:rPr>
          <w:noProof/>
        </w:rPr>
        <w:t>3</w:t>
      </w:r>
      <w:r>
        <w:noBreakHyphen/>
      </w:r>
      <w:r>
        <w:rPr>
          <w:noProof/>
        </w:rPr>
        <w:t>9</w:t>
      </w:r>
      <w:r>
        <w:rPr>
          <w:lang w:eastAsia="ja-JP"/>
        </w:rPr>
        <w:fldChar w:fldCharType="end"/>
      </w:r>
      <w:r w:rsidR="00B26E37" w:rsidRPr="00B26E37">
        <w:rPr>
          <w:lang w:eastAsia="ja-JP"/>
        </w:rPr>
        <w:t xml:space="preserve"> and </w:t>
      </w:r>
      <w:r>
        <w:rPr>
          <w:lang w:eastAsia="ja-JP"/>
        </w:rPr>
        <w:fldChar w:fldCharType="begin"/>
      </w:r>
      <w:r>
        <w:rPr>
          <w:lang w:eastAsia="ja-JP"/>
        </w:rPr>
        <w:instrText xml:space="preserve"> REF _Ref175812740 \h </w:instrText>
      </w:r>
      <w:r>
        <w:rPr>
          <w:lang w:eastAsia="ja-JP"/>
        </w:rPr>
      </w:r>
      <w:r>
        <w:rPr>
          <w:lang w:eastAsia="ja-JP"/>
        </w:rPr>
        <w:fldChar w:fldCharType="separate"/>
      </w:r>
      <w:r>
        <w:t xml:space="preserve">Figure </w:t>
      </w:r>
      <w:r>
        <w:rPr>
          <w:noProof/>
        </w:rPr>
        <w:t>3</w:t>
      </w:r>
      <w:r>
        <w:noBreakHyphen/>
      </w:r>
      <w:r>
        <w:rPr>
          <w:noProof/>
        </w:rPr>
        <w:t>10</w:t>
      </w:r>
      <w:r>
        <w:rPr>
          <w:lang w:eastAsia="ja-JP"/>
        </w:rPr>
        <w:fldChar w:fldCharType="end"/>
      </w:r>
      <w:r w:rsidR="00B26E37" w:rsidRPr="00B26E37">
        <w:rPr>
          <w:lang w:eastAsia="ja-JP"/>
        </w:rPr>
        <w:t xml:space="preserve"> present the electricity </w:t>
      </w:r>
      <w:r w:rsidR="763476CF" w:rsidRPr="00B26E37">
        <w:rPr>
          <w:lang w:eastAsia="ja-JP"/>
        </w:rPr>
        <w:t xml:space="preserve">intensity </w:t>
      </w:r>
      <w:r w:rsidR="00B26E37" w:rsidRPr="00B26E37">
        <w:rPr>
          <w:lang w:eastAsia="ja-JP"/>
        </w:rPr>
        <w:t xml:space="preserve">in </w:t>
      </w:r>
      <w:r w:rsidR="5EDE6E11" w:rsidRPr="00B26E37">
        <w:rPr>
          <w:lang w:eastAsia="ja-JP"/>
        </w:rPr>
        <w:t>k</w:t>
      </w:r>
      <w:r w:rsidR="00B26E37" w:rsidRPr="00B26E37">
        <w:rPr>
          <w:lang w:eastAsia="ja-JP"/>
        </w:rPr>
        <w:t>Wh</w:t>
      </w:r>
      <w:r w:rsidR="49A18BEC" w:rsidRPr="00B26E37">
        <w:rPr>
          <w:lang w:eastAsia="ja-JP"/>
        </w:rPr>
        <w:t xml:space="preserve"> per square foot</w:t>
      </w:r>
      <w:r w:rsidR="00B26E37" w:rsidRPr="00B26E37">
        <w:rPr>
          <w:lang w:eastAsia="ja-JP"/>
        </w:rPr>
        <w:t xml:space="preserve"> by end use and segment for Washington and Idaho, respectively. In Washington</w:t>
      </w:r>
      <w:r w:rsidR="00B26E37" w:rsidRPr="0043703C">
        <w:rPr>
          <w:lang w:eastAsia="ja-JP"/>
        </w:rPr>
        <w:t>, retail, restaurant</w:t>
      </w:r>
      <w:r w:rsidR="0043703C" w:rsidRPr="0043703C">
        <w:rPr>
          <w:lang w:eastAsia="ja-JP"/>
        </w:rPr>
        <w:t>, lodging</w:t>
      </w:r>
      <w:r w:rsidR="0043703C">
        <w:rPr>
          <w:lang w:eastAsia="ja-JP"/>
        </w:rPr>
        <w:t>, and small office</w:t>
      </w:r>
      <w:r w:rsidR="00B26E37" w:rsidRPr="00B26E37">
        <w:rPr>
          <w:lang w:eastAsia="ja-JP"/>
        </w:rPr>
        <w:t xml:space="preserve"> buildings use the most electricity in the service territory</w:t>
      </w:r>
      <w:r w:rsidR="00B26E37" w:rsidRPr="0043703C">
        <w:rPr>
          <w:lang w:eastAsia="ja-JP"/>
        </w:rPr>
        <w:t xml:space="preserve">. For Idaho, </w:t>
      </w:r>
      <w:r w:rsidR="0043703C">
        <w:rPr>
          <w:lang w:eastAsia="ja-JP"/>
        </w:rPr>
        <w:t>retail, restaurant, and grocery buildings use the most electricity in the service territory</w:t>
      </w:r>
      <w:r w:rsidR="00B26E37" w:rsidRPr="00B26E37">
        <w:rPr>
          <w:lang w:eastAsia="ja-JP"/>
        </w:rPr>
        <w:t>. HVAC and lighting are the major end uses across most segments, aside from large offices and grocery, where office equipment and refrigeration equipment, respectively, are highly concentrated.</w:t>
      </w:r>
    </w:p>
    <w:p w14:paraId="632B62E5" w14:textId="4F4A0D23" w:rsidR="005C3607" w:rsidRDefault="005C3607" w:rsidP="005C3607">
      <w:pPr>
        <w:pStyle w:val="FigureorTableCaption"/>
      </w:pPr>
      <w:bookmarkStart w:id="67" w:name="_Ref175812736"/>
      <w:bookmarkStart w:id="68" w:name="_Toc175904430"/>
      <w:r>
        <w:lastRenderedPageBreak/>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9</w:t>
      </w:r>
      <w:r w:rsidR="000E34CB">
        <w:fldChar w:fldCharType="end"/>
      </w:r>
      <w:bookmarkEnd w:id="67"/>
      <w:r w:rsidR="00015121">
        <w:t xml:space="preserve"> </w:t>
      </w:r>
      <w:r w:rsidRPr="005319B3">
        <w:t xml:space="preserve">Commercial Electric </w:t>
      </w:r>
      <w:r w:rsidR="00795830">
        <w:t xml:space="preserve">Intensity </w:t>
      </w:r>
      <w:r w:rsidRPr="005319B3">
        <w:t xml:space="preserve"> by End Use and Segment, Washington</w:t>
      </w:r>
      <w:bookmarkEnd w:id="68"/>
    </w:p>
    <w:p w14:paraId="3BDAB57C" w14:textId="3987EFAD" w:rsidR="00F70EA8" w:rsidRDefault="000A7BAA" w:rsidP="001021E1">
      <w:pPr>
        <w:pStyle w:val="AEGBody"/>
        <w:jc w:val="center"/>
        <w:rPr>
          <w:lang w:eastAsia="ja-JP"/>
        </w:rPr>
      </w:pPr>
      <w:r>
        <w:rPr>
          <w:noProof/>
        </w:rPr>
        <w:drawing>
          <wp:inline distT="0" distB="0" distL="0" distR="0" wp14:anchorId="3CBE4360" wp14:editId="64E4367D">
            <wp:extent cx="5486400" cy="2837815"/>
            <wp:effectExtent l="0" t="0" r="0" b="635"/>
            <wp:docPr id="437899686" name="Chart 1">
              <a:extLst xmlns:a="http://schemas.openxmlformats.org/drawingml/2006/main">
                <a:ext uri="{FF2B5EF4-FFF2-40B4-BE49-F238E27FC236}">
                  <a16:creationId xmlns:a16="http://schemas.microsoft.com/office/drawing/2014/main" id="{08192C32-4605-43F8-9189-086D73F8B1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AD08808" w14:textId="248E4DAC" w:rsidR="005C3607" w:rsidRDefault="005C3607" w:rsidP="005C3607">
      <w:pPr>
        <w:pStyle w:val="FigureorTableCaption"/>
      </w:pPr>
      <w:bookmarkStart w:id="69" w:name="_Ref175812740"/>
      <w:bookmarkStart w:id="70" w:name="_Toc175904431"/>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10</w:t>
      </w:r>
      <w:r w:rsidR="000E34CB">
        <w:fldChar w:fldCharType="end"/>
      </w:r>
      <w:bookmarkEnd w:id="69"/>
      <w:r w:rsidR="00015121">
        <w:t xml:space="preserve"> </w:t>
      </w:r>
      <w:r w:rsidRPr="000B47AF">
        <w:t xml:space="preserve">Commercial Electric </w:t>
      </w:r>
      <w:r w:rsidR="00795830">
        <w:t>Intensity</w:t>
      </w:r>
      <w:r w:rsidRPr="000B47AF">
        <w:t xml:space="preserve"> by End Use and Segment, Idaho</w:t>
      </w:r>
      <w:bookmarkEnd w:id="70"/>
    </w:p>
    <w:p w14:paraId="6C4DA8EC" w14:textId="0ECC6946" w:rsidR="00724904" w:rsidRDefault="00795830" w:rsidP="001021E1">
      <w:pPr>
        <w:pStyle w:val="AEGBody"/>
        <w:jc w:val="center"/>
        <w:rPr>
          <w:lang w:eastAsia="ja-JP"/>
        </w:rPr>
      </w:pPr>
      <w:r>
        <w:rPr>
          <w:noProof/>
        </w:rPr>
        <w:drawing>
          <wp:inline distT="0" distB="0" distL="0" distR="0" wp14:anchorId="0C972655" wp14:editId="220B5292">
            <wp:extent cx="5486400" cy="2831465"/>
            <wp:effectExtent l="0" t="0" r="0" b="6985"/>
            <wp:docPr id="1205606282" name="Chart 1">
              <a:extLst xmlns:a="http://schemas.openxmlformats.org/drawingml/2006/main">
                <a:ext uri="{FF2B5EF4-FFF2-40B4-BE49-F238E27FC236}">
                  <a16:creationId xmlns:a16="http://schemas.microsoft.com/office/drawing/2014/main" id="{90B7E3AD-E988-4A69-8B4A-C8826D236D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8C216B6" w14:textId="77777777" w:rsidR="00165C17" w:rsidRPr="00F0216C" w:rsidRDefault="00165C17" w:rsidP="00F0216C">
      <w:pPr>
        <w:pStyle w:val="AEGBody"/>
        <w:rPr>
          <w:lang w:eastAsia="ja-JP"/>
        </w:rPr>
      </w:pPr>
    </w:p>
    <w:p w14:paraId="4189E27C" w14:textId="3146BB3D" w:rsidR="007563CF" w:rsidRDefault="007563CF" w:rsidP="009875ED">
      <w:pPr>
        <w:pStyle w:val="Heading2"/>
      </w:pPr>
      <w:bookmarkStart w:id="71" w:name="_Toc175904865"/>
      <w:r>
        <w:t>Industrial Sector</w:t>
      </w:r>
      <w:bookmarkEnd w:id="71"/>
    </w:p>
    <w:p w14:paraId="0E07FCAA" w14:textId="193F84B1" w:rsidR="00B0367E" w:rsidRPr="002D3662" w:rsidRDefault="002D3662" w:rsidP="002D3662">
      <w:pPr>
        <w:pStyle w:val="AEGBody"/>
      </w:pPr>
      <w:r w:rsidRPr="002D3662">
        <w:t xml:space="preserve">The total electricity used by Avista’s industrial customers </w:t>
      </w:r>
      <w:r w:rsidRPr="00A56E2A">
        <w:t xml:space="preserve">in </w:t>
      </w:r>
      <w:r w:rsidR="00057F72" w:rsidRPr="00A56E2A">
        <w:t>202</w:t>
      </w:r>
      <w:r w:rsidR="00057F72">
        <w:t>1</w:t>
      </w:r>
      <w:r w:rsidR="00057F72" w:rsidRPr="002D3662">
        <w:t xml:space="preserve"> </w:t>
      </w:r>
      <w:r w:rsidRPr="002D3662">
        <w:t xml:space="preserve">was </w:t>
      </w:r>
      <w:r w:rsidR="00057F72">
        <w:t>976</w:t>
      </w:r>
      <w:r w:rsidR="00057F72" w:rsidRPr="002D3662">
        <w:t xml:space="preserve"> </w:t>
      </w:r>
      <w:r w:rsidRPr="002D3662">
        <w:t>GWh, 5</w:t>
      </w:r>
      <w:r>
        <w:t>59</w:t>
      </w:r>
      <w:r w:rsidRPr="002D3662">
        <w:t xml:space="preserve"> GWh in Washington, and 4</w:t>
      </w:r>
      <w:r>
        <w:t>16</w:t>
      </w:r>
      <w:r w:rsidRPr="002D3662">
        <w:t xml:space="preserve"> GWh in Idaho. Avista billing data and load forecast, NEEA’s IFSA, and secondary sources were used to develop estimates of energy intensity (annual kWh/employee). We infer the number of employees (the unit of analysis in LoadMAP for the industrial sector) using the electricity use and intensity estimates.</w:t>
      </w:r>
    </w:p>
    <w:p w14:paraId="65C3F1D6" w14:textId="36F8E91E" w:rsidR="00F21C35" w:rsidRDefault="00F21C35" w:rsidP="00F21C35">
      <w:pPr>
        <w:pStyle w:val="FigureorTableCaption"/>
      </w:pPr>
      <w:bookmarkStart w:id="72" w:name="_Toc175912376"/>
      <w:r>
        <w:lastRenderedPageBreak/>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7</w:t>
      </w:r>
      <w:r w:rsidR="00EE4707">
        <w:fldChar w:fldCharType="end"/>
      </w:r>
      <w:r w:rsidR="00015121">
        <w:t xml:space="preserve"> </w:t>
      </w:r>
      <w:r w:rsidRPr="00144CEE">
        <w:t>Base Year Electric Consumption Summary (Control Totals), Washington</w:t>
      </w:r>
      <w:bookmarkEnd w:id="72"/>
    </w:p>
    <w:tbl>
      <w:tblPr>
        <w:tblStyle w:val="AEG-DarkBanded"/>
        <w:tblW w:w="0" w:type="auto"/>
        <w:jc w:val="center"/>
        <w:tblLayout w:type="fixed"/>
        <w:tblLook w:val="04A0" w:firstRow="1" w:lastRow="0" w:firstColumn="1" w:lastColumn="0" w:noHBand="0" w:noVBand="1"/>
      </w:tblPr>
      <w:tblGrid>
        <w:gridCol w:w="1076"/>
        <w:gridCol w:w="1878"/>
      </w:tblGrid>
      <w:tr w:rsidR="00886BC9" w:rsidRPr="00B0367E" w14:paraId="71E5B6B8" w14:textId="77777777" w:rsidTr="00FF4586">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03439F0A" w14:textId="0925E67D" w:rsidR="00886BC9" w:rsidRPr="00DF6574" w:rsidRDefault="00886BC9" w:rsidP="0072059D">
            <w:pPr>
              <w:keepNext/>
              <w:jc w:val="left"/>
              <w:rPr>
                <w:rFonts w:asciiTheme="majorHAnsi" w:eastAsia="Times New Roman" w:hAnsiTheme="majorHAnsi"/>
                <w:b w:val="0"/>
                <w:szCs w:val="20"/>
              </w:rPr>
            </w:pPr>
            <w:r w:rsidRPr="00DF6574">
              <w:rPr>
                <w:rFonts w:asciiTheme="majorHAnsi" w:eastAsia="Times New Roman" w:hAnsiTheme="majorHAnsi"/>
                <w:b w:val="0"/>
                <w:szCs w:val="20"/>
              </w:rPr>
              <w:t>Segment</w:t>
            </w:r>
          </w:p>
        </w:tc>
        <w:tc>
          <w:tcPr>
            <w:tcW w:w="1878" w:type="dxa"/>
            <w:hideMark/>
          </w:tcPr>
          <w:p w14:paraId="4084812B" w14:textId="77777777" w:rsidR="00745657" w:rsidRDefault="00886BC9"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F6574">
              <w:rPr>
                <w:rFonts w:asciiTheme="majorHAnsi" w:eastAsia="Times New Roman" w:hAnsiTheme="majorHAnsi"/>
                <w:b w:val="0"/>
                <w:szCs w:val="20"/>
              </w:rPr>
              <w:t xml:space="preserve">Electric Sales </w:t>
            </w:r>
          </w:p>
          <w:p w14:paraId="5438FD9A" w14:textId="1159E3CA" w:rsidR="00886BC9" w:rsidRPr="00DF6574" w:rsidRDefault="00886BC9"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DF6574">
              <w:rPr>
                <w:rFonts w:asciiTheme="majorHAnsi" w:eastAsia="Times New Roman" w:hAnsiTheme="majorHAnsi"/>
                <w:b w:val="0"/>
                <w:szCs w:val="20"/>
              </w:rPr>
              <w:t>(GWh)</w:t>
            </w:r>
          </w:p>
        </w:tc>
      </w:tr>
      <w:tr w:rsidR="00886BC9" w:rsidRPr="00B0367E" w14:paraId="0E05FFA5"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149F9CE5" w14:textId="77777777" w:rsidR="00886BC9" w:rsidRPr="00DF6574" w:rsidRDefault="00886BC9" w:rsidP="009336C2">
            <w:pPr>
              <w:keepNext/>
              <w:jc w:val="left"/>
              <w:rPr>
                <w:rFonts w:asciiTheme="minorHAnsi" w:eastAsia="Times New Roman" w:hAnsiTheme="minorHAnsi"/>
                <w:color w:val="19172B"/>
                <w:szCs w:val="20"/>
              </w:rPr>
            </w:pPr>
            <w:r w:rsidRPr="00DF6574">
              <w:rPr>
                <w:rFonts w:asciiTheme="minorHAnsi" w:eastAsia="Times New Roman" w:hAnsiTheme="minorHAnsi"/>
                <w:color w:val="19172B"/>
                <w:szCs w:val="20"/>
              </w:rPr>
              <w:t xml:space="preserve"> Industrial </w:t>
            </w:r>
          </w:p>
        </w:tc>
        <w:tc>
          <w:tcPr>
            <w:tcW w:w="1878" w:type="dxa"/>
            <w:noWrap/>
            <w:hideMark/>
          </w:tcPr>
          <w:p w14:paraId="4A52ADF8" w14:textId="77777777" w:rsidR="00886BC9" w:rsidRPr="00DF6574" w:rsidRDefault="00886BC9"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DF6574">
              <w:rPr>
                <w:rFonts w:asciiTheme="minorHAnsi" w:eastAsia="Times New Roman" w:hAnsiTheme="minorHAnsi"/>
                <w:color w:val="19172B"/>
                <w:szCs w:val="20"/>
              </w:rPr>
              <w:t xml:space="preserve">                                 438 </w:t>
            </w:r>
          </w:p>
        </w:tc>
      </w:tr>
      <w:tr w:rsidR="00886BC9" w:rsidRPr="00B0367E" w14:paraId="247ED73F"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172D0E06" w14:textId="77777777" w:rsidR="00886BC9" w:rsidRPr="00DF6574" w:rsidRDefault="00886BC9" w:rsidP="009336C2">
            <w:pPr>
              <w:keepNext/>
              <w:jc w:val="left"/>
              <w:rPr>
                <w:rFonts w:asciiTheme="minorHAnsi" w:eastAsia="Times New Roman" w:hAnsiTheme="minorHAnsi"/>
                <w:color w:val="19172B"/>
                <w:szCs w:val="20"/>
              </w:rPr>
            </w:pPr>
            <w:r w:rsidRPr="00DF6574">
              <w:rPr>
                <w:rFonts w:asciiTheme="minorHAnsi" w:eastAsia="Times New Roman" w:hAnsiTheme="minorHAnsi"/>
                <w:color w:val="19172B"/>
                <w:szCs w:val="20"/>
              </w:rPr>
              <w:t xml:space="preserve"> Pumping </w:t>
            </w:r>
          </w:p>
        </w:tc>
        <w:tc>
          <w:tcPr>
            <w:tcW w:w="1878" w:type="dxa"/>
            <w:noWrap/>
            <w:hideMark/>
          </w:tcPr>
          <w:p w14:paraId="367FAEAF" w14:textId="77777777" w:rsidR="00886BC9" w:rsidRPr="00DF6574" w:rsidRDefault="00886BC9"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DF6574">
              <w:rPr>
                <w:rFonts w:asciiTheme="minorHAnsi" w:eastAsia="Times New Roman" w:hAnsiTheme="minorHAnsi"/>
                <w:color w:val="19172B"/>
                <w:szCs w:val="20"/>
              </w:rPr>
              <w:t xml:space="preserve">                                 122 </w:t>
            </w:r>
          </w:p>
        </w:tc>
      </w:tr>
      <w:tr w:rsidR="00886BC9" w:rsidRPr="00B0367E" w14:paraId="1D3E51B6"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31145F0F" w14:textId="2B2510B0" w:rsidR="00886BC9" w:rsidRPr="00B76382" w:rsidRDefault="00886BC9" w:rsidP="00FF4586">
            <w:pPr>
              <w:keepNext/>
              <w:jc w:val="left"/>
              <w:rPr>
                <w:rFonts w:asciiTheme="majorHAnsi" w:eastAsia="Times New Roman" w:hAnsiTheme="majorHAnsi"/>
                <w:color w:val="19172B"/>
                <w:szCs w:val="20"/>
              </w:rPr>
            </w:pPr>
            <w:r w:rsidRPr="00B76382">
              <w:rPr>
                <w:rFonts w:asciiTheme="majorHAnsi" w:eastAsia="Times New Roman" w:hAnsiTheme="majorHAnsi"/>
                <w:color w:val="19172B"/>
                <w:szCs w:val="20"/>
              </w:rPr>
              <w:t>Total</w:t>
            </w:r>
          </w:p>
        </w:tc>
        <w:tc>
          <w:tcPr>
            <w:tcW w:w="1878" w:type="dxa"/>
            <w:noWrap/>
            <w:hideMark/>
          </w:tcPr>
          <w:p w14:paraId="758F8DC0" w14:textId="77777777" w:rsidR="00886BC9" w:rsidRPr="00B76382" w:rsidRDefault="00886BC9"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B76382">
              <w:rPr>
                <w:rFonts w:asciiTheme="majorHAnsi" w:eastAsia="Times New Roman" w:hAnsiTheme="majorHAnsi"/>
                <w:color w:val="19172B"/>
                <w:szCs w:val="20"/>
              </w:rPr>
              <w:t xml:space="preserve">                                 559 </w:t>
            </w:r>
          </w:p>
        </w:tc>
      </w:tr>
    </w:tbl>
    <w:p w14:paraId="5B61E01E" w14:textId="6F679437" w:rsidR="008519D7" w:rsidRDefault="008519D7" w:rsidP="008D04AF">
      <w:pPr>
        <w:pStyle w:val="AEGBody"/>
        <w:rPr>
          <w:rFonts w:cstheme="minorBidi"/>
        </w:rPr>
      </w:pPr>
    </w:p>
    <w:p w14:paraId="0CB95459" w14:textId="5270D7A2" w:rsidR="00F21C35" w:rsidRDefault="00F21C35" w:rsidP="00F21C35">
      <w:pPr>
        <w:pStyle w:val="FigureorTableCaption"/>
      </w:pPr>
      <w:bookmarkStart w:id="73" w:name="_Toc175912377"/>
      <w:r>
        <w:t xml:space="preserve">Table </w:t>
      </w:r>
      <w:r w:rsidR="00EE4707">
        <w:fldChar w:fldCharType="begin"/>
      </w:r>
      <w:r w:rsidR="00EE4707">
        <w:instrText xml:space="preserve"> STYLEREF 1 \s </w:instrText>
      </w:r>
      <w:r w:rsidR="00EE4707">
        <w:fldChar w:fldCharType="separate"/>
      </w:r>
      <w:r w:rsidR="00EE4707">
        <w:rPr>
          <w:noProof/>
        </w:rPr>
        <w:t>3</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8</w:t>
      </w:r>
      <w:r w:rsidR="00EE4707">
        <w:fldChar w:fldCharType="end"/>
      </w:r>
      <w:r w:rsidR="00015121">
        <w:t xml:space="preserve"> </w:t>
      </w:r>
      <w:r w:rsidRPr="009C4E55">
        <w:t>Base Year Electric Consumption Summary (Control Totals), Idaho</w:t>
      </w:r>
      <w:bookmarkEnd w:id="73"/>
    </w:p>
    <w:tbl>
      <w:tblPr>
        <w:tblStyle w:val="AEGBlue2"/>
        <w:tblW w:w="0" w:type="auto"/>
        <w:jc w:val="center"/>
        <w:tblLayout w:type="fixed"/>
        <w:tblLook w:val="04A0" w:firstRow="1" w:lastRow="0" w:firstColumn="1" w:lastColumn="0" w:noHBand="0" w:noVBand="1"/>
      </w:tblPr>
      <w:tblGrid>
        <w:gridCol w:w="1076"/>
        <w:gridCol w:w="1878"/>
      </w:tblGrid>
      <w:tr w:rsidR="00886BC9" w:rsidRPr="008519D7" w14:paraId="54BC509E" w14:textId="77777777" w:rsidTr="00FF4586">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6ADEA699" w14:textId="1BDBD407" w:rsidR="00886BC9" w:rsidRPr="00B76382" w:rsidRDefault="00886BC9" w:rsidP="009336C2">
            <w:pPr>
              <w:keepNext/>
              <w:jc w:val="left"/>
              <w:rPr>
                <w:rFonts w:asciiTheme="majorHAnsi" w:eastAsia="Times New Roman" w:hAnsiTheme="majorHAnsi"/>
                <w:szCs w:val="20"/>
              </w:rPr>
            </w:pPr>
            <w:r w:rsidRPr="00B76382">
              <w:rPr>
                <w:rFonts w:asciiTheme="majorHAnsi" w:eastAsia="Times New Roman" w:hAnsiTheme="majorHAnsi"/>
                <w:szCs w:val="20"/>
              </w:rPr>
              <w:t>Segment</w:t>
            </w:r>
          </w:p>
        </w:tc>
        <w:tc>
          <w:tcPr>
            <w:tcW w:w="1878" w:type="dxa"/>
            <w:hideMark/>
          </w:tcPr>
          <w:p w14:paraId="57D74990" w14:textId="77777777" w:rsidR="00745657" w:rsidRDefault="00886BC9"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76382">
              <w:rPr>
                <w:rFonts w:asciiTheme="majorHAnsi" w:eastAsia="Times New Roman" w:hAnsiTheme="majorHAnsi"/>
                <w:szCs w:val="20"/>
              </w:rPr>
              <w:t xml:space="preserve">Electric Sales </w:t>
            </w:r>
          </w:p>
          <w:p w14:paraId="7AAA2D18" w14:textId="5A6E62F5" w:rsidR="00886BC9" w:rsidRPr="00B76382" w:rsidRDefault="00886BC9"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76382">
              <w:rPr>
                <w:rFonts w:asciiTheme="majorHAnsi" w:eastAsia="Times New Roman" w:hAnsiTheme="majorHAnsi"/>
                <w:szCs w:val="20"/>
              </w:rPr>
              <w:t>(GWh)</w:t>
            </w:r>
          </w:p>
        </w:tc>
      </w:tr>
      <w:tr w:rsidR="00886BC9" w:rsidRPr="008519D7" w14:paraId="43788CD0"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576DB283" w14:textId="77777777" w:rsidR="00886BC9" w:rsidRPr="00B76382" w:rsidRDefault="00886BC9" w:rsidP="009336C2">
            <w:pPr>
              <w:keepNext/>
              <w:jc w:val="left"/>
              <w:rPr>
                <w:rFonts w:eastAsia="Times New Roman"/>
                <w:color w:val="19172B"/>
                <w:szCs w:val="20"/>
              </w:rPr>
            </w:pPr>
            <w:r w:rsidRPr="00B76382">
              <w:rPr>
                <w:rFonts w:eastAsia="Times New Roman"/>
                <w:color w:val="19172B"/>
                <w:szCs w:val="20"/>
              </w:rPr>
              <w:t xml:space="preserve"> Industrial </w:t>
            </w:r>
          </w:p>
        </w:tc>
        <w:tc>
          <w:tcPr>
            <w:tcW w:w="1878" w:type="dxa"/>
            <w:noWrap/>
            <w:hideMark/>
          </w:tcPr>
          <w:p w14:paraId="266621C2" w14:textId="77777777" w:rsidR="00886BC9" w:rsidRPr="00B76382" w:rsidRDefault="00886BC9"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B76382">
              <w:rPr>
                <w:rFonts w:eastAsia="Times New Roman"/>
                <w:color w:val="19172B"/>
                <w:szCs w:val="20"/>
              </w:rPr>
              <w:t xml:space="preserve">                                 352 </w:t>
            </w:r>
          </w:p>
        </w:tc>
      </w:tr>
      <w:tr w:rsidR="00886BC9" w:rsidRPr="008519D7" w14:paraId="72C87AC0"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02BEE66D" w14:textId="77777777" w:rsidR="00886BC9" w:rsidRPr="00B76382" w:rsidRDefault="00886BC9" w:rsidP="009336C2">
            <w:pPr>
              <w:keepNext/>
              <w:jc w:val="left"/>
              <w:rPr>
                <w:rFonts w:eastAsia="Times New Roman"/>
                <w:color w:val="19172B"/>
                <w:szCs w:val="20"/>
              </w:rPr>
            </w:pPr>
            <w:r w:rsidRPr="00B76382">
              <w:rPr>
                <w:rFonts w:eastAsia="Times New Roman"/>
                <w:color w:val="19172B"/>
                <w:szCs w:val="20"/>
              </w:rPr>
              <w:t xml:space="preserve"> Pumping </w:t>
            </w:r>
          </w:p>
        </w:tc>
        <w:tc>
          <w:tcPr>
            <w:tcW w:w="1878" w:type="dxa"/>
            <w:noWrap/>
            <w:hideMark/>
          </w:tcPr>
          <w:p w14:paraId="709A956C" w14:textId="77777777" w:rsidR="00886BC9" w:rsidRPr="00B76382" w:rsidRDefault="00886BC9"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B76382">
              <w:rPr>
                <w:rFonts w:eastAsia="Times New Roman"/>
                <w:color w:val="19172B"/>
                <w:szCs w:val="20"/>
              </w:rPr>
              <w:t xml:space="preserve">                                   64 </w:t>
            </w:r>
          </w:p>
        </w:tc>
      </w:tr>
      <w:tr w:rsidR="00886BC9" w:rsidRPr="008519D7" w14:paraId="50A5A9DF"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1076" w:type="dxa"/>
            <w:noWrap/>
            <w:hideMark/>
          </w:tcPr>
          <w:p w14:paraId="101A0E5D" w14:textId="7565A482" w:rsidR="00886BC9" w:rsidRPr="00D55AC7" w:rsidRDefault="00886BC9" w:rsidP="00FF4586">
            <w:pPr>
              <w:keepNext/>
              <w:jc w:val="left"/>
              <w:rPr>
                <w:rFonts w:asciiTheme="majorHAnsi" w:eastAsia="Times New Roman" w:hAnsiTheme="majorHAnsi"/>
                <w:color w:val="19172B"/>
                <w:szCs w:val="20"/>
              </w:rPr>
            </w:pPr>
            <w:r w:rsidRPr="00D55AC7">
              <w:rPr>
                <w:rFonts w:asciiTheme="majorHAnsi" w:eastAsia="Times New Roman" w:hAnsiTheme="majorHAnsi"/>
                <w:color w:val="19172B"/>
                <w:szCs w:val="20"/>
              </w:rPr>
              <w:t>Total</w:t>
            </w:r>
          </w:p>
        </w:tc>
        <w:tc>
          <w:tcPr>
            <w:tcW w:w="1878" w:type="dxa"/>
            <w:noWrap/>
            <w:hideMark/>
          </w:tcPr>
          <w:p w14:paraId="52A5CDF1" w14:textId="77777777" w:rsidR="00886BC9" w:rsidRPr="00D55AC7" w:rsidRDefault="00886BC9"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D55AC7">
              <w:rPr>
                <w:rFonts w:asciiTheme="majorHAnsi" w:eastAsia="Times New Roman" w:hAnsiTheme="majorHAnsi"/>
                <w:color w:val="19172B"/>
                <w:szCs w:val="20"/>
              </w:rPr>
              <w:t xml:space="preserve">                                 416 </w:t>
            </w:r>
          </w:p>
        </w:tc>
      </w:tr>
    </w:tbl>
    <w:p w14:paraId="2886A7C9" w14:textId="1CD4FB55" w:rsidR="008D04AF" w:rsidRDefault="008D04AF" w:rsidP="008D04AF">
      <w:pPr>
        <w:pStyle w:val="AEGBody"/>
        <w:rPr>
          <w:rFonts w:cstheme="minorBidi"/>
        </w:rPr>
      </w:pPr>
    </w:p>
    <w:p w14:paraId="330ADC2D" w14:textId="6D27BF6C" w:rsidR="00DB1D2F" w:rsidRDefault="001F2FBC" w:rsidP="008D04AF">
      <w:pPr>
        <w:pStyle w:val="AEGBody"/>
        <w:rPr>
          <w:rFonts w:cstheme="minorBidi"/>
        </w:rPr>
      </w:pPr>
      <w:r>
        <w:rPr>
          <w:rFonts w:cstheme="minorBidi"/>
        </w:rPr>
        <w:fldChar w:fldCharType="begin"/>
      </w:r>
      <w:r>
        <w:rPr>
          <w:rFonts w:cstheme="minorBidi"/>
        </w:rPr>
        <w:instrText xml:space="preserve"> REF _Ref175812968 \h </w:instrText>
      </w:r>
      <w:r>
        <w:rPr>
          <w:rFonts w:cstheme="minorBidi"/>
        </w:rPr>
      </w:r>
      <w:r>
        <w:rPr>
          <w:rFonts w:cstheme="minorBidi"/>
        </w:rPr>
        <w:fldChar w:fldCharType="separate"/>
      </w:r>
      <w:r>
        <w:t xml:space="preserve">Figure </w:t>
      </w:r>
      <w:r>
        <w:rPr>
          <w:noProof/>
        </w:rPr>
        <w:t>3</w:t>
      </w:r>
      <w:r>
        <w:noBreakHyphen/>
      </w:r>
      <w:r>
        <w:rPr>
          <w:noProof/>
        </w:rPr>
        <w:t>11</w:t>
      </w:r>
      <w:r>
        <w:rPr>
          <w:rFonts w:cstheme="minorBidi"/>
        </w:rPr>
        <w:fldChar w:fldCharType="end"/>
      </w:r>
      <w:r w:rsidR="00DB1D2F" w:rsidRPr="00DB1D2F">
        <w:rPr>
          <w:rFonts w:cstheme="minorBidi"/>
        </w:rPr>
        <w:t xml:space="preserve"> and </w:t>
      </w:r>
      <w:r>
        <w:rPr>
          <w:rFonts w:cstheme="minorBidi"/>
        </w:rPr>
        <w:fldChar w:fldCharType="begin"/>
      </w:r>
      <w:r>
        <w:rPr>
          <w:rFonts w:cstheme="minorBidi"/>
        </w:rPr>
        <w:instrText xml:space="preserve"> REF _Ref175812976 \h </w:instrText>
      </w:r>
      <w:r>
        <w:rPr>
          <w:rFonts w:cstheme="minorBidi"/>
        </w:rPr>
      </w:r>
      <w:r>
        <w:rPr>
          <w:rFonts w:cstheme="minorBidi"/>
        </w:rPr>
        <w:fldChar w:fldCharType="separate"/>
      </w:r>
      <w:r>
        <w:t xml:space="preserve">Figure </w:t>
      </w:r>
      <w:r>
        <w:rPr>
          <w:noProof/>
        </w:rPr>
        <w:t>3</w:t>
      </w:r>
      <w:r>
        <w:noBreakHyphen/>
      </w:r>
      <w:r>
        <w:rPr>
          <w:noProof/>
        </w:rPr>
        <w:t>12</w:t>
      </w:r>
      <w:r>
        <w:rPr>
          <w:rFonts w:cstheme="minorBidi"/>
        </w:rPr>
        <w:fldChar w:fldCharType="end"/>
      </w:r>
      <w:r w:rsidR="00DB1D2F" w:rsidRPr="00DB1D2F">
        <w:rPr>
          <w:rFonts w:cstheme="minorBidi"/>
        </w:rPr>
        <w:t xml:space="preserve"> show the distribution of annual electricity consumption and winter peak demand by end use for all industrial customers in Washington and Idaho, respectively. Motors are the largest overall end use, accounting for over 50% of energy use. Note that motors include a wide range of industrial equipment, such as air compressors and refrigeration compressors, pumps, conveyor motors, and fans. The process end use accounts for over 15% of annual energy use, which includes heating, cooling, refrigeration, and electro-chemical processes.</w:t>
      </w:r>
    </w:p>
    <w:p w14:paraId="5576D0CF" w14:textId="40E957A1" w:rsidR="00F21C35" w:rsidRDefault="00F21C35" w:rsidP="00F21C35">
      <w:pPr>
        <w:pStyle w:val="FigureorTableCaption"/>
      </w:pPr>
      <w:bookmarkStart w:id="74" w:name="_Ref175812968"/>
      <w:bookmarkStart w:id="75" w:name="_Toc175904432"/>
      <w:r>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11</w:t>
      </w:r>
      <w:r w:rsidR="000E34CB">
        <w:fldChar w:fldCharType="end"/>
      </w:r>
      <w:bookmarkEnd w:id="74"/>
      <w:r w:rsidR="00015121">
        <w:t xml:space="preserve"> </w:t>
      </w:r>
      <w:r w:rsidRPr="004E3783">
        <w:t>Industrial Electricity Use and Winter Peak Demand by End Use, All Industries, Washington</w:t>
      </w:r>
      <w:bookmarkEnd w:id="75"/>
    </w:p>
    <w:p w14:paraId="40FCA271" w14:textId="7D7D6C09" w:rsidR="006F17E9" w:rsidRDefault="006F17E9" w:rsidP="001021E1">
      <w:pPr>
        <w:pStyle w:val="AEGBody"/>
        <w:jc w:val="center"/>
        <w:rPr>
          <w:lang w:eastAsia="ja-JP"/>
        </w:rPr>
      </w:pPr>
      <w:r>
        <w:rPr>
          <w:noProof/>
        </w:rPr>
        <w:drawing>
          <wp:inline distT="0" distB="0" distL="0" distR="0" wp14:anchorId="698DD9F0" wp14:editId="5EE7DE95">
            <wp:extent cx="2930085" cy="2836545"/>
            <wp:effectExtent l="0" t="0" r="3810" b="1905"/>
            <wp:docPr id="2111621265" name="Chart 1">
              <a:extLst xmlns:a="http://schemas.openxmlformats.org/drawingml/2006/main">
                <a:ext uri="{FF2B5EF4-FFF2-40B4-BE49-F238E27FC236}">
                  <a16:creationId xmlns:a16="http://schemas.microsoft.com/office/drawing/2014/main" id="{1FF1F54E-0099-4058-1322-3A953396EA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rPr>
        <w:drawing>
          <wp:inline distT="0" distB="0" distL="0" distR="0" wp14:anchorId="37976D7B" wp14:editId="0052EE1F">
            <wp:extent cx="2842895" cy="2829574"/>
            <wp:effectExtent l="0" t="0" r="0" b="8890"/>
            <wp:docPr id="352296478" name="Chart 1">
              <a:extLst xmlns:a="http://schemas.openxmlformats.org/drawingml/2006/main">
                <a:ext uri="{FF2B5EF4-FFF2-40B4-BE49-F238E27FC236}">
                  <a16:creationId xmlns:a16="http://schemas.microsoft.com/office/drawing/2014/main" id="{CFDD761A-7E2C-4FD5-ABF3-2D41D64327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4F71BD8" w14:textId="5584F325" w:rsidR="00F21C35" w:rsidRDefault="00F21C35" w:rsidP="00F21C35">
      <w:pPr>
        <w:pStyle w:val="FigureorTableCaption"/>
      </w:pPr>
      <w:bookmarkStart w:id="76" w:name="_Ref175812976"/>
      <w:bookmarkStart w:id="77" w:name="_Toc175904433"/>
      <w:r>
        <w:lastRenderedPageBreak/>
        <w:t xml:space="preserve">Figure </w:t>
      </w:r>
      <w:r w:rsidR="000E34CB">
        <w:fldChar w:fldCharType="begin"/>
      </w:r>
      <w:r w:rsidR="000E34CB">
        <w:instrText xml:space="preserve"> STYLEREF 1 \s </w:instrText>
      </w:r>
      <w:r w:rsidR="000E34CB">
        <w:fldChar w:fldCharType="separate"/>
      </w:r>
      <w:r w:rsidR="000E34CB">
        <w:rPr>
          <w:noProof/>
        </w:rPr>
        <w:t>3</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12</w:t>
      </w:r>
      <w:r w:rsidR="000E34CB">
        <w:fldChar w:fldCharType="end"/>
      </w:r>
      <w:bookmarkEnd w:id="76"/>
      <w:r w:rsidR="00015121">
        <w:t xml:space="preserve"> </w:t>
      </w:r>
      <w:r w:rsidRPr="00250863">
        <w:t>Industrial Electricity Use and Winter Peak Demand by End Use, All Industries, Idaho</w:t>
      </w:r>
      <w:bookmarkEnd w:id="77"/>
    </w:p>
    <w:p w14:paraId="7142D92E" w14:textId="608F88BC" w:rsidR="006F17E9" w:rsidRDefault="006065F6" w:rsidP="001021E1">
      <w:pPr>
        <w:pStyle w:val="AEGBody"/>
        <w:rPr>
          <w:lang w:eastAsia="ja-JP"/>
        </w:rPr>
      </w:pPr>
      <w:r>
        <w:rPr>
          <w:noProof/>
        </w:rPr>
        <w:drawing>
          <wp:inline distT="0" distB="0" distL="0" distR="0" wp14:anchorId="2CD1F77C" wp14:editId="56F7B1D8">
            <wp:extent cx="2976806" cy="3029585"/>
            <wp:effectExtent l="0" t="0" r="0" b="0"/>
            <wp:docPr id="1874459555" name="Chart 1">
              <a:extLst xmlns:a="http://schemas.openxmlformats.org/drawingml/2006/main">
                <a:ext uri="{FF2B5EF4-FFF2-40B4-BE49-F238E27FC236}">
                  <a16:creationId xmlns:a16="http://schemas.microsoft.com/office/drawing/2014/main" id="{1FF1F54E-0099-4058-1322-3A953396EA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rPr>
        <w:drawing>
          <wp:inline distT="0" distB="0" distL="0" distR="0" wp14:anchorId="36594776" wp14:editId="2E144EB7">
            <wp:extent cx="2822575" cy="3035300"/>
            <wp:effectExtent l="0" t="0" r="0" b="0"/>
            <wp:docPr id="938815232" name="Chart 1">
              <a:extLst xmlns:a="http://schemas.openxmlformats.org/drawingml/2006/main">
                <a:ext uri="{FF2B5EF4-FFF2-40B4-BE49-F238E27FC236}">
                  <a16:creationId xmlns:a16="http://schemas.microsoft.com/office/drawing/2014/main" id="{CFDD761A-7E2C-4FD5-ABF3-2D41D64327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02D3148" w14:textId="701EDF78" w:rsidR="00E77D43" w:rsidRDefault="001C3662" w:rsidP="00D6177B">
      <w:pPr>
        <w:pStyle w:val="Heading1"/>
      </w:pPr>
      <w:bookmarkStart w:id="78" w:name="_Toc175904866"/>
      <w:r>
        <w:lastRenderedPageBreak/>
        <w:t>Baseline Projection</w:t>
      </w:r>
      <w:bookmarkEnd w:id="78"/>
    </w:p>
    <w:p w14:paraId="6423924B" w14:textId="77777777" w:rsidR="00426A3E" w:rsidRDefault="00426A3E" w:rsidP="000C6AA0">
      <w:pPr>
        <w:pStyle w:val="AEGBody"/>
      </w:pPr>
    </w:p>
    <w:p w14:paraId="31A149DE" w14:textId="1F2B8896" w:rsidR="000C6AA0" w:rsidRDefault="000C6AA0" w:rsidP="000C6AA0">
      <w:pPr>
        <w:pStyle w:val="AEGBody"/>
      </w:pPr>
      <w:r w:rsidRPr="000C6AA0">
        <w:t xml:space="preserve">Prior to developing estimates of energy efficiency potential, AEG developed a baseline end use projection to quantify the likely future consumption in the absence of any future conservation programs. The baseline projection is the foundation for the analysis of savings from future conservation efforts as well as the metric against which potential savings are measured. </w:t>
      </w:r>
    </w:p>
    <w:p w14:paraId="257F8D82" w14:textId="3273A847" w:rsidR="00974E76" w:rsidRDefault="00974E76" w:rsidP="000C6AA0">
      <w:pPr>
        <w:pStyle w:val="AEGBody"/>
      </w:pPr>
      <w:r w:rsidRPr="00974E76">
        <w:t>The baseline projection quantifies electricity consumption for each sector, customer segment, end use and technology. The end use forecast includes the relatively certain impacts of codes and standards that will unfold over the</w:t>
      </w:r>
      <w:r>
        <w:t xml:space="preserve"> study timeframe; all such mandates that were defined as of January 2024 are included.</w:t>
      </w:r>
    </w:p>
    <w:p w14:paraId="60464D99" w14:textId="62F7752D" w:rsidR="00AC20AC" w:rsidRDefault="00AC20AC" w:rsidP="000C6AA0">
      <w:pPr>
        <w:pStyle w:val="AEGBody"/>
      </w:pPr>
      <w:r>
        <w:t>Other inputs to the projection include: economic growth forecasts (i.e., customer growth, income growth), electricity price forecasts, trends in fuel shares and equipment saturations, and Avista’s internally developed sector-level projections for electricity sales.</w:t>
      </w:r>
    </w:p>
    <w:p w14:paraId="2C4666D1" w14:textId="72C60377" w:rsidR="00AC20AC" w:rsidRDefault="00974E76" w:rsidP="000C6AA0">
      <w:pPr>
        <w:pStyle w:val="AEGBody"/>
      </w:pPr>
      <w:r>
        <w:t xml:space="preserve">The baseline also includes projected naturally occurring energy efficiency during the potential forecast period. AEG’s LoadMAP </w:t>
      </w:r>
      <w:r w:rsidR="00BE502D">
        <w:t xml:space="preserve">efficiency choice model uses energy and cost data as well as current purchase trends to evaluate technologies and predict future purchase shares. AEG also modeled </w:t>
      </w:r>
      <w:r w:rsidR="00C70D12">
        <w:t xml:space="preserve">the adoption of </w:t>
      </w:r>
      <w:r w:rsidR="00BE502D">
        <w:t xml:space="preserve">electrification </w:t>
      </w:r>
      <w:r w:rsidR="00C70D12">
        <w:t xml:space="preserve">measures of </w:t>
      </w:r>
      <w:r w:rsidR="00BE502D">
        <w:t xml:space="preserve">natural gas customers and included the </w:t>
      </w:r>
      <w:r w:rsidR="00C70D12">
        <w:t xml:space="preserve">future </w:t>
      </w:r>
      <w:r w:rsidR="00BE502D">
        <w:t xml:space="preserve">effects of this </w:t>
      </w:r>
      <w:r w:rsidR="00C70D12">
        <w:t>additional</w:t>
      </w:r>
      <w:r w:rsidR="00BE502D">
        <w:t xml:space="preserve"> </w:t>
      </w:r>
      <w:r w:rsidR="00C70D12">
        <w:t xml:space="preserve">electric equipment </w:t>
      </w:r>
      <w:r w:rsidR="00BE502D">
        <w:t>stock in Avista’s territory. Th</w:t>
      </w:r>
      <w:r w:rsidR="00AC20AC">
        <w:t>ese</w:t>
      </w:r>
      <w:r w:rsidR="00BE502D">
        <w:t xml:space="preserve"> purchase data </w:t>
      </w:r>
      <w:r w:rsidR="00C70D12">
        <w:t xml:space="preserve">all </w:t>
      </w:r>
      <w:r w:rsidR="00BE502D">
        <w:t>feed into the stock accounting algorithm to predict and track equipment stock and energy usage for each market segment.</w:t>
      </w:r>
    </w:p>
    <w:p w14:paraId="0D716429" w14:textId="6034D262" w:rsidR="00AC20AC" w:rsidRPr="000C6AA0" w:rsidRDefault="00AC20AC" w:rsidP="000C6AA0">
      <w:pPr>
        <w:pStyle w:val="AEGBody"/>
      </w:pPr>
      <w:r>
        <w:t xml:space="preserve">AEG then calculated hourly profiles </w:t>
      </w:r>
      <w:r w:rsidR="00BD43EF">
        <w:t>of</w:t>
      </w:r>
      <w:r>
        <w:t xml:space="preserve"> the </w:t>
      </w:r>
      <w:r w:rsidR="00C70D12">
        <w:t>end use projection</w:t>
      </w:r>
      <w:r>
        <w:t xml:space="preserve"> using </w:t>
      </w:r>
      <w:r w:rsidR="00BD43EF">
        <w:t xml:space="preserve">a combination of region-specific </w:t>
      </w:r>
      <w:r w:rsidR="00C92BF2">
        <w:t xml:space="preserve">load </w:t>
      </w:r>
      <w:r w:rsidR="00BD43EF">
        <w:t xml:space="preserve">shapes from </w:t>
      </w:r>
      <w:r w:rsidR="00BE4AF9">
        <w:t>the National Renewable Energy Laboratory’s (</w:t>
      </w:r>
      <w:r w:rsidR="00BD43EF">
        <w:t>NREL</w:t>
      </w:r>
      <w:r w:rsidR="00BE4AF9">
        <w:t>) end use load profiles</w:t>
      </w:r>
      <w:r w:rsidR="00BD43EF">
        <w:t>, Avista’s load research data</w:t>
      </w:r>
      <w:r w:rsidR="00BD43EF" w:rsidRPr="00BD43EF">
        <w:t xml:space="preserve"> </w:t>
      </w:r>
      <w:r w:rsidR="00BD43EF">
        <w:t xml:space="preserve">and engineering simulations. </w:t>
      </w:r>
      <w:r w:rsidR="00E3418F">
        <w:t xml:space="preserve">Shapes were collected at the sector, segment, end use or technology level where available. </w:t>
      </w:r>
      <w:r w:rsidR="00BD43EF">
        <w:t xml:space="preserve">These load shapes were </w:t>
      </w:r>
      <w:r w:rsidR="00E3418F">
        <w:t xml:space="preserve">then </w:t>
      </w:r>
      <w:r w:rsidR="00BD43EF">
        <w:t>customized to Avista’s seasonal loads and normalized so the value for each hour represents 1/8760</w:t>
      </w:r>
      <w:r w:rsidR="00BD43EF" w:rsidRPr="00FF4586">
        <w:rPr>
          <w:vertAlign w:val="superscript"/>
        </w:rPr>
        <w:t>th</w:t>
      </w:r>
      <w:r w:rsidR="00BD43EF">
        <w:t xml:space="preserve"> of the year. The energy from baseline projection for each end use and technology was applied to each shape to compute hourly profiles.</w:t>
      </w:r>
    </w:p>
    <w:p w14:paraId="49BF1786" w14:textId="571A8229" w:rsidR="000C6AA0" w:rsidRDefault="000C6AA0" w:rsidP="000C6AA0">
      <w:pPr>
        <w:pStyle w:val="AEGBody"/>
      </w:pPr>
      <w:r w:rsidRPr="000C6AA0">
        <w:t xml:space="preserve">This chapter presents the baseline projections developed for each sector and state (as well as a summary), which include projections of annual use in GWh. Annual energy </w:t>
      </w:r>
      <w:r w:rsidR="000E2AA7">
        <w:t xml:space="preserve">use for </w:t>
      </w:r>
      <w:r w:rsidR="001F2FBC">
        <w:t>2021</w:t>
      </w:r>
      <w:r w:rsidR="001F2FBC" w:rsidRPr="000C6AA0">
        <w:t xml:space="preserve"> </w:t>
      </w:r>
      <w:r w:rsidRPr="000C6AA0">
        <w:t>reflects weather-normalized values, while future years of energy use and peak demand reflect normal weather, as defined by Avista.</w:t>
      </w:r>
    </w:p>
    <w:p w14:paraId="7D3536F3" w14:textId="77777777" w:rsidR="002357DE" w:rsidRPr="000C6AA0" w:rsidRDefault="002357DE" w:rsidP="000C6AA0">
      <w:pPr>
        <w:pStyle w:val="AEGBody"/>
      </w:pPr>
    </w:p>
    <w:p w14:paraId="702B004B" w14:textId="048FBDB7" w:rsidR="00C86F85" w:rsidRDefault="00CC6A72" w:rsidP="00D6177B">
      <w:pPr>
        <w:pStyle w:val="Heading2"/>
      </w:pPr>
      <w:bookmarkStart w:id="79" w:name="_Toc175904867"/>
      <w:r>
        <w:t>Residential Sector Baseline Projections</w:t>
      </w:r>
      <w:bookmarkEnd w:id="79"/>
    </w:p>
    <w:p w14:paraId="4C18AABA" w14:textId="1233381B" w:rsidR="00493B73" w:rsidRPr="00D22AC5" w:rsidRDefault="001F2FBC" w:rsidP="00493B73">
      <w:pPr>
        <w:pStyle w:val="AEGBody"/>
      </w:pPr>
      <w:r>
        <w:fldChar w:fldCharType="begin"/>
      </w:r>
      <w:r>
        <w:instrText xml:space="preserve"> REF _Ref175813200 \h </w:instrText>
      </w:r>
      <w:r>
        <w:fldChar w:fldCharType="separate"/>
      </w:r>
      <w:r>
        <w:t xml:space="preserve">Table </w:t>
      </w:r>
      <w:r>
        <w:rPr>
          <w:noProof/>
        </w:rPr>
        <w:t>4</w:t>
      </w:r>
      <w:r>
        <w:noBreakHyphen/>
      </w:r>
      <w:r>
        <w:rPr>
          <w:noProof/>
        </w:rPr>
        <w:t>1</w:t>
      </w:r>
      <w:r>
        <w:fldChar w:fldCharType="end"/>
      </w:r>
      <w:r w:rsidR="00493B73" w:rsidRPr="00D22AC5">
        <w:t xml:space="preserve"> and </w:t>
      </w:r>
      <w:r>
        <w:fldChar w:fldCharType="begin"/>
      </w:r>
      <w:r>
        <w:instrText xml:space="preserve"> REF _Ref175813204 \h </w:instrText>
      </w:r>
      <w:r>
        <w:fldChar w:fldCharType="separate"/>
      </w:r>
      <w:r>
        <w:t xml:space="preserve">Table </w:t>
      </w:r>
      <w:r>
        <w:rPr>
          <w:noProof/>
        </w:rPr>
        <w:t>4</w:t>
      </w:r>
      <w:r>
        <w:noBreakHyphen/>
      </w:r>
      <w:r>
        <w:rPr>
          <w:noProof/>
        </w:rPr>
        <w:t>2</w:t>
      </w:r>
      <w:r>
        <w:fldChar w:fldCharType="end"/>
      </w:r>
      <w:r w:rsidR="00493B73" w:rsidRPr="00D22AC5">
        <w:t xml:space="preserve"> present the baseline projection for electricity by end use for the residential sector in Washington and Idaho, respectively. Overall, in Washington, residential use increases from </w:t>
      </w:r>
      <w:r w:rsidR="00D22AC5">
        <w:t>2,671</w:t>
      </w:r>
      <w:r w:rsidR="00493B73" w:rsidRPr="00D22AC5">
        <w:t xml:space="preserve"> GWh in 2021 to 3,</w:t>
      </w:r>
      <w:r w:rsidR="00D22AC5">
        <w:t xml:space="preserve">670 </w:t>
      </w:r>
      <w:r w:rsidR="00493B73" w:rsidRPr="00D22AC5">
        <w:t xml:space="preserve">GWh in 2045, an increase of </w:t>
      </w:r>
      <w:r w:rsidR="00D22AC5">
        <w:t>37.4</w:t>
      </w:r>
      <w:r w:rsidR="00493B73" w:rsidRPr="00D22AC5">
        <w:t>%. Residential use in Idaho increases from 1,32</w:t>
      </w:r>
      <w:r w:rsidR="00D22AC5">
        <w:t>0</w:t>
      </w:r>
      <w:r w:rsidR="00493B73" w:rsidRPr="00D22AC5">
        <w:t xml:space="preserve"> GWh in 2021 to 1,</w:t>
      </w:r>
      <w:r w:rsidR="00D22AC5">
        <w:t>763</w:t>
      </w:r>
      <w:r w:rsidR="00493B73" w:rsidRPr="00D22AC5">
        <w:t xml:space="preserve"> GWh in 2045, an increase of 3</w:t>
      </w:r>
      <w:r w:rsidR="00D22AC5">
        <w:t>3.6</w:t>
      </w:r>
      <w:r w:rsidR="00493B73" w:rsidRPr="00D22AC5">
        <w:t xml:space="preserve">%. This reflects substantial customer growth in both states. </w:t>
      </w:r>
      <w:r w:rsidR="00593E6F">
        <w:rPr>
          <w:bCs/>
        </w:rPr>
        <w:fldChar w:fldCharType="begin"/>
      </w:r>
      <w:r w:rsidR="00593E6F">
        <w:instrText xml:space="preserve"> REF _Ref175813617 \h </w:instrText>
      </w:r>
      <w:r w:rsidR="00593E6F">
        <w:rPr>
          <w:bCs/>
        </w:rPr>
      </w:r>
      <w:r w:rsidR="00593E6F">
        <w:rPr>
          <w:bCs/>
        </w:rPr>
        <w:fldChar w:fldCharType="separate"/>
      </w:r>
      <w:r w:rsidR="00593E6F">
        <w:t xml:space="preserve">Figure </w:t>
      </w:r>
      <w:r w:rsidR="00593E6F">
        <w:rPr>
          <w:noProof/>
        </w:rPr>
        <w:t>4</w:t>
      </w:r>
      <w:r w:rsidR="00593E6F">
        <w:noBreakHyphen/>
      </w:r>
      <w:r w:rsidR="00593E6F">
        <w:rPr>
          <w:noProof/>
        </w:rPr>
        <w:t>1</w:t>
      </w:r>
      <w:r w:rsidR="00593E6F">
        <w:rPr>
          <w:bCs/>
        </w:rPr>
        <w:fldChar w:fldCharType="end"/>
      </w:r>
      <w:r w:rsidR="00493B73" w:rsidRPr="00D22AC5">
        <w:rPr>
          <w:bCs/>
        </w:rPr>
        <w:t xml:space="preserve"> </w:t>
      </w:r>
      <w:r w:rsidR="00493B73" w:rsidRPr="00D22AC5">
        <w:t xml:space="preserve">and </w:t>
      </w:r>
      <w:r w:rsidR="00593E6F">
        <w:fldChar w:fldCharType="begin"/>
      </w:r>
      <w:r w:rsidR="00593E6F">
        <w:instrText xml:space="preserve"> REF _Ref175813626 \h </w:instrText>
      </w:r>
      <w:r w:rsidR="00593E6F">
        <w:fldChar w:fldCharType="separate"/>
      </w:r>
      <w:r w:rsidR="00593E6F">
        <w:t xml:space="preserve">Figure </w:t>
      </w:r>
      <w:r w:rsidR="00593E6F">
        <w:rPr>
          <w:noProof/>
        </w:rPr>
        <w:t>4</w:t>
      </w:r>
      <w:r w:rsidR="00593E6F">
        <w:noBreakHyphen/>
      </w:r>
      <w:r w:rsidR="00593E6F">
        <w:rPr>
          <w:noProof/>
        </w:rPr>
        <w:t>3</w:t>
      </w:r>
      <w:r w:rsidR="00593E6F">
        <w:fldChar w:fldCharType="end"/>
      </w:r>
      <w:r w:rsidR="00493B73" w:rsidRPr="00D22AC5">
        <w:t xml:space="preserve"> display the graphical representation of the baseline projection in each state.</w:t>
      </w:r>
    </w:p>
    <w:p w14:paraId="01452C03" w14:textId="282E5C51" w:rsidR="00493B73" w:rsidRDefault="00593E6F" w:rsidP="00493B73">
      <w:pPr>
        <w:pStyle w:val="AEGBody"/>
      </w:pPr>
      <w:r>
        <w:rPr>
          <w:bCs/>
        </w:rPr>
        <w:fldChar w:fldCharType="begin"/>
      </w:r>
      <w:r>
        <w:rPr>
          <w:bCs/>
        </w:rPr>
        <w:instrText xml:space="preserve"> REF _Ref175813647 \h </w:instrText>
      </w:r>
      <w:r>
        <w:rPr>
          <w:bCs/>
        </w:rPr>
      </w:r>
      <w:r>
        <w:rPr>
          <w:bCs/>
        </w:rPr>
        <w:fldChar w:fldCharType="separate"/>
      </w:r>
      <w:r>
        <w:t xml:space="preserve">Figure </w:t>
      </w:r>
      <w:r>
        <w:rPr>
          <w:noProof/>
        </w:rPr>
        <w:t>4</w:t>
      </w:r>
      <w:r>
        <w:noBreakHyphen/>
      </w:r>
      <w:r>
        <w:rPr>
          <w:noProof/>
        </w:rPr>
        <w:t>2</w:t>
      </w:r>
      <w:r>
        <w:rPr>
          <w:bCs/>
        </w:rPr>
        <w:fldChar w:fldCharType="end"/>
      </w:r>
      <w:r w:rsidR="00493B73" w:rsidRPr="00D22AC5">
        <w:rPr>
          <w:bCs/>
        </w:rPr>
        <w:t xml:space="preserve"> </w:t>
      </w:r>
      <w:r w:rsidR="00493B73" w:rsidRPr="00D22AC5">
        <w:t xml:space="preserve">and </w:t>
      </w:r>
      <w:r>
        <w:rPr>
          <w:bCs/>
        </w:rPr>
        <w:fldChar w:fldCharType="begin"/>
      </w:r>
      <w:r>
        <w:instrText xml:space="preserve"> REF _Ref175813653 \h </w:instrText>
      </w:r>
      <w:r>
        <w:rPr>
          <w:bCs/>
        </w:rPr>
      </w:r>
      <w:r>
        <w:rPr>
          <w:bCs/>
        </w:rPr>
        <w:fldChar w:fldCharType="separate"/>
      </w:r>
      <w:r w:rsidRPr="00D9784B">
        <w:t xml:space="preserve">Figure </w:t>
      </w:r>
      <w:r>
        <w:rPr>
          <w:noProof/>
        </w:rPr>
        <w:t>4</w:t>
      </w:r>
      <w:r>
        <w:noBreakHyphen/>
      </w:r>
      <w:r>
        <w:rPr>
          <w:noProof/>
        </w:rPr>
        <w:t>4</w:t>
      </w:r>
      <w:r>
        <w:rPr>
          <w:bCs/>
        </w:rPr>
        <w:fldChar w:fldCharType="end"/>
      </w:r>
      <w:r w:rsidR="00493B73" w:rsidRPr="00D22AC5">
        <w:rPr>
          <w:bCs/>
        </w:rPr>
        <w:t xml:space="preserve"> </w:t>
      </w:r>
      <w:r w:rsidR="00493B73" w:rsidRPr="00D22AC5">
        <w:t>present the baseline projection of annual electricity use per household in each state</w:t>
      </w:r>
      <w:r w:rsidR="00493B73" w:rsidRPr="00D22AC5" w:rsidDel="001F4BD0">
        <w:t xml:space="preserve">. </w:t>
      </w:r>
      <w:r w:rsidR="001F4BD0">
        <w:t xml:space="preserve">Growth in use per household and across the sector is a net effect of </w:t>
      </w:r>
      <w:r w:rsidR="00780455">
        <w:t>several factors:</w:t>
      </w:r>
    </w:p>
    <w:p w14:paraId="28530623" w14:textId="2CFBB0FB" w:rsidR="00780455" w:rsidRDefault="00780455" w:rsidP="00780455">
      <w:pPr>
        <w:pStyle w:val="AEG-BulletList"/>
      </w:pPr>
      <w:r>
        <w:lastRenderedPageBreak/>
        <w:t xml:space="preserve">Lighting continues to decline throughout the forecast period as the impacts of EISA </w:t>
      </w:r>
      <w:r w:rsidR="007028D7">
        <w:t>continue transformation of the lighting market into LED</w:t>
      </w:r>
    </w:p>
    <w:p w14:paraId="11552A99" w14:textId="7D1C9C3A" w:rsidR="00A11799" w:rsidRDefault="00A11799" w:rsidP="00780455">
      <w:pPr>
        <w:pStyle w:val="AEG-BulletList"/>
      </w:pPr>
      <w:r>
        <w:t>The federal water heater standard update effective 2029 causes a sharp decline in water heating usage after that point</w:t>
      </w:r>
      <w:r w:rsidR="00E56455">
        <w:t>, such that by 2045, total residential water heating loads are lower than 2021 values, despite saturation growth from new construction and electrification</w:t>
      </w:r>
    </w:p>
    <w:p w14:paraId="172BD86F" w14:textId="6191C2C7" w:rsidR="007028D7" w:rsidRDefault="007028D7" w:rsidP="00780455">
      <w:pPr>
        <w:pStyle w:val="AEG-BulletList"/>
      </w:pPr>
      <w:r>
        <w:t>Space heating sees an increase as new construction is assumed to be</w:t>
      </w:r>
      <w:r w:rsidR="00DB673B">
        <w:t xml:space="preserve"> heated in the</w:t>
      </w:r>
      <w:r>
        <w:t xml:space="preserve"> majority </w:t>
      </w:r>
      <w:r w:rsidR="00DB673B">
        <w:t xml:space="preserve">by </w:t>
      </w:r>
      <w:r>
        <w:t>electric heat pumps</w:t>
      </w:r>
      <w:r w:rsidR="00DB673B">
        <w:t>, in compliance with Washington state energy code</w:t>
      </w:r>
      <w:r w:rsidR="00DB673B">
        <w:rPr>
          <w:rStyle w:val="FootnoteReference"/>
        </w:rPr>
        <w:footnoteReference w:id="4"/>
      </w:r>
    </w:p>
    <w:p w14:paraId="3E714BFF" w14:textId="315C5DAA" w:rsidR="00EF695A" w:rsidRPr="00D22AC5" w:rsidRDefault="00E7523A" w:rsidP="00FF4586">
      <w:pPr>
        <w:pStyle w:val="AEG-BulletList"/>
      </w:pPr>
      <w:r>
        <w:t xml:space="preserve">In the later years of the forecast, </w:t>
      </w:r>
      <w:r w:rsidR="00900C89">
        <w:t>expected impacts of electric vehicles increase dramatically</w:t>
      </w:r>
      <w:r w:rsidR="00330AC8">
        <w:t>, drawing on research done separately by Cadeo in a concurrent study for Avista</w:t>
      </w:r>
      <w:r w:rsidR="00330AC8">
        <w:rPr>
          <w:rStyle w:val="FootnoteReference"/>
        </w:rPr>
        <w:footnoteReference w:id="5"/>
      </w:r>
    </w:p>
    <w:p w14:paraId="04084940" w14:textId="086144B3" w:rsidR="00D6177B" w:rsidRDefault="00D6177B" w:rsidP="00D6177B">
      <w:pPr>
        <w:pStyle w:val="Caption"/>
      </w:pPr>
      <w:bookmarkStart w:id="80" w:name="_Ref175813200"/>
      <w:bookmarkStart w:id="81" w:name="_Toc175912378"/>
      <w:r>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w:t>
      </w:r>
      <w:r w:rsidR="00EE4707">
        <w:fldChar w:fldCharType="end"/>
      </w:r>
      <w:bookmarkEnd w:id="80"/>
      <w:r>
        <w:t xml:space="preserve"> </w:t>
      </w:r>
      <w:r w:rsidRPr="00EE4701">
        <w:t>Residential Baseline Sales Projection by End Use (GWh), Washington</w:t>
      </w:r>
      <w:bookmarkEnd w:id="81"/>
    </w:p>
    <w:tbl>
      <w:tblPr>
        <w:tblStyle w:val="AEG-DarkBanded"/>
        <w:tblW w:w="5000" w:type="pct"/>
        <w:tblLook w:val="04A0" w:firstRow="1" w:lastRow="0" w:firstColumn="1" w:lastColumn="0" w:noHBand="0" w:noVBand="1"/>
      </w:tblPr>
      <w:tblGrid>
        <w:gridCol w:w="1593"/>
        <w:gridCol w:w="1109"/>
        <w:gridCol w:w="1109"/>
        <w:gridCol w:w="1109"/>
        <w:gridCol w:w="1110"/>
        <w:gridCol w:w="1110"/>
        <w:gridCol w:w="1110"/>
        <w:gridCol w:w="1110"/>
      </w:tblGrid>
      <w:tr w:rsidR="00330386" w:rsidRPr="00330386" w14:paraId="5E04698B" w14:textId="77777777" w:rsidTr="00593E6F">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842" w:type="pct"/>
            <w:hideMark/>
          </w:tcPr>
          <w:p w14:paraId="4ACDA0FC" w14:textId="33B6694C" w:rsidR="00330386" w:rsidRPr="00C162D1" w:rsidRDefault="00330386" w:rsidP="00593E6F">
            <w:pPr>
              <w:keepNext/>
              <w:jc w:val="left"/>
              <w:rPr>
                <w:rFonts w:asciiTheme="majorHAnsi" w:eastAsia="Times New Roman" w:hAnsiTheme="majorHAnsi"/>
                <w:b w:val="0"/>
                <w:bCs/>
                <w:szCs w:val="20"/>
              </w:rPr>
            </w:pPr>
            <w:r w:rsidRPr="00C162D1">
              <w:rPr>
                <w:rFonts w:asciiTheme="majorHAnsi" w:eastAsia="Times New Roman" w:hAnsiTheme="majorHAnsi"/>
                <w:b w:val="0"/>
                <w:bCs/>
                <w:szCs w:val="20"/>
              </w:rPr>
              <w:t>End Use</w:t>
            </w:r>
          </w:p>
        </w:tc>
        <w:tc>
          <w:tcPr>
            <w:tcW w:w="594" w:type="pct"/>
            <w:hideMark/>
          </w:tcPr>
          <w:p w14:paraId="4DA5D211"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2021</w:t>
            </w:r>
          </w:p>
        </w:tc>
        <w:tc>
          <w:tcPr>
            <w:tcW w:w="594" w:type="pct"/>
            <w:hideMark/>
          </w:tcPr>
          <w:p w14:paraId="6D78ACF1"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2023</w:t>
            </w:r>
          </w:p>
        </w:tc>
        <w:tc>
          <w:tcPr>
            <w:tcW w:w="594" w:type="pct"/>
            <w:hideMark/>
          </w:tcPr>
          <w:p w14:paraId="498F806D"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2025</w:t>
            </w:r>
          </w:p>
        </w:tc>
        <w:tc>
          <w:tcPr>
            <w:tcW w:w="594" w:type="pct"/>
            <w:hideMark/>
          </w:tcPr>
          <w:p w14:paraId="213EBE93"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2030</w:t>
            </w:r>
          </w:p>
        </w:tc>
        <w:tc>
          <w:tcPr>
            <w:tcW w:w="594" w:type="pct"/>
            <w:hideMark/>
          </w:tcPr>
          <w:p w14:paraId="7F21D33B"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2040</w:t>
            </w:r>
          </w:p>
        </w:tc>
        <w:tc>
          <w:tcPr>
            <w:tcW w:w="594" w:type="pct"/>
            <w:hideMark/>
          </w:tcPr>
          <w:p w14:paraId="4FB189BA"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2045</w:t>
            </w:r>
          </w:p>
        </w:tc>
        <w:tc>
          <w:tcPr>
            <w:tcW w:w="594" w:type="pct"/>
            <w:hideMark/>
          </w:tcPr>
          <w:p w14:paraId="68FD71D2" w14:textId="77777777" w:rsidR="00330386" w:rsidRPr="00C162D1" w:rsidRDefault="00330386" w:rsidP="00F717D5">
            <w:pPr>
              <w:keepNext/>
              <w:jc w:val="righ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C162D1">
              <w:rPr>
                <w:rFonts w:asciiTheme="majorHAnsi" w:eastAsia="Times New Roman" w:hAnsiTheme="majorHAnsi"/>
                <w:b w:val="0"/>
                <w:bCs/>
                <w:szCs w:val="20"/>
              </w:rPr>
              <w:t>% Change</w:t>
            </w:r>
          </w:p>
        </w:tc>
      </w:tr>
      <w:tr w:rsidR="009A162B" w:rsidRPr="00330386" w14:paraId="6F4245BD"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6A51D4AE" w14:textId="4E0703FD"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Cooling</w:t>
            </w:r>
          </w:p>
        </w:tc>
        <w:tc>
          <w:tcPr>
            <w:tcW w:w="0" w:type="pct"/>
            <w:noWrap/>
            <w:hideMark/>
          </w:tcPr>
          <w:p w14:paraId="60591996" w14:textId="34757BB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178</w:t>
            </w:r>
          </w:p>
        </w:tc>
        <w:tc>
          <w:tcPr>
            <w:tcW w:w="0" w:type="pct"/>
            <w:noWrap/>
            <w:hideMark/>
          </w:tcPr>
          <w:p w14:paraId="55376B6E" w14:textId="21E0B6D8"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200</w:t>
            </w:r>
          </w:p>
        </w:tc>
        <w:tc>
          <w:tcPr>
            <w:tcW w:w="0" w:type="pct"/>
            <w:noWrap/>
            <w:hideMark/>
          </w:tcPr>
          <w:p w14:paraId="4A212FEE" w14:textId="7A132CD6"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178</w:t>
            </w:r>
          </w:p>
        </w:tc>
        <w:tc>
          <w:tcPr>
            <w:tcW w:w="0" w:type="pct"/>
            <w:noWrap/>
            <w:hideMark/>
          </w:tcPr>
          <w:p w14:paraId="7638968C" w14:textId="7BF0F914"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178</w:t>
            </w:r>
          </w:p>
        </w:tc>
        <w:tc>
          <w:tcPr>
            <w:tcW w:w="0" w:type="pct"/>
            <w:noWrap/>
            <w:hideMark/>
          </w:tcPr>
          <w:p w14:paraId="73F477EF" w14:textId="4B6438DC"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190</w:t>
            </w:r>
          </w:p>
        </w:tc>
        <w:tc>
          <w:tcPr>
            <w:tcW w:w="0" w:type="pct"/>
            <w:noWrap/>
            <w:hideMark/>
          </w:tcPr>
          <w:p w14:paraId="04AA0E6E" w14:textId="3F8687E2"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188</w:t>
            </w:r>
          </w:p>
        </w:tc>
        <w:tc>
          <w:tcPr>
            <w:tcW w:w="0" w:type="pct"/>
            <w:noWrap/>
            <w:hideMark/>
          </w:tcPr>
          <w:p w14:paraId="0AF83628" w14:textId="7777777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5.9%</w:t>
            </w:r>
          </w:p>
        </w:tc>
      </w:tr>
      <w:tr w:rsidR="00330386" w:rsidRPr="00330386" w14:paraId="5F05D571"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5C7A601D" w14:textId="539BE05F"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Space Heating</w:t>
            </w:r>
          </w:p>
        </w:tc>
        <w:tc>
          <w:tcPr>
            <w:tcW w:w="0" w:type="pct"/>
            <w:noWrap/>
            <w:hideMark/>
          </w:tcPr>
          <w:p w14:paraId="5DC62D7F" w14:textId="54373E03"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753</w:t>
            </w:r>
          </w:p>
        </w:tc>
        <w:tc>
          <w:tcPr>
            <w:tcW w:w="0" w:type="pct"/>
            <w:noWrap/>
            <w:hideMark/>
          </w:tcPr>
          <w:p w14:paraId="16CC4FBC" w14:textId="12D1A1DE"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789</w:t>
            </w:r>
          </w:p>
        </w:tc>
        <w:tc>
          <w:tcPr>
            <w:tcW w:w="0" w:type="pct"/>
            <w:noWrap/>
            <w:hideMark/>
          </w:tcPr>
          <w:p w14:paraId="371B96AB" w14:textId="7995A0F0"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861</w:t>
            </w:r>
          </w:p>
        </w:tc>
        <w:tc>
          <w:tcPr>
            <w:tcW w:w="0" w:type="pct"/>
            <w:noWrap/>
            <w:hideMark/>
          </w:tcPr>
          <w:p w14:paraId="387000E1" w14:textId="0BE2A342"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869</w:t>
            </w:r>
          </w:p>
        </w:tc>
        <w:tc>
          <w:tcPr>
            <w:tcW w:w="0" w:type="pct"/>
            <w:noWrap/>
            <w:hideMark/>
          </w:tcPr>
          <w:p w14:paraId="3BDE7AA6" w14:textId="0FDB1744"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961</w:t>
            </w:r>
          </w:p>
        </w:tc>
        <w:tc>
          <w:tcPr>
            <w:tcW w:w="0" w:type="pct"/>
            <w:noWrap/>
            <w:hideMark/>
          </w:tcPr>
          <w:p w14:paraId="61141402" w14:textId="35284EC7"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948</w:t>
            </w:r>
          </w:p>
        </w:tc>
        <w:tc>
          <w:tcPr>
            <w:tcW w:w="0" w:type="pct"/>
            <w:noWrap/>
            <w:hideMark/>
          </w:tcPr>
          <w:p w14:paraId="5A508B88" w14:textId="77777777"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25.8%</w:t>
            </w:r>
          </w:p>
        </w:tc>
      </w:tr>
      <w:tr w:rsidR="009A162B" w:rsidRPr="00330386" w14:paraId="0A1F9E04"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7DDA459C" w14:textId="005E1821"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Water Heating</w:t>
            </w:r>
          </w:p>
        </w:tc>
        <w:tc>
          <w:tcPr>
            <w:tcW w:w="0" w:type="pct"/>
            <w:noWrap/>
            <w:hideMark/>
          </w:tcPr>
          <w:p w14:paraId="39AD71A6" w14:textId="3939A8EC"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294</w:t>
            </w:r>
          </w:p>
        </w:tc>
        <w:tc>
          <w:tcPr>
            <w:tcW w:w="0" w:type="pct"/>
            <w:noWrap/>
            <w:hideMark/>
          </w:tcPr>
          <w:p w14:paraId="4DEDD06F" w14:textId="7899D90A"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351</w:t>
            </w:r>
          </w:p>
        </w:tc>
        <w:tc>
          <w:tcPr>
            <w:tcW w:w="0" w:type="pct"/>
            <w:noWrap/>
            <w:hideMark/>
          </w:tcPr>
          <w:p w14:paraId="37621814" w14:textId="439BE3DE"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367</w:t>
            </w:r>
          </w:p>
        </w:tc>
        <w:tc>
          <w:tcPr>
            <w:tcW w:w="0" w:type="pct"/>
            <w:noWrap/>
            <w:hideMark/>
          </w:tcPr>
          <w:p w14:paraId="4942845E" w14:textId="5D3F4359"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374</w:t>
            </w:r>
          </w:p>
        </w:tc>
        <w:tc>
          <w:tcPr>
            <w:tcW w:w="0" w:type="pct"/>
            <w:noWrap/>
            <w:hideMark/>
          </w:tcPr>
          <w:p w14:paraId="17DCE078" w14:textId="3F43CFDF"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303</w:t>
            </w:r>
          </w:p>
        </w:tc>
        <w:tc>
          <w:tcPr>
            <w:tcW w:w="0" w:type="pct"/>
            <w:noWrap/>
            <w:hideMark/>
          </w:tcPr>
          <w:p w14:paraId="0F9C18AA" w14:textId="0638D6F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285</w:t>
            </w:r>
          </w:p>
        </w:tc>
        <w:tc>
          <w:tcPr>
            <w:tcW w:w="0" w:type="pct"/>
            <w:noWrap/>
            <w:hideMark/>
          </w:tcPr>
          <w:p w14:paraId="726AE6A8" w14:textId="7777777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-3.3%</w:t>
            </w:r>
          </w:p>
        </w:tc>
      </w:tr>
      <w:tr w:rsidR="00330386" w:rsidRPr="00330386" w14:paraId="42DFC55C"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79FDB0FA" w14:textId="61481447"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Interior Lighting</w:t>
            </w:r>
          </w:p>
        </w:tc>
        <w:tc>
          <w:tcPr>
            <w:tcW w:w="0" w:type="pct"/>
            <w:noWrap/>
            <w:hideMark/>
          </w:tcPr>
          <w:p w14:paraId="147B6980" w14:textId="7388D62B"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193</w:t>
            </w:r>
          </w:p>
        </w:tc>
        <w:tc>
          <w:tcPr>
            <w:tcW w:w="0" w:type="pct"/>
            <w:noWrap/>
            <w:hideMark/>
          </w:tcPr>
          <w:p w14:paraId="5D8AFE95" w14:textId="37B602C0"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173</w:t>
            </w:r>
          </w:p>
        </w:tc>
        <w:tc>
          <w:tcPr>
            <w:tcW w:w="0" w:type="pct"/>
            <w:noWrap/>
            <w:hideMark/>
          </w:tcPr>
          <w:p w14:paraId="385584FA" w14:textId="42C4E173"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155</w:t>
            </w:r>
          </w:p>
        </w:tc>
        <w:tc>
          <w:tcPr>
            <w:tcW w:w="0" w:type="pct"/>
            <w:noWrap/>
            <w:hideMark/>
          </w:tcPr>
          <w:p w14:paraId="43DB4569" w14:textId="1188AD15"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120</w:t>
            </w:r>
          </w:p>
        </w:tc>
        <w:tc>
          <w:tcPr>
            <w:tcW w:w="0" w:type="pct"/>
            <w:noWrap/>
            <w:hideMark/>
          </w:tcPr>
          <w:p w14:paraId="4E0297C6" w14:textId="0AE61267"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101</w:t>
            </w:r>
          </w:p>
        </w:tc>
        <w:tc>
          <w:tcPr>
            <w:tcW w:w="0" w:type="pct"/>
            <w:noWrap/>
            <w:hideMark/>
          </w:tcPr>
          <w:p w14:paraId="54855D79" w14:textId="7C21DF2D"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98</w:t>
            </w:r>
          </w:p>
        </w:tc>
        <w:tc>
          <w:tcPr>
            <w:tcW w:w="0" w:type="pct"/>
            <w:noWrap/>
            <w:hideMark/>
          </w:tcPr>
          <w:p w14:paraId="1B5FBCEE" w14:textId="77777777"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-49.1%</w:t>
            </w:r>
          </w:p>
        </w:tc>
      </w:tr>
      <w:tr w:rsidR="009A162B" w:rsidRPr="00330386" w14:paraId="06126EA1"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1DA33E87" w14:textId="36D745E7"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Exterior Lighting</w:t>
            </w:r>
          </w:p>
        </w:tc>
        <w:tc>
          <w:tcPr>
            <w:tcW w:w="0" w:type="pct"/>
            <w:noWrap/>
            <w:hideMark/>
          </w:tcPr>
          <w:p w14:paraId="1AA28E4C" w14:textId="7C310CDD"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48</w:t>
            </w:r>
          </w:p>
        </w:tc>
        <w:tc>
          <w:tcPr>
            <w:tcW w:w="0" w:type="pct"/>
            <w:noWrap/>
            <w:hideMark/>
          </w:tcPr>
          <w:p w14:paraId="6939B77F" w14:textId="00AA140A"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21</w:t>
            </w:r>
          </w:p>
        </w:tc>
        <w:tc>
          <w:tcPr>
            <w:tcW w:w="0" w:type="pct"/>
            <w:noWrap/>
            <w:hideMark/>
          </w:tcPr>
          <w:p w14:paraId="664184B0" w14:textId="0CB4AEDF"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20</w:t>
            </w:r>
          </w:p>
        </w:tc>
        <w:tc>
          <w:tcPr>
            <w:tcW w:w="0" w:type="pct"/>
            <w:noWrap/>
            <w:hideMark/>
          </w:tcPr>
          <w:p w14:paraId="7A8C2FF2" w14:textId="06B37DF9"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19</w:t>
            </w:r>
          </w:p>
        </w:tc>
        <w:tc>
          <w:tcPr>
            <w:tcW w:w="0" w:type="pct"/>
            <w:noWrap/>
            <w:hideMark/>
          </w:tcPr>
          <w:p w14:paraId="6F185936" w14:textId="73DF991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15</w:t>
            </w:r>
          </w:p>
        </w:tc>
        <w:tc>
          <w:tcPr>
            <w:tcW w:w="0" w:type="pct"/>
            <w:noWrap/>
            <w:hideMark/>
          </w:tcPr>
          <w:p w14:paraId="14236807" w14:textId="14E0EDF1"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15</w:t>
            </w:r>
          </w:p>
        </w:tc>
        <w:tc>
          <w:tcPr>
            <w:tcW w:w="0" w:type="pct"/>
            <w:noWrap/>
            <w:hideMark/>
          </w:tcPr>
          <w:p w14:paraId="2D5A8E50" w14:textId="7777777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-68.6%</w:t>
            </w:r>
          </w:p>
        </w:tc>
      </w:tr>
      <w:tr w:rsidR="00330386" w:rsidRPr="00330386" w14:paraId="18B5E847"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0C2AC89E" w14:textId="029C321F"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Appliances</w:t>
            </w:r>
          </w:p>
        </w:tc>
        <w:tc>
          <w:tcPr>
            <w:tcW w:w="0" w:type="pct"/>
            <w:noWrap/>
            <w:hideMark/>
          </w:tcPr>
          <w:p w14:paraId="605F1CBB" w14:textId="30AE6BD8"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440</w:t>
            </w:r>
          </w:p>
        </w:tc>
        <w:tc>
          <w:tcPr>
            <w:tcW w:w="0" w:type="pct"/>
            <w:noWrap/>
            <w:hideMark/>
          </w:tcPr>
          <w:p w14:paraId="3BDE08C7" w14:textId="7F54B695"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446</w:t>
            </w:r>
          </w:p>
        </w:tc>
        <w:tc>
          <w:tcPr>
            <w:tcW w:w="0" w:type="pct"/>
            <w:noWrap/>
            <w:hideMark/>
          </w:tcPr>
          <w:p w14:paraId="500381C6" w14:textId="009057ED"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452</w:t>
            </w:r>
          </w:p>
        </w:tc>
        <w:tc>
          <w:tcPr>
            <w:tcW w:w="0" w:type="pct"/>
            <w:noWrap/>
            <w:hideMark/>
          </w:tcPr>
          <w:p w14:paraId="31966DB6" w14:textId="0F5757F5"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469</w:t>
            </w:r>
          </w:p>
        </w:tc>
        <w:tc>
          <w:tcPr>
            <w:tcW w:w="0" w:type="pct"/>
            <w:noWrap/>
            <w:hideMark/>
          </w:tcPr>
          <w:p w14:paraId="72FB9E5B" w14:textId="41E4EE1F"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507</w:t>
            </w:r>
          </w:p>
        </w:tc>
        <w:tc>
          <w:tcPr>
            <w:tcW w:w="0" w:type="pct"/>
            <w:noWrap/>
            <w:hideMark/>
          </w:tcPr>
          <w:p w14:paraId="39F6EE96" w14:textId="5D784412"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531</w:t>
            </w:r>
          </w:p>
        </w:tc>
        <w:tc>
          <w:tcPr>
            <w:tcW w:w="0" w:type="pct"/>
            <w:noWrap/>
            <w:hideMark/>
          </w:tcPr>
          <w:p w14:paraId="512BCF20" w14:textId="77777777"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20.6%</w:t>
            </w:r>
          </w:p>
        </w:tc>
      </w:tr>
      <w:tr w:rsidR="009A162B" w:rsidRPr="00330386" w14:paraId="6AF63717"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159CA39E" w14:textId="2A1BE48A"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Electronics</w:t>
            </w:r>
          </w:p>
        </w:tc>
        <w:tc>
          <w:tcPr>
            <w:tcW w:w="0" w:type="pct"/>
            <w:noWrap/>
            <w:hideMark/>
          </w:tcPr>
          <w:p w14:paraId="353DA43D" w14:textId="30377893"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219</w:t>
            </w:r>
          </w:p>
        </w:tc>
        <w:tc>
          <w:tcPr>
            <w:tcW w:w="0" w:type="pct"/>
            <w:noWrap/>
            <w:hideMark/>
          </w:tcPr>
          <w:p w14:paraId="18D288B6" w14:textId="79E0019E"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222</w:t>
            </w:r>
          </w:p>
        </w:tc>
        <w:tc>
          <w:tcPr>
            <w:tcW w:w="0" w:type="pct"/>
            <w:noWrap/>
            <w:hideMark/>
          </w:tcPr>
          <w:p w14:paraId="5FD36BB5" w14:textId="37A34036"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227</w:t>
            </w:r>
          </w:p>
        </w:tc>
        <w:tc>
          <w:tcPr>
            <w:tcW w:w="0" w:type="pct"/>
            <w:noWrap/>
            <w:hideMark/>
          </w:tcPr>
          <w:p w14:paraId="4CD7E46E" w14:textId="00F05E12"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242</w:t>
            </w:r>
          </w:p>
        </w:tc>
        <w:tc>
          <w:tcPr>
            <w:tcW w:w="0" w:type="pct"/>
            <w:noWrap/>
            <w:hideMark/>
          </w:tcPr>
          <w:p w14:paraId="11633C76" w14:textId="0CEC2700"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286</w:t>
            </w:r>
          </w:p>
        </w:tc>
        <w:tc>
          <w:tcPr>
            <w:tcW w:w="0" w:type="pct"/>
            <w:noWrap/>
            <w:hideMark/>
          </w:tcPr>
          <w:p w14:paraId="27132EF2" w14:textId="698DA40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312</w:t>
            </w:r>
          </w:p>
        </w:tc>
        <w:tc>
          <w:tcPr>
            <w:tcW w:w="0" w:type="pct"/>
            <w:noWrap/>
            <w:hideMark/>
          </w:tcPr>
          <w:p w14:paraId="25FCB69C" w14:textId="7777777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42.5%</w:t>
            </w:r>
          </w:p>
        </w:tc>
      </w:tr>
      <w:tr w:rsidR="00330386" w:rsidRPr="00330386" w14:paraId="618D34C1"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02AC64F2" w14:textId="50C34EAC"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Miscellaneous</w:t>
            </w:r>
          </w:p>
        </w:tc>
        <w:tc>
          <w:tcPr>
            <w:tcW w:w="0" w:type="pct"/>
            <w:noWrap/>
            <w:hideMark/>
          </w:tcPr>
          <w:p w14:paraId="2AA9477F" w14:textId="0333B8C6"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554</w:t>
            </w:r>
          </w:p>
        </w:tc>
        <w:tc>
          <w:tcPr>
            <w:tcW w:w="0" w:type="pct"/>
            <w:noWrap/>
            <w:hideMark/>
          </w:tcPr>
          <w:p w14:paraId="3B2893BA" w14:textId="3B738076"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561</w:t>
            </w:r>
          </w:p>
        </w:tc>
        <w:tc>
          <w:tcPr>
            <w:tcW w:w="0" w:type="pct"/>
            <w:noWrap/>
            <w:hideMark/>
          </w:tcPr>
          <w:p w14:paraId="1EB82715" w14:textId="6DD039C1"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573</w:t>
            </w:r>
          </w:p>
        </w:tc>
        <w:tc>
          <w:tcPr>
            <w:tcW w:w="0" w:type="pct"/>
            <w:noWrap/>
            <w:hideMark/>
          </w:tcPr>
          <w:p w14:paraId="19C0024F" w14:textId="2B077C85"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667</w:t>
            </w:r>
          </w:p>
        </w:tc>
        <w:tc>
          <w:tcPr>
            <w:tcW w:w="0" w:type="pct"/>
            <w:noWrap/>
            <w:hideMark/>
          </w:tcPr>
          <w:p w14:paraId="76255495" w14:textId="25BC03DA"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1,107</w:t>
            </w:r>
          </w:p>
        </w:tc>
        <w:tc>
          <w:tcPr>
            <w:tcW w:w="0" w:type="pct"/>
            <w:noWrap/>
            <w:hideMark/>
          </w:tcPr>
          <w:p w14:paraId="112AC7B3" w14:textId="6816B7D8"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1,379</w:t>
            </w:r>
          </w:p>
        </w:tc>
        <w:tc>
          <w:tcPr>
            <w:tcW w:w="0" w:type="pct"/>
            <w:noWrap/>
            <w:hideMark/>
          </w:tcPr>
          <w:p w14:paraId="313BE356" w14:textId="77777777" w:rsidR="00330386" w:rsidRPr="00C162D1" w:rsidRDefault="0033038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148.8%</w:t>
            </w:r>
          </w:p>
        </w:tc>
      </w:tr>
      <w:tr w:rsidR="009A162B" w:rsidRPr="00330386" w14:paraId="288227B6"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012DBA24" w14:textId="3D081E5B" w:rsidR="00330386" w:rsidRPr="00C162D1" w:rsidRDefault="00330386" w:rsidP="00593E6F">
            <w:pPr>
              <w:keepNext/>
              <w:jc w:val="left"/>
              <w:rPr>
                <w:rFonts w:asciiTheme="minorHAnsi" w:eastAsia="Times New Roman" w:hAnsiTheme="minorHAnsi"/>
                <w:color w:val="19172B"/>
                <w:szCs w:val="20"/>
              </w:rPr>
            </w:pPr>
            <w:r w:rsidRPr="00C162D1">
              <w:rPr>
                <w:rFonts w:asciiTheme="minorHAnsi" w:eastAsia="Times New Roman" w:hAnsiTheme="minorHAnsi"/>
                <w:color w:val="19172B"/>
                <w:szCs w:val="20"/>
              </w:rPr>
              <w:t>Generation</w:t>
            </w:r>
          </w:p>
        </w:tc>
        <w:tc>
          <w:tcPr>
            <w:tcW w:w="0" w:type="pct"/>
            <w:noWrap/>
            <w:hideMark/>
          </w:tcPr>
          <w:p w14:paraId="524AAB61" w14:textId="7B816D76"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(10)</w:t>
            </w:r>
          </w:p>
        </w:tc>
        <w:tc>
          <w:tcPr>
            <w:tcW w:w="0" w:type="pct"/>
            <w:noWrap/>
            <w:hideMark/>
          </w:tcPr>
          <w:p w14:paraId="159D79D7" w14:textId="2F5130FE"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(29)</w:t>
            </w:r>
          </w:p>
        </w:tc>
        <w:tc>
          <w:tcPr>
            <w:tcW w:w="0" w:type="pct"/>
            <w:noWrap/>
            <w:hideMark/>
          </w:tcPr>
          <w:p w14:paraId="5557E4A0" w14:textId="58D1541E"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(43)</w:t>
            </w:r>
          </w:p>
        </w:tc>
        <w:tc>
          <w:tcPr>
            <w:tcW w:w="0" w:type="pct"/>
            <w:noWrap/>
            <w:hideMark/>
          </w:tcPr>
          <w:p w14:paraId="27EABED2" w14:textId="7194E68D"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(83)</w:t>
            </w:r>
          </w:p>
        </w:tc>
        <w:tc>
          <w:tcPr>
            <w:tcW w:w="0" w:type="pct"/>
            <w:noWrap/>
            <w:hideMark/>
          </w:tcPr>
          <w:p w14:paraId="73A738F5" w14:textId="785D9F63"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(87)</w:t>
            </w:r>
          </w:p>
        </w:tc>
        <w:tc>
          <w:tcPr>
            <w:tcW w:w="0" w:type="pct"/>
            <w:noWrap/>
            <w:hideMark/>
          </w:tcPr>
          <w:p w14:paraId="7140F175" w14:textId="3AB89605"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(87)</w:t>
            </w:r>
          </w:p>
        </w:tc>
        <w:tc>
          <w:tcPr>
            <w:tcW w:w="0" w:type="pct"/>
            <w:noWrap/>
            <w:hideMark/>
          </w:tcPr>
          <w:p w14:paraId="637C096B" w14:textId="77777777" w:rsidR="00330386" w:rsidRPr="00C162D1" w:rsidRDefault="0033038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C162D1">
              <w:rPr>
                <w:rFonts w:asciiTheme="minorHAnsi" w:eastAsia="Times New Roman" w:hAnsiTheme="minorHAnsi"/>
                <w:color w:val="19172B"/>
                <w:szCs w:val="20"/>
              </w:rPr>
              <w:t>791.0%</w:t>
            </w:r>
          </w:p>
        </w:tc>
      </w:tr>
      <w:tr w:rsidR="009A162B" w:rsidRPr="00330386" w14:paraId="472A68F3"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243A42CB" w14:textId="40640F19" w:rsidR="00330386" w:rsidRPr="00C162D1" w:rsidRDefault="00330386" w:rsidP="009336C2">
            <w:pPr>
              <w:jc w:val="center"/>
              <w:rPr>
                <w:rFonts w:asciiTheme="majorHAnsi" w:eastAsia="Times New Roman" w:hAnsiTheme="majorHAnsi"/>
                <w:color w:val="19172B"/>
                <w:szCs w:val="20"/>
              </w:rPr>
            </w:pPr>
            <w:r w:rsidRPr="00C162D1">
              <w:rPr>
                <w:rFonts w:asciiTheme="majorHAnsi" w:eastAsia="Times New Roman" w:hAnsiTheme="majorHAnsi"/>
                <w:color w:val="19172B"/>
                <w:szCs w:val="20"/>
              </w:rPr>
              <w:t>Total</w:t>
            </w:r>
          </w:p>
        </w:tc>
        <w:tc>
          <w:tcPr>
            <w:tcW w:w="0" w:type="pct"/>
            <w:noWrap/>
            <w:hideMark/>
          </w:tcPr>
          <w:p w14:paraId="6A2118C5" w14:textId="59A412D0"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2,671</w:t>
            </w:r>
          </w:p>
        </w:tc>
        <w:tc>
          <w:tcPr>
            <w:tcW w:w="0" w:type="pct"/>
            <w:noWrap/>
            <w:hideMark/>
          </w:tcPr>
          <w:p w14:paraId="12C03228" w14:textId="0672A283"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2,734</w:t>
            </w:r>
          </w:p>
        </w:tc>
        <w:tc>
          <w:tcPr>
            <w:tcW w:w="0" w:type="pct"/>
            <w:noWrap/>
            <w:hideMark/>
          </w:tcPr>
          <w:p w14:paraId="7250F448" w14:textId="76D1331C"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2,790</w:t>
            </w:r>
          </w:p>
        </w:tc>
        <w:tc>
          <w:tcPr>
            <w:tcW w:w="0" w:type="pct"/>
            <w:noWrap/>
            <w:hideMark/>
          </w:tcPr>
          <w:p w14:paraId="26B86080" w14:textId="52A2A9DD"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2,855</w:t>
            </w:r>
          </w:p>
        </w:tc>
        <w:tc>
          <w:tcPr>
            <w:tcW w:w="0" w:type="pct"/>
            <w:noWrap/>
            <w:hideMark/>
          </w:tcPr>
          <w:p w14:paraId="0A5AC92C" w14:textId="455B6451"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3,383</w:t>
            </w:r>
          </w:p>
        </w:tc>
        <w:tc>
          <w:tcPr>
            <w:tcW w:w="0" w:type="pct"/>
            <w:noWrap/>
            <w:hideMark/>
          </w:tcPr>
          <w:p w14:paraId="57E45913" w14:textId="5E2459E1"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3,670</w:t>
            </w:r>
          </w:p>
        </w:tc>
        <w:tc>
          <w:tcPr>
            <w:tcW w:w="0" w:type="pct"/>
            <w:noWrap/>
            <w:hideMark/>
          </w:tcPr>
          <w:p w14:paraId="6E3A21AA" w14:textId="77777777" w:rsidR="00330386" w:rsidRPr="00C162D1" w:rsidRDefault="00330386" w:rsidP="00FF4586">
            <w:pPr>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C162D1">
              <w:rPr>
                <w:rFonts w:asciiTheme="majorHAnsi" w:eastAsia="Times New Roman" w:hAnsiTheme="majorHAnsi"/>
                <w:color w:val="19172B"/>
                <w:szCs w:val="20"/>
              </w:rPr>
              <w:t>37.4%</w:t>
            </w:r>
          </w:p>
        </w:tc>
      </w:tr>
    </w:tbl>
    <w:p w14:paraId="175AB59D" w14:textId="52AC0B2D" w:rsidR="002610F1" w:rsidRDefault="002610F1" w:rsidP="00D56C39">
      <w:pPr>
        <w:pStyle w:val="AEGBody"/>
        <w:rPr>
          <w:lang w:eastAsia="ja-JP"/>
        </w:rPr>
      </w:pPr>
    </w:p>
    <w:p w14:paraId="703EAFCF" w14:textId="12025437" w:rsidR="00D6177B" w:rsidRDefault="00D6177B" w:rsidP="00D6177B">
      <w:pPr>
        <w:pStyle w:val="Caption"/>
      </w:pPr>
      <w:bookmarkStart w:id="82" w:name="_Ref175813617"/>
      <w:bookmarkStart w:id="83" w:name="_Toc175904434"/>
      <w:r>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w:t>
      </w:r>
      <w:r w:rsidR="000E34CB">
        <w:fldChar w:fldCharType="end"/>
      </w:r>
      <w:bookmarkEnd w:id="82"/>
      <w:r>
        <w:t xml:space="preserve"> </w:t>
      </w:r>
      <w:r w:rsidRPr="00007955">
        <w:t>Residential Baseline Projection by End Use, Washington</w:t>
      </w:r>
      <w:bookmarkEnd w:id="83"/>
    </w:p>
    <w:p w14:paraId="726BE39D" w14:textId="1FD8FCB9" w:rsidR="009A162B" w:rsidRDefault="00D73F73" w:rsidP="00D56C39">
      <w:pPr>
        <w:pStyle w:val="AEGBody"/>
        <w:rPr>
          <w:lang w:eastAsia="ja-JP"/>
        </w:rPr>
      </w:pPr>
      <w:r>
        <w:rPr>
          <w:noProof/>
        </w:rPr>
        <w:drawing>
          <wp:inline distT="0" distB="0" distL="0" distR="0" wp14:anchorId="626418C0" wp14:editId="4D884674">
            <wp:extent cx="5673351" cy="2680237"/>
            <wp:effectExtent l="0" t="0" r="3810" b="6350"/>
            <wp:docPr id="15801244" name="Chart 1">
              <a:extLst xmlns:a="http://schemas.openxmlformats.org/drawingml/2006/main">
                <a:ext uri="{FF2B5EF4-FFF2-40B4-BE49-F238E27FC236}">
                  <a16:creationId xmlns:a16="http://schemas.microsoft.com/office/drawing/2014/main" id="{216166AF-8DD5-4554-A7E4-974B371E0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AB490FD" w14:textId="77777777" w:rsidR="005A0B6A" w:rsidRDefault="005A0B6A" w:rsidP="00D56C39">
      <w:pPr>
        <w:pStyle w:val="AEGBody"/>
        <w:rPr>
          <w:lang w:eastAsia="ja-JP"/>
        </w:rPr>
      </w:pPr>
    </w:p>
    <w:p w14:paraId="04139FD4" w14:textId="31BE2DD2" w:rsidR="00D9784B" w:rsidRDefault="00D9784B" w:rsidP="00D9784B">
      <w:pPr>
        <w:pStyle w:val="FigureorTableCaption"/>
      </w:pPr>
      <w:bookmarkStart w:id="84" w:name="_Ref175813647"/>
      <w:bookmarkStart w:id="85" w:name="_Toc175904435"/>
      <w:r>
        <w:lastRenderedPageBreak/>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2</w:t>
      </w:r>
      <w:r w:rsidR="000E34CB">
        <w:fldChar w:fldCharType="end"/>
      </w:r>
      <w:bookmarkEnd w:id="84"/>
      <w:r w:rsidR="00015121">
        <w:t xml:space="preserve"> </w:t>
      </w:r>
      <w:r w:rsidRPr="00DB5C9C">
        <w:t xml:space="preserve">Residential Baseline Projection </w:t>
      </w:r>
      <w:r w:rsidR="00A56F5E" w:rsidRPr="00DB5C9C">
        <w:t>by</w:t>
      </w:r>
      <w:r w:rsidRPr="00DB5C9C">
        <w:t xml:space="preserve"> End Use - Annual Per Household, Washington</w:t>
      </w:r>
      <w:bookmarkEnd w:id="85"/>
    </w:p>
    <w:p w14:paraId="0CB72242" w14:textId="0E739554" w:rsidR="002610F1" w:rsidRDefault="00D73F73" w:rsidP="00D56C39">
      <w:pPr>
        <w:pStyle w:val="AEGBody"/>
        <w:rPr>
          <w:lang w:eastAsia="ja-JP"/>
        </w:rPr>
      </w:pPr>
      <w:r>
        <w:rPr>
          <w:noProof/>
        </w:rPr>
        <w:drawing>
          <wp:inline distT="0" distB="0" distL="0" distR="0" wp14:anchorId="0334709D" wp14:editId="22A36B55">
            <wp:extent cx="5489575" cy="2682811"/>
            <wp:effectExtent l="0" t="0" r="0" b="3810"/>
            <wp:docPr id="71338395" name="Chart 1">
              <a:extLst xmlns:a="http://schemas.openxmlformats.org/drawingml/2006/main">
                <a:ext uri="{FF2B5EF4-FFF2-40B4-BE49-F238E27FC236}">
                  <a16:creationId xmlns:a16="http://schemas.microsoft.com/office/drawing/2014/main" id="{EF50E1D0-5C6D-4D03-A447-EE10611C0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EEB0007" w14:textId="77777777" w:rsidR="00493B73" w:rsidRDefault="00493B73" w:rsidP="00D56C39">
      <w:pPr>
        <w:pStyle w:val="AEGBody"/>
        <w:rPr>
          <w:lang w:eastAsia="ja-JP"/>
        </w:rPr>
      </w:pPr>
    </w:p>
    <w:p w14:paraId="36A91578" w14:textId="1D580DB8" w:rsidR="00D9784B" w:rsidRDefault="00D9784B" w:rsidP="00D9784B">
      <w:pPr>
        <w:pStyle w:val="FigureorTableCaption"/>
      </w:pPr>
      <w:bookmarkStart w:id="86" w:name="_Ref175813204"/>
      <w:bookmarkStart w:id="87" w:name="_Toc175912379"/>
      <w:r>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2</w:t>
      </w:r>
      <w:r w:rsidR="00EE4707">
        <w:fldChar w:fldCharType="end"/>
      </w:r>
      <w:bookmarkEnd w:id="86"/>
      <w:r w:rsidR="00015121">
        <w:t xml:space="preserve"> </w:t>
      </w:r>
      <w:r w:rsidRPr="003952A5">
        <w:t>Residential Baseline Sales Projection by End Use (GWh), Idaho</w:t>
      </w:r>
      <w:bookmarkEnd w:id="87"/>
    </w:p>
    <w:tbl>
      <w:tblPr>
        <w:tblStyle w:val="AEGBlue2"/>
        <w:tblW w:w="0" w:type="auto"/>
        <w:tblLayout w:type="fixed"/>
        <w:tblLook w:val="04A0" w:firstRow="1" w:lastRow="0" w:firstColumn="1" w:lastColumn="0" w:noHBand="0" w:noVBand="1"/>
      </w:tblPr>
      <w:tblGrid>
        <w:gridCol w:w="1800"/>
        <w:gridCol w:w="1054"/>
        <w:gridCol w:w="1054"/>
        <w:gridCol w:w="1054"/>
        <w:gridCol w:w="1055"/>
        <w:gridCol w:w="1054"/>
        <w:gridCol w:w="1054"/>
        <w:gridCol w:w="1055"/>
      </w:tblGrid>
      <w:tr w:rsidR="002610F1" w:rsidRPr="002610F1" w14:paraId="251E2526" w14:textId="77777777" w:rsidTr="00593E6F">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800" w:type="dxa"/>
            <w:hideMark/>
          </w:tcPr>
          <w:p w14:paraId="23560063" w14:textId="77777777" w:rsidR="002610F1" w:rsidRPr="001B1587" w:rsidRDefault="002610F1" w:rsidP="00593E6F">
            <w:pPr>
              <w:keepNext/>
              <w:jc w:val="left"/>
              <w:rPr>
                <w:rFonts w:asciiTheme="majorHAnsi" w:eastAsia="Times New Roman" w:hAnsiTheme="majorHAnsi"/>
                <w:szCs w:val="20"/>
              </w:rPr>
            </w:pPr>
            <w:r w:rsidRPr="001B1587">
              <w:rPr>
                <w:rFonts w:asciiTheme="majorHAnsi" w:eastAsia="Times New Roman" w:hAnsiTheme="majorHAnsi"/>
                <w:szCs w:val="20"/>
              </w:rPr>
              <w:t>End Use</w:t>
            </w:r>
          </w:p>
        </w:tc>
        <w:tc>
          <w:tcPr>
            <w:tcW w:w="1054" w:type="dxa"/>
            <w:hideMark/>
          </w:tcPr>
          <w:p w14:paraId="3559A444"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2021</w:t>
            </w:r>
          </w:p>
        </w:tc>
        <w:tc>
          <w:tcPr>
            <w:tcW w:w="1054" w:type="dxa"/>
            <w:hideMark/>
          </w:tcPr>
          <w:p w14:paraId="4AFF976C"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2023</w:t>
            </w:r>
          </w:p>
        </w:tc>
        <w:tc>
          <w:tcPr>
            <w:tcW w:w="1054" w:type="dxa"/>
            <w:hideMark/>
          </w:tcPr>
          <w:p w14:paraId="4A60F874"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2025</w:t>
            </w:r>
          </w:p>
        </w:tc>
        <w:tc>
          <w:tcPr>
            <w:tcW w:w="1055" w:type="dxa"/>
            <w:hideMark/>
          </w:tcPr>
          <w:p w14:paraId="05285B67"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2030</w:t>
            </w:r>
          </w:p>
        </w:tc>
        <w:tc>
          <w:tcPr>
            <w:tcW w:w="1054" w:type="dxa"/>
            <w:hideMark/>
          </w:tcPr>
          <w:p w14:paraId="7847290D"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2040</w:t>
            </w:r>
          </w:p>
        </w:tc>
        <w:tc>
          <w:tcPr>
            <w:tcW w:w="1054" w:type="dxa"/>
            <w:hideMark/>
          </w:tcPr>
          <w:p w14:paraId="5CFEBF1F"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2045</w:t>
            </w:r>
          </w:p>
        </w:tc>
        <w:tc>
          <w:tcPr>
            <w:tcW w:w="1055" w:type="dxa"/>
            <w:hideMark/>
          </w:tcPr>
          <w:p w14:paraId="33F6FB94" w14:textId="77777777" w:rsidR="002610F1" w:rsidRPr="001B1587" w:rsidRDefault="002610F1" w:rsidP="00593E6F">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B1587">
              <w:rPr>
                <w:rFonts w:asciiTheme="majorHAnsi" w:eastAsia="Times New Roman" w:hAnsiTheme="majorHAnsi"/>
                <w:szCs w:val="20"/>
              </w:rPr>
              <w:t>% Change</w:t>
            </w:r>
          </w:p>
        </w:tc>
      </w:tr>
      <w:tr w:rsidR="002610F1" w:rsidRPr="002610F1" w14:paraId="54F56E1B"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1083E81E"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Cooling </w:t>
            </w:r>
          </w:p>
        </w:tc>
        <w:tc>
          <w:tcPr>
            <w:tcW w:w="0" w:type="dxa"/>
            <w:noWrap/>
            <w:hideMark/>
          </w:tcPr>
          <w:p w14:paraId="2F6C7B0D" w14:textId="13D52FE9"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73</w:t>
            </w:r>
          </w:p>
        </w:tc>
        <w:tc>
          <w:tcPr>
            <w:tcW w:w="0" w:type="dxa"/>
            <w:noWrap/>
            <w:hideMark/>
          </w:tcPr>
          <w:p w14:paraId="6FB96561" w14:textId="1567F29B"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78</w:t>
            </w:r>
          </w:p>
        </w:tc>
        <w:tc>
          <w:tcPr>
            <w:tcW w:w="0" w:type="dxa"/>
            <w:noWrap/>
            <w:hideMark/>
          </w:tcPr>
          <w:p w14:paraId="36733B44" w14:textId="6A16E460"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71</w:t>
            </w:r>
          </w:p>
        </w:tc>
        <w:tc>
          <w:tcPr>
            <w:tcW w:w="0" w:type="dxa"/>
            <w:noWrap/>
            <w:hideMark/>
          </w:tcPr>
          <w:p w14:paraId="7DB57172" w14:textId="4F2AB82B"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71</w:t>
            </w:r>
          </w:p>
        </w:tc>
        <w:tc>
          <w:tcPr>
            <w:tcW w:w="0" w:type="dxa"/>
            <w:noWrap/>
            <w:hideMark/>
          </w:tcPr>
          <w:p w14:paraId="34CE2923" w14:textId="4712C9A5"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76</w:t>
            </w:r>
          </w:p>
        </w:tc>
        <w:tc>
          <w:tcPr>
            <w:tcW w:w="0" w:type="dxa"/>
            <w:noWrap/>
            <w:hideMark/>
          </w:tcPr>
          <w:p w14:paraId="640CEDF8" w14:textId="2EF04085"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78</w:t>
            </w:r>
          </w:p>
        </w:tc>
        <w:tc>
          <w:tcPr>
            <w:tcW w:w="0" w:type="dxa"/>
            <w:noWrap/>
            <w:hideMark/>
          </w:tcPr>
          <w:p w14:paraId="5F121D28" w14:textId="77777777"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5.9%</w:t>
            </w:r>
          </w:p>
        </w:tc>
      </w:tr>
      <w:tr w:rsidR="002610F1" w:rsidRPr="002610F1" w14:paraId="19D696B3"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668DF532"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Space Heating </w:t>
            </w:r>
          </w:p>
        </w:tc>
        <w:tc>
          <w:tcPr>
            <w:tcW w:w="0" w:type="dxa"/>
            <w:noWrap/>
            <w:hideMark/>
          </w:tcPr>
          <w:p w14:paraId="6F0474E0" w14:textId="4A96DA58"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312</w:t>
            </w:r>
          </w:p>
        </w:tc>
        <w:tc>
          <w:tcPr>
            <w:tcW w:w="0" w:type="dxa"/>
            <w:noWrap/>
            <w:hideMark/>
          </w:tcPr>
          <w:p w14:paraId="19049CEE" w14:textId="6859EED9"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369</w:t>
            </w:r>
          </w:p>
        </w:tc>
        <w:tc>
          <w:tcPr>
            <w:tcW w:w="0" w:type="dxa"/>
            <w:noWrap/>
            <w:hideMark/>
          </w:tcPr>
          <w:p w14:paraId="61050B22" w14:textId="20E3E2BD"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406</w:t>
            </w:r>
          </w:p>
        </w:tc>
        <w:tc>
          <w:tcPr>
            <w:tcW w:w="0" w:type="dxa"/>
            <w:noWrap/>
            <w:hideMark/>
          </w:tcPr>
          <w:p w14:paraId="19890BCB" w14:textId="4052DCFD"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420</w:t>
            </w:r>
          </w:p>
        </w:tc>
        <w:tc>
          <w:tcPr>
            <w:tcW w:w="0" w:type="dxa"/>
            <w:noWrap/>
            <w:hideMark/>
          </w:tcPr>
          <w:p w14:paraId="39962890" w14:textId="564F32B3"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509</w:t>
            </w:r>
          </w:p>
        </w:tc>
        <w:tc>
          <w:tcPr>
            <w:tcW w:w="0" w:type="dxa"/>
            <w:noWrap/>
            <w:hideMark/>
          </w:tcPr>
          <w:p w14:paraId="509EF088" w14:textId="656E9D5F"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540</w:t>
            </w:r>
          </w:p>
        </w:tc>
        <w:tc>
          <w:tcPr>
            <w:tcW w:w="0" w:type="dxa"/>
            <w:noWrap/>
            <w:hideMark/>
          </w:tcPr>
          <w:p w14:paraId="7C7E7189" w14:textId="77777777"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73.2%</w:t>
            </w:r>
          </w:p>
        </w:tc>
      </w:tr>
      <w:tr w:rsidR="002610F1" w:rsidRPr="002610F1" w14:paraId="78AB57B1"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5860034E"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Water Heating </w:t>
            </w:r>
          </w:p>
        </w:tc>
        <w:tc>
          <w:tcPr>
            <w:tcW w:w="0" w:type="dxa"/>
            <w:noWrap/>
            <w:hideMark/>
          </w:tcPr>
          <w:p w14:paraId="766B9C9A" w14:textId="6CE2EFBD"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139</w:t>
            </w:r>
          </w:p>
        </w:tc>
        <w:tc>
          <w:tcPr>
            <w:tcW w:w="0" w:type="dxa"/>
            <w:noWrap/>
            <w:hideMark/>
          </w:tcPr>
          <w:p w14:paraId="1963B4E9" w14:textId="75539D26"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171</w:t>
            </w:r>
          </w:p>
        </w:tc>
        <w:tc>
          <w:tcPr>
            <w:tcW w:w="0" w:type="dxa"/>
            <w:noWrap/>
            <w:hideMark/>
          </w:tcPr>
          <w:p w14:paraId="212016F4" w14:textId="338570E4"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182</w:t>
            </w:r>
          </w:p>
        </w:tc>
        <w:tc>
          <w:tcPr>
            <w:tcW w:w="0" w:type="dxa"/>
            <w:noWrap/>
            <w:hideMark/>
          </w:tcPr>
          <w:p w14:paraId="671D4CFB" w14:textId="7CA3FD29"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187</w:t>
            </w:r>
          </w:p>
        </w:tc>
        <w:tc>
          <w:tcPr>
            <w:tcW w:w="0" w:type="dxa"/>
            <w:noWrap/>
            <w:hideMark/>
          </w:tcPr>
          <w:p w14:paraId="6A1F17D1" w14:textId="7AB17F61"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138</w:t>
            </w:r>
          </w:p>
        </w:tc>
        <w:tc>
          <w:tcPr>
            <w:tcW w:w="0" w:type="dxa"/>
            <w:noWrap/>
            <w:hideMark/>
          </w:tcPr>
          <w:p w14:paraId="45E19693" w14:textId="2ACDE5CC"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120</w:t>
            </w:r>
          </w:p>
        </w:tc>
        <w:tc>
          <w:tcPr>
            <w:tcW w:w="0" w:type="dxa"/>
            <w:noWrap/>
            <w:hideMark/>
          </w:tcPr>
          <w:p w14:paraId="7A5A6395" w14:textId="77777777"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-14.0%</w:t>
            </w:r>
          </w:p>
        </w:tc>
      </w:tr>
      <w:tr w:rsidR="002610F1" w:rsidRPr="002610F1" w14:paraId="706A925B"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60501836"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Interior Lighting </w:t>
            </w:r>
          </w:p>
        </w:tc>
        <w:tc>
          <w:tcPr>
            <w:tcW w:w="0" w:type="dxa"/>
            <w:noWrap/>
            <w:hideMark/>
          </w:tcPr>
          <w:p w14:paraId="7BBDB3A5" w14:textId="63371799"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139</w:t>
            </w:r>
          </w:p>
        </w:tc>
        <w:tc>
          <w:tcPr>
            <w:tcW w:w="0" w:type="dxa"/>
            <w:noWrap/>
            <w:hideMark/>
          </w:tcPr>
          <w:p w14:paraId="37A1AD97" w14:textId="01CE3BD1"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126</w:t>
            </w:r>
          </w:p>
        </w:tc>
        <w:tc>
          <w:tcPr>
            <w:tcW w:w="0" w:type="dxa"/>
            <w:noWrap/>
            <w:hideMark/>
          </w:tcPr>
          <w:p w14:paraId="508D3C04" w14:textId="32D5164B"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112</w:t>
            </w:r>
          </w:p>
        </w:tc>
        <w:tc>
          <w:tcPr>
            <w:tcW w:w="0" w:type="dxa"/>
            <w:noWrap/>
            <w:hideMark/>
          </w:tcPr>
          <w:p w14:paraId="55444E34" w14:textId="2A0EC6F1"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88</w:t>
            </w:r>
          </w:p>
        </w:tc>
        <w:tc>
          <w:tcPr>
            <w:tcW w:w="0" w:type="dxa"/>
            <w:noWrap/>
            <w:hideMark/>
          </w:tcPr>
          <w:p w14:paraId="3878F82F" w14:textId="678DC80D"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76</w:t>
            </w:r>
          </w:p>
        </w:tc>
        <w:tc>
          <w:tcPr>
            <w:tcW w:w="0" w:type="dxa"/>
            <w:noWrap/>
            <w:hideMark/>
          </w:tcPr>
          <w:p w14:paraId="13D5EE01" w14:textId="57AFE85C"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76</w:t>
            </w:r>
          </w:p>
        </w:tc>
        <w:tc>
          <w:tcPr>
            <w:tcW w:w="0" w:type="dxa"/>
            <w:noWrap/>
            <w:hideMark/>
          </w:tcPr>
          <w:p w14:paraId="1118686B" w14:textId="77777777"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-45.6%</w:t>
            </w:r>
          </w:p>
        </w:tc>
      </w:tr>
      <w:tr w:rsidR="002610F1" w:rsidRPr="002610F1" w14:paraId="10E6D609"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437DA3D2"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Exterior Lighting </w:t>
            </w:r>
          </w:p>
        </w:tc>
        <w:tc>
          <w:tcPr>
            <w:tcW w:w="0" w:type="dxa"/>
            <w:noWrap/>
            <w:hideMark/>
          </w:tcPr>
          <w:p w14:paraId="46028562" w14:textId="37B17722"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35</w:t>
            </w:r>
          </w:p>
        </w:tc>
        <w:tc>
          <w:tcPr>
            <w:tcW w:w="0" w:type="dxa"/>
            <w:noWrap/>
            <w:hideMark/>
          </w:tcPr>
          <w:p w14:paraId="69C3CF20" w14:textId="215D91FE"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16</w:t>
            </w:r>
          </w:p>
        </w:tc>
        <w:tc>
          <w:tcPr>
            <w:tcW w:w="0" w:type="dxa"/>
            <w:noWrap/>
            <w:hideMark/>
          </w:tcPr>
          <w:p w14:paraId="17EDE641" w14:textId="001DCD3B"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15</w:t>
            </w:r>
          </w:p>
        </w:tc>
        <w:tc>
          <w:tcPr>
            <w:tcW w:w="0" w:type="dxa"/>
            <w:noWrap/>
            <w:hideMark/>
          </w:tcPr>
          <w:p w14:paraId="1CA7071C" w14:textId="2D386A99"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15</w:t>
            </w:r>
          </w:p>
        </w:tc>
        <w:tc>
          <w:tcPr>
            <w:tcW w:w="0" w:type="dxa"/>
            <w:noWrap/>
            <w:hideMark/>
          </w:tcPr>
          <w:p w14:paraId="4EC87930" w14:textId="027821E1"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13</w:t>
            </w:r>
          </w:p>
        </w:tc>
        <w:tc>
          <w:tcPr>
            <w:tcW w:w="0" w:type="dxa"/>
            <w:noWrap/>
            <w:hideMark/>
          </w:tcPr>
          <w:p w14:paraId="7BDE133B" w14:textId="1C3B51E9"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13</w:t>
            </w:r>
          </w:p>
        </w:tc>
        <w:tc>
          <w:tcPr>
            <w:tcW w:w="0" w:type="dxa"/>
            <w:noWrap/>
            <w:hideMark/>
          </w:tcPr>
          <w:p w14:paraId="1194B4C0" w14:textId="77777777"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-62.4%</w:t>
            </w:r>
          </w:p>
        </w:tc>
      </w:tr>
      <w:tr w:rsidR="002610F1" w:rsidRPr="002610F1" w14:paraId="3CD8D0EE"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02ADD829"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Appliances </w:t>
            </w:r>
          </w:p>
        </w:tc>
        <w:tc>
          <w:tcPr>
            <w:tcW w:w="0" w:type="dxa"/>
            <w:noWrap/>
            <w:hideMark/>
          </w:tcPr>
          <w:p w14:paraId="624A5BE8" w14:textId="73761BCF"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234</w:t>
            </w:r>
          </w:p>
        </w:tc>
        <w:tc>
          <w:tcPr>
            <w:tcW w:w="0" w:type="dxa"/>
            <w:noWrap/>
            <w:hideMark/>
          </w:tcPr>
          <w:p w14:paraId="59B4CA45" w14:textId="7D6BF43C"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237</w:t>
            </w:r>
          </w:p>
        </w:tc>
        <w:tc>
          <w:tcPr>
            <w:tcW w:w="0" w:type="dxa"/>
            <w:noWrap/>
            <w:hideMark/>
          </w:tcPr>
          <w:p w14:paraId="07C094A2" w14:textId="703439D8"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240</w:t>
            </w:r>
          </w:p>
        </w:tc>
        <w:tc>
          <w:tcPr>
            <w:tcW w:w="0" w:type="dxa"/>
            <w:noWrap/>
            <w:hideMark/>
          </w:tcPr>
          <w:p w14:paraId="0212BCFC" w14:textId="6155C5B7"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248</w:t>
            </w:r>
          </w:p>
        </w:tc>
        <w:tc>
          <w:tcPr>
            <w:tcW w:w="0" w:type="dxa"/>
            <w:noWrap/>
            <w:hideMark/>
          </w:tcPr>
          <w:p w14:paraId="23E8B084" w14:textId="2E5FC585"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274</w:t>
            </w:r>
          </w:p>
        </w:tc>
        <w:tc>
          <w:tcPr>
            <w:tcW w:w="0" w:type="dxa"/>
            <w:noWrap/>
            <w:hideMark/>
          </w:tcPr>
          <w:p w14:paraId="30C88ECC" w14:textId="6BD28AC3"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292</w:t>
            </w:r>
          </w:p>
        </w:tc>
        <w:tc>
          <w:tcPr>
            <w:tcW w:w="0" w:type="dxa"/>
            <w:noWrap/>
            <w:hideMark/>
          </w:tcPr>
          <w:p w14:paraId="191B0699" w14:textId="77777777"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25.0%</w:t>
            </w:r>
          </w:p>
        </w:tc>
      </w:tr>
      <w:tr w:rsidR="002610F1" w:rsidRPr="002610F1" w14:paraId="2A949F18"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64D420E3"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Electronics </w:t>
            </w:r>
          </w:p>
        </w:tc>
        <w:tc>
          <w:tcPr>
            <w:tcW w:w="0" w:type="dxa"/>
            <w:noWrap/>
            <w:hideMark/>
          </w:tcPr>
          <w:p w14:paraId="38FE89EB" w14:textId="49C9C0D0"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115</w:t>
            </w:r>
          </w:p>
        </w:tc>
        <w:tc>
          <w:tcPr>
            <w:tcW w:w="0" w:type="dxa"/>
            <w:noWrap/>
            <w:hideMark/>
          </w:tcPr>
          <w:p w14:paraId="17FDD3F7" w14:textId="24AC75D8"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117</w:t>
            </w:r>
          </w:p>
        </w:tc>
        <w:tc>
          <w:tcPr>
            <w:tcW w:w="0" w:type="dxa"/>
            <w:noWrap/>
            <w:hideMark/>
          </w:tcPr>
          <w:p w14:paraId="7FB96B2A" w14:textId="147778BC"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120</w:t>
            </w:r>
          </w:p>
        </w:tc>
        <w:tc>
          <w:tcPr>
            <w:tcW w:w="0" w:type="dxa"/>
            <w:noWrap/>
            <w:hideMark/>
          </w:tcPr>
          <w:p w14:paraId="0751328E" w14:textId="5934C512"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129</w:t>
            </w:r>
          </w:p>
        </w:tc>
        <w:tc>
          <w:tcPr>
            <w:tcW w:w="0" w:type="dxa"/>
            <w:noWrap/>
            <w:hideMark/>
          </w:tcPr>
          <w:p w14:paraId="510D34A5" w14:textId="3DD29116"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156</w:t>
            </w:r>
          </w:p>
        </w:tc>
        <w:tc>
          <w:tcPr>
            <w:tcW w:w="0" w:type="dxa"/>
            <w:noWrap/>
            <w:hideMark/>
          </w:tcPr>
          <w:p w14:paraId="02A98D97" w14:textId="0298B630"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172</w:t>
            </w:r>
          </w:p>
        </w:tc>
        <w:tc>
          <w:tcPr>
            <w:tcW w:w="0" w:type="dxa"/>
            <w:noWrap/>
            <w:hideMark/>
          </w:tcPr>
          <w:p w14:paraId="3DA97FB2" w14:textId="77777777"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49.9%</w:t>
            </w:r>
          </w:p>
        </w:tc>
      </w:tr>
      <w:tr w:rsidR="002610F1" w:rsidRPr="002610F1" w14:paraId="1EB43E98"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22A81484"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Miscellaneous </w:t>
            </w:r>
          </w:p>
        </w:tc>
        <w:tc>
          <w:tcPr>
            <w:tcW w:w="0" w:type="dxa"/>
            <w:noWrap/>
            <w:hideMark/>
          </w:tcPr>
          <w:p w14:paraId="2527D9A8" w14:textId="74FA1A09"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274</w:t>
            </w:r>
          </w:p>
        </w:tc>
        <w:tc>
          <w:tcPr>
            <w:tcW w:w="0" w:type="dxa"/>
            <w:noWrap/>
            <w:hideMark/>
          </w:tcPr>
          <w:p w14:paraId="04D5C35F" w14:textId="73F37483"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277</w:t>
            </w:r>
          </w:p>
        </w:tc>
        <w:tc>
          <w:tcPr>
            <w:tcW w:w="0" w:type="dxa"/>
            <w:noWrap/>
            <w:hideMark/>
          </w:tcPr>
          <w:p w14:paraId="17B4D5FA" w14:textId="1ED5C405"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280</w:t>
            </w:r>
          </w:p>
        </w:tc>
        <w:tc>
          <w:tcPr>
            <w:tcW w:w="0" w:type="dxa"/>
            <w:noWrap/>
            <w:hideMark/>
          </w:tcPr>
          <w:p w14:paraId="0F818FB8" w14:textId="312D5EB4"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297</w:t>
            </w:r>
          </w:p>
        </w:tc>
        <w:tc>
          <w:tcPr>
            <w:tcW w:w="0" w:type="dxa"/>
            <w:noWrap/>
            <w:hideMark/>
          </w:tcPr>
          <w:p w14:paraId="78734CA6" w14:textId="1EAD8091"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419</w:t>
            </w:r>
          </w:p>
        </w:tc>
        <w:tc>
          <w:tcPr>
            <w:tcW w:w="0" w:type="dxa"/>
            <w:noWrap/>
            <w:hideMark/>
          </w:tcPr>
          <w:p w14:paraId="7A506F17" w14:textId="40CD3DE6"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512</w:t>
            </w:r>
          </w:p>
        </w:tc>
        <w:tc>
          <w:tcPr>
            <w:tcW w:w="0" w:type="dxa"/>
            <w:noWrap/>
            <w:hideMark/>
          </w:tcPr>
          <w:p w14:paraId="7AC2D00B" w14:textId="77777777" w:rsidR="002610F1" w:rsidRPr="001B1587"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Cs w:val="20"/>
              </w:rPr>
            </w:pPr>
            <w:r w:rsidRPr="001B1587">
              <w:rPr>
                <w:rFonts w:eastAsia="Times New Roman"/>
                <w:color w:val="19172B"/>
                <w:szCs w:val="20"/>
              </w:rPr>
              <w:t>87.0%</w:t>
            </w:r>
          </w:p>
        </w:tc>
      </w:tr>
      <w:tr w:rsidR="002610F1" w:rsidRPr="002610F1" w14:paraId="4A426E9F"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03D205CB" w14:textId="77777777" w:rsidR="002610F1" w:rsidRPr="001B1587" w:rsidRDefault="002610F1" w:rsidP="00593E6F">
            <w:pPr>
              <w:keepNext/>
              <w:jc w:val="left"/>
              <w:rPr>
                <w:rFonts w:eastAsia="Times New Roman"/>
                <w:color w:val="19172B"/>
                <w:szCs w:val="20"/>
              </w:rPr>
            </w:pPr>
            <w:r w:rsidRPr="001B1587">
              <w:rPr>
                <w:rFonts w:eastAsia="Times New Roman"/>
                <w:color w:val="19172B"/>
                <w:szCs w:val="20"/>
              </w:rPr>
              <w:t xml:space="preserve"> Generation </w:t>
            </w:r>
          </w:p>
        </w:tc>
        <w:tc>
          <w:tcPr>
            <w:tcW w:w="0" w:type="dxa"/>
            <w:noWrap/>
            <w:hideMark/>
          </w:tcPr>
          <w:p w14:paraId="2B34F58B" w14:textId="1CCC88DC"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(1)</w:t>
            </w:r>
          </w:p>
        </w:tc>
        <w:tc>
          <w:tcPr>
            <w:tcW w:w="0" w:type="dxa"/>
            <w:noWrap/>
            <w:hideMark/>
          </w:tcPr>
          <w:p w14:paraId="29BCA333" w14:textId="6DAB18DD"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(5)</w:t>
            </w:r>
          </w:p>
        </w:tc>
        <w:tc>
          <w:tcPr>
            <w:tcW w:w="0" w:type="dxa"/>
            <w:noWrap/>
            <w:hideMark/>
          </w:tcPr>
          <w:p w14:paraId="44CD9CDD" w14:textId="57E5D849"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(6)</w:t>
            </w:r>
          </w:p>
        </w:tc>
        <w:tc>
          <w:tcPr>
            <w:tcW w:w="0" w:type="dxa"/>
            <w:noWrap/>
            <w:hideMark/>
          </w:tcPr>
          <w:p w14:paraId="1F07B31D" w14:textId="27A7480E"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(9)</w:t>
            </w:r>
          </w:p>
        </w:tc>
        <w:tc>
          <w:tcPr>
            <w:tcW w:w="0" w:type="dxa"/>
            <w:noWrap/>
            <w:hideMark/>
          </w:tcPr>
          <w:p w14:paraId="056F1770" w14:textId="57840B44"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(24)</w:t>
            </w:r>
          </w:p>
        </w:tc>
        <w:tc>
          <w:tcPr>
            <w:tcW w:w="0" w:type="dxa"/>
            <w:noWrap/>
            <w:hideMark/>
          </w:tcPr>
          <w:p w14:paraId="11E2C422" w14:textId="7FB102CC"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(40)</w:t>
            </w:r>
          </w:p>
        </w:tc>
        <w:tc>
          <w:tcPr>
            <w:tcW w:w="0" w:type="dxa"/>
            <w:noWrap/>
            <w:hideMark/>
          </w:tcPr>
          <w:p w14:paraId="438B18C7" w14:textId="77777777" w:rsidR="002610F1" w:rsidRPr="001B1587" w:rsidRDefault="002610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Cs w:val="20"/>
              </w:rPr>
            </w:pPr>
            <w:r w:rsidRPr="001B1587">
              <w:rPr>
                <w:rFonts w:eastAsia="Times New Roman"/>
                <w:color w:val="19172B"/>
                <w:szCs w:val="20"/>
              </w:rPr>
              <w:t>5019.1%</w:t>
            </w:r>
          </w:p>
        </w:tc>
      </w:tr>
      <w:tr w:rsidR="002610F1" w:rsidRPr="002610F1" w14:paraId="6C3BFBFD"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719AABEA" w14:textId="5201BF12" w:rsidR="002610F1" w:rsidRPr="003462B0" w:rsidRDefault="002610F1" w:rsidP="009336C2">
            <w:pPr>
              <w:keepNext/>
              <w:jc w:val="center"/>
              <w:rPr>
                <w:rFonts w:asciiTheme="majorHAnsi" w:eastAsia="Times New Roman" w:hAnsiTheme="majorHAnsi"/>
                <w:color w:val="19172B"/>
                <w:szCs w:val="20"/>
              </w:rPr>
            </w:pPr>
            <w:r w:rsidRPr="003462B0">
              <w:rPr>
                <w:rFonts w:asciiTheme="majorHAnsi" w:eastAsia="Times New Roman" w:hAnsiTheme="majorHAnsi"/>
                <w:color w:val="19172B"/>
                <w:szCs w:val="20"/>
              </w:rPr>
              <w:t>Total</w:t>
            </w:r>
          </w:p>
        </w:tc>
        <w:tc>
          <w:tcPr>
            <w:tcW w:w="0" w:type="dxa"/>
            <w:noWrap/>
            <w:hideMark/>
          </w:tcPr>
          <w:p w14:paraId="55C22E43" w14:textId="44C536CF"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1,320</w:t>
            </w:r>
          </w:p>
        </w:tc>
        <w:tc>
          <w:tcPr>
            <w:tcW w:w="0" w:type="dxa"/>
            <w:noWrap/>
            <w:hideMark/>
          </w:tcPr>
          <w:p w14:paraId="15759CBB" w14:textId="5CD46FD9"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1,387</w:t>
            </w:r>
          </w:p>
        </w:tc>
        <w:tc>
          <w:tcPr>
            <w:tcW w:w="0" w:type="dxa"/>
            <w:noWrap/>
            <w:hideMark/>
          </w:tcPr>
          <w:p w14:paraId="5C0A63FC" w14:textId="5CD3D111"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1,420</w:t>
            </w:r>
          </w:p>
        </w:tc>
        <w:tc>
          <w:tcPr>
            <w:tcW w:w="0" w:type="dxa"/>
            <w:noWrap/>
            <w:hideMark/>
          </w:tcPr>
          <w:p w14:paraId="15AAA147" w14:textId="45084EF8"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1,447</w:t>
            </w:r>
          </w:p>
        </w:tc>
        <w:tc>
          <w:tcPr>
            <w:tcW w:w="0" w:type="dxa"/>
            <w:noWrap/>
            <w:hideMark/>
          </w:tcPr>
          <w:p w14:paraId="4DF9D564" w14:textId="6ACA591B"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1,637</w:t>
            </w:r>
          </w:p>
        </w:tc>
        <w:tc>
          <w:tcPr>
            <w:tcW w:w="0" w:type="dxa"/>
            <w:noWrap/>
            <w:hideMark/>
          </w:tcPr>
          <w:p w14:paraId="047C4ACD" w14:textId="6FC958EB"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1,763</w:t>
            </w:r>
          </w:p>
        </w:tc>
        <w:tc>
          <w:tcPr>
            <w:tcW w:w="0" w:type="dxa"/>
            <w:noWrap/>
            <w:hideMark/>
          </w:tcPr>
          <w:p w14:paraId="2F4E5C69" w14:textId="77777777" w:rsidR="002610F1" w:rsidRPr="003462B0" w:rsidRDefault="002610F1"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3462B0">
              <w:rPr>
                <w:rFonts w:asciiTheme="majorHAnsi" w:eastAsia="Times New Roman" w:hAnsiTheme="majorHAnsi"/>
                <w:color w:val="19172B"/>
                <w:szCs w:val="20"/>
              </w:rPr>
              <w:t>33.6%</w:t>
            </w:r>
          </w:p>
        </w:tc>
      </w:tr>
    </w:tbl>
    <w:p w14:paraId="290B4CD5" w14:textId="77777777" w:rsidR="002610F1" w:rsidRDefault="002610F1" w:rsidP="00D56C39">
      <w:pPr>
        <w:pStyle w:val="AEGBody"/>
        <w:rPr>
          <w:lang w:eastAsia="ja-JP"/>
        </w:rPr>
      </w:pPr>
    </w:p>
    <w:p w14:paraId="692D3770" w14:textId="0F93F922" w:rsidR="00D9784B" w:rsidRDefault="00D9784B" w:rsidP="00D9784B">
      <w:pPr>
        <w:pStyle w:val="FigureorTableCaption"/>
      </w:pPr>
      <w:bookmarkStart w:id="88" w:name="_Ref175813626"/>
      <w:bookmarkStart w:id="89" w:name="_Toc175904436"/>
      <w:r>
        <w:lastRenderedPageBreak/>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3</w:t>
      </w:r>
      <w:r w:rsidR="000E34CB">
        <w:fldChar w:fldCharType="end"/>
      </w:r>
      <w:bookmarkEnd w:id="88"/>
      <w:r w:rsidR="00015121">
        <w:t xml:space="preserve"> </w:t>
      </w:r>
      <w:r w:rsidRPr="00134A93">
        <w:t xml:space="preserve">Residential Baseline Projection </w:t>
      </w:r>
      <w:r w:rsidR="00D61854" w:rsidRPr="00134A93">
        <w:t>by</w:t>
      </w:r>
      <w:r w:rsidRPr="00134A93">
        <w:t xml:space="preserve"> End Use, Idaho</w:t>
      </w:r>
      <w:bookmarkEnd w:id="89"/>
    </w:p>
    <w:p w14:paraId="16FD391A" w14:textId="01812D44" w:rsidR="004F54C1" w:rsidRDefault="00366D8E" w:rsidP="00DA5A93">
      <w:pPr>
        <w:pStyle w:val="AEGBody"/>
        <w:rPr>
          <w:lang w:eastAsia="ja-JP"/>
        </w:rPr>
      </w:pPr>
      <w:r>
        <w:rPr>
          <w:noProof/>
        </w:rPr>
        <w:drawing>
          <wp:inline distT="0" distB="0" distL="0" distR="0" wp14:anchorId="53B24C63" wp14:editId="47EFDB9D">
            <wp:extent cx="5673351" cy="2680237"/>
            <wp:effectExtent l="0" t="0" r="3810" b="6350"/>
            <wp:docPr id="1035338879" name="Chart 1">
              <a:extLst xmlns:a="http://schemas.openxmlformats.org/drawingml/2006/main">
                <a:ext uri="{FF2B5EF4-FFF2-40B4-BE49-F238E27FC236}">
                  <a16:creationId xmlns:a16="http://schemas.microsoft.com/office/drawing/2014/main" id="{216166AF-8DD5-4554-A7E4-974B371E0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E9A4FB0" w14:textId="293F65E6" w:rsidR="00D9784B" w:rsidRPr="00D9784B" w:rsidRDefault="00D9784B" w:rsidP="00D9784B">
      <w:pPr>
        <w:pStyle w:val="FigureorTableCaption"/>
      </w:pPr>
      <w:bookmarkStart w:id="90" w:name="_Ref175813653"/>
      <w:bookmarkStart w:id="91" w:name="_Toc175904437"/>
      <w:r w:rsidRPr="00D9784B">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4</w:t>
      </w:r>
      <w:r w:rsidR="000E34CB">
        <w:fldChar w:fldCharType="end"/>
      </w:r>
      <w:bookmarkEnd w:id="90"/>
      <w:r w:rsidR="00015121">
        <w:t xml:space="preserve"> </w:t>
      </w:r>
      <w:r w:rsidRPr="00D9784B">
        <w:t xml:space="preserve">Residential Baseline Projection </w:t>
      </w:r>
      <w:r w:rsidR="00D61854" w:rsidRPr="00D9784B">
        <w:t>by</w:t>
      </w:r>
      <w:r w:rsidRPr="00D9784B">
        <w:t xml:space="preserve"> End Use - Annual Per Household, Idaho</w:t>
      </w:r>
      <w:bookmarkEnd w:id="91"/>
    </w:p>
    <w:p w14:paraId="3F37D8D9" w14:textId="60BF1859" w:rsidR="00EF47BE" w:rsidRDefault="00366D8E" w:rsidP="00DA5A93">
      <w:pPr>
        <w:pStyle w:val="AEGBody"/>
        <w:rPr>
          <w:lang w:eastAsia="ja-JP"/>
        </w:rPr>
      </w:pPr>
      <w:r>
        <w:rPr>
          <w:noProof/>
        </w:rPr>
        <w:drawing>
          <wp:inline distT="0" distB="0" distL="0" distR="0" wp14:anchorId="1E1601A6" wp14:editId="2870EB1F">
            <wp:extent cx="5673090" cy="2679065"/>
            <wp:effectExtent l="0" t="0" r="3810" b="6985"/>
            <wp:docPr id="1498976970" name="Chart 1">
              <a:extLst xmlns:a="http://schemas.openxmlformats.org/drawingml/2006/main">
                <a:ext uri="{FF2B5EF4-FFF2-40B4-BE49-F238E27FC236}">
                  <a16:creationId xmlns:a16="http://schemas.microsoft.com/office/drawing/2014/main" id="{EF50E1D0-5C6D-4D03-A447-EE10611C0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42A775C" w14:textId="77777777" w:rsidR="00A30A64" w:rsidRDefault="00A30A64" w:rsidP="00DA5A93">
      <w:pPr>
        <w:pStyle w:val="AEGBody"/>
        <w:rPr>
          <w:lang w:eastAsia="ja-JP"/>
        </w:rPr>
      </w:pPr>
    </w:p>
    <w:p w14:paraId="4310B857" w14:textId="4402495D" w:rsidR="00CC6A72" w:rsidRDefault="00CC6A72" w:rsidP="009875ED">
      <w:pPr>
        <w:pStyle w:val="Heading2"/>
      </w:pPr>
      <w:bookmarkStart w:id="92" w:name="_Toc175904868"/>
      <w:r>
        <w:t>Commercial Sector Baseline Projections</w:t>
      </w:r>
      <w:bookmarkEnd w:id="92"/>
    </w:p>
    <w:p w14:paraId="11A9AF81" w14:textId="0D3F8A96" w:rsidR="00493B73" w:rsidRDefault="00493B73" w:rsidP="00493B73">
      <w:pPr>
        <w:pStyle w:val="AEGBody"/>
      </w:pPr>
      <w:r w:rsidRPr="00162431">
        <w:t>In Washington, annual electricity use in the commercial sector grows during the overall forecast horizon, starting at 2,0</w:t>
      </w:r>
      <w:r w:rsidR="00162431" w:rsidRPr="00162431">
        <w:t>75</w:t>
      </w:r>
      <w:r w:rsidRPr="00162431">
        <w:t xml:space="preserve"> GWh in 2021, and increasing to </w:t>
      </w:r>
      <w:r w:rsidR="00162431" w:rsidRPr="00162431">
        <w:t>3,034</w:t>
      </w:r>
      <w:r w:rsidRPr="00162431">
        <w:t xml:space="preserve"> in 2045, an increase of </w:t>
      </w:r>
      <w:r w:rsidR="00162431" w:rsidRPr="00162431">
        <w:t>46</w:t>
      </w:r>
      <w:r w:rsidRPr="00162431">
        <w:t>%. In Idaho, annual electricity use will grow from 98</w:t>
      </w:r>
      <w:r w:rsidR="00162431" w:rsidRPr="00162431">
        <w:t>6</w:t>
      </w:r>
      <w:r w:rsidRPr="00162431">
        <w:t xml:space="preserve"> GWh in 2021 to </w:t>
      </w:r>
      <w:r w:rsidR="00162431" w:rsidRPr="00162431">
        <w:t>1,240</w:t>
      </w:r>
      <w:r w:rsidRPr="00162431">
        <w:t xml:space="preserve"> GWh in 2045, an increase of </w:t>
      </w:r>
      <w:r w:rsidR="00162431" w:rsidRPr="00162431">
        <w:t>25.7</w:t>
      </w:r>
      <w:r w:rsidRPr="00162431">
        <w:t>%.</w:t>
      </w:r>
      <w:r>
        <w:t xml:space="preserve"> </w:t>
      </w:r>
    </w:p>
    <w:p w14:paraId="71324C29" w14:textId="17DBF438" w:rsidR="00D9784B" w:rsidRDefault="00D9784B" w:rsidP="00D9784B">
      <w:pPr>
        <w:pStyle w:val="FigureorTableCaption"/>
      </w:pPr>
      <w:bookmarkStart w:id="93" w:name="_Toc175912380"/>
      <w:r>
        <w:lastRenderedPageBreak/>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3</w:t>
      </w:r>
      <w:r w:rsidR="00EE4707">
        <w:fldChar w:fldCharType="end"/>
      </w:r>
      <w:r w:rsidR="00015121">
        <w:t xml:space="preserve"> </w:t>
      </w:r>
      <w:r w:rsidRPr="00900EA1">
        <w:t>Commercial Baseline Sales Projection by End Use (GWh), Washington</w:t>
      </w:r>
      <w:bookmarkEnd w:id="93"/>
    </w:p>
    <w:tbl>
      <w:tblPr>
        <w:tblStyle w:val="AEG-DarkBanded"/>
        <w:tblW w:w="5000" w:type="pct"/>
        <w:tblLayout w:type="fixed"/>
        <w:tblLook w:val="04A0" w:firstRow="1" w:lastRow="0" w:firstColumn="1" w:lastColumn="0" w:noHBand="0" w:noVBand="1"/>
      </w:tblPr>
      <w:tblGrid>
        <w:gridCol w:w="2019"/>
        <w:gridCol w:w="1049"/>
        <w:gridCol w:w="1049"/>
        <w:gridCol w:w="1049"/>
        <w:gridCol w:w="1049"/>
        <w:gridCol w:w="1049"/>
        <w:gridCol w:w="1048"/>
        <w:gridCol w:w="1048"/>
      </w:tblGrid>
      <w:tr w:rsidR="00231D9C" w:rsidRPr="00EF4881" w14:paraId="2B8FEBF4" w14:textId="77777777" w:rsidTr="00B37A88">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078" w:type="pct"/>
            <w:hideMark/>
          </w:tcPr>
          <w:p w14:paraId="27EA239C" w14:textId="64E72076" w:rsidR="00E11DDA" w:rsidRPr="003462B0" w:rsidRDefault="00E11DDA" w:rsidP="00C54C72">
            <w:pPr>
              <w:keepNext/>
              <w:jc w:val="left"/>
              <w:rPr>
                <w:rFonts w:asciiTheme="majorHAnsi" w:eastAsia="Times New Roman" w:hAnsiTheme="majorHAnsi"/>
                <w:b w:val="0"/>
                <w:bCs/>
                <w:sz w:val="18"/>
                <w:szCs w:val="18"/>
              </w:rPr>
            </w:pPr>
            <w:r w:rsidRPr="003462B0">
              <w:rPr>
                <w:rFonts w:asciiTheme="majorHAnsi" w:eastAsia="Times New Roman" w:hAnsiTheme="majorHAnsi"/>
                <w:b w:val="0"/>
                <w:bCs/>
                <w:sz w:val="18"/>
                <w:szCs w:val="18"/>
              </w:rPr>
              <w:t>End Use</w:t>
            </w:r>
          </w:p>
        </w:tc>
        <w:tc>
          <w:tcPr>
            <w:tcW w:w="560" w:type="pct"/>
            <w:hideMark/>
          </w:tcPr>
          <w:p w14:paraId="5C64DEDA" w14:textId="77777777" w:rsidR="00E11DDA" w:rsidRPr="003462B0"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2021</w:t>
            </w:r>
          </w:p>
        </w:tc>
        <w:tc>
          <w:tcPr>
            <w:tcW w:w="560" w:type="pct"/>
            <w:hideMark/>
          </w:tcPr>
          <w:p w14:paraId="24C64077" w14:textId="77777777" w:rsidR="00E11DDA" w:rsidRPr="003462B0"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2023</w:t>
            </w:r>
          </w:p>
        </w:tc>
        <w:tc>
          <w:tcPr>
            <w:tcW w:w="560" w:type="pct"/>
            <w:hideMark/>
          </w:tcPr>
          <w:p w14:paraId="64A3E4F4" w14:textId="77777777" w:rsidR="00E11DDA" w:rsidRPr="003462B0"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2025</w:t>
            </w:r>
          </w:p>
        </w:tc>
        <w:tc>
          <w:tcPr>
            <w:tcW w:w="560" w:type="pct"/>
            <w:hideMark/>
          </w:tcPr>
          <w:p w14:paraId="7E9348AB" w14:textId="77777777" w:rsidR="00E11DDA" w:rsidRPr="003462B0"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2030</w:t>
            </w:r>
          </w:p>
        </w:tc>
        <w:tc>
          <w:tcPr>
            <w:tcW w:w="560" w:type="pct"/>
            <w:hideMark/>
          </w:tcPr>
          <w:p w14:paraId="7357B4C4" w14:textId="77777777" w:rsidR="00E11DDA" w:rsidRPr="003462B0"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2040</w:t>
            </w:r>
          </w:p>
        </w:tc>
        <w:tc>
          <w:tcPr>
            <w:tcW w:w="560" w:type="pct"/>
            <w:hideMark/>
          </w:tcPr>
          <w:p w14:paraId="06BEABBB" w14:textId="77777777" w:rsidR="00E11DDA" w:rsidRPr="003462B0"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2045</w:t>
            </w:r>
          </w:p>
        </w:tc>
        <w:tc>
          <w:tcPr>
            <w:tcW w:w="560" w:type="pct"/>
            <w:hideMark/>
          </w:tcPr>
          <w:p w14:paraId="5BCEE765" w14:textId="77777777" w:rsidR="00E11DDA" w:rsidRPr="003462B0" w:rsidRDefault="00E11DDA" w:rsidP="009336C2">
            <w:pPr>
              <w:keepNex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3462B0">
              <w:rPr>
                <w:rFonts w:asciiTheme="majorHAnsi" w:eastAsia="Times New Roman" w:hAnsiTheme="majorHAnsi"/>
                <w:b w:val="0"/>
                <w:bCs/>
                <w:sz w:val="18"/>
                <w:szCs w:val="18"/>
              </w:rPr>
              <w:t>% Change</w:t>
            </w:r>
          </w:p>
        </w:tc>
      </w:tr>
      <w:tr w:rsidR="00593E6F" w:rsidRPr="00EF4881" w14:paraId="095B4223"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4B5BB673"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Cooling </w:t>
            </w:r>
          </w:p>
        </w:tc>
        <w:tc>
          <w:tcPr>
            <w:tcW w:w="0" w:type="pct"/>
            <w:noWrap/>
            <w:hideMark/>
          </w:tcPr>
          <w:p w14:paraId="18732635" w14:textId="5523D2F3"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176</w:t>
            </w:r>
          </w:p>
        </w:tc>
        <w:tc>
          <w:tcPr>
            <w:tcW w:w="0" w:type="pct"/>
            <w:noWrap/>
            <w:hideMark/>
          </w:tcPr>
          <w:p w14:paraId="148D7D39" w14:textId="469A76AA"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149</w:t>
            </w:r>
          </w:p>
        </w:tc>
        <w:tc>
          <w:tcPr>
            <w:tcW w:w="0" w:type="pct"/>
            <w:noWrap/>
            <w:hideMark/>
          </w:tcPr>
          <w:p w14:paraId="1309AF81" w14:textId="297BFB21"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128</w:t>
            </w:r>
          </w:p>
        </w:tc>
        <w:tc>
          <w:tcPr>
            <w:tcW w:w="0" w:type="pct"/>
            <w:noWrap/>
            <w:hideMark/>
          </w:tcPr>
          <w:p w14:paraId="759E9963" w14:textId="70A3B445"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133</w:t>
            </w:r>
          </w:p>
        </w:tc>
        <w:tc>
          <w:tcPr>
            <w:tcW w:w="0" w:type="pct"/>
            <w:noWrap/>
            <w:hideMark/>
          </w:tcPr>
          <w:p w14:paraId="606F6DA3" w14:textId="7D3F2D68"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142</w:t>
            </w:r>
          </w:p>
        </w:tc>
        <w:tc>
          <w:tcPr>
            <w:tcW w:w="0" w:type="pct"/>
            <w:noWrap/>
            <w:hideMark/>
          </w:tcPr>
          <w:p w14:paraId="2DCDFE07" w14:textId="3E0AC7F3"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143</w:t>
            </w:r>
          </w:p>
        </w:tc>
        <w:tc>
          <w:tcPr>
            <w:tcW w:w="0" w:type="pct"/>
            <w:noWrap/>
            <w:hideMark/>
          </w:tcPr>
          <w:p w14:paraId="52971707" w14:textId="70FA3D5C"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-18.6%</w:t>
            </w:r>
          </w:p>
        </w:tc>
      </w:tr>
      <w:tr w:rsidR="00593E6F" w:rsidRPr="00EF4881" w14:paraId="066C45A8"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0D04DCFC"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Space Heating </w:t>
            </w:r>
          </w:p>
        </w:tc>
        <w:tc>
          <w:tcPr>
            <w:tcW w:w="0" w:type="pct"/>
            <w:noWrap/>
            <w:hideMark/>
          </w:tcPr>
          <w:p w14:paraId="0E9E5FBB" w14:textId="634180FE"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162</w:t>
            </w:r>
          </w:p>
        </w:tc>
        <w:tc>
          <w:tcPr>
            <w:tcW w:w="0" w:type="pct"/>
            <w:noWrap/>
            <w:hideMark/>
          </w:tcPr>
          <w:p w14:paraId="6CCB348A" w14:textId="5792712D"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184</w:t>
            </w:r>
          </w:p>
        </w:tc>
        <w:tc>
          <w:tcPr>
            <w:tcW w:w="0" w:type="pct"/>
            <w:noWrap/>
            <w:hideMark/>
          </w:tcPr>
          <w:p w14:paraId="4AAB8765" w14:textId="0B40708C"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189</w:t>
            </w:r>
          </w:p>
        </w:tc>
        <w:tc>
          <w:tcPr>
            <w:tcW w:w="0" w:type="pct"/>
            <w:noWrap/>
            <w:hideMark/>
          </w:tcPr>
          <w:p w14:paraId="317611DF" w14:textId="71041D4C"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191</w:t>
            </w:r>
          </w:p>
        </w:tc>
        <w:tc>
          <w:tcPr>
            <w:tcW w:w="0" w:type="pct"/>
            <w:noWrap/>
            <w:hideMark/>
          </w:tcPr>
          <w:p w14:paraId="19986C3C" w14:textId="76DA01DC"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198</w:t>
            </w:r>
          </w:p>
        </w:tc>
        <w:tc>
          <w:tcPr>
            <w:tcW w:w="0" w:type="pct"/>
            <w:noWrap/>
            <w:hideMark/>
          </w:tcPr>
          <w:p w14:paraId="077CF392" w14:textId="50572021"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199</w:t>
            </w:r>
          </w:p>
        </w:tc>
        <w:tc>
          <w:tcPr>
            <w:tcW w:w="0" w:type="pct"/>
            <w:noWrap/>
            <w:hideMark/>
          </w:tcPr>
          <w:p w14:paraId="5F98DD3D" w14:textId="5A5AA65F"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22.4%</w:t>
            </w:r>
          </w:p>
        </w:tc>
      </w:tr>
      <w:tr w:rsidR="00593E6F" w:rsidRPr="00EF4881" w14:paraId="6D3C3AA3"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02B8DF01"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Ventilation </w:t>
            </w:r>
          </w:p>
        </w:tc>
        <w:tc>
          <w:tcPr>
            <w:tcW w:w="0" w:type="pct"/>
            <w:noWrap/>
            <w:hideMark/>
          </w:tcPr>
          <w:p w14:paraId="094FD9D8" w14:textId="300C8C96"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329</w:t>
            </w:r>
          </w:p>
        </w:tc>
        <w:tc>
          <w:tcPr>
            <w:tcW w:w="0" w:type="pct"/>
            <w:noWrap/>
            <w:hideMark/>
          </w:tcPr>
          <w:p w14:paraId="5764FAF4" w14:textId="2397C157"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328</w:t>
            </w:r>
          </w:p>
        </w:tc>
        <w:tc>
          <w:tcPr>
            <w:tcW w:w="0" w:type="pct"/>
            <w:noWrap/>
            <w:hideMark/>
          </w:tcPr>
          <w:p w14:paraId="57FC380C" w14:textId="45342E96"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302</w:t>
            </w:r>
          </w:p>
        </w:tc>
        <w:tc>
          <w:tcPr>
            <w:tcW w:w="0" w:type="pct"/>
            <w:noWrap/>
            <w:hideMark/>
          </w:tcPr>
          <w:p w14:paraId="01FF17FA" w14:textId="64972210"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281</w:t>
            </w:r>
          </w:p>
        </w:tc>
        <w:tc>
          <w:tcPr>
            <w:tcW w:w="0" w:type="pct"/>
            <w:noWrap/>
            <w:hideMark/>
          </w:tcPr>
          <w:p w14:paraId="32478FB6" w14:textId="2553ADB7"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258</w:t>
            </w:r>
          </w:p>
        </w:tc>
        <w:tc>
          <w:tcPr>
            <w:tcW w:w="0" w:type="pct"/>
            <w:noWrap/>
            <w:hideMark/>
          </w:tcPr>
          <w:p w14:paraId="7E61144E" w14:textId="1693D7A0"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251</w:t>
            </w:r>
          </w:p>
        </w:tc>
        <w:tc>
          <w:tcPr>
            <w:tcW w:w="0" w:type="pct"/>
            <w:noWrap/>
            <w:hideMark/>
          </w:tcPr>
          <w:p w14:paraId="6D54E759" w14:textId="34A56E94"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-23.6%</w:t>
            </w:r>
          </w:p>
        </w:tc>
      </w:tr>
      <w:tr w:rsidR="00593E6F" w:rsidRPr="00EF4881" w14:paraId="4485C38E"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3AA2826A"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Water Heating </w:t>
            </w:r>
          </w:p>
        </w:tc>
        <w:tc>
          <w:tcPr>
            <w:tcW w:w="0" w:type="pct"/>
            <w:noWrap/>
            <w:hideMark/>
          </w:tcPr>
          <w:p w14:paraId="0771F873" w14:textId="3531A746"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70</w:t>
            </w:r>
          </w:p>
        </w:tc>
        <w:tc>
          <w:tcPr>
            <w:tcW w:w="0" w:type="pct"/>
            <w:noWrap/>
            <w:hideMark/>
          </w:tcPr>
          <w:p w14:paraId="3A550262" w14:textId="6C787D1E"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78</w:t>
            </w:r>
          </w:p>
        </w:tc>
        <w:tc>
          <w:tcPr>
            <w:tcW w:w="0" w:type="pct"/>
            <w:noWrap/>
            <w:hideMark/>
          </w:tcPr>
          <w:p w14:paraId="6A4942B0" w14:textId="6A9945A8"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81</w:t>
            </w:r>
          </w:p>
        </w:tc>
        <w:tc>
          <w:tcPr>
            <w:tcW w:w="0" w:type="pct"/>
            <w:noWrap/>
            <w:hideMark/>
          </w:tcPr>
          <w:p w14:paraId="17905905" w14:textId="7546D3DB"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97</w:t>
            </w:r>
          </w:p>
        </w:tc>
        <w:tc>
          <w:tcPr>
            <w:tcW w:w="0" w:type="pct"/>
            <w:noWrap/>
            <w:hideMark/>
          </w:tcPr>
          <w:p w14:paraId="17B3CAB1" w14:textId="148DB346"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126</w:t>
            </w:r>
          </w:p>
        </w:tc>
        <w:tc>
          <w:tcPr>
            <w:tcW w:w="0" w:type="pct"/>
            <w:noWrap/>
            <w:hideMark/>
          </w:tcPr>
          <w:p w14:paraId="6773B2C7" w14:textId="34690B52"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136</w:t>
            </w:r>
          </w:p>
        </w:tc>
        <w:tc>
          <w:tcPr>
            <w:tcW w:w="0" w:type="pct"/>
            <w:noWrap/>
            <w:hideMark/>
          </w:tcPr>
          <w:p w14:paraId="5C9E6B43" w14:textId="1581BE24"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94.1%</w:t>
            </w:r>
          </w:p>
        </w:tc>
      </w:tr>
      <w:tr w:rsidR="00593E6F" w:rsidRPr="00EF4881" w14:paraId="46170784"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5AABECBC"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Interior Lighting </w:t>
            </w:r>
          </w:p>
        </w:tc>
        <w:tc>
          <w:tcPr>
            <w:tcW w:w="0" w:type="pct"/>
            <w:noWrap/>
            <w:hideMark/>
          </w:tcPr>
          <w:p w14:paraId="10A5D373" w14:textId="0DF32490"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394</w:t>
            </w:r>
          </w:p>
        </w:tc>
        <w:tc>
          <w:tcPr>
            <w:tcW w:w="0" w:type="pct"/>
            <w:noWrap/>
            <w:hideMark/>
          </w:tcPr>
          <w:p w14:paraId="44AD8C83" w14:textId="60E5EC0F"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394</w:t>
            </w:r>
          </w:p>
        </w:tc>
        <w:tc>
          <w:tcPr>
            <w:tcW w:w="0" w:type="pct"/>
            <w:noWrap/>
            <w:hideMark/>
          </w:tcPr>
          <w:p w14:paraId="50F45E19" w14:textId="1753CF4E"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388</w:t>
            </w:r>
          </w:p>
        </w:tc>
        <w:tc>
          <w:tcPr>
            <w:tcW w:w="0" w:type="pct"/>
            <w:noWrap/>
            <w:hideMark/>
          </w:tcPr>
          <w:p w14:paraId="49CABD1F" w14:textId="3468AF14"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371</w:t>
            </w:r>
          </w:p>
        </w:tc>
        <w:tc>
          <w:tcPr>
            <w:tcW w:w="0" w:type="pct"/>
            <w:noWrap/>
            <w:hideMark/>
          </w:tcPr>
          <w:p w14:paraId="01C63884" w14:textId="49CC20B9"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351</w:t>
            </w:r>
          </w:p>
        </w:tc>
        <w:tc>
          <w:tcPr>
            <w:tcW w:w="0" w:type="pct"/>
            <w:noWrap/>
            <w:hideMark/>
          </w:tcPr>
          <w:p w14:paraId="2C72C2CC" w14:textId="0388E4C7"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347</w:t>
            </w:r>
          </w:p>
        </w:tc>
        <w:tc>
          <w:tcPr>
            <w:tcW w:w="0" w:type="pct"/>
            <w:noWrap/>
            <w:hideMark/>
          </w:tcPr>
          <w:p w14:paraId="49A7D158" w14:textId="3ADC3B3E"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-11.9%</w:t>
            </w:r>
          </w:p>
        </w:tc>
      </w:tr>
      <w:tr w:rsidR="00593E6F" w:rsidRPr="00EF4881" w14:paraId="137BDDC5"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7C883807"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Exterior Lighting </w:t>
            </w:r>
          </w:p>
        </w:tc>
        <w:tc>
          <w:tcPr>
            <w:tcW w:w="0" w:type="pct"/>
            <w:noWrap/>
            <w:hideMark/>
          </w:tcPr>
          <w:p w14:paraId="10DA6606" w14:textId="0BCC8CEE"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90</w:t>
            </w:r>
          </w:p>
        </w:tc>
        <w:tc>
          <w:tcPr>
            <w:tcW w:w="0" w:type="pct"/>
            <w:noWrap/>
            <w:hideMark/>
          </w:tcPr>
          <w:p w14:paraId="2588A2DD" w14:textId="66246B3C"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89</w:t>
            </w:r>
          </w:p>
        </w:tc>
        <w:tc>
          <w:tcPr>
            <w:tcW w:w="0" w:type="pct"/>
            <w:noWrap/>
            <w:hideMark/>
          </w:tcPr>
          <w:p w14:paraId="05DCB1FC" w14:textId="1D91FA7D"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86</w:t>
            </w:r>
          </w:p>
        </w:tc>
        <w:tc>
          <w:tcPr>
            <w:tcW w:w="0" w:type="pct"/>
            <w:noWrap/>
            <w:hideMark/>
          </w:tcPr>
          <w:p w14:paraId="7EA4BEC6" w14:textId="257E7AB9"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77</w:t>
            </w:r>
          </w:p>
        </w:tc>
        <w:tc>
          <w:tcPr>
            <w:tcW w:w="0" w:type="pct"/>
            <w:noWrap/>
            <w:hideMark/>
          </w:tcPr>
          <w:p w14:paraId="1137B4E8" w14:textId="507A4305"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71</w:t>
            </w:r>
          </w:p>
        </w:tc>
        <w:tc>
          <w:tcPr>
            <w:tcW w:w="0" w:type="pct"/>
            <w:noWrap/>
            <w:hideMark/>
          </w:tcPr>
          <w:p w14:paraId="2123EF3E" w14:textId="653F31B5"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70</w:t>
            </w:r>
          </w:p>
        </w:tc>
        <w:tc>
          <w:tcPr>
            <w:tcW w:w="0" w:type="pct"/>
            <w:noWrap/>
            <w:hideMark/>
          </w:tcPr>
          <w:p w14:paraId="7A9DD185" w14:textId="1ECAEB7A"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-22.9%</w:t>
            </w:r>
          </w:p>
        </w:tc>
      </w:tr>
      <w:tr w:rsidR="00593E6F" w:rsidRPr="00EF4881" w14:paraId="44C9E749"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11F78B30"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Refrigeration </w:t>
            </w:r>
          </w:p>
        </w:tc>
        <w:tc>
          <w:tcPr>
            <w:tcW w:w="0" w:type="pct"/>
            <w:noWrap/>
            <w:hideMark/>
          </w:tcPr>
          <w:p w14:paraId="60A361E3" w14:textId="61BC478E"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235</w:t>
            </w:r>
          </w:p>
        </w:tc>
        <w:tc>
          <w:tcPr>
            <w:tcW w:w="0" w:type="pct"/>
            <w:noWrap/>
            <w:hideMark/>
          </w:tcPr>
          <w:p w14:paraId="76EF3D2B" w14:textId="3EA4D7E4"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239</w:t>
            </w:r>
          </w:p>
        </w:tc>
        <w:tc>
          <w:tcPr>
            <w:tcW w:w="0" w:type="pct"/>
            <w:noWrap/>
            <w:hideMark/>
          </w:tcPr>
          <w:p w14:paraId="530A968D" w14:textId="3E4E9393"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242</w:t>
            </w:r>
          </w:p>
        </w:tc>
        <w:tc>
          <w:tcPr>
            <w:tcW w:w="0" w:type="pct"/>
            <w:noWrap/>
            <w:hideMark/>
          </w:tcPr>
          <w:p w14:paraId="583E89D8" w14:textId="3CD0E1AF"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250</w:t>
            </w:r>
          </w:p>
        </w:tc>
        <w:tc>
          <w:tcPr>
            <w:tcW w:w="0" w:type="pct"/>
            <w:noWrap/>
            <w:hideMark/>
          </w:tcPr>
          <w:p w14:paraId="723B0F83" w14:textId="1741A695"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267</w:t>
            </w:r>
          </w:p>
        </w:tc>
        <w:tc>
          <w:tcPr>
            <w:tcW w:w="0" w:type="pct"/>
            <w:noWrap/>
            <w:hideMark/>
          </w:tcPr>
          <w:p w14:paraId="5ECF11F1" w14:textId="413CC7BC"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276</w:t>
            </w:r>
          </w:p>
        </w:tc>
        <w:tc>
          <w:tcPr>
            <w:tcW w:w="0" w:type="pct"/>
            <w:noWrap/>
            <w:hideMark/>
          </w:tcPr>
          <w:p w14:paraId="48F04668" w14:textId="20CB3A07"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17.7%</w:t>
            </w:r>
          </w:p>
        </w:tc>
      </w:tr>
      <w:tr w:rsidR="00593E6F" w:rsidRPr="00EF4881" w14:paraId="561CFCA4"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10BABDC1"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Food Preparation </w:t>
            </w:r>
          </w:p>
        </w:tc>
        <w:tc>
          <w:tcPr>
            <w:tcW w:w="0" w:type="pct"/>
            <w:noWrap/>
            <w:hideMark/>
          </w:tcPr>
          <w:p w14:paraId="670E4D9B" w14:textId="0A0E4E8F"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124</w:t>
            </w:r>
          </w:p>
        </w:tc>
        <w:tc>
          <w:tcPr>
            <w:tcW w:w="0" w:type="pct"/>
            <w:noWrap/>
            <w:hideMark/>
          </w:tcPr>
          <w:p w14:paraId="2AC431DD" w14:textId="2FA491FA"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124</w:t>
            </w:r>
          </w:p>
        </w:tc>
        <w:tc>
          <w:tcPr>
            <w:tcW w:w="0" w:type="pct"/>
            <w:noWrap/>
            <w:hideMark/>
          </w:tcPr>
          <w:p w14:paraId="43B9BD1B" w14:textId="076B3248"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122</w:t>
            </w:r>
          </w:p>
        </w:tc>
        <w:tc>
          <w:tcPr>
            <w:tcW w:w="0" w:type="pct"/>
            <w:noWrap/>
            <w:hideMark/>
          </w:tcPr>
          <w:p w14:paraId="47989C22" w14:textId="34B17F21"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118</w:t>
            </w:r>
          </w:p>
        </w:tc>
        <w:tc>
          <w:tcPr>
            <w:tcW w:w="0" w:type="pct"/>
            <w:noWrap/>
            <w:hideMark/>
          </w:tcPr>
          <w:p w14:paraId="44AAB0B3" w14:textId="3C13B8A9"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124</w:t>
            </w:r>
          </w:p>
        </w:tc>
        <w:tc>
          <w:tcPr>
            <w:tcW w:w="0" w:type="pct"/>
            <w:noWrap/>
            <w:hideMark/>
          </w:tcPr>
          <w:p w14:paraId="63498F87" w14:textId="222700CD"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129</w:t>
            </w:r>
          </w:p>
        </w:tc>
        <w:tc>
          <w:tcPr>
            <w:tcW w:w="0" w:type="pct"/>
            <w:noWrap/>
            <w:hideMark/>
          </w:tcPr>
          <w:p w14:paraId="18141958" w14:textId="0C51E315"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3.9%</w:t>
            </w:r>
          </w:p>
        </w:tc>
      </w:tr>
      <w:tr w:rsidR="00593E6F" w:rsidRPr="00EF4881" w14:paraId="547BB798"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3114F7D8"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Office Equipment </w:t>
            </w:r>
          </w:p>
        </w:tc>
        <w:tc>
          <w:tcPr>
            <w:tcW w:w="0" w:type="pct"/>
            <w:noWrap/>
            <w:hideMark/>
          </w:tcPr>
          <w:p w14:paraId="0C74F243" w14:textId="4B4386F1"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225</w:t>
            </w:r>
          </w:p>
        </w:tc>
        <w:tc>
          <w:tcPr>
            <w:tcW w:w="0" w:type="pct"/>
            <w:noWrap/>
            <w:hideMark/>
          </w:tcPr>
          <w:p w14:paraId="7D7EB12E" w14:textId="2C5F408E"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221</w:t>
            </w:r>
          </w:p>
        </w:tc>
        <w:tc>
          <w:tcPr>
            <w:tcW w:w="0" w:type="pct"/>
            <w:noWrap/>
            <w:hideMark/>
          </w:tcPr>
          <w:p w14:paraId="00601E70" w14:textId="6C5093DC"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213</w:t>
            </w:r>
          </w:p>
        </w:tc>
        <w:tc>
          <w:tcPr>
            <w:tcW w:w="0" w:type="pct"/>
            <w:noWrap/>
            <w:hideMark/>
          </w:tcPr>
          <w:p w14:paraId="027C5162" w14:textId="7F9C002F"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208</w:t>
            </w:r>
          </w:p>
        </w:tc>
        <w:tc>
          <w:tcPr>
            <w:tcW w:w="0" w:type="pct"/>
            <w:noWrap/>
            <w:hideMark/>
          </w:tcPr>
          <w:p w14:paraId="764AD3E6" w14:textId="462A6F3C"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218</w:t>
            </w:r>
          </w:p>
        </w:tc>
        <w:tc>
          <w:tcPr>
            <w:tcW w:w="0" w:type="pct"/>
            <w:noWrap/>
            <w:hideMark/>
          </w:tcPr>
          <w:p w14:paraId="2FB008B8" w14:textId="6D8D1203"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223</w:t>
            </w:r>
          </w:p>
        </w:tc>
        <w:tc>
          <w:tcPr>
            <w:tcW w:w="0" w:type="pct"/>
            <w:noWrap/>
            <w:hideMark/>
          </w:tcPr>
          <w:p w14:paraId="0F4B3D4F" w14:textId="0400701B"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-0.9%</w:t>
            </w:r>
          </w:p>
        </w:tc>
      </w:tr>
      <w:tr w:rsidR="00593E6F" w:rsidRPr="00EF4881" w14:paraId="06A4EC9C"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293F2F64"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Miscellaneous </w:t>
            </w:r>
          </w:p>
        </w:tc>
        <w:tc>
          <w:tcPr>
            <w:tcW w:w="0" w:type="pct"/>
            <w:noWrap/>
            <w:hideMark/>
          </w:tcPr>
          <w:p w14:paraId="7809DBC0" w14:textId="73FF3025"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273</w:t>
            </w:r>
          </w:p>
        </w:tc>
        <w:tc>
          <w:tcPr>
            <w:tcW w:w="0" w:type="pct"/>
            <w:noWrap/>
            <w:hideMark/>
          </w:tcPr>
          <w:p w14:paraId="2D405F72" w14:textId="7A28A7EE"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283</w:t>
            </w:r>
          </w:p>
        </w:tc>
        <w:tc>
          <w:tcPr>
            <w:tcW w:w="0" w:type="pct"/>
            <w:noWrap/>
            <w:hideMark/>
          </w:tcPr>
          <w:p w14:paraId="199A5449" w14:textId="3B93C917"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302</w:t>
            </w:r>
          </w:p>
        </w:tc>
        <w:tc>
          <w:tcPr>
            <w:tcW w:w="0" w:type="pct"/>
            <w:noWrap/>
            <w:hideMark/>
          </w:tcPr>
          <w:p w14:paraId="50A02D04" w14:textId="318E012D"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388</w:t>
            </w:r>
          </w:p>
        </w:tc>
        <w:tc>
          <w:tcPr>
            <w:tcW w:w="0" w:type="pct"/>
            <w:noWrap/>
            <w:hideMark/>
          </w:tcPr>
          <w:p w14:paraId="2BEBCAA5" w14:textId="58FDD899"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908</w:t>
            </w:r>
          </w:p>
        </w:tc>
        <w:tc>
          <w:tcPr>
            <w:tcW w:w="0" w:type="pct"/>
            <w:noWrap/>
            <w:hideMark/>
          </w:tcPr>
          <w:p w14:paraId="0FC9EDC4" w14:textId="38E26796"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1,280</w:t>
            </w:r>
          </w:p>
        </w:tc>
        <w:tc>
          <w:tcPr>
            <w:tcW w:w="0" w:type="pct"/>
            <w:noWrap/>
            <w:hideMark/>
          </w:tcPr>
          <w:p w14:paraId="50B3392A" w14:textId="5B1E751D"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369.6%</w:t>
            </w:r>
          </w:p>
        </w:tc>
      </w:tr>
      <w:tr w:rsidR="00593E6F" w:rsidRPr="00EF4881" w14:paraId="6600D57B"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0015C2D1" w14:textId="77777777" w:rsidR="00593E6F" w:rsidRPr="003462B0" w:rsidRDefault="00593E6F" w:rsidP="00593E6F">
            <w:pPr>
              <w:keepNext/>
              <w:jc w:val="left"/>
              <w:rPr>
                <w:rFonts w:asciiTheme="minorHAnsi" w:eastAsia="Times New Roman" w:hAnsiTheme="minorHAnsi"/>
                <w:color w:val="19172B"/>
                <w:sz w:val="18"/>
                <w:szCs w:val="18"/>
              </w:rPr>
            </w:pPr>
            <w:r w:rsidRPr="003462B0">
              <w:rPr>
                <w:rFonts w:asciiTheme="minorHAnsi" w:eastAsia="Times New Roman" w:hAnsiTheme="minorHAnsi"/>
                <w:color w:val="19172B"/>
                <w:sz w:val="18"/>
                <w:szCs w:val="18"/>
              </w:rPr>
              <w:t xml:space="preserve"> Generation </w:t>
            </w:r>
          </w:p>
        </w:tc>
        <w:tc>
          <w:tcPr>
            <w:tcW w:w="0" w:type="pct"/>
            <w:noWrap/>
            <w:hideMark/>
          </w:tcPr>
          <w:p w14:paraId="5DDF6A7F" w14:textId="531C3880"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w:t>
            </w:r>
          </w:p>
        </w:tc>
        <w:tc>
          <w:tcPr>
            <w:tcW w:w="0" w:type="pct"/>
            <w:noWrap/>
            <w:hideMark/>
          </w:tcPr>
          <w:p w14:paraId="5F05682C" w14:textId="14B7A36E"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w:t>
            </w:r>
          </w:p>
        </w:tc>
        <w:tc>
          <w:tcPr>
            <w:tcW w:w="0" w:type="pct"/>
            <w:noWrap/>
            <w:hideMark/>
          </w:tcPr>
          <w:p w14:paraId="6D7A45E2" w14:textId="3CD33865"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w:t>
            </w:r>
          </w:p>
        </w:tc>
        <w:tc>
          <w:tcPr>
            <w:tcW w:w="0" w:type="pct"/>
            <w:noWrap/>
            <w:hideMark/>
          </w:tcPr>
          <w:p w14:paraId="06D7F082" w14:textId="17A8E2A6"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(10)</w:t>
            </w:r>
          </w:p>
        </w:tc>
        <w:tc>
          <w:tcPr>
            <w:tcW w:w="0" w:type="pct"/>
            <w:noWrap/>
            <w:hideMark/>
          </w:tcPr>
          <w:p w14:paraId="25325304" w14:textId="6C2DA24B"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(15)</w:t>
            </w:r>
          </w:p>
        </w:tc>
        <w:tc>
          <w:tcPr>
            <w:tcW w:w="0" w:type="pct"/>
            <w:noWrap/>
            <w:hideMark/>
          </w:tcPr>
          <w:p w14:paraId="16A7853D" w14:textId="05666235"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(20)</w:t>
            </w:r>
          </w:p>
        </w:tc>
        <w:tc>
          <w:tcPr>
            <w:tcW w:w="0" w:type="pct"/>
            <w:noWrap/>
            <w:hideMark/>
          </w:tcPr>
          <w:p w14:paraId="33AF4542" w14:textId="7433384D" w:rsidR="00593E6F" w:rsidRPr="00A11799"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A11799">
              <w:rPr>
                <w:rFonts w:asciiTheme="minorHAnsi" w:hAnsiTheme="minorHAnsi"/>
                <w:sz w:val="18"/>
                <w:szCs w:val="18"/>
              </w:rPr>
              <w:t>713.5%</w:t>
            </w:r>
          </w:p>
        </w:tc>
      </w:tr>
      <w:tr w:rsidR="00593E6F" w:rsidRPr="00EF4881" w14:paraId="77747F09"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pct"/>
            <w:noWrap/>
            <w:hideMark/>
          </w:tcPr>
          <w:p w14:paraId="490ACE16" w14:textId="77777777" w:rsidR="00593E6F" w:rsidRPr="00B30E51" w:rsidRDefault="00593E6F" w:rsidP="00593E6F">
            <w:pPr>
              <w:keepNext/>
              <w:jc w:val="center"/>
              <w:rPr>
                <w:rFonts w:asciiTheme="majorHAnsi" w:eastAsia="Times New Roman" w:hAnsiTheme="majorHAnsi"/>
                <w:color w:val="19172B"/>
                <w:sz w:val="18"/>
                <w:szCs w:val="18"/>
              </w:rPr>
            </w:pPr>
            <w:r w:rsidRPr="00B30E51">
              <w:rPr>
                <w:rFonts w:asciiTheme="majorHAnsi" w:eastAsia="Times New Roman" w:hAnsiTheme="majorHAnsi"/>
                <w:color w:val="19172B"/>
                <w:sz w:val="18"/>
                <w:szCs w:val="18"/>
              </w:rPr>
              <w:t xml:space="preserve"> Total  </w:t>
            </w:r>
          </w:p>
        </w:tc>
        <w:tc>
          <w:tcPr>
            <w:tcW w:w="0" w:type="pct"/>
            <w:noWrap/>
            <w:hideMark/>
          </w:tcPr>
          <w:p w14:paraId="3E910C3E" w14:textId="69A465B7"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2,075</w:t>
            </w:r>
          </w:p>
        </w:tc>
        <w:tc>
          <w:tcPr>
            <w:tcW w:w="0" w:type="pct"/>
            <w:noWrap/>
            <w:hideMark/>
          </w:tcPr>
          <w:p w14:paraId="5D8F6FBA" w14:textId="201BC6F2"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2,082</w:t>
            </w:r>
          </w:p>
        </w:tc>
        <w:tc>
          <w:tcPr>
            <w:tcW w:w="0" w:type="pct"/>
            <w:noWrap/>
            <w:hideMark/>
          </w:tcPr>
          <w:p w14:paraId="62BE1E2A" w14:textId="321BB889"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2,046</w:t>
            </w:r>
          </w:p>
        </w:tc>
        <w:tc>
          <w:tcPr>
            <w:tcW w:w="0" w:type="pct"/>
            <w:noWrap/>
            <w:hideMark/>
          </w:tcPr>
          <w:p w14:paraId="32982B2B" w14:textId="7F1280B0"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2,103</w:t>
            </w:r>
          </w:p>
        </w:tc>
        <w:tc>
          <w:tcPr>
            <w:tcW w:w="0" w:type="pct"/>
            <w:noWrap/>
            <w:hideMark/>
          </w:tcPr>
          <w:p w14:paraId="12BCD868" w14:textId="3EEB93B9"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2,648</w:t>
            </w:r>
          </w:p>
        </w:tc>
        <w:tc>
          <w:tcPr>
            <w:tcW w:w="0" w:type="pct"/>
            <w:noWrap/>
            <w:hideMark/>
          </w:tcPr>
          <w:p w14:paraId="71C6C1B4" w14:textId="7BC2AB0F"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3,034</w:t>
            </w:r>
          </w:p>
        </w:tc>
        <w:tc>
          <w:tcPr>
            <w:tcW w:w="0" w:type="pct"/>
            <w:noWrap/>
            <w:hideMark/>
          </w:tcPr>
          <w:p w14:paraId="710211DF" w14:textId="28EAE367" w:rsidR="00593E6F" w:rsidRPr="00A11799"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A11799">
              <w:rPr>
                <w:rFonts w:asciiTheme="majorHAnsi" w:hAnsiTheme="majorHAnsi"/>
                <w:sz w:val="18"/>
                <w:szCs w:val="18"/>
              </w:rPr>
              <w:t>46.2%</w:t>
            </w:r>
          </w:p>
        </w:tc>
      </w:tr>
    </w:tbl>
    <w:p w14:paraId="5E7E5CBE" w14:textId="77777777" w:rsidR="001C0023" w:rsidRDefault="001C0023" w:rsidP="006C2B54">
      <w:pPr>
        <w:pStyle w:val="AEGBody"/>
        <w:rPr>
          <w:rFonts w:cstheme="minorBidi"/>
        </w:rPr>
      </w:pPr>
    </w:p>
    <w:p w14:paraId="370D215E" w14:textId="6E83DD35" w:rsidR="00D9784B" w:rsidRPr="00D9784B" w:rsidRDefault="00D9784B" w:rsidP="00D9784B">
      <w:pPr>
        <w:pStyle w:val="FigureorTableCaption"/>
      </w:pPr>
      <w:bookmarkStart w:id="94" w:name="_Toc175912381"/>
      <w:r w:rsidRPr="00D9784B">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4</w:t>
      </w:r>
      <w:r w:rsidR="00EE4707">
        <w:fldChar w:fldCharType="end"/>
      </w:r>
      <w:r w:rsidR="00015121">
        <w:t xml:space="preserve"> </w:t>
      </w:r>
      <w:r w:rsidRPr="00D9784B">
        <w:t>Commercial Baseline Sales Projection by End Use (GWh), Idaho</w:t>
      </w:r>
      <w:bookmarkEnd w:id="94"/>
    </w:p>
    <w:tbl>
      <w:tblPr>
        <w:tblStyle w:val="AEGBlue2"/>
        <w:tblW w:w="9246" w:type="dxa"/>
        <w:tblLayout w:type="fixed"/>
        <w:tblLook w:val="04A0" w:firstRow="1" w:lastRow="0" w:firstColumn="1" w:lastColumn="0" w:noHBand="0" w:noVBand="1"/>
      </w:tblPr>
      <w:tblGrid>
        <w:gridCol w:w="1987"/>
        <w:gridCol w:w="1037"/>
        <w:gridCol w:w="1037"/>
        <w:gridCol w:w="1037"/>
        <w:gridCol w:w="1037"/>
        <w:gridCol w:w="1037"/>
        <w:gridCol w:w="1037"/>
        <w:gridCol w:w="1037"/>
      </w:tblGrid>
      <w:tr w:rsidR="00231D9C" w:rsidRPr="00EF4881" w14:paraId="6F6C58A0" w14:textId="77777777" w:rsidTr="00B37A88">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987" w:type="dxa"/>
            <w:hideMark/>
          </w:tcPr>
          <w:p w14:paraId="2ABB33DC" w14:textId="28A2C450" w:rsidR="00E11DDA" w:rsidRPr="00B30E51" w:rsidRDefault="00E11DDA" w:rsidP="00C54C72">
            <w:pPr>
              <w:keepNext/>
              <w:jc w:val="left"/>
              <w:rPr>
                <w:rFonts w:asciiTheme="majorHAnsi" w:eastAsia="Times New Roman" w:hAnsiTheme="majorHAnsi"/>
                <w:sz w:val="18"/>
                <w:szCs w:val="18"/>
              </w:rPr>
            </w:pPr>
            <w:r w:rsidRPr="00B30E51">
              <w:rPr>
                <w:rFonts w:asciiTheme="majorHAnsi" w:eastAsia="Times New Roman" w:hAnsiTheme="majorHAnsi"/>
                <w:sz w:val="18"/>
                <w:szCs w:val="18"/>
              </w:rPr>
              <w:t>End Use</w:t>
            </w:r>
          </w:p>
        </w:tc>
        <w:tc>
          <w:tcPr>
            <w:tcW w:w="1037" w:type="dxa"/>
            <w:hideMark/>
          </w:tcPr>
          <w:p w14:paraId="6AC14AF9"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2021</w:t>
            </w:r>
          </w:p>
        </w:tc>
        <w:tc>
          <w:tcPr>
            <w:tcW w:w="1037" w:type="dxa"/>
            <w:hideMark/>
          </w:tcPr>
          <w:p w14:paraId="14661A50"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2023</w:t>
            </w:r>
          </w:p>
        </w:tc>
        <w:tc>
          <w:tcPr>
            <w:tcW w:w="1037" w:type="dxa"/>
            <w:hideMark/>
          </w:tcPr>
          <w:p w14:paraId="2C0C1919"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2025</w:t>
            </w:r>
          </w:p>
        </w:tc>
        <w:tc>
          <w:tcPr>
            <w:tcW w:w="1037" w:type="dxa"/>
            <w:hideMark/>
          </w:tcPr>
          <w:p w14:paraId="672BAA19"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2030</w:t>
            </w:r>
          </w:p>
        </w:tc>
        <w:tc>
          <w:tcPr>
            <w:tcW w:w="1037" w:type="dxa"/>
            <w:hideMark/>
          </w:tcPr>
          <w:p w14:paraId="11296F01"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2040</w:t>
            </w:r>
          </w:p>
        </w:tc>
        <w:tc>
          <w:tcPr>
            <w:tcW w:w="1037" w:type="dxa"/>
            <w:hideMark/>
          </w:tcPr>
          <w:p w14:paraId="7D943EBE"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2045</w:t>
            </w:r>
          </w:p>
        </w:tc>
        <w:tc>
          <w:tcPr>
            <w:tcW w:w="1037" w:type="dxa"/>
            <w:hideMark/>
          </w:tcPr>
          <w:p w14:paraId="3B3806DE" w14:textId="77777777" w:rsidR="00E11DDA" w:rsidRPr="00B30E51" w:rsidRDefault="00E11DD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30E51">
              <w:rPr>
                <w:rFonts w:asciiTheme="majorHAnsi" w:eastAsia="Times New Roman" w:hAnsiTheme="majorHAnsi"/>
                <w:sz w:val="18"/>
                <w:szCs w:val="18"/>
              </w:rPr>
              <w:t>% Change</w:t>
            </w:r>
          </w:p>
        </w:tc>
      </w:tr>
      <w:tr w:rsidR="00593E6F" w:rsidRPr="00EF4881" w14:paraId="10A04ABB"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2A90D422"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Cooling </w:t>
            </w:r>
          </w:p>
        </w:tc>
        <w:tc>
          <w:tcPr>
            <w:tcW w:w="0" w:type="dxa"/>
            <w:noWrap/>
            <w:hideMark/>
          </w:tcPr>
          <w:p w14:paraId="1126E64F" w14:textId="79D3E8D6"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73</w:t>
            </w:r>
          </w:p>
        </w:tc>
        <w:tc>
          <w:tcPr>
            <w:tcW w:w="0" w:type="dxa"/>
            <w:noWrap/>
            <w:hideMark/>
          </w:tcPr>
          <w:p w14:paraId="1C5E22E4" w14:textId="5AF09F8E"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58</w:t>
            </w:r>
          </w:p>
        </w:tc>
        <w:tc>
          <w:tcPr>
            <w:tcW w:w="0" w:type="dxa"/>
            <w:noWrap/>
            <w:hideMark/>
          </w:tcPr>
          <w:p w14:paraId="626D5586" w14:textId="38707077"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58</w:t>
            </w:r>
          </w:p>
        </w:tc>
        <w:tc>
          <w:tcPr>
            <w:tcW w:w="0" w:type="dxa"/>
            <w:noWrap/>
            <w:hideMark/>
          </w:tcPr>
          <w:p w14:paraId="1776E793" w14:textId="62E28CD8"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63</w:t>
            </w:r>
          </w:p>
        </w:tc>
        <w:tc>
          <w:tcPr>
            <w:tcW w:w="0" w:type="dxa"/>
            <w:noWrap/>
            <w:hideMark/>
          </w:tcPr>
          <w:p w14:paraId="479EA979" w14:textId="0B7EFBF3"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72</w:t>
            </w:r>
          </w:p>
        </w:tc>
        <w:tc>
          <w:tcPr>
            <w:tcW w:w="0" w:type="dxa"/>
            <w:noWrap/>
            <w:hideMark/>
          </w:tcPr>
          <w:p w14:paraId="2CD87434" w14:textId="534E22E5"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76</w:t>
            </w:r>
          </w:p>
        </w:tc>
        <w:tc>
          <w:tcPr>
            <w:tcW w:w="0" w:type="dxa"/>
            <w:noWrap/>
            <w:hideMark/>
          </w:tcPr>
          <w:p w14:paraId="06EEC24A" w14:textId="70DFF742"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4.0%</w:t>
            </w:r>
          </w:p>
        </w:tc>
      </w:tr>
      <w:tr w:rsidR="00593E6F" w:rsidRPr="00EF4881" w14:paraId="040EBA52"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705FA419"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Space Heating </w:t>
            </w:r>
          </w:p>
        </w:tc>
        <w:tc>
          <w:tcPr>
            <w:tcW w:w="0" w:type="dxa"/>
            <w:noWrap/>
            <w:hideMark/>
          </w:tcPr>
          <w:p w14:paraId="20274DD1" w14:textId="16E9E212"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58</w:t>
            </w:r>
          </w:p>
        </w:tc>
        <w:tc>
          <w:tcPr>
            <w:tcW w:w="0" w:type="dxa"/>
            <w:noWrap/>
            <w:hideMark/>
          </w:tcPr>
          <w:p w14:paraId="1EE112C9" w14:textId="7FB351B8"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71</w:t>
            </w:r>
          </w:p>
        </w:tc>
        <w:tc>
          <w:tcPr>
            <w:tcW w:w="0" w:type="dxa"/>
            <w:noWrap/>
            <w:hideMark/>
          </w:tcPr>
          <w:p w14:paraId="3B9A63EA" w14:textId="1124E17D"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83</w:t>
            </w:r>
          </w:p>
        </w:tc>
        <w:tc>
          <w:tcPr>
            <w:tcW w:w="0" w:type="dxa"/>
            <w:noWrap/>
            <w:hideMark/>
          </w:tcPr>
          <w:p w14:paraId="2CF7D902" w14:textId="32E4E843"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86</w:t>
            </w:r>
          </w:p>
        </w:tc>
        <w:tc>
          <w:tcPr>
            <w:tcW w:w="0" w:type="dxa"/>
            <w:noWrap/>
            <w:hideMark/>
          </w:tcPr>
          <w:p w14:paraId="3B4CE2C4" w14:textId="63982564"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95</w:t>
            </w:r>
          </w:p>
        </w:tc>
        <w:tc>
          <w:tcPr>
            <w:tcW w:w="0" w:type="dxa"/>
            <w:noWrap/>
            <w:hideMark/>
          </w:tcPr>
          <w:p w14:paraId="0FA44628" w14:textId="3B34FAB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99</w:t>
            </w:r>
          </w:p>
        </w:tc>
        <w:tc>
          <w:tcPr>
            <w:tcW w:w="0" w:type="dxa"/>
            <w:noWrap/>
            <w:hideMark/>
          </w:tcPr>
          <w:p w14:paraId="2C2434EA" w14:textId="70853857"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70.9%</w:t>
            </w:r>
          </w:p>
        </w:tc>
      </w:tr>
      <w:tr w:rsidR="00593E6F" w:rsidRPr="00EF4881" w14:paraId="01617898"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440E8FF0"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Ventilation </w:t>
            </w:r>
          </w:p>
        </w:tc>
        <w:tc>
          <w:tcPr>
            <w:tcW w:w="0" w:type="dxa"/>
            <w:noWrap/>
            <w:hideMark/>
          </w:tcPr>
          <w:p w14:paraId="7DB4D435" w14:textId="4BF3936E"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151</w:t>
            </w:r>
          </w:p>
        </w:tc>
        <w:tc>
          <w:tcPr>
            <w:tcW w:w="0" w:type="dxa"/>
            <w:noWrap/>
            <w:hideMark/>
          </w:tcPr>
          <w:p w14:paraId="1D3DF648" w14:textId="70B88758"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152</w:t>
            </w:r>
          </w:p>
        </w:tc>
        <w:tc>
          <w:tcPr>
            <w:tcW w:w="0" w:type="dxa"/>
            <w:noWrap/>
            <w:hideMark/>
          </w:tcPr>
          <w:p w14:paraId="6D1DF9E7" w14:textId="481968A3"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163</w:t>
            </w:r>
          </w:p>
        </w:tc>
        <w:tc>
          <w:tcPr>
            <w:tcW w:w="0" w:type="dxa"/>
            <w:noWrap/>
            <w:hideMark/>
          </w:tcPr>
          <w:p w14:paraId="3208F347" w14:textId="74F8681A"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159</w:t>
            </w:r>
          </w:p>
        </w:tc>
        <w:tc>
          <w:tcPr>
            <w:tcW w:w="0" w:type="dxa"/>
            <w:noWrap/>
            <w:hideMark/>
          </w:tcPr>
          <w:p w14:paraId="1C69B50D" w14:textId="43B166BA"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159</w:t>
            </w:r>
          </w:p>
        </w:tc>
        <w:tc>
          <w:tcPr>
            <w:tcW w:w="0" w:type="dxa"/>
            <w:noWrap/>
            <w:hideMark/>
          </w:tcPr>
          <w:p w14:paraId="1E53676D" w14:textId="3DE08E36"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163</w:t>
            </w:r>
          </w:p>
        </w:tc>
        <w:tc>
          <w:tcPr>
            <w:tcW w:w="0" w:type="dxa"/>
            <w:noWrap/>
            <w:hideMark/>
          </w:tcPr>
          <w:p w14:paraId="00B380D1" w14:textId="5EADD947"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7.3%</w:t>
            </w:r>
          </w:p>
        </w:tc>
      </w:tr>
      <w:tr w:rsidR="00593E6F" w:rsidRPr="00EF4881" w14:paraId="099DA981"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135C0835"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Water Heating </w:t>
            </w:r>
          </w:p>
        </w:tc>
        <w:tc>
          <w:tcPr>
            <w:tcW w:w="0" w:type="dxa"/>
            <w:noWrap/>
            <w:hideMark/>
          </w:tcPr>
          <w:p w14:paraId="4CB3A5F1" w14:textId="068B1B8B"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35</w:t>
            </w:r>
          </w:p>
        </w:tc>
        <w:tc>
          <w:tcPr>
            <w:tcW w:w="0" w:type="dxa"/>
            <w:noWrap/>
            <w:hideMark/>
          </w:tcPr>
          <w:p w14:paraId="22F1E116" w14:textId="6CA553B6"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38</w:t>
            </w:r>
          </w:p>
        </w:tc>
        <w:tc>
          <w:tcPr>
            <w:tcW w:w="0" w:type="dxa"/>
            <w:noWrap/>
            <w:hideMark/>
          </w:tcPr>
          <w:p w14:paraId="3454D293" w14:textId="3A568A0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44</w:t>
            </w:r>
          </w:p>
        </w:tc>
        <w:tc>
          <w:tcPr>
            <w:tcW w:w="0" w:type="dxa"/>
            <w:noWrap/>
            <w:hideMark/>
          </w:tcPr>
          <w:p w14:paraId="351F131E" w14:textId="04A4D670"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52</w:t>
            </w:r>
          </w:p>
        </w:tc>
        <w:tc>
          <w:tcPr>
            <w:tcW w:w="0" w:type="dxa"/>
            <w:noWrap/>
            <w:hideMark/>
          </w:tcPr>
          <w:p w14:paraId="042D24D8" w14:textId="55EBD6D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68</w:t>
            </w:r>
          </w:p>
        </w:tc>
        <w:tc>
          <w:tcPr>
            <w:tcW w:w="0" w:type="dxa"/>
            <w:noWrap/>
            <w:hideMark/>
          </w:tcPr>
          <w:p w14:paraId="52EB15C2" w14:textId="48DD120D"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74</w:t>
            </w:r>
          </w:p>
        </w:tc>
        <w:tc>
          <w:tcPr>
            <w:tcW w:w="0" w:type="dxa"/>
            <w:noWrap/>
            <w:hideMark/>
          </w:tcPr>
          <w:p w14:paraId="1FAEA286" w14:textId="7CFDB497"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113.8%</w:t>
            </w:r>
          </w:p>
        </w:tc>
      </w:tr>
      <w:tr w:rsidR="00593E6F" w:rsidRPr="00EF4881" w14:paraId="029A343A"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007C5D89"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Interior Lighting </w:t>
            </w:r>
          </w:p>
        </w:tc>
        <w:tc>
          <w:tcPr>
            <w:tcW w:w="0" w:type="dxa"/>
            <w:noWrap/>
            <w:hideMark/>
          </w:tcPr>
          <w:p w14:paraId="3E1CEF91" w14:textId="7F2AB48A"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186</w:t>
            </w:r>
          </w:p>
        </w:tc>
        <w:tc>
          <w:tcPr>
            <w:tcW w:w="0" w:type="dxa"/>
            <w:noWrap/>
            <w:hideMark/>
          </w:tcPr>
          <w:p w14:paraId="771F5A40" w14:textId="1FE8F256"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191</w:t>
            </w:r>
          </w:p>
        </w:tc>
        <w:tc>
          <w:tcPr>
            <w:tcW w:w="0" w:type="dxa"/>
            <w:noWrap/>
            <w:hideMark/>
          </w:tcPr>
          <w:p w14:paraId="08D646FC" w14:textId="5855ECD9"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190</w:t>
            </w:r>
          </w:p>
        </w:tc>
        <w:tc>
          <w:tcPr>
            <w:tcW w:w="0" w:type="dxa"/>
            <w:noWrap/>
            <w:hideMark/>
          </w:tcPr>
          <w:p w14:paraId="1F6DDD3B" w14:textId="172DD44E"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188</w:t>
            </w:r>
          </w:p>
        </w:tc>
        <w:tc>
          <w:tcPr>
            <w:tcW w:w="0" w:type="dxa"/>
            <w:noWrap/>
            <w:hideMark/>
          </w:tcPr>
          <w:p w14:paraId="54CCF64D" w14:textId="4547F319"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189</w:t>
            </w:r>
          </w:p>
        </w:tc>
        <w:tc>
          <w:tcPr>
            <w:tcW w:w="0" w:type="dxa"/>
            <w:noWrap/>
            <w:hideMark/>
          </w:tcPr>
          <w:p w14:paraId="5611C7F4" w14:textId="37BD71A2"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194</w:t>
            </w:r>
          </w:p>
        </w:tc>
        <w:tc>
          <w:tcPr>
            <w:tcW w:w="0" w:type="dxa"/>
            <w:noWrap/>
            <w:hideMark/>
          </w:tcPr>
          <w:p w14:paraId="0330CFA2" w14:textId="65C8DC6D"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3.9%</w:t>
            </w:r>
          </w:p>
        </w:tc>
      </w:tr>
      <w:tr w:rsidR="00593E6F" w:rsidRPr="00EF4881" w14:paraId="4D1DB32A"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70D2354A"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Exterior Lighting </w:t>
            </w:r>
          </w:p>
        </w:tc>
        <w:tc>
          <w:tcPr>
            <w:tcW w:w="0" w:type="dxa"/>
            <w:noWrap/>
            <w:hideMark/>
          </w:tcPr>
          <w:p w14:paraId="4B534CC4" w14:textId="2350E3AC"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40</w:t>
            </w:r>
          </w:p>
        </w:tc>
        <w:tc>
          <w:tcPr>
            <w:tcW w:w="0" w:type="dxa"/>
            <w:noWrap/>
            <w:hideMark/>
          </w:tcPr>
          <w:p w14:paraId="55B4DB56" w14:textId="7EBC0DB5"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40</w:t>
            </w:r>
          </w:p>
        </w:tc>
        <w:tc>
          <w:tcPr>
            <w:tcW w:w="0" w:type="dxa"/>
            <w:noWrap/>
            <w:hideMark/>
          </w:tcPr>
          <w:p w14:paraId="164F4DCF" w14:textId="75481BA6"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39</w:t>
            </w:r>
          </w:p>
        </w:tc>
        <w:tc>
          <w:tcPr>
            <w:tcW w:w="0" w:type="dxa"/>
            <w:noWrap/>
            <w:hideMark/>
          </w:tcPr>
          <w:p w14:paraId="7B68B053" w14:textId="0AE3204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36</w:t>
            </w:r>
          </w:p>
        </w:tc>
        <w:tc>
          <w:tcPr>
            <w:tcW w:w="0" w:type="dxa"/>
            <w:noWrap/>
            <w:hideMark/>
          </w:tcPr>
          <w:p w14:paraId="7A414DD8" w14:textId="62840A6E"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35</w:t>
            </w:r>
          </w:p>
        </w:tc>
        <w:tc>
          <w:tcPr>
            <w:tcW w:w="0" w:type="dxa"/>
            <w:noWrap/>
            <w:hideMark/>
          </w:tcPr>
          <w:p w14:paraId="365454AD" w14:textId="1D6D8365"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36</w:t>
            </w:r>
          </w:p>
        </w:tc>
        <w:tc>
          <w:tcPr>
            <w:tcW w:w="0" w:type="dxa"/>
            <w:noWrap/>
            <w:hideMark/>
          </w:tcPr>
          <w:p w14:paraId="5C413867" w14:textId="4761DF66"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-9.6%</w:t>
            </w:r>
          </w:p>
        </w:tc>
      </w:tr>
      <w:tr w:rsidR="00593E6F" w:rsidRPr="00EF4881" w14:paraId="78DF2786"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076F33BE"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Refrigeration </w:t>
            </w:r>
          </w:p>
        </w:tc>
        <w:tc>
          <w:tcPr>
            <w:tcW w:w="0" w:type="dxa"/>
            <w:noWrap/>
            <w:hideMark/>
          </w:tcPr>
          <w:p w14:paraId="5020BF90" w14:textId="4D707093"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152</w:t>
            </w:r>
          </w:p>
        </w:tc>
        <w:tc>
          <w:tcPr>
            <w:tcW w:w="0" w:type="dxa"/>
            <w:noWrap/>
            <w:hideMark/>
          </w:tcPr>
          <w:p w14:paraId="1361D25A" w14:textId="032E5410"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158</w:t>
            </w:r>
          </w:p>
        </w:tc>
        <w:tc>
          <w:tcPr>
            <w:tcW w:w="0" w:type="dxa"/>
            <w:noWrap/>
            <w:hideMark/>
          </w:tcPr>
          <w:p w14:paraId="2ACF94C6" w14:textId="0CC4F087"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163</w:t>
            </w:r>
          </w:p>
        </w:tc>
        <w:tc>
          <w:tcPr>
            <w:tcW w:w="0" w:type="dxa"/>
            <w:noWrap/>
            <w:hideMark/>
          </w:tcPr>
          <w:p w14:paraId="788B2DBE" w14:textId="53AC17F7"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174</w:t>
            </w:r>
          </w:p>
        </w:tc>
        <w:tc>
          <w:tcPr>
            <w:tcW w:w="0" w:type="dxa"/>
            <w:noWrap/>
            <w:hideMark/>
          </w:tcPr>
          <w:p w14:paraId="0E66CC9C" w14:textId="4AB40FE2"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199</w:t>
            </w:r>
          </w:p>
        </w:tc>
        <w:tc>
          <w:tcPr>
            <w:tcW w:w="0" w:type="dxa"/>
            <w:noWrap/>
            <w:hideMark/>
          </w:tcPr>
          <w:p w14:paraId="18C43672" w14:textId="3369DE58"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214</w:t>
            </w:r>
          </w:p>
        </w:tc>
        <w:tc>
          <w:tcPr>
            <w:tcW w:w="0" w:type="dxa"/>
            <w:noWrap/>
            <w:hideMark/>
          </w:tcPr>
          <w:p w14:paraId="3A69689D" w14:textId="75FD17E8"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40.4%</w:t>
            </w:r>
          </w:p>
        </w:tc>
      </w:tr>
      <w:tr w:rsidR="00593E6F" w:rsidRPr="00EF4881" w14:paraId="7E26C0DC"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23FC2D60"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Food Preparation </w:t>
            </w:r>
          </w:p>
        </w:tc>
        <w:tc>
          <w:tcPr>
            <w:tcW w:w="0" w:type="dxa"/>
            <w:noWrap/>
            <w:hideMark/>
          </w:tcPr>
          <w:p w14:paraId="1C6592B8" w14:textId="3A9C9A46"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69</w:t>
            </w:r>
          </w:p>
        </w:tc>
        <w:tc>
          <w:tcPr>
            <w:tcW w:w="0" w:type="dxa"/>
            <w:noWrap/>
            <w:hideMark/>
          </w:tcPr>
          <w:p w14:paraId="7FBA6452" w14:textId="73BDBB3E"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69</w:t>
            </w:r>
          </w:p>
        </w:tc>
        <w:tc>
          <w:tcPr>
            <w:tcW w:w="0" w:type="dxa"/>
            <w:noWrap/>
            <w:hideMark/>
          </w:tcPr>
          <w:p w14:paraId="2CA7A8EF" w14:textId="371F5EF2"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67</w:t>
            </w:r>
          </w:p>
        </w:tc>
        <w:tc>
          <w:tcPr>
            <w:tcW w:w="0" w:type="dxa"/>
            <w:noWrap/>
            <w:hideMark/>
          </w:tcPr>
          <w:p w14:paraId="37089824" w14:textId="557ED58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64</w:t>
            </w:r>
          </w:p>
        </w:tc>
        <w:tc>
          <w:tcPr>
            <w:tcW w:w="0" w:type="dxa"/>
            <w:noWrap/>
            <w:hideMark/>
          </w:tcPr>
          <w:p w14:paraId="5FC16336" w14:textId="6C77131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63</w:t>
            </w:r>
          </w:p>
        </w:tc>
        <w:tc>
          <w:tcPr>
            <w:tcW w:w="0" w:type="dxa"/>
            <w:noWrap/>
            <w:hideMark/>
          </w:tcPr>
          <w:p w14:paraId="1907E90F" w14:textId="7D3F2B4B"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63</w:t>
            </w:r>
          </w:p>
        </w:tc>
        <w:tc>
          <w:tcPr>
            <w:tcW w:w="0" w:type="dxa"/>
            <w:noWrap/>
            <w:hideMark/>
          </w:tcPr>
          <w:p w14:paraId="5F84A124" w14:textId="19C51FF0"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-8.0%</w:t>
            </w:r>
          </w:p>
        </w:tc>
      </w:tr>
      <w:tr w:rsidR="00593E6F" w:rsidRPr="00EF4881" w14:paraId="5B9F55CC"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2FC1AF82"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Office Equipment </w:t>
            </w:r>
          </w:p>
        </w:tc>
        <w:tc>
          <w:tcPr>
            <w:tcW w:w="0" w:type="dxa"/>
            <w:noWrap/>
            <w:hideMark/>
          </w:tcPr>
          <w:p w14:paraId="3476E42C" w14:textId="1D44BB91"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101</w:t>
            </w:r>
          </w:p>
        </w:tc>
        <w:tc>
          <w:tcPr>
            <w:tcW w:w="0" w:type="dxa"/>
            <w:noWrap/>
            <w:hideMark/>
          </w:tcPr>
          <w:p w14:paraId="501C2C92" w14:textId="512DAFFE"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101</w:t>
            </w:r>
          </w:p>
        </w:tc>
        <w:tc>
          <w:tcPr>
            <w:tcW w:w="0" w:type="dxa"/>
            <w:noWrap/>
            <w:hideMark/>
          </w:tcPr>
          <w:p w14:paraId="63E6CCE8" w14:textId="16F569D3"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98</w:t>
            </w:r>
          </w:p>
        </w:tc>
        <w:tc>
          <w:tcPr>
            <w:tcW w:w="0" w:type="dxa"/>
            <w:noWrap/>
            <w:hideMark/>
          </w:tcPr>
          <w:p w14:paraId="284FC164" w14:textId="1E12960E"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98</w:t>
            </w:r>
          </w:p>
        </w:tc>
        <w:tc>
          <w:tcPr>
            <w:tcW w:w="0" w:type="dxa"/>
            <w:noWrap/>
            <w:hideMark/>
          </w:tcPr>
          <w:p w14:paraId="16BADC64" w14:textId="629BB6E9"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109</w:t>
            </w:r>
          </w:p>
        </w:tc>
        <w:tc>
          <w:tcPr>
            <w:tcW w:w="0" w:type="dxa"/>
            <w:noWrap/>
            <w:hideMark/>
          </w:tcPr>
          <w:p w14:paraId="19A5B19C" w14:textId="42D78B2E"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115</w:t>
            </w:r>
          </w:p>
        </w:tc>
        <w:tc>
          <w:tcPr>
            <w:tcW w:w="0" w:type="dxa"/>
            <w:noWrap/>
            <w:hideMark/>
          </w:tcPr>
          <w:p w14:paraId="049B79E1" w14:textId="2E943BF8"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14.4%</w:t>
            </w:r>
          </w:p>
        </w:tc>
      </w:tr>
      <w:tr w:rsidR="00593E6F" w:rsidRPr="00EF4881" w14:paraId="66BC345B"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0AAB61A2"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Miscellaneous </w:t>
            </w:r>
          </w:p>
        </w:tc>
        <w:tc>
          <w:tcPr>
            <w:tcW w:w="0" w:type="dxa"/>
            <w:noWrap/>
            <w:hideMark/>
          </w:tcPr>
          <w:p w14:paraId="6BCD3441" w14:textId="6D9CE511"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123</w:t>
            </w:r>
          </w:p>
        </w:tc>
        <w:tc>
          <w:tcPr>
            <w:tcW w:w="0" w:type="dxa"/>
            <w:noWrap/>
            <w:hideMark/>
          </w:tcPr>
          <w:p w14:paraId="3A5A887E" w14:textId="7B54ABD0"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128</w:t>
            </w:r>
          </w:p>
        </w:tc>
        <w:tc>
          <w:tcPr>
            <w:tcW w:w="0" w:type="dxa"/>
            <w:noWrap/>
            <w:hideMark/>
          </w:tcPr>
          <w:p w14:paraId="3E330C63" w14:textId="76C9A215"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131</w:t>
            </w:r>
          </w:p>
        </w:tc>
        <w:tc>
          <w:tcPr>
            <w:tcW w:w="0" w:type="dxa"/>
            <w:noWrap/>
            <w:hideMark/>
          </w:tcPr>
          <w:p w14:paraId="476EF7CC" w14:textId="50508FB8"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140</w:t>
            </w:r>
          </w:p>
        </w:tc>
        <w:tc>
          <w:tcPr>
            <w:tcW w:w="0" w:type="dxa"/>
            <w:noWrap/>
            <w:hideMark/>
          </w:tcPr>
          <w:p w14:paraId="0725320B" w14:textId="30F9C209"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171</w:t>
            </w:r>
          </w:p>
        </w:tc>
        <w:tc>
          <w:tcPr>
            <w:tcW w:w="0" w:type="dxa"/>
            <w:noWrap/>
            <w:hideMark/>
          </w:tcPr>
          <w:p w14:paraId="38FD76CF" w14:textId="1DCEE2FF"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210</w:t>
            </w:r>
          </w:p>
        </w:tc>
        <w:tc>
          <w:tcPr>
            <w:tcW w:w="0" w:type="dxa"/>
            <w:noWrap/>
            <w:hideMark/>
          </w:tcPr>
          <w:p w14:paraId="6EC3C07B" w14:textId="517DF133" w:rsidR="00593E6F" w:rsidRPr="00B30E51"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B30E51">
              <w:rPr>
                <w:sz w:val="18"/>
                <w:szCs w:val="18"/>
              </w:rPr>
              <w:t>70.9%</w:t>
            </w:r>
          </w:p>
        </w:tc>
      </w:tr>
      <w:tr w:rsidR="00593E6F" w:rsidRPr="00EF4881" w14:paraId="06893018" w14:textId="77777777" w:rsidTr="00FF4586">
        <w:trPr>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5D3162B2" w14:textId="77777777" w:rsidR="00593E6F" w:rsidRPr="00B30E51" w:rsidRDefault="00593E6F" w:rsidP="00593E6F">
            <w:pPr>
              <w:keepNext/>
              <w:jc w:val="left"/>
              <w:rPr>
                <w:rFonts w:eastAsia="Times New Roman"/>
                <w:color w:val="19172B"/>
                <w:sz w:val="18"/>
                <w:szCs w:val="18"/>
              </w:rPr>
            </w:pPr>
            <w:r w:rsidRPr="00B30E51">
              <w:rPr>
                <w:rFonts w:eastAsia="Times New Roman"/>
                <w:color w:val="19172B"/>
                <w:sz w:val="18"/>
                <w:szCs w:val="18"/>
              </w:rPr>
              <w:t xml:space="preserve"> Generation </w:t>
            </w:r>
          </w:p>
        </w:tc>
        <w:tc>
          <w:tcPr>
            <w:tcW w:w="0" w:type="dxa"/>
            <w:noWrap/>
            <w:hideMark/>
          </w:tcPr>
          <w:p w14:paraId="4AA4261F" w14:textId="458AFEBB"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w:t>
            </w:r>
          </w:p>
        </w:tc>
        <w:tc>
          <w:tcPr>
            <w:tcW w:w="0" w:type="dxa"/>
            <w:noWrap/>
            <w:hideMark/>
          </w:tcPr>
          <w:p w14:paraId="16575CD7" w14:textId="41F9034B"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w:t>
            </w:r>
          </w:p>
        </w:tc>
        <w:tc>
          <w:tcPr>
            <w:tcW w:w="0" w:type="dxa"/>
            <w:noWrap/>
            <w:hideMark/>
          </w:tcPr>
          <w:p w14:paraId="309154F6" w14:textId="67F79669"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w:t>
            </w:r>
          </w:p>
        </w:tc>
        <w:tc>
          <w:tcPr>
            <w:tcW w:w="0" w:type="dxa"/>
            <w:noWrap/>
            <w:hideMark/>
          </w:tcPr>
          <w:p w14:paraId="52752554" w14:textId="08F4EF4A"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(1)</w:t>
            </w:r>
          </w:p>
        </w:tc>
        <w:tc>
          <w:tcPr>
            <w:tcW w:w="0" w:type="dxa"/>
            <w:noWrap/>
            <w:hideMark/>
          </w:tcPr>
          <w:p w14:paraId="7325D7B0" w14:textId="29E7D3CD"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(2)</w:t>
            </w:r>
          </w:p>
        </w:tc>
        <w:tc>
          <w:tcPr>
            <w:tcW w:w="0" w:type="dxa"/>
            <w:noWrap/>
            <w:hideMark/>
          </w:tcPr>
          <w:p w14:paraId="0DD0626B" w14:textId="693FA7F2"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(3)</w:t>
            </w:r>
          </w:p>
        </w:tc>
        <w:tc>
          <w:tcPr>
            <w:tcW w:w="0" w:type="dxa"/>
            <w:noWrap/>
            <w:hideMark/>
          </w:tcPr>
          <w:p w14:paraId="0E5C5081" w14:textId="00F62164" w:rsidR="00593E6F" w:rsidRPr="00B30E51" w:rsidRDefault="00593E6F"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B30E51">
              <w:rPr>
                <w:sz w:val="18"/>
                <w:szCs w:val="18"/>
              </w:rPr>
              <w:t>274.6%</w:t>
            </w:r>
          </w:p>
        </w:tc>
      </w:tr>
      <w:tr w:rsidR="00593E6F" w:rsidRPr="00EF4881" w14:paraId="58AC11DC"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dxa"/>
            <w:noWrap/>
            <w:hideMark/>
          </w:tcPr>
          <w:p w14:paraId="5806CA48" w14:textId="77777777" w:rsidR="00593E6F" w:rsidRPr="004B357F" w:rsidRDefault="00593E6F" w:rsidP="00593E6F">
            <w:pPr>
              <w:keepNext/>
              <w:jc w:val="center"/>
              <w:rPr>
                <w:rFonts w:asciiTheme="majorHAnsi" w:eastAsia="Times New Roman" w:hAnsiTheme="majorHAnsi"/>
                <w:color w:val="19172B"/>
                <w:sz w:val="18"/>
                <w:szCs w:val="18"/>
              </w:rPr>
            </w:pPr>
            <w:r w:rsidRPr="004B357F">
              <w:rPr>
                <w:rFonts w:asciiTheme="majorHAnsi" w:eastAsia="Times New Roman" w:hAnsiTheme="majorHAnsi"/>
                <w:color w:val="19172B"/>
                <w:sz w:val="18"/>
                <w:szCs w:val="18"/>
              </w:rPr>
              <w:t xml:space="preserve"> Total  </w:t>
            </w:r>
          </w:p>
        </w:tc>
        <w:tc>
          <w:tcPr>
            <w:tcW w:w="0" w:type="dxa"/>
            <w:noWrap/>
            <w:hideMark/>
          </w:tcPr>
          <w:p w14:paraId="178B0387" w14:textId="28BF9644"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986</w:t>
            </w:r>
          </w:p>
        </w:tc>
        <w:tc>
          <w:tcPr>
            <w:tcW w:w="0" w:type="dxa"/>
            <w:noWrap/>
            <w:hideMark/>
          </w:tcPr>
          <w:p w14:paraId="4B12FD93" w14:textId="37131A96"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1,004</w:t>
            </w:r>
          </w:p>
        </w:tc>
        <w:tc>
          <w:tcPr>
            <w:tcW w:w="0" w:type="dxa"/>
            <w:noWrap/>
            <w:hideMark/>
          </w:tcPr>
          <w:p w14:paraId="3296DEB3" w14:textId="6F936AD9"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1,035</w:t>
            </w:r>
          </w:p>
        </w:tc>
        <w:tc>
          <w:tcPr>
            <w:tcW w:w="0" w:type="dxa"/>
            <w:noWrap/>
            <w:hideMark/>
          </w:tcPr>
          <w:p w14:paraId="60EA3AE3" w14:textId="3F255ABF"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1,058</w:t>
            </w:r>
          </w:p>
        </w:tc>
        <w:tc>
          <w:tcPr>
            <w:tcW w:w="0" w:type="dxa"/>
            <w:noWrap/>
            <w:hideMark/>
          </w:tcPr>
          <w:p w14:paraId="14E209B5" w14:textId="6D07D714"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1,158</w:t>
            </w:r>
          </w:p>
        </w:tc>
        <w:tc>
          <w:tcPr>
            <w:tcW w:w="0" w:type="dxa"/>
            <w:noWrap/>
            <w:hideMark/>
          </w:tcPr>
          <w:p w14:paraId="3E9B262B" w14:textId="1C04B247"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1,240</w:t>
            </w:r>
          </w:p>
        </w:tc>
        <w:tc>
          <w:tcPr>
            <w:tcW w:w="0" w:type="dxa"/>
            <w:noWrap/>
            <w:hideMark/>
          </w:tcPr>
          <w:p w14:paraId="6114090D" w14:textId="33107223" w:rsidR="00593E6F" w:rsidRPr="004B357F" w:rsidRDefault="00593E6F"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 w:val="18"/>
                <w:szCs w:val="18"/>
              </w:rPr>
            </w:pPr>
            <w:r w:rsidRPr="004B357F">
              <w:rPr>
                <w:rFonts w:asciiTheme="majorHAnsi" w:hAnsiTheme="majorHAnsi"/>
                <w:sz w:val="18"/>
                <w:szCs w:val="18"/>
              </w:rPr>
              <w:t>25.7%</w:t>
            </w:r>
          </w:p>
        </w:tc>
      </w:tr>
    </w:tbl>
    <w:p w14:paraId="731A05E7" w14:textId="2286A023" w:rsidR="00E11DDA" w:rsidRDefault="00E11DDA" w:rsidP="006C2B54">
      <w:pPr>
        <w:pStyle w:val="AEGBody"/>
        <w:rPr>
          <w:lang w:eastAsia="ja-JP"/>
        </w:rPr>
      </w:pPr>
    </w:p>
    <w:p w14:paraId="1A48049A" w14:textId="77777777" w:rsidR="00A37541" w:rsidRPr="006C2B54" w:rsidRDefault="00A37541" w:rsidP="006C2B54">
      <w:pPr>
        <w:pStyle w:val="AEGBody"/>
        <w:rPr>
          <w:lang w:eastAsia="ja-JP"/>
        </w:rPr>
      </w:pPr>
    </w:p>
    <w:p w14:paraId="3B7B3448" w14:textId="3EFBFFD5" w:rsidR="00D9784B" w:rsidRDefault="00D9784B" w:rsidP="00D9784B">
      <w:pPr>
        <w:pStyle w:val="FigureorTableCaption"/>
      </w:pPr>
      <w:bookmarkStart w:id="95" w:name="_Toc175904438"/>
      <w:r>
        <w:lastRenderedPageBreak/>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5</w:t>
      </w:r>
      <w:r w:rsidR="000E34CB">
        <w:fldChar w:fldCharType="end"/>
      </w:r>
      <w:r w:rsidR="00015121">
        <w:t xml:space="preserve"> </w:t>
      </w:r>
      <w:r w:rsidRPr="00A056CF">
        <w:t xml:space="preserve">Commercial Baseline Projection </w:t>
      </w:r>
      <w:r w:rsidR="00641A52" w:rsidRPr="00A056CF">
        <w:t>by</w:t>
      </w:r>
      <w:r w:rsidRPr="00A056CF">
        <w:t xml:space="preserve"> End Use, Washington</w:t>
      </w:r>
      <w:bookmarkEnd w:id="95"/>
    </w:p>
    <w:p w14:paraId="54691CC0" w14:textId="50233B7D" w:rsidR="00C064EF" w:rsidRDefault="00FB7994" w:rsidP="00C064EF">
      <w:pPr>
        <w:pStyle w:val="AEGBody"/>
        <w:rPr>
          <w:lang w:eastAsia="ja-JP"/>
        </w:rPr>
      </w:pPr>
      <w:r>
        <w:rPr>
          <w:noProof/>
        </w:rPr>
        <w:drawing>
          <wp:inline distT="0" distB="0" distL="0" distR="0" wp14:anchorId="72AE024C" wp14:editId="31CF4BC2">
            <wp:extent cx="5829300" cy="2859405"/>
            <wp:effectExtent l="0" t="0" r="0" b="0"/>
            <wp:docPr id="1445999158" name="Chart 1">
              <a:extLst xmlns:a="http://schemas.openxmlformats.org/drawingml/2006/main">
                <a:ext uri="{FF2B5EF4-FFF2-40B4-BE49-F238E27FC236}">
                  <a16:creationId xmlns:a16="http://schemas.microsoft.com/office/drawing/2014/main" id="{216166AF-8DD5-4554-A7E4-974B371E0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0DCDB16" w14:textId="7016B3E3" w:rsidR="00D9784B" w:rsidRDefault="00D9784B" w:rsidP="00D9784B">
      <w:pPr>
        <w:pStyle w:val="FigureorTableCaption"/>
      </w:pPr>
      <w:bookmarkStart w:id="96" w:name="_Toc175904439"/>
      <w:r>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6</w:t>
      </w:r>
      <w:r w:rsidR="000E34CB">
        <w:fldChar w:fldCharType="end"/>
      </w:r>
      <w:r w:rsidR="00015121">
        <w:t xml:space="preserve"> </w:t>
      </w:r>
      <w:r w:rsidRPr="008A449D">
        <w:t>Commercial Baseline Sales Projection by End Use – Annual Use per Square Foot, Washington</w:t>
      </w:r>
      <w:bookmarkEnd w:id="96"/>
    </w:p>
    <w:p w14:paraId="5B171B5A" w14:textId="22BF27D4" w:rsidR="00713ED2" w:rsidRPr="00C064EF" w:rsidRDefault="00FB7994" w:rsidP="00C064EF">
      <w:pPr>
        <w:pStyle w:val="AEGBody"/>
        <w:rPr>
          <w:lang w:eastAsia="ja-JP"/>
        </w:rPr>
      </w:pPr>
      <w:r>
        <w:rPr>
          <w:noProof/>
        </w:rPr>
        <w:drawing>
          <wp:inline distT="0" distB="0" distL="0" distR="0" wp14:anchorId="1A67A9DD" wp14:editId="20018C73">
            <wp:extent cx="5829300" cy="2859405"/>
            <wp:effectExtent l="0" t="0" r="0" b="0"/>
            <wp:docPr id="1182117606" name="Chart 1">
              <a:extLst xmlns:a="http://schemas.openxmlformats.org/drawingml/2006/main">
                <a:ext uri="{FF2B5EF4-FFF2-40B4-BE49-F238E27FC236}">
                  <a16:creationId xmlns:a16="http://schemas.microsoft.com/office/drawing/2014/main" id="{EF50E1D0-5C6D-4D03-A447-EE10611C0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F348D66" w14:textId="3623BAE0" w:rsidR="00DA5A93" w:rsidRDefault="00DA5A93" w:rsidP="00D56C39">
      <w:pPr>
        <w:pStyle w:val="AEGBody"/>
        <w:rPr>
          <w:lang w:eastAsia="ja-JP"/>
        </w:rPr>
      </w:pPr>
    </w:p>
    <w:p w14:paraId="524FCD3E" w14:textId="0D48EF42" w:rsidR="00C86F85" w:rsidRDefault="00C86F85" w:rsidP="00C86F85">
      <w:pPr>
        <w:pStyle w:val="FigureorTableCaption"/>
      </w:pPr>
      <w:bookmarkStart w:id="97" w:name="_Toc175904440"/>
      <w:r>
        <w:lastRenderedPageBreak/>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7</w:t>
      </w:r>
      <w:r w:rsidR="000E34CB">
        <w:fldChar w:fldCharType="end"/>
      </w:r>
      <w:r w:rsidR="00015121">
        <w:t xml:space="preserve"> </w:t>
      </w:r>
      <w:r w:rsidRPr="00A70117">
        <w:t xml:space="preserve">Commercial Baseline Projection </w:t>
      </w:r>
      <w:r w:rsidR="004A6B0E" w:rsidRPr="00A70117">
        <w:t>by</w:t>
      </w:r>
      <w:r w:rsidRPr="00A70117">
        <w:t xml:space="preserve"> End Use, Idaho</w:t>
      </w:r>
      <w:bookmarkEnd w:id="97"/>
    </w:p>
    <w:p w14:paraId="10BB2829" w14:textId="0212B3BA" w:rsidR="00C86F85" w:rsidRDefault="00FB7994" w:rsidP="000E34CB">
      <w:pPr>
        <w:pStyle w:val="AEGBody"/>
        <w:rPr>
          <w:lang w:eastAsia="ja-JP"/>
        </w:rPr>
      </w:pPr>
      <w:r>
        <w:rPr>
          <w:noProof/>
        </w:rPr>
        <w:drawing>
          <wp:inline distT="0" distB="0" distL="0" distR="0" wp14:anchorId="2285A1EA" wp14:editId="626AB537">
            <wp:extent cx="5829300" cy="2859405"/>
            <wp:effectExtent l="0" t="0" r="0" b="0"/>
            <wp:docPr id="2056449013" name="Chart 1">
              <a:extLst xmlns:a="http://schemas.openxmlformats.org/drawingml/2006/main">
                <a:ext uri="{FF2B5EF4-FFF2-40B4-BE49-F238E27FC236}">
                  <a16:creationId xmlns:a16="http://schemas.microsoft.com/office/drawing/2014/main" id="{216166AF-8DD5-4554-A7E4-974B371E0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058CF12" w14:textId="36E0FD84" w:rsidR="000E34CB" w:rsidRDefault="000E34CB" w:rsidP="000E34CB">
      <w:pPr>
        <w:pStyle w:val="Caption"/>
      </w:pPr>
      <w:bookmarkStart w:id="98" w:name="_Toc17590444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8</w:t>
      </w:r>
      <w:r>
        <w:fldChar w:fldCharType="end"/>
      </w:r>
      <w:r>
        <w:t xml:space="preserve"> </w:t>
      </w:r>
      <w:r w:rsidRPr="00C6721B">
        <w:t>Commercial Baseline Sales Projection by End Use – Annual Use per Square Foot, Idaho</w:t>
      </w:r>
      <w:bookmarkEnd w:id="98"/>
    </w:p>
    <w:p w14:paraId="1F25883D" w14:textId="2BE3C329" w:rsidR="0019283F" w:rsidRDefault="00FB7994" w:rsidP="00A30A64">
      <w:pPr>
        <w:pStyle w:val="AEGBody"/>
        <w:spacing w:before="240"/>
        <w:rPr>
          <w:lang w:eastAsia="ja-JP"/>
        </w:rPr>
      </w:pPr>
      <w:r>
        <w:rPr>
          <w:noProof/>
        </w:rPr>
        <w:drawing>
          <wp:inline distT="0" distB="0" distL="0" distR="0" wp14:anchorId="5BC2D26F" wp14:editId="57A064C2">
            <wp:extent cx="5829300" cy="2859405"/>
            <wp:effectExtent l="0" t="0" r="0" b="0"/>
            <wp:docPr id="2066375355" name="Chart 1">
              <a:extLst xmlns:a="http://schemas.openxmlformats.org/drawingml/2006/main">
                <a:ext uri="{FF2B5EF4-FFF2-40B4-BE49-F238E27FC236}">
                  <a16:creationId xmlns:a16="http://schemas.microsoft.com/office/drawing/2014/main" id="{EF50E1D0-5C6D-4D03-A447-EE10611C0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4004950" w14:textId="77777777" w:rsidR="0019283F" w:rsidRPr="00D56C39" w:rsidRDefault="0019283F" w:rsidP="00A30A64">
      <w:pPr>
        <w:pStyle w:val="AEGBody"/>
        <w:spacing w:before="240"/>
        <w:rPr>
          <w:lang w:eastAsia="ja-JP"/>
        </w:rPr>
      </w:pPr>
    </w:p>
    <w:p w14:paraId="7E943017" w14:textId="0DDE9BB6" w:rsidR="000E04C6" w:rsidRDefault="00CC6A72" w:rsidP="00165C17">
      <w:pPr>
        <w:pStyle w:val="Heading2"/>
      </w:pPr>
      <w:bookmarkStart w:id="99" w:name="_Toc175904869"/>
      <w:r>
        <w:t>Industrial Sector Baseline Projections</w:t>
      </w:r>
      <w:bookmarkEnd w:id="99"/>
    </w:p>
    <w:p w14:paraId="0ABA0959" w14:textId="7612A30C" w:rsidR="00493B73" w:rsidRPr="00E512F1" w:rsidRDefault="00493B73" w:rsidP="00493B73">
      <w:pPr>
        <w:pStyle w:val="AEGBody"/>
      </w:pPr>
      <w:r w:rsidRPr="00B40B07">
        <w:t>Annual industrial use declined through the forecast horizon, consistent with trends from Avista’s industrial load forecast. Overall, in Washington, industrial annual electricity use decreases from 5</w:t>
      </w:r>
      <w:r w:rsidR="00B40B07">
        <w:t xml:space="preserve">59 </w:t>
      </w:r>
      <w:r w:rsidRPr="00B40B07">
        <w:t xml:space="preserve">GWh in 2021 to </w:t>
      </w:r>
      <w:r w:rsidR="00B40B07">
        <w:t>478</w:t>
      </w:r>
      <w:r w:rsidRPr="00B40B07">
        <w:t xml:space="preserve"> GWh in 2045. In Idaho, annual electricity use drops from </w:t>
      </w:r>
      <w:r w:rsidR="00B40B07">
        <w:t>416</w:t>
      </w:r>
      <w:r w:rsidRPr="00B40B07">
        <w:t xml:space="preserve"> GWh in 2021 to 3</w:t>
      </w:r>
      <w:r w:rsidR="00B40B07">
        <w:t>09</w:t>
      </w:r>
      <w:r w:rsidRPr="00B40B07">
        <w:t xml:space="preserve"> GWh in 2045.</w:t>
      </w:r>
      <w:r>
        <w:t xml:space="preserve"> </w:t>
      </w:r>
    </w:p>
    <w:p w14:paraId="0E556B0F" w14:textId="659FFC5B" w:rsidR="00C86F85" w:rsidRDefault="00C86F85" w:rsidP="00C86F85">
      <w:pPr>
        <w:pStyle w:val="Caption"/>
      </w:pPr>
      <w:bookmarkStart w:id="100" w:name="_Toc175912382"/>
      <w:r>
        <w:lastRenderedPageBreak/>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5</w:t>
      </w:r>
      <w:r w:rsidR="00EE4707">
        <w:fldChar w:fldCharType="end"/>
      </w:r>
      <w:r w:rsidR="00015121">
        <w:t xml:space="preserve"> </w:t>
      </w:r>
      <w:r w:rsidRPr="006C3C94">
        <w:t>Industrial Baseline Projection by End Use (GWh), Washington</w:t>
      </w:r>
      <w:bookmarkEnd w:id="100"/>
    </w:p>
    <w:tbl>
      <w:tblPr>
        <w:tblStyle w:val="AEG-DarkBanded"/>
        <w:tblW w:w="9270" w:type="dxa"/>
        <w:jc w:val="center"/>
        <w:tblLayout w:type="fixed"/>
        <w:tblLook w:val="04A0" w:firstRow="1" w:lastRow="0" w:firstColumn="1" w:lastColumn="0" w:noHBand="0" w:noVBand="1"/>
      </w:tblPr>
      <w:tblGrid>
        <w:gridCol w:w="1620"/>
        <w:gridCol w:w="1417"/>
        <w:gridCol w:w="1086"/>
        <w:gridCol w:w="1086"/>
        <w:gridCol w:w="1086"/>
        <w:gridCol w:w="1086"/>
        <w:gridCol w:w="899"/>
        <w:gridCol w:w="990"/>
      </w:tblGrid>
      <w:tr w:rsidR="00796D88" w:rsidRPr="00A64D93" w14:paraId="420A5ABD" w14:textId="77777777" w:rsidTr="00C54C7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20" w:type="dxa"/>
            <w:hideMark/>
          </w:tcPr>
          <w:p w14:paraId="73E2891A" w14:textId="5D2C10FA" w:rsidR="000E04C6" w:rsidRPr="00FD6AF5" w:rsidRDefault="000E04C6" w:rsidP="009336C2">
            <w:pPr>
              <w:keepNext/>
              <w:jc w:val="left"/>
              <w:rPr>
                <w:rFonts w:asciiTheme="majorHAnsi" w:eastAsia="Times New Roman" w:hAnsiTheme="majorHAnsi"/>
                <w:b w:val="0"/>
                <w:bCs/>
                <w:sz w:val="18"/>
                <w:szCs w:val="18"/>
              </w:rPr>
            </w:pPr>
            <w:r w:rsidRPr="00FD6AF5">
              <w:rPr>
                <w:rFonts w:asciiTheme="majorHAnsi" w:eastAsia="Times New Roman" w:hAnsiTheme="majorHAnsi"/>
                <w:b w:val="0"/>
                <w:bCs/>
                <w:sz w:val="18"/>
                <w:szCs w:val="18"/>
              </w:rPr>
              <w:t>End Use</w:t>
            </w:r>
          </w:p>
        </w:tc>
        <w:tc>
          <w:tcPr>
            <w:tcW w:w="1417" w:type="dxa"/>
            <w:hideMark/>
          </w:tcPr>
          <w:p w14:paraId="54B29F42" w14:textId="77777777" w:rsidR="000E04C6" w:rsidRPr="00FD6AF5" w:rsidRDefault="000E04C6"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2021</w:t>
            </w:r>
          </w:p>
        </w:tc>
        <w:tc>
          <w:tcPr>
            <w:tcW w:w="1086" w:type="dxa"/>
            <w:hideMark/>
          </w:tcPr>
          <w:p w14:paraId="639487B5" w14:textId="77777777" w:rsidR="000E04C6" w:rsidRPr="00FD6AF5" w:rsidRDefault="000E04C6"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2023</w:t>
            </w:r>
          </w:p>
        </w:tc>
        <w:tc>
          <w:tcPr>
            <w:tcW w:w="1086" w:type="dxa"/>
            <w:hideMark/>
          </w:tcPr>
          <w:p w14:paraId="542717B3" w14:textId="77777777" w:rsidR="000E04C6" w:rsidRPr="00FD6AF5" w:rsidRDefault="000E04C6"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2025</w:t>
            </w:r>
          </w:p>
        </w:tc>
        <w:tc>
          <w:tcPr>
            <w:tcW w:w="1086" w:type="dxa"/>
            <w:hideMark/>
          </w:tcPr>
          <w:p w14:paraId="7AC50BE9" w14:textId="77777777" w:rsidR="000E04C6" w:rsidRPr="00FD6AF5" w:rsidRDefault="000E04C6"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2030</w:t>
            </w:r>
          </w:p>
        </w:tc>
        <w:tc>
          <w:tcPr>
            <w:tcW w:w="1086" w:type="dxa"/>
            <w:hideMark/>
          </w:tcPr>
          <w:p w14:paraId="7466DA55" w14:textId="77777777" w:rsidR="000E04C6" w:rsidRPr="00FD6AF5" w:rsidRDefault="000E04C6"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2040</w:t>
            </w:r>
          </w:p>
        </w:tc>
        <w:tc>
          <w:tcPr>
            <w:tcW w:w="899" w:type="dxa"/>
            <w:hideMark/>
          </w:tcPr>
          <w:p w14:paraId="28D2F647" w14:textId="77777777" w:rsidR="000E04C6" w:rsidRPr="00FD6AF5" w:rsidRDefault="000E04C6"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2045</w:t>
            </w:r>
          </w:p>
        </w:tc>
        <w:tc>
          <w:tcPr>
            <w:tcW w:w="990" w:type="dxa"/>
            <w:hideMark/>
          </w:tcPr>
          <w:p w14:paraId="403EBDF6" w14:textId="77777777" w:rsidR="000E04C6" w:rsidRPr="00FD6AF5" w:rsidRDefault="000E04C6"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8"/>
                <w:szCs w:val="18"/>
              </w:rPr>
            </w:pPr>
            <w:r w:rsidRPr="00FD6AF5">
              <w:rPr>
                <w:rFonts w:asciiTheme="majorHAnsi" w:eastAsia="Times New Roman" w:hAnsiTheme="majorHAnsi"/>
                <w:b w:val="0"/>
                <w:bCs/>
                <w:sz w:val="18"/>
                <w:szCs w:val="18"/>
              </w:rPr>
              <w:t>% Change</w:t>
            </w:r>
          </w:p>
        </w:tc>
      </w:tr>
      <w:tr w:rsidR="00796D88" w:rsidRPr="00A64D93" w14:paraId="76F4C80D"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2247CC5E" w14:textId="65BDBB66"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Cooling</w:t>
            </w:r>
          </w:p>
        </w:tc>
        <w:tc>
          <w:tcPr>
            <w:tcW w:w="1417" w:type="dxa"/>
            <w:noWrap/>
            <w:hideMark/>
          </w:tcPr>
          <w:p w14:paraId="37780578" w14:textId="1E65AE3E"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35</w:t>
            </w:r>
          </w:p>
        </w:tc>
        <w:tc>
          <w:tcPr>
            <w:tcW w:w="1086" w:type="dxa"/>
            <w:noWrap/>
            <w:hideMark/>
          </w:tcPr>
          <w:p w14:paraId="1276A5D6" w14:textId="775FF1CA"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35</w:t>
            </w:r>
          </w:p>
        </w:tc>
        <w:tc>
          <w:tcPr>
            <w:tcW w:w="1086" w:type="dxa"/>
            <w:noWrap/>
            <w:hideMark/>
          </w:tcPr>
          <w:p w14:paraId="6CC4C307" w14:textId="4301A5C2"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35</w:t>
            </w:r>
          </w:p>
        </w:tc>
        <w:tc>
          <w:tcPr>
            <w:tcW w:w="1086" w:type="dxa"/>
            <w:noWrap/>
            <w:hideMark/>
          </w:tcPr>
          <w:p w14:paraId="537ADDE6" w14:textId="20D05A17"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33</w:t>
            </w:r>
          </w:p>
        </w:tc>
        <w:tc>
          <w:tcPr>
            <w:tcW w:w="1086" w:type="dxa"/>
            <w:noWrap/>
            <w:hideMark/>
          </w:tcPr>
          <w:p w14:paraId="2B9FB239" w14:textId="15598C79"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29</w:t>
            </w:r>
          </w:p>
        </w:tc>
        <w:tc>
          <w:tcPr>
            <w:tcW w:w="899" w:type="dxa"/>
            <w:noWrap/>
            <w:hideMark/>
          </w:tcPr>
          <w:p w14:paraId="2884FD3D" w14:textId="5B634EF6"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28</w:t>
            </w:r>
          </w:p>
        </w:tc>
        <w:tc>
          <w:tcPr>
            <w:tcW w:w="990" w:type="dxa"/>
            <w:noWrap/>
            <w:hideMark/>
          </w:tcPr>
          <w:p w14:paraId="10F3E069" w14:textId="77777777"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-20.6%</w:t>
            </w:r>
          </w:p>
        </w:tc>
      </w:tr>
      <w:tr w:rsidR="00796D88" w:rsidRPr="00A64D93" w14:paraId="4E5B1E38"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27AB857F" w14:textId="244094DF"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Space Heating</w:t>
            </w:r>
          </w:p>
        </w:tc>
        <w:tc>
          <w:tcPr>
            <w:tcW w:w="1417" w:type="dxa"/>
            <w:noWrap/>
            <w:hideMark/>
          </w:tcPr>
          <w:p w14:paraId="7A2D2CD4" w14:textId="667182DE"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17</w:t>
            </w:r>
          </w:p>
        </w:tc>
        <w:tc>
          <w:tcPr>
            <w:tcW w:w="1086" w:type="dxa"/>
            <w:noWrap/>
            <w:hideMark/>
          </w:tcPr>
          <w:p w14:paraId="321DBD19" w14:textId="12A908D2"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17</w:t>
            </w:r>
          </w:p>
        </w:tc>
        <w:tc>
          <w:tcPr>
            <w:tcW w:w="1086" w:type="dxa"/>
            <w:noWrap/>
            <w:hideMark/>
          </w:tcPr>
          <w:p w14:paraId="39EC3A21" w14:textId="71CF9C87"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16</w:t>
            </w:r>
          </w:p>
        </w:tc>
        <w:tc>
          <w:tcPr>
            <w:tcW w:w="1086" w:type="dxa"/>
            <w:noWrap/>
            <w:hideMark/>
          </w:tcPr>
          <w:p w14:paraId="367ED9DB" w14:textId="6A4936F1"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15</w:t>
            </w:r>
          </w:p>
        </w:tc>
        <w:tc>
          <w:tcPr>
            <w:tcW w:w="1086" w:type="dxa"/>
            <w:noWrap/>
            <w:hideMark/>
          </w:tcPr>
          <w:p w14:paraId="3B78868B" w14:textId="101BD320"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14</w:t>
            </w:r>
          </w:p>
        </w:tc>
        <w:tc>
          <w:tcPr>
            <w:tcW w:w="899" w:type="dxa"/>
            <w:noWrap/>
            <w:hideMark/>
          </w:tcPr>
          <w:p w14:paraId="19CE5020" w14:textId="28585470"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13</w:t>
            </w:r>
          </w:p>
        </w:tc>
        <w:tc>
          <w:tcPr>
            <w:tcW w:w="990" w:type="dxa"/>
            <w:noWrap/>
            <w:hideMark/>
          </w:tcPr>
          <w:p w14:paraId="1AE495FF" w14:textId="77777777"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-22.7%</w:t>
            </w:r>
          </w:p>
        </w:tc>
      </w:tr>
      <w:tr w:rsidR="00796D88" w:rsidRPr="00A64D93" w14:paraId="7F67F744"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18A3283B" w14:textId="654FB443"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Ventilation</w:t>
            </w:r>
          </w:p>
        </w:tc>
        <w:tc>
          <w:tcPr>
            <w:tcW w:w="1417" w:type="dxa"/>
            <w:noWrap/>
            <w:hideMark/>
          </w:tcPr>
          <w:p w14:paraId="464B29C3" w14:textId="0C410A02"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31</w:t>
            </w:r>
          </w:p>
        </w:tc>
        <w:tc>
          <w:tcPr>
            <w:tcW w:w="1086" w:type="dxa"/>
            <w:noWrap/>
            <w:hideMark/>
          </w:tcPr>
          <w:p w14:paraId="4C8DFEDF" w14:textId="7906769E"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31</w:t>
            </w:r>
          </w:p>
        </w:tc>
        <w:tc>
          <w:tcPr>
            <w:tcW w:w="1086" w:type="dxa"/>
            <w:noWrap/>
            <w:hideMark/>
          </w:tcPr>
          <w:p w14:paraId="7E779377" w14:textId="3B3368B3"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29</w:t>
            </w:r>
          </w:p>
        </w:tc>
        <w:tc>
          <w:tcPr>
            <w:tcW w:w="1086" w:type="dxa"/>
            <w:noWrap/>
            <w:hideMark/>
          </w:tcPr>
          <w:p w14:paraId="4C612FFF" w14:textId="6307DD09"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26</w:t>
            </w:r>
          </w:p>
        </w:tc>
        <w:tc>
          <w:tcPr>
            <w:tcW w:w="1086" w:type="dxa"/>
            <w:noWrap/>
            <w:hideMark/>
          </w:tcPr>
          <w:p w14:paraId="477B158A" w14:textId="7E885FAD"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21</w:t>
            </w:r>
          </w:p>
        </w:tc>
        <w:tc>
          <w:tcPr>
            <w:tcW w:w="899" w:type="dxa"/>
            <w:noWrap/>
            <w:hideMark/>
          </w:tcPr>
          <w:p w14:paraId="57F6290C" w14:textId="250FB1A5"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20</w:t>
            </w:r>
          </w:p>
        </w:tc>
        <w:tc>
          <w:tcPr>
            <w:tcW w:w="990" w:type="dxa"/>
            <w:noWrap/>
            <w:hideMark/>
          </w:tcPr>
          <w:p w14:paraId="19918A01" w14:textId="77777777"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-35.7%</w:t>
            </w:r>
          </w:p>
        </w:tc>
      </w:tr>
      <w:tr w:rsidR="00796D88" w:rsidRPr="00A64D93" w14:paraId="7A3C9FD1"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5285E0AA" w14:textId="46E1EA03"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Interior Lighting</w:t>
            </w:r>
          </w:p>
        </w:tc>
        <w:tc>
          <w:tcPr>
            <w:tcW w:w="1417" w:type="dxa"/>
            <w:noWrap/>
            <w:hideMark/>
          </w:tcPr>
          <w:p w14:paraId="7508C86D" w14:textId="71331DD3"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28</w:t>
            </w:r>
          </w:p>
        </w:tc>
        <w:tc>
          <w:tcPr>
            <w:tcW w:w="1086" w:type="dxa"/>
            <w:noWrap/>
            <w:hideMark/>
          </w:tcPr>
          <w:p w14:paraId="6CFDE24D" w14:textId="5B16E63B"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29</w:t>
            </w:r>
          </w:p>
        </w:tc>
        <w:tc>
          <w:tcPr>
            <w:tcW w:w="1086" w:type="dxa"/>
            <w:noWrap/>
            <w:hideMark/>
          </w:tcPr>
          <w:p w14:paraId="62DF829B" w14:textId="3462AB6F"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27</w:t>
            </w:r>
          </w:p>
        </w:tc>
        <w:tc>
          <w:tcPr>
            <w:tcW w:w="1086" w:type="dxa"/>
            <w:noWrap/>
            <w:hideMark/>
          </w:tcPr>
          <w:p w14:paraId="33A25E09" w14:textId="6327D498"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24</w:t>
            </w:r>
          </w:p>
        </w:tc>
        <w:tc>
          <w:tcPr>
            <w:tcW w:w="1086" w:type="dxa"/>
            <w:noWrap/>
            <w:hideMark/>
          </w:tcPr>
          <w:p w14:paraId="76FE3E0E" w14:textId="2FC115D6"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21</w:t>
            </w:r>
          </w:p>
        </w:tc>
        <w:tc>
          <w:tcPr>
            <w:tcW w:w="899" w:type="dxa"/>
            <w:noWrap/>
            <w:hideMark/>
          </w:tcPr>
          <w:p w14:paraId="129FA789" w14:textId="5A31F028"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19</w:t>
            </w:r>
          </w:p>
        </w:tc>
        <w:tc>
          <w:tcPr>
            <w:tcW w:w="990" w:type="dxa"/>
            <w:noWrap/>
            <w:hideMark/>
          </w:tcPr>
          <w:p w14:paraId="11EADD68" w14:textId="77777777"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-30.0%</w:t>
            </w:r>
          </w:p>
        </w:tc>
      </w:tr>
      <w:tr w:rsidR="00796D88" w:rsidRPr="00A64D93" w14:paraId="37696696"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02CC083F" w14:textId="7BE79C00"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Exterior Lighting</w:t>
            </w:r>
          </w:p>
        </w:tc>
        <w:tc>
          <w:tcPr>
            <w:tcW w:w="1417" w:type="dxa"/>
            <w:noWrap/>
            <w:hideMark/>
          </w:tcPr>
          <w:p w14:paraId="6864FAFA" w14:textId="06CD8456"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25</w:t>
            </w:r>
          </w:p>
        </w:tc>
        <w:tc>
          <w:tcPr>
            <w:tcW w:w="1086" w:type="dxa"/>
            <w:noWrap/>
            <w:hideMark/>
          </w:tcPr>
          <w:p w14:paraId="04FD3B78" w14:textId="4C2F9609"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26</w:t>
            </w:r>
          </w:p>
        </w:tc>
        <w:tc>
          <w:tcPr>
            <w:tcW w:w="1086" w:type="dxa"/>
            <w:noWrap/>
            <w:hideMark/>
          </w:tcPr>
          <w:p w14:paraId="01DF0B44" w14:textId="673418DC"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24</w:t>
            </w:r>
          </w:p>
        </w:tc>
        <w:tc>
          <w:tcPr>
            <w:tcW w:w="1086" w:type="dxa"/>
            <w:noWrap/>
            <w:hideMark/>
          </w:tcPr>
          <w:p w14:paraId="64BFEAAB" w14:textId="312E2494"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20</w:t>
            </w:r>
          </w:p>
        </w:tc>
        <w:tc>
          <w:tcPr>
            <w:tcW w:w="1086" w:type="dxa"/>
            <w:noWrap/>
            <w:hideMark/>
          </w:tcPr>
          <w:p w14:paraId="319AA074" w14:textId="2FD347BA"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16</w:t>
            </w:r>
          </w:p>
        </w:tc>
        <w:tc>
          <w:tcPr>
            <w:tcW w:w="899" w:type="dxa"/>
            <w:noWrap/>
            <w:hideMark/>
          </w:tcPr>
          <w:p w14:paraId="140A5610" w14:textId="06917779"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14</w:t>
            </w:r>
          </w:p>
        </w:tc>
        <w:tc>
          <w:tcPr>
            <w:tcW w:w="990" w:type="dxa"/>
            <w:noWrap/>
            <w:hideMark/>
          </w:tcPr>
          <w:p w14:paraId="6B946812" w14:textId="77777777"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-43.2%</w:t>
            </w:r>
          </w:p>
        </w:tc>
      </w:tr>
      <w:tr w:rsidR="00796D88" w:rsidRPr="00A64D93" w14:paraId="02EE032A"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61915FA2" w14:textId="6144E9DF"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Process</w:t>
            </w:r>
          </w:p>
        </w:tc>
        <w:tc>
          <w:tcPr>
            <w:tcW w:w="1417" w:type="dxa"/>
            <w:noWrap/>
            <w:hideMark/>
          </w:tcPr>
          <w:p w14:paraId="210EAD35" w14:textId="70DD8EB9"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87</w:t>
            </w:r>
          </w:p>
        </w:tc>
        <w:tc>
          <w:tcPr>
            <w:tcW w:w="1086" w:type="dxa"/>
            <w:noWrap/>
            <w:hideMark/>
          </w:tcPr>
          <w:p w14:paraId="4B179E8C" w14:textId="26AC7AF2"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93</w:t>
            </w:r>
          </w:p>
        </w:tc>
        <w:tc>
          <w:tcPr>
            <w:tcW w:w="1086" w:type="dxa"/>
            <w:noWrap/>
            <w:hideMark/>
          </w:tcPr>
          <w:p w14:paraId="642A47F5" w14:textId="7B6083BC"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92</w:t>
            </w:r>
          </w:p>
        </w:tc>
        <w:tc>
          <w:tcPr>
            <w:tcW w:w="1086" w:type="dxa"/>
            <w:noWrap/>
            <w:hideMark/>
          </w:tcPr>
          <w:p w14:paraId="45177FCF" w14:textId="73E6C28D"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88</w:t>
            </w:r>
          </w:p>
        </w:tc>
        <w:tc>
          <w:tcPr>
            <w:tcW w:w="1086" w:type="dxa"/>
            <w:noWrap/>
            <w:hideMark/>
          </w:tcPr>
          <w:p w14:paraId="318F0111" w14:textId="22B79796"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81</w:t>
            </w:r>
          </w:p>
        </w:tc>
        <w:tc>
          <w:tcPr>
            <w:tcW w:w="899" w:type="dxa"/>
            <w:noWrap/>
            <w:hideMark/>
          </w:tcPr>
          <w:p w14:paraId="5628ACFC" w14:textId="271F4E8F"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78</w:t>
            </w:r>
          </w:p>
        </w:tc>
        <w:tc>
          <w:tcPr>
            <w:tcW w:w="990" w:type="dxa"/>
            <w:noWrap/>
            <w:hideMark/>
          </w:tcPr>
          <w:p w14:paraId="71812825" w14:textId="77777777"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-11.0%</w:t>
            </w:r>
          </w:p>
        </w:tc>
      </w:tr>
      <w:tr w:rsidR="00796D88" w:rsidRPr="00A64D93" w14:paraId="254F4106"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7FFC0F23" w14:textId="0FBB4971"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Motors</w:t>
            </w:r>
          </w:p>
        </w:tc>
        <w:tc>
          <w:tcPr>
            <w:tcW w:w="1417" w:type="dxa"/>
            <w:noWrap/>
            <w:hideMark/>
          </w:tcPr>
          <w:p w14:paraId="03DDAA5B" w14:textId="72FE9F66"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307</w:t>
            </w:r>
          </w:p>
        </w:tc>
        <w:tc>
          <w:tcPr>
            <w:tcW w:w="1086" w:type="dxa"/>
            <w:noWrap/>
            <w:hideMark/>
          </w:tcPr>
          <w:p w14:paraId="69DD1A2E" w14:textId="0C505F6F"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314</w:t>
            </w:r>
          </w:p>
        </w:tc>
        <w:tc>
          <w:tcPr>
            <w:tcW w:w="1086" w:type="dxa"/>
            <w:noWrap/>
            <w:hideMark/>
          </w:tcPr>
          <w:p w14:paraId="62424E98" w14:textId="34E23D4A"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311</w:t>
            </w:r>
          </w:p>
        </w:tc>
        <w:tc>
          <w:tcPr>
            <w:tcW w:w="1086" w:type="dxa"/>
            <w:noWrap/>
            <w:hideMark/>
          </w:tcPr>
          <w:p w14:paraId="24CE0F09" w14:textId="0C8B0066"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302</w:t>
            </w:r>
          </w:p>
        </w:tc>
        <w:tc>
          <w:tcPr>
            <w:tcW w:w="1086" w:type="dxa"/>
            <w:noWrap/>
            <w:hideMark/>
          </w:tcPr>
          <w:p w14:paraId="1023A2BD" w14:textId="152FAF90"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287</w:t>
            </w:r>
          </w:p>
        </w:tc>
        <w:tc>
          <w:tcPr>
            <w:tcW w:w="899" w:type="dxa"/>
            <w:noWrap/>
            <w:hideMark/>
          </w:tcPr>
          <w:p w14:paraId="4226F7AA" w14:textId="755C0296"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280</w:t>
            </w:r>
          </w:p>
        </w:tc>
        <w:tc>
          <w:tcPr>
            <w:tcW w:w="990" w:type="dxa"/>
            <w:noWrap/>
            <w:hideMark/>
          </w:tcPr>
          <w:p w14:paraId="6BF807C7" w14:textId="77777777" w:rsidR="000E04C6" w:rsidRPr="00FD6AF5"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-8.7%</w:t>
            </w:r>
          </w:p>
        </w:tc>
      </w:tr>
      <w:tr w:rsidR="00796D88" w:rsidRPr="00A64D93" w14:paraId="445A4523"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6C7E5406" w14:textId="49AAFBC2" w:rsidR="000E04C6" w:rsidRPr="00FD6AF5" w:rsidRDefault="000E04C6" w:rsidP="00211207">
            <w:pPr>
              <w:keepNext/>
              <w:jc w:val="left"/>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Miscellaneous</w:t>
            </w:r>
          </w:p>
        </w:tc>
        <w:tc>
          <w:tcPr>
            <w:tcW w:w="1417" w:type="dxa"/>
            <w:noWrap/>
            <w:hideMark/>
          </w:tcPr>
          <w:p w14:paraId="456A6A02" w14:textId="0B34553B"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29</w:t>
            </w:r>
          </w:p>
        </w:tc>
        <w:tc>
          <w:tcPr>
            <w:tcW w:w="1086" w:type="dxa"/>
            <w:noWrap/>
            <w:hideMark/>
          </w:tcPr>
          <w:p w14:paraId="1E71A412" w14:textId="7C3D137F"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31</w:t>
            </w:r>
          </w:p>
        </w:tc>
        <w:tc>
          <w:tcPr>
            <w:tcW w:w="1086" w:type="dxa"/>
            <w:noWrap/>
            <w:hideMark/>
          </w:tcPr>
          <w:p w14:paraId="08B01C1C" w14:textId="075AA92F"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30</w:t>
            </w:r>
          </w:p>
        </w:tc>
        <w:tc>
          <w:tcPr>
            <w:tcW w:w="1086" w:type="dxa"/>
            <w:noWrap/>
            <w:hideMark/>
          </w:tcPr>
          <w:p w14:paraId="67332248" w14:textId="2ABAD24D"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29</w:t>
            </w:r>
          </w:p>
        </w:tc>
        <w:tc>
          <w:tcPr>
            <w:tcW w:w="1086" w:type="dxa"/>
            <w:noWrap/>
            <w:hideMark/>
          </w:tcPr>
          <w:p w14:paraId="2FB70244" w14:textId="3947B82D"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27</w:t>
            </w:r>
          </w:p>
        </w:tc>
        <w:tc>
          <w:tcPr>
            <w:tcW w:w="899" w:type="dxa"/>
            <w:noWrap/>
            <w:hideMark/>
          </w:tcPr>
          <w:p w14:paraId="1ADEC9F1" w14:textId="0B9C6DA0"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26</w:t>
            </w:r>
          </w:p>
        </w:tc>
        <w:tc>
          <w:tcPr>
            <w:tcW w:w="990" w:type="dxa"/>
            <w:noWrap/>
            <w:hideMark/>
          </w:tcPr>
          <w:p w14:paraId="6FF5D0DB" w14:textId="77777777" w:rsidR="000E04C6" w:rsidRPr="00FD6AF5" w:rsidRDefault="000E04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FD6AF5">
              <w:rPr>
                <w:rFonts w:asciiTheme="minorHAnsi" w:eastAsia="Times New Roman" w:hAnsiTheme="minorHAnsi"/>
                <w:color w:val="19172B"/>
                <w:sz w:val="18"/>
                <w:szCs w:val="18"/>
              </w:rPr>
              <w:t>-10.8%</w:t>
            </w:r>
          </w:p>
        </w:tc>
      </w:tr>
      <w:tr w:rsidR="00796D88" w:rsidRPr="00A64D93" w14:paraId="7C391262"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620" w:type="dxa"/>
            <w:noWrap/>
            <w:hideMark/>
          </w:tcPr>
          <w:p w14:paraId="561B38FD" w14:textId="4668BE52" w:rsidR="000E04C6" w:rsidRPr="002A0C24" w:rsidRDefault="000E04C6" w:rsidP="009336C2">
            <w:pPr>
              <w:keepNext/>
              <w:jc w:val="center"/>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Total</w:t>
            </w:r>
          </w:p>
        </w:tc>
        <w:tc>
          <w:tcPr>
            <w:tcW w:w="1417" w:type="dxa"/>
            <w:noWrap/>
            <w:hideMark/>
          </w:tcPr>
          <w:p w14:paraId="6D66239D" w14:textId="3B5A1D1E"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559</w:t>
            </w:r>
          </w:p>
        </w:tc>
        <w:tc>
          <w:tcPr>
            <w:tcW w:w="1086" w:type="dxa"/>
            <w:noWrap/>
            <w:hideMark/>
          </w:tcPr>
          <w:p w14:paraId="027138D9" w14:textId="0B1BCCC3"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575</w:t>
            </w:r>
          </w:p>
        </w:tc>
        <w:tc>
          <w:tcPr>
            <w:tcW w:w="1086" w:type="dxa"/>
            <w:noWrap/>
            <w:hideMark/>
          </w:tcPr>
          <w:p w14:paraId="4C9E8538" w14:textId="448B058B"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565</w:t>
            </w:r>
          </w:p>
        </w:tc>
        <w:tc>
          <w:tcPr>
            <w:tcW w:w="1086" w:type="dxa"/>
            <w:noWrap/>
            <w:hideMark/>
          </w:tcPr>
          <w:p w14:paraId="78698B83" w14:textId="246081E2"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536</w:t>
            </w:r>
          </w:p>
        </w:tc>
        <w:tc>
          <w:tcPr>
            <w:tcW w:w="1086" w:type="dxa"/>
            <w:noWrap/>
            <w:hideMark/>
          </w:tcPr>
          <w:p w14:paraId="041A0D17" w14:textId="25639385"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495</w:t>
            </w:r>
          </w:p>
        </w:tc>
        <w:tc>
          <w:tcPr>
            <w:tcW w:w="899" w:type="dxa"/>
            <w:noWrap/>
            <w:hideMark/>
          </w:tcPr>
          <w:p w14:paraId="7674DF6D" w14:textId="781F15AD"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478</w:t>
            </w:r>
          </w:p>
        </w:tc>
        <w:tc>
          <w:tcPr>
            <w:tcW w:w="990" w:type="dxa"/>
            <w:noWrap/>
            <w:hideMark/>
          </w:tcPr>
          <w:p w14:paraId="7CAC6203" w14:textId="77777777" w:rsidR="000E04C6" w:rsidRPr="002A0C24" w:rsidRDefault="000E04C6"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2A0C24">
              <w:rPr>
                <w:rFonts w:asciiTheme="majorHAnsi" w:eastAsia="Times New Roman" w:hAnsiTheme="majorHAnsi"/>
                <w:color w:val="19172B"/>
                <w:sz w:val="18"/>
                <w:szCs w:val="18"/>
              </w:rPr>
              <w:t>-14.5%</w:t>
            </w:r>
          </w:p>
        </w:tc>
      </w:tr>
    </w:tbl>
    <w:p w14:paraId="17B62EB7" w14:textId="77777777" w:rsidR="001C0023" w:rsidRDefault="001C0023" w:rsidP="00D56C39">
      <w:pPr>
        <w:pStyle w:val="AEGBody"/>
        <w:rPr>
          <w:rFonts w:cstheme="minorBidi"/>
        </w:rPr>
      </w:pPr>
    </w:p>
    <w:p w14:paraId="5A99BBA6" w14:textId="47E78AFF" w:rsidR="00C86F85" w:rsidRDefault="00C86F85" w:rsidP="00C86F85">
      <w:pPr>
        <w:pStyle w:val="FigureorTableCaption"/>
      </w:pPr>
      <w:bookmarkStart w:id="101" w:name="_Toc175912383"/>
      <w:r>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6</w:t>
      </w:r>
      <w:r w:rsidR="00EE4707">
        <w:fldChar w:fldCharType="end"/>
      </w:r>
      <w:r w:rsidR="00015121">
        <w:t xml:space="preserve"> </w:t>
      </w:r>
      <w:r w:rsidRPr="00732814">
        <w:t>Industrial Baseline Projection by End Use (GWh), Idaho</w:t>
      </w:r>
      <w:bookmarkEnd w:id="101"/>
    </w:p>
    <w:tbl>
      <w:tblPr>
        <w:tblStyle w:val="AEGBlue2"/>
        <w:tblW w:w="9270" w:type="dxa"/>
        <w:jc w:val="center"/>
        <w:tblLayout w:type="fixed"/>
        <w:tblLook w:val="04A0" w:firstRow="1" w:lastRow="0" w:firstColumn="1" w:lastColumn="0" w:noHBand="0" w:noVBand="1"/>
      </w:tblPr>
      <w:tblGrid>
        <w:gridCol w:w="1980"/>
        <w:gridCol w:w="990"/>
        <w:gridCol w:w="1264"/>
        <w:gridCol w:w="1115"/>
        <w:gridCol w:w="1131"/>
        <w:gridCol w:w="990"/>
        <w:gridCol w:w="846"/>
        <w:gridCol w:w="954"/>
      </w:tblGrid>
      <w:tr w:rsidR="00796D88" w:rsidRPr="00A64D93" w14:paraId="7272A545" w14:textId="77777777" w:rsidTr="00C54C7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5CAC3A3C" w14:textId="1740C104" w:rsidR="00796D88" w:rsidRPr="002A0C24" w:rsidRDefault="00796D88" w:rsidP="009336C2">
            <w:pPr>
              <w:keepNext/>
              <w:jc w:val="left"/>
              <w:rPr>
                <w:rFonts w:asciiTheme="majorHAnsi" w:eastAsia="Times New Roman" w:hAnsiTheme="majorHAnsi"/>
                <w:sz w:val="18"/>
                <w:szCs w:val="18"/>
              </w:rPr>
            </w:pPr>
            <w:r w:rsidRPr="002A0C24">
              <w:rPr>
                <w:rFonts w:asciiTheme="majorHAnsi" w:eastAsia="Times New Roman" w:hAnsiTheme="majorHAnsi"/>
                <w:sz w:val="18"/>
                <w:szCs w:val="18"/>
              </w:rPr>
              <w:t>End Use</w:t>
            </w:r>
          </w:p>
        </w:tc>
        <w:tc>
          <w:tcPr>
            <w:tcW w:w="990" w:type="dxa"/>
            <w:hideMark/>
          </w:tcPr>
          <w:p w14:paraId="56430163" w14:textId="77777777" w:rsidR="00796D88" w:rsidRPr="002A0C24" w:rsidRDefault="00796D88"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2021</w:t>
            </w:r>
          </w:p>
        </w:tc>
        <w:tc>
          <w:tcPr>
            <w:tcW w:w="1264" w:type="dxa"/>
            <w:hideMark/>
          </w:tcPr>
          <w:p w14:paraId="63991AE3" w14:textId="77777777" w:rsidR="00796D88" w:rsidRPr="002A0C24" w:rsidRDefault="00796D88"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2023</w:t>
            </w:r>
          </w:p>
        </w:tc>
        <w:tc>
          <w:tcPr>
            <w:tcW w:w="1115" w:type="dxa"/>
            <w:hideMark/>
          </w:tcPr>
          <w:p w14:paraId="03A97433" w14:textId="77777777" w:rsidR="00796D88" w:rsidRPr="002A0C24" w:rsidRDefault="00796D88"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2025</w:t>
            </w:r>
          </w:p>
        </w:tc>
        <w:tc>
          <w:tcPr>
            <w:tcW w:w="1131" w:type="dxa"/>
            <w:hideMark/>
          </w:tcPr>
          <w:p w14:paraId="16DB7410" w14:textId="77777777" w:rsidR="00796D88" w:rsidRPr="002A0C24" w:rsidRDefault="00796D88"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2030</w:t>
            </w:r>
          </w:p>
        </w:tc>
        <w:tc>
          <w:tcPr>
            <w:tcW w:w="990" w:type="dxa"/>
            <w:hideMark/>
          </w:tcPr>
          <w:p w14:paraId="7C0051BE" w14:textId="77777777" w:rsidR="00796D88" w:rsidRPr="002A0C24" w:rsidRDefault="00796D88"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2040</w:t>
            </w:r>
          </w:p>
        </w:tc>
        <w:tc>
          <w:tcPr>
            <w:tcW w:w="846" w:type="dxa"/>
            <w:hideMark/>
          </w:tcPr>
          <w:p w14:paraId="334CCE40" w14:textId="77777777" w:rsidR="00796D88" w:rsidRPr="002A0C24" w:rsidRDefault="00796D88" w:rsidP="00DF64B8">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2045</w:t>
            </w:r>
          </w:p>
        </w:tc>
        <w:tc>
          <w:tcPr>
            <w:tcW w:w="954" w:type="dxa"/>
            <w:hideMark/>
          </w:tcPr>
          <w:p w14:paraId="24913A34" w14:textId="77777777" w:rsidR="00796D88" w:rsidRPr="002A0C24" w:rsidRDefault="00796D88" w:rsidP="00E9482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2A0C24">
              <w:rPr>
                <w:rFonts w:asciiTheme="majorHAnsi" w:eastAsia="Times New Roman" w:hAnsiTheme="majorHAnsi"/>
                <w:sz w:val="18"/>
                <w:szCs w:val="18"/>
              </w:rPr>
              <w:t>% Change</w:t>
            </w:r>
          </w:p>
        </w:tc>
      </w:tr>
      <w:tr w:rsidR="00796D88" w:rsidRPr="00A64D93" w14:paraId="15B73A2C"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33B33BD"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Cooling </w:t>
            </w:r>
          </w:p>
        </w:tc>
        <w:tc>
          <w:tcPr>
            <w:tcW w:w="990" w:type="dxa"/>
            <w:noWrap/>
            <w:hideMark/>
          </w:tcPr>
          <w:p w14:paraId="013CB441" w14:textId="0189EE31"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27</w:t>
            </w:r>
          </w:p>
        </w:tc>
        <w:tc>
          <w:tcPr>
            <w:tcW w:w="1264" w:type="dxa"/>
            <w:noWrap/>
            <w:hideMark/>
          </w:tcPr>
          <w:p w14:paraId="10DBC5E2" w14:textId="069057A5"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23</w:t>
            </w:r>
          </w:p>
        </w:tc>
        <w:tc>
          <w:tcPr>
            <w:tcW w:w="1115" w:type="dxa"/>
            <w:noWrap/>
            <w:hideMark/>
          </w:tcPr>
          <w:p w14:paraId="5A431F48" w14:textId="240FEE07"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w:t>
            </w:r>
          </w:p>
        </w:tc>
        <w:tc>
          <w:tcPr>
            <w:tcW w:w="1131" w:type="dxa"/>
            <w:noWrap/>
            <w:hideMark/>
          </w:tcPr>
          <w:p w14:paraId="5C13EAA1" w14:textId="2092FAAB"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w:t>
            </w:r>
          </w:p>
        </w:tc>
        <w:tc>
          <w:tcPr>
            <w:tcW w:w="990" w:type="dxa"/>
            <w:noWrap/>
            <w:hideMark/>
          </w:tcPr>
          <w:p w14:paraId="031D0001" w14:textId="4856A258"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18</w:t>
            </w:r>
          </w:p>
        </w:tc>
        <w:tc>
          <w:tcPr>
            <w:tcW w:w="846" w:type="dxa"/>
            <w:noWrap/>
            <w:hideMark/>
          </w:tcPr>
          <w:p w14:paraId="0A95CDDB" w14:textId="6FBEB791"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17</w:t>
            </w:r>
          </w:p>
        </w:tc>
        <w:tc>
          <w:tcPr>
            <w:tcW w:w="954" w:type="dxa"/>
            <w:noWrap/>
            <w:hideMark/>
          </w:tcPr>
          <w:p w14:paraId="3006F379" w14:textId="77777777"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-39.5%</w:t>
            </w:r>
          </w:p>
        </w:tc>
      </w:tr>
      <w:tr w:rsidR="00796D88" w:rsidRPr="00A64D93" w14:paraId="5C39F36B"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13F70AE"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Space Heating </w:t>
            </w:r>
          </w:p>
        </w:tc>
        <w:tc>
          <w:tcPr>
            <w:tcW w:w="990" w:type="dxa"/>
            <w:noWrap/>
            <w:hideMark/>
          </w:tcPr>
          <w:p w14:paraId="69D2985D" w14:textId="3182E796"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13</w:t>
            </w:r>
          </w:p>
        </w:tc>
        <w:tc>
          <w:tcPr>
            <w:tcW w:w="1264" w:type="dxa"/>
            <w:noWrap/>
            <w:hideMark/>
          </w:tcPr>
          <w:p w14:paraId="4F2C257A" w14:textId="120A3072"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13</w:t>
            </w:r>
          </w:p>
        </w:tc>
        <w:tc>
          <w:tcPr>
            <w:tcW w:w="1115" w:type="dxa"/>
            <w:noWrap/>
            <w:hideMark/>
          </w:tcPr>
          <w:p w14:paraId="6BA69AE0" w14:textId="61E0C053"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13</w:t>
            </w:r>
          </w:p>
        </w:tc>
        <w:tc>
          <w:tcPr>
            <w:tcW w:w="1131" w:type="dxa"/>
            <w:noWrap/>
            <w:hideMark/>
          </w:tcPr>
          <w:p w14:paraId="7190703E" w14:textId="3CC257AF"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13</w:t>
            </w:r>
          </w:p>
        </w:tc>
        <w:tc>
          <w:tcPr>
            <w:tcW w:w="990" w:type="dxa"/>
            <w:noWrap/>
            <w:hideMark/>
          </w:tcPr>
          <w:p w14:paraId="4D2EF7E1" w14:textId="5EBDD57C"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11</w:t>
            </w:r>
          </w:p>
        </w:tc>
        <w:tc>
          <w:tcPr>
            <w:tcW w:w="846" w:type="dxa"/>
            <w:noWrap/>
            <w:hideMark/>
          </w:tcPr>
          <w:p w14:paraId="1DE8483C" w14:textId="18D5941E"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10</w:t>
            </w:r>
          </w:p>
        </w:tc>
        <w:tc>
          <w:tcPr>
            <w:tcW w:w="954" w:type="dxa"/>
            <w:noWrap/>
            <w:hideMark/>
          </w:tcPr>
          <w:p w14:paraId="7327E2F0" w14:textId="77777777"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-19.6%</w:t>
            </w:r>
          </w:p>
        </w:tc>
      </w:tr>
      <w:tr w:rsidR="00796D88" w:rsidRPr="00A64D93" w14:paraId="51BED63F"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63C2ECE"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Ventilation </w:t>
            </w:r>
          </w:p>
        </w:tc>
        <w:tc>
          <w:tcPr>
            <w:tcW w:w="990" w:type="dxa"/>
            <w:noWrap/>
            <w:hideMark/>
          </w:tcPr>
          <w:p w14:paraId="3DDC73FF" w14:textId="176B162C"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24</w:t>
            </w:r>
          </w:p>
        </w:tc>
        <w:tc>
          <w:tcPr>
            <w:tcW w:w="1264" w:type="dxa"/>
            <w:noWrap/>
            <w:hideMark/>
          </w:tcPr>
          <w:p w14:paraId="4D5ACB56" w14:textId="2A8F45CD"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23</w:t>
            </w:r>
          </w:p>
        </w:tc>
        <w:tc>
          <w:tcPr>
            <w:tcW w:w="1115" w:type="dxa"/>
            <w:noWrap/>
            <w:hideMark/>
          </w:tcPr>
          <w:p w14:paraId="2F3789F2" w14:textId="18725181"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w:t>
            </w:r>
          </w:p>
        </w:tc>
        <w:tc>
          <w:tcPr>
            <w:tcW w:w="1131" w:type="dxa"/>
            <w:noWrap/>
            <w:hideMark/>
          </w:tcPr>
          <w:p w14:paraId="00B3CB61" w14:textId="40D115DE"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19</w:t>
            </w:r>
          </w:p>
        </w:tc>
        <w:tc>
          <w:tcPr>
            <w:tcW w:w="990" w:type="dxa"/>
            <w:noWrap/>
            <w:hideMark/>
          </w:tcPr>
          <w:p w14:paraId="0C8E0023" w14:textId="3F7D6A64"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15</w:t>
            </w:r>
          </w:p>
        </w:tc>
        <w:tc>
          <w:tcPr>
            <w:tcW w:w="846" w:type="dxa"/>
            <w:noWrap/>
            <w:hideMark/>
          </w:tcPr>
          <w:p w14:paraId="3EA80586" w14:textId="1E2F69F7"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14</w:t>
            </w:r>
          </w:p>
        </w:tc>
        <w:tc>
          <w:tcPr>
            <w:tcW w:w="954" w:type="dxa"/>
            <w:noWrap/>
            <w:hideMark/>
          </w:tcPr>
          <w:p w14:paraId="4EE8BD9C" w14:textId="77777777"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-42.3%</w:t>
            </w:r>
          </w:p>
        </w:tc>
      </w:tr>
      <w:tr w:rsidR="00796D88" w:rsidRPr="00A64D93" w14:paraId="31D4F14B"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12E2128"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Interior Lighting </w:t>
            </w:r>
          </w:p>
        </w:tc>
        <w:tc>
          <w:tcPr>
            <w:tcW w:w="990" w:type="dxa"/>
            <w:noWrap/>
            <w:hideMark/>
          </w:tcPr>
          <w:p w14:paraId="01BAAF16" w14:textId="6B76879C"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w:t>
            </w:r>
          </w:p>
        </w:tc>
        <w:tc>
          <w:tcPr>
            <w:tcW w:w="1264" w:type="dxa"/>
            <w:noWrap/>
            <w:hideMark/>
          </w:tcPr>
          <w:p w14:paraId="71DB9144" w14:textId="74892E59"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w:t>
            </w:r>
          </w:p>
        </w:tc>
        <w:tc>
          <w:tcPr>
            <w:tcW w:w="1115" w:type="dxa"/>
            <w:noWrap/>
            <w:hideMark/>
          </w:tcPr>
          <w:p w14:paraId="0F60D957" w14:textId="749A9B84"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w:t>
            </w:r>
          </w:p>
        </w:tc>
        <w:tc>
          <w:tcPr>
            <w:tcW w:w="1131" w:type="dxa"/>
            <w:noWrap/>
            <w:hideMark/>
          </w:tcPr>
          <w:p w14:paraId="117E9DEC" w14:textId="2AB4C8E6"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18</w:t>
            </w:r>
          </w:p>
        </w:tc>
        <w:tc>
          <w:tcPr>
            <w:tcW w:w="990" w:type="dxa"/>
            <w:noWrap/>
            <w:hideMark/>
          </w:tcPr>
          <w:p w14:paraId="417D2CDE" w14:textId="34F4B704"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14</w:t>
            </w:r>
          </w:p>
        </w:tc>
        <w:tc>
          <w:tcPr>
            <w:tcW w:w="846" w:type="dxa"/>
            <w:noWrap/>
            <w:hideMark/>
          </w:tcPr>
          <w:p w14:paraId="7A2F1B15" w14:textId="35C74ADE"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13</w:t>
            </w:r>
          </w:p>
        </w:tc>
        <w:tc>
          <w:tcPr>
            <w:tcW w:w="954" w:type="dxa"/>
            <w:noWrap/>
            <w:hideMark/>
          </w:tcPr>
          <w:p w14:paraId="7C2EFE0B" w14:textId="77777777"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-39.0%</w:t>
            </w:r>
          </w:p>
        </w:tc>
      </w:tr>
      <w:tr w:rsidR="00796D88" w:rsidRPr="00A64D93" w14:paraId="358427B4"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139A97B"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Exterior Lighting </w:t>
            </w:r>
          </w:p>
        </w:tc>
        <w:tc>
          <w:tcPr>
            <w:tcW w:w="990" w:type="dxa"/>
            <w:noWrap/>
            <w:hideMark/>
          </w:tcPr>
          <w:p w14:paraId="2C27A85B" w14:textId="640811BC"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20</w:t>
            </w:r>
          </w:p>
        </w:tc>
        <w:tc>
          <w:tcPr>
            <w:tcW w:w="1264" w:type="dxa"/>
            <w:noWrap/>
            <w:hideMark/>
          </w:tcPr>
          <w:p w14:paraId="08726847" w14:textId="42AA9EBE"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19</w:t>
            </w:r>
          </w:p>
        </w:tc>
        <w:tc>
          <w:tcPr>
            <w:tcW w:w="1115" w:type="dxa"/>
            <w:noWrap/>
            <w:hideMark/>
          </w:tcPr>
          <w:p w14:paraId="28172EA1" w14:textId="4B9CCC18"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18</w:t>
            </w:r>
          </w:p>
        </w:tc>
        <w:tc>
          <w:tcPr>
            <w:tcW w:w="1131" w:type="dxa"/>
            <w:noWrap/>
            <w:hideMark/>
          </w:tcPr>
          <w:p w14:paraId="1C64B13B" w14:textId="3832796E"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15</w:t>
            </w:r>
          </w:p>
        </w:tc>
        <w:tc>
          <w:tcPr>
            <w:tcW w:w="990" w:type="dxa"/>
            <w:noWrap/>
            <w:hideMark/>
          </w:tcPr>
          <w:p w14:paraId="5DEFD6A2" w14:textId="76EF0898"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11</w:t>
            </w:r>
          </w:p>
        </w:tc>
        <w:tc>
          <w:tcPr>
            <w:tcW w:w="846" w:type="dxa"/>
            <w:noWrap/>
            <w:hideMark/>
          </w:tcPr>
          <w:p w14:paraId="5509F984" w14:textId="170DED13"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10</w:t>
            </w:r>
          </w:p>
        </w:tc>
        <w:tc>
          <w:tcPr>
            <w:tcW w:w="954" w:type="dxa"/>
            <w:noWrap/>
            <w:hideMark/>
          </w:tcPr>
          <w:p w14:paraId="7AB60FAC" w14:textId="77777777"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-50.1%</w:t>
            </w:r>
          </w:p>
        </w:tc>
      </w:tr>
      <w:tr w:rsidR="00796D88" w:rsidRPr="00A64D93" w14:paraId="3ACF132F"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9F405B9"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Process </w:t>
            </w:r>
          </w:p>
        </w:tc>
        <w:tc>
          <w:tcPr>
            <w:tcW w:w="990" w:type="dxa"/>
            <w:noWrap/>
            <w:hideMark/>
          </w:tcPr>
          <w:p w14:paraId="118C622D" w14:textId="737FAB43"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70</w:t>
            </w:r>
          </w:p>
        </w:tc>
        <w:tc>
          <w:tcPr>
            <w:tcW w:w="1264" w:type="dxa"/>
            <w:noWrap/>
            <w:hideMark/>
          </w:tcPr>
          <w:p w14:paraId="519F1543" w14:textId="6050CFA8"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69</w:t>
            </w:r>
          </w:p>
        </w:tc>
        <w:tc>
          <w:tcPr>
            <w:tcW w:w="1115" w:type="dxa"/>
            <w:noWrap/>
            <w:hideMark/>
          </w:tcPr>
          <w:p w14:paraId="5EFF9F07" w14:textId="593E6E1E"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70</w:t>
            </w:r>
          </w:p>
        </w:tc>
        <w:tc>
          <w:tcPr>
            <w:tcW w:w="1131" w:type="dxa"/>
            <w:noWrap/>
            <w:hideMark/>
          </w:tcPr>
          <w:p w14:paraId="0F84BAC5" w14:textId="4152BCB7"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66</w:t>
            </w:r>
          </w:p>
        </w:tc>
        <w:tc>
          <w:tcPr>
            <w:tcW w:w="990" w:type="dxa"/>
            <w:noWrap/>
            <w:hideMark/>
          </w:tcPr>
          <w:p w14:paraId="71FDC844" w14:textId="181C2BBA"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58</w:t>
            </w:r>
          </w:p>
        </w:tc>
        <w:tc>
          <w:tcPr>
            <w:tcW w:w="846" w:type="dxa"/>
            <w:noWrap/>
            <w:hideMark/>
          </w:tcPr>
          <w:p w14:paraId="2FF8DB74" w14:textId="50FE7F8D"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54</w:t>
            </w:r>
          </w:p>
        </w:tc>
        <w:tc>
          <w:tcPr>
            <w:tcW w:w="954" w:type="dxa"/>
            <w:noWrap/>
            <w:hideMark/>
          </w:tcPr>
          <w:p w14:paraId="7907C9A1" w14:textId="77777777"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-22.8%</w:t>
            </w:r>
          </w:p>
        </w:tc>
      </w:tr>
      <w:tr w:rsidR="00796D88" w:rsidRPr="00A64D93" w14:paraId="16ED8AAE"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51FC8EB"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Motors </w:t>
            </w:r>
          </w:p>
        </w:tc>
        <w:tc>
          <w:tcPr>
            <w:tcW w:w="990" w:type="dxa"/>
            <w:noWrap/>
            <w:hideMark/>
          </w:tcPr>
          <w:p w14:paraId="1F6BA6DB" w14:textId="4057A54D"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219</w:t>
            </w:r>
          </w:p>
        </w:tc>
        <w:tc>
          <w:tcPr>
            <w:tcW w:w="1264" w:type="dxa"/>
            <w:noWrap/>
            <w:hideMark/>
          </w:tcPr>
          <w:p w14:paraId="7FECDDF8" w14:textId="65C8E7D4"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213</w:t>
            </w:r>
          </w:p>
        </w:tc>
        <w:tc>
          <w:tcPr>
            <w:tcW w:w="1115" w:type="dxa"/>
            <w:noWrap/>
            <w:hideMark/>
          </w:tcPr>
          <w:p w14:paraId="3D0C7F0F" w14:textId="32D14931"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214</w:t>
            </w:r>
          </w:p>
        </w:tc>
        <w:tc>
          <w:tcPr>
            <w:tcW w:w="1131" w:type="dxa"/>
            <w:noWrap/>
            <w:hideMark/>
          </w:tcPr>
          <w:p w14:paraId="237347FB" w14:textId="5229358A"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203</w:t>
            </w:r>
          </w:p>
        </w:tc>
        <w:tc>
          <w:tcPr>
            <w:tcW w:w="990" w:type="dxa"/>
            <w:noWrap/>
            <w:hideMark/>
          </w:tcPr>
          <w:p w14:paraId="189D2062" w14:textId="6D5B224B"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183</w:t>
            </w:r>
          </w:p>
        </w:tc>
        <w:tc>
          <w:tcPr>
            <w:tcW w:w="846" w:type="dxa"/>
            <w:noWrap/>
            <w:hideMark/>
          </w:tcPr>
          <w:p w14:paraId="5EF00BEB" w14:textId="0E122EFE"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174</w:t>
            </w:r>
          </w:p>
        </w:tc>
        <w:tc>
          <w:tcPr>
            <w:tcW w:w="954" w:type="dxa"/>
            <w:noWrap/>
            <w:hideMark/>
          </w:tcPr>
          <w:p w14:paraId="3A0618AD" w14:textId="77777777" w:rsidR="00796D88" w:rsidRPr="002A0C24"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-20.5%</w:t>
            </w:r>
          </w:p>
        </w:tc>
      </w:tr>
      <w:tr w:rsidR="00796D88" w:rsidRPr="00A64D93" w14:paraId="723D7CC0"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1EDE2EB" w14:textId="77777777" w:rsidR="00796D88" w:rsidRPr="002A0C24" w:rsidRDefault="00796D88" w:rsidP="009336C2">
            <w:pPr>
              <w:keepNext/>
              <w:jc w:val="left"/>
              <w:rPr>
                <w:rFonts w:eastAsia="Times New Roman"/>
                <w:color w:val="19172B"/>
                <w:sz w:val="18"/>
                <w:szCs w:val="18"/>
              </w:rPr>
            </w:pPr>
            <w:r w:rsidRPr="002A0C24">
              <w:rPr>
                <w:rFonts w:eastAsia="Times New Roman"/>
                <w:color w:val="19172B"/>
                <w:sz w:val="18"/>
                <w:szCs w:val="18"/>
              </w:rPr>
              <w:t xml:space="preserve"> Miscellaneous </w:t>
            </w:r>
          </w:p>
        </w:tc>
        <w:tc>
          <w:tcPr>
            <w:tcW w:w="990" w:type="dxa"/>
            <w:noWrap/>
            <w:hideMark/>
          </w:tcPr>
          <w:p w14:paraId="0E272392" w14:textId="52E4C899"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w:t>
            </w:r>
          </w:p>
        </w:tc>
        <w:tc>
          <w:tcPr>
            <w:tcW w:w="1264" w:type="dxa"/>
            <w:noWrap/>
            <w:hideMark/>
          </w:tcPr>
          <w:p w14:paraId="0E8C557C" w14:textId="7D456483"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w:t>
            </w:r>
          </w:p>
        </w:tc>
        <w:tc>
          <w:tcPr>
            <w:tcW w:w="1115" w:type="dxa"/>
            <w:noWrap/>
            <w:hideMark/>
          </w:tcPr>
          <w:p w14:paraId="38B8276D" w14:textId="016910D8"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w:t>
            </w:r>
          </w:p>
        </w:tc>
        <w:tc>
          <w:tcPr>
            <w:tcW w:w="1131" w:type="dxa"/>
            <w:noWrap/>
            <w:hideMark/>
          </w:tcPr>
          <w:p w14:paraId="0BCD4EFA" w14:textId="45B785DB"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21</w:t>
            </w:r>
          </w:p>
        </w:tc>
        <w:tc>
          <w:tcPr>
            <w:tcW w:w="990" w:type="dxa"/>
            <w:noWrap/>
            <w:hideMark/>
          </w:tcPr>
          <w:p w14:paraId="5E5B8025" w14:textId="390CD354"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18</w:t>
            </w:r>
          </w:p>
        </w:tc>
        <w:tc>
          <w:tcPr>
            <w:tcW w:w="846" w:type="dxa"/>
            <w:noWrap/>
            <w:hideMark/>
          </w:tcPr>
          <w:p w14:paraId="774FF589" w14:textId="6918D801"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17</w:t>
            </w:r>
          </w:p>
        </w:tc>
        <w:tc>
          <w:tcPr>
            <w:tcW w:w="954" w:type="dxa"/>
            <w:noWrap/>
            <w:hideMark/>
          </w:tcPr>
          <w:p w14:paraId="518B90C3" w14:textId="77777777" w:rsidR="00796D88" w:rsidRPr="002A0C24" w:rsidRDefault="00796D88"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19172B"/>
                <w:sz w:val="18"/>
                <w:szCs w:val="18"/>
              </w:rPr>
            </w:pPr>
            <w:r w:rsidRPr="002A0C24">
              <w:rPr>
                <w:rFonts w:eastAsia="Times New Roman"/>
                <w:color w:val="19172B"/>
                <w:sz w:val="18"/>
                <w:szCs w:val="18"/>
              </w:rPr>
              <w:t>-22.8%</w:t>
            </w:r>
          </w:p>
        </w:tc>
      </w:tr>
      <w:tr w:rsidR="00796D88" w:rsidRPr="00A64D93" w14:paraId="457F4A7F"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BE7D1E1" w14:textId="7400DE37" w:rsidR="00796D88" w:rsidRPr="00851485" w:rsidRDefault="00796D88" w:rsidP="009336C2">
            <w:pPr>
              <w:keepNext/>
              <w:jc w:val="center"/>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Total</w:t>
            </w:r>
          </w:p>
        </w:tc>
        <w:tc>
          <w:tcPr>
            <w:tcW w:w="990" w:type="dxa"/>
            <w:noWrap/>
            <w:hideMark/>
          </w:tcPr>
          <w:p w14:paraId="476B6F97" w14:textId="5289D557"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416</w:t>
            </w:r>
          </w:p>
        </w:tc>
        <w:tc>
          <w:tcPr>
            <w:tcW w:w="1264" w:type="dxa"/>
            <w:noWrap/>
            <w:hideMark/>
          </w:tcPr>
          <w:p w14:paraId="7FA4DF4D" w14:textId="365FA720"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403</w:t>
            </w:r>
          </w:p>
        </w:tc>
        <w:tc>
          <w:tcPr>
            <w:tcW w:w="1115" w:type="dxa"/>
            <w:noWrap/>
            <w:hideMark/>
          </w:tcPr>
          <w:p w14:paraId="731778F1" w14:textId="6059D68B"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403</w:t>
            </w:r>
          </w:p>
        </w:tc>
        <w:tc>
          <w:tcPr>
            <w:tcW w:w="1131" w:type="dxa"/>
            <w:noWrap/>
            <w:hideMark/>
          </w:tcPr>
          <w:p w14:paraId="6687AC03" w14:textId="7188885B"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375</w:t>
            </w:r>
          </w:p>
        </w:tc>
        <w:tc>
          <w:tcPr>
            <w:tcW w:w="990" w:type="dxa"/>
            <w:noWrap/>
            <w:hideMark/>
          </w:tcPr>
          <w:p w14:paraId="7DDECFAB" w14:textId="1DE4008C"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328</w:t>
            </w:r>
          </w:p>
        </w:tc>
        <w:tc>
          <w:tcPr>
            <w:tcW w:w="846" w:type="dxa"/>
            <w:noWrap/>
            <w:hideMark/>
          </w:tcPr>
          <w:p w14:paraId="67D1D87E" w14:textId="4EF5CD81"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309</w:t>
            </w:r>
          </w:p>
        </w:tc>
        <w:tc>
          <w:tcPr>
            <w:tcW w:w="954" w:type="dxa"/>
            <w:noWrap/>
            <w:hideMark/>
          </w:tcPr>
          <w:p w14:paraId="786B3FE6" w14:textId="77777777" w:rsidR="00796D88" w:rsidRPr="00851485" w:rsidRDefault="00796D8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 w:val="18"/>
                <w:szCs w:val="18"/>
              </w:rPr>
            </w:pPr>
            <w:r w:rsidRPr="00851485">
              <w:rPr>
                <w:rFonts w:asciiTheme="majorHAnsi" w:eastAsia="Times New Roman" w:hAnsiTheme="majorHAnsi"/>
                <w:color w:val="19172B"/>
                <w:sz w:val="18"/>
                <w:szCs w:val="18"/>
              </w:rPr>
              <w:t>-25.9%</w:t>
            </w:r>
          </w:p>
        </w:tc>
      </w:tr>
    </w:tbl>
    <w:p w14:paraId="2E1046A3" w14:textId="61C4CB17" w:rsidR="000E04C6" w:rsidRDefault="000E04C6" w:rsidP="00D56C39">
      <w:pPr>
        <w:pStyle w:val="AEGBody"/>
        <w:rPr>
          <w:lang w:eastAsia="ja-JP"/>
        </w:rPr>
      </w:pPr>
    </w:p>
    <w:p w14:paraId="3DE0D60E" w14:textId="48AA616C" w:rsidR="00C86F85" w:rsidRDefault="00C86F85" w:rsidP="00C86F85">
      <w:pPr>
        <w:pStyle w:val="FigureorTableCaption"/>
      </w:pPr>
      <w:bookmarkStart w:id="102" w:name="_Toc175904442"/>
      <w:r>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9</w:t>
      </w:r>
      <w:r w:rsidR="000E34CB">
        <w:fldChar w:fldCharType="end"/>
      </w:r>
      <w:r w:rsidR="00D6177B">
        <w:t xml:space="preserve"> </w:t>
      </w:r>
      <w:r w:rsidRPr="00DE5BB2">
        <w:t>Industrial Baseline Projection by End Use (GWh), Washington</w:t>
      </w:r>
      <w:bookmarkEnd w:id="102"/>
    </w:p>
    <w:p w14:paraId="6431DE74" w14:textId="0193FACB" w:rsidR="000E04C6" w:rsidRDefault="0094174E" w:rsidP="00C54C72">
      <w:pPr>
        <w:pStyle w:val="AEGBody"/>
        <w:jc w:val="center"/>
        <w:rPr>
          <w:lang w:eastAsia="ja-JP"/>
        </w:rPr>
      </w:pPr>
      <w:r>
        <w:rPr>
          <w:noProof/>
        </w:rPr>
        <w:drawing>
          <wp:inline distT="0" distB="0" distL="0" distR="0" wp14:anchorId="2508F14C" wp14:editId="14877190">
            <wp:extent cx="5486400" cy="3030631"/>
            <wp:effectExtent l="0" t="0" r="0" b="0"/>
            <wp:docPr id="1457792381" name="Chart 1">
              <a:extLst xmlns:a="http://schemas.openxmlformats.org/drawingml/2006/main">
                <a:ext uri="{FF2B5EF4-FFF2-40B4-BE49-F238E27FC236}">
                  <a16:creationId xmlns:a16="http://schemas.microsoft.com/office/drawing/2014/main" id="{D5236E53-1584-4849-9890-4A5159EF1C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0F4B31B" w14:textId="77777777" w:rsidR="007F0802" w:rsidRDefault="007F0802" w:rsidP="00D56C39">
      <w:pPr>
        <w:pStyle w:val="AEGBody"/>
        <w:rPr>
          <w:lang w:eastAsia="ja-JP"/>
        </w:rPr>
      </w:pPr>
    </w:p>
    <w:p w14:paraId="5BE3D15A" w14:textId="77777777" w:rsidR="007F0802" w:rsidRDefault="007F0802" w:rsidP="00D56C39">
      <w:pPr>
        <w:pStyle w:val="AEGBody"/>
        <w:rPr>
          <w:lang w:eastAsia="ja-JP"/>
        </w:rPr>
      </w:pPr>
    </w:p>
    <w:p w14:paraId="272EDC11" w14:textId="77777777" w:rsidR="007F0802" w:rsidRDefault="007F0802" w:rsidP="00D56C39">
      <w:pPr>
        <w:pStyle w:val="AEGBody"/>
        <w:rPr>
          <w:lang w:eastAsia="ja-JP"/>
        </w:rPr>
      </w:pPr>
    </w:p>
    <w:p w14:paraId="2B5DB44B" w14:textId="67313DF9" w:rsidR="00C86F85" w:rsidRDefault="00C86F85" w:rsidP="00C86F85">
      <w:pPr>
        <w:pStyle w:val="FigureorTableCaption"/>
      </w:pPr>
      <w:bookmarkStart w:id="103" w:name="_Toc175904443"/>
      <w:r>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10</w:t>
      </w:r>
      <w:r w:rsidR="000E34CB">
        <w:fldChar w:fldCharType="end"/>
      </w:r>
      <w:r w:rsidR="00D6177B">
        <w:t xml:space="preserve"> </w:t>
      </w:r>
      <w:r w:rsidRPr="005B0FB6">
        <w:t>Industrial Baseline Sales Projection by End Use – Annual Use per Employee, Washington</w:t>
      </w:r>
      <w:bookmarkEnd w:id="103"/>
    </w:p>
    <w:p w14:paraId="108CD6DA" w14:textId="7AA626DB" w:rsidR="007F0802" w:rsidRDefault="0094174E" w:rsidP="00C54C72">
      <w:pPr>
        <w:pStyle w:val="AEGBody"/>
        <w:jc w:val="center"/>
        <w:rPr>
          <w:lang w:eastAsia="ja-JP"/>
        </w:rPr>
      </w:pPr>
      <w:r>
        <w:rPr>
          <w:noProof/>
        </w:rPr>
        <w:drawing>
          <wp:inline distT="0" distB="0" distL="0" distR="0" wp14:anchorId="532D8CA7" wp14:editId="6D7FCDCC">
            <wp:extent cx="5483225" cy="3027456"/>
            <wp:effectExtent l="0" t="0" r="3175" b="1905"/>
            <wp:docPr id="1310751285" name="Chart 1">
              <a:extLst xmlns:a="http://schemas.openxmlformats.org/drawingml/2006/main">
                <a:ext uri="{FF2B5EF4-FFF2-40B4-BE49-F238E27FC236}">
                  <a16:creationId xmlns:a16="http://schemas.microsoft.com/office/drawing/2014/main" id="{4EDC6643-8179-43A4-BE62-11DEF4EBB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5147474" w14:textId="77777777" w:rsidR="00153F96" w:rsidRDefault="00153F96" w:rsidP="00D56C39">
      <w:pPr>
        <w:pStyle w:val="AEGBody"/>
        <w:rPr>
          <w:lang w:eastAsia="ja-JP"/>
        </w:rPr>
      </w:pPr>
    </w:p>
    <w:p w14:paraId="636EAC33" w14:textId="45B69AB2" w:rsidR="00C86F85" w:rsidRDefault="00C86F85" w:rsidP="00C86F85">
      <w:pPr>
        <w:pStyle w:val="FigureorTableCaption"/>
      </w:pPr>
      <w:bookmarkStart w:id="104" w:name="_Toc175904444"/>
      <w:r>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11</w:t>
      </w:r>
      <w:r w:rsidR="000E34CB">
        <w:fldChar w:fldCharType="end"/>
      </w:r>
      <w:r w:rsidR="00D6177B">
        <w:t xml:space="preserve"> </w:t>
      </w:r>
      <w:r w:rsidRPr="003760F3">
        <w:t>Industrial Baseline Projection by End Use (GWh), Idaho</w:t>
      </w:r>
      <w:bookmarkEnd w:id="104"/>
    </w:p>
    <w:p w14:paraId="67B99292" w14:textId="1A56D3F2" w:rsidR="007F0802" w:rsidRDefault="0094174E" w:rsidP="00C54C72">
      <w:pPr>
        <w:pStyle w:val="AEGBody"/>
        <w:jc w:val="center"/>
        <w:rPr>
          <w:lang w:eastAsia="ja-JP"/>
        </w:rPr>
      </w:pPr>
      <w:r>
        <w:rPr>
          <w:noProof/>
        </w:rPr>
        <w:drawing>
          <wp:inline distT="0" distB="0" distL="0" distR="0" wp14:anchorId="100DA570" wp14:editId="72B84A6E">
            <wp:extent cx="5486400" cy="3030631"/>
            <wp:effectExtent l="0" t="0" r="0" b="0"/>
            <wp:docPr id="662780331" name="Chart 1">
              <a:extLst xmlns:a="http://schemas.openxmlformats.org/drawingml/2006/main">
                <a:ext uri="{FF2B5EF4-FFF2-40B4-BE49-F238E27FC236}">
                  <a16:creationId xmlns:a16="http://schemas.microsoft.com/office/drawing/2014/main" id="{D5236E53-1584-4849-9890-4A5159EF1C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5C44B2C" w14:textId="77777777" w:rsidR="00076E64" w:rsidRDefault="00076E64" w:rsidP="00D56C39">
      <w:pPr>
        <w:pStyle w:val="AEGBody"/>
        <w:rPr>
          <w:lang w:eastAsia="ja-JP"/>
        </w:rPr>
      </w:pPr>
    </w:p>
    <w:p w14:paraId="2DE784BA" w14:textId="77777777" w:rsidR="00076E64" w:rsidRDefault="00076E64" w:rsidP="00D56C39">
      <w:pPr>
        <w:pStyle w:val="AEGBody"/>
        <w:rPr>
          <w:lang w:eastAsia="ja-JP"/>
        </w:rPr>
      </w:pPr>
    </w:p>
    <w:p w14:paraId="63B6EBA4" w14:textId="2775545D" w:rsidR="00C86F85" w:rsidRDefault="00C86F85" w:rsidP="00C86F85">
      <w:pPr>
        <w:pStyle w:val="FigureorTableCaption"/>
      </w:pPr>
      <w:bookmarkStart w:id="105" w:name="_Toc175904445"/>
      <w:r>
        <w:lastRenderedPageBreak/>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12</w:t>
      </w:r>
      <w:r w:rsidR="000E34CB">
        <w:fldChar w:fldCharType="end"/>
      </w:r>
      <w:r w:rsidR="00D6177B">
        <w:t xml:space="preserve"> </w:t>
      </w:r>
      <w:r w:rsidRPr="00505B9D">
        <w:t>Industrial Baseline Sales Projection by End Use – Annual Use per Employee, Idaho</w:t>
      </w:r>
      <w:bookmarkEnd w:id="105"/>
    </w:p>
    <w:p w14:paraId="08345B52" w14:textId="2BD8286C" w:rsidR="00076E64" w:rsidRDefault="0094174E" w:rsidP="00C54C72">
      <w:pPr>
        <w:pStyle w:val="AEGBody"/>
        <w:jc w:val="center"/>
        <w:rPr>
          <w:lang w:eastAsia="ja-JP"/>
        </w:rPr>
      </w:pPr>
      <w:r>
        <w:rPr>
          <w:noProof/>
        </w:rPr>
        <w:drawing>
          <wp:inline distT="0" distB="0" distL="0" distR="0" wp14:anchorId="1E937F2B" wp14:editId="725568D7">
            <wp:extent cx="5483225" cy="3027456"/>
            <wp:effectExtent l="0" t="0" r="3175" b="1905"/>
            <wp:docPr id="2099609678" name="Chart 1">
              <a:extLst xmlns:a="http://schemas.openxmlformats.org/drawingml/2006/main">
                <a:ext uri="{FF2B5EF4-FFF2-40B4-BE49-F238E27FC236}">
                  <a16:creationId xmlns:a16="http://schemas.microsoft.com/office/drawing/2014/main" id="{4EDC6643-8179-43A4-BE62-11DEF4EBB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C45691E" w14:textId="77777777" w:rsidR="00165C17" w:rsidRDefault="00165C17" w:rsidP="009875ED">
      <w:pPr>
        <w:pStyle w:val="AEGBody"/>
        <w:rPr>
          <w:lang w:eastAsia="ja-JP"/>
        </w:rPr>
      </w:pPr>
    </w:p>
    <w:p w14:paraId="5F16A1C8" w14:textId="145FF655" w:rsidR="00243A55" w:rsidRDefault="00CC6A72" w:rsidP="00DE1028">
      <w:pPr>
        <w:pStyle w:val="Heading2"/>
      </w:pPr>
      <w:bookmarkStart w:id="106" w:name="_Toc175904870"/>
      <w:r>
        <w:t>Summary of Baseline Projections</w:t>
      </w:r>
      <w:r w:rsidR="007F0802">
        <w:t xml:space="preserve"> Across Sectors and States</w:t>
      </w:r>
      <w:bookmarkEnd w:id="106"/>
    </w:p>
    <w:p w14:paraId="0F0BD9B6" w14:textId="78909F75" w:rsidR="00493B73" w:rsidRPr="00493B73" w:rsidRDefault="007D7035" w:rsidP="00493B73">
      <w:pPr>
        <w:pStyle w:val="BodyText"/>
      </w:pPr>
      <w:r>
        <w:fldChar w:fldCharType="begin"/>
      </w:r>
      <w:r>
        <w:instrText xml:space="preserve"> REF _Ref175814307 \h </w:instrText>
      </w:r>
      <w:r>
        <w:fldChar w:fldCharType="separate"/>
      </w:r>
      <w:r>
        <w:t xml:space="preserve">Table </w:t>
      </w:r>
      <w:r>
        <w:rPr>
          <w:noProof/>
        </w:rPr>
        <w:t>4</w:t>
      </w:r>
      <w:r>
        <w:noBreakHyphen/>
      </w:r>
      <w:r>
        <w:rPr>
          <w:noProof/>
        </w:rPr>
        <w:t>7</w:t>
      </w:r>
      <w:r>
        <w:fldChar w:fldCharType="end"/>
      </w:r>
      <w:r w:rsidR="002C346F" w:rsidRPr="000014C5">
        <w:t xml:space="preserve"> </w:t>
      </w:r>
      <w:r w:rsidR="00493B73" w:rsidRPr="000014C5">
        <w:t xml:space="preserve">and </w:t>
      </w:r>
      <w:r>
        <w:fldChar w:fldCharType="begin"/>
      </w:r>
      <w:r>
        <w:instrText xml:space="preserve"> REF _Ref175814316 \h </w:instrText>
      </w:r>
      <w:r>
        <w:fldChar w:fldCharType="separate"/>
      </w:r>
      <w:r>
        <w:t xml:space="preserve">Figure </w:t>
      </w:r>
      <w:r>
        <w:rPr>
          <w:noProof/>
        </w:rPr>
        <w:t>4</w:t>
      </w:r>
      <w:r>
        <w:noBreakHyphen/>
      </w:r>
      <w:r>
        <w:rPr>
          <w:noProof/>
        </w:rPr>
        <w:t>13</w:t>
      </w:r>
      <w:r>
        <w:fldChar w:fldCharType="end"/>
      </w:r>
      <w:r w:rsidR="00493B73" w:rsidRPr="000014C5">
        <w:t xml:space="preserve"> provide a summary of the baseline projection for annual use by sector for the entire Avista electric service territory. Overall, the projection shows steady growth in electricity use, driven primarily by customer growth forecasts.</w:t>
      </w:r>
      <w:r w:rsidR="00493B73" w:rsidRPr="00C22C96">
        <w:t xml:space="preserve"> </w:t>
      </w:r>
    </w:p>
    <w:p w14:paraId="0DDCEE3C" w14:textId="097F7ABC" w:rsidR="002C5847" w:rsidRDefault="002C5847" w:rsidP="002C5847">
      <w:pPr>
        <w:pStyle w:val="Caption"/>
      </w:pPr>
      <w:bookmarkStart w:id="107" w:name="_Ref175814307"/>
      <w:bookmarkStart w:id="108" w:name="_Toc175912384"/>
      <w:r>
        <w:t xml:space="preserve">Table </w:t>
      </w:r>
      <w:r w:rsidR="00EE4707">
        <w:fldChar w:fldCharType="begin"/>
      </w:r>
      <w:r w:rsidR="00EE4707">
        <w:instrText xml:space="preserve"> STYLEREF 1 \s </w:instrText>
      </w:r>
      <w:r w:rsidR="00EE4707">
        <w:fldChar w:fldCharType="separate"/>
      </w:r>
      <w:r w:rsidR="00EE4707">
        <w:rPr>
          <w:noProof/>
        </w:rPr>
        <w:t>4</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7</w:t>
      </w:r>
      <w:r w:rsidR="00EE4707">
        <w:fldChar w:fldCharType="end"/>
      </w:r>
      <w:bookmarkEnd w:id="107"/>
      <w:r>
        <w:t xml:space="preserve"> Baseline Projection Summary (GWh), Washington and Idaho Combined</w:t>
      </w:r>
      <w:bookmarkEnd w:id="108"/>
    </w:p>
    <w:tbl>
      <w:tblPr>
        <w:tblStyle w:val="AEG-DarkBanded"/>
        <w:tblW w:w="5000" w:type="pct"/>
        <w:jc w:val="center"/>
        <w:tblLook w:val="04E0" w:firstRow="1" w:lastRow="1" w:firstColumn="1" w:lastColumn="0" w:noHBand="0" w:noVBand="1"/>
      </w:tblPr>
      <w:tblGrid>
        <w:gridCol w:w="1703"/>
        <w:gridCol w:w="1065"/>
        <w:gridCol w:w="1065"/>
        <w:gridCol w:w="1065"/>
        <w:gridCol w:w="1065"/>
        <w:gridCol w:w="1065"/>
        <w:gridCol w:w="1127"/>
        <w:gridCol w:w="1205"/>
      </w:tblGrid>
      <w:tr w:rsidR="007D7035" w:rsidRPr="00243A55" w14:paraId="016F79E8" w14:textId="77777777" w:rsidTr="00FF4586">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pct"/>
            <w:hideMark/>
          </w:tcPr>
          <w:p w14:paraId="44FDF9B7" w14:textId="49410982" w:rsidR="007D7035" w:rsidRPr="004D00B2" w:rsidRDefault="007D7035" w:rsidP="007D7035">
            <w:pPr>
              <w:jc w:val="left"/>
              <w:rPr>
                <w:rFonts w:asciiTheme="majorHAnsi" w:eastAsia="Times New Roman" w:hAnsiTheme="majorHAnsi"/>
                <w:b w:val="0"/>
                <w:sz w:val="18"/>
                <w:szCs w:val="18"/>
              </w:rPr>
            </w:pPr>
            <w:r w:rsidRPr="004D00B2">
              <w:rPr>
                <w:rFonts w:asciiTheme="majorHAnsi" w:eastAsia="Times New Roman" w:hAnsiTheme="majorHAnsi"/>
                <w:b w:val="0"/>
                <w:sz w:val="18"/>
                <w:szCs w:val="18"/>
              </w:rPr>
              <w:t>End Use</w:t>
            </w:r>
          </w:p>
        </w:tc>
        <w:tc>
          <w:tcPr>
            <w:tcW w:w="0" w:type="pct"/>
            <w:vAlign w:val="top"/>
          </w:tcPr>
          <w:p w14:paraId="5E61C37C" w14:textId="66E69320"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2021</w:t>
            </w:r>
          </w:p>
        </w:tc>
        <w:tc>
          <w:tcPr>
            <w:tcW w:w="0" w:type="pct"/>
            <w:vAlign w:val="top"/>
          </w:tcPr>
          <w:p w14:paraId="67955C5D" w14:textId="36A722F2"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2023</w:t>
            </w:r>
          </w:p>
        </w:tc>
        <w:tc>
          <w:tcPr>
            <w:tcW w:w="0" w:type="pct"/>
            <w:vAlign w:val="top"/>
          </w:tcPr>
          <w:p w14:paraId="68054056" w14:textId="44F45C1B"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2025</w:t>
            </w:r>
          </w:p>
        </w:tc>
        <w:tc>
          <w:tcPr>
            <w:tcW w:w="0" w:type="pct"/>
            <w:vAlign w:val="top"/>
          </w:tcPr>
          <w:p w14:paraId="2C821A4E" w14:textId="6D7E4881"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2030</w:t>
            </w:r>
          </w:p>
        </w:tc>
        <w:tc>
          <w:tcPr>
            <w:tcW w:w="0" w:type="pct"/>
            <w:vAlign w:val="top"/>
          </w:tcPr>
          <w:p w14:paraId="1637EDDE" w14:textId="20B06EC2"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2040</w:t>
            </w:r>
          </w:p>
        </w:tc>
        <w:tc>
          <w:tcPr>
            <w:tcW w:w="0" w:type="pct"/>
            <w:vAlign w:val="top"/>
          </w:tcPr>
          <w:p w14:paraId="7AAD14B8" w14:textId="2B95BF8D"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2045</w:t>
            </w:r>
          </w:p>
        </w:tc>
        <w:tc>
          <w:tcPr>
            <w:tcW w:w="0" w:type="pct"/>
            <w:vAlign w:val="top"/>
            <w:hideMark/>
          </w:tcPr>
          <w:p w14:paraId="5D00C416" w14:textId="020DB90D" w:rsidR="007D7035" w:rsidRPr="004D00B2" w:rsidRDefault="007D7035" w:rsidP="007D703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4D00B2">
              <w:rPr>
                <w:rFonts w:asciiTheme="majorHAnsi" w:hAnsiTheme="majorHAnsi"/>
                <w:b w:val="0"/>
                <w:sz w:val="18"/>
                <w:szCs w:val="18"/>
              </w:rPr>
              <w:t>% Change</w:t>
            </w:r>
          </w:p>
        </w:tc>
      </w:tr>
      <w:tr w:rsidR="007D7035" w:rsidRPr="004D00B2" w14:paraId="43F57B48"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2CA45AB3" w14:textId="77777777" w:rsidR="007D7035" w:rsidRPr="004D00B2" w:rsidRDefault="007D7035" w:rsidP="007D7035">
            <w:pPr>
              <w:jc w:val="left"/>
              <w:rPr>
                <w:rFonts w:asciiTheme="minorHAnsi" w:eastAsia="Times New Roman" w:hAnsiTheme="minorHAnsi"/>
                <w:color w:val="19172B"/>
                <w:szCs w:val="20"/>
              </w:rPr>
            </w:pPr>
            <w:r w:rsidRPr="004D00B2">
              <w:rPr>
                <w:rFonts w:asciiTheme="minorHAnsi" w:eastAsia="Times New Roman" w:hAnsiTheme="minorHAnsi"/>
                <w:color w:val="19172B"/>
                <w:szCs w:val="20"/>
              </w:rPr>
              <w:t xml:space="preserve"> Residential </w:t>
            </w:r>
          </w:p>
        </w:tc>
        <w:tc>
          <w:tcPr>
            <w:tcW w:w="0" w:type="pct"/>
            <w:noWrap/>
            <w:vAlign w:val="top"/>
          </w:tcPr>
          <w:p w14:paraId="38385F51" w14:textId="2AE24B1B"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3,991 </w:t>
            </w:r>
          </w:p>
        </w:tc>
        <w:tc>
          <w:tcPr>
            <w:tcW w:w="0" w:type="pct"/>
            <w:noWrap/>
            <w:vAlign w:val="top"/>
          </w:tcPr>
          <w:p w14:paraId="65AD870B" w14:textId="46681E34"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4,121 </w:t>
            </w:r>
          </w:p>
        </w:tc>
        <w:tc>
          <w:tcPr>
            <w:tcW w:w="0" w:type="pct"/>
            <w:noWrap/>
            <w:vAlign w:val="top"/>
          </w:tcPr>
          <w:p w14:paraId="4D22A6A2" w14:textId="235B911A"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4,210 </w:t>
            </w:r>
          </w:p>
        </w:tc>
        <w:tc>
          <w:tcPr>
            <w:tcW w:w="0" w:type="pct"/>
            <w:noWrap/>
            <w:vAlign w:val="top"/>
          </w:tcPr>
          <w:p w14:paraId="455F756F" w14:textId="0ADA4E9E"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4,302 </w:t>
            </w:r>
          </w:p>
        </w:tc>
        <w:tc>
          <w:tcPr>
            <w:tcW w:w="0" w:type="pct"/>
            <w:noWrap/>
            <w:vAlign w:val="top"/>
          </w:tcPr>
          <w:p w14:paraId="7A290254" w14:textId="7406B167"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5,020 </w:t>
            </w:r>
          </w:p>
        </w:tc>
        <w:tc>
          <w:tcPr>
            <w:tcW w:w="0" w:type="pct"/>
            <w:noWrap/>
            <w:vAlign w:val="top"/>
          </w:tcPr>
          <w:p w14:paraId="124B5D02" w14:textId="3FD0AA7D"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5,432 </w:t>
            </w:r>
          </w:p>
        </w:tc>
        <w:tc>
          <w:tcPr>
            <w:tcW w:w="0" w:type="pct"/>
            <w:noWrap/>
            <w:vAlign w:val="top"/>
          </w:tcPr>
          <w:p w14:paraId="703BDF61" w14:textId="12111F46"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36.1%</w:t>
            </w:r>
          </w:p>
        </w:tc>
      </w:tr>
      <w:tr w:rsidR="007D7035" w:rsidRPr="004D00B2" w14:paraId="4C1DE294" w14:textId="77777777" w:rsidTr="00FF4586">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B875A7D" w14:textId="77777777" w:rsidR="007D7035" w:rsidRPr="004D00B2" w:rsidRDefault="007D7035" w:rsidP="007D7035">
            <w:pPr>
              <w:jc w:val="left"/>
              <w:rPr>
                <w:rFonts w:asciiTheme="minorHAnsi" w:eastAsia="Times New Roman" w:hAnsiTheme="minorHAnsi"/>
                <w:color w:val="19172B"/>
                <w:szCs w:val="20"/>
              </w:rPr>
            </w:pPr>
            <w:r w:rsidRPr="004D00B2">
              <w:rPr>
                <w:rFonts w:asciiTheme="minorHAnsi" w:eastAsia="Times New Roman" w:hAnsiTheme="minorHAnsi"/>
                <w:color w:val="19172B"/>
                <w:szCs w:val="20"/>
              </w:rPr>
              <w:t xml:space="preserve"> Commercial </w:t>
            </w:r>
          </w:p>
        </w:tc>
        <w:tc>
          <w:tcPr>
            <w:tcW w:w="0" w:type="pct"/>
            <w:noWrap/>
            <w:vAlign w:val="top"/>
          </w:tcPr>
          <w:p w14:paraId="52A74560" w14:textId="432950CE"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3,062 </w:t>
            </w:r>
          </w:p>
        </w:tc>
        <w:tc>
          <w:tcPr>
            <w:tcW w:w="0" w:type="pct"/>
            <w:noWrap/>
            <w:vAlign w:val="top"/>
          </w:tcPr>
          <w:p w14:paraId="761D5727" w14:textId="230DCF0C"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3,086 </w:t>
            </w:r>
          </w:p>
        </w:tc>
        <w:tc>
          <w:tcPr>
            <w:tcW w:w="0" w:type="pct"/>
            <w:noWrap/>
            <w:vAlign w:val="top"/>
          </w:tcPr>
          <w:p w14:paraId="5EA566DB" w14:textId="63CCBB86"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3,081 </w:t>
            </w:r>
          </w:p>
        </w:tc>
        <w:tc>
          <w:tcPr>
            <w:tcW w:w="0" w:type="pct"/>
            <w:noWrap/>
            <w:vAlign w:val="top"/>
          </w:tcPr>
          <w:p w14:paraId="0A67CAC9" w14:textId="4042FE6A"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3,161 </w:t>
            </w:r>
          </w:p>
        </w:tc>
        <w:tc>
          <w:tcPr>
            <w:tcW w:w="0" w:type="pct"/>
            <w:noWrap/>
            <w:vAlign w:val="top"/>
          </w:tcPr>
          <w:p w14:paraId="4ADB31B9" w14:textId="6526F036"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3,806 </w:t>
            </w:r>
          </w:p>
        </w:tc>
        <w:tc>
          <w:tcPr>
            <w:tcW w:w="0" w:type="pct"/>
            <w:noWrap/>
            <w:vAlign w:val="top"/>
          </w:tcPr>
          <w:p w14:paraId="560F6298" w14:textId="21DA414E"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4,274 </w:t>
            </w:r>
          </w:p>
        </w:tc>
        <w:tc>
          <w:tcPr>
            <w:tcW w:w="0" w:type="pct"/>
            <w:noWrap/>
            <w:vAlign w:val="top"/>
          </w:tcPr>
          <w:p w14:paraId="274639A3" w14:textId="35E97E52" w:rsidR="007D7035" w:rsidRPr="004D00B2" w:rsidRDefault="007D7035" w:rsidP="00FF4586">
            <w:pPr>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39.6%</w:t>
            </w:r>
          </w:p>
        </w:tc>
      </w:tr>
      <w:tr w:rsidR="007D7035" w:rsidRPr="004D00B2" w14:paraId="039925F3" w14:textId="77777777" w:rsidTr="00FF4586">
        <w:trPr>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318A22BB" w14:textId="77777777" w:rsidR="007D7035" w:rsidRPr="004D00B2" w:rsidRDefault="007D7035" w:rsidP="007D7035">
            <w:pPr>
              <w:jc w:val="left"/>
              <w:rPr>
                <w:rFonts w:asciiTheme="minorHAnsi" w:eastAsia="Times New Roman" w:hAnsiTheme="minorHAnsi"/>
                <w:color w:val="19172B"/>
                <w:szCs w:val="20"/>
              </w:rPr>
            </w:pPr>
            <w:r w:rsidRPr="004D00B2">
              <w:rPr>
                <w:rFonts w:asciiTheme="minorHAnsi" w:eastAsia="Times New Roman" w:hAnsiTheme="minorHAnsi"/>
                <w:color w:val="19172B"/>
                <w:szCs w:val="20"/>
              </w:rPr>
              <w:t xml:space="preserve"> Industrial </w:t>
            </w:r>
          </w:p>
        </w:tc>
        <w:tc>
          <w:tcPr>
            <w:tcW w:w="0" w:type="pct"/>
            <w:noWrap/>
            <w:vAlign w:val="top"/>
          </w:tcPr>
          <w:p w14:paraId="1B63270B" w14:textId="4D080036"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976 </w:t>
            </w:r>
          </w:p>
        </w:tc>
        <w:tc>
          <w:tcPr>
            <w:tcW w:w="0" w:type="pct"/>
            <w:noWrap/>
            <w:vAlign w:val="top"/>
          </w:tcPr>
          <w:p w14:paraId="45DD92EF" w14:textId="46FCFE45"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978 </w:t>
            </w:r>
          </w:p>
        </w:tc>
        <w:tc>
          <w:tcPr>
            <w:tcW w:w="0" w:type="pct"/>
            <w:noWrap/>
            <w:vAlign w:val="top"/>
          </w:tcPr>
          <w:p w14:paraId="605AAEAB" w14:textId="72B3710F"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968 </w:t>
            </w:r>
          </w:p>
        </w:tc>
        <w:tc>
          <w:tcPr>
            <w:tcW w:w="0" w:type="pct"/>
            <w:noWrap/>
            <w:vAlign w:val="top"/>
          </w:tcPr>
          <w:p w14:paraId="11EBB9C7" w14:textId="69053E0A"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911 </w:t>
            </w:r>
          </w:p>
        </w:tc>
        <w:tc>
          <w:tcPr>
            <w:tcW w:w="0" w:type="pct"/>
            <w:noWrap/>
            <w:vAlign w:val="top"/>
          </w:tcPr>
          <w:p w14:paraId="1B42D11A" w14:textId="0929ED90"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823 </w:t>
            </w:r>
          </w:p>
        </w:tc>
        <w:tc>
          <w:tcPr>
            <w:tcW w:w="0" w:type="pct"/>
            <w:noWrap/>
            <w:vAlign w:val="top"/>
          </w:tcPr>
          <w:p w14:paraId="6D5C82B2" w14:textId="288B5E51"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 xml:space="preserve"> 787 </w:t>
            </w:r>
          </w:p>
        </w:tc>
        <w:tc>
          <w:tcPr>
            <w:tcW w:w="0" w:type="pct"/>
            <w:noWrap/>
            <w:vAlign w:val="top"/>
          </w:tcPr>
          <w:p w14:paraId="110EE5F8" w14:textId="599FEAFA" w:rsidR="007D7035" w:rsidRPr="004D00B2" w:rsidRDefault="007D7035" w:rsidP="00FF4586">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 w:val="18"/>
                <w:szCs w:val="18"/>
              </w:rPr>
            </w:pPr>
            <w:r w:rsidRPr="004D00B2">
              <w:rPr>
                <w:rFonts w:asciiTheme="minorHAnsi" w:hAnsiTheme="minorHAnsi"/>
                <w:sz w:val="18"/>
                <w:szCs w:val="18"/>
              </w:rPr>
              <w:t>-19.3%</w:t>
            </w:r>
          </w:p>
        </w:tc>
      </w:tr>
      <w:tr w:rsidR="007D7035" w:rsidRPr="004D00B2" w14:paraId="1428564C" w14:textId="77777777" w:rsidTr="00FF4586">
        <w:trPr>
          <w:cnfStyle w:val="010000000000" w:firstRow="0" w:lastRow="1"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2551A05D" w14:textId="5A4D294C" w:rsidR="007D7035" w:rsidRPr="000B5606" w:rsidRDefault="007D7035" w:rsidP="00FF4586">
            <w:pPr>
              <w:jc w:val="left"/>
              <w:rPr>
                <w:rFonts w:asciiTheme="majorHAnsi" w:eastAsia="Times New Roman" w:hAnsiTheme="majorHAnsi"/>
                <w:color w:val="19172B"/>
                <w:szCs w:val="20"/>
              </w:rPr>
            </w:pPr>
            <w:r w:rsidRPr="000B5606">
              <w:rPr>
                <w:rFonts w:asciiTheme="majorHAnsi" w:eastAsia="Times New Roman" w:hAnsiTheme="majorHAnsi"/>
                <w:color w:val="19172B"/>
                <w:szCs w:val="20"/>
              </w:rPr>
              <w:t>Total</w:t>
            </w:r>
          </w:p>
        </w:tc>
        <w:tc>
          <w:tcPr>
            <w:tcW w:w="0" w:type="pct"/>
            <w:noWrap/>
            <w:vAlign w:val="top"/>
          </w:tcPr>
          <w:p w14:paraId="4781D565" w14:textId="05AE1B54"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 xml:space="preserve">8,028 </w:t>
            </w:r>
          </w:p>
        </w:tc>
        <w:tc>
          <w:tcPr>
            <w:tcW w:w="0" w:type="pct"/>
            <w:noWrap/>
            <w:vAlign w:val="top"/>
          </w:tcPr>
          <w:p w14:paraId="5AE453B7" w14:textId="035B0716"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 xml:space="preserve">8,185 </w:t>
            </w:r>
          </w:p>
        </w:tc>
        <w:tc>
          <w:tcPr>
            <w:tcW w:w="0" w:type="pct"/>
            <w:noWrap/>
            <w:vAlign w:val="top"/>
          </w:tcPr>
          <w:p w14:paraId="046C6D06" w14:textId="562B98DA"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 xml:space="preserve">8,259 </w:t>
            </w:r>
          </w:p>
        </w:tc>
        <w:tc>
          <w:tcPr>
            <w:tcW w:w="0" w:type="pct"/>
            <w:noWrap/>
            <w:vAlign w:val="top"/>
          </w:tcPr>
          <w:p w14:paraId="4E9F34FA" w14:textId="6193D66F"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 xml:space="preserve">8,374 </w:t>
            </w:r>
          </w:p>
        </w:tc>
        <w:tc>
          <w:tcPr>
            <w:tcW w:w="0" w:type="pct"/>
            <w:noWrap/>
            <w:vAlign w:val="top"/>
          </w:tcPr>
          <w:p w14:paraId="4CC044B2" w14:textId="7F964819"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 xml:space="preserve">9,649 </w:t>
            </w:r>
          </w:p>
        </w:tc>
        <w:tc>
          <w:tcPr>
            <w:tcW w:w="0" w:type="pct"/>
            <w:noWrap/>
            <w:vAlign w:val="top"/>
          </w:tcPr>
          <w:p w14:paraId="07182D65" w14:textId="4358D6E0"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 xml:space="preserve">10,493 </w:t>
            </w:r>
          </w:p>
        </w:tc>
        <w:tc>
          <w:tcPr>
            <w:tcW w:w="0" w:type="pct"/>
            <w:noWrap/>
            <w:vAlign w:val="top"/>
          </w:tcPr>
          <w:p w14:paraId="45922F2B" w14:textId="670654D5" w:rsidR="007D7035" w:rsidRPr="004D00B2" w:rsidRDefault="007D7035" w:rsidP="00FF4586">
            <w:pPr>
              <w:jc w:val="right"/>
              <w:cnfStyle w:val="010000000000" w:firstRow="0" w:lastRow="1" w:firstColumn="0" w:lastColumn="0" w:oddVBand="0" w:evenVBand="0" w:oddHBand="0" w:evenHBand="0" w:firstRowFirstColumn="0" w:firstRowLastColumn="0" w:lastRowFirstColumn="0" w:lastRowLastColumn="0"/>
              <w:rPr>
                <w:rFonts w:asciiTheme="minorHAnsi" w:eastAsia="Times New Roman" w:hAnsiTheme="minorHAnsi"/>
                <w:b w:val="0"/>
                <w:color w:val="19172B"/>
                <w:sz w:val="18"/>
                <w:szCs w:val="18"/>
              </w:rPr>
            </w:pPr>
            <w:r w:rsidRPr="004D00B2">
              <w:rPr>
                <w:rFonts w:asciiTheme="minorHAnsi" w:hAnsiTheme="minorHAnsi"/>
                <w:sz w:val="18"/>
                <w:szCs w:val="18"/>
              </w:rPr>
              <w:t>30.7%</w:t>
            </w:r>
          </w:p>
        </w:tc>
      </w:tr>
    </w:tbl>
    <w:p w14:paraId="5E60302E" w14:textId="77777777" w:rsidR="002C5847" w:rsidRPr="004D00B2" w:rsidRDefault="002C5847" w:rsidP="00CC417F">
      <w:pPr>
        <w:pStyle w:val="AEGBody"/>
        <w:rPr>
          <w:lang w:eastAsia="ja-JP"/>
        </w:rPr>
      </w:pPr>
    </w:p>
    <w:p w14:paraId="7CDAC2B0" w14:textId="4CA614B2" w:rsidR="00570BAC" w:rsidRDefault="00570BAC" w:rsidP="00570BAC">
      <w:pPr>
        <w:pStyle w:val="Caption"/>
      </w:pPr>
      <w:bookmarkStart w:id="109" w:name="_Ref175814316"/>
      <w:bookmarkStart w:id="110" w:name="_Toc175904446"/>
      <w:r>
        <w:lastRenderedPageBreak/>
        <w:t xml:space="preserve">Figure </w:t>
      </w:r>
      <w:r w:rsidR="000E34CB">
        <w:fldChar w:fldCharType="begin"/>
      </w:r>
      <w:r w:rsidR="000E34CB">
        <w:instrText xml:space="preserve"> STYLEREF 1 \s </w:instrText>
      </w:r>
      <w:r w:rsidR="000E34CB">
        <w:fldChar w:fldCharType="separate"/>
      </w:r>
      <w:r w:rsidR="000E34CB">
        <w:rPr>
          <w:noProof/>
        </w:rPr>
        <w:t>4</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13</w:t>
      </w:r>
      <w:r w:rsidR="000E34CB">
        <w:fldChar w:fldCharType="end"/>
      </w:r>
      <w:bookmarkEnd w:id="109"/>
      <w:r>
        <w:t xml:space="preserve"> </w:t>
      </w:r>
      <w:r w:rsidRPr="0008682F">
        <w:t>Baseline Projection Summary (GWh), Washington and Idaho Combined</w:t>
      </w:r>
      <w:bookmarkEnd w:id="110"/>
    </w:p>
    <w:p w14:paraId="2A0C023C" w14:textId="738ECC00" w:rsidR="00D56C39" w:rsidRPr="00D56C39" w:rsidRDefault="00E45130" w:rsidP="00C54C72">
      <w:pPr>
        <w:pStyle w:val="AEGBody"/>
        <w:jc w:val="center"/>
        <w:rPr>
          <w:lang w:eastAsia="ja-JP"/>
        </w:rPr>
      </w:pPr>
      <w:r>
        <w:rPr>
          <w:noProof/>
        </w:rPr>
        <w:drawing>
          <wp:inline distT="0" distB="0" distL="0" distR="0" wp14:anchorId="48351C94" wp14:editId="0DFFA865">
            <wp:extent cx="5735002" cy="2743200"/>
            <wp:effectExtent l="0" t="0" r="0" b="0"/>
            <wp:docPr id="1537167989" name="Chart 1">
              <a:extLst xmlns:a="http://schemas.openxmlformats.org/drawingml/2006/main">
                <a:ext uri="{FF2B5EF4-FFF2-40B4-BE49-F238E27FC236}">
                  <a16:creationId xmlns:a16="http://schemas.microsoft.com/office/drawing/2014/main" id="{D3B7C77A-8505-4B49-A1DC-F16EAC2D5D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E1122A1" w14:textId="7351BF36" w:rsidR="00E84DDE" w:rsidRDefault="001C3662" w:rsidP="00D6177B">
      <w:pPr>
        <w:pStyle w:val="Heading1"/>
      </w:pPr>
      <w:bookmarkStart w:id="111" w:name="_Toc175904871"/>
      <w:r>
        <w:lastRenderedPageBreak/>
        <w:t>Conservation Potential</w:t>
      </w:r>
      <w:bookmarkEnd w:id="111"/>
    </w:p>
    <w:p w14:paraId="67A301F5" w14:textId="5AB8913F" w:rsidR="00DC7E02" w:rsidRPr="00DC7E02" w:rsidRDefault="00DC7E02" w:rsidP="00DC7E02">
      <w:pPr>
        <w:pStyle w:val="AEGBody"/>
      </w:pPr>
      <w:r w:rsidRPr="00DC7E02">
        <w:t xml:space="preserve">This chapter presents conservation potential results, beginning with a summary of annual energy savings across all three sectors, followed by detailed savings for each sector. Potential is presented for annual energy savings (GWh and aMW) as well as the winter peak demand savings (MW) for selected years. Note that all savings are presented at the customer meter (i.e., excluding line losses). </w:t>
      </w:r>
    </w:p>
    <w:p w14:paraId="218E424E" w14:textId="569FF5D5" w:rsidR="00155A2F" w:rsidRDefault="00CC6A72" w:rsidP="009875ED">
      <w:pPr>
        <w:pStyle w:val="Heading2"/>
      </w:pPr>
      <w:bookmarkStart w:id="112" w:name="_Toc175904872"/>
      <w:r>
        <w:t>Overall Summary of Energy Efficiency Potential</w:t>
      </w:r>
      <w:bookmarkEnd w:id="112"/>
    </w:p>
    <w:p w14:paraId="0A5C127D" w14:textId="5C1D7AFE" w:rsidR="00CC6A72" w:rsidRDefault="00CC6A72" w:rsidP="009875ED">
      <w:pPr>
        <w:pStyle w:val="Heading3"/>
      </w:pPr>
      <w:bookmarkStart w:id="113" w:name="_Toc175904873"/>
      <w:r>
        <w:t>Summary of Annual Energy Savings</w:t>
      </w:r>
      <w:bookmarkEnd w:id="113"/>
    </w:p>
    <w:p w14:paraId="029F9C65" w14:textId="545B63BE" w:rsidR="00A16F50" w:rsidRPr="00A16F50" w:rsidRDefault="00271528" w:rsidP="007D7035">
      <w:pPr>
        <w:pStyle w:val="BodyText"/>
        <w:rPr>
          <w:i/>
          <w:iCs/>
        </w:rPr>
      </w:pPr>
      <w:r>
        <w:fldChar w:fldCharType="begin"/>
      </w:r>
      <w:r>
        <w:instrText xml:space="preserve"> REF _Ref175815279 \h </w:instrText>
      </w:r>
      <w:r>
        <w:fldChar w:fldCharType="separate"/>
      </w:r>
      <w:r>
        <w:t xml:space="preserve">Table </w:t>
      </w:r>
      <w:r>
        <w:rPr>
          <w:noProof/>
        </w:rPr>
        <w:t>5</w:t>
      </w:r>
      <w:r>
        <w:noBreakHyphen/>
      </w:r>
      <w:r>
        <w:rPr>
          <w:noProof/>
        </w:rPr>
        <w:t>1</w:t>
      </w:r>
      <w:r>
        <w:fldChar w:fldCharType="end"/>
      </w:r>
      <w:r w:rsidR="00A16F50" w:rsidRPr="00A16F50">
        <w:t xml:space="preserve"> and </w:t>
      </w:r>
      <w:r>
        <w:fldChar w:fldCharType="begin"/>
      </w:r>
      <w:r>
        <w:instrText xml:space="preserve"> REF _Ref175815285 \h </w:instrText>
      </w:r>
      <w:r>
        <w:fldChar w:fldCharType="separate"/>
      </w:r>
      <w:r>
        <w:t xml:space="preserve">Table </w:t>
      </w:r>
      <w:r>
        <w:rPr>
          <w:noProof/>
        </w:rPr>
        <w:t>5</w:t>
      </w:r>
      <w:r>
        <w:noBreakHyphen/>
      </w:r>
      <w:r>
        <w:rPr>
          <w:noProof/>
        </w:rPr>
        <w:t>2</w:t>
      </w:r>
      <w:r>
        <w:fldChar w:fldCharType="end"/>
      </w:r>
      <w:r w:rsidR="00A16F50" w:rsidRPr="00A16F50">
        <w:t xml:space="preserve"> summarize the energy efficiency potential for each state relative to the baseline projection. Potential as a percent of the baseline projection in each state is shown graphically in</w:t>
      </w:r>
      <w:r w:rsidR="007D7035">
        <w:t xml:space="preserve"> </w:t>
      </w:r>
      <w:r>
        <w:fldChar w:fldCharType="begin"/>
      </w:r>
      <w:r>
        <w:instrText xml:space="preserve"> REF _Ref175814793 \h </w:instrText>
      </w:r>
      <w:r>
        <w:fldChar w:fldCharType="separate"/>
      </w:r>
      <w:r>
        <w:t xml:space="preserve">Figure </w:t>
      </w:r>
      <w:r>
        <w:rPr>
          <w:noProof/>
        </w:rPr>
        <w:t>5</w:t>
      </w:r>
      <w:r>
        <w:noBreakHyphen/>
      </w:r>
      <w:r>
        <w:rPr>
          <w:noProof/>
        </w:rPr>
        <w:t>1</w:t>
      </w:r>
      <w:r>
        <w:fldChar w:fldCharType="end"/>
      </w:r>
      <w:r w:rsidR="007D7035">
        <w:t xml:space="preserve"> a</w:t>
      </w:r>
      <w:r w:rsidR="00A16F50" w:rsidRPr="00A16F50">
        <w:t xml:space="preserve">nd </w:t>
      </w:r>
      <w:r>
        <w:fldChar w:fldCharType="begin"/>
      </w:r>
      <w:r>
        <w:instrText xml:space="preserve"> REF _Ref175815301 \h </w:instrText>
      </w:r>
      <w:r>
        <w:fldChar w:fldCharType="separate"/>
      </w:r>
      <w:r>
        <w:t xml:space="preserve">Figure </w:t>
      </w:r>
      <w:r>
        <w:rPr>
          <w:noProof/>
        </w:rPr>
        <w:t>5</w:t>
      </w:r>
      <w:r>
        <w:noBreakHyphen/>
      </w:r>
      <w:r>
        <w:rPr>
          <w:noProof/>
        </w:rPr>
        <w:t>2</w:t>
      </w:r>
      <w:r>
        <w:fldChar w:fldCharType="end"/>
      </w:r>
      <w:r w:rsidR="00A16F50" w:rsidRPr="00A16F50">
        <w:t xml:space="preserve">. </w:t>
      </w:r>
    </w:p>
    <w:p w14:paraId="6BEB5F83" w14:textId="77777777" w:rsidR="00B37A88" w:rsidRDefault="00A16F50" w:rsidP="00A16F50">
      <w:pPr>
        <w:pStyle w:val="AEG-BulletList"/>
      </w:pPr>
      <w:r w:rsidRPr="000B5606">
        <w:rPr>
          <w:b/>
          <w:bCs/>
          <w:i/>
          <w:iCs/>
        </w:rPr>
        <w:t>Technical Potential</w:t>
      </w:r>
      <w:r w:rsidRPr="005A7AFA">
        <w:t xml:space="preserve"> reflects the adoption of all conservation measures regardless of cost-effectiveness. </w:t>
      </w:r>
    </w:p>
    <w:p w14:paraId="067CB86E" w14:textId="77777777" w:rsidR="00B37A88" w:rsidRDefault="00A16F50" w:rsidP="00B37A88">
      <w:pPr>
        <w:pStyle w:val="AEG-BulletList"/>
        <w:numPr>
          <w:ilvl w:val="1"/>
          <w:numId w:val="2"/>
        </w:numPr>
      </w:pPr>
      <w:r w:rsidRPr="005A7AFA">
        <w:t>For Washington, first-year savings are 1</w:t>
      </w:r>
      <w:r w:rsidR="0080317A" w:rsidRPr="005A7AFA">
        <w:t>36</w:t>
      </w:r>
      <w:r w:rsidRPr="005A7AFA">
        <w:t xml:space="preserve"> GWh or </w:t>
      </w:r>
      <w:r w:rsidR="0080317A" w:rsidRPr="005A7AFA">
        <w:t>2.5</w:t>
      </w:r>
      <w:r w:rsidRPr="005A7AFA">
        <w:t xml:space="preserve">% of the baseline projection. Cumulative savings in 2045 are </w:t>
      </w:r>
      <w:r w:rsidR="0080317A" w:rsidRPr="005A7AFA">
        <w:t>2,047</w:t>
      </w:r>
      <w:r w:rsidRPr="005A7AFA">
        <w:t xml:space="preserve"> GWh or </w:t>
      </w:r>
      <w:r w:rsidR="0080317A" w:rsidRPr="005A7AFA">
        <w:t>28.5</w:t>
      </w:r>
      <w:r w:rsidRPr="005A7AFA">
        <w:t xml:space="preserve">% of the baseline. </w:t>
      </w:r>
    </w:p>
    <w:p w14:paraId="403F8996" w14:textId="71E8AE89" w:rsidR="00A16F50" w:rsidRPr="005A7AFA" w:rsidRDefault="00A16F50" w:rsidP="00B37A88">
      <w:pPr>
        <w:pStyle w:val="AEG-BulletList"/>
        <w:numPr>
          <w:ilvl w:val="1"/>
          <w:numId w:val="2"/>
        </w:numPr>
      </w:pPr>
      <w:r w:rsidRPr="005A7AFA">
        <w:t xml:space="preserve">For Idaho, first-year savings are </w:t>
      </w:r>
      <w:r w:rsidR="0080317A" w:rsidRPr="005A7AFA">
        <w:t>67</w:t>
      </w:r>
      <w:r w:rsidRPr="005A7AFA">
        <w:t xml:space="preserve"> GWh or </w:t>
      </w:r>
      <w:r w:rsidR="0080317A" w:rsidRPr="005A7AFA">
        <w:t>2.4</w:t>
      </w:r>
      <w:r w:rsidRPr="005A7AFA">
        <w:t xml:space="preserve">% of the baseline projection. Cumulative savings in 2045 are </w:t>
      </w:r>
      <w:r w:rsidR="0080317A" w:rsidRPr="005A7AFA">
        <w:t>960</w:t>
      </w:r>
      <w:r w:rsidRPr="005A7AFA">
        <w:t xml:space="preserve"> GWh or 29% of the baseline.</w:t>
      </w:r>
    </w:p>
    <w:p w14:paraId="5C778199" w14:textId="77777777" w:rsidR="0080694C" w:rsidRDefault="00A16F50" w:rsidP="00A16F50">
      <w:pPr>
        <w:pStyle w:val="AEG-BulletList"/>
      </w:pPr>
      <w:r w:rsidRPr="00A16F50">
        <w:tab/>
      </w:r>
      <w:r w:rsidRPr="00A16F50">
        <w:rPr>
          <w:b/>
          <w:bCs/>
          <w:i/>
          <w:iCs/>
        </w:rPr>
        <w:t>Achievable Technical Potential</w:t>
      </w:r>
      <w:r w:rsidRPr="00A16F50">
        <w:t xml:space="preserve"> modifies Technical Potential by accounting for assumed customer adoption. </w:t>
      </w:r>
    </w:p>
    <w:p w14:paraId="13364182" w14:textId="77777777" w:rsidR="0080694C" w:rsidRDefault="00A16F50" w:rsidP="0080694C">
      <w:pPr>
        <w:pStyle w:val="AEG-BulletList"/>
        <w:numPr>
          <w:ilvl w:val="1"/>
          <w:numId w:val="2"/>
        </w:numPr>
      </w:pPr>
      <w:r w:rsidRPr="00A16F50">
        <w:t xml:space="preserve">In Washington, first-year savings potential </w:t>
      </w:r>
      <w:r w:rsidRPr="001F2CEA">
        <w:t xml:space="preserve">is </w:t>
      </w:r>
      <w:r w:rsidR="00484EC8" w:rsidRPr="001F2CEA">
        <w:t>60</w:t>
      </w:r>
      <w:r w:rsidRPr="001F2CEA">
        <w:t xml:space="preserve"> GWh or 1.1% of the baseline. In 2045, cumulative achievable technical savings reach </w:t>
      </w:r>
      <w:r w:rsidR="00484EC8" w:rsidRPr="001F2CEA">
        <w:t>1,519</w:t>
      </w:r>
      <w:r w:rsidRPr="001F2CEA">
        <w:t xml:space="preserve"> GWh or 2</w:t>
      </w:r>
      <w:r w:rsidR="00484EC8" w:rsidRPr="001F2CEA">
        <w:t>1</w:t>
      </w:r>
      <w:r w:rsidRPr="001F2CEA">
        <w:t>.</w:t>
      </w:r>
      <w:r w:rsidR="00271528">
        <w:t>2</w:t>
      </w:r>
      <w:r w:rsidRPr="001F2CEA">
        <w:t>%</w:t>
      </w:r>
      <w:r w:rsidRPr="00A16F50">
        <w:t xml:space="preserve"> of the baseline projection. </w:t>
      </w:r>
      <w:r w:rsidRPr="00D07DB0">
        <w:t xml:space="preserve">Achievable Technical Potential is approximately </w:t>
      </w:r>
      <w:r w:rsidR="00D07DB0">
        <w:t>56</w:t>
      </w:r>
      <w:r w:rsidRPr="00D07DB0">
        <w:t>% of Technical Potential in Washington</w:t>
      </w:r>
      <w:r w:rsidRPr="00A16F50">
        <w:t xml:space="preserve"> throughout the forecast horizon. </w:t>
      </w:r>
    </w:p>
    <w:p w14:paraId="4C82DACF" w14:textId="3FD96CF8" w:rsidR="00A16F50" w:rsidRPr="00A16F50" w:rsidRDefault="00A16F50" w:rsidP="0080694C">
      <w:pPr>
        <w:pStyle w:val="AEG-BulletList"/>
        <w:numPr>
          <w:ilvl w:val="1"/>
          <w:numId w:val="2"/>
        </w:numPr>
      </w:pPr>
      <w:r w:rsidRPr="00A16F50">
        <w:t xml:space="preserve">For Idaho, first-year savings </w:t>
      </w:r>
      <w:r w:rsidRPr="005C4942">
        <w:t xml:space="preserve">are </w:t>
      </w:r>
      <w:r w:rsidR="00484EC8" w:rsidRPr="005C4942">
        <w:t>31</w:t>
      </w:r>
      <w:r w:rsidRPr="005C4942">
        <w:t xml:space="preserve"> GWh or 1.</w:t>
      </w:r>
      <w:r w:rsidR="00484EC8" w:rsidRPr="005C4942">
        <w:t>1</w:t>
      </w:r>
      <w:r w:rsidRPr="005C4942">
        <w:t xml:space="preserve">% of the baseline, and by 2045, cumulative achievable technical savings will reach </w:t>
      </w:r>
      <w:r w:rsidR="00484EC8" w:rsidRPr="005C4942">
        <w:t>692</w:t>
      </w:r>
      <w:r w:rsidRPr="005C4942">
        <w:t xml:space="preserve"> GWh, or 2</w:t>
      </w:r>
      <w:r w:rsidR="00484EC8" w:rsidRPr="005C4942">
        <w:t>0.9</w:t>
      </w:r>
      <w:r w:rsidRPr="005C4942">
        <w:t>%</w:t>
      </w:r>
      <w:r w:rsidRPr="00A16F50">
        <w:t xml:space="preserve"> of the baseline. In Idaho, </w:t>
      </w:r>
      <w:r w:rsidRPr="00D07DB0">
        <w:t xml:space="preserve">Achievable Technical Potential reflects </w:t>
      </w:r>
      <w:r w:rsidR="00D07DB0">
        <w:t>57</w:t>
      </w:r>
      <w:r w:rsidRPr="00D07DB0">
        <w:t>% of Technical Potential throughout the forecast horizon.</w:t>
      </w:r>
      <w:r w:rsidRPr="00A16F50">
        <w:t xml:space="preserve"> </w:t>
      </w:r>
    </w:p>
    <w:p w14:paraId="4147A3A1" w14:textId="2AA88577" w:rsidR="00425D05" w:rsidRDefault="00425D05" w:rsidP="00A16F50">
      <w:pPr>
        <w:pStyle w:val="Caption"/>
      </w:pPr>
      <w:bookmarkStart w:id="114" w:name="_Ref175815279"/>
      <w:bookmarkStart w:id="115" w:name="_Toc175912385"/>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w:t>
      </w:r>
      <w:r w:rsidR="00EE4707">
        <w:fldChar w:fldCharType="end"/>
      </w:r>
      <w:bookmarkEnd w:id="114"/>
      <w:r>
        <w:t xml:space="preserve"> Summary of Energy Efficiency Potential, Washington</w:t>
      </w:r>
      <w:bookmarkEnd w:id="115"/>
    </w:p>
    <w:tbl>
      <w:tblPr>
        <w:tblStyle w:val="AEG-DarkBanded"/>
        <w:tblW w:w="5000" w:type="pct"/>
        <w:jc w:val="center"/>
        <w:tblLook w:val="04A0" w:firstRow="1" w:lastRow="0" w:firstColumn="1" w:lastColumn="0" w:noHBand="0" w:noVBand="1"/>
      </w:tblPr>
      <w:tblGrid>
        <w:gridCol w:w="3257"/>
        <w:gridCol w:w="994"/>
        <w:gridCol w:w="994"/>
        <w:gridCol w:w="994"/>
        <w:gridCol w:w="1041"/>
        <w:gridCol w:w="1041"/>
        <w:gridCol w:w="1039"/>
      </w:tblGrid>
      <w:tr w:rsidR="00425D05" w:rsidRPr="00425D05" w14:paraId="216B5005" w14:textId="77777777" w:rsidTr="00C54C7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tcPr>
          <w:p w14:paraId="3190FE01" w14:textId="23435332" w:rsidR="00425D05" w:rsidRPr="00893126" w:rsidRDefault="00425D05" w:rsidP="00425D05">
            <w:pPr>
              <w:jc w:val="left"/>
              <w:rPr>
                <w:rFonts w:asciiTheme="majorHAnsi" w:eastAsia="Times New Roman" w:hAnsiTheme="majorHAnsi"/>
                <w:b w:val="0"/>
                <w:szCs w:val="20"/>
              </w:rPr>
            </w:pPr>
          </w:p>
        </w:tc>
        <w:tc>
          <w:tcPr>
            <w:tcW w:w="531" w:type="pct"/>
            <w:noWrap/>
            <w:hideMark/>
          </w:tcPr>
          <w:p w14:paraId="226D3CD7" w14:textId="77777777" w:rsidR="00425D05" w:rsidRPr="00893126" w:rsidRDefault="00425D05" w:rsidP="00425D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3126">
              <w:rPr>
                <w:rFonts w:asciiTheme="majorHAnsi" w:eastAsia="Times New Roman" w:hAnsiTheme="majorHAnsi"/>
                <w:b w:val="0"/>
                <w:szCs w:val="20"/>
              </w:rPr>
              <w:t>2026</w:t>
            </w:r>
          </w:p>
        </w:tc>
        <w:tc>
          <w:tcPr>
            <w:tcW w:w="531" w:type="pct"/>
            <w:noWrap/>
            <w:hideMark/>
          </w:tcPr>
          <w:p w14:paraId="53C3BABA" w14:textId="77777777" w:rsidR="00425D05" w:rsidRPr="00893126" w:rsidRDefault="00425D05" w:rsidP="00425D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3126">
              <w:rPr>
                <w:rFonts w:asciiTheme="majorHAnsi" w:eastAsia="Times New Roman" w:hAnsiTheme="majorHAnsi"/>
                <w:b w:val="0"/>
                <w:szCs w:val="20"/>
              </w:rPr>
              <w:t>2027</w:t>
            </w:r>
          </w:p>
        </w:tc>
        <w:tc>
          <w:tcPr>
            <w:tcW w:w="531" w:type="pct"/>
            <w:hideMark/>
          </w:tcPr>
          <w:p w14:paraId="16DF5B5F" w14:textId="77777777" w:rsidR="00425D05" w:rsidRPr="00893126" w:rsidRDefault="00425D05" w:rsidP="00425D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3126">
              <w:rPr>
                <w:rFonts w:asciiTheme="majorHAnsi" w:eastAsia="Times New Roman" w:hAnsiTheme="majorHAnsi"/>
                <w:b w:val="0"/>
                <w:szCs w:val="20"/>
              </w:rPr>
              <w:t>2028</w:t>
            </w:r>
          </w:p>
        </w:tc>
        <w:tc>
          <w:tcPr>
            <w:tcW w:w="556" w:type="pct"/>
            <w:noWrap/>
            <w:hideMark/>
          </w:tcPr>
          <w:p w14:paraId="11C11146" w14:textId="77777777" w:rsidR="00425D05" w:rsidRPr="00893126" w:rsidRDefault="00425D05" w:rsidP="00425D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3126">
              <w:rPr>
                <w:rFonts w:asciiTheme="majorHAnsi" w:eastAsia="Times New Roman" w:hAnsiTheme="majorHAnsi"/>
                <w:b w:val="0"/>
                <w:szCs w:val="20"/>
              </w:rPr>
              <w:t>2030</w:t>
            </w:r>
          </w:p>
        </w:tc>
        <w:tc>
          <w:tcPr>
            <w:tcW w:w="556" w:type="pct"/>
            <w:noWrap/>
            <w:hideMark/>
          </w:tcPr>
          <w:p w14:paraId="36C06207" w14:textId="77777777" w:rsidR="00425D05" w:rsidRPr="00893126" w:rsidRDefault="00425D05" w:rsidP="00425D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3126">
              <w:rPr>
                <w:rFonts w:asciiTheme="majorHAnsi" w:eastAsia="Times New Roman" w:hAnsiTheme="majorHAnsi"/>
                <w:b w:val="0"/>
                <w:szCs w:val="20"/>
              </w:rPr>
              <w:t>2035</w:t>
            </w:r>
          </w:p>
        </w:tc>
        <w:tc>
          <w:tcPr>
            <w:tcW w:w="555" w:type="pct"/>
            <w:noWrap/>
            <w:hideMark/>
          </w:tcPr>
          <w:p w14:paraId="0D7D77D8" w14:textId="77777777" w:rsidR="00425D05" w:rsidRPr="00893126" w:rsidRDefault="00425D05" w:rsidP="00425D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3126">
              <w:rPr>
                <w:rFonts w:asciiTheme="majorHAnsi" w:eastAsia="Times New Roman" w:hAnsiTheme="majorHAnsi"/>
                <w:b w:val="0"/>
                <w:szCs w:val="20"/>
              </w:rPr>
              <w:t>2045</w:t>
            </w:r>
          </w:p>
        </w:tc>
      </w:tr>
      <w:tr w:rsidR="00425D05" w:rsidRPr="00425D05" w14:paraId="5EBE7017"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2CE98C49" w14:textId="77777777" w:rsidR="00425D05" w:rsidRPr="009F2EFE" w:rsidRDefault="00425D05" w:rsidP="00C54C72">
            <w:pPr>
              <w:rPr>
                <w:rFonts w:asciiTheme="majorHAnsi" w:eastAsia="Times New Roman" w:hAnsiTheme="majorHAnsi"/>
                <w:szCs w:val="20"/>
              </w:rPr>
            </w:pPr>
            <w:r w:rsidRPr="009F2EFE">
              <w:rPr>
                <w:rFonts w:asciiTheme="majorHAnsi" w:eastAsia="Times New Roman" w:hAnsiTheme="majorHAnsi"/>
                <w:szCs w:val="20"/>
              </w:rPr>
              <w:t>Baseline Forecast (GWh)</w:t>
            </w:r>
          </w:p>
        </w:tc>
        <w:tc>
          <w:tcPr>
            <w:tcW w:w="531" w:type="pct"/>
            <w:noWrap/>
            <w:hideMark/>
          </w:tcPr>
          <w:p w14:paraId="16B79667"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5,406</w:t>
            </w:r>
          </w:p>
        </w:tc>
        <w:tc>
          <w:tcPr>
            <w:tcW w:w="531" w:type="pct"/>
            <w:noWrap/>
            <w:hideMark/>
          </w:tcPr>
          <w:p w14:paraId="1C11A4A5"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5,410</w:t>
            </w:r>
          </w:p>
        </w:tc>
        <w:tc>
          <w:tcPr>
            <w:tcW w:w="531" w:type="pct"/>
            <w:noWrap/>
            <w:hideMark/>
          </w:tcPr>
          <w:p w14:paraId="6BE5FC65"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5,422</w:t>
            </w:r>
          </w:p>
        </w:tc>
        <w:tc>
          <w:tcPr>
            <w:tcW w:w="556" w:type="pct"/>
            <w:noWrap/>
            <w:hideMark/>
          </w:tcPr>
          <w:p w14:paraId="7110A035"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5,495</w:t>
            </w:r>
          </w:p>
        </w:tc>
        <w:tc>
          <w:tcPr>
            <w:tcW w:w="556" w:type="pct"/>
            <w:noWrap/>
            <w:hideMark/>
          </w:tcPr>
          <w:p w14:paraId="25DEF24A"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5,882</w:t>
            </w:r>
          </w:p>
        </w:tc>
        <w:tc>
          <w:tcPr>
            <w:tcW w:w="555" w:type="pct"/>
            <w:noWrap/>
            <w:hideMark/>
          </w:tcPr>
          <w:p w14:paraId="7501BD0C"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7,182</w:t>
            </w:r>
          </w:p>
        </w:tc>
      </w:tr>
      <w:tr w:rsidR="00425D05" w:rsidRPr="00425D05" w14:paraId="29B606AB"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4ADF1093" w14:textId="77777777" w:rsidR="00425D05" w:rsidRPr="009F2EFE" w:rsidRDefault="00425D05" w:rsidP="00C54C72">
            <w:pPr>
              <w:rPr>
                <w:rFonts w:asciiTheme="majorHAnsi" w:eastAsia="Times New Roman" w:hAnsiTheme="majorHAnsi"/>
                <w:szCs w:val="20"/>
              </w:rPr>
            </w:pPr>
            <w:r w:rsidRPr="009F2EFE">
              <w:rPr>
                <w:rFonts w:asciiTheme="majorHAnsi" w:eastAsia="Times New Roman" w:hAnsiTheme="majorHAnsi"/>
                <w:szCs w:val="20"/>
              </w:rPr>
              <w:t>Potential Forecasts (GWh)</w:t>
            </w:r>
          </w:p>
        </w:tc>
        <w:tc>
          <w:tcPr>
            <w:tcW w:w="531" w:type="pct"/>
            <w:noWrap/>
            <w:hideMark/>
          </w:tcPr>
          <w:p w14:paraId="6A8BB8A8" w14:textId="4A60CAB2"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p>
        </w:tc>
        <w:tc>
          <w:tcPr>
            <w:tcW w:w="531" w:type="pct"/>
            <w:noWrap/>
            <w:hideMark/>
          </w:tcPr>
          <w:p w14:paraId="0D37FC65" w14:textId="7E4CD9ED"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p>
        </w:tc>
        <w:tc>
          <w:tcPr>
            <w:tcW w:w="531" w:type="pct"/>
            <w:noWrap/>
            <w:hideMark/>
          </w:tcPr>
          <w:p w14:paraId="37DA6FBB" w14:textId="655157B9"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p>
        </w:tc>
        <w:tc>
          <w:tcPr>
            <w:tcW w:w="556" w:type="pct"/>
            <w:noWrap/>
            <w:hideMark/>
          </w:tcPr>
          <w:p w14:paraId="51FD25E2" w14:textId="7C9F5382"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p>
        </w:tc>
        <w:tc>
          <w:tcPr>
            <w:tcW w:w="556" w:type="pct"/>
            <w:noWrap/>
            <w:hideMark/>
          </w:tcPr>
          <w:p w14:paraId="77A33DD8" w14:textId="0753935F"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p>
        </w:tc>
        <w:tc>
          <w:tcPr>
            <w:tcW w:w="555" w:type="pct"/>
            <w:noWrap/>
            <w:hideMark/>
          </w:tcPr>
          <w:p w14:paraId="4C887324" w14:textId="2C4961C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p>
        </w:tc>
      </w:tr>
      <w:tr w:rsidR="00271528" w:rsidRPr="00425D05" w14:paraId="35D6BF32" w14:textId="77777777" w:rsidTr="00271528">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472A98C0" w14:textId="77777777" w:rsidR="00271528" w:rsidRPr="00893126" w:rsidRDefault="00271528" w:rsidP="00271528">
            <w:pPr>
              <w:ind w:firstLineChars="100" w:firstLine="200"/>
              <w:rPr>
                <w:rFonts w:asciiTheme="minorHAnsi" w:eastAsia="Times New Roman" w:hAnsiTheme="minorHAnsi"/>
                <w:szCs w:val="20"/>
              </w:rPr>
            </w:pPr>
            <w:r w:rsidRPr="00893126">
              <w:rPr>
                <w:rFonts w:asciiTheme="minorHAnsi" w:eastAsia="Times New Roman" w:hAnsiTheme="minorHAnsi"/>
                <w:szCs w:val="20"/>
              </w:rPr>
              <w:t>Achievable Technical Potential</w:t>
            </w:r>
          </w:p>
        </w:tc>
        <w:tc>
          <w:tcPr>
            <w:tcW w:w="531" w:type="pct"/>
            <w:noWrap/>
            <w:vAlign w:val="top"/>
          </w:tcPr>
          <w:p w14:paraId="4832D44B" w14:textId="19D4A872" w:rsidR="00271528" w:rsidRPr="00893126" w:rsidRDefault="00271528"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93126">
              <w:rPr>
                <w:rFonts w:asciiTheme="minorHAnsi" w:hAnsiTheme="minorHAnsi"/>
              </w:rPr>
              <w:t>5,346</w:t>
            </w:r>
          </w:p>
        </w:tc>
        <w:tc>
          <w:tcPr>
            <w:tcW w:w="531" w:type="pct"/>
            <w:noWrap/>
            <w:vAlign w:val="top"/>
          </w:tcPr>
          <w:p w14:paraId="61071337" w14:textId="0E4EDF94" w:rsidR="00271528" w:rsidRPr="00893126" w:rsidRDefault="00271528"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93126">
              <w:rPr>
                <w:rFonts w:asciiTheme="minorHAnsi" w:hAnsiTheme="minorHAnsi"/>
              </w:rPr>
              <w:t>5,282</w:t>
            </w:r>
          </w:p>
        </w:tc>
        <w:tc>
          <w:tcPr>
            <w:tcW w:w="531" w:type="pct"/>
            <w:noWrap/>
            <w:vAlign w:val="top"/>
          </w:tcPr>
          <w:p w14:paraId="67791A3E" w14:textId="02E3F328" w:rsidR="00271528" w:rsidRPr="00893126" w:rsidRDefault="00271528"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93126">
              <w:rPr>
                <w:rFonts w:asciiTheme="minorHAnsi" w:hAnsiTheme="minorHAnsi"/>
              </w:rPr>
              <w:t>5,216</w:t>
            </w:r>
          </w:p>
        </w:tc>
        <w:tc>
          <w:tcPr>
            <w:tcW w:w="556" w:type="pct"/>
            <w:noWrap/>
            <w:vAlign w:val="top"/>
          </w:tcPr>
          <w:p w14:paraId="2BF0A0A1" w14:textId="7DF3F675" w:rsidR="00271528" w:rsidRPr="00893126" w:rsidRDefault="00271528"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93126">
              <w:rPr>
                <w:rFonts w:asciiTheme="minorHAnsi" w:hAnsiTheme="minorHAnsi"/>
              </w:rPr>
              <w:t>5,111</w:t>
            </w:r>
          </w:p>
        </w:tc>
        <w:tc>
          <w:tcPr>
            <w:tcW w:w="556" w:type="pct"/>
            <w:noWrap/>
            <w:vAlign w:val="top"/>
          </w:tcPr>
          <w:p w14:paraId="494F0DBD" w14:textId="1342D7CD" w:rsidR="00271528" w:rsidRPr="00893126" w:rsidRDefault="00271528"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93126">
              <w:rPr>
                <w:rFonts w:asciiTheme="minorHAnsi" w:hAnsiTheme="minorHAnsi"/>
              </w:rPr>
              <w:t>4,976</w:t>
            </w:r>
          </w:p>
        </w:tc>
        <w:tc>
          <w:tcPr>
            <w:tcW w:w="555" w:type="pct"/>
            <w:noWrap/>
            <w:vAlign w:val="top"/>
          </w:tcPr>
          <w:p w14:paraId="78CEEFE9" w14:textId="065D903E" w:rsidR="00271528" w:rsidRPr="00893126" w:rsidRDefault="00271528"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93126">
              <w:rPr>
                <w:rFonts w:asciiTheme="minorHAnsi" w:hAnsiTheme="minorHAnsi"/>
              </w:rPr>
              <w:t>5,663</w:t>
            </w:r>
          </w:p>
        </w:tc>
      </w:tr>
      <w:tr w:rsidR="00271528" w:rsidRPr="00425D05" w14:paraId="382F217A" w14:textId="77777777" w:rsidTr="0027152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0A71BD41" w14:textId="77777777" w:rsidR="00271528" w:rsidRPr="00893126" w:rsidRDefault="00271528" w:rsidP="00271528">
            <w:pPr>
              <w:ind w:firstLineChars="100" w:firstLine="200"/>
              <w:rPr>
                <w:rFonts w:asciiTheme="minorHAnsi" w:eastAsia="Times New Roman" w:hAnsiTheme="minorHAnsi"/>
                <w:szCs w:val="20"/>
              </w:rPr>
            </w:pPr>
            <w:r w:rsidRPr="00893126">
              <w:rPr>
                <w:rFonts w:asciiTheme="minorHAnsi" w:eastAsia="Times New Roman" w:hAnsiTheme="minorHAnsi"/>
                <w:szCs w:val="20"/>
              </w:rPr>
              <w:t>Technical Potential</w:t>
            </w:r>
          </w:p>
        </w:tc>
        <w:tc>
          <w:tcPr>
            <w:tcW w:w="531" w:type="pct"/>
            <w:noWrap/>
            <w:vAlign w:val="top"/>
          </w:tcPr>
          <w:p w14:paraId="48762328" w14:textId="4E7359EA" w:rsidR="00271528" w:rsidRPr="00893126" w:rsidRDefault="00271528"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rPr>
            </w:pPr>
            <w:r w:rsidRPr="00893126">
              <w:rPr>
                <w:rFonts w:asciiTheme="minorHAnsi" w:hAnsiTheme="minorHAnsi"/>
              </w:rPr>
              <w:t>5,270</w:t>
            </w:r>
          </w:p>
        </w:tc>
        <w:tc>
          <w:tcPr>
            <w:tcW w:w="531" w:type="pct"/>
            <w:noWrap/>
            <w:vAlign w:val="top"/>
          </w:tcPr>
          <w:p w14:paraId="772F8660" w14:textId="3A4D331C" w:rsidR="00271528" w:rsidRPr="00893126" w:rsidRDefault="00271528"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rPr>
            </w:pPr>
            <w:r w:rsidRPr="00893126">
              <w:rPr>
                <w:rFonts w:asciiTheme="minorHAnsi" w:hAnsiTheme="minorHAnsi"/>
              </w:rPr>
              <w:t>5,135</w:t>
            </w:r>
          </w:p>
        </w:tc>
        <w:tc>
          <w:tcPr>
            <w:tcW w:w="531" w:type="pct"/>
            <w:noWrap/>
            <w:vAlign w:val="top"/>
          </w:tcPr>
          <w:p w14:paraId="754310B3" w14:textId="3EAE8F7D" w:rsidR="00271528" w:rsidRPr="00893126" w:rsidRDefault="00271528"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rPr>
            </w:pPr>
            <w:r w:rsidRPr="00893126">
              <w:rPr>
                <w:rFonts w:asciiTheme="minorHAnsi" w:hAnsiTheme="minorHAnsi"/>
              </w:rPr>
              <w:t>5,001</w:t>
            </w:r>
          </w:p>
        </w:tc>
        <w:tc>
          <w:tcPr>
            <w:tcW w:w="556" w:type="pct"/>
            <w:noWrap/>
            <w:vAlign w:val="top"/>
          </w:tcPr>
          <w:p w14:paraId="28E49EBC" w14:textId="49C391D7" w:rsidR="00271528" w:rsidRPr="00893126" w:rsidRDefault="00271528"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rPr>
            </w:pPr>
            <w:r w:rsidRPr="00893126">
              <w:rPr>
                <w:rFonts w:asciiTheme="minorHAnsi" w:hAnsiTheme="minorHAnsi"/>
              </w:rPr>
              <w:t>4,820</w:t>
            </w:r>
          </w:p>
        </w:tc>
        <w:tc>
          <w:tcPr>
            <w:tcW w:w="556" w:type="pct"/>
            <w:noWrap/>
            <w:vAlign w:val="top"/>
          </w:tcPr>
          <w:p w14:paraId="65AA67F0" w14:textId="6EBEC05E" w:rsidR="00271528" w:rsidRPr="00893126" w:rsidRDefault="00271528"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rPr>
            </w:pPr>
            <w:r w:rsidRPr="00893126">
              <w:rPr>
                <w:rFonts w:asciiTheme="minorHAnsi" w:hAnsiTheme="minorHAnsi"/>
              </w:rPr>
              <w:t>4,512</w:t>
            </w:r>
          </w:p>
        </w:tc>
        <w:tc>
          <w:tcPr>
            <w:tcW w:w="555" w:type="pct"/>
            <w:noWrap/>
            <w:vAlign w:val="top"/>
          </w:tcPr>
          <w:p w14:paraId="556253A1" w14:textId="26E6B921" w:rsidR="00271528" w:rsidRPr="00893126" w:rsidRDefault="00271528"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rPr>
            </w:pPr>
            <w:r w:rsidRPr="00893126">
              <w:rPr>
                <w:rFonts w:asciiTheme="minorHAnsi" w:hAnsiTheme="minorHAnsi"/>
              </w:rPr>
              <w:t>5,135</w:t>
            </w:r>
          </w:p>
        </w:tc>
      </w:tr>
      <w:tr w:rsidR="00425D05" w:rsidRPr="00425D05" w14:paraId="6D9DAC21"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032424EF" w14:textId="77777777" w:rsidR="00425D05" w:rsidRPr="009F2EFE" w:rsidRDefault="00425D05" w:rsidP="00C54C72">
            <w:pPr>
              <w:rPr>
                <w:rFonts w:asciiTheme="majorHAnsi" w:eastAsia="Times New Roman" w:hAnsiTheme="majorHAnsi"/>
                <w:szCs w:val="20"/>
              </w:rPr>
            </w:pPr>
            <w:r w:rsidRPr="009F2EFE">
              <w:rPr>
                <w:rFonts w:asciiTheme="majorHAnsi" w:eastAsia="Times New Roman" w:hAnsiTheme="majorHAnsi"/>
                <w:szCs w:val="20"/>
              </w:rPr>
              <w:t>Cumulative Savings (GWh)</w:t>
            </w:r>
          </w:p>
        </w:tc>
        <w:tc>
          <w:tcPr>
            <w:tcW w:w="531" w:type="pct"/>
            <w:noWrap/>
            <w:hideMark/>
          </w:tcPr>
          <w:p w14:paraId="1CA98F9C" w14:textId="1638E6F6"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31" w:type="pct"/>
            <w:noWrap/>
            <w:hideMark/>
          </w:tcPr>
          <w:p w14:paraId="2FF722A6" w14:textId="200132C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31" w:type="pct"/>
            <w:noWrap/>
            <w:hideMark/>
          </w:tcPr>
          <w:p w14:paraId="36F91605" w14:textId="6905B3BD"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56" w:type="pct"/>
            <w:noWrap/>
            <w:hideMark/>
          </w:tcPr>
          <w:p w14:paraId="0CCE7DE2" w14:textId="1ACD4363"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56" w:type="pct"/>
            <w:noWrap/>
            <w:hideMark/>
          </w:tcPr>
          <w:p w14:paraId="68C00630" w14:textId="4F9EEBC1"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55" w:type="pct"/>
            <w:noWrap/>
            <w:hideMark/>
          </w:tcPr>
          <w:p w14:paraId="29BA5D65" w14:textId="1EC72D32"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r>
      <w:tr w:rsidR="00425D05" w:rsidRPr="00425D05" w14:paraId="594731A5"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54E14FEB" w14:textId="77777777" w:rsidR="00425D05" w:rsidRPr="00893126" w:rsidRDefault="00425D05" w:rsidP="00C54C72">
            <w:pPr>
              <w:ind w:firstLineChars="100" w:firstLine="200"/>
              <w:rPr>
                <w:rFonts w:asciiTheme="minorHAnsi" w:eastAsia="Times New Roman" w:hAnsiTheme="minorHAnsi"/>
                <w:szCs w:val="20"/>
              </w:rPr>
            </w:pPr>
            <w:r w:rsidRPr="00893126">
              <w:rPr>
                <w:rFonts w:asciiTheme="minorHAnsi" w:eastAsia="Times New Roman" w:hAnsiTheme="minorHAnsi"/>
                <w:szCs w:val="20"/>
              </w:rPr>
              <w:t>Achievable Technical Potential</w:t>
            </w:r>
          </w:p>
        </w:tc>
        <w:tc>
          <w:tcPr>
            <w:tcW w:w="531" w:type="pct"/>
            <w:noWrap/>
            <w:hideMark/>
          </w:tcPr>
          <w:p w14:paraId="62C3D3CB"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60</w:t>
            </w:r>
          </w:p>
        </w:tc>
        <w:tc>
          <w:tcPr>
            <w:tcW w:w="531" w:type="pct"/>
            <w:noWrap/>
            <w:hideMark/>
          </w:tcPr>
          <w:p w14:paraId="0DA10265"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128</w:t>
            </w:r>
          </w:p>
        </w:tc>
        <w:tc>
          <w:tcPr>
            <w:tcW w:w="531" w:type="pct"/>
            <w:noWrap/>
            <w:hideMark/>
          </w:tcPr>
          <w:p w14:paraId="74E58287"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206</w:t>
            </w:r>
          </w:p>
        </w:tc>
        <w:tc>
          <w:tcPr>
            <w:tcW w:w="556" w:type="pct"/>
            <w:noWrap/>
            <w:hideMark/>
          </w:tcPr>
          <w:p w14:paraId="23CD6AD5"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383</w:t>
            </w:r>
          </w:p>
        </w:tc>
        <w:tc>
          <w:tcPr>
            <w:tcW w:w="556" w:type="pct"/>
            <w:noWrap/>
            <w:hideMark/>
          </w:tcPr>
          <w:p w14:paraId="1A88358A"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906</w:t>
            </w:r>
          </w:p>
        </w:tc>
        <w:tc>
          <w:tcPr>
            <w:tcW w:w="555" w:type="pct"/>
            <w:noWrap/>
            <w:hideMark/>
          </w:tcPr>
          <w:p w14:paraId="767A9F89"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1,519</w:t>
            </w:r>
          </w:p>
        </w:tc>
      </w:tr>
      <w:tr w:rsidR="00425D05" w:rsidRPr="00425D05" w14:paraId="131C485B"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1B486FEB" w14:textId="77777777" w:rsidR="00425D05" w:rsidRPr="00893126" w:rsidRDefault="00425D05" w:rsidP="00C54C72">
            <w:pPr>
              <w:ind w:firstLineChars="100" w:firstLine="200"/>
              <w:rPr>
                <w:rFonts w:asciiTheme="minorHAnsi" w:eastAsia="Times New Roman" w:hAnsiTheme="minorHAnsi"/>
                <w:szCs w:val="20"/>
              </w:rPr>
            </w:pPr>
            <w:r w:rsidRPr="00893126">
              <w:rPr>
                <w:rFonts w:asciiTheme="minorHAnsi" w:eastAsia="Times New Roman" w:hAnsiTheme="minorHAnsi"/>
                <w:szCs w:val="20"/>
              </w:rPr>
              <w:t>Technical Potential</w:t>
            </w:r>
          </w:p>
        </w:tc>
        <w:tc>
          <w:tcPr>
            <w:tcW w:w="531" w:type="pct"/>
            <w:noWrap/>
            <w:hideMark/>
          </w:tcPr>
          <w:p w14:paraId="44FA5034"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136</w:t>
            </w:r>
          </w:p>
        </w:tc>
        <w:tc>
          <w:tcPr>
            <w:tcW w:w="531" w:type="pct"/>
            <w:noWrap/>
            <w:hideMark/>
          </w:tcPr>
          <w:p w14:paraId="51E3BFD1"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275</w:t>
            </w:r>
          </w:p>
        </w:tc>
        <w:tc>
          <w:tcPr>
            <w:tcW w:w="531" w:type="pct"/>
            <w:noWrap/>
            <w:hideMark/>
          </w:tcPr>
          <w:p w14:paraId="2942A878"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421</w:t>
            </w:r>
          </w:p>
        </w:tc>
        <w:tc>
          <w:tcPr>
            <w:tcW w:w="556" w:type="pct"/>
            <w:noWrap/>
            <w:hideMark/>
          </w:tcPr>
          <w:p w14:paraId="7D45BA83"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675</w:t>
            </w:r>
          </w:p>
        </w:tc>
        <w:tc>
          <w:tcPr>
            <w:tcW w:w="556" w:type="pct"/>
            <w:noWrap/>
            <w:hideMark/>
          </w:tcPr>
          <w:p w14:paraId="77113942"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1,370</w:t>
            </w:r>
          </w:p>
        </w:tc>
        <w:tc>
          <w:tcPr>
            <w:tcW w:w="555" w:type="pct"/>
            <w:noWrap/>
            <w:hideMark/>
          </w:tcPr>
          <w:p w14:paraId="6ACE9AFA"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2,047</w:t>
            </w:r>
          </w:p>
        </w:tc>
      </w:tr>
      <w:tr w:rsidR="00777354" w:rsidRPr="00425D05" w14:paraId="5AD57BF2"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tcPr>
          <w:p w14:paraId="018302A7" w14:textId="14F29136" w:rsidR="00777354" w:rsidRPr="00893126" w:rsidRDefault="00132624" w:rsidP="00132624">
            <w:pPr>
              <w:jc w:val="left"/>
              <w:rPr>
                <w:rFonts w:eastAsia="Times New Roman"/>
                <w:szCs w:val="20"/>
              </w:rPr>
            </w:pPr>
            <w:r w:rsidRPr="009F2EFE">
              <w:rPr>
                <w:rFonts w:asciiTheme="majorHAnsi" w:eastAsia="Times New Roman" w:hAnsiTheme="majorHAnsi"/>
                <w:szCs w:val="20"/>
              </w:rPr>
              <w:t>Cumulative Savings (</w:t>
            </w:r>
            <w:r>
              <w:rPr>
                <w:rFonts w:asciiTheme="majorHAnsi" w:eastAsia="Times New Roman" w:hAnsiTheme="majorHAnsi"/>
                <w:szCs w:val="20"/>
              </w:rPr>
              <w:t>aM</w:t>
            </w:r>
            <w:r w:rsidRPr="009F2EFE">
              <w:rPr>
                <w:rFonts w:asciiTheme="majorHAnsi" w:eastAsia="Times New Roman" w:hAnsiTheme="majorHAnsi"/>
                <w:szCs w:val="20"/>
              </w:rPr>
              <w:t>Wh)</w:t>
            </w:r>
          </w:p>
        </w:tc>
        <w:tc>
          <w:tcPr>
            <w:tcW w:w="531" w:type="pct"/>
            <w:noWrap/>
          </w:tcPr>
          <w:p w14:paraId="1A097485" w14:textId="77777777" w:rsidR="00777354" w:rsidRPr="00893126" w:rsidRDefault="00777354"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p>
        </w:tc>
        <w:tc>
          <w:tcPr>
            <w:tcW w:w="531" w:type="pct"/>
            <w:noWrap/>
          </w:tcPr>
          <w:p w14:paraId="77C7E077" w14:textId="77777777" w:rsidR="00777354" w:rsidRPr="00893126" w:rsidRDefault="00777354"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p>
        </w:tc>
        <w:tc>
          <w:tcPr>
            <w:tcW w:w="531" w:type="pct"/>
            <w:noWrap/>
          </w:tcPr>
          <w:p w14:paraId="49FB2BE1" w14:textId="77777777" w:rsidR="00777354" w:rsidRPr="00893126" w:rsidRDefault="00777354"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p>
        </w:tc>
        <w:tc>
          <w:tcPr>
            <w:tcW w:w="556" w:type="pct"/>
            <w:noWrap/>
          </w:tcPr>
          <w:p w14:paraId="43CF3586" w14:textId="77777777" w:rsidR="00777354" w:rsidRPr="00893126" w:rsidRDefault="00777354"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p>
        </w:tc>
        <w:tc>
          <w:tcPr>
            <w:tcW w:w="556" w:type="pct"/>
            <w:noWrap/>
          </w:tcPr>
          <w:p w14:paraId="7F4526E6" w14:textId="77777777" w:rsidR="00777354" w:rsidRPr="00893126" w:rsidRDefault="00777354"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p>
        </w:tc>
        <w:tc>
          <w:tcPr>
            <w:tcW w:w="555" w:type="pct"/>
            <w:noWrap/>
          </w:tcPr>
          <w:p w14:paraId="1AF241DD" w14:textId="77777777" w:rsidR="00777354" w:rsidRPr="00893126" w:rsidRDefault="00777354"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p>
        </w:tc>
      </w:tr>
      <w:tr w:rsidR="00777354" w:rsidRPr="00425D05" w14:paraId="476B0C08" w14:textId="77777777" w:rsidTr="00132624">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tcPr>
          <w:p w14:paraId="3D2A3A3B" w14:textId="5939FFB8" w:rsidR="00777354" w:rsidRPr="00893126" w:rsidRDefault="00EC44D8" w:rsidP="00C54C72">
            <w:pPr>
              <w:ind w:firstLineChars="100" w:firstLine="200"/>
              <w:rPr>
                <w:rFonts w:eastAsia="Times New Roman"/>
                <w:szCs w:val="20"/>
              </w:rPr>
            </w:pPr>
            <w:r w:rsidRPr="00893126">
              <w:rPr>
                <w:rFonts w:asciiTheme="minorHAnsi" w:eastAsia="Times New Roman" w:hAnsiTheme="minorHAnsi"/>
                <w:szCs w:val="20"/>
              </w:rPr>
              <w:t>Achievable Technical Potential</w:t>
            </w:r>
          </w:p>
        </w:tc>
        <w:tc>
          <w:tcPr>
            <w:tcW w:w="531" w:type="pct"/>
            <w:noWrap/>
            <w:vAlign w:val="top"/>
          </w:tcPr>
          <w:p w14:paraId="1808B7A9" w14:textId="6277A2BF" w:rsidR="00777354" w:rsidRPr="00893126" w:rsidRDefault="00EC44D8" w:rsidP="00EC44D8">
            <w:pPr>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B52AC">
              <w:t>7</w:t>
            </w:r>
          </w:p>
        </w:tc>
        <w:tc>
          <w:tcPr>
            <w:tcW w:w="531" w:type="pct"/>
            <w:noWrap/>
            <w:vAlign w:val="top"/>
          </w:tcPr>
          <w:p w14:paraId="217A9A26" w14:textId="22AB77A5" w:rsidR="00777354" w:rsidRPr="00893126" w:rsidRDefault="00EC44D8" w:rsidP="00EC44D8">
            <w:pPr>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B52AC">
              <w:t>15</w:t>
            </w:r>
          </w:p>
        </w:tc>
        <w:tc>
          <w:tcPr>
            <w:tcW w:w="531" w:type="pct"/>
            <w:noWrap/>
            <w:vAlign w:val="top"/>
          </w:tcPr>
          <w:p w14:paraId="77786FC7" w14:textId="2719AAE4" w:rsidR="00777354" w:rsidRPr="00893126" w:rsidRDefault="00EC44D8" w:rsidP="00EC44D8">
            <w:pPr>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B52AC">
              <w:t>24</w:t>
            </w:r>
          </w:p>
        </w:tc>
        <w:tc>
          <w:tcPr>
            <w:tcW w:w="556" w:type="pct"/>
            <w:noWrap/>
            <w:vAlign w:val="top"/>
          </w:tcPr>
          <w:p w14:paraId="62652C89" w14:textId="1EBDBE47" w:rsidR="00777354" w:rsidRPr="00893126" w:rsidRDefault="00EC44D8" w:rsidP="00EC44D8">
            <w:pPr>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B52AC">
              <w:t>44</w:t>
            </w:r>
          </w:p>
        </w:tc>
        <w:tc>
          <w:tcPr>
            <w:tcW w:w="556" w:type="pct"/>
            <w:noWrap/>
            <w:vAlign w:val="top"/>
          </w:tcPr>
          <w:p w14:paraId="5E6A7EBA" w14:textId="70396E46" w:rsidR="00777354" w:rsidRPr="00893126" w:rsidRDefault="00EC44D8" w:rsidP="00EC44D8">
            <w:pPr>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B52AC">
              <w:t>103</w:t>
            </w:r>
          </w:p>
        </w:tc>
        <w:tc>
          <w:tcPr>
            <w:tcW w:w="555" w:type="pct"/>
            <w:noWrap/>
            <w:vAlign w:val="top"/>
          </w:tcPr>
          <w:p w14:paraId="368C822F" w14:textId="66487461" w:rsidR="00777354" w:rsidRPr="00893126" w:rsidRDefault="00EC44D8" w:rsidP="00EC44D8">
            <w:pPr>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B52AC">
              <w:t>173</w:t>
            </w:r>
          </w:p>
        </w:tc>
      </w:tr>
      <w:tr w:rsidR="00777354" w:rsidRPr="00425D05" w14:paraId="2F73BAAC" w14:textId="77777777" w:rsidTr="00132624">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tcPr>
          <w:p w14:paraId="3ABDA6B5" w14:textId="5299C7F4" w:rsidR="00777354" w:rsidRPr="00893126" w:rsidRDefault="00EC44D8" w:rsidP="00C54C72">
            <w:pPr>
              <w:ind w:firstLineChars="100" w:firstLine="200"/>
              <w:rPr>
                <w:rFonts w:eastAsia="Times New Roman"/>
                <w:szCs w:val="20"/>
              </w:rPr>
            </w:pPr>
            <w:r w:rsidRPr="00893126">
              <w:rPr>
                <w:rFonts w:asciiTheme="minorHAnsi" w:eastAsia="Times New Roman" w:hAnsiTheme="minorHAnsi"/>
                <w:szCs w:val="20"/>
              </w:rPr>
              <w:t>Technical Potential</w:t>
            </w:r>
          </w:p>
        </w:tc>
        <w:tc>
          <w:tcPr>
            <w:tcW w:w="531" w:type="pct"/>
            <w:noWrap/>
            <w:vAlign w:val="top"/>
          </w:tcPr>
          <w:p w14:paraId="18B13876" w14:textId="04A59E4F" w:rsidR="00777354" w:rsidRPr="00893126" w:rsidRDefault="00EC44D8" w:rsidP="00EC44D8">
            <w:pPr>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B52AC">
              <w:t>16</w:t>
            </w:r>
          </w:p>
        </w:tc>
        <w:tc>
          <w:tcPr>
            <w:tcW w:w="531" w:type="pct"/>
            <w:noWrap/>
            <w:vAlign w:val="top"/>
          </w:tcPr>
          <w:p w14:paraId="61CFBE03" w14:textId="60B6F3D8" w:rsidR="00777354" w:rsidRPr="00893126" w:rsidRDefault="00EC44D8" w:rsidP="00EC44D8">
            <w:pPr>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B52AC">
              <w:t>31</w:t>
            </w:r>
          </w:p>
        </w:tc>
        <w:tc>
          <w:tcPr>
            <w:tcW w:w="531" w:type="pct"/>
            <w:noWrap/>
            <w:vAlign w:val="top"/>
          </w:tcPr>
          <w:p w14:paraId="79B96D4D" w14:textId="65B599AE" w:rsidR="00777354" w:rsidRPr="00893126" w:rsidRDefault="00EC44D8" w:rsidP="00EC44D8">
            <w:pPr>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B52AC">
              <w:t>48</w:t>
            </w:r>
          </w:p>
        </w:tc>
        <w:tc>
          <w:tcPr>
            <w:tcW w:w="556" w:type="pct"/>
            <w:noWrap/>
            <w:vAlign w:val="top"/>
          </w:tcPr>
          <w:p w14:paraId="59A3189C" w14:textId="02D59DDA" w:rsidR="00777354" w:rsidRPr="00893126" w:rsidRDefault="00EC44D8" w:rsidP="00EC44D8">
            <w:pPr>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B52AC">
              <w:t>77</w:t>
            </w:r>
          </w:p>
        </w:tc>
        <w:tc>
          <w:tcPr>
            <w:tcW w:w="556" w:type="pct"/>
            <w:noWrap/>
            <w:vAlign w:val="top"/>
          </w:tcPr>
          <w:p w14:paraId="60F3F967" w14:textId="58156E6A" w:rsidR="00777354" w:rsidRPr="00893126" w:rsidRDefault="00EC44D8" w:rsidP="00EC44D8">
            <w:pPr>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B52AC">
              <w:t>156</w:t>
            </w:r>
          </w:p>
        </w:tc>
        <w:tc>
          <w:tcPr>
            <w:tcW w:w="555" w:type="pct"/>
            <w:noWrap/>
            <w:vAlign w:val="top"/>
          </w:tcPr>
          <w:p w14:paraId="0AB3D15E" w14:textId="4939B785" w:rsidR="00777354" w:rsidRPr="00893126" w:rsidRDefault="00EC44D8" w:rsidP="00EC44D8">
            <w:pPr>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B52AC">
              <w:t>234</w:t>
            </w:r>
          </w:p>
        </w:tc>
      </w:tr>
      <w:tr w:rsidR="00425D05" w:rsidRPr="00425D05" w14:paraId="7C1505A2"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3F109550" w14:textId="77777777" w:rsidR="00425D05" w:rsidRPr="009F2EFE" w:rsidRDefault="00425D05" w:rsidP="00C54C72">
            <w:pPr>
              <w:rPr>
                <w:rFonts w:asciiTheme="majorHAnsi" w:eastAsia="Times New Roman" w:hAnsiTheme="majorHAnsi"/>
                <w:szCs w:val="20"/>
              </w:rPr>
            </w:pPr>
            <w:r w:rsidRPr="009F2EFE">
              <w:rPr>
                <w:rFonts w:asciiTheme="majorHAnsi" w:eastAsia="Times New Roman" w:hAnsiTheme="majorHAnsi"/>
                <w:szCs w:val="20"/>
              </w:rPr>
              <w:t>Energy Savings (% of Baseline)</w:t>
            </w:r>
          </w:p>
        </w:tc>
        <w:tc>
          <w:tcPr>
            <w:tcW w:w="531" w:type="pct"/>
            <w:noWrap/>
            <w:hideMark/>
          </w:tcPr>
          <w:p w14:paraId="7A3CF820" w14:textId="5A1DA816" w:rsidR="00425D05" w:rsidRPr="009F2EFE"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p>
        </w:tc>
        <w:tc>
          <w:tcPr>
            <w:tcW w:w="531" w:type="pct"/>
            <w:noWrap/>
            <w:hideMark/>
          </w:tcPr>
          <w:p w14:paraId="1007CA35" w14:textId="3EC6346D"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31" w:type="pct"/>
            <w:noWrap/>
            <w:hideMark/>
          </w:tcPr>
          <w:p w14:paraId="15E4F9FF" w14:textId="54D60AAB"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56" w:type="pct"/>
            <w:noWrap/>
            <w:hideMark/>
          </w:tcPr>
          <w:p w14:paraId="0C575B98" w14:textId="3264307E"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56" w:type="pct"/>
            <w:noWrap/>
            <w:hideMark/>
          </w:tcPr>
          <w:p w14:paraId="0E61934A" w14:textId="48A51A9B"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555" w:type="pct"/>
            <w:noWrap/>
            <w:hideMark/>
          </w:tcPr>
          <w:p w14:paraId="505C32C8" w14:textId="00FA7511"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r>
      <w:tr w:rsidR="00425D05" w:rsidRPr="00425D05" w14:paraId="71B53BA1"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4D861608" w14:textId="77777777" w:rsidR="00425D05" w:rsidRPr="00893126" w:rsidRDefault="00425D05" w:rsidP="00C54C72">
            <w:pPr>
              <w:ind w:firstLineChars="100" w:firstLine="200"/>
              <w:rPr>
                <w:rFonts w:asciiTheme="minorHAnsi" w:eastAsia="Times New Roman" w:hAnsiTheme="minorHAnsi"/>
                <w:szCs w:val="20"/>
              </w:rPr>
            </w:pPr>
            <w:r w:rsidRPr="00893126">
              <w:rPr>
                <w:rFonts w:asciiTheme="minorHAnsi" w:eastAsia="Times New Roman" w:hAnsiTheme="minorHAnsi"/>
                <w:szCs w:val="20"/>
              </w:rPr>
              <w:t>Achievable Technical Potential</w:t>
            </w:r>
          </w:p>
        </w:tc>
        <w:tc>
          <w:tcPr>
            <w:tcW w:w="531" w:type="pct"/>
            <w:noWrap/>
            <w:hideMark/>
          </w:tcPr>
          <w:p w14:paraId="2C080640"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1.1%</w:t>
            </w:r>
          </w:p>
        </w:tc>
        <w:tc>
          <w:tcPr>
            <w:tcW w:w="531" w:type="pct"/>
            <w:noWrap/>
            <w:hideMark/>
          </w:tcPr>
          <w:p w14:paraId="4AE49AD1"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2.4%</w:t>
            </w:r>
          </w:p>
        </w:tc>
        <w:tc>
          <w:tcPr>
            <w:tcW w:w="531" w:type="pct"/>
            <w:noWrap/>
            <w:hideMark/>
          </w:tcPr>
          <w:p w14:paraId="3F142E66"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3.8%</w:t>
            </w:r>
          </w:p>
        </w:tc>
        <w:tc>
          <w:tcPr>
            <w:tcW w:w="556" w:type="pct"/>
            <w:noWrap/>
            <w:hideMark/>
          </w:tcPr>
          <w:p w14:paraId="0444DD2B"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7.0%</w:t>
            </w:r>
          </w:p>
        </w:tc>
        <w:tc>
          <w:tcPr>
            <w:tcW w:w="556" w:type="pct"/>
            <w:noWrap/>
            <w:hideMark/>
          </w:tcPr>
          <w:p w14:paraId="60E5737D" w14:textId="77777777"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15.4%</w:t>
            </w:r>
          </w:p>
        </w:tc>
        <w:tc>
          <w:tcPr>
            <w:tcW w:w="555" w:type="pct"/>
            <w:noWrap/>
            <w:hideMark/>
          </w:tcPr>
          <w:p w14:paraId="5D8C7D71" w14:textId="47D5494C" w:rsidR="00425D05" w:rsidRPr="00893126" w:rsidRDefault="00425D05" w:rsidP="00FF4586">
            <w:pPr>
              <w:ind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21.</w:t>
            </w:r>
            <w:r w:rsidR="00271528" w:rsidRPr="00893126">
              <w:rPr>
                <w:rFonts w:asciiTheme="minorHAnsi" w:eastAsia="Times New Roman" w:hAnsiTheme="minorHAnsi"/>
                <w:sz w:val="18"/>
                <w:szCs w:val="18"/>
              </w:rPr>
              <w:t>2</w:t>
            </w:r>
            <w:r w:rsidRPr="00893126">
              <w:rPr>
                <w:rFonts w:asciiTheme="minorHAnsi" w:eastAsia="Times New Roman" w:hAnsiTheme="minorHAnsi"/>
                <w:sz w:val="18"/>
                <w:szCs w:val="18"/>
              </w:rPr>
              <w:t>%</w:t>
            </w:r>
          </w:p>
        </w:tc>
      </w:tr>
      <w:tr w:rsidR="00425D05" w:rsidRPr="00425D05" w14:paraId="26883689"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50BD78B0" w14:textId="77777777" w:rsidR="00425D05" w:rsidRPr="00893126" w:rsidRDefault="00425D05" w:rsidP="00C54C72">
            <w:pPr>
              <w:ind w:firstLineChars="100" w:firstLine="200"/>
              <w:rPr>
                <w:rFonts w:asciiTheme="minorHAnsi" w:eastAsia="Times New Roman" w:hAnsiTheme="minorHAnsi"/>
                <w:szCs w:val="20"/>
              </w:rPr>
            </w:pPr>
            <w:r w:rsidRPr="00893126">
              <w:rPr>
                <w:rFonts w:asciiTheme="minorHAnsi" w:eastAsia="Times New Roman" w:hAnsiTheme="minorHAnsi"/>
                <w:szCs w:val="20"/>
              </w:rPr>
              <w:t>Technical Potential</w:t>
            </w:r>
          </w:p>
        </w:tc>
        <w:tc>
          <w:tcPr>
            <w:tcW w:w="531" w:type="pct"/>
            <w:noWrap/>
            <w:hideMark/>
          </w:tcPr>
          <w:p w14:paraId="0FCBD2AE"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2.5%</w:t>
            </w:r>
          </w:p>
        </w:tc>
        <w:tc>
          <w:tcPr>
            <w:tcW w:w="531" w:type="pct"/>
            <w:noWrap/>
            <w:hideMark/>
          </w:tcPr>
          <w:p w14:paraId="195E0F6A"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5.1%</w:t>
            </w:r>
          </w:p>
        </w:tc>
        <w:tc>
          <w:tcPr>
            <w:tcW w:w="531" w:type="pct"/>
            <w:noWrap/>
            <w:hideMark/>
          </w:tcPr>
          <w:p w14:paraId="488223CF"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7.8%</w:t>
            </w:r>
          </w:p>
        </w:tc>
        <w:tc>
          <w:tcPr>
            <w:tcW w:w="556" w:type="pct"/>
            <w:noWrap/>
            <w:hideMark/>
          </w:tcPr>
          <w:p w14:paraId="43A48EEC"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12.3%</w:t>
            </w:r>
          </w:p>
        </w:tc>
        <w:tc>
          <w:tcPr>
            <w:tcW w:w="556" w:type="pct"/>
            <w:noWrap/>
            <w:hideMark/>
          </w:tcPr>
          <w:p w14:paraId="1B0BBB98"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23.3%</w:t>
            </w:r>
          </w:p>
        </w:tc>
        <w:tc>
          <w:tcPr>
            <w:tcW w:w="555" w:type="pct"/>
            <w:noWrap/>
            <w:hideMark/>
          </w:tcPr>
          <w:p w14:paraId="2C28711D" w14:textId="77777777" w:rsidR="00425D05" w:rsidRPr="00893126" w:rsidRDefault="00425D05" w:rsidP="00FF4586">
            <w:pPr>
              <w:ind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893126">
              <w:rPr>
                <w:rFonts w:asciiTheme="minorHAnsi" w:eastAsia="Times New Roman" w:hAnsiTheme="minorHAnsi"/>
                <w:sz w:val="18"/>
                <w:szCs w:val="18"/>
              </w:rPr>
              <w:t>28.5%</w:t>
            </w:r>
          </w:p>
        </w:tc>
      </w:tr>
    </w:tbl>
    <w:p w14:paraId="19ACAC78" w14:textId="582A85B9" w:rsidR="00425D05" w:rsidRDefault="00425D05" w:rsidP="002D2ECA">
      <w:pPr>
        <w:pStyle w:val="AEGBody"/>
        <w:rPr>
          <w:rFonts w:cstheme="minorBidi"/>
        </w:rPr>
      </w:pPr>
    </w:p>
    <w:p w14:paraId="1C3DDA30" w14:textId="6E2DC2A4" w:rsidR="00425D05" w:rsidRDefault="00425D05" w:rsidP="0080317A">
      <w:pPr>
        <w:pStyle w:val="Caption"/>
      </w:pPr>
      <w:bookmarkStart w:id="116" w:name="_Ref175815285"/>
      <w:bookmarkStart w:id="117" w:name="_Toc175912386"/>
      <w:r>
        <w:lastRenderedPageBreak/>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2</w:t>
      </w:r>
      <w:r w:rsidR="00EE4707">
        <w:fldChar w:fldCharType="end"/>
      </w:r>
      <w:bookmarkEnd w:id="116"/>
      <w:r>
        <w:t xml:space="preserve"> Summary of Energy Efficiency Potential, Idaho</w:t>
      </w:r>
      <w:bookmarkEnd w:id="117"/>
    </w:p>
    <w:tbl>
      <w:tblPr>
        <w:tblStyle w:val="AEGBlue2"/>
        <w:tblW w:w="5000" w:type="pct"/>
        <w:jc w:val="center"/>
        <w:tblLook w:val="04A0" w:firstRow="1" w:lastRow="0" w:firstColumn="1" w:lastColumn="0" w:noHBand="0" w:noVBand="1"/>
      </w:tblPr>
      <w:tblGrid>
        <w:gridCol w:w="3257"/>
        <w:gridCol w:w="994"/>
        <w:gridCol w:w="994"/>
        <w:gridCol w:w="994"/>
        <w:gridCol w:w="1041"/>
        <w:gridCol w:w="1041"/>
        <w:gridCol w:w="1039"/>
      </w:tblGrid>
      <w:tr w:rsidR="00425D05" w:rsidRPr="00425D05" w14:paraId="0C38096F" w14:textId="77777777" w:rsidTr="00C54C7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hideMark/>
          </w:tcPr>
          <w:p w14:paraId="784E302A" w14:textId="1A07EED4" w:rsidR="00425D05" w:rsidRPr="0069743E" w:rsidRDefault="00425D05" w:rsidP="0080317A">
            <w:pPr>
              <w:keepNext/>
              <w:jc w:val="left"/>
              <w:rPr>
                <w:rFonts w:asciiTheme="majorHAnsi" w:eastAsia="Times New Roman" w:hAnsiTheme="majorHAnsi"/>
                <w:szCs w:val="20"/>
              </w:rPr>
            </w:pPr>
          </w:p>
        </w:tc>
        <w:tc>
          <w:tcPr>
            <w:tcW w:w="531" w:type="pct"/>
            <w:noWrap/>
            <w:hideMark/>
          </w:tcPr>
          <w:p w14:paraId="6A9AC31A" w14:textId="77777777" w:rsidR="00425D05" w:rsidRPr="0069743E" w:rsidRDefault="00425D05" w:rsidP="0080317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9743E">
              <w:rPr>
                <w:rFonts w:asciiTheme="majorHAnsi" w:eastAsia="Times New Roman" w:hAnsiTheme="majorHAnsi"/>
                <w:szCs w:val="20"/>
              </w:rPr>
              <w:t>2026</w:t>
            </w:r>
          </w:p>
        </w:tc>
        <w:tc>
          <w:tcPr>
            <w:tcW w:w="531" w:type="pct"/>
            <w:noWrap/>
            <w:hideMark/>
          </w:tcPr>
          <w:p w14:paraId="4E3BA26C" w14:textId="77777777" w:rsidR="00425D05" w:rsidRPr="0069743E" w:rsidRDefault="00425D05" w:rsidP="0080317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9743E">
              <w:rPr>
                <w:rFonts w:asciiTheme="majorHAnsi" w:eastAsia="Times New Roman" w:hAnsiTheme="majorHAnsi"/>
                <w:szCs w:val="20"/>
              </w:rPr>
              <w:t>2027</w:t>
            </w:r>
          </w:p>
        </w:tc>
        <w:tc>
          <w:tcPr>
            <w:tcW w:w="531" w:type="pct"/>
            <w:hideMark/>
          </w:tcPr>
          <w:p w14:paraId="60D2EB3D" w14:textId="77777777" w:rsidR="00425D05" w:rsidRPr="0069743E" w:rsidRDefault="00425D05" w:rsidP="0080317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9743E">
              <w:rPr>
                <w:rFonts w:asciiTheme="majorHAnsi" w:eastAsia="Times New Roman" w:hAnsiTheme="majorHAnsi"/>
                <w:szCs w:val="20"/>
              </w:rPr>
              <w:t>2028</w:t>
            </w:r>
          </w:p>
        </w:tc>
        <w:tc>
          <w:tcPr>
            <w:tcW w:w="556" w:type="pct"/>
            <w:noWrap/>
            <w:hideMark/>
          </w:tcPr>
          <w:p w14:paraId="1697737B" w14:textId="77777777" w:rsidR="00425D05" w:rsidRPr="0069743E" w:rsidRDefault="00425D05" w:rsidP="0080317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9743E">
              <w:rPr>
                <w:rFonts w:asciiTheme="majorHAnsi" w:eastAsia="Times New Roman" w:hAnsiTheme="majorHAnsi"/>
                <w:szCs w:val="20"/>
              </w:rPr>
              <w:t>2030</w:t>
            </w:r>
          </w:p>
        </w:tc>
        <w:tc>
          <w:tcPr>
            <w:tcW w:w="556" w:type="pct"/>
            <w:noWrap/>
            <w:hideMark/>
          </w:tcPr>
          <w:p w14:paraId="4B35F3E0" w14:textId="77777777" w:rsidR="00425D05" w:rsidRPr="0069743E" w:rsidRDefault="00425D05" w:rsidP="0080317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9743E">
              <w:rPr>
                <w:rFonts w:asciiTheme="majorHAnsi" w:eastAsia="Times New Roman" w:hAnsiTheme="majorHAnsi"/>
                <w:szCs w:val="20"/>
              </w:rPr>
              <w:t>2035</w:t>
            </w:r>
          </w:p>
        </w:tc>
        <w:tc>
          <w:tcPr>
            <w:tcW w:w="555" w:type="pct"/>
            <w:noWrap/>
            <w:hideMark/>
          </w:tcPr>
          <w:p w14:paraId="6FD9A912" w14:textId="77777777" w:rsidR="00425D05" w:rsidRPr="0069743E" w:rsidRDefault="00425D05" w:rsidP="0080317A">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9743E">
              <w:rPr>
                <w:rFonts w:asciiTheme="majorHAnsi" w:eastAsia="Times New Roman" w:hAnsiTheme="majorHAnsi"/>
                <w:szCs w:val="20"/>
              </w:rPr>
              <w:t>2045</w:t>
            </w:r>
          </w:p>
        </w:tc>
      </w:tr>
      <w:tr w:rsidR="00425D05" w:rsidRPr="00425D05" w14:paraId="0DB966E7"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5CCE9E65" w14:textId="77777777" w:rsidR="00425D05" w:rsidRPr="0069743E" w:rsidRDefault="00425D05" w:rsidP="0080317A">
            <w:pPr>
              <w:keepNext/>
              <w:jc w:val="left"/>
              <w:rPr>
                <w:rFonts w:asciiTheme="majorHAnsi" w:eastAsia="Times New Roman" w:hAnsiTheme="majorHAnsi"/>
                <w:szCs w:val="20"/>
              </w:rPr>
            </w:pPr>
            <w:r w:rsidRPr="0069743E">
              <w:rPr>
                <w:rFonts w:asciiTheme="majorHAnsi" w:eastAsia="Times New Roman" w:hAnsiTheme="majorHAnsi"/>
                <w:szCs w:val="20"/>
              </w:rPr>
              <w:t>Baseline Forecast (GWh)</w:t>
            </w:r>
          </w:p>
        </w:tc>
        <w:tc>
          <w:tcPr>
            <w:tcW w:w="531" w:type="pct"/>
            <w:noWrap/>
            <w:hideMark/>
          </w:tcPr>
          <w:p w14:paraId="7D9F75EF"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2,851</w:t>
            </w:r>
          </w:p>
        </w:tc>
        <w:tc>
          <w:tcPr>
            <w:tcW w:w="531" w:type="pct"/>
            <w:noWrap/>
            <w:hideMark/>
          </w:tcPr>
          <w:p w14:paraId="697C4B95"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2,854</w:t>
            </w:r>
          </w:p>
        </w:tc>
        <w:tc>
          <w:tcPr>
            <w:tcW w:w="531" w:type="pct"/>
            <w:noWrap/>
            <w:hideMark/>
          </w:tcPr>
          <w:p w14:paraId="606C7369"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2,857</w:t>
            </w:r>
          </w:p>
        </w:tc>
        <w:tc>
          <w:tcPr>
            <w:tcW w:w="556" w:type="pct"/>
            <w:noWrap/>
            <w:hideMark/>
          </w:tcPr>
          <w:p w14:paraId="3B946CA5"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2,879</w:t>
            </w:r>
          </w:p>
        </w:tc>
        <w:tc>
          <w:tcPr>
            <w:tcW w:w="556" w:type="pct"/>
            <w:noWrap/>
            <w:hideMark/>
          </w:tcPr>
          <w:p w14:paraId="4818C630"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2,975</w:t>
            </w:r>
          </w:p>
        </w:tc>
        <w:tc>
          <w:tcPr>
            <w:tcW w:w="555" w:type="pct"/>
            <w:noWrap/>
            <w:hideMark/>
          </w:tcPr>
          <w:p w14:paraId="79780DE1"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3,311</w:t>
            </w:r>
          </w:p>
        </w:tc>
      </w:tr>
      <w:tr w:rsidR="00425D05" w:rsidRPr="00425D05" w14:paraId="042E8802"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1CAD70A1" w14:textId="77777777" w:rsidR="00425D05" w:rsidRPr="0069743E" w:rsidRDefault="00425D05" w:rsidP="0080317A">
            <w:pPr>
              <w:keepNext/>
              <w:jc w:val="left"/>
              <w:rPr>
                <w:rFonts w:asciiTheme="majorHAnsi" w:eastAsia="Times New Roman" w:hAnsiTheme="majorHAnsi"/>
                <w:szCs w:val="20"/>
              </w:rPr>
            </w:pPr>
            <w:r w:rsidRPr="0069743E">
              <w:rPr>
                <w:rFonts w:asciiTheme="majorHAnsi" w:eastAsia="Times New Roman" w:hAnsiTheme="majorHAnsi"/>
                <w:szCs w:val="20"/>
              </w:rPr>
              <w:t>Potential Forecasts (GWh)</w:t>
            </w:r>
          </w:p>
        </w:tc>
        <w:tc>
          <w:tcPr>
            <w:tcW w:w="531" w:type="pct"/>
            <w:noWrap/>
            <w:hideMark/>
          </w:tcPr>
          <w:p w14:paraId="44C6999E" w14:textId="1B4C6C81"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31" w:type="pct"/>
            <w:noWrap/>
            <w:hideMark/>
          </w:tcPr>
          <w:p w14:paraId="12002708" w14:textId="5DEB6202"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31" w:type="pct"/>
            <w:noWrap/>
            <w:hideMark/>
          </w:tcPr>
          <w:p w14:paraId="2AE60F36" w14:textId="2A1BDC11"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56" w:type="pct"/>
            <w:noWrap/>
            <w:hideMark/>
          </w:tcPr>
          <w:p w14:paraId="56E25206" w14:textId="09D63CE3"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56" w:type="pct"/>
            <w:noWrap/>
            <w:hideMark/>
          </w:tcPr>
          <w:p w14:paraId="43718DFD" w14:textId="7AEA999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55" w:type="pct"/>
            <w:noWrap/>
            <w:hideMark/>
          </w:tcPr>
          <w:p w14:paraId="76610CA2" w14:textId="151340DA"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r>
      <w:tr w:rsidR="00271528" w:rsidRPr="00425D05" w14:paraId="0C91446E" w14:textId="77777777" w:rsidTr="00271528">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08247099" w14:textId="77777777" w:rsidR="00271528" w:rsidRPr="0069743E" w:rsidRDefault="00271528" w:rsidP="00271528">
            <w:pPr>
              <w:keepNext/>
              <w:ind w:firstLineChars="100" w:firstLine="200"/>
              <w:jc w:val="left"/>
              <w:rPr>
                <w:rFonts w:eastAsia="Times New Roman"/>
                <w:szCs w:val="20"/>
              </w:rPr>
            </w:pPr>
            <w:r w:rsidRPr="0069743E">
              <w:rPr>
                <w:rFonts w:eastAsia="Times New Roman"/>
                <w:szCs w:val="20"/>
              </w:rPr>
              <w:t>Achievable Technical Potential</w:t>
            </w:r>
          </w:p>
        </w:tc>
        <w:tc>
          <w:tcPr>
            <w:tcW w:w="531" w:type="pct"/>
            <w:noWrap/>
            <w:vAlign w:val="top"/>
          </w:tcPr>
          <w:p w14:paraId="79005613" w14:textId="4329273B" w:rsidR="00271528" w:rsidRPr="0069743E" w:rsidRDefault="00271528"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szCs w:val="20"/>
              </w:rPr>
              <w:t>2,820</w:t>
            </w:r>
          </w:p>
        </w:tc>
        <w:tc>
          <w:tcPr>
            <w:tcW w:w="531" w:type="pct"/>
            <w:noWrap/>
            <w:vAlign w:val="top"/>
          </w:tcPr>
          <w:p w14:paraId="1CF31575" w14:textId="1CD2D382" w:rsidR="00271528" w:rsidRPr="0069743E" w:rsidRDefault="00271528"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szCs w:val="20"/>
              </w:rPr>
              <w:t>2,787</w:t>
            </w:r>
          </w:p>
        </w:tc>
        <w:tc>
          <w:tcPr>
            <w:tcW w:w="531" w:type="pct"/>
            <w:noWrap/>
            <w:vAlign w:val="top"/>
          </w:tcPr>
          <w:p w14:paraId="348AFB67" w14:textId="5F08EA3B" w:rsidR="00271528" w:rsidRPr="0069743E" w:rsidRDefault="00271528"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szCs w:val="20"/>
              </w:rPr>
              <w:t>2,749</w:t>
            </w:r>
          </w:p>
        </w:tc>
        <w:tc>
          <w:tcPr>
            <w:tcW w:w="556" w:type="pct"/>
            <w:noWrap/>
            <w:vAlign w:val="top"/>
          </w:tcPr>
          <w:p w14:paraId="52DB6659" w14:textId="740EC8A0" w:rsidR="00271528" w:rsidRPr="0069743E" w:rsidRDefault="00271528"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szCs w:val="20"/>
              </w:rPr>
              <w:t>2,683</w:t>
            </w:r>
          </w:p>
        </w:tc>
        <w:tc>
          <w:tcPr>
            <w:tcW w:w="556" w:type="pct"/>
            <w:noWrap/>
            <w:vAlign w:val="top"/>
          </w:tcPr>
          <w:p w14:paraId="45F24C8F" w14:textId="7633913E" w:rsidR="00271528" w:rsidRPr="0069743E" w:rsidRDefault="00271528"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szCs w:val="20"/>
              </w:rPr>
              <w:t>2,528</w:t>
            </w:r>
          </w:p>
        </w:tc>
        <w:tc>
          <w:tcPr>
            <w:tcW w:w="555" w:type="pct"/>
            <w:noWrap/>
            <w:vAlign w:val="top"/>
          </w:tcPr>
          <w:p w14:paraId="7B6FD6D3" w14:textId="3357DFC0" w:rsidR="00271528" w:rsidRPr="0069743E" w:rsidRDefault="00271528"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szCs w:val="20"/>
              </w:rPr>
              <w:t>2,620</w:t>
            </w:r>
          </w:p>
        </w:tc>
      </w:tr>
      <w:tr w:rsidR="00271528" w:rsidRPr="00425D05" w14:paraId="11277549" w14:textId="77777777" w:rsidTr="0027152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3BFAF977" w14:textId="77777777" w:rsidR="00271528" w:rsidRPr="0069743E" w:rsidRDefault="00271528" w:rsidP="00271528">
            <w:pPr>
              <w:keepNext/>
              <w:ind w:firstLineChars="100" w:firstLine="200"/>
              <w:jc w:val="left"/>
              <w:rPr>
                <w:rFonts w:eastAsia="Times New Roman"/>
                <w:szCs w:val="20"/>
              </w:rPr>
            </w:pPr>
            <w:r w:rsidRPr="0069743E">
              <w:rPr>
                <w:rFonts w:eastAsia="Times New Roman"/>
                <w:szCs w:val="20"/>
              </w:rPr>
              <w:t>Technical Potential</w:t>
            </w:r>
          </w:p>
        </w:tc>
        <w:tc>
          <w:tcPr>
            <w:tcW w:w="531" w:type="pct"/>
            <w:noWrap/>
            <w:vAlign w:val="top"/>
          </w:tcPr>
          <w:p w14:paraId="26412B57" w14:textId="4D2F95B3" w:rsidR="00271528" w:rsidRPr="0069743E" w:rsidRDefault="00271528"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szCs w:val="20"/>
              </w:rPr>
              <w:t>2,784</w:t>
            </w:r>
          </w:p>
        </w:tc>
        <w:tc>
          <w:tcPr>
            <w:tcW w:w="531" w:type="pct"/>
            <w:noWrap/>
            <w:vAlign w:val="top"/>
          </w:tcPr>
          <w:p w14:paraId="2D286BAB" w14:textId="358EE2C6" w:rsidR="00271528" w:rsidRPr="0069743E" w:rsidRDefault="00271528"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szCs w:val="20"/>
              </w:rPr>
              <w:t>2,718</w:t>
            </w:r>
          </w:p>
        </w:tc>
        <w:tc>
          <w:tcPr>
            <w:tcW w:w="531" w:type="pct"/>
            <w:noWrap/>
            <w:vAlign w:val="top"/>
          </w:tcPr>
          <w:p w14:paraId="02B74868" w14:textId="459E8B3D" w:rsidR="00271528" w:rsidRPr="0069743E" w:rsidRDefault="00271528"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szCs w:val="20"/>
              </w:rPr>
              <w:t>2,647</w:t>
            </w:r>
          </w:p>
        </w:tc>
        <w:tc>
          <w:tcPr>
            <w:tcW w:w="556" w:type="pct"/>
            <w:noWrap/>
            <w:vAlign w:val="top"/>
          </w:tcPr>
          <w:p w14:paraId="4C61639F" w14:textId="6E507DAC" w:rsidR="00271528" w:rsidRPr="0069743E" w:rsidRDefault="00271528"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szCs w:val="20"/>
              </w:rPr>
              <w:t>2,546</w:t>
            </w:r>
          </w:p>
        </w:tc>
        <w:tc>
          <w:tcPr>
            <w:tcW w:w="556" w:type="pct"/>
            <w:noWrap/>
            <w:vAlign w:val="top"/>
          </w:tcPr>
          <w:p w14:paraId="4F379A30" w14:textId="20F21983" w:rsidR="00271528" w:rsidRPr="0069743E" w:rsidRDefault="00271528"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szCs w:val="20"/>
              </w:rPr>
              <w:t>2,312</w:t>
            </w:r>
          </w:p>
        </w:tc>
        <w:tc>
          <w:tcPr>
            <w:tcW w:w="555" w:type="pct"/>
            <w:noWrap/>
            <w:vAlign w:val="top"/>
          </w:tcPr>
          <w:p w14:paraId="23230299" w14:textId="02C96AF8" w:rsidR="00271528" w:rsidRPr="0069743E" w:rsidRDefault="00271528"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szCs w:val="20"/>
              </w:rPr>
              <w:t>2,352</w:t>
            </w:r>
          </w:p>
        </w:tc>
      </w:tr>
      <w:tr w:rsidR="00425D05" w:rsidRPr="00425D05" w14:paraId="34D8DE19"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31CB32DC" w14:textId="77777777" w:rsidR="00425D05" w:rsidRPr="00BF459D" w:rsidRDefault="00425D05" w:rsidP="0080317A">
            <w:pPr>
              <w:keepNext/>
              <w:jc w:val="left"/>
              <w:rPr>
                <w:rFonts w:asciiTheme="majorHAnsi" w:eastAsia="Times New Roman" w:hAnsiTheme="majorHAnsi"/>
                <w:szCs w:val="20"/>
              </w:rPr>
            </w:pPr>
            <w:r w:rsidRPr="00BF459D">
              <w:rPr>
                <w:rFonts w:asciiTheme="majorHAnsi" w:eastAsia="Times New Roman" w:hAnsiTheme="majorHAnsi"/>
                <w:szCs w:val="20"/>
              </w:rPr>
              <w:t>Cumulative Savings (GWh)</w:t>
            </w:r>
          </w:p>
        </w:tc>
        <w:tc>
          <w:tcPr>
            <w:tcW w:w="531" w:type="pct"/>
            <w:noWrap/>
            <w:hideMark/>
          </w:tcPr>
          <w:p w14:paraId="5B6AE462" w14:textId="1EAB9C93"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31" w:type="pct"/>
            <w:noWrap/>
            <w:hideMark/>
          </w:tcPr>
          <w:p w14:paraId="2EC861DD" w14:textId="38A281C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31" w:type="pct"/>
            <w:noWrap/>
            <w:hideMark/>
          </w:tcPr>
          <w:p w14:paraId="585F2217" w14:textId="4D5988FB"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56" w:type="pct"/>
            <w:noWrap/>
            <w:hideMark/>
          </w:tcPr>
          <w:p w14:paraId="54ABBF25" w14:textId="7EE8EF4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56" w:type="pct"/>
            <w:noWrap/>
            <w:hideMark/>
          </w:tcPr>
          <w:p w14:paraId="5BD0D2C5" w14:textId="49307ECA"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55" w:type="pct"/>
            <w:noWrap/>
            <w:hideMark/>
          </w:tcPr>
          <w:p w14:paraId="7532B1B8" w14:textId="647CD8EF"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r>
      <w:tr w:rsidR="00425D05" w:rsidRPr="00425D05" w14:paraId="51462226"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7ECD4177" w14:textId="77777777" w:rsidR="00425D05" w:rsidRPr="0069743E" w:rsidRDefault="00425D05" w:rsidP="0080317A">
            <w:pPr>
              <w:keepNext/>
              <w:ind w:firstLineChars="100" w:firstLine="200"/>
              <w:jc w:val="left"/>
              <w:rPr>
                <w:rFonts w:eastAsia="Times New Roman"/>
                <w:szCs w:val="20"/>
              </w:rPr>
            </w:pPr>
            <w:r w:rsidRPr="0069743E">
              <w:rPr>
                <w:rFonts w:eastAsia="Times New Roman"/>
                <w:szCs w:val="20"/>
              </w:rPr>
              <w:t>Achievable Technical Potential</w:t>
            </w:r>
          </w:p>
        </w:tc>
        <w:tc>
          <w:tcPr>
            <w:tcW w:w="531" w:type="pct"/>
            <w:noWrap/>
            <w:hideMark/>
          </w:tcPr>
          <w:p w14:paraId="23557103"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31</w:t>
            </w:r>
          </w:p>
        </w:tc>
        <w:tc>
          <w:tcPr>
            <w:tcW w:w="531" w:type="pct"/>
            <w:noWrap/>
            <w:hideMark/>
          </w:tcPr>
          <w:p w14:paraId="1FDD4075"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67</w:t>
            </w:r>
          </w:p>
        </w:tc>
        <w:tc>
          <w:tcPr>
            <w:tcW w:w="531" w:type="pct"/>
            <w:noWrap/>
            <w:hideMark/>
          </w:tcPr>
          <w:p w14:paraId="05FE7D1C"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107</w:t>
            </w:r>
          </w:p>
        </w:tc>
        <w:tc>
          <w:tcPr>
            <w:tcW w:w="556" w:type="pct"/>
            <w:noWrap/>
            <w:hideMark/>
          </w:tcPr>
          <w:p w14:paraId="0F123BEB"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196</w:t>
            </w:r>
          </w:p>
        </w:tc>
        <w:tc>
          <w:tcPr>
            <w:tcW w:w="556" w:type="pct"/>
            <w:noWrap/>
            <w:hideMark/>
          </w:tcPr>
          <w:p w14:paraId="4991684F"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447</w:t>
            </w:r>
          </w:p>
        </w:tc>
        <w:tc>
          <w:tcPr>
            <w:tcW w:w="555" w:type="pct"/>
            <w:noWrap/>
            <w:hideMark/>
          </w:tcPr>
          <w:p w14:paraId="6A5B728B"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692</w:t>
            </w:r>
          </w:p>
        </w:tc>
      </w:tr>
      <w:tr w:rsidR="00425D05" w:rsidRPr="00425D05" w14:paraId="0DB0F170"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0A98FBFA" w14:textId="77777777" w:rsidR="00425D05" w:rsidRPr="0069743E" w:rsidRDefault="00425D05" w:rsidP="0080317A">
            <w:pPr>
              <w:keepNext/>
              <w:ind w:firstLineChars="100" w:firstLine="200"/>
              <w:jc w:val="left"/>
              <w:rPr>
                <w:rFonts w:eastAsia="Times New Roman"/>
                <w:szCs w:val="20"/>
              </w:rPr>
            </w:pPr>
            <w:r w:rsidRPr="0069743E">
              <w:rPr>
                <w:rFonts w:eastAsia="Times New Roman"/>
                <w:szCs w:val="20"/>
              </w:rPr>
              <w:t>Technical Potential</w:t>
            </w:r>
          </w:p>
        </w:tc>
        <w:tc>
          <w:tcPr>
            <w:tcW w:w="531" w:type="pct"/>
            <w:noWrap/>
            <w:hideMark/>
          </w:tcPr>
          <w:p w14:paraId="2A075613"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67</w:t>
            </w:r>
          </w:p>
        </w:tc>
        <w:tc>
          <w:tcPr>
            <w:tcW w:w="531" w:type="pct"/>
            <w:noWrap/>
            <w:hideMark/>
          </w:tcPr>
          <w:p w14:paraId="767DEFD7"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136</w:t>
            </w:r>
          </w:p>
        </w:tc>
        <w:tc>
          <w:tcPr>
            <w:tcW w:w="531" w:type="pct"/>
            <w:noWrap/>
            <w:hideMark/>
          </w:tcPr>
          <w:p w14:paraId="5866FC3F"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209</w:t>
            </w:r>
          </w:p>
        </w:tc>
        <w:tc>
          <w:tcPr>
            <w:tcW w:w="556" w:type="pct"/>
            <w:noWrap/>
            <w:hideMark/>
          </w:tcPr>
          <w:p w14:paraId="01E7E185"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333</w:t>
            </w:r>
          </w:p>
        </w:tc>
        <w:tc>
          <w:tcPr>
            <w:tcW w:w="556" w:type="pct"/>
            <w:noWrap/>
            <w:hideMark/>
          </w:tcPr>
          <w:p w14:paraId="37C35C9F"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664</w:t>
            </w:r>
          </w:p>
        </w:tc>
        <w:tc>
          <w:tcPr>
            <w:tcW w:w="555" w:type="pct"/>
            <w:noWrap/>
            <w:hideMark/>
          </w:tcPr>
          <w:p w14:paraId="5CC5072B"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960</w:t>
            </w:r>
          </w:p>
        </w:tc>
      </w:tr>
      <w:tr w:rsidR="00EC44D8" w:rsidRPr="00425D05" w14:paraId="358353D9" w14:textId="77777777" w:rsidTr="00EC44D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vAlign w:val="top"/>
          </w:tcPr>
          <w:p w14:paraId="68E64B36" w14:textId="3225841C" w:rsidR="00EC44D8" w:rsidRPr="00984846" w:rsidRDefault="00EC44D8" w:rsidP="00984846">
            <w:pPr>
              <w:keepNext/>
              <w:jc w:val="left"/>
              <w:rPr>
                <w:rFonts w:eastAsia="Times New Roman"/>
                <w:b/>
                <w:bCs/>
                <w:szCs w:val="20"/>
              </w:rPr>
            </w:pPr>
            <w:r w:rsidRPr="00984846">
              <w:rPr>
                <w:b/>
                <w:bCs/>
              </w:rPr>
              <w:t>Cumulative Savings (mMWh)</w:t>
            </w:r>
          </w:p>
        </w:tc>
        <w:tc>
          <w:tcPr>
            <w:tcW w:w="531" w:type="pct"/>
            <w:noWrap/>
            <w:vAlign w:val="top"/>
          </w:tcPr>
          <w:p w14:paraId="65E04F8D" w14:textId="77777777"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31" w:type="pct"/>
            <w:noWrap/>
            <w:vAlign w:val="top"/>
          </w:tcPr>
          <w:p w14:paraId="6958B481" w14:textId="77777777"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31" w:type="pct"/>
            <w:noWrap/>
            <w:vAlign w:val="top"/>
          </w:tcPr>
          <w:p w14:paraId="0B11A25E" w14:textId="77777777"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56" w:type="pct"/>
            <w:noWrap/>
            <w:vAlign w:val="top"/>
          </w:tcPr>
          <w:p w14:paraId="3E8E9A09" w14:textId="77777777"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56" w:type="pct"/>
            <w:noWrap/>
            <w:vAlign w:val="top"/>
          </w:tcPr>
          <w:p w14:paraId="7FB81359" w14:textId="77777777"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555" w:type="pct"/>
            <w:noWrap/>
            <w:vAlign w:val="top"/>
          </w:tcPr>
          <w:p w14:paraId="53CB337E" w14:textId="77777777"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r>
      <w:tr w:rsidR="00795830" w:rsidRPr="00425D05" w14:paraId="05266381" w14:textId="77777777" w:rsidTr="00EC44D8">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vAlign w:val="top"/>
          </w:tcPr>
          <w:p w14:paraId="25E40869" w14:textId="155005C0" w:rsidR="00EC44D8" w:rsidRPr="0069743E" w:rsidRDefault="00EC44D8" w:rsidP="00EC44D8">
            <w:pPr>
              <w:keepNext/>
              <w:ind w:firstLineChars="100" w:firstLine="200"/>
              <w:jc w:val="left"/>
              <w:rPr>
                <w:rFonts w:eastAsia="Times New Roman"/>
                <w:szCs w:val="20"/>
              </w:rPr>
            </w:pPr>
            <w:r w:rsidRPr="00C56D69">
              <w:t>Achievable Technical Potential</w:t>
            </w:r>
          </w:p>
        </w:tc>
        <w:tc>
          <w:tcPr>
            <w:tcW w:w="531" w:type="pct"/>
            <w:noWrap/>
            <w:vAlign w:val="top"/>
          </w:tcPr>
          <w:p w14:paraId="3823658F" w14:textId="184EEDC4" w:rsidR="00EC44D8" w:rsidRPr="0069743E" w:rsidRDefault="00EC44D8" w:rsidP="00EC44D8">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56D69">
              <w:t>4</w:t>
            </w:r>
          </w:p>
        </w:tc>
        <w:tc>
          <w:tcPr>
            <w:tcW w:w="531" w:type="pct"/>
            <w:noWrap/>
            <w:vAlign w:val="top"/>
          </w:tcPr>
          <w:p w14:paraId="40FBE861" w14:textId="193C25D3" w:rsidR="00EC44D8" w:rsidRPr="0069743E" w:rsidRDefault="00EC44D8" w:rsidP="00EC44D8">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56D69">
              <w:t>8</w:t>
            </w:r>
          </w:p>
        </w:tc>
        <w:tc>
          <w:tcPr>
            <w:tcW w:w="531" w:type="pct"/>
            <w:noWrap/>
            <w:vAlign w:val="top"/>
          </w:tcPr>
          <w:p w14:paraId="1B0EAB61" w14:textId="0EBF5BD9" w:rsidR="00EC44D8" w:rsidRPr="0069743E" w:rsidRDefault="00EC44D8" w:rsidP="00EC44D8">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56D69">
              <w:t>12</w:t>
            </w:r>
          </w:p>
        </w:tc>
        <w:tc>
          <w:tcPr>
            <w:tcW w:w="556" w:type="pct"/>
            <w:noWrap/>
            <w:vAlign w:val="top"/>
          </w:tcPr>
          <w:p w14:paraId="1CD16F6C" w14:textId="2A6D2D17" w:rsidR="00EC44D8" w:rsidRPr="0069743E" w:rsidRDefault="00EC44D8" w:rsidP="00EC44D8">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56D69">
              <w:t>22</w:t>
            </w:r>
          </w:p>
        </w:tc>
        <w:tc>
          <w:tcPr>
            <w:tcW w:w="556" w:type="pct"/>
            <w:noWrap/>
            <w:vAlign w:val="top"/>
          </w:tcPr>
          <w:p w14:paraId="29AC4B24" w14:textId="5ABC4CFD" w:rsidR="00EC44D8" w:rsidRPr="0069743E" w:rsidRDefault="00EC44D8" w:rsidP="00EC44D8">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56D69">
              <w:t>51</w:t>
            </w:r>
          </w:p>
        </w:tc>
        <w:tc>
          <w:tcPr>
            <w:tcW w:w="555" w:type="pct"/>
            <w:noWrap/>
            <w:vAlign w:val="top"/>
          </w:tcPr>
          <w:p w14:paraId="51CB73CD" w14:textId="3FAC6ED2" w:rsidR="00EC44D8" w:rsidRPr="0069743E" w:rsidRDefault="00EC44D8" w:rsidP="00EC44D8">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56D69">
              <w:t>79</w:t>
            </w:r>
          </w:p>
        </w:tc>
      </w:tr>
      <w:tr w:rsidR="00EC44D8" w:rsidRPr="00425D05" w14:paraId="2852E5C1" w14:textId="77777777" w:rsidTr="00EE5947">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vAlign w:val="top"/>
          </w:tcPr>
          <w:p w14:paraId="6BEC4413" w14:textId="2FC3C09B" w:rsidR="00EC44D8" w:rsidRPr="0069743E" w:rsidRDefault="00EC44D8" w:rsidP="00EC44D8">
            <w:pPr>
              <w:keepNext/>
              <w:ind w:firstLineChars="100" w:firstLine="200"/>
              <w:jc w:val="left"/>
              <w:rPr>
                <w:rFonts w:eastAsia="Times New Roman"/>
                <w:szCs w:val="20"/>
              </w:rPr>
            </w:pPr>
            <w:r w:rsidRPr="00C56D69">
              <w:t>Technical Potential</w:t>
            </w:r>
          </w:p>
        </w:tc>
        <w:tc>
          <w:tcPr>
            <w:tcW w:w="531" w:type="pct"/>
            <w:noWrap/>
            <w:vAlign w:val="top"/>
          </w:tcPr>
          <w:p w14:paraId="61FC7F04" w14:textId="57A94F91"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56D69">
              <w:t>8</w:t>
            </w:r>
          </w:p>
        </w:tc>
        <w:tc>
          <w:tcPr>
            <w:tcW w:w="531" w:type="pct"/>
            <w:noWrap/>
            <w:vAlign w:val="top"/>
          </w:tcPr>
          <w:p w14:paraId="2EA1AEDF" w14:textId="06F5C1FF" w:rsidR="00EC44D8" w:rsidRPr="0069743E" w:rsidRDefault="00EC44D8" w:rsidP="00984846">
            <w:pPr>
              <w:keepNext/>
              <w:tabs>
                <w:tab w:val="left" w:pos="490"/>
                <w:tab w:val="right" w:pos="759"/>
              </w:tabs>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tab/>
            </w:r>
            <w:r>
              <w:tab/>
            </w:r>
            <w:r w:rsidRPr="00C56D69">
              <w:t>16</w:t>
            </w:r>
          </w:p>
        </w:tc>
        <w:tc>
          <w:tcPr>
            <w:tcW w:w="531" w:type="pct"/>
            <w:noWrap/>
            <w:vAlign w:val="top"/>
          </w:tcPr>
          <w:p w14:paraId="0BBE6281" w14:textId="0BDC8845"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56D69">
              <w:t>24</w:t>
            </w:r>
          </w:p>
        </w:tc>
        <w:tc>
          <w:tcPr>
            <w:tcW w:w="556" w:type="pct"/>
            <w:noWrap/>
            <w:vAlign w:val="top"/>
          </w:tcPr>
          <w:p w14:paraId="21D598E6" w14:textId="2EFBCAF6"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56D69">
              <w:t>38</w:t>
            </w:r>
          </w:p>
        </w:tc>
        <w:tc>
          <w:tcPr>
            <w:tcW w:w="556" w:type="pct"/>
            <w:noWrap/>
            <w:vAlign w:val="top"/>
          </w:tcPr>
          <w:p w14:paraId="1A578593" w14:textId="443301FB"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56D69">
              <w:t>76</w:t>
            </w:r>
          </w:p>
        </w:tc>
        <w:tc>
          <w:tcPr>
            <w:tcW w:w="555" w:type="pct"/>
            <w:noWrap/>
            <w:vAlign w:val="top"/>
          </w:tcPr>
          <w:p w14:paraId="2AAC1FF6" w14:textId="78B2E17C" w:rsidR="00EC44D8" w:rsidRPr="0069743E" w:rsidRDefault="00EC44D8" w:rsidP="00EC44D8">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56D69">
              <w:t>110</w:t>
            </w:r>
          </w:p>
        </w:tc>
      </w:tr>
      <w:tr w:rsidR="00425D05" w:rsidRPr="00425D05" w14:paraId="5AE13BB9"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582B0FFB" w14:textId="77777777" w:rsidR="00425D05" w:rsidRPr="00BF459D" w:rsidRDefault="00425D05" w:rsidP="0080317A">
            <w:pPr>
              <w:keepNext/>
              <w:jc w:val="left"/>
              <w:rPr>
                <w:rFonts w:asciiTheme="majorHAnsi" w:eastAsia="Times New Roman" w:hAnsiTheme="majorHAnsi"/>
                <w:szCs w:val="20"/>
              </w:rPr>
            </w:pPr>
            <w:r w:rsidRPr="00BF459D">
              <w:rPr>
                <w:rFonts w:asciiTheme="majorHAnsi" w:eastAsia="Times New Roman" w:hAnsiTheme="majorHAnsi"/>
                <w:szCs w:val="20"/>
              </w:rPr>
              <w:t>Energy Savings (% of Baseline)</w:t>
            </w:r>
          </w:p>
        </w:tc>
        <w:tc>
          <w:tcPr>
            <w:tcW w:w="531" w:type="pct"/>
            <w:noWrap/>
            <w:hideMark/>
          </w:tcPr>
          <w:p w14:paraId="0710F62A" w14:textId="249B229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31" w:type="pct"/>
            <w:noWrap/>
            <w:hideMark/>
          </w:tcPr>
          <w:p w14:paraId="30C064E7" w14:textId="6E8AC58E"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31" w:type="pct"/>
            <w:noWrap/>
            <w:hideMark/>
          </w:tcPr>
          <w:p w14:paraId="5FEBBBDF" w14:textId="5CC9DC75"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56" w:type="pct"/>
            <w:noWrap/>
            <w:hideMark/>
          </w:tcPr>
          <w:p w14:paraId="71933E90" w14:textId="471B68B8"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56" w:type="pct"/>
            <w:noWrap/>
            <w:hideMark/>
          </w:tcPr>
          <w:p w14:paraId="38D41160" w14:textId="018D2A1F"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555" w:type="pct"/>
            <w:noWrap/>
            <w:hideMark/>
          </w:tcPr>
          <w:p w14:paraId="3AAB5B7A" w14:textId="1F95A17C"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r>
      <w:tr w:rsidR="00425D05" w:rsidRPr="00425D05" w14:paraId="1090D8B5" w14:textId="77777777" w:rsidTr="00C54C7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0DBD1156" w14:textId="77777777" w:rsidR="00425D05" w:rsidRPr="0069743E" w:rsidRDefault="00425D05" w:rsidP="0080317A">
            <w:pPr>
              <w:keepNext/>
              <w:ind w:firstLineChars="100" w:firstLine="200"/>
              <w:jc w:val="left"/>
              <w:rPr>
                <w:rFonts w:eastAsia="Times New Roman"/>
                <w:szCs w:val="20"/>
              </w:rPr>
            </w:pPr>
            <w:r w:rsidRPr="0069743E">
              <w:rPr>
                <w:rFonts w:eastAsia="Times New Roman"/>
                <w:szCs w:val="20"/>
              </w:rPr>
              <w:t>Achievable Technical Potential</w:t>
            </w:r>
          </w:p>
        </w:tc>
        <w:tc>
          <w:tcPr>
            <w:tcW w:w="531" w:type="pct"/>
            <w:noWrap/>
            <w:hideMark/>
          </w:tcPr>
          <w:p w14:paraId="294EBDA7"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1.1%</w:t>
            </w:r>
          </w:p>
        </w:tc>
        <w:tc>
          <w:tcPr>
            <w:tcW w:w="531" w:type="pct"/>
            <w:noWrap/>
            <w:hideMark/>
          </w:tcPr>
          <w:p w14:paraId="4CCE65FE"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2.3%</w:t>
            </w:r>
          </w:p>
        </w:tc>
        <w:tc>
          <w:tcPr>
            <w:tcW w:w="531" w:type="pct"/>
            <w:noWrap/>
            <w:hideMark/>
          </w:tcPr>
          <w:p w14:paraId="252B8F33"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3.8%</w:t>
            </w:r>
          </w:p>
        </w:tc>
        <w:tc>
          <w:tcPr>
            <w:tcW w:w="556" w:type="pct"/>
            <w:noWrap/>
            <w:hideMark/>
          </w:tcPr>
          <w:p w14:paraId="13216DC6"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6.8%</w:t>
            </w:r>
          </w:p>
        </w:tc>
        <w:tc>
          <w:tcPr>
            <w:tcW w:w="556" w:type="pct"/>
            <w:noWrap/>
            <w:hideMark/>
          </w:tcPr>
          <w:p w14:paraId="047CFB08"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15.0%</w:t>
            </w:r>
          </w:p>
        </w:tc>
        <w:tc>
          <w:tcPr>
            <w:tcW w:w="555" w:type="pct"/>
            <w:noWrap/>
            <w:hideMark/>
          </w:tcPr>
          <w:p w14:paraId="49B71AED" w14:textId="77777777" w:rsidR="00425D05" w:rsidRPr="0069743E" w:rsidRDefault="00425D05"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9743E">
              <w:rPr>
                <w:rFonts w:eastAsia="Times New Roman"/>
                <w:szCs w:val="20"/>
              </w:rPr>
              <w:t>20.9%</w:t>
            </w:r>
          </w:p>
        </w:tc>
      </w:tr>
      <w:tr w:rsidR="00425D05" w:rsidRPr="00425D05" w14:paraId="0F623848" w14:textId="77777777" w:rsidTr="00C54C72">
        <w:trPr>
          <w:trHeight w:val="259"/>
          <w:jc w:val="center"/>
        </w:trPr>
        <w:tc>
          <w:tcPr>
            <w:cnfStyle w:val="001000000000" w:firstRow="0" w:lastRow="0" w:firstColumn="1" w:lastColumn="0" w:oddVBand="0" w:evenVBand="0" w:oddHBand="0" w:evenHBand="0" w:firstRowFirstColumn="0" w:firstRowLastColumn="0" w:lastRowFirstColumn="0" w:lastRowLastColumn="0"/>
            <w:tcW w:w="1740" w:type="pct"/>
            <w:noWrap/>
            <w:hideMark/>
          </w:tcPr>
          <w:p w14:paraId="1FD64CBB" w14:textId="77777777" w:rsidR="00425D05" w:rsidRPr="0069743E" w:rsidRDefault="00425D05" w:rsidP="0080317A">
            <w:pPr>
              <w:keepNext/>
              <w:ind w:firstLineChars="100" w:firstLine="200"/>
              <w:jc w:val="left"/>
              <w:rPr>
                <w:rFonts w:eastAsia="Times New Roman"/>
                <w:szCs w:val="20"/>
              </w:rPr>
            </w:pPr>
            <w:r w:rsidRPr="0069743E">
              <w:rPr>
                <w:rFonts w:eastAsia="Times New Roman"/>
                <w:szCs w:val="20"/>
              </w:rPr>
              <w:t>Technical Potential</w:t>
            </w:r>
          </w:p>
        </w:tc>
        <w:tc>
          <w:tcPr>
            <w:tcW w:w="531" w:type="pct"/>
            <w:noWrap/>
            <w:hideMark/>
          </w:tcPr>
          <w:p w14:paraId="7B4A6584"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2.4%</w:t>
            </w:r>
          </w:p>
        </w:tc>
        <w:tc>
          <w:tcPr>
            <w:tcW w:w="531" w:type="pct"/>
            <w:noWrap/>
            <w:hideMark/>
          </w:tcPr>
          <w:p w14:paraId="70257302"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4.8%</w:t>
            </w:r>
          </w:p>
        </w:tc>
        <w:tc>
          <w:tcPr>
            <w:tcW w:w="531" w:type="pct"/>
            <w:noWrap/>
            <w:hideMark/>
          </w:tcPr>
          <w:p w14:paraId="67BA0FE1"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7.3%</w:t>
            </w:r>
          </w:p>
        </w:tc>
        <w:tc>
          <w:tcPr>
            <w:tcW w:w="556" w:type="pct"/>
            <w:noWrap/>
            <w:hideMark/>
          </w:tcPr>
          <w:p w14:paraId="68002A30"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11.6%</w:t>
            </w:r>
          </w:p>
        </w:tc>
        <w:tc>
          <w:tcPr>
            <w:tcW w:w="556" w:type="pct"/>
            <w:noWrap/>
            <w:hideMark/>
          </w:tcPr>
          <w:p w14:paraId="695F7284"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22.3%</w:t>
            </w:r>
          </w:p>
        </w:tc>
        <w:tc>
          <w:tcPr>
            <w:tcW w:w="555" w:type="pct"/>
            <w:noWrap/>
            <w:hideMark/>
          </w:tcPr>
          <w:p w14:paraId="0DB90E31" w14:textId="77777777" w:rsidR="00425D05" w:rsidRPr="0069743E" w:rsidRDefault="00425D05"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9743E">
              <w:rPr>
                <w:rFonts w:eastAsia="Times New Roman"/>
                <w:szCs w:val="20"/>
              </w:rPr>
              <w:t>29.0%</w:t>
            </w:r>
          </w:p>
        </w:tc>
      </w:tr>
    </w:tbl>
    <w:p w14:paraId="0677591D" w14:textId="03225BDB" w:rsidR="00425D05" w:rsidRDefault="00425D05" w:rsidP="002D2ECA">
      <w:pPr>
        <w:pStyle w:val="AEGBody"/>
        <w:rPr>
          <w:lang w:eastAsia="ja-JP"/>
        </w:rPr>
      </w:pPr>
    </w:p>
    <w:p w14:paraId="3C92C706" w14:textId="6D2E5DAD" w:rsidR="00B5734B" w:rsidRDefault="00B5734B" w:rsidP="00B5734B">
      <w:pPr>
        <w:pStyle w:val="Caption"/>
      </w:pPr>
      <w:bookmarkStart w:id="118" w:name="_Ref175814793"/>
      <w:bookmarkStart w:id="119" w:name="_Toc175904447"/>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w:t>
      </w:r>
      <w:r w:rsidR="000E34CB">
        <w:fldChar w:fldCharType="end"/>
      </w:r>
      <w:bookmarkEnd w:id="118"/>
      <w:r>
        <w:t xml:space="preserve"> Cumulative Energy Efficiency Potential as a % of Baseline Projection, Washington</w:t>
      </w:r>
      <w:bookmarkEnd w:id="119"/>
    </w:p>
    <w:p w14:paraId="47B4685E" w14:textId="599D5DE1" w:rsidR="00B5734B" w:rsidRDefault="00271528" w:rsidP="00C54C72">
      <w:pPr>
        <w:pStyle w:val="AEGBody"/>
        <w:jc w:val="center"/>
        <w:rPr>
          <w:lang w:eastAsia="ja-JP"/>
        </w:rPr>
      </w:pPr>
      <w:r>
        <w:rPr>
          <w:noProof/>
        </w:rPr>
        <w:drawing>
          <wp:inline distT="0" distB="0" distL="0" distR="0" wp14:anchorId="0527716F" wp14:editId="56F294C0">
            <wp:extent cx="5097518" cy="2743200"/>
            <wp:effectExtent l="0" t="0" r="0" b="0"/>
            <wp:docPr id="730442258" name="Chart 1">
              <a:extLst xmlns:a="http://schemas.openxmlformats.org/drawingml/2006/main">
                <a:ext uri="{FF2B5EF4-FFF2-40B4-BE49-F238E27FC236}">
                  <a16:creationId xmlns:a16="http://schemas.microsoft.com/office/drawing/2014/main" id="{0FCDB6BD-E17A-4E6A-BA1F-A755848B2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7A185C5" w14:textId="77777777" w:rsidR="00B5734B" w:rsidRDefault="00B5734B" w:rsidP="002D2ECA">
      <w:pPr>
        <w:pStyle w:val="AEGBody"/>
        <w:rPr>
          <w:lang w:eastAsia="ja-JP"/>
        </w:rPr>
      </w:pPr>
    </w:p>
    <w:p w14:paraId="718B032E" w14:textId="0B9CFC02" w:rsidR="00B5734B" w:rsidRDefault="00B5734B" w:rsidP="00B5734B">
      <w:pPr>
        <w:pStyle w:val="Caption"/>
      </w:pPr>
      <w:bookmarkStart w:id="120" w:name="_Ref175815301"/>
      <w:bookmarkStart w:id="121" w:name="_Toc175904448"/>
      <w:r>
        <w:lastRenderedPageBreak/>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2</w:t>
      </w:r>
      <w:r w:rsidR="000E34CB">
        <w:fldChar w:fldCharType="end"/>
      </w:r>
      <w:bookmarkEnd w:id="120"/>
      <w:r>
        <w:t xml:space="preserve"> Cumulative Energy Efficiency Potential as a % of Baseline Projection, Idaho</w:t>
      </w:r>
      <w:bookmarkEnd w:id="121"/>
    </w:p>
    <w:p w14:paraId="3D1A85CB" w14:textId="6E4C7202" w:rsidR="00B5734B" w:rsidRDefault="00271528" w:rsidP="001F35BB">
      <w:pPr>
        <w:pStyle w:val="AEGBody"/>
        <w:jc w:val="center"/>
        <w:rPr>
          <w:lang w:eastAsia="ja-JP"/>
        </w:rPr>
      </w:pPr>
      <w:r>
        <w:rPr>
          <w:noProof/>
        </w:rPr>
        <w:drawing>
          <wp:inline distT="0" distB="0" distL="0" distR="0" wp14:anchorId="05BE9F1B" wp14:editId="32B96234">
            <wp:extent cx="5097518" cy="2743200"/>
            <wp:effectExtent l="0" t="0" r="8255" b="0"/>
            <wp:docPr id="131477238" name="Chart 1">
              <a:extLst xmlns:a="http://schemas.openxmlformats.org/drawingml/2006/main">
                <a:ext uri="{FF2B5EF4-FFF2-40B4-BE49-F238E27FC236}">
                  <a16:creationId xmlns:a16="http://schemas.microsoft.com/office/drawing/2014/main" id="{0FCDB6BD-E17A-4E6A-BA1F-A755848B2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B99C6C6" w14:textId="77777777" w:rsidR="00B5734B" w:rsidRDefault="00B5734B" w:rsidP="002D2ECA">
      <w:pPr>
        <w:pStyle w:val="AEGBody"/>
        <w:rPr>
          <w:lang w:eastAsia="ja-JP"/>
        </w:rPr>
      </w:pPr>
    </w:p>
    <w:p w14:paraId="4FF52E32" w14:textId="2D7CA690" w:rsidR="00CC6A72" w:rsidRDefault="00CC6A72" w:rsidP="009875ED">
      <w:pPr>
        <w:pStyle w:val="Heading2"/>
      </w:pPr>
      <w:bookmarkStart w:id="122" w:name="_Toc175904874"/>
      <w:r>
        <w:t>Summary of Conservation Potential by Sector</w:t>
      </w:r>
      <w:bookmarkEnd w:id="122"/>
    </w:p>
    <w:p w14:paraId="125B1A04" w14:textId="5F424C9B" w:rsidR="002063AE" w:rsidRPr="00281363" w:rsidRDefault="00271528" w:rsidP="00281363">
      <w:pPr>
        <w:pStyle w:val="AEGBody"/>
      </w:pPr>
      <w:r>
        <w:fldChar w:fldCharType="begin"/>
      </w:r>
      <w:r>
        <w:instrText xml:space="preserve"> REF _Ref175815258 \h </w:instrText>
      </w:r>
      <w:r>
        <w:fldChar w:fldCharType="separate"/>
      </w:r>
      <w:r>
        <w:t xml:space="preserve">Table </w:t>
      </w:r>
      <w:r>
        <w:rPr>
          <w:noProof/>
        </w:rPr>
        <w:t>5</w:t>
      </w:r>
      <w:r>
        <w:noBreakHyphen/>
      </w:r>
      <w:r>
        <w:rPr>
          <w:noProof/>
        </w:rPr>
        <w:t>3</w:t>
      </w:r>
      <w:r>
        <w:fldChar w:fldCharType="end"/>
      </w:r>
      <w:r w:rsidR="00281363" w:rsidRPr="00281363">
        <w:t xml:space="preserve"> and </w:t>
      </w:r>
      <w:r>
        <w:fldChar w:fldCharType="begin"/>
      </w:r>
      <w:r>
        <w:instrText xml:space="preserve"> REF _Ref175815332 \h </w:instrText>
      </w:r>
      <w:r>
        <w:fldChar w:fldCharType="separate"/>
      </w:r>
      <w:r>
        <w:t xml:space="preserve">Figure </w:t>
      </w:r>
      <w:r>
        <w:rPr>
          <w:noProof/>
        </w:rPr>
        <w:t>5</w:t>
      </w:r>
      <w:r>
        <w:noBreakHyphen/>
      </w:r>
      <w:r>
        <w:rPr>
          <w:noProof/>
        </w:rPr>
        <w:t>3</w:t>
      </w:r>
      <w:r>
        <w:fldChar w:fldCharType="end"/>
      </w:r>
      <w:r w:rsidR="00281363" w:rsidRPr="00281363">
        <w:t xml:space="preserve"> summarize the Achievable Technical Potential by sector for both states combined. As shown, the commercial sector represents the largest share of Achievable Technical Potential in the early years, with the residential sector representing larger potential over the longer term.</w:t>
      </w:r>
    </w:p>
    <w:p w14:paraId="44117059" w14:textId="1871B57E" w:rsidR="002063AE" w:rsidRDefault="002063AE" w:rsidP="002063AE">
      <w:pPr>
        <w:pStyle w:val="Caption"/>
      </w:pPr>
      <w:bookmarkStart w:id="123" w:name="_Ref175815258"/>
      <w:bookmarkStart w:id="124" w:name="_Toc175912387"/>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3</w:t>
      </w:r>
      <w:r w:rsidR="00EE4707">
        <w:fldChar w:fldCharType="end"/>
      </w:r>
      <w:bookmarkEnd w:id="123"/>
      <w:r>
        <w:t xml:space="preserve"> </w:t>
      </w:r>
      <w:r w:rsidRPr="002063AE">
        <w:t>Achievable Technical Conservation Potential by Sector, Washington and Idaho Combined</w:t>
      </w:r>
      <w:bookmarkEnd w:id="124"/>
    </w:p>
    <w:tbl>
      <w:tblPr>
        <w:tblStyle w:val="AEG-DarkBanded"/>
        <w:tblW w:w="5000" w:type="pct"/>
        <w:jc w:val="center"/>
        <w:tblLook w:val="04A0" w:firstRow="1" w:lastRow="0" w:firstColumn="1" w:lastColumn="0" w:noHBand="0" w:noVBand="1"/>
      </w:tblPr>
      <w:tblGrid>
        <w:gridCol w:w="2575"/>
        <w:gridCol w:w="1092"/>
        <w:gridCol w:w="1101"/>
        <w:gridCol w:w="1102"/>
        <w:gridCol w:w="1336"/>
        <w:gridCol w:w="1078"/>
        <w:gridCol w:w="1076"/>
      </w:tblGrid>
      <w:tr w:rsidR="002063AE" w:rsidRPr="002063AE" w14:paraId="53710AA7" w14:textId="77777777" w:rsidTr="001F35BB">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313" w:type="pct"/>
            <w:hideMark/>
          </w:tcPr>
          <w:p w14:paraId="57A151A8" w14:textId="2BD480BA" w:rsidR="002063AE" w:rsidRPr="00FD2E97" w:rsidRDefault="002063AE" w:rsidP="002063AE">
            <w:pPr>
              <w:keepNext/>
              <w:jc w:val="left"/>
              <w:rPr>
                <w:rFonts w:asciiTheme="majorHAnsi" w:eastAsia="Times New Roman" w:hAnsiTheme="majorHAnsi"/>
                <w:b w:val="0"/>
              </w:rPr>
            </w:pPr>
            <w:r w:rsidRPr="00FD2E97">
              <w:rPr>
                <w:rFonts w:asciiTheme="majorHAnsi" w:eastAsia="Times New Roman" w:hAnsiTheme="majorHAnsi"/>
                <w:b w:val="0"/>
              </w:rPr>
              <w:t>Sector</w:t>
            </w:r>
          </w:p>
        </w:tc>
        <w:tc>
          <w:tcPr>
            <w:tcW w:w="594" w:type="pct"/>
            <w:noWrap/>
            <w:hideMark/>
          </w:tcPr>
          <w:p w14:paraId="62C68BD8" w14:textId="77777777" w:rsidR="002063AE" w:rsidRPr="00FD2E97" w:rsidRDefault="002063AE" w:rsidP="002063AE">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D2E97">
              <w:rPr>
                <w:rFonts w:asciiTheme="majorHAnsi" w:eastAsia="Times New Roman" w:hAnsiTheme="majorHAnsi"/>
                <w:b w:val="0"/>
                <w:szCs w:val="20"/>
              </w:rPr>
              <w:t>2026</w:t>
            </w:r>
          </w:p>
        </w:tc>
        <w:tc>
          <w:tcPr>
            <w:tcW w:w="599" w:type="pct"/>
            <w:noWrap/>
            <w:hideMark/>
          </w:tcPr>
          <w:p w14:paraId="75EFDA4C" w14:textId="77777777" w:rsidR="002063AE" w:rsidRPr="00FD2E97" w:rsidRDefault="002063AE" w:rsidP="002063AE">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D2E97">
              <w:rPr>
                <w:rFonts w:asciiTheme="majorHAnsi" w:eastAsia="Times New Roman" w:hAnsiTheme="majorHAnsi"/>
                <w:b w:val="0"/>
                <w:szCs w:val="20"/>
              </w:rPr>
              <w:t>2027</w:t>
            </w:r>
          </w:p>
        </w:tc>
        <w:tc>
          <w:tcPr>
            <w:tcW w:w="599" w:type="pct"/>
            <w:hideMark/>
          </w:tcPr>
          <w:p w14:paraId="0D9686FB" w14:textId="77777777" w:rsidR="002063AE" w:rsidRPr="00FD2E97" w:rsidRDefault="002063AE" w:rsidP="002063AE">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D2E97">
              <w:rPr>
                <w:rFonts w:asciiTheme="majorHAnsi" w:eastAsia="Times New Roman" w:hAnsiTheme="majorHAnsi"/>
                <w:b w:val="0"/>
                <w:szCs w:val="20"/>
              </w:rPr>
              <w:t>2028</w:t>
            </w:r>
          </w:p>
        </w:tc>
        <w:tc>
          <w:tcPr>
            <w:tcW w:w="724" w:type="pct"/>
            <w:noWrap/>
            <w:hideMark/>
          </w:tcPr>
          <w:p w14:paraId="62C4F7EA" w14:textId="77777777" w:rsidR="002063AE" w:rsidRPr="00FD2E97" w:rsidRDefault="002063AE" w:rsidP="002063AE">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D2E97">
              <w:rPr>
                <w:rFonts w:asciiTheme="majorHAnsi" w:eastAsia="Times New Roman" w:hAnsiTheme="majorHAnsi"/>
                <w:b w:val="0"/>
                <w:szCs w:val="20"/>
              </w:rPr>
              <w:t>2030</w:t>
            </w:r>
          </w:p>
        </w:tc>
        <w:tc>
          <w:tcPr>
            <w:tcW w:w="586" w:type="pct"/>
            <w:noWrap/>
            <w:hideMark/>
          </w:tcPr>
          <w:p w14:paraId="3967B6B5" w14:textId="77777777" w:rsidR="002063AE" w:rsidRPr="00FD2E97" w:rsidRDefault="002063AE" w:rsidP="002063AE">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D2E97">
              <w:rPr>
                <w:rFonts w:asciiTheme="majorHAnsi" w:eastAsia="Times New Roman" w:hAnsiTheme="majorHAnsi"/>
                <w:b w:val="0"/>
                <w:szCs w:val="20"/>
              </w:rPr>
              <w:t>2035</w:t>
            </w:r>
          </w:p>
        </w:tc>
        <w:tc>
          <w:tcPr>
            <w:tcW w:w="586" w:type="pct"/>
            <w:noWrap/>
            <w:hideMark/>
          </w:tcPr>
          <w:p w14:paraId="5AD90A67" w14:textId="77777777" w:rsidR="002063AE" w:rsidRPr="00FD2E97" w:rsidRDefault="002063AE" w:rsidP="002063AE">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D2E97">
              <w:rPr>
                <w:rFonts w:asciiTheme="majorHAnsi" w:eastAsia="Times New Roman" w:hAnsiTheme="majorHAnsi"/>
                <w:b w:val="0"/>
                <w:szCs w:val="20"/>
              </w:rPr>
              <w:t>2045</w:t>
            </w:r>
          </w:p>
        </w:tc>
      </w:tr>
      <w:tr w:rsidR="002063AE" w:rsidRPr="002063AE" w14:paraId="568C8639" w14:textId="77777777" w:rsidTr="001F35BB">
        <w:trPr>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2B27E76" w14:textId="77777777" w:rsidR="002063AE" w:rsidRPr="009729AF" w:rsidRDefault="002063AE" w:rsidP="002063AE">
            <w:pPr>
              <w:keepNext/>
              <w:jc w:val="left"/>
              <w:rPr>
                <w:rFonts w:asciiTheme="majorHAnsi" w:eastAsia="Times New Roman" w:hAnsiTheme="majorHAnsi"/>
                <w:color w:val="19172B"/>
              </w:rPr>
            </w:pPr>
            <w:r w:rsidRPr="009729AF">
              <w:rPr>
                <w:rFonts w:asciiTheme="majorHAnsi" w:eastAsia="Times New Roman" w:hAnsiTheme="majorHAnsi"/>
                <w:color w:val="19172B"/>
              </w:rPr>
              <w:t>Cumulative Savings (GWh)</w:t>
            </w:r>
          </w:p>
        </w:tc>
        <w:tc>
          <w:tcPr>
            <w:tcW w:w="594" w:type="pct"/>
            <w:noWrap/>
            <w:hideMark/>
          </w:tcPr>
          <w:p w14:paraId="04AA4DE3" w14:textId="77777777"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19172B"/>
              </w:rPr>
            </w:pPr>
          </w:p>
        </w:tc>
        <w:tc>
          <w:tcPr>
            <w:tcW w:w="599" w:type="pct"/>
            <w:noWrap/>
            <w:hideMark/>
          </w:tcPr>
          <w:p w14:paraId="147AA8DA" w14:textId="77777777"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Cs w:val="20"/>
              </w:rPr>
            </w:pPr>
          </w:p>
        </w:tc>
        <w:tc>
          <w:tcPr>
            <w:tcW w:w="599" w:type="pct"/>
            <w:noWrap/>
            <w:hideMark/>
          </w:tcPr>
          <w:p w14:paraId="40AC6D31" w14:textId="77777777"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Cs w:val="20"/>
              </w:rPr>
            </w:pPr>
          </w:p>
        </w:tc>
        <w:tc>
          <w:tcPr>
            <w:tcW w:w="724" w:type="pct"/>
            <w:noWrap/>
            <w:hideMark/>
          </w:tcPr>
          <w:p w14:paraId="31E5BAE8" w14:textId="77777777"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Cs w:val="20"/>
              </w:rPr>
            </w:pPr>
          </w:p>
        </w:tc>
        <w:tc>
          <w:tcPr>
            <w:tcW w:w="586" w:type="pct"/>
            <w:noWrap/>
            <w:hideMark/>
          </w:tcPr>
          <w:p w14:paraId="55402268" w14:textId="77777777"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Cs w:val="20"/>
              </w:rPr>
            </w:pPr>
          </w:p>
        </w:tc>
        <w:tc>
          <w:tcPr>
            <w:tcW w:w="586" w:type="pct"/>
            <w:noWrap/>
            <w:hideMark/>
          </w:tcPr>
          <w:p w14:paraId="1874DE9A" w14:textId="77777777"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Cs w:val="20"/>
              </w:rPr>
            </w:pPr>
          </w:p>
        </w:tc>
      </w:tr>
      <w:tr w:rsidR="002063AE" w:rsidRPr="002063AE" w14:paraId="7757D46D" w14:textId="77777777" w:rsidTr="001F35BB">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68060F19" w14:textId="1559A380" w:rsidR="002063AE" w:rsidRPr="00FD2E97" w:rsidRDefault="002063AE" w:rsidP="002063AE">
            <w:pPr>
              <w:keepNext/>
              <w:jc w:val="left"/>
              <w:rPr>
                <w:rFonts w:asciiTheme="minorHAnsi" w:eastAsia="Times New Roman" w:hAnsiTheme="minorHAnsi"/>
                <w:color w:val="19172B"/>
                <w:szCs w:val="20"/>
              </w:rPr>
            </w:pPr>
            <w:r w:rsidRPr="00FD2E97">
              <w:rPr>
                <w:rFonts w:asciiTheme="minorHAnsi" w:eastAsia="Times New Roman" w:hAnsiTheme="minorHAnsi"/>
                <w:color w:val="19172B"/>
                <w:szCs w:val="20"/>
              </w:rPr>
              <w:t>Residential</w:t>
            </w:r>
          </w:p>
        </w:tc>
        <w:tc>
          <w:tcPr>
            <w:tcW w:w="594" w:type="pct"/>
            <w:noWrap/>
            <w:hideMark/>
          </w:tcPr>
          <w:p w14:paraId="4B7E1C7B" w14:textId="17A904EA"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35</w:t>
            </w:r>
          </w:p>
        </w:tc>
        <w:tc>
          <w:tcPr>
            <w:tcW w:w="599" w:type="pct"/>
            <w:noWrap/>
            <w:hideMark/>
          </w:tcPr>
          <w:p w14:paraId="401771D3" w14:textId="6CD4A0B6"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76</w:t>
            </w:r>
          </w:p>
        </w:tc>
        <w:tc>
          <w:tcPr>
            <w:tcW w:w="599" w:type="pct"/>
            <w:noWrap/>
            <w:hideMark/>
          </w:tcPr>
          <w:p w14:paraId="5E768F01" w14:textId="4091E524"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125</w:t>
            </w:r>
          </w:p>
        </w:tc>
        <w:tc>
          <w:tcPr>
            <w:tcW w:w="724" w:type="pct"/>
            <w:noWrap/>
            <w:hideMark/>
          </w:tcPr>
          <w:p w14:paraId="05591406" w14:textId="66DC5BFC"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235</w:t>
            </w:r>
          </w:p>
        </w:tc>
        <w:tc>
          <w:tcPr>
            <w:tcW w:w="586" w:type="pct"/>
            <w:noWrap/>
            <w:hideMark/>
          </w:tcPr>
          <w:p w14:paraId="4561EAEB" w14:textId="59FEA11B"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605</w:t>
            </w:r>
          </w:p>
        </w:tc>
        <w:tc>
          <w:tcPr>
            <w:tcW w:w="586" w:type="pct"/>
            <w:noWrap/>
            <w:hideMark/>
          </w:tcPr>
          <w:p w14:paraId="587E10D0" w14:textId="38D397AC"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891</w:t>
            </w:r>
          </w:p>
        </w:tc>
      </w:tr>
      <w:tr w:rsidR="002063AE" w:rsidRPr="002063AE" w14:paraId="48E939F7" w14:textId="77777777" w:rsidTr="001F35BB">
        <w:trPr>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7F7D43C4" w14:textId="4E1FCF3C" w:rsidR="002063AE" w:rsidRPr="00FD2E97" w:rsidRDefault="002063AE" w:rsidP="002063AE">
            <w:pPr>
              <w:keepNext/>
              <w:jc w:val="left"/>
              <w:rPr>
                <w:rFonts w:asciiTheme="minorHAnsi" w:eastAsia="Times New Roman" w:hAnsiTheme="minorHAnsi"/>
                <w:color w:val="19172B"/>
                <w:szCs w:val="20"/>
              </w:rPr>
            </w:pPr>
            <w:r w:rsidRPr="00FD2E97">
              <w:rPr>
                <w:rFonts w:asciiTheme="minorHAnsi" w:eastAsia="Times New Roman" w:hAnsiTheme="minorHAnsi"/>
                <w:color w:val="19172B"/>
                <w:szCs w:val="20"/>
              </w:rPr>
              <w:t>Commercial</w:t>
            </w:r>
          </w:p>
        </w:tc>
        <w:tc>
          <w:tcPr>
            <w:tcW w:w="594" w:type="pct"/>
            <w:noWrap/>
            <w:hideMark/>
          </w:tcPr>
          <w:p w14:paraId="039DC53F" w14:textId="323308AE"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48</w:t>
            </w:r>
          </w:p>
        </w:tc>
        <w:tc>
          <w:tcPr>
            <w:tcW w:w="599" w:type="pct"/>
            <w:noWrap/>
            <w:hideMark/>
          </w:tcPr>
          <w:p w14:paraId="56A4ABEC" w14:textId="49DF38FF"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101</w:t>
            </w:r>
          </w:p>
        </w:tc>
        <w:tc>
          <w:tcPr>
            <w:tcW w:w="599" w:type="pct"/>
            <w:noWrap/>
            <w:hideMark/>
          </w:tcPr>
          <w:p w14:paraId="066452C2" w14:textId="24CC6BD3"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160</w:t>
            </w:r>
          </w:p>
        </w:tc>
        <w:tc>
          <w:tcPr>
            <w:tcW w:w="724" w:type="pct"/>
            <w:noWrap/>
            <w:hideMark/>
          </w:tcPr>
          <w:p w14:paraId="51C77DAB" w14:textId="33B6C693"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294</w:t>
            </w:r>
          </w:p>
        </w:tc>
        <w:tc>
          <w:tcPr>
            <w:tcW w:w="586" w:type="pct"/>
            <w:noWrap/>
            <w:hideMark/>
          </w:tcPr>
          <w:p w14:paraId="6D2CF4DE" w14:textId="6698690F"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639</w:t>
            </w:r>
          </w:p>
        </w:tc>
        <w:tc>
          <w:tcPr>
            <w:tcW w:w="586" w:type="pct"/>
            <w:noWrap/>
            <w:hideMark/>
          </w:tcPr>
          <w:p w14:paraId="70BACA21" w14:textId="1A310F43"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1,173</w:t>
            </w:r>
          </w:p>
        </w:tc>
      </w:tr>
      <w:tr w:rsidR="002063AE" w:rsidRPr="002063AE" w14:paraId="57E88EEC" w14:textId="77777777" w:rsidTr="001F35BB">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6619AD0" w14:textId="74ADB5C9" w:rsidR="002063AE" w:rsidRPr="00FD2E97" w:rsidRDefault="002063AE" w:rsidP="002063AE">
            <w:pPr>
              <w:keepNext/>
              <w:jc w:val="left"/>
              <w:rPr>
                <w:rFonts w:asciiTheme="minorHAnsi" w:eastAsia="Times New Roman" w:hAnsiTheme="minorHAnsi"/>
                <w:color w:val="19172B"/>
                <w:szCs w:val="20"/>
              </w:rPr>
            </w:pPr>
            <w:r w:rsidRPr="00FD2E97">
              <w:rPr>
                <w:rFonts w:asciiTheme="minorHAnsi" w:eastAsia="Times New Roman" w:hAnsiTheme="minorHAnsi"/>
                <w:color w:val="19172B"/>
                <w:szCs w:val="20"/>
              </w:rPr>
              <w:t>Industrial</w:t>
            </w:r>
          </w:p>
        </w:tc>
        <w:tc>
          <w:tcPr>
            <w:tcW w:w="594" w:type="pct"/>
            <w:noWrap/>
            <w:hideMark/>
          </w:tcPr>
          <w:p w14:paraId="597CEE7C" w14:textId="4C0921F0"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8</w:t>
            </w:r>
          </w:p>
        </w:tc>
        <w:tc>
          <w:tcPr>
            <w:tcW w:w="599" w:type="pct"/>
            <w:noWrap/>
            <w:hideMark/>
          </w:tcPr>
          <w:p w14:paraId="28D5EB7B" w14:textId="4CD2F7A2"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18</w:t>
            </w:r>
          </w:p>
        </w:tc>
        <w:tc>
          <w:tcPr>
            <w:tcW w:w="599" w:type="pct"/>
            <w:noWrap/>
            <w:hideMark/>
          </w:tcPr>
          <w:p w14:paraId="31B79EC2" w14:textId="56CFF68C"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28</w:t>
            </w:r>
          </w:p>
        </w:tc>
        <w:tc>
          <w:tcPr>
            <w:tcW w:w="724" w:type="pct"/>
            <w:noWrap/>
            <w:hideMark/>
          </w:tcPr>
          <w:p w14:paraId="6C52407B" w14:textId="39CC97CF"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51</w:t>
            </w:r>
          </w:p>
        </w:tc>
        <w:tc>
          <w:tcPr>
            <w:tcW w:w="586" w:type="pct"/>
            <w:noWrap/>
            <w:hideMark/>
          </w:tcPr>
          <w:p w14:paraId="2A809DE1" w14:textId="13109BFE"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109</w:t>
            </w:r>
          </w:p>
        </w:tc>
        <w:tc>
          <w:tcPr>
            <w:tcW w:w="586" w:type="pct"/>
            <w:noWrap/>
            <w:hideMark/>
          </w:tcPr>
          <w:p w14:paraId="2335897F" w14:textId="65DF979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146</w:t>
            </w:r>
          </w:p>
        </w:tc>
      </w:tr>
      <w:tr w:rsidR="002063AE" w:rsidRPr="002063AE" w14:paraId="38F2FC70" w14:textId="77777777" w:rsidTr="001F35BB">
        <w:trPr>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0FBFE002" w14:textId="13E82BB6" w:rsidR="002063AE" w:rsidRPr="009729AF" w:rsidRDefault="002063AE" w:rsidP="002063AE">
            <w:pPr>
              <w:keepNext/>
              <w:jc w:val="center"/>
              <w:rPr>
                <w:rFonts w:asciiTheme="majorHAnsi" w:eastAsia="Times New Roman" w:hAnsiTheme="majorHAnsi"/>
                <w:color w:val="19172B"/>
                <w:szCs w:val="20"/>
              </w:rPr>
            </w:pPr>
            <w:r w:rsidRPr="009729AF">
              <w:rPr>
                <w:rFonts w:asciiTheme="majorHAnsi" w:eastAsia="Times New Roman" w:hAnsiTheme="majorHAnsi"/>
                <w:color w:val="19172B"/>
                <w:szCs w:val="20"/>
              </w:rPr>
              <w:t>Total</w:t>
            </w:r>
          </w:p>
        </w:tc>
        <w:tc>
          <w:tcPr>
            <w:tcW w:w="594" w:type="pct"/>
            <w:noWrap/>
            <w:hideMark/>
          </w:tcPr>
          <w:p w14:paraId="4F017242" w14:textId="77F22880" w:rsidR="002063AE" w:rsidRPr="009729AF"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9729AF">
              <w:rPr>
                <w:rFonts w:asciiTheme="majorHAnsi" w:eastAsia="Times New Roman" w:hAnsiTheme="majorHAnsi"/>
                <w:color w:val="19172B"/>
                <w:szCs w:val="20"/>
              </w:rPr>
              <w:t>91</w:t>
            </w:r>
          </w:p>
        </w:tc>
        <w:tc>
          <w:tcPr>
            <w:tcW w:w="599" w:type="pct"/>
            <w:noWrap/>
            <w:hideMark/>
          </w:tcPr>
          <w:p w14:paraId="05893D66" w14:textId="061FCE21" w:rsidR="002063AE" w:rsidRPr="009729AF"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9729AF">
              <w:rPr>
                <w:rFonts w:asciiTheme="majorHAnsi" w:eastAsia="Times New Roman" w:hAnsiTheme="majorHAnsi"/>
                <w:color w:val="19172B"/>
                <w:szCs w:val="20"/>
              </w:rPr>
              <w:t>194</w:t>
            </w:r>
          </w:p>
        </w:tc>
        <w:tc>
          <w:tcPr>
            <w:tcW w:w="599" w:type="pct"/>
            <w:noWrap/>
            <w:hideMark/>
          </w:tcPr>
          <w:p w14:paraId="7D052959" w14:textId="0A763D05" w:rsidR="002063AE" w:rsidRPr="009729AF"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9729AF">
              <w:rPr>
                <w:rFonts w:asciiTheme="majorHAnsi" w:eastAsia="Times New Roman" w:hAnsiTheme="majorHAnsi"/>
                <w:color w:val="19172B"/>
                <w:szCs w:val="20"/>
              </w:rPr>
              <w:t>313</w:t>
            </w:r>
          </w:p>
        </w:tc>
        <w:tc>
          <w:tcPr>
            <w:tcW w:w="724" w:type="pct"/>
            <w:noWrap/>
            <w:hideMark/>
          </w:tcPr>
          <w:p w14:paraId="4A103D7B" w14:textId="725361C5" w:rsidR="002063AE" w:rsidRPr="009729AF"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9729AF">
              <w:rPr>
                <w:rFonts w:asciiTheme="majorHAnsi" w:eastAsia="Times New Roman" w:hAnsiTheme="majorHAnsi"/>
                <w:color w:val="19172B"/>
                <w:szCs w:val="20"/>
              </w:rPr>
              <w:t>579</w:t>
            </w:r>
          </w:p>
        </w:tc>
        <w:tc>
          <w:tcPr>
            <w:tcW w:w="586" w:type="pct"/>
            <w:noWrap/>
            <w:hideMark/>
          </w:tcPr>
          <w:p w14:paraId="6C138527" w14:textId="789D2643" w:rsidR="002063AE" w:rsidRPr="009729AF"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9729AF">
              <w:rPr>
                <w:rFonts w:asciiTheme="majorHAnsi" w:eastAsia="Times New Roman" w:hAnsiTheme="majorHAnsi"/>
                <w:color w:val="19172B"/>
                <w:szCs w:val="20"/>
              </w:rPr>
              <w:t>1,353</w:t>
            </w:r>
          </w:p>
        </w:tc>
        <w:tc>
          <w:tcPr>
            <w:tcW w:w="586" w:type="pct"/>
            <w:noWrap/>
            <w:hideMark/>
          </w:tcPr>
          <w:p w14:paraId="43E81178" w14:textId="6DF79A7D" w:rsidR="002063AE" w:rsidRPr="009729AF"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19172B"/>
                <w:szCs w:val="20"/>
              </w:rPr>
            </w:pPr>
            <w:r w:rsidRPr="009729AF">
              <w:rPr>
                <w:rFonts w:asciiTheme="majorHAnsi" w:eastAsia="Times New Roman" w:hAnsiTheme="majorHAnsi"/>
                <w:color w:val="19172B"/>
                <w:szCs w:val="20"/>
              </w:rPr>
              <w:t>2,211</w:t>
            </w:r>
          </w:p>
        </w:tc>
      </w:tr>
      <w:tr w:rsidR="002063AE" w:rsidRPr="002063AE" w14:paraId="78C874AE" w14:textId="77777777" w:rsidTr="001F35BB">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5CCB3857" w14:textId="3AD56B5B" w:rsidR="002063AE" w:rsidRPr="009729AF" w:rsidRDefault="002063AE" w:rsidP="002063AE">
            <w:pPr>
              <w:keepNext/>
              <w:jc w:val="left"/>
              <w:rPr>
                <w:rFonts w:asciiTheme="majorHAnsi" w:eastAsia="Times New Roman" w:hAnsiTheme="majorHAnsi"/>
                <w:color w:val="19172B"/>
                <w:szCs w:val="20"/>
              </w:rPr>
            </w:pPr>
            <w:r w:rsidRPr="009729AF">
              <w:rPr>
                <w:rFonts w:asciiTheme="majorHAnsi" w:eastAsia="Times New Roman" w:hAnsiTheme="majorHAnsi"/>
                <w:color w:val="19172B"/>
                <w:szCs w:val="20"/>
              </w:rPr>
              <w:t xml:space="preserve">Cumulative Savings </w:t>
            </w:r>
            <w:r w:rsidR="001B476E" w:rsidRPr="009729AF">
              <w:rPr>
                <w:rFonts w:asciiTheme="majorHAnsi" w:eastAsia="Times New Roman" w:hAnsiTheme="majorHAnsi"/>
                <w:color w:val="19172B"/>
                <w:szCs w:val="20"/>
              </w:rPr>
              <w:t>(aMW</w:t>
            </w:r>
            <w:r w:rsidRPr="009729AF">
              <w:rPr>
                <w:rFonts w:asciiTheme="majorHAnsi" w:eastAsia="Times New Roman" w:hAnsiTheme="majorHAnsi"/>
                <w:color w:val="19172B"/>
                <w:szCs w:val="20"/>
              </w:rPr>
              <w:t>)</w:t>
            </w:r>
          </w:p>
        </w:tc>
        <w:tc>
          <w:tcPr>
            <w:tcW w:w="594" w:type="pct"/>
            <w:noWrap/>
            <w:hideMark/>
          </w:tcPr>
          <w:p w14:paraId="7B3D51C5" w14:textId="7777777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b/>
                <w:bCs/>
                <w:color w:val="19172B"/>
              </w:rPr>
            </w:pPr>
          </w:p>
        </w:tc>
        <w:tc>
          <w:tcPr>
            <w:tcW w:w="599" w:type="pct"/>
            <w:noWrap/>
            <w:hideMark/>
          </w:tcPr>
          <w:p w14:paraId="7A76EF8B" w14:textId="7777777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imes New Roman"/>
                <w:szCs w:val="20"/>
              </w:rPr>
            </w:pPr>
          </w:p>
        </w:tc>
        <w:tc>
          <w:tcPr>
            <w:tcW w:w="599" w:type="pct"/>
            <w:noWrap/>
            <w:hideMark/>
          </w:tcPr>
          <w:p w14:paraId="3FD0A6CD" w14:textId="7777777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imes New Roman"/>
                <w:szCs w:val="20"/>
              </w:rPr>
            </w:pPr>
          </w:p>
        </w:tc>
        <w:tc>
          <w:tcPr>
            <w:tcW w:w="724" w:type="pct"/>
            <w:noWrap/>
            <w:hideMark/>
          </w:tcPr>
          <w:p w14:paraId="429BD154" w14:textId="7777777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imes New Roman"/>
                <w:szCs w:val="20"/>
              </w:rPr>
            </w:pPr>
          </w:p>
        </w:tc>
        <w:tc>
          <w:tcPr>
            <w:tcW w:w="586" w:type="pct"/>
            <w:noWrap/>
            <w:hideMark/>
          </w:tcPr>
          <w:p w14:paraId="6EBA4899" w14:textId="7777777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imes New Roman"/>
                <w:szCs w:val="20"/>
              </w:rPr>
            </w:pPr>
          </w:p>
        </w:tc>
        <w:tc>
          <w:tcPr>
            <w:tcW w:w="586" w:type="pct"/>
            <w:noWrap/>
            <w:hideMark/>
          </w:tcPr>
          <w:p w14:paraId="7B80018D" w14:textId="77777777"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imes New Roman"/>
                <w:szCs w:val="20"/>
              </w:rPr>
            </w:pPr>
          </w:p>
        </w:tc>
      </w:tr>
      <w:tr w:rsidR="002063AE" w:rsidRPr="002063AE" w14:paraId="1CAAFA56" w14:textId="77777777" w:rsidTr="001F35BB">
        <w:trPr>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D313E28" w14:textId="6CA15510" w:rsidR="002063AE" w:rsidRPr="00FD2E97" w:rsidRDefault="002063AE" w:rsidP="002063AE">
            <w:pPr>
              <w:keepNext/>
              <w:jc w:val="left"/>
              <w:rPr>
                <w:rFonts w:asciiTheme="minorHAnsi" w:eastAsia="Times New Roman" w:hAnsiTheme="minorHAnsi"/>
                <w:color w:val="19172B"/>
                <w:szCs w:val="20"/>
              </w:rPr>
            </w:pPr>
            <w:r w:rsidRPr="00FD2E97">
              <w:rPr>
                <w:rFonts w:asciiTheme="minorHAnsi" w:eastAsia="Times New Roman" w:hAnsiTheme="minorHAnsi"/>
                <w:color w:val="19172B"/>
                <w:szCs w:val="20"/>
              </w:rPr>
              <w:t>Residential</w:t>
            </w:r>
          </w:p>
        </w:tc>
        <w:tc>
          <w:tcPr>
            <w:tcW w:w="594" w:type="pct"/>
            <w:noWrap/>
            <w:hideMark/>
          </w:tcPr>
          <w:p w14:paraId="252A639E" w14:textId="32BB720F"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4</w:t>
            </w:r>
          </w:p>
        </w:tc>
        <w:tc>
          <w:tcPr>
            <w:tcW w:w="599" w:type="pct"/>
            <w:noWrap/>
            <w:hideMark/>
          </w:tcPr>
          <w:p w14:paraId="663C6B21" w14:textId="743318F5"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9</w:t>
            </w:r>
          </w:p>
        </w:tc>
        <w:tc>
          <w:tcPr>
            <w:tcW w:w="599" w:type="pct"/>
            <w:noWrap/>
            <w:hideMark/>
          </w:tcPr>
          <w:p w14:paraId="36E6BCD0" w14:textId="37529663"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14</w:t>
            </w:r>
          </w:p>
        </w:tc>
        <w:tc>
          <w:tcPr>
            <w:tcW w:w="724" w:type="pct"/>
            <w:noWrap/>
            <w:hideMark/>
          </w:tcPr>
          <w:p w14:paraId="4CE639A6" w14:textId="62822CBD"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27</w:t>
            </w:r>
          </w:p>
        </w:tc>
        <w:tc>
          <w:tcPr>
            <w:tcW w:w="586" w:type="pct"/>
            <w:noWrap/>
            <w:hideMark/>
          </w:tcPr>
          <w:p w14:paraId="373E7716" w14:textId="60301B6C"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69</w:t>
            </w:r>
          </w:p>
        </w:tc>
        <w:tc>
          <w:tcPr>
            <w:tcW w:w="586" w:type="pct"/>
            <w:noWrap/>
            <w:hideMark/>
          </w:tcPr>
          <w:p w14:paraId="726B6267" w14:textId="775D6C41"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102</w:t>
            </w:r>
          </w:p>
        </w:tc>
      </w:tr>
      <w:tr w:rsidR="002063AE" w:rsidRPr="002063AE" w14:paraId="2E4FF17A" w14:textId="77777777" w:rsidTr="001F35BB">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665284E4" w14:textId="6DCEFEAF" w:rsidR="002063AE" w:rsidRPr="00FD2E97" w:rsidRDefault="002063AE" w:rsidP="002063AE">
            <w:pPr>
              <w:keepNext/>
              <w:jc w:val="left"/>
              <w:rPr>
                <w:rFonts w:asciiTheme="minorHAnsi" w:eastAsia="Times New Roman" w:hAnsiTheme="minorHAnsi"/>
                <w:color w:val="19172B"/>
                <w:szCs w:val="20"/>
              </w:rPr>
            </w:pPr>
            <w:r w:rsidRPr="00FD2E97">
              <w:rPr>
                <w:rFonts w:asciiTheme="minorHAnsi" w:eastAsia="Times New Roman" w:hAnsiTheme="minorHAnsi"/>
                <w:color w:val="19172B"/>
                <w:szCs w:val="20"/>
              </w:rPr>
              <w:t>Commercial</w:t>
            </w:r>
          </w:p>
        </w:tc>
        <w:tc>
          <w:tcPr>
            <w:tcW w:w="594" w:type="pct"/>
            <w:noWrap/>
            <w:hideMark/>
          </w:tcPr>
          <w:p w14:paraId="06C0FBE5" w14:textId="16D4E136"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6</w:t>
            </w:r>
          </w:p>
        </w:tc>
        <w:tc>
          <w:tcPr>
            <w:tcW w:w="599" w:type="pct"/>
            <w:noWrap/>
            <w:hideMark/>
          </w:tcPr>
          <w:p w14:paraId="348C243C" w14:textId="7F802130"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12</w:t>
            </w:r>
          </w:p>
        </w:tc>
        <w:tc>
          <w:tcPr>
            <w:tcW w:w="599" w:type="pct"/>
            <w:noWrap/>
            <w:hideMark/>
          </w:tcPr>
          <w:p w14:paraId="7F56D36E" w14:textId="42032EFC"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18</w:t>
            </w:r>
          </w:p>
        </w:tc>
        <w:tc>
          <w:tcPr>
            <w:tcW w:w="724" w:type="pct"/>
            <w:noWrap/>
            <w:hideMark/>
          </w:tcPr>
          <w:p w14:paraId="40FA27A9" w14:textId="7C61EFBE"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34</w:t>
            </w:r>
          </w:p>
        </w:tc>
        <w:tc>
          <w:tcPr>
            <w:tcW w:w="586" w:type="pct"/>
            <w:noWrap/>
            <w:hideMark/>
          </w:tcPr>
          <w:p w14:paraId="57D04C3E" w14:textId="658300B3"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73</w:t>
            </w:r>
          </w:p>
        </w:tc>
        <w:tc>
          <w:tcPr>
            <w:tcW w:w="586" w:type="pct"/>
            <w:noWrap/>
            <w:hideMark/>
          </w:tcPr>
          <w:p w14:paraId="6D09DC29" w14:textId="48C95D80" w:rsidR="002063AE" w:rsidRPr="00FD2E97"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134</w:t>
            </w:r>
          </w:p>
        </w:tc>
      </w:tr>
      <w:tr w:rsidR="002063AE" w:rsidRPr="002063AE" w14:paraId="37707B76" w14:textId="77777777" w:rsidTr="001F35BB">
        <w:trPr>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4BEFB467" w14:textId="70DF1408" w:rsidR="002063AE" w:rsidRPr="00FD2E97" w:rsidRDefault="002063AE" w:rsidP="002063AE">
            <w:pPr>
              <w:keepNext/>
              <w:jc w:val="left"/>
              <w:rPr>
                <w:rFonts w:asciiTheme="minorHAnsi" w:eastAsia="Times New Roman" w:hAnsiTheme="minorHAnsi"/>
                <w:color w:val="19172B"/>
                <w:szCs w:val="20"/>
              </w:rPr>
            </w:pPr>
            <w:r w:rsidRPr="00FD2E97">
              <w:rPr>
                <w:rFonts w:asciiTheme="minorHAnsi" w:eastAsia="Times New Roman" w:hAnsiTheme="minorHAnsi"/>
                <w:color w:val="19172B"/>
                <w:szCs w:val="20"/>
              </w:rPr>
              <w:t>Industrial</w:t>
            </w:r>
          </w:p>
        </w:tc>
        <w:tc>
          <w:tcPr>
            <w:tcW w:w="594" w:type="pct"/>
            <w:noWrap/>
            <w:hideMark/>
          </w:tcPr>
          <w:p w14:paraId="45E8C083" w14:textId="67EF5C73"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w:t>
            </w:r>
          </w:p>
        </w:tc>
        <w:tc>
          <w:tcPr>
            <w:tcW w:w="599" w:type="pct"/>
            <w:noWrap/>
            <w:hideMark/>
          </w:tcPr>
          <w:p w14:paraId="0D2E4D6A" w14:textId="665B2A68"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2</w:t>
            </w:r>
          </w:p>
        </w:tc>
        <w:tc>
          <w:tcPr>
            <w:tcW w:w="599" w:type="pct"/>
            <w:noWrap/>
            <w:hideMark/>
          </w:tcPr>
          <w:p w14:paraId="445C9D98" w14:textId="32C7818D"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3</w:t>
            </w:r>
          </w:p>
        </w:tc>
        <w:tc>
          <w:tcPr>
            <w:tcW w:w="724" w:type="pct"/>
            <w:noWrap/>
            <w:hideMark/>
          </w:tcPr>
          <w:p w14:paraId="3016B200" w14:textId="65FE5859"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6</w:t>
            </w:r>
          </w:p>
        </w:tc>
        <w:tc>
          <w:tcPr>
            <w:tcW w:w="586" w:type="pct"/>
            <w:noWrap/>
            <w:hideMark/>
          </w:tcPr>
          <w:p w14:paraId="71B78569" w14:textId="5FBFF3D6"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12</w:t>
            </w:r>
          </w:p>
        </w:tc>
        <w:tc>
          <w:tcPr>
            <w:tcW w:w="586" w:type="pct"/>
            <w:noWrap/>
            <w:hideMark/>
          </w:tcPr>
          <w:p w14:paraId="2885FE10" w14:textId="5A222561" w:rsidR="002063AE" w:rsidRPr="00FD2E97" w:rsidRDefault="002063AE"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19172B"/>
                <w:szCs w:val="20"/>
              </w:rPr>
            </w:pPr>
            <w:r w:rsidRPr="00FD2E97">
              <w:rPr>
                <w:rFonts w:asciiTheme="minorHAnsi" w:eastAsia="Times New Roman" w:hAnsiTheme="minorHAnsi"/>
                <w:color w:val="19172B"/>
                <w:szCs w:val="20"/>
              </w:rPr>
              <w:t>17</w:t>
            </w:r>
          </w:p>
        </w:tc>
      </w:tr>
      <w:tr w:rsidR="002063AE" w:rsidRPr="002063AE" w14:paraId="43AEE8DA" w14:textId="77777777" w:rsidTr="001F35BB">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313" w:type="pct"/>
            <w:noWrap/>
            <w:hideMark/>
          </w:tcPr>
          <w:p w14:paraId="713D3AED" w14:textId="3104FBA0" w:rsidR="002063AE" w:rsidRPr="000871EA" w:rsidRDefault="002063AE" w:rsidP="002063AE">
            <w:pPr>
              <w:keepNext/>
              <w:jc w:val="center"/>
              <w:rPr>
                <w:rFonts w:asciiTheme="majorHAnsi" w:eastAsia="Times New Roman" w:hAnsiTheme="majorHAnsi"/>
                <w:color w:val="19172B"/>
                <w:szCs w:val="20"/>
              </w:rPr>
            </w:pPr>
            <w:r w:rsidRPr="000871EA">
              <w:rPr>
                <w:rFonts w:asciiTheme="majorHAnsi" w:eastAsia="Times New Roman" w:hAnsiTheme="majorHAnsi"/>
                <w:color w:val="19172B"/>
                <w:szCs w:val="20"/>
              </w:rPr>
              <w:t>Total</w:t>
            </w:r>
          </w:p>
        </w:tc>
        <w:tc>
          <w:tcPr>
            <w:tcW w:w="594" w:type="pct"/>
            <w:noWrap/>
            <w:hideMark/>
          </w:tcPr>
          <w:p w14:paraId="550A86DD" w14:textId="1E2A6305" w:rsidR="002063AE" w:rsidRPr="000871EA"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0871EA">
              <w:rPr>
                <w:rFonts w:asciiTheme="majorHAnsi" w:eastAsia="Times New Roman" w:hAnsiTheme="majorHAnsi"/>
                <w:color w:val="19172B"/>
                <w:szCs w:val="20"/>
              </w:rPr>
              <w:t>10</w:t>
            </w:r>
          </w:p>
        </w:tc>
        <w:tc>
          <w:tcPr>
            <w:tcW w:w="599" w:type="pct"/>
            <w:noWrap/>
            <w:hideMark/>
          </w:tcPr>
          <w:p w14:paraId="0FE4B45D" w14:textId="486DEE42" w:rsidR="002063AE" w:rsidRPr="000871EA"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0871EA">
              <w:rPr>
                <w:rFonts w:asciiTheme="majorHAnsi" w:eastAsia="Times New Roman" w:hAnsiTheme="majorHAnsi"/>
                <w:color w:val="19172B"/>
                <w:szCs w:val="20"/>
              </w:rPr>
              <w:t>22</w:t>
            </w:r>
          </w:p>
        </w:tc>
        <w:tc>
          <w:tcPr>
            <w:tcW w:w="599" w:type="pct"/>
            <w:noWrap/>
            <w:hideMark/>
          </w:tcPr>
          <w:p w14:paraId="53E812B9" w14:textId="6CA7DD67" w:rsidR="002063AE" w:rsidRPr="000871EA"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0871EA">
              <w:rPr>
                <w:rFonts w:asciiTheme="majorHAnsi" w:eastAsia="Times New Roman" w:hAnsiTheme="majorHAnsi"/>
                <w:color w:val="19172B"/>
                <w:szCs w:val="20"/>
              </w:rPr>
              <w:t>36</w:t>
            </w:r>
          </w:p>
        </w:tc>
        <w:tc>
          <w:tcPr>
            <w:tcW w:w="724" w:type="pct"/>
            <w:noWrap/>
            <w:hideMark/>
          </w:tcPr>
          <w:p w14:paraId="0923333A" w14:textId="4E167B70" w:rsidR="002063AE" w:rsidRPr="000871EA"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0871EA">
              <w:rPr>
                <w:rFonts w:asciiTheme="majorHAnsi" w:eastAsia="Times New Roman" w:hAnsiTheme="majorHAnsi"/>
                <w:color w:val="19172B"/>
                <w:szCs w:val="20"/>
              </w:rPr>
              <w:t>66</w:t>
            </w:r>
          </w:p>
        </w:tc>
        <w:tc>
          <w:tcPr>
            <w:tcW w:w="586" w:type="pct"/>
            <w:noWrap/>
            <w:hideMark/>
          </w:tcPr>
          <w:p w14:paraId="267100C1" w14:textId="0B015BB7" w:rsidR="002063AE" w:rsidRPr="000871EA"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0871EA">
              <w:rPr>
                <w:rFonts w:asciiTheme="majorHAnsi" w:eastAsia="Times New Roman" w:hAnsiTheme="majorHAnsi"/>
                <w:color w:val="19172B"/>
                <w:szCs w:val="20"/>
              </w:rPr>
              <w:t>154</w:t>
            </w:r>
          </w:p>
        </w:tc>
        <w:tc>
          <w:tcPr>
            <w:tcW w:w="586" w:type="pct"/>
            <w:noWrap/>
            <w:hideMark/>
          </w:tcPr>
          <w:p w14:paraId="5836A6EE" w14:textId="76FFFA47" w:rsidR="002063AE" w:rsidRPr="000871EA" w:rsidRDefault="002063A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19172B"/>
                <w:szCs w:val="20"/>
              </w:rPr>
            </w:pPr>
            <w:r w:rsidRPr="000871EA">
              <w:rPr>
                <w:rFonts w:asciiTheme="majorHAnsi" w:eastAsia="Times New Roman" w:hAnsiTheme="majorHAnsi"/>
                <w:color w:val="19172B"/>
                <w:szCs w:val="20"/>
              </w:rPr>
              <w:t>252</w:t>
            </w:r>
          </w:p>
        </w:tc>
      </w:tr>
    </w:tbl>
    <w:p w14:paraId="21C9F893" w14:textId="3F5D591A" w:rsidR="008C5415" w:rsidRDefault="008C5415" w:rsidP="00CC417F">
      <w:pPr>
        <w:pStyle w:val="AEGBody"/>
        <w:rPr>
          <w:lang w:eastAsia="ja-JP"/>
        </w:rPr>
      </w:pPr>
    </w:p>
    <w:p w14:paraId="4A810E7F" w14:textId="77777777" w:rsidR="008C5415" w:rsidRDefault="008C5415" w:rsidP="00CC417F">
      <w:pPr>
        <w:pStyle w:val="AEGBody"/>
        <w:rPr>
          <w:lang w:eastAsia="ja-JP"/>
        </w:rPr>
      </w:pPr>
    </w:p>
    <w:p w14:paraId="431F6233" w14:textId="672196F8" w:rsidR="00BA5F81" w:rsidRDefault="00BA5F81" w:rsidP="00BA5F81">
      <w:pPr>
        <w:pStyle w:val="Caption"/>
      </w:pPr>
      <w:bookmarkStart w:id="125" w:name="_Ref175815332"/>
      <w:bookmarkStart w:id="126" w:name="_Toc175904449"/>
      <w:r>
        <w:lastRenderedPageBreak/>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3</w:t>
      </w:r>
      <w:r w:rsidR="000E34CB">
        <w:fldChar w:fldCharType="end"/>
      </w:r>
      <w:bookmarkEnd w:id="125"/>
      <w:r>
        <w:t xml:space="preserve"> </w:t>
      </w:r>
      <w:r w:rsidRPr="00AA10A5">
        <w:t>Achievable Technical Conservation Potential by Sector, Washington and Idaho Combined</w:t>
      </w:r>
      <w:bookmarkEnd w:id="126"/>
    </w:p>
    <w:p w14:paraId="694D09B3" w14:textId="6EA8A77B" w:rsidR="008C5415" w:rsidRDefault="00BA5F81" w:rsidP="00C54C72">
      <w:pPr>
        <w:pStyle w:val="AEGBody"/>
        <w:jc w:val="center"/>
        <w:rPr>
          <w:lang w:eastAsia="ja-JP"/>
        </w:rPr>
      </w:pPr>
      <w:r>
        <w:rPr>
          <w:noProof/>
        </w:rPr>
        <w:drawing>
          <wp:inline distT="0" distB="0" distL="0" distR="0" wp14:anchorId="572DF9AA" wp14:editId="4FC24D10">
            <wp:extent cx="5486400" cy="2743200"/>
            <wp:effectExtent l="0" t="0" r="0" b="0"/>
            <wp:docPr id="1195472896" name="Chart 1">
              <a:extLst xmlns:a="http://schemas.openxmlformats.org/drawingml/2006/main">
                <a:ext uri="{FF2B5EF4-FFF2-40B4-BE49-F238E27FC236}">
                  <a16:creationId xmlns:a16="http://schemas.microsoft.com/office/drawing/2014/main" id="{BEF45AF4-3524-435A-909E-3322A9AE3D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2D008FA" w14:textId="77777777" w:rsidR="00BA5F81" w:rsidRDefault="00BA5F81" w:rsidP="00CC417F">
      <w:pPr>
        <w:pStyle w:val="AEGBody"/>
        <w:rPr>
          <w:lang w:eastAsia="ja-JP"/>
        </w:rPr>
      </w:pPr>
    </w:p>
    <w:p w14:paraId="62BF0F6E" w14:textId="5A47FBB0" w:rsidR="00DF5372" w:rsidRDefault="00CC6A72" w:rsidP="001C0023">
      <w:pPr>
        <w:pStyle w:val="Heading2"/>
      </w:pPr>
      <w:bookmarkStart w:id="127" w:name="_Toc175904875"/>
      <w:r>
        <w:t>Residential Conservation Potential</w:t>
      </w:r>
      <w:bookmarkEnd w:id="127"/>
    </w:p>
    <w:p w14:paraId="0264B218" w14:textId="4321758C" w:rsidR="006F1E4E" w:rsidRDefault="00271528" w:rsidP="00064586">
      <w:pPr>
        <w:pStyle w:val="AEGBody"/>
      </w:pPr>
      <w:r>
        <w:fldChar w:fldCharType="begin"/>
      </w:r>
      <w:r>
        <w:instrText xml:space="preserve"> REF _Ref175815349 \h </w:instrText>
      </w:r>
      <w:r>
        <w:fldChar w:fldCharType="separate"/>
      </w:r>
      <w:r>
        <w:t xml:space="preserve">Table </w:t>
      </w:r>
      <w:r>
        <w:rPr>
          <w:noProof/>
        </w:rPr>
        <w:t>5</w:t>
      </w:r>
      <w:r>
        <w:noBreakHyphen/>
      </w:r>
      <w:r>
        <w:rPr>
          <w:noProof/>
        </w:rPr>
        <w:t>4</w:t>
      </w:r>
      <w:r>
        <w:fldChar w:fldCharType="end"/>
      </w:r>
      <w:r w:rsidR="00064586" w:rsidRPr="00064586">
        <w:t xml:space="preserve"> and</w:t>
      </w:r>
      <w:r w:rsidR="00064586">
        <w:t xml:space="preserve"> </w:t>
      </w:r>
      <w:r>
        <w:fldChar w:fldCharType="begin"/>
      </w:r>
      <w:r>
        <w:instrText xml:space="preserve"> REF _Ref175815354 \h </w:instrText>
      </w:r>
      <w:r>
        <w:fldChar w:fldCharType="separate"/>
      </w:r>
      <w:r>
        <w:t xml:space="preserve">Table </w:t>
      </w:r>
      <w:r>
        <w:rPr>
          <w:noProof/>
        </w:rPr>
        <w:t>5</w:t>
      </w:r>
      <w:r>
        <w:noBreakHyphen/>
      </w:r>
      <w:r>
        <w:rPr>
          <w:noProof/>
        </w:rPr>
        <w:t>5</w:t>
      </w:r>
      <w:r>
        <w:fldChar w:fldCharType="end"/>
      </w:r>
      <w:r w:rsidR="00064586">
        <w:t xml:space="preserve"> </w:t>
      </w:r>
      <w:r w:rsidR="00064586" w:rsidRPr="00064586">
        <w:t>present state-specific estimates of conservation potential for the residential sector in terms of annual energy savings. In Washington, residential Achievable Technical Potential in 202</w:t>
      </w:r>
      <w:r w:rsidR="00064586">
        <w:t>6</w:t>
      </w:r>
      <w:r w:rsidR="00064586" w:rsidRPr="00064586">
        <w:t xml:space="preserve"> is </w:t>
      </w:r>
      <w:r w:rsidR="00064586" w:rsidRPr="002374AC">
        <w:t>23 GWh or 0.8% of the baseline projection. By 2045, cumulative Achievable Technical Potential reaches 61</w:t>
      </w:r>
      <w:r w:rsidR="006F1E4E" w:rsidRPr="002374AC">
        <w:t>6</w:t>
      </w:r>
      <w:r w:rsidR="00064586" w:rsidRPr="002374AC">
        <w:t xml:space="preserve"> GWh or </w:t>
      </w:r>
      <w:r w:rsidR="006F1E4E" w:rsidRPr="002374AC">
        <w:t>16.8</w:t>
      </w:r>
      <w:r w:rsidR="00064586" w:rsidRPr="002374AC">
        <w:t xml:space="preserve">% of the baseline projection. In Idaho, 2026 Achievable Technical Potential is </w:t>
      </w:r>
      <w:r w:rsidR="006F1E4E" w:rsidRPr="002374AC">
        <w:t>12</w:t>
      </w:r>
      <w:r w:rsidR="00064586" w:rsidRPr="002374AC">
        <w:t xml:space="preserve"> GWh or 0.</w:t>
      </w:r>
      <w:r w:rsidR="006F1E4E" w:rsidRPr="002374AC">
        <w:t>8</w:t>
      </w:r>
      <w:r w:rsidR="00064586" w:rsidRPr="002374AC">
        <w:t xml:space="preserve">% of the baseline, and by 2045 cumulative Achievable Technical potential reaches </w:t>
      </w:r>
      <w:r w:rsidR="006F1E4E" w:rsidRPr="002374AC">
        <w:t>274</w:t>
      </w:r>
      <w:r w:rsidR="00064586" w:rsidRPr="002374AC">
        <w:t xml:space="preserve"> GWh or </w:t>
      </w:r>
      <w:r w:rsidR="006F1E4E" w:rsidRPr="002374AC">
        <w:t>15.6</w:t>
      </w:r>
      <w:r w:rsidR="00064586" w:rsidRPr="002374AC">
        <w:t>% of the baseline.</w:t>
      </w:r>
    </w:p>
    <w:p w14:paraId="01237C8A" w14:textId="2DE05919" w:rsidR="00064586" w:rsidRPr="00064586" w:rsidRDefault="00271528" w:rsidP="00064586">
      <w:pPr>
        <w:pStyle w:val="AEGBody"/>
      </w:pPr>
      <w:r>
        <w:fldChar w:fldCharType="begin"/>
      </w:r>
      <w:r>
        <w:instrText xml:space="preserve"> REF _Ref175815369 \h </w:instrText>
      </w:r>
      <w:r>
        <w:fldChar w:fldCharType="separate"/>
      </w:r>
      <w:r>
        <w:t xml:space="preserve">Figure </w:t>
      </w:r>
      <w:r>
        <w:rPr>
          <w:noProof/>
        </w:rPr>
        <w:t>5</w:t>
      </w:r>
      <w:r>
        <w:noBreakHyphen/>
      </w:r>
      <w:r>
        <w:rPr>
          <w:noProof/>
        </w:rPr>
        <w:t>4</w:t>
      </w:r>
      <w:r>
        <w:fldChar w:fldCharType="end"/>
      </w:r>
      <w:r w:rsidR="00064586" w:rsidRPr="00064586">
        <w:t xml:space="preserve"> and </w:t>
      </w:r>
      <w:r>
        <w:fldChar w:fldCharType="begin"/>
      </w:r>
      <w:r>
        <w:instrText xml:space="preserve"> REF _Ref175815374 \h </w:instrText>
      </w:r>
      <w:r>
        <w:fldChar w:fldCharType="separate"/>
      </w:r>
      <w:r>
        <w:t xml:space="preserve">Figure </w:t>
      </w:r>
      <w:r>
        <w:rPr>
          <w:noProof/>
        </w:rPr>
        <w:t>5</w:t>
      </w:r>
      <w:r>
        <w:noBreakHyphen/>
      </w:r>
      <w:r>
        <w:rPr>
          <w:noProof/>
        </w:rPr>
        <w:t>5</w:t>
      </w:r>
      <w:r>
        <w:fldChar w:fldCharType="end"/>
      </w:r>
      <w:r w:rsidR="00064586" w:rsidRPr="00064586">
        <w:t xml:space="preserve"> show potential as a percent of the baseline projection in each state.</w:t>
      </w:r>
    </w:p>
    <w:p w14:paraId="118E7688" w14:textId="33F10506" w:rsidR="00C86F85" w:rsidRDefault="00C86F85" w:rsidP="00C86F85">
      <w:pPr>
        <w:pStyle w:val="FigureorTableCaption"/>
      </w:pPr>
      <w:bookmarkStart w:id="128" w:name="_Ref175815349"/>
      <w:bookmarkStart w:id="129" w:name="_Toc175912388"/>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4</w:t>
      </w:r>
      <w:r w:rsidR="00EE4707">
        <w:fldChar w:fldCharType="end"/>
      </w:r>
      <w:bookmarkEnd w:id="128"/>
      <w:r w:rsidR="009246C7">
        <w:t xml:space="preserve"> </w:t>
      </w:r>
      <w:r w:rsidRPr="0039431B">
        <w:t>Residential Conservation Potential, Washington</w:t>
      </w:r>
      <w:bookmarkEnd w:id="129"/>
    </w:p>
    <w:tbl>
      <w:tblPr>
        <w:tblStyle w:val="AEG-DarkBanded"/>
        <w:tblW w:w="5000" w:type="pct"/>
        <w:jc w:val="center"/>
        <w:tblLook w:val="04A0" w:firstRow="1" w:lastRow="0" w:firstColumn="1" w:lastColumn="0" w:noHBand="0" w:noVBand="1"/>
      </w:tblPr>
      <w:tblGrid>
        <w:gridCol w:w="3780"/>
        <w:gridCol w:w="901"/>
        <w:gridCol w:w="901"/>
        <w:gridCol w:w="901"/>
        <w:gridCol w:w="959"/>
        <w:gridCol w:w="959"/>
        <w:gridCol w:w="959"/>
      </w:tblGrid>
      <w:tr w:rsidR="00064586" w:rsidRPr="00D45C05" w14:paraId="718BD863" w14:textId="77777777" w:rsidTr="001F35BB">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hideMark/>
          </w:tcPr>
          <w:p w14:paraId="55AFBD6E" w14:textId="3C15C3AE" w:rsidR="00064586" w:rsidRPr="004B301A" w:rsidRDefault="00064586" w:rsidP="00064586">
            <w:pPr>
              <w:jc w:val="left"/>
              <w:rPr>
                <w:rFonts w:asciiTheme="majorHAnsi" w:eastAsia="Times New Roman" w:hAnsiTheme="majorHAnsi"/>
                <w:b w:val="0"/>
                <w:bCs/>
                <w:szCs w:val="20"/>
              </w:rPr>
            </w:pPr>
          </w:p>
        </w:tc>
        <w:tc>
          <w:tcPr>
            <w:tcW w:w="475" w:type="pct"/>
            <w:noWrap/>
            <w:hideMark/>
          </w:tcPr>
          <w:p w14:paraId="520303BF" w14:textId="6529A279" w:rsidR="00064586" w:rsidRPr="004B301A" w:rsidRDefault="00064586" w:rsidP="00D45C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4B301A">
              <w:rPr>
                <w:rFonts w:asciiTheme="majorHAnsi" w:hAnsiTheme="majorHAnsi"/>
                <w:b w:val="0"/>
                <w:bCs/>
              </w:rPr>
              <w:t>2026</w:t>
            </w:r>
          </w:p>
        </w:tc>
        <w:tc>
          <w:tcPr>
            <w:tcW w:w="475" w:type="pct"/>
            <w:noWrap/>
            <w:hideMark/>
          </w:tcPr>
          <w:p w14:paraId="58B3879C" w14:textId="183D962C" w:rsidR="00064586" w:rsidRPr="004B301A" w:rsidRDefault="00064586" w:rsidP="00D45C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4B301A">
              <w:rPr>
                <w:rFonts w:asciiTheme="majorHAnsi" w:hAnsiTheme="majorHAnsi"/>
                <w:b w:val="0"/>
                <w:bCs/>
              </w:rPr>
              <w:t>2027</w:t>
            </w:r>
          </w:p>
        </w:tc>
        <w:tc>
          <w:tcPr>
            <w:tcW w:w="475" w:type="pct"/>
            <w:hideMark/>
          </w:tcPr>
          <w:p w14:paraId="7A66419D" w14:textId="377E2F7F" w:rsidR="00064586" w:rsidRPr="004B301A" w:rsidRDefault="00064586" w:rsidP="00D45C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4B301A">
              <w:rPr>
                <w:rFonts w:asciiTheme="majorHAnsi" w:hAnsiTheme="majorHAnsi"/>
                <w:b w:val="0"/>
                <w:bCs/>
              </w:rPr>
              <w:t>2028</w:t>
            </w:r>
          </w:p>
        </w:tc>
        <w:tc>
          <w:tcPr>
            <w:tcW w:w="498" w:type="pct"/>
            <w:noWrap/>
            <w:hideMark/>
          </w:tcPr>
          <w:p w14:paraId="3FF00AFD" w14:textId="7E713B4A" w:rsidR="00064586" w:rsidRPr="004B301A" w:rsidRDefault="00064586" w:rsidP="00D45C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4B301A">
              <w:rPr>
                <w:rFonts w:asciiTheme="majorHAnsi" w:hAnsiTheme="majorHAnsi"/>
                <w:b w:val="0"/>
                <w:bCs/>
              </w:rPr>
              <w:t>2030</w:t>
            </w:r>
          </w:p>
        </w:tc>
        <w:tc>
          <w:tcPr>
            <w:tcW w:w="498" w:type="pct"/>
            <w:noWrap/>
            <w:hideMark/>
          </w:tcPr>
          <w:p w14:paraId="76E25590" w14:textId="68FBDF65" w:rsidR="00064586" w:rsidRPr="004B301A" w:rsidRDefault="00064586" w:rsidP="00D45C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4B301A">
              <w:rPr>
                <w:rFonts w:asciiTheme="majorHAnsi" w:hAnsiTheme="majorHAnsi"/>
                <w:b w:val="0"/>
                <w:bCs/>
              </w:rPr>
              <w:t>2035</w:t>
            </w:r>
          </w:p>
        </w:tc>
        <w:tc>
          <w:tcPr>
            <w:tcW w:w="498" w:type="pct"/>
            <w:noWrap/>
            <w:hideMark/>
          </w:tcPr>
          <w:p w14:paraId="63F9645B" w14:textId="60F5D519" w:rsidR="00064586" w:rsidRPr="004B301A" w:rsidRDefault="00064586" w:rsidP="00D45C05">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Cs w:val="20"/>
              </w:rPr>
            </w:pPr>
            <w:r w:rsidRPr="004B301A">
              <w:rPr>
                <w:rFonts w:asciiTheme="majorHAnsi" w:hAnsiTheme="majorHAnsi"/>
                <w:b w:val="0"/>
                <w:bCs/>
              </w:rPr>
              <w:t>2045</w:t>
            </w:r>
          </w:p>
        </w:tc>
      </w:tr>
      <w:tr w:rsidR="00064586" w:rsidRPr="00D45C05" w14:paraId="43A4792A"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1CF94C4C" w14:textId="74795CF5" w:rsidR="00064586" w:rsidRPr="002356DE" w:rsidRDefault="00064586" w:rsidP="00064586">
            <w:pPr>
              <w:jc w:val="left"/>
              <w:rPr>
                <w:rFonts w:asciiTheme="majorHAnsi" w:eastAsia="Times New Roman" w:hAnsiTheme="majorHAnsi"/>
                <w:szCs w:val="20"/>
              </w:rPr>
            </w:pPr>
            <w:r w:rsidRPr="002356DE">
              <w:rPr>
                <w:rFonts w:asciiTheme="majorHAnsi" w:hAnsiTheme="majorHAnsi"/>
              </w:rPr>
              <w:t>Baseline Forecast (GWh)</w:t>
            </w:r>
          </w:p>
        </w:tc>
        <w:tc>
          <w:tcPr>
            <w:tcW w:w="475" w:type="pct"/>
            <w:noWrap/>
            <w:hideMark/>
          </w:tcPr>
          <w:p w14:paraId="22F0BCAE" w14:textId="0ECE0B35"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2,798</w:t>
            </w:r>
          </w:p>
        </w:tc>
        <w:tc>
          <w:tcPr>
            <w:tcW w:w="475" w:type="pct"/>
            <w:noWrap/>
            <w:hideMark/>
          </w:tcPr>
          <w:p w14:paraId="0883141D" w14:textId="74E60E9A"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2,804</w:t>
            </w:r>
          </w:p>
        </w:tc>
        <w:tc>
          <w:tcPr>
            <w:tcW w:w="475" w:type="pct"/>
            <w:noWrap/>
            <w:hideMark/>
          </w:tcPr>
          <w:p w14:paraId="27A75927" w14:textId="650B8653"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2,810</w:t>
            </w:r>
          </w:p>
        </w:tc>
        <w:tc>
          <w:tcPr>
            <w:tcW w:w="498" w:type="pct"/>
            <w:noWrap/>
            <w:hideMark/>
          </w:tcPr>
          <w:p w14:paraId="5A1404FC" w14:textId="0AE14705"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2,855</w:t>
            </w:r>
          </w:p>
        </w:tc>
        <w:tc>
          <w:tcPr>
            <w:tcW w:w="498" w:type="pct"/>
            <w:noWrap/>
            <w:hideMark/>
          </w:tcPr>
          <w:p w14:paraId="4D100CE4" w14:textId="4475281D"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3,063</w:t>
            </w:r>
          </w:p>
        </w:tc>
        <w:tc>
          <w:tcPr>
            <w:tcW w:w="498" w:type="pct"/>
            <w:noWrap/>
            <w:hideMark/>
          </w:tcPr>
          <w:p w14:paraId="7BCB5C65" w14:textId="1655EF03"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3,669</w:t>
            </w:r>
          </w:p>
        </w:tc>
      </w:tr>
      <w:tr w:rsidR="00064586" w:rsidRPr="00D45C05" w14:paraId="7222D666"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17C91E72" w14:textId="30FCE461" w:rsidR="00064586" w:rsidRPr="002356DE" w:rsidRDefault="00064586" w:rsidP="00064586">
            <w:pPr>
              <w:jc w:val="left"/>
              <w:rPr>
                <w:rFonts w:asciiTheme="majorHAnsi" w:eastAsia="Times New Roman" w:hAnsiTheme="majorHAnsi"/>
                <w:szCs w:val="20"/>
              </w:rPr>
            </w:pPr>
            <w:r w:rsidRPr="002356DE">
              <w:rPr>
                <w:rFonts w:asciiTheme="majorHAnsi" w:hAnsiTheme="majorHAnsi"/>
              </w:rPr>
              <w:t>Cumulative Savings (GWh)</w:t>
            </w:r>
          </w:p>
        </w:tc>
        <w:tc>
          <w:tcPr>
            <w:tcW w:w="475" w:type="pct"/>
            <w:noWrap/>
            <w:hideMark/>
          </w:tcPr>
          <w:p w14:paraId="19A1BB41" w14:textId="57882A6A"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75" w:type="pct"/>
            <w:noWrap/>
            <w:hideMark/>
          </w:tcPr>
          <w:p w14:paraId="6C997D29" w14:textId="1DD0156D"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75" w:type="pct"/>
            <w:noWrap/>
            <w:hideMark/>
          </w:tcPr>
          <w:p w14:paraId="576371D9" w14:textId="52D2C62C"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98" w:type="pct"/>
            <w:noWrap/>
            <w:hideMark/>
          </w:tcPr>
          <w:p w14:paraId="1D1377A9" w14:textId="7B095C13"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98" w:type="pct"/>
            <w:noWrap/>
            <w:hideMark/>
          </w:tcPr>
          <w:p w14:paraId="0EE26278" w14:textId="311E39CB"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98" w:type="pct"/>
            <w:noWrap/>
            <w:hideMark/>
          </w:tcPr>
          <w:p w14:paraId="1DE8416E" w14:textId="6F9BE202"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r>
      <w:tr w:rsidR="00064586" w:rsidRPr="00D45C05" w14:paraId="58B3FA20"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3D880529" w14:textId="4B305098" w:rsidR="00064586" w:rsidRPr="004B301A" w:rsidRDefault="00064586" w:rsidP="00064586">
            <w:pPr>
              <w:ind w:firstLineChars="100" w:firstLine="200"/>
              <w:jc w:val="left"/>
              <w:rPr>
                <w:rFonts w:asciiTheme="minorHAnsi" w:eastAsia="Times New Roman" w:hAnsiTheme="minorHAnsi"/>
                <w:szCs w:val="20"/>
              </w:rPr>
            </w:pPr>
            <w:r w:rsidRPr="004B301A">
              <w:rPr>
                <w:rFonts w:asciiTheme="minorHAnsi" w:hAnsiTheme="minorHAnsi"/>
              </w:rPr>
              <w:t>Technical Achievable Potential</w:t>
            </w:r>
          </w:p>
        </w:tc>
        <w:tc>
          <w:tcPr>
            <w:tcW w:w="475" w:type="pct"/>
            <w:noWrap/>
            <w:hideMark/>
          </w:tcPr>
          <w:p w14:paraId="263AC459" w14:textId="2416676F"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23</w:t>
            </w:r>
          </w:p>
        </w:tc>
        <w:tc>
          <w:tcPr>
            <w:tcW w:w="475" w:type="pct"/>
            <w:noWrap/>
            <w:hideMark/>
          </w:tcPr>
          <w:p w14:paraId="378B44A1" w14:textId="0C3ADA4C"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50</w:t>
            </w:r>
          </w:p>
        </w:tc>
        <w:tc>
          <w:tcPr>
            <w:tcW w:w="475" w:type="pct"/>
            <w:noWrap/>
            <w:hideMark/>
          </w:tcPr>
          <w:p w14:paraId="74D49419" w14:textId="3AC612A1"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83</w:t>
            </w:r>
          </w:p>
        </w:tc>
        <w:tc>
          <w:tcPr>
            <w:tcW w:w="498" w:type="pct"/>
            <w:noWrap/>
            <w:hideMark/>
          </w:tcPr>
          <w:p w14:paraId="1A428B74" w14:textId="4189B22C"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158</w:t>
            </w:r>
          </w:p>
        </w:tc>
        <w:tc>
          <w:tcPr>
            <w:tcW w:w="498" w:type="pct"/>
            <w:noWrap/>
            <w:hideMark/>
          </w:tcPr>
          <w:p w14:paraId="05ECAB19" w14:textId="40F92EC5"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414</w:t>
            </w:r>
          </w:p>
        </w:tc>
        <w:tc>
          <w:tcPr>
            <w:tcW w:w="498" w:type="pct"/>
            <w:noWrap/>
            <w:hideMark/>
          </w:tcPr>
          <w:p w14:paraId="636C9C45" w14:textId="1194B8AE"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616</w:t>
            </w:r>
          </w:p>
        </w:tc>
      </w:tr>
      <w:tr w:rsidR="00064586" w:rsidRPr="00D45C05" w14:paraId="7BBD675A"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0B8F8F85" w14:textId="1A911F5F" w:rsidR="00064586" w:rsidRPr="004B301A" w:rsidRDefault="00064586" w:rsidP="00064586">
            <w:pPr>
              <w:ind w:firstLineChars="100" w:firstLine="200"/>
              <w:jc w:val="left"/>
              <w:rPr>
                <w:rFonts w:asciiTheme="minorHAnsi" w:eastAsia="Times New Roman" w:hAnsiTheme="minorHAnsi"/>
                <w:szCs w:val="20"/>
              </w:rPr>
            </w:pPr>
            <w:r w:rsidRPr="004B301A">
              <w:rPr>
                <w:rFonts w:asciiTheme="minorHAnsi" w:hAnsiTheme="minorHAnsi"/>
              </w:rPr>
              <w:t>Technical Potential</w:t>
            </w:r>
          </w:p>
        </w:tc>
        <w:tc>
          <w:tcPr>
            <w:tcW w:w="475" w:type="pct"/>
            <w:noWrap/>
            <w:hideMark/>
          </w:tcPr>
          <w:p w14:paraId="1D819864" w14:textId="16C808E0"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66</w:t>
            </w:r>
          </w:p>
        </w:tc>
        <w:tc>
          <w:tcPr>
            <w:tcW w:w="475" w:type="pct"/>
            <w:noWrap/>
            <w:hideMark/>
          </w:tcPr>
          <w:p w14:paraId="0FBFFB37" w14:textId="62D96F8E"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135</w:t>
            </w:r>
          </w:p>
        </w:tc>
        <w:tc>
          <w:tcPr>
            <w:tcW w:w="475" w:type="pct"/>
            <w:noWrap/>
            <w:hideMark/>
          </w:tcPr>
          <w:p w14:paraId="53151A03" w14:textId="7D89FA74"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210</w:t>
            </w:r>
          </w:p>
        </w:tc>
        <w:tc>
          <w:tcPr>
            <w:tcW w:w="498" w:type="pct"/>
            <w:noWrap/>
            <w:hideMark/>
          </w:tcPr>
          <w:p w14:paraId="6B93C54C" w14:textId="6CB96429"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323</w:t>
            </w:r>
          </w:p>
        </w:tc>
        <w:tc>
          <w:tcPr>
            <w:tcW w:w="498" w:type="pct"/>
            <w:noWrap/>
            <w:hideMark/>
          </w:tcPr>
          <w:p w14:paraId="1F04D724" w14:textId="20372DCB"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714</w:t>
            </w:r>
          </w:p>
        </w:tc>
        <w:tc>
          <w:tcPr>
            <w:tcW w:w="498" w:type="pct"/>
            <w:noWrap/>
            <w:hideMark/>
          </w:tcPr>
          <w:p w14:paraId="17BE5486" w14:textId="0017D881"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1,003</w:t>
            </w:r>
          </w:p>
        </w:tc>
      </w:tr>
      <w:tr w:rsidR="00064586" w:rsidRPr="00D45C05" w14:paraId="42A2BC71"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2C32DD42" w14:textId="0D930A78" w:rsidR="00064586" w:rsidRPr="002356DE" w:rsidRDefault="00064586" w:rsidP="00064586">
            <w:pPr>
              <w:jc w:val="left"/>
              <w:rPr>
                <w:rFonts w:asciiTheme="majorHAnsi" w:eastAsia="Times New Roman" w:hAnsiTheme="majorHAnsi"/>
                <w:szCs w:val="20"/>
              </w:rPr>
            </w:pPr>
            <w:r w:rsidRPr="002356DE">
              <w:rPr>
                <w:rFonts w:asciiTheme="majorHAnsi" w:hAnsiTheme="majorHAnsi"/>
              </w:rPr>
              <w:t>Energy Savings (% of Baseline)</w:t>
            </w:r>
          </w:p>
        </w:tc>
        <w:tc>
          <w:tcPr>
            <w:tcW w:w="475" w:type="pct"/>
            <w:noWrap/>
            <w:hideMark/>
          </w:tcPr>
          <w:p w14:paraId="365F06AB" w14:textId="4A3A4895"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475" w:type="pct"/>
            <w:noWrap/>
            <w:hideMark/>
          </w:tcPr>
          <w:p w14:paraId="768F91DA" w14:textId="38FF5EA9"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475" w:type="pct"/>
            <w:noWrap/>
            <w:hideMark/>
          </w:tcPr>
          <w:p w14:paraId="7CDB6030" w14:textId="37DF4DC4"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498" w:type="pct"/>
            <w:noWrap/>
            <w:hideMark/>
          </w:tcPr>
          <w:p w14:paraId="0706055B" w14:textId="0CB71FEA"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498" w:type="pct"/>
            <w:noWrap/>
            <w:hideMark/>
          </w:tcPr>
          <w:p w14:paraId="0D08278A" w14:textId="685000F6"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498" w:type="pct"/>
            <w:noWrap/>
            <w:hideMark/>
          </w:tcPr>
          <w:p w14:paraId="0CE18472" w14:textId="6041DCF8"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r>
      <w:tr w:rsidR="00064586" w:rsidRPr="00D45C05" w14:paraId="2340CFF0"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78240946" w14:textId="3231981F" w:rsidR="00064586" w:rsidRPr="004B301A" w:rsidRDefault="00064586" w:rsidP="00064586">
            <w:pPr>
              <w:ind w:firstLineChars="100" w:firstLine="200"/>
              <w:jc w:val="left"/>
              <w:rPr>
                <w:rFonts w:asciiTheme="minorHAnsi" w:eastAsia="Times New Roman" w:hAnsiTheme="minorHAnsi"/>
                <w:szCs w:val="20"/>
              </w:rPr>
            </w:pPr>
            <w:r w:rsidRPr="004B301A">
              <w:rPr>
                <w:rFonts w:asciiTheme="minorHAnsi" w:hAnsiTheme="minorHAnsi"/>
              </w:rPr>
              <w:t>Technical Achievable Potential</w:t>
            </w:r>
          </w:p>
        </w:tc>
        <w:tc>
          <w:tcPr>
            <w:tcW w:w="475" w:type="pct"/>
            <w:noWrap/>
            <w:hideMark/>
          </w:tcPr>
          <w:p w14:paraId="1984B48C" w14:textId="7848A849"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0.8%</w:t>
            </w:r>
          </w:p>
        </w:tc>
        <w:tc>
          <w:tcPr>
            <w:tcW w:w="475" w:type="pct"/>
            <w:noWrap/>
            <w:hideMark/>
          </w:tcPr>
          <w:p w14:paraId="130F2AEA" w14:textId="6C8BEE97"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1.8%</w:t>
            </w:r>
          </w:p>
        </w:tc>
        <w:tc>
          <w:tcPr>
            <w:tcW w:w="475" w:type="pct"/>
            <w:noWrap/>
            <w:hideMark/>
          </w:tcPr>
          <w:p w14:paraId="47EE147F" w14:textId="5A8BD6DB"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3.0%</w:t>
            </w:r>
          </w:p>
        </w:tc>
        <w:tc>
          <w:tcPr>
            <w:tcW w:w="498" w:type="pct"/>
            <w:noWrap/>
            <w:hideMark/>
          </w:tcPr>
          <w:p w14:paraId="13951C8A" w14:textId="40516610"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5.5%</w:t>
            </w:r>
          </w:p>
        </w:tc>
        <w:tc>
          <w:tcPr>
            <w:tcW w:w="498" w:type="pct"/>
            <w:noWrap/>
            <w:hideMark/>
          </w:tcPr>
          <w:p w14:paraId="5A7489C9" w14:textId="66B3A0A8"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13.5%</w:t>
            </w:r>
          </w:p>
        </w:tc>
        <w:tc>
          <w:tcPr>
            <w:tcW w:w="498" w:type="pct"/>
            <w:noWrap/>
            <w:hideMark/>
          </w:tcPr>
          <w:p w14:paraId="43D6D1F0" w14:textId="3DCBA205"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16.8%</w:t>
            </w:r>
          </w:p>
        </w:tc>
      </w:tr>
      <w:tr w:rsidR="00064586" w:rsidRPr="00D45C05" w14:paraId="6241B895"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0875E54F" w14:textId="2C15338B" w:rsidR="00064586" w:rsidRPr="004B301A" w:rsidRDefault="00064586" w:rsidP="00064586">
            <w:pPr>
              <w:ind w:firstLineChars="100" w:firstLine="200"/>
              <w:jc w:val="left"/>
              <w:rPr>
                <w:rFonts w:asciiTheme="minorHAnsi" w:eastAsia="Times New Roman" w:hAnsiTheme="minorHAnsi"/>
                <w:szCs w:val="20"/>
              </w:rPr>
            </w:pPr>
            <w:r w:rsidRPr="004B301A">
              <w:rPr>
                <w:rFonts w:asciiTheme="minorHAnsi" w:hAnsiTheme="minorHAnsi"/>
              </w:rPr>
              <w:t>Technical Potential</w:t>
            </w:r>
          </w:p>
        </w:tc>
        <w:tc>
          <w:tcPr>
            <w:tcW w:w="475" w:type="pct"/>
            <w:noWrap/>
            <w:hideMark/>
          </w:tcPr>
          <w:p w14:paraId="2DEAC73D" w14:textId="437C382F"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2.3%</w:t>
            </w:r>
          </w:p>
        </w:tc>
        <w:tc>
          <w:tcPr>
            <w:tcW w:w="475" w:type="pct"/>
            <w:noWrap/>
            <w:hideMark/>
          </w:tcPr>
          <w:p w14:paraId="22EA4A33" w14:textId="61BF708C"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4.8%</w:t>
            </w:r>
          </w:p>
        </w:tc>
        <w:tc>
          <w:tcPr>
            <w:tcW w:w="475" w:type="pct"/>
            <w:noWrap/>
            <w:hideMark/>
          </w:tcPr>
          <w:p w14:paraId="112D549B" w14:textId="20AC3B6B"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7.5%</w:t>
            </w:r>
          </w:p>
        </w:tc>
        <w:tc>
          <w:tcPr>
            <w:tcW w:w="498" w:type="pct"/>
            <w:noWrap/>
            <w:hideMark/>
          </w:tcPr>
          <w:p w14:paraId="13137C21" w14:textId="0DA316D7"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11.3%</w:t>
            </w:r>
          </w:p>
        </w:tc>
        <w:tc>
          <w:tcPr>
            <w:tcW w:w="498" w:type="pct"/>
            <w:noWrap/>
            <w:hideMark/>
          </w:tcPr>
          <w:p w14:paraId="6D8DABD8" w14:textId="2ED9C5B0"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23.3%</w:t>
            </w:r>
          </w:p>
        </w:tc>
        <w:tc>
          <w:tcPr>
            <w:tcW w:w="498" w:type="pct"/>
            <w:noWrap/>
            <w:hideMark/>
          </w:tcPr>
          <w:p w14:paraId="6F065D99" w14:textId="50761DB4"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27.3%</w:t>
            </w:r>
          </w:p>
        </w:tc>
      </w:tr>
      <w:tr w:rsidR="00064586" w:rsidRPr="00D45C05" w14:paraId="23F7C50E"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0E530BAA" w14:textId="66AE81F7" w:rsidR="00064586" w:rsidRPr="002356DE" w:rsidRDefault="00064586" w:rsidP="00064586">
            <w:pPr>
              <w:jc w:val="left"/>
              <w:rPr>
                <w:rFonts w:asciiTheme="majorHAnsi" w:eastAsia="Times New Roman" w:hAnsiTheme="majorHAnsi"/>
                <w:szCs w:val="20"/>
              </w:rPr>
            </w:pPr>
            <w:r w:rsidRPr="002356DE">
              <w:rPr>
                <w:rFonts w:asciiTheme="majorHAnsi" w:hAnsiTheme="majorHAnsi"/>
              </w:rPr>
              <w:t>Cumulative Savings (aMW)</w:t>
            </w:r>
          </w:p>
        </w:tc>
        <w:tc>
          <w:tcPr>
            <w:tcW w:w="475" w:type="pct"/>
            <w:noWrap/>
            <w:hideMark/>
          </w:tcPr>
          <w:p w14:paraId="22F342F0" w14:textId="59C6FCBF"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75" w:type="pct"/>
            <w:noWrap/>
            <w:hideMark/>
          </w:tcPr>
          <w:p w14:paraId="695BC448" w14:textId="41DAFF62"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75" w:type="pct"/>
            <w:noWrap/>
            <w:hideMark/>
          </w:tcPr>
          <w:p w14:paraId="0085E8DC" w14:textId="09841DD5"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98" w:type="pct"/>
            <w:noWrap/>
            <w:hideMark/>
          </w:tcPr>
          <w:p w14:paraId="2C42E636" w14:textId="2C7935F1"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98" w:type="pct"/>
            <w:noWrap/>
            <w:hideMark/>
          </w:tcPr>
          <w:p w14:paraId="1D86787E" w14:textId="411735EB"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498" w:type="pct"/>
            <w:noWrap/>
            <w:hideMark/>
          </w:tcPr>
          <w:p w14:paraId="4AC934B4" w14:textId="327C4A45"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r>
      <w:tr w:rsidR="00064586" w:rsidRPr="00D45C05" w14:paraId="59C3D2AC"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734F7C34" w14:textId="16D27EC4" w:rsidR="00064586" w:rsidRPr="004B301A" w:rsidRDefault="00064586" w:rsidP="00064586">
            <w:pPr>
              <w:ind w:firstLineChars="100" w:firstLine="200"/>
              <w:jc w:val="left"/>
              <w:rPr>
                <w:rFonts w:asciiTheme="minorHAnsi" w:eastAsia="Times New Roman" w:hAnsiTheme="minorHAnsi"/>
                <w:szCs w:val="20"/>
              </w:rPr>
            </w:pPr>
            <w:r w:rsidRPr="004B301A">
              <w:rPr>
                <w:rFonts w:asciiTheme="minorHAnsi" w:hAnsiTheme="minorHAnsi"/>
              </w:rPr>
              <w:t>Technical Achievable Potential</w:t>
            </w:r>
          </w:p>
        </w:tc>
        <w:tc>
          <w:tcPr>
            <w:tcW w:w="475" w:type="pct"/>
            <w:noWrap/>
            <w:hideMark/>
          </w:tcPr>
          <w:p w14:paraId="4B5CDA17" w14:textId="0CAB59C8"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2.6</w:t>
            </w:r>
          </w:p>
        </w:tc>
        <w:tc>
          <w:tcPr>
            <w:tcW w:w="475" w:type="pct"/>
            <w:noWrap/>
            <w:hideMark/>
          </w:tcPr>
          <w:p w14:paraId="4427804B" w14:textId="2BB3EBDE"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5.7</w:t>
            </w:r>
          </w:p>
        </w:tc>
        <w:tc>
          <w:tcPr>
            <w:tcW w:w="475" w:type="pct"/>
            <w:noWrap/>
            <w:hideMark/>
          </w:tcPr>
          <w:p w14:paraId="3A719237" w14:textId="49CF9BD8"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9.5</w:t>
            </w:r>
          </w:p>
        </w:tc>
        <w:tc>
          <w:tcPr>
            <w:tcW w:w="498" w:type="pct"/>
            <w:noWrap/>
            <w:hideMark/>
          </w:tcPr>
          <w:p w14:paraId="32032112" w14:textId="1150DBD6"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18.0</w:t>
            </w:r>
          </w:p>
        </w:tc>
        <w:tc>
          <w:tcPr>
            <w:tcW w:w="498" w:type="pct"/>
            <w:noWrap/>
            <w:hideMark/>
          </w:tcPr>
          <w:p w14:paraId="3D188841" w14:textId="51459D0C"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47.3</w:t>
            </w:r>
          </w:p>
        </w:tc>
        <w:tc>
          <w:tcPr>
            <w:tcW w:w="498" w:type="pct"/>
            <w:noWrap/>
            <w:hideMark/>
          </w:tcPr>
          <w:p w14:paraId="713001D9" w14:textId="732ECE1C" w:rsidR="00064586" w:rsidRPr="00904AD4" w:rsidRDefault="00064586" w:rsidP="00FF4586">
            <w:pPr>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904AD4">
              <w:rPr>
                <w:rFonts w:asciiTheme="minorHAnsi" w:hAnsiTheme="minorHAnsi"/>
              </w:rPr>
              <w:t>70.4</w:t>
            </w:r>
          </w:p>
        </w:tc>
      </w:tr>
      <w:tr w:rsidR="00064586" w:rsidRPr="00D45C05" w14:paraId="6F70B0BE"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4875FF9A" w14:textId="2E0397F8" w:rsidR="00064586" w:rsidRPr="004B301A" w:rsidRDefault="00064586" w:rsidP="00064586">
            <w:pPr>
              <w:ind w:firstLineChars="100" w:firstLine="200"/>
              <w:jc w:val="left"/>
              <w:rPr>
                <w:rFonts w:asciiTheme="minorHAnsi" w:eastAsia="Times New Roman" w:hAnsiTheme="minorHAnsi"/>
                <w:szCs w:val="20"/>
              </w:rPr>
            </w:pPr>
            <w:r w:rsidRPr="004B301A">
              <w:rPr>
                <w:rFonts w:asciiTheme="minorHAnsi" w:hAnsiTheme="minorHAnsi"/>
              </w:rPr>
              <w:t>Technical Potential</w:t>
            </w:r>
          </w:p>
        </w:tc>
        <w:tc>
          <w:tcPr>
            <w:tcW w:w="475" w:type="pct"/>
            <w:noWrap/>
            <w:hideMark/>
          </w:tcPr>
          <w:p w14:paraId="71DB9F18" w14:textId="551816AA"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7.5</w:t>
            </w:r>
          </w:p>
        </w:tc>
        <w:tc>
          <w:tcPr>
            <w:tcW w:w="475" w:type="pct"/>
            <w:noWrap/>
            <w:hideMark/>
          </w:tcPr>
          <w:p w14:paraId="117347FE" w14:textId="2C7A75E2"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15.4</w:t>
            </w:r>
          </w:p>
        </w:tc>
        <w:tc>
          <w:tcPr>
            <w:tcW w:w="475" w:type="pct"/>
            <w:noWrap/>
            <w:hideMark/>
          </w:tcPr>
          <w:p w14:paraId="0E9DA0E3" w14:textId="066D8EAC"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23.9</w:t>
            </w:r>
          </w:p>
        </w:tc>
        <w:tc>
          <w:tcPr>
            <w:tcW w:w="498" w:type="pct"/>
            <w:noWrap/>
            <w:hideMark/>
          </w:tcPr>
          <w:p w14:paraId="5031CE20" w14:textId="0C91F256"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36.8</w:t>
            </w:r>
          </w:p>
        </w:tc>
        <w:tc>
          <w:tcPr>
            <w:tcW w:w="498" w:type="pct"/>
            <w:noWrap/>
            <w:hideMark/>
          </w:tcPr>
          <w:p w14:paraId="21BD7B2B" w14:textId="6EFB41DB"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81.6</w:t>
            </w:r>
          </w:p>
        </w:tc>
        <w:tc>
          <w:tcPr>
            <w:tcW w:w="498" w:type="pct"/>
            <w:noWrap/>
            <w:hideMark/>
          </w:tcPr>
          <w:p w14:paraId="7D2AD66B" w14:textId="647D759C" w:rsidR="00064586" w:rsidRPr="00904AD4" w:rsidRDefault="00064586" w:rsidP="00FF4586">
            <w:pPr>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904AD4">
              <w:rPr>
                <w:rFonts w:asciiTheme="minorHAnsi" w:hAnsiTheme="minorHAnsi"/>
              </w:rPr>
              <w:t>114.5</w:t>
            </w:r>
          </w:p>
        </w:tc>
      </w:tr>
    </w:tbl>
    <w:p w14:paraId="66C2214E" w14:textId="0F046563" w:rsidR="00DF5372" w:rsidRDefault="00DF5372" w:rsidP="00844662">
      <w:pPr>
        <w:rPr>
          <w:rFonts w:cstheme="minorBidi"/>
        </w:rPr>
      </w:pPr>
    </w:p>
    <w:p w14:paraId="608F1484" w14:textId="17B5A87E" w:rsidR="00C86F85" w:rsidRDefault="00C86F85" w:rsidP="00C86F85">
      <w:pPr>
        <w:pStyle w:val="FigureorTableCaption"/>
      </w:pPr>
      <w:bookmarkStart w:id="130" w:name="_Ref175815354"/>
      <w:bookmarkStart w:id="131" w:name="_Toc175912389"/>
      <w:r>
        <w:lastRenderedPageBreak/>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5</w:t>
      </w:r>
      <w:r w:rsidR="00EE4707">
        <w:fldChar w:fldCharType="end"/>
      </w:r>
      <w:bookmarkEnd w:id="130"/>
      <w:r w:rsidR="009246C7">
        <w:t xml:space="preserve"> </w:t>
      </w:r>
      <w:r w:rsidRPr="00D27426">
        <w:t>Residential Conservation Potential, Idaho</w:t>
      </w:r>
      <w:bookmarkEnd w:id="131"/>
    </w:p>
    <w:tbl>
      <w:tblPr>
        <w:tblStyle w:val="AEGBlue2"/>
        <w:tblW w:w="5000" w:type="pct"/>
        <w:jc w:val="center"/>
        <w:tblLook w:val="04A0" w:firstRow="1" w:lastRow="0" w:firstColumn="1" w:lastColumn="0" w:noHBand="0" w:noVBand="1"/>
      </w:tblPr>
      <w:tblGrid>
        <w:gridCol w:w="3780"/>
        <w:gridCol w:w="901"/>
        <w:gridCol w:w="901"/>
        <w:gridCol w:w="901"/>
        <w:gridCol w:w="959"/>
        <w:gridCol w:w="959"/>
        <w:gridCol w:w="959"/>
      </w:tblGrid>
      <w:tr w:rsidR="00064586" w:rsidRPr="00D45C05" w14:paraId="21260202" w14:textId="77777777" w:rsidTr="001F35BB">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hideMark/>
          </w:tcPr>
          <w:p w14:paraId="78119805" w14:textId="62CE67B5" w:rsidR="00064586" w:rsidRPr="00B26836" w:rsidRDefault="00064586" w:rsidP="00064586">
            <w:pPr>
              <w:keepNext/>
              <w:jc w:val="left"/>
              <w:rPr>
                <w:rFonts w:asciiTheme="majorHAnsi" w:eastAsia="Times New Roman" w:hAnsiTheme="majorHAnsi"/>
                <w:szCs w:val="20"/>
              </w:rPr>
            </w:pPr>
          </w:p>
        </w:tc>
        <w:tc>
          <w:tcPr>
            <w:tcW w:w="475" w:type="pct"/>
            <w:noWrap/>
            <w:hideMark/>
          </w:tcPr>
          <w:p w14:paraId="5601EE0D" w14:textId="225781C1" w:rsidR="00064586" w:rsidRPr="00B26836" w:rsidRDefault="00064586" w:rsidP="00D45C05">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26836">
              <w:rPr>
                <w:rFonts w:asciiTheme="majorHAnsi" w:hAnsiTheme="majorHAnsi"/>
              </w:rPr>
              <w:t>2026</w:t>
            </w:r>
          </w:p>
        </w:tc>
        <w:tc>
          <w:tcPr>
            <w:tcW w:w="475" w:type="pct"/>
            <w:noWrap/>
            <w:hideMark/>
          </w:tcPr>
          <w:p w14:paraId="23165AD7" w14:textId="7B9047B1" w:rsidR="00064586" w:rsidRPr="00B26836" w:rsidRDefault="00064586" w:rsidP="00D45C05">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26836">
              <w:rPr>
                <w:rFonts w:asciiTheme="majorHAnsi" w:hAnsiTheme="majorHAnsi"/>
              </w:rPr>
              <w:t>2027</w:t>
            </w:r>
          </w:p>
        </w:tc>
        <w:tc>
          <w:tcPr>
            <w:tcW w:w="475" w:type="pct"/>
            <w:hideMark/>
          </w:tcPr>
          <w:p w14:paraId="2BA7B616" w14:textId="54DC7899" w:rsidR="00064586" w:rsidRPr="00B26836" w:rsidRDefault="00064586" w:rsidP="00D45C05">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26836">
              <w:rPr>
                <w:rFonts w:asciiTheme="majorHAnsi" w:hAnsiTheme="majorHAnsi"/>
              </w:rPr>
              <w:t>2028</w:t>
            </w:r>
          </w:p>
        </w:tc>
        <w:tc>
          <w:tcPr>
            <w:tcW w:w="498" w:type="pct"/>
            <w:noWrap/>
            <w:hideMark/>
          </w:tcPr>
          <w:p w14:paraId="5C012483" w14:textId="33BA6B05" w:rsidR="00064586" w:rsidRPr="00B26836" w:rsidRDefault="00064586" w:rsidP="00D45C05">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26836">
              <w:rPr>
                <w:rFonts w:asciiTheme="majorHAnsi" w:hAnsiTheme="majorHAnsi"/>
              </w:rPr>
              <w:t>2030</w:t>
            </w:r>
          </w:p>
        </w:tc>
        <w:tc>
          <w:tcPr>
            <w:tcW w:w="498" w:type="pct"/>
            <w:noWrap/>
            <w:hideMark/>
          </w:tcPr>
          <w:p w14:paraId="32E28A1C" w14:textId="06913D90" w:rsidR="00064586" w:rsidRPr="00B26836" w:rsidRDefault="00064586" w:rsidP="00D45C05">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26836">
              <w:rPr>
                <w:rFonts w:asciiTheme="majorHAnsi" w:hAnsiTheme="majorHAnsi"/>
              </w:rPr>
              <w:t>2035</w:t>
            </w:r>
          </w:p>
        </w:tc>
        <w:tc>
          <w:tcPr>
            <w:tcW w:w="498" w:type="pct"/>
            <w:noWrap/>
            <w:hideMark/>
          </w:tcPr>
          <w:p w14:paraId="37D929D1" w14:textId="70663C22" w:rsidR="00064586" w:rsidRPr="00B26836" w:rsidRDefault="00064586" w:rsidP="00D45C05">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B26836">
              <w:rPr>
                <w:rFonts w:asciiTheme="majorHAnsi" w:hAnsiTheme="majorHAnsi"/>
              </w:rPr>
              <w:t>2045</w:t>
            </w:r>
          </w:p>
        </w:tc>
      </w:tr>
      <w:tr w:rsidR="00064586" w:rsidRPr="00D45C05" w14:paraId="3C6B90D5"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4A27BA5A" w14:textId="1BF32EA6" w:rsidR="00064586" w:rsidRPr="009468B2" w:rsidRDefault="00064586" w:rsidP="00064586">
            <w:pPr>
              <w:keepNext/>
              <w:jc w:val="left"/>
              <w:rPr>
                <w:rFonts w:asciiTheme="majorHAnsi" w:eastAsia="Times New Roman" w:hAnsiTheme="majorHAnsi"/>
                <w:szCs w:val="20"/>
              </w:rPr>
            </w:pPr>
            <w:r w:rsidRPr="009468B2">
              <w:rPr>
                <w:rFonts w:asciiTheme="majorHAnsi" w:hAnsiTheme="majorHAnsi"/>
              </w:rPr>
              <w:t>Baseline Forecast (GWh)</w:t>
            </w:r>
          </w:p>
        </w:tc>
        <w:tc>
          <w:tcPr>
            <w:tcW w:w="475" w:type="pct"/>
            <w:noWrap/>
            <w:hideMark/>
          </w:tcPr>
          <w:p w14:paraId="7124EE4D" w14:textId="584BF20B"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1,417</w:t>
            </w:r>
          </w:p>
        </w:tc>
        <w:tc>
          <w:tcPr>
            <w:tcW w:w="475" w:type="pct"/>
            <w:noWrap/>
            <w:hideMark/>
          </w:tcPr>
          <w:p w14:paraId="30D6F77C" w14:textId="0AFD5840"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1,421</w:t>
            </w:r>
          </w:p>
        </w:tc>
        <w:tc>
          <w:tcPr>
            <w:tcW w:w="475" w:type="pct"/>
            <w:noWrap/>
            <w:hideMark/>
          </w:tcPr>
          <w:p w14:paraId="41E11F19" w14:textId="175B8600"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1,424</w:t>
            </w:r>
          </w:p>
        </w:tc>
        <w:tc>
          <w:tcPr>
            <w:tcW w:w="498" w:type="pct"/>
            <w:noWrap/>
            <w:hideMark/>
          </w:tcPr>
          <w:p w14:paraId="7472CDC2" w14:textId="346313A1"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1,447</w:t>
            </w:r>
          </w:p>
        </w:tc>
        <w:tc>
          <w:tcPr>
            <w:tcW w:w="498" w:type="pct"/>
            <w:noWrap/>
            <w:hideMark/>
          </w:tcPr>
          <w:p w14:paraId="734C76D9" w14:textId="69949841"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1,527</w:t>
            </w:r>
          </w:p>
        </w:tc>
        <w:tc>
          <w:tcPr>
            <w:tcW w:w="498" w:type="pct"/>
            <w:noWrap/>
            <w:hideMark/>
          </w:tcPr>
          <w:p w14:paraId="577847E9" w14:textId="500A9684"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1,763</w:t>
            </w:r>
          </w:p>
        </w:tc>
      </w:tr>
      <w:tr w:rsidR="00064586" w:rsidRPr="00D45C05" w14:paraId="4B64C9EB"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05A01765" w14:textId="6394626A" w:rsidR="00064586" w:rsidRPr="009468B2" w:rsidRDefault="00064586" w:rsidP="00064586">
            <w:pPr>
              <w:keepNext/>
              <w:jc w:val="left"/>
              <w:rPr>
                <w:rFonts w:asciiTheme="majorHAnsi" w:eastAsia="Times New Roman" w:hAnsiTheme="majorHAnsi"/>
                <w:szCs w:val="20"/>
              </w:rPr>
            </w:pPr>
            <w:r w:rsidRPr="009468B2">
              <w:rPr>
                <w:rFonts w:asciiTheme="majorHAnsi" w:hAnsiTheme="majorHAnsi"/>
              </w:rPr>
              <w:t>Cumulative Savings (GWh)</w:t>
            </w:r>
          </w:p>
        </w:tc>
        <w:tc>
          <w:tcPr>
            <w:tcW w:w="475" w:type="pct"/>
            <w:noWrap/>
            <w:hideMark/>
          </w:tcPr>
          <w:p w14:paraId="69AE3343" w14:textId="653A00FF"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75" w:type="pct"/>
            <w:noWrap/>
            <w:hideMark/>
          </w:tcPr>
          <w:p w14:paraId="5AF18CAC" w14:textId="7D451EDC"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75" w:type="pct"/>
            <w:noWrap/>
            <w:hideMark/>
          </w:tcPr>
          <w:p w14:paraId="7FAE7B92" w14:textId="5FBDD129"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98" w:type="pct"/>
            <w:noWrap/>
            <w:hideMark/>
          </w:tcPr>
          <w:p w14:paraId="63C78F1E" w14:textId="100DF9D3"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98" w:type="pct"/>
            <w:noWrap/>
            <w:hideMark/>
          </w:tcPr>
          <w:p w14:paraId="79CA4E22" w14:textId="0335C4A9"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98" w:type="pct"/>
            <w:noWrap/>
            <w:hideMark/>
          </w:tcPr>
          <w:p w14:paraId="61245F31" w14:textId="40C632EE"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r>
      <w:tr w:rsidR="00064586" w:rsidRPr="00D45C05" w14:paraId="4943F121"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74A32485" w14:textId="12AF219C" w:rsidR="00064586" w:rsidRPr="00B26836" w:rsidRDefault="00064586" w:rsidP="00064586">
            <w:pPr>
              <w:keepNext/>
              <w:ind w:firstLineChars="100" w:firstLine="200"/>
              <w:jc w:val="left"/>
              <w:rPr>
                <w:rFonts w:eastAsia="Times New Roman"/>
                <w:szCs w:val="20"/>
              </w:rPr>
            </w:pPr>
            <w:r w:rsidRPr="00B26836">
              <w:t>Technical Achievable Potential</w:t>
            </w:r>
          </w:p>
        </w:tc>
        <w:tc>
          <w:tcPr>
            <w:tcW w:w="475" w:type="pct"/>
            <w:noWrap/>
            <w:hideMark/>
          </w:tcPr>
          <w:p w14:paraId="31BCEE97" w14:textId="69F21A3B"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12</w:t>
            </w:r>
          </w:p>
        </w:tc>
        <w:tc>
          <w:tcPr>
            <w:tcW w:w="475" w:type="pct"/>
            <w:noWrap/>
            <w:hideMark/>
          </w:tcPr>
          <w:p w14:paraId="3819DC77" w14:textId="7F782437"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26</w:t>
            </w:r>
          </w:p>
        </w:tc>
        <w:tc>
          <w:tcPr>
            <w:tcW w:w="475" w:type="pct"/>
            <w:noWrap/>
            <w:hideMark/>
          </w:tcPr>
          <w:p w14:paraId="532B9141" w14:textId="3C01B12B"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42</w:t>
            </w:r>
          </w:p>
        </w:tc>
        <w:tc>
          <w:tcPr>
            <w:tcW w:w="498" w:type="pct"/>
            <w:noWrap/>
            <w:hideMark/>
          </w:tcPr>
          <w:p w14:paraId="49704427" w14:textId="38E7E830"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78</w:t>
            </w:r>
          </w:p>
        </w:tc>
        <w:tc>
          <w:tcPr>
            <w:tcW w:w="498" w:type="pct"/>
            <w:noWrap/>
            <w:hideMark/>
          </w:tcPr>
          <w:p w14:paraId="72F36854" w14:textId="674A7D5E"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191</w:t>
            </w:r>
          </w:p>
        </w:tc>
        <w:tc>
          <w:tcPr>
            <w:tcW w:w="498" w:type="pct"/>
            <w:noWrap/>
            <w:hideMark/>
          </w:tcPr>
          <w:p w14:paraId="7EF64863" w14:textId="527C2291"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274</w:t>
            </w:r>
          </w:p>
        </w:tc>
      </w:tr>
      <w:tr w:rsidR="00064586" w:rsidRPr="00D45C05" w14:paraId="2E206192"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4E865FDF" w14:textId="60CE5D63" w:rsidR="00064586" w:rsidRPr="00B26836" w:rsidRDefault="00064586" w:rsidP="00064586">
            <w:pPr>
              <w:keepNext/>
              <w:ind w:firstLineChars="100" w:firstLine="200"/>
              <w:jc w:val="left"/>
              <w:rPr>
                <w:rFonts w:eastAsia="Times New Roman"/>
                <w:szCs w:val="20"/>
              </w:rPr>
            </w:pPr>
            <w:r w:rsidRPr="00B26836">
              <w:t>Technical Potential</w:t>
            </w:r>
          </w:p>
        </w:tc>
        <w:tc>
          <w:tcPr>
            <w:tcW w:w="475" w:type="pct"/>
            <w:noWrap/>
            <w:hideMark/>
          </w:tcPr>
          <w:p w14:paraId="1418C289" w14:textId="54BE10A3"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30</w:t>
            </w:r>
          </w:p>
        </w:tc>
        <w:tc>
          <w:tcPr>
            <w:tcW w:w="475" w:type="pct"/>
            <w:noWrap/>
            <w:hideMark/>
          </w:tcPr>
          <w:p w14:paraId="14EBB10D" w14:textId="4E86DF38"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63</w:t>
            </w:r>
          </w:p>
        </w:tc>
        <w:tc>
          <w:tcPr>
            <w:tcW w:w="475" w:type="pct"/>
            <w:noWrap/>
            <w:hideMark/>
          </w:tcPr>
          <w:p w14:paraId="30F40ACD" w14:textId="3464FB4D"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98</w:t>
            </w:r>
          </w:p>
        </w:tc>
        <w:tc>
          <w:tcPr>
            <w:tcW w:w="498" w:type="pct"/>
            <w:noWrap/>
            <w:hideMark/>
          </w:tcPr>
          <w:p w14:paraId="1D4F3477" w14:textId="032A7717"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146</w:t>
            </w:r>
          </w:p>
        </w:tc>
        <w:tc>
          <w:tcPr>
            <w:tcW w:w="498" w:type="pct"/>
            <w:noWrap/>
            <w:hideMark/>
          </w:tcPr>
          <w:p w14:paraId="029C727B" w14:textId="7333AEA3"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321</w:t>
            </w:r>
          </w:p>
        </w:tc>
        <w:tc>
          <w:tcPr>
            <w:tcW w:w="498" w:type="pct"/>
            <w:noWrap/>
            <w:hideMark/>
          </w:tcPr>
          <w:p w14:paraId="46E08378" w14:textId="740F647A"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459</w:t>
            </w:r>
          </w:p>
        </w:tc>
      </w:tr>
      <w:tr w:rsidR="00064586" w:rsidRPr="00D45C05" w14:paraId="26B1D4F1"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2B4BF9C1" w14:textId="33E3A952" w:rsidR="00064586" w:rsidRPr="009468B2" w:rsidRDefault="00064586" w:rsidP="00064586">
            <w:pPr>
              <w:keepNext/>
              <w:jc w:val="left"/>
              <w:rPr>
                <w:rFonts w:asciiTheme="majorHAnsi" w:eastAsia="Times New Roman" w:hAnsiTheme="majorHAnsi"/>
                <w:szCs w:val="20"/>
              </w:rPr>
            </w:pPr>
            <w:r w:rsidRPr="009468B2">
              <w:rPr>
                <w:rFonts w:asciiTheme="majorHAnsi" w:hAnsiTheme="majorHAnsi"/>
              </w:rPr>
              <w:t>Energy Savings (% of Baseline)</w:t>
            </w:r>
          </w:p>
        </w:tc>
        <w:tc>
          <w:tcPr>
            <w:tcW w:w="475" w:type="pct"/>
            <w:noWrap/>
            <w:hideMark/>
          </w:tcPr>
          <w:p w14:paraId="1CB9212E" w14:textId="0E9C9C66"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475" w:type="pct"/>
            <w:noWrap/>
            <w:hideMark/>
          </w:tcPr>
          <w:p w14:paraId="053AA0CE" w14:textId="2928A78F"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475" w:type="pct"/>
            <w:noWrap/>
            <w:hideMark/>
          </w:tcPr>
          <w:p w14:paraId="3537B011" w14:textId="17B0DCC3"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498" w:type="pct"/>
            <w:noWrap/>
            <w:hideMark/>
          </w:tcPr>
          <w:p w14:paraId="346A3C9D" w14:textId="7711E713"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498" w:type="pct"/>
            <w:noWrap/>
            <w:hideMark/>
          </w:tcPr>
          <w:p w14:paraId="6AA434F7" w14:textId="04DAB3A0"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498" w:type="pct"/>
            <w:noWrap/>
            <w:hideMark/>
          </w:tcPr>
          <w:p w14:paraId="3890D115" w14:textId="5529AE02"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r>
      <w:tr w:rsidR="00064586" w:rsidRPr="00D45C05" w14:paraId="3F3BDF60"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0F42F1E1" w14:textId="15680C66" w:rsidR="00064586" w:rsidRPr="00B26836" w:rsidRDefault="00064586" w:rsidP="00064586">
            <w:pPr>
              <w:keepNext/>
              <w:ind w:firstLineChars="100" w:firstLine="200"/>
              <w:jc w:val="left"/>
              <w:rPr>
                <w:rFonts w:eastAsia="Times New Roman"/>
                <w:szCs w:val="20"/>
              </w:rPr>
            </w:pPr>
            <w:r w:rsidRPr="00B26836">
              <w:t>Technical Achievable Potential</w:t>
            </w:r>
          </w:p>
        </w:tc>
        <w:tc>
          <w:tcPr>
            <w:tcW w:w="475" w:type="pct"/>
            <w:noWrap/>
            <w:hideMark/>
          </w:tcPr>
          <w:p w14:paraId="1645ED6D" w14:textId="30078228"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0.8%</w:t>
            </w:r>
          </w:p>
        </w:tc>
        <w:tc>
          <w:tcPr>
            <w:tcW w:w="475" w:type="pct"/>
            <w:noWrap/>
            <w:hideMark/>
          </w:tcPr>
          <w:p w14:paraId="13B23A47" w14:textId="7972D43E"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1.8%</w:t>
            </w:r>
          </w:p>
        </w:tc>
        <w:tc>
          <w:tcPr>
            <w:tcW w:w="475" w:type="pct"/>
            <w:noWrap/>
            <w:hideMark/>
          </w:tcPr>
          <w:p w14:paraId="37727ACE" w14:textId="10A1D375"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3.0%</w:t>
            </w:r>
          </w:p>
        </w:tc>
        <w:tc>
          <w:tcPr>
            <w:tcW w:w="498" w:type="pct"/>
            <w:noWrap/>
            <w:hideMark/>
          </w:tcPr>
          <w:p w14:paraId="3DDDEF7A" w14:textId="69F30441"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5.4%</w:t>
            </w:r>
          </w:p>
        </w:tc>
        <w:tc>
          <w:tcPr>
            <w:tcW w:w="498" w:type="pct"/>
            <w:noWrap/>
            <w:hideMark/>
          </w:tcPr>
          <w:p w14:paraId="0638EF78" w14:textId="65E06BE2"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12.5%</w:t>
            </w:r>
          </w:p>
        </w:tc>
        <w:tc>
          <w:tcPr>
            <w:tcW w:w="498" w:type="pct"/>
            <w:noWrap/>
            <w:hideMark/>
          </w:tcPr>
          <w:p w14:paraId="51478165" w14:textId="6F4961E5"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15.6%</w:t>
            </w:r>
          </w:p>
        </w:tc>
      </w:tr>
      <w:tr w:rsidR="00064586" w:rsidRPr="00D45C05" w14:paraId="1E6CA860"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76F53DFD" w14:textId="6D924A2D" w:rsidR="00064586" w:rsidRPr="00B26836" w:rsidRDefault="00064586" w:rsidP="00064586">
            <w:pPr>
              <w:keepNext/>
              <w:ind w:firstLineChars="100" w:firstLine="200"/>
              <w:jc w:val="left"/>
              <w:rPr>
                <w:rFonts w:eastAsia="Times New Roman"/>
                <w:szCs w:val="20"/>
              </w:rPr>
            </w:pPr>
            <w:r w:rsidRPr="00B26836">
              <w:t>Technical Potential</w:t>
            </w:r>
          </w:p>
        </w:tc>
        <w:tc>
          <w:tcPr>
            <w:tcW w:w="475" w:type="pct"/>
            <w:noWrap/>
            <w:hideMark/>
          </w:tcPr>
          <w:p w14:paraId="39580421" w14:textId="1DC0D5D1"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2.1%</w:t>
            </w:r>
          </w:p>
        </w:tc>
        <w:tc>
          <w:tcPr>
            <w:tcW w:w="475" w:type="pct"/>
            <w:noWrap/>
            <w:hideMark/>
          </w:tcPr>
          <w:p w14:paraId="00A32B27" w14:textId="2A910BC9"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4.4%</w:t>
            </w:r>
          </w:p>
        </w:tc>
        <w:tc>
          <w:tcPr>
            <w:tcW w:w="475" w:type="pct"/>
            <w:noWrap/>
            <w:hideMark/>
          </w:tcPr>
          <w:p w14:paraId="0EBB1D62" w14:textId="0EA93AF8"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6.9%</w:t>
            </w:r>
          </w:p>
        </w:tc>
        <w:tc>
          <w:tcPr>
            <w:tcW w:w="498" w:type="pct"/>
            <w:noWrap/>
            <w:hideMark/>
          </w:tcPr>
          <w:p w14:paraId="3B630481" w14:textId="1F08BFD2"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10.1%</w:t>
            </w:r>
          </w:p>
        </w:tc>
        <w:tc>
          <w:tcPr>
            <w:tcW w:w="498" w:type="pct"/>
            <w:noWrap/>
            <w:hideMark/>
          </w:tcPr>
          <w:p w14:paraId="60B0AE47" w14:textId="5F6CC4DC"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21.0%</w:t>
            </w:r>
          </w:p>
        </w:tc>
        <w:tc>
          <w:tcPr>
            <w:tcW w:w="498" w:type="pct"/>
            <w:noWrap/>
            <w:hideMark/>
          </w:tcPr>
          <w:p w14:paraId="751AC10B" w14:textId="412A8AC2"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26.0%</w:t>
            </w:r>
          </w:p>
        </w:tc>
      </w:tr>
      <w:tr w:rsidR="00064586" w:rsidRPr="00D45C05" w14:paraId="21F3085F"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49843B93" w14:textId="37B8ACB9" w:rsidR="00064586" w:rsidRPr="009468B2" w:rsidRDefault="00064586" w:rsidP="00064586">
            <w:pPr>
              <w:keepNext/>
              <w:jc w:val="left"/>
              <w:rPr>
                <w:rFonts w:asciiTheme="majorHAnsi" w:eastAsia="Times New Roman" w:hAnsiTheme="majorHAnsi"/>
                <w:szCs w:val="20"/>
              </w:rPr>
            </w:pPr>
            <w:r w:rsidRPr="009468B2">
              <w:rPr>
                <w:rFonts w:asciiTheme="majorHAnsi" w:hAnsiTheme="majorHAnsi"/>
              </w:rPr>
              <w:t>Cumulative Savings (aMW)</w:t>
            </w:r>
          </w:p>
        </w:tc>
        <w:tc>
          <w:tcPr>
            <w:tcW w:w="475" w:type="pct"/>
            <w:noWrap/>
            <w:hideMark/>
          </w:tcPr>
          <w:p w14:paraId="70EE41ED" w14:textId="3B055500"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75" w:type="pct"/>
            <w:noWrap/>
            <w:hideMark/>
          </w:tcPr>
          <w:p w14:paraId="7F6424E5" w14:textId="569AA569"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75" w:type="pct"/>
            <w:noWrap/>
            <w:hideMark/>
          </w:tcPr>
          <w:p w14:paraId="3FE85283" w14:textId="05C880C5"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98" w:type="pct"/>
            <w:noWrap/>
            <w:hideMark/>
          </w:tcPr>
          <w:p w14:paraId="4EB24607" w14:textId="7800ADF3"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98" w:type="pct"/>
            <w:noWrap/>
            <w:hideMark/>
          </w:tcPr>
          <w:p w14:paraId="28355D9A" w14:textId="4D1E3FCF"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498" w:type="pct"/>
            <w:noWrap/>
            <w:hideMark/>
          </w:tcPr>
          <w:p w14:paraId="2254955E" w14:textId="1C82BDD8"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r>
      <w:tr w:rsidR="00064586" w:rsidRPr="00D45C05" w14:paraId="65BE1AAD" w14:textId="77777777" w:rsidTr="001F35BB">
        <w:trPr>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0394FA75" w14:textId="69205676" w:rsidR="00064586" w:rsidRPr="00B26836" w:rsidRDefault="00064586" w:rsidP="00064586">
            <w:pPr>
              <w:keepNext/>
              <w:ind w:firstLineChars="100" w:firstLine="200"/>
              <w:jc w:val="left"/>
              <w:rPr>
                <w:rFonts w:eastAsia="Times New Roman"/>
                <w:szCs w:val="20"/>
              </w:rPr>
            </w:pPr>
            <w:r w:rsidRPr="00B26836">
              <w:t>Technical Achievable Potential</w:t>
            </w:r>
          </w:p>
        </w:tc>
        <w:tc>
          <w:tcPr>
            <w:tcW w:w="475" w:type="pct"/>
            <w:noWrap/>
            <w:hideMark/>
          </w:tcPr>
          <w:p w14:paraId="05591B19" w14:textId="1430BE52"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1.3</w:t>
            </w:r>
          </w:p>
        </w:tc>
        <w:tc>
          <w:tcPr>
            <w:tcW w:w="475" w:type="pct"/>
            <w:noWrap/>
            <w:hideMark/>
          </w:tcPr>
          <w:p w14:paraId="46713139" w14:textId="4412B90B"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2.9</w:t>
            </w:r>
          </w:p>
        </w:tc>
        <w:tc>
          <w:tcPr>
            <w:tcW w:w="475" w:type="pct"/>
            <w:noWrap/>
            <w:hideMark/>
          </w:tcPr>
          <w:p w14:paraId="7F7A38D0" w14:textId="6356BE9E"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4.8</w:t>
            </w:r>
          </w:p>
        </w:tc>
        <w:tc>
          <w:tcPr>
            <w:tcW w:w="498" w:type="pct"/>
            <w:noWrap/>
            <w:hideMark/>
          </w:tcPr>
          <w:p w14:paraId="0EE26CFD" w14:textId="32B44192"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8.9</w:t>
            </w:r>
          </w:p>
        </w:tc>
        <w:tc>
          <w:tcPr>
            <w:tcW w:w="498" w:type="pct"/>
            <w:noWrap/>
            <w:hideMark/>
          </w:tcPr>
          <w:p w14:paraId="1F7BEF44" w14:textId="7D6B4CC2"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21.8</w:t>
            </w:r>
          </w:p>
        </w:tc>
        <w:tc>
          <w:tcPr>
            <w:tcW w:w="498" w:type="pct"/>
            <w:noWrap/>
            <w:hideMark/>
          </w:tcPr>
          <w:p w14:paraId="7096D6DF" w14:textId="199BFBCF" w:rsidR="00064586" w:rsidRPr="00B26836" w:rsidRDefault="00064586"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B26836">
              <w:t>31.3</w:t>
            </w:r>
          </w:p>
        </w:tc>
      </w:tr>
      <w:tr w:rsidR="00064586" w:rsidRPr="00D45C05" w14:paraId="2F31A029" w14:textId="77777777" w:rsidTr="001F35BB">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082" w:type="pct"/>
            <w:noWrap/>
            <w:hideMark/>
          </w:tcPr>
          <w:p w14:paraId="49124DD1" w14:textId="02BD6B64" w:rsidR="00064586" w:rsidRPr="00B26836" w:rsidRDefault="00064586" w:rsidP="00064586">
            <w:pPr>
              <w:keepNext/>
              <w:ind w:firstLineChars="100" w:firstLine="200"/>
              <w:jc w:val="left"/>
              <w:rPr>
                <w:rFonts w:eastAsia="Times New Roman"/>
                <w:szCs w:val="20"/>
              </w:rPr>
            </w:pPr>
            <w:r w:rsidRPr="00B26836">
              <w:t>Technical Potential</w:t>
            </w:r>
          </w:p>
        </w:tc>
        <w:tc>
          <w:tcPr>
            <w:tcW w:w="475" w:type="pct"/>
            <w:noWrap/>
            <w:hideMark/>
          </w:tcPr>
          <w:p w14:paraId="5E402523" w14:textId="63AFE939"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3.4</w:t>
            </w:r>
          </w:p>
        </w:tc>
        <w:tc>
          <w:tcPr>
            <w:tcW w:w="475" w:type="pct"/>
            <w:noWrap/>
            <w:hideMark/>
          </w:tcPr>
          <w:p w14:paraId="5DDDA43A" w14:textId="1EBBD9AA"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7.2</w:t>
            </w:r>
          </w:p>
        </w:tc>
        <w:tc>
          <w:tcPr>
            <w:tcW w:w="475" w:type="pct"/>
            <w:noWrap/>
            <w:hideMark/>
          </w:tcPr>
          <w:p w14:paraId="1AF23038" w14:textId="5DB2E2AB"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11.1</w:t>
            </w:r>
          </w:p>
        </w:tc>
        <w:tc>
          <w:tcPr>
            <w:tcW w:w="498" w:type="pct"/>
            <w:noWrap/>
            <w:hideMark/>
          </w:tcPr>
          <w:p w14:paraId="5830A471" w14:textId="72D02399"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16.7</w:t>
            </w:r>
          </w:p>
        </w:tc>
        <w:tc>
          <w:tcPr>
            <w:tcW w:w="498" w:type="pct"/>
            <w:noWrap/>
            <w:hideMark/>
          </w:tcPr>
          <w:p w14:paraId="5D21638F" w14:textId="39327E8F"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36.6</w:t>
            </w:r>
          </w:p>
        </w:tc>
        <w:tc>
          <w:tcPr>
            <w:tcW w:w="498" w:type="pct"/>
            <w:noWrap/>
            <w:hideMark/>
          </w:tcPr>
          <w:p w14:paraId="64F53CFD" w14:textId="3EE7EF26" w:rsidR="00064586" w:rsidRPr="00B26836" w:rsidRDefault="00064586"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B26836">
              <w:t>52.4</w:t>
            </w:r>
          </w:p>
        </w:tc>
      </w:tr>
    </w:tbl>
    <w:p w14:paraId="54C902D4" w14:textId="77777777" w:rsidR="00DF5372" w:rsidRDefault="00DF5372" w:rsidP="00844662">
      <w:pPr>
        <w:rPr>
          <w:lang w:eastAsia="ja-JP"/>
        </w:rPr>
      </w:pPr>
    </w:p>
    <w:p w14:paraId="3C0DDA65" w14:textId="7833EA57" w:rsidR="00C86F85" w:rsidRDefault="00C86F85" w:rsidP="00C86F85">
      <w:pPr>
        <w:pStyle w:val="FigureorTableCaption"/>
      </w:pPr>
      <w:bookmarkStart w:id="132" w:name="_Ref175815369"/>
      <w:bookmarkStart w:id="133" w:name="_Toc175904450"/>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4</w:t>
      </w:r>
      <w:r w:rsidR="000E34CB">
        <w:fldChar w:fldCharType="end"/>
      </w:r>
      <w:bookmarkEnd w:id="132"/>
      <w:r w:rsidR="009246C7">
        <w:t xml:space="preserve"> </w:t>
      </w:r>
      <w:r w:rsidRPr="004A49DE">
        <w:t>Residential Cumulative Conservation Potential, Washington</w:t>
      </w:r>
      <w:bookmarkEnd w:id="133"/>
    </w:p>
    <w:p w14:paraId="26E40895" w14:textId="55856D56" w:rsidR="005E2335" w:rsidRDefault="00EC0C23" w:rsidP="00C54C72">
      <w:pPr>
        <w:jc w:val="center"/>
        <w:rPr>
          <w:lang w:eastAsia="ja-JP"/>
        </w:rPr>
      </w:pPr>
      <w:r>
        <w:rPr>
          <w:noProof/>
        </w:rPr>
        <w:drawing>
          <wp:inline distT="0" distB="0" distL="0" distR="0" wp14:anchorId="7AC05A0D" wp14:editId="4CBD28FB">
            <wp:extent cx="5943600" cy="2560320"/>
            <wp:effectExtent l="0" t="0" r="0" b="0"/>
            <wp:docPr id="1481892556" name="Chart 1">
              <a:extLst xmlns:a="http://schemas.openxmlformats.org/drawingml/2006/main">
                <a:ext uri="{FF2B5EF4-FFF2-40B4-BE49-F238E27FC236}">
                  <a16:creationId xmlns:a16="http://schemas.microsoft.com/office/drawing/2014/main" id="{A51F5A5F-8782-457E-8F47-21FE0F114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F30CAD2" w14:textId="77777777" w:rsidR="00592CBB" w:rsidRDefault="00592CBB" w:rsidP="00844662">
      <w:pPr>
        <w:rPr>
          <w:lang w:eastAsia="ja-JP"/>
        </w:rPr>
      </w:pPr>
    </w:p>
    <w:p w14:paraId="5345B236" w14:textId="52F95B42" w:rsidR="00C86F85" w:rsidRDefault="00C86F85" w:rsidP="00C86F85">
      <w:pPr>
        <w:pStyle w:val="FigureorTableCaption"/>
      </w:pPr>
      <w:bookmarkStart w:id="134" w:name="_Ref175815374"/>
      <w:bookmarkStart w:id="135" w:name="_Toc175904451"/>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5</w:t>
      </w:r>
      <w:r w:rsidR="000E34CB">
        <w:fldChar w:fldCharType="end"/>
      </w:r>
      <w:bookmarkEnd w:id="134"/>
      <w:r w:rsidR="009246C7">
        <w:t xml:space="preserve"> </w:t>
      </w:r>
      <w:r w:rsidRPr="00A24920">
        <w:t>Residential Cumulative Conservation Potential, Idaho</w:t>
      </w:r>
      <w:bookmarkEnd w:id="135"/>
    </w:p>
    <w:p w14:paraId="5FBCBB57" w14:textId="349C7AA2" w:rsidR="00592CBB" w:rsidRDefault="00EC0C23" w:rsidP="00C54C72">
      <w:pPr>
        <w:jc w:val="center"/>
        <w:rPr>
          <w:lang w:eastAsia="ja-JP"/>
        </w:rPr>
      </w:pPr>
      <w:r>
        <w:rPr>
          <w:noProof/>
        </w:rPr>
        <w:drawing>
          <wp:inline distT="0" distB="0" distL="0" distR="0" wp14:anchorId="72195C36" wp14:editId="407BBE29">
            <wp:extent cx="5943600" cy="2560320"/>
            <wp:effectExtent l="0" t="0" r="0" b="0"/>
            <wp:docPr id="2100064555" name="Chart 1">
              <a:extLst xmlns:a="http://schemas.openxmlformats.org/drawingml/2006/main">
                <a:ext uri="{FF2B5EF4-FFF2-40B4-BE49-F238E27FC236}">
                  <a16:creationId xmlns:a16="http://schemas.microsoft.com/office/drawing/2014/main" id="{A51F5A5F-8782-457E-8F47-21FE0F114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300CC1F" w14:textId="12C6F1D2" w:rsidR="00F70A01" w:rsidRDefault="00CD7C38" w:rsidP="00165C17">
      <w:pPr>
        <w:pStyle w:val="AEGBody"/>
      </w:pPr>
      <w:r>
        <w:rPr>
          <w:bCs/>
        </w:rPr>
        <w:lastRenderedPageBreak/>
        <w:fldChar w:fldCharType="begin"/>
      </w:r>
      <w:r>
        <w:rPr>
          <w:bCs/>
        </w:rPr>
        <w:instrText xml:space="preserve"> REF _Ref175815829 \h </w:instrText>
      </w:r>
      <w:r>
        <w:rPr>
          <w:bCs/>
        </w:rPr>
      </w:r>
      <w:r>
        <w:rPr>
          <w:bCs/>
        </w:rPr>
        <w:fldChar w:fldCharType="separate"/>
      </w:r>
      <w:r>
        <w:t xml:space="preserve">Figure </w:t>
      </w:r>
      <w:r>
        <w:rPr>
          <w:noProof/>
        </w:rPr>
        <w:t>5</w:t>
      </w:r>
      <w:r>
        <w:noBreakHyphen/>
      </w:r>
      <w:r>
        <w:rPr>
          <w:noProof/>
        </w:rPr>
        <w:t>6</w:t>
      </w:r>
      <w:r>
        <w:rPr>
          <w:bCs/>
        </w:rPr>
        <w:fldChar w:fldCharType="end"/>
      </w:r>
      <w:r w:rsidR="00F70A01">
        <w:t xml:space="preserve"> </w:t>
      </w:r>
      <w:r w:rsidR="00F70A01" w:rsidRPr="00C22C96">
        <w:t xml:space="preserve">presents </w:t>
      </w:r>
      <w:r w:rsidR="00F70A01">
        <w:t>the</w:t>
      </w:r>
      <w:r w:rsidR="00F70A01" w:rsidRPr="00C22C96">
        <w:t xml:space="preserve"> cumulative</w:t>
      </w:r>
      <w:r w:rsidR="00F70A01">
        <w:t xml:space="preserve"> residential</w:t>
      </w:r>
      <w:r w:rsidR="00F70A01" w:rsidRPr="00C22C96">
        <w:t xml:space="preserve"> </w:t>
      </w:r>
      <w:r w:rsidR="00F70A01">
        <w:t>Achievable Technical Potential by end use in</w:t>
      </w:r>
      <w:r w:rsidR="00F70A01" w:rsidRPr="00C22C96">
        <w:t xml:space="preserve"> Washington. </w:t>
      </w:r>
      <w:r w:rsidR="00F70A01">
        <w:t>S</w:t>
      </w:r>
      <w:r w:rsidR="00F70A01" w:rsidRPr="00C22C96">
        <w:t xml:space="preserve">pace heating and water heating account for a substantial portion of the savings throughout the forecast </w:t>
      </w:r>
      <w:r w:rsidR="00F70A01" w:rsidRPr="007E6907">
        <w:t xml:space="preserve">horizon. Weatherization, </w:t>
      </w:r>
      <w:r w:rsidR="007E6907" w:rsidRPr="007E6907">
        <w:t>HVAC</w:t>
      </w:r>
      <w:r w:rsidR="00F70A01" w:rsidRPr="007E6907">
        <w:t>, and heat pump water heaters account for a large portion of potential over the 20-year study period. LED lighting, while still present, is reduced in comparison to prior studies, as RTF market baseline assumptions and the Washington state lighting standard have moved a substantial amount of potential from those technologies into the baseline projection.</w:t>
      </w:r>
    </w:p>
    <w:p w14:paraId="2689850C" w14:textId="79B4E2F3" w:rsidR="00C86F85" w:rsidRDefault="00C86F85" w:rsidP="00C86F85">
      <w:pPr>
        <w:pStyle w:val="Caption"/>
      </w:pPr>
      <w:bookmarkStart w:id="136" w:name="_Ref175815829"/>
      <w:bookmarkStart w:id="137" w:name="_Toc175904452"/>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6</w:t>
      </w:r>
      <w:r w:rsidR="000E34CB">
        <w:fldChar w:fldCharType="end"/>
      </w:r>
      <w:bookmarkEnd w:id="136"/>
      <w:r w:rsidR="009246C7">
        <w:t xml:space="preserve"> </w:t>
      </w:r>
      <w:r w:rsidRPr="00B31B1F">
        <w:t>Residential Cumulative Achievable Technical Potential by End Use, Washington</w:t>
      </w:r>
      <w:bookmarkEnd w:id="137"/>
    </w:p>
    <w:p w14:paraId="76059014" w14:textId="77777777" w:rsidR="00BF7089" w:rsidRDefault="00D20B1F" w:rsidP="00C54C72">
      <w:pPr>
        <w:jc w:val="center"/>
      </w:pPr>
      <w:r>
        <w:rPr>
          <w:noProof/>
        </w:rPr>
        <w:drawing>
          <wp:inline distT="0" distB="0" distL="0" distR="0" wp14:anchorId="52A7B216" wp14:editId="5271E810">
            <wp:extent cx="5453740" cy="2743200"/>
            <wp:effectExtent l="0" t="0" r="0" b="0"/>
            <wp:docPr id="145786146" name="Chart 1">
              <a:extLst xmlns:a="http://schemas.openxmlformats.org/drawingml/2006/main">
                <a:ext uri="{FF2B5EF4-FFF2-40B4-BE49-F238E27FC236}">
                  <a16:creationId xmlns:a16="http://schemas.microsoft.com/office/drawing/2014/main" id="{45EF645E-7707-4FCC-9DD0-A5E86900D6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B33B360" w14:textId="7537C1AE" w:rsidR="000E162B" w:rsidRPr="00165C17" w:rsidRDefault="00CD7C38" w:rsidP="00165C17">
      <w:pPr>
        <w:pStyle w:val="AEGBody"/>
      </w:pPr>
      <w:r>
        <w:fldChar w:fldCharType="begin"/>
      </w:r>
      <w:r>
        <w:instrText xml:space="preserve"> REF _Ref175815848 \h </w:instrText>
      </w:r>
      <w:r>
        <w:fldChar w:fldCharType="separate"/>
      </w:r>
      <w:r>
        <w:t xml:space="preserve">Table </w:t>
      </w:r>
      <w:r>
        <w:rPr>
          <w:noProof/>
        </w:rPr>
        <w:t>5</w:t>
      </w:r>
      <w:r>
        <w:noBreakHyphen/>
      </w:r>
      <w:r>
        <w:rPr>
          <w:noProof/>
        </w:rPr>
        <w:t>6</w:t>
      </w:r>
      <w:r>
        <w:fldChar w:fldCharType="end"/>
      </w:r>
      <w:r w:rsidR="00BF7089" w:rsidRPr="00C937E8">
        <w:t xml:space="preserve"> identifies the top 20 residential measures from the perspective of cumulative Achievable Technical Potential for </w:t>
      </w:r>
      <w:r w:rsidR="00BF7089" w:rsidRPr="00364B90">
        <w:t>Washington in 2045, the final year of the planning horizon.</w:t>
      </w:r>
      <w:r w:rsidR="00BF7089" w:rsidRPr="00C937E8">
        <w:t xml:space="preserve"> The top three measures include </w:t>
      </w:r>
      <w:r w:rsidR="00BF7089" w:rsidRPr="00246D38">
        <w:t xml:space="preserve">high-efficiency windows, high-efficiency </w:t>
      </w:r>
      <w:r w:rsidR="007E6907">
        <w:t xml:space="preserve">heat pump </w:t>
      </w:r>
      <w:r w:rsidR="00BF7089" w:rsidRPr="00246D38">
        <w:t>water heaters</w:t>
      </w:r>
      <w:r w:rsidR="00E32EC3">
        <w:t xml:space="preserve"> (above the new federal standard after 2030)</w:t>
      </w:r>
      <w:r w:rsidR="00BF7089" w:rsidRPr="00246D38">
        <w:t>, and level 2 electric vehicles.</w:t>
      </w:r>
      <w:r w:rsidR="00BF7089" w:rsidRPr="00C937E8">
        <w:t xml:space="preserve"> Note that achievable technical savings do not screen for cost-effectiveness, and some measures are expected to be screened out during the IRP process.</w:t>
      </w:r>
    </w:p>
    <w:p w14:paraId="423AEA16" w14:textId="0606C5B7" w:rsidR="00DC6FA6" w:rsidRDefault="00DC6FA6" w:rsidP="00DC6FA6">
      <w:pPr>
        <w:pStyle w:val="FigureorTableCaption"/>
      </w:pPr>
      <w:bookmarkStart w:id="138" w:name="_Ref175815848"/>
      <w:bookmarkStart w:id="139" w:name="_Toc175912390"/>
      <w:r>
        <w:lastRenderedPageBreak/>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6</w:t>
      </w:r>
      <w:r w:rsidR="00EE4707">
        <w:fldChar w:fldCharType="end"/>
      </w:r>
      <w:bookmarkEnd w:id="138"/>
      <w:r w:rsidR="009246C7">
        <w:t xml:space="preserve"> </w:t>
      </w:r>
      <w:r w:rsidRPr="004748E4">
        <w:t xml:space="preserve">Residential Top 20 Measures </w:t>
      </w:r>
      <w:r w:rsidR="006265FB">
        <w:t>in</w:t>
      </w:r>
      <w:r w:rsidRPr="004748E4">
        <w:t xml:space="preserve"> 2045, Washington</w:t>
      </w:r>
      <w:bookmarkEnd w:id="139"/>
    </w:p>
    <w:tbl>
      <w:tblPr>
        <w:tblStyle w:val="AEG-DarkBanded"/>
        <w:tblW w:w="5000" w:type="pct"/>
        <w:jc w:val="center"/>
        <w:tblLayout w:type="fixed"/>
        <w:tblLook w:val="04A0" w:firstRow="1" w:lastRow="0" w:firstColumn="1" w:lastColumn="0" w:noHBand="0" w:noVBand="1"/>
      </w:tblPr>
      <w:tblGrid>
        <w:gridCol w:w="1284"/>
        <w:gridCol w:w="5416"/>
        <w:gridCol w:w="1559"/>
        <w:gridCol w:w="1101"/>
      </w:tblGrid>
      <w:tr w:rsidR="00F16DD3" w:rsidRPr="00E46E80" w14:paraId="76065FB2" w14:textId="77777777" w:rsidTr="00CD7C38">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0F439B25" w14:textId="284FDF3B" w:rsidR="000E162B" w:rsidRPr="00DE0BE2" w:rsidRDefault="000E162B" w:rsidP="00CD7C38">
            <w:pPr>
              <w:keepNext/>
              <w:jc w:val="center"/>
              <w:rPr>
                <w:rFonts w:asciiTheme="majorHAnsi" w:eastAsia="Times New Roman" w:hAnsiTheme="majorHAnsi"/>
                <w:b w:val="0"/>
                <w:sz w:val="18"/>
                <w:szCs w:val="18"/>
              </w:rPr>
            </w:pPr>
            <w:r w:rsidRPr="00DE0BE2">
              <w:rPr>
                <w:rFonts w:asciiTheme="majorHAnsi" w:eastAsia="Times New Roman" w:hAnsiTheme="majorHAnsi"/>
                <w:b w:val="0"/>
                <w:sz w:val="18"/>
                <w:szCs w:val="18"/>
              </w:rPr>
              <w:t>Rank</w:t>
            </w:r>
          </w:p>
        </w:tc>
        <w:tc>
          <w:tcPr>
            <w:tcW w:w="2892" w:type="pct"/>
            <w:noWrap/>
            <w:hideMark/>
          </w:tcPr>
          <w:p w14:paraId="2FA3963C" w14:textId="3E8C86D6" w:rsidR="000E162B" w:rsidRPr="00DE0BE2" w:rsidRDefault="003C3DE0" w:rsidP="00CD7C38">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DE0BE2">
              <w:rPr>
                <w:rFonts w:asciiTheme="majorHAnsi" w:eastAsia="Times New Roman" w:hAnsiTheme="majorHAnsi"/>
                <w:b w:val="0"/>
                <w:sz w:val="18"/>
                <w:szCs w:val="18"/>
              </w:rPr>
              <w:t>Residential Measure</w:t>
            </w:r>
          </w:p>
        </w:tc>
        <w:tc>
          <w:tcPr>
            <w:tcW w:w="833" w:type="pct"/>
            <w:hideMark/>
          </w:tcPr>
          <w:p w14:paraId="31C753B0" w14:textId="5C511D7E" w:rsidR="000E162B" w:rsidRPr="00DE0BE2" w:rsidRDefault="0029549C"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DE0BE2">
              <w:rPr>
                <w:rFonts w:asciiTheme="majorHAnsi" w:eastAsia="Times New Roman" w:hAnsiTheme="majorHAnsi"/>
                <w:b w:val="0"/>
                <w:sz w:val="18"/>
                <w:szCs w:val="18"/>
              </w:rPr>
              <w:t>2045 Cumulative Savings (MWh)</w:t>
            </w:r>
          </w:p>
        </w:tc>
        <w:tc>
          <w:tcPr>
            <w:tcW w:w="588" w:type="pct"/>
            <w:noWrap/>
            <w:hideMark/>
          </w:tcPr>
          <w:p w14:paraId="46E26340" w14:textId="77777777" w:rsidR="000E162B" w:rsidRPr="00DE0BE2" w:rsidRDefault="000E162B" w:rsidP="009336C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 w:val="18"/>
                <w:szCs w:val="18"/>
              </w:rPr>
            </w:pPr>
            <w:r w:rsidRPr="00DE0BE2">
              <w:rPr>
                <w:rFonts w:asciiTheme="majorHAnsi" w:eastAsia="Times New Roman" w:hAnsiTheme="majorHAnsi"/>
                <w:b w:val="0"/>
                <w:sz w:val="18"/>
                <w:szCs w:val="18"/>
              </w:rPr>
              <w:t>% of Total</w:t>
            </w:r>
          </w:p>
        </w:tc>
      </w:tr>
      <w:tr w:rsidR="00931931" w:rsidRPr="00E46E80" w14:paraId="347EFB13"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6D921A82"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w:t>
            </w:r>
          </w:p>
        </w:tc>
        <w:tc>
          <w:tcPr>
            <w:tcW w:w="2892" w:type="pct"/>
            <w:noWrap/>
            <w:hideMark/>
          </w:tcPr>
          <w:p w14:paraId="190FEE55" w14:textId="770E197B"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Windows - High Efficiency (ENERGY STAR 7.0)</w:t>
            </w:r>
          </w:p>
        </w:tc>
        <w:tc>
          <w:tcPr>
            <w:tcW w:w="833" w:type="pct"/>
            <w:noWrap/>
            <w:hideMark/>
          </w:tcPr>
          <w:p w14:paraId="1336E529"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66,944</w:t>
            </w:r>
          </w:p>
        </w:tc>
        <w:tc>
          <w:tcPr>
            <w:tcW w:w="588" w:type="pct"/>
            <w:noWrap/>
            <w:hideMark/>
          </w:tcPr>
          <w:p w14:paraId="3C0204CD"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10.9%</w:t>
            </w:r>
          </w:p>
        </w:tc>
      </w:tr>
      <w:tr w:rsidR="00F16DD3" w:rsidRPr="00E46E80" w14:paraId="6E1218D7"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0672D023"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2</w:t>
            </w:r>
          </w:p>
        </w:tc>
        <w:tc>
          <w:tcPr>
            <w:tcW w:w="2892" w:type="pct"/>
            <w:noWrap/>
            <w:hideMark/>
          </w:tcPr>
          <w:p w14:paraId="7DA78615" w14:textId="77777777"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Water Heater (&lt;= 55 Gal) - NEEA Tier 5 Heat Pump (CCE 3.5)</w:t>
            </w:r>
          </w:p>
        </w:tc>
        <w:tc>
          <w:tcPr>
            <w:tcW w:w="833" w:type="pct"/>
            <w:noWrap/>
            <w:hideMark/>
          </w:tcPr>
          <w:p w14:paraId="1ECFDCC0"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54,778</w:t>
            </w:r>
          </w:p>
        </w:tc>
        <w:tc>
          <w:tcPr>
            <w:tcW w:w="588" w:type="pct"/>
            <w:noWrap/>
            <w:hideMark/>
          </w:tcPr>
          <w:p w14:paraId="275474D0"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8.9%</w:t>
            </w:r>
          </w:p>
        </w:tc>
      </w:tr>
      <w:tr w:rsidR="00931931" w:rsidRPr="00E46E80" w14:paraId="689A7B3D"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474FE2AC"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3</w:t>
            </w:r>
          </w:p>
        </w:tc>
        <w:tc>
          <w:tcPr>
            <w:tcW w:w="2892" w:type="pct"/>
            <w:noWrap/>
            <w:hideMark/>
          </w:tcPr>
          <w:p w14:paraId="5EB7AFFB" w14:textId="77777777"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Electric Vehicles - Level 2</w:t>
            </w:r>
          </w:p>
        </w:tc>
        <w:tc>
          <w:tcPr>
            <w:tcW w:w="833" w:type="pct"/>
            <w:noWrap/>
            <w:hideMark/>
          </w:tcPr>
          <w:p w14:paraId="47E725AC"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42,321</w:t>
            </w:r>
          </w:p>
        </w:tc>
        <w:tc>
          <w:tcPr>
            <w:tcW w:w="588" w:type="pct"/>
            <w:noWrap/>
            <w:hideMark/>
          </w:tcPr>
          <w:p w14:paraId="099D0A22"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6.9%</w:t>
            </w:r>
          </w:p>
        </w:tc>
      </w:tr>
      <w:tr w:rsidR="00F16DD3" w:rsidRPr="00E46E80" w14:paraId="36941A86"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0976B88B"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4</w:t>
            </w:r>
          </w:p>
        </w:tc>
        <w:tc>
          <w:tcPr>
            <w:tcW w:w="2892" w:type="pct"/>
            <w:noWrap/>
            <w:hideMark/>
          </w:tcPr>
          <w:p w14:paraId="2A9256C2" w14:textId="546729D3"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Ducting - Repair and Sealing</w:t>
            </w:r>
          </w:p>
        </w:tc>
        <w:tc>
          <w:tcPr>
            <w:tcW w:w="833" w:type="pct"/>
            <w:noWrap/>
            <w:hideMark/>
          </w:tcPr>
          <w:p w14:paraId="4B171509"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24,439</w:t>
            </w:r>
          </w:p>
        </w:tc>
        <w:tc>
          <w:tcPr>
            <w:tcW w:w="588" w:type="pct"/>
            <w:noWrap/>
            <w:hideMark/>
          </w:tcPr>
          <w:p w14:paraId="4F8EDBD3"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4.0%</w:t>
            </w:r>
          </w:p>
        </w:tc>
      </w:tr>
      <w:tr w:rsidR="00931931" w:rsidRPr="00E46E80" w14:paraId="734B18A6"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6ACA5D98"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5</w:t>
            </w:r>
          </w:p>
        </w:tc>
        <w:tc>
          <w:tcPr>
            <w:tcW w:w="2892" w:type="pct"/>
            <w:noWrap/>
            <w:hideMark/>
          </w:tcPr>
          <w:p w14:paraId="70758508" w14:textId="1ECEE699"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Windows - High Efficiency (Triple Pane)</w:t>
            </w:r>
          </w:p>
        </w:tc>
        <w:tc>
          <w:tcPr>
            <w:tcW w:w="833" w:type="pct"/>
            <w:noWrap/>
            <w:hideMark/>
          </w:tcPr>
          <w:p w14:paraId="677D64A3"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22,645</w:t>
            </w:r>
          </w:p>
        </w:tc>
        <w:tc>
          <w:tcPr>
            <w:tcW w:w="588" w:type="pct"/>
            <w:noWrap/>
            <w:hideMark/>
          </w:tcPr>
          <w:p w14:paraId="508AAE3C"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3.7%</w:t>
            </w:r>
          </w:p>
        </w:tc>
      </w:tr>
      <w:tr w:rsidR="00F16DD3" w:rsidRPr="00E46E80" w14:paraId="75AA046E"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22FD84E1"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6</w:t>
            </w:r>
          </w:p>
        </w:tc>
        <w:tc>
          <w:tcPr>
            <w:tcW w:w="2892" w:type="pct"/>
            <w:noWrap/>
            <w:hideMark/>
          </w:tcPr>
          <w:p w14:paraId="72DF66DB" w14:textId="41713DEB"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Insulation - Wall Sheathing</w:t>
            </w:r>
          </w:p>
        </w:tc>
        <w:tc>
          <w:tcPr>
            <w:tcW w:w="833" w:type="pct"/>
            <w:noWrap/>
            <w:hideMark/>
          </w:tcPr>
          <w:p w14:paraId="7F79C575"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20,502</w:t>
            </w:r>
          </w:p>
        </w:tc>
        <w:tc>
          <w:tcPr>
            <w:tcW w:w="588" w:type="pct"/>
            <w:noWrap/>
            <w:hideMark/>
          </w:tcPr>
          <w:p w14:paraId="7D991AE7"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3.3%</w:t>
            </w:r>
          </w:p>
        </w:tc>
      </w:tr>
      <w:tr w:rsidR="00931931" w:rsidRPr="00E46E80" w14:paraId="6F5207DE"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1678DB30"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7</w:t>
            </w:r>
          </w:p>
        </w:tc>
        <w:tc>
          <w:tcPr>
            <w:tcW w:w="2892" w:type="pct"/>
            <w:noWrap/>
            <w:hideMark/>
          </w:tcPr>
          <w:p w14:paraId="357D7137" w14:textId="031CB06F"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Home Energy Reports</w:t>
            </w:r>
          </w:p>
        </w:tc>
        <w:tc>
          <w:tcPr>
            <w:tcW w:w="833" w:type="pct"/>
            <w:noWrap/>
            <w:hideMark/>
          </w:tcPr>
          <w:p w14:paraId="286D2E56"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19,089</w:t>
            </w:r>
          </w:p>
        </w:tc>
        <w:tc>
          <w:tcPr>
            <w:tcW w:w="588" w:type="pct"/>
            <w:noWrap/>
            <w:hideMark/>
          </w:tcPr>
          <w:p w14:paraId="7F976D88"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3.1%</w:t>
            </w:r>
          </w:p>
        </w:tc>
      </w:tr>
      <w:tr w:rsidR="00F16DD3" w:rsidRPr="00E46E80" w14:paraId="24541A12"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3904CD74"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8</w:t>
            </w:r>
          </w:p>
        </w:tc>
        <w:tc>
          <w:tcPr>
            <w:tcW w:w="2892" w:type="pct"/>
            <w:noWrap/>
            <w:hideMark/>
          </w:tcPr>
          <w:p w14:paraId="084AB416" w14:textId="010DC785"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Clothes Dryer - UCEF 2.62/CEF 3.93 - ENERGY STAR 1.1</w:t>
            </w:r>
          </w:p>
        </w:tc>
        <w:tc>
          <w:tcPr>
            <w:tcW w:w="833" w:type="pct"/>
            <w:noWrap/>
            <w:hideMark/>
          </w:tcPr>
          <w:p w14:paraId="34EB5469"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18,893</w:t>
            </w:r>
          </w:p>
        </w:tc>
        <w:tc>
          <w:tcPr>
            <w:tcW w:w="588" w:type="pct"/>
            <w:noWrap/>
            <w:hideMark/>
          </w:tcPr>
          <w:p w14:paraId="4311FE43"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3.1%</w:t>
            </w:r>
          </w:p>
        </w:tc>
      </w:tr>
      <w:tr w:rsidR="00931931" w:rsidRPr="00E46E80" w14:paraId="59A298B4"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4978F430"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9</w:t>
            </w:r>
          </w:p>
        </w:tc>
        <w:tc>
          <w:tcPr>
            <w:tcW w:w="2892" w:type="pct"/>
            <w:noWrap/>
            <w:hideMark/>
          </w:tcPr>
          <w:p w14:paraId="403CB280" w14:textId="5F29E866"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Building Shell - Air Sealing (Infiltration Control)</w:t>
            </w:r>
          </w:p>
        </w:tc>
        <w:tc>
          <w:tcPr>
            <w:tcW w:w="833" w:type="pct"/>
            <w:noWrap/>
            <w:hideMark/>
          </w:tcPr>
          <w:p w14:paraId="7398A2E7"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18,579</w:t>
            </w:r>
          </w:p>
        </w:tc>
        <w:tc>
          <w:tcPr>
            <w:tcW w:w="588" w:type="pct"/>
            <w:noWrap/>
            <w:hideMark/>
          </w:tcPr>
          <w:p w14:paraId="41AE5FEB"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3.0%</w:t>
            </w:r>
          </w:p>
        </w:tc>
      </w:tr>
      <w:tr w:rsidR="00F16DD3" w:rsidRPr="00E46E80" w14:paraId="28628163"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4DC92587"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10</w:t>
            </w:r>
          </w:p>
        </w:tc>
        <w:tc>
          <w:tcPr>
            <w:tcW w:w="2892" w:type="pct"/>
            <w:noWrap/>
            <w:hideMark/>
          </w:tcPr>
          <w:p w14:paraId="38B19AB6" w14:textId="6C1AEB9F"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Insulation - Ducting</w:t>
            </w:r>
          </w:p>
        </w:tc>
        <w:tc>
          <w:tcPr>
            <w:tcW w:w="833" w:type="pct"/>
            <w:noWrap/>
            <w:hideMark/>
          </w:tcPr>
          <w:p w14:paraId="10891CD3"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17,897</w:t>
            </w:r>
          </w:p>
        </w:tc>
        <w:tc>
          <w:tcPr>
            <w:tcW w:w="588" w:type="pct"/>
            <w:noWrap/>
            <w:hideMark/>
          </w:tcPr>
          <w:p w14:paraId="772382EC"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2.9%</w:t>
            </w:r>
          </w:p>
        </w:tc>
      </w:tr>
      <w:tr w:rsidR="00931931" w:rsidRPr="00E46E80" w14:paraId="4A5BE217"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660A6AEF"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11</w:t>
            </w:r>
          </w:p>
        </w:tc>
        <w:tc>
          <w:tcPr>
            <w:tcW w:w="2892" w:type="pct"/>
            <w:noWrap/>
            <w:hideMark/>
          </w:tcPr>
          <w:p w14:paraId="38B546F7" w14:textId="65C5845E"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Engine Block Heater Controls</w:t>
            </w:r>
          </w:p>
        </w:tc>
        <w:tc>
          <w:tcPr>
            <w:tcW w:w="833" w:type="pct"/>
            <w:noWrap/>
            <w:hideMark/>
          </w:tcPr>
          <w:p w14:paraId="1D703A0A"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16,557</w:t>
            </w:r>
          </w:p>
        </w:tc>
        <w:tc>
          <w:tcPr>
            <w:tcW w:w="588" w:type="pct"/>
            <w:noWrap/>
            <w:hideMark/>
          </w:tcPr>
          <w:p w14:paraId="756F4FF8"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2.7%</w:t>
            </w:r>
          </w:p>
        </w:tc>
      </w:tr>
      <w:tr w:rsidR="00F16DD3" w:rsidRPr="00E46E80" w14:paraId="00C535C0"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41FD7614"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12</w:t>
            </w:r>
          </w:p>
        </w:tc>
        <w:tc>
          <w:tcPr>
            <w:tcW w:w="2892" w:type="pct"/>
            <w:noWrap/>
            <w:hideMark/>
          </w:tcPr>
          <w:p w14:paraId="33A7C26B" w14:textId="6573F8E4"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Air-Source Heat Pump - SEER 16.0 / HSPF 9.2</w:t>
            </w:r>
          </w:p>
        </w:tc>
        <w:tc>
          <w:tcPr>
            <w:tcW w:w="833" w:type="pct"/>
            <w:noWrap/>
            <w:hideMark/>
          </w:tcPr>
          <w:p w14:paraId="45DA64F4"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15,952</w:t>
            </w:r>
          </w:p>
        </w:tc>
        <w:tc>
          <w:tcPr>
            <w:tcW w:w="588" w:type="pct"/>
            <w:noWrap/>
            <w:hideMark/>
          </w:tcPr>
          <w:p w14:paraId="665FB590"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2.6%</w:t>
            </w:r>
          </w:p>
        </w:tc>
      </w:tr>
      <w:tr w:rsidR="00931931" w:rsidRPr="00E46E80" w14:paraId="58694E28"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28ABB176"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13</w:t>
            </w:r>
          </w:p>
        </w:tc>
        <w:tc>
          <w:tcPr>
            <w:tcW w:w="2892" w:type="pct"/>
            <w:noWrap/>
            <w:hideMark/>
          </w:tcPr>
          <w:p w14:paraId="5DC3C3DF" w14:textId="77777777"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TVs - ENERGY STAR (9.0)</w:t>
            </w:r>
          </w:p>
        </w:tc>
        <w:tc>
          <w:tcPr>
            <w:tcW w:w="833" w:type="pct"/>
            <w:noWrap/>
            <w:hideMark/>
          </w:tcPr>
          <w:p w14:paraId="3A3E3CB5"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15,752</w:t>
            </w:r>
          </w:p>
        </w:tc>
        <w:tc>
          <w:tcPr>
            <w:tcW w:w="588" w:type="pct"/>
            <w:noWrap/>
            <w:hideMark/>
          </w:tcPr>
          <w:p w14:paraId="00ABC320"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2.6%</w:t>
            </w:r>
          </w:p>
        </w:tc>
      </w:tr>
      <w:tr w:rsidR="00F16DD3" w:rsidRPr="00E46E80" w14:paraId="300BFE04"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5AE842D3"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14</w:t>
            </w:r>
          </w:p>
        </w:tc>
        <w:tc>
          <w:tcPr>
            <w:tcW w:w="2892" w:type="pct"/>
            <w:noWrap/>
            <w:hideMark/>
          </w:tcPr>
          <w:p w14:paraId="1B588C58" w14:textId="3D738E55"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Advanced New Construction Designs</w:t>
            </w:r>
          </w:p>
        </w:tc>
        <w:tc>
          <w:tcPr>
            <w:tcW w:w="833" w:type="pct"/>
            <w:noWrap/>
            <w:hideMark/>
          </w:tcPr>
          <w:p w14:paraId="2F0CD0D4"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15,209</w:t>
            </w:r>
          </w:p>
        </w:tc>
        <w:tc>
          <w:tcPr>
            <w:tcW w:w="588" w:type="pct"/>
            <w:noWrap/>
            <w:hideMark/>
          </w:tcPr>
          <w:p w14:paraId="19B42C16"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2.5%</w:t>
            </w:r>
          </w:p>
        </w:tc>
      </w:tr>
      <w:tr w:rsidR="00931931" w:rsidRPr="00E46E80" w14:paraId="2644C5FF"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571CB7DE"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15</w:t>
            </w:r>
          </w:p>
        </w:tc>
        <w:tc>
          <w:tcPr>
            <w:tcW w:w="2892" w:type="pct"/>
            <w:noWrap/>
            <w:hideMark/>
          </w:tcPr>
          <w:p w14:paraId="03C6A661" w14:textId="3C60E810"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HVAC - Maintenance and Tune-Up</w:t>
            </w:r>
          </w:p>
        </w:tc>
        <w:tc>
          <w:tcPr>
            <w:tcW w:w="833" w:type="pct"/>
            <w:noWrap/>
            <w:hideMark/>
          </w:tcPr>
          <w:p w14:paraId="76E98BD6"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14,512</w:t>
            </w:r>
          </w:p>
        </w:tc>
        <w:tc>
          <w:tcPr>
            <w:tcW w:w="588" w:type="pct"/>
            <w:noWrap/>
            <w:hideMark/>
          </w:tcPr>
          <w:p w14:paraId="78A67E36"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2.4%</w:t>
            </w:r>
          </w:p>
        </w:tc>
      </w:tr>
      <w:tr w:rsidR="00F16DD3" w:rsidRPr="00E46E80" w14:paraId="0C59438B"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376C7C2A"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16</w:t>
            </w:r>
          </w:p>
        </w:tc>
        <w:tc>
          <w:tcPr>
            <w:tcW w:w="2892" w:type="pct"/>
            <w:noWrap/>
            <w:hideMark/>
          </w:tcPr>
          <w:p w14:paraId="57E41765" w14:textId="684B4CC5"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 xml:space="preserve">Clothes Washer - CEE Tier </w:t>
            </w:r>
            <w:r w:rsidR="002A6A6C" w:rsidRPr="00DD5361">
              <w:rPr>
                <w:rFonts w:asciiTheme="minorHAnsi" w:eastAsia="Times New Roman" w:hAnsiTheme="minorHAnsi"/>
                <w:sz w:val="18"/>
                <w:szCs w:val="18"/>
              </w:rPr>
              <w:t>2</w:t>
            </w:r>
          </w:p>
        </w:tc>
        <w:tc>
          <w:tcPr>
            <w:tcW w:w="833" w:type="pct"/>
            <w:noWrap/>
            <w:hideMark/>
          </w:tcPr>
          <w:p w14:paraId="64626A1C"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12,695</w:t>
            </w:r>
          </w:p>
        </w:tc>
        <w:tc>
          <w:tcPr>
            <w:tcW w:w="588" w:type="pct"/>
            <w:noWrap/>
            <w:hideMark/>
          </w:tcPr>
          <w:p w14:paraId="2E8DAE02"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2.1%</w:t>
            </w:r>
          </w:p>
        </w:tc>
      </w:tr>
      <w:tr w:rsidR="00931931" w:rsidRPr="00E46E80" w14:paraId="3233D87E"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5780E38B"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17</w:t>
            </w:r>
          </w:p>
        </w:tc>
        <w:tc>
          <w:tcPr>
            <w:tcW w:w="2892" w:type="pct"/>
            <w:noWrap/>
            <w:hideMark/>
          </w:tcPr>
          <w:p w14:paraId="06A6203E" w14:textId="77777777"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Insulation - Floor Upgrade - R-30</w:t>
            </w:r>
          </w:p>
        </w:tc>
        <w:tc>
          <w:tcPr>
            <w:tcW w:w="833" w:type="pct"/>
            <w:noWrap/>
            <w:hideMark/>
          </w:tcPr>
          <w:p w14:paraId="2E2FAEB6"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12,541</w:t>
            </w:r>
          </w:p>
        </w:tc>
        <w:tc>
          <w:tcPr>
            <w:tcW w:w="588" w:type="pct"/>
            <w:noWrap/>
            <w:hideMark/>
          </w:tcPr>
          <w:p w14:paraId="764E3AD4"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2.0%</w:t>
            </w:r>
          </w:p>
        </w:tc>
      </w:tr>
      <w:tr w:rsidR="00F16DD3" w:rsidRPr="00E46E80" w14:paraId="3841C542"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0A052ED2"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18</w:t>
            </w:r>
          </w:p>
        </w:tc>
        <w:tc>
          <w:tcPr>
            <w:tcW w:w="2892" w:type="pct"/>
            <w:noWrap/>
            <w:hideMark/>
          </w:tcPr>
          <w:p w14:paraId="03E1E7FD" w14:textId="261D3A24"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Ducting - Repair and Sealing - Aerosol</w:t>
            </w:r>
          </w:p>
        </w:tc>
        <w:tc>
          <w:tcPr>
            <w:tcW w:w="833" w:type="pct"/>
            <w:noWrap/>
            <w:hideMark/>
          </w:tcPr>
          <w:p w14:paraId="0C8D8325"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12,110</w:t>
            </w:r>
          </w:p>
        </w:tc>
        <w:tc>
          <w:tcPr>
            <w:tcW w:w="588" w:type="pct"/>
            <w:noWrap/>
            <w:hideMark/>
          </w:tcPr>
          <w:p w14:paraId="2BECD8B1"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2.0%</w:t>
            </w:r>
          </w:p>
        </w:tc>
      </w:tr>
      <w:tr w:rsidR="00931931" w:rsidRPr="00E46E80" w14:paraId="14D9A1FD"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4E394F57"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19</w:t>
            </w:r>
          </w:p>
        </w:tc>
        <w:tc>
          <w:tcPr>
            <w:tcW w:w="2892" w:type="pct"/>
            <w:noWrap/>
            <w:hideMark/>
          </w:tcPr>
          <w:p w14:paraId="07A598B2" w14:textId="31E74105"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Home Energy Management System (HEMS</w:t>
            </w:r>
            <w:r w:rsidR="002A6A6C" w:rsidRPr="00DD5361">
              <w:rPr>
                <w:rFonts w:asciiTheme="minorHAnsi" w:eastAsia="Times New Roman" w:hAnsiTheme="minorHAnsi"/>
                <w:sz w:val="18"/>
                <w:szCs w:val="18"/>
              </w:rPr>
              <w:t>)</w:t>
            </w:r>
          </w:p>
        </w:tc>
        <w:tc>
          <w:tcPr>
            <w:tcW w:w="833" w:type="pct"/>
            <w:noWrap/>
            <w:hideMark/>
          </w:tcPr>
          <w:p w14:paraId="76DFA134"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10,789</w:t>
            </w:r>
          </w:p>
        </w:tc>
        <w:tc>
          <w:tcPr>
            <w:tcW w:w="588" w:type="pct"/>
            <w:noWrap/>
            <w:hideMark/>
          </w:tcPr>
          <w:p w14:paraId="7C383F19"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1.7%</w:t>
            </w:r>
          </w:p>
        </w:tc>
      </w:tr>
      <w:tr w:rsidR="00F16DD3" w:rsidRPr="00E46E80" w14:paraId="16376E1D"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7C281CC8" w14:textId="77777777" w:rsidR="000E162B" w:rsidRPr="00DD5361" w:rsidRDefault="000E162B" w:rsidP="00CD7C38">
            <w:pPr>
              <w:keepNext/>
              <w:jc w:val="center"/>
              <w:rPr>
                <w:rFonts w:asciiTheme="minorHAnsi" w:eastAsia="Times New Roman" w:hAnsiTheme="minorHAnsi"/>
                <w:sz w:val="18"/>
                <w:szCs w:val="18"/>
              </w:rPr>
            </w:pPr>
            <w:r w:rsidRPr="00DD5361">
              <w:rPr>
                <w:rFonts w:asciiTheme="minorHAnsi" w:eastAsia="Times New Roman" w:hAnsiTheme="minorHAnsi"/>
                <w:sz w:val="18"/>
                <w:szCs w:val="18"/>
              </w:rPr>
              <w:t>20</w:t>
            </w:r>
          </w:p>
        </w:tc>
        <w:tc>
          <w:tcPr>
            <w:tcW w:w="2892" w:type="pct"/>
            <w:noWrap/>
            <w:hideMark/>
          </w:tcPr>
          <w:p w14:paraId="29E51580" w14:textId="0FB632FD"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Water Heater - Drainwater Heat Recovery</w:t>
            </w:r>
          </w:p>
        </w:tc>
        <w:tc>
          <w:tcPr>
            <w:tcW w:w="833" w:type="pct"/>
            <w:noWrap/>
            <w:hideMark/>
          </w:tcPr>
          <w:p w14:paraId="54769841"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10,187</w:t>
            </w:r>
          </w:p>
        </w:tc>
        <w:tc>
          <w:tcPr>
            <w:tcW w:w="588" w:type="pct"/>
            <w:noWrap/>
            <w:hideMark/>
          </w:tcPr>
          <w:p w14:paraId="64BBDDC3"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 w:val="18"/>
                <w:szCs w:val="18"/>
              </w:rPr>
            </w:pPr>
            <w:r w:rsidRPr="00DD5361">
              <w:rPr>
                <w:rFonts w:asciiTheme="minorHAnsi" w:eastAsia="Times New Roman" w:hAnsiTheme="minorHAnsi"/>
                <w:sz w:val="18"/>
                <w:szCs w:val="18"/>
              </w:rPr>
              <w:t>1.7%</w:t>
            </w:r>
          </w:p>
        </w:tc>
      </w:tr>
      <w:tr w:rsidR="00931931" w:rsidRPr="00E46E80" w14:paraId="2677E814" w14:textId="77777777" w:rsidTr="00CD7C38">
        <w:trPr>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67881411" w14:textId="1B5F5341" w:rsidR="000E162B" w:rsidRPr="00E46E80" w:rsidRDefault="000E162B" w:rsidP="00CD7C38">
            <w:pPr>
              <w:keepNext/>
              <w:jc w:val="center"/>
              <w:rPr>
                <w:rFonts w:ascii="Calibri" w:eastAsia="Times New Roman" w:hAnsi="Calibri"/>
                <w:b/>
                <w:bCs/>
                <w:sz w:val="18"/>
                <w:szCs w:val="18"/>
              </w:rPr>
            </w:pPr>
          </w:p>
        </w:tc>
        <w:tc>
          <w:tcPr>
            <w:tcW w:w="2892" w:type="pct"/>
            <w:noWrap/>
            <w:hideMark/>
          </w:tcPr>
          <w:p w14:paraId="6A76BF98" w14:textId="77777777" w:rsidR="000E162B" w:rsidRPr="00DD5361"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DD5361">
              <w:rPr>
                <w:rFonts w:asciiTheme="majorHAnsi" w:eastAsia="Times New Roman" w:hAnsiTheme="majorHAnsi"/>
                <w:sz w:val="18"/>
                <w:szCs w:val="18"/>
              </w:rPr>
              <w:t>Total of Top 20 Measures</w:t>
            </w:r>
          </w:p>
        </w:tc>
        <w:tc>
          <w:tcPr>
            <w:tcW w:w="833" w:type="pct"/>
            <w:noWrap/>
            <w:hideMark/>
          </w:tcPr>
          <w:p w14:paraId="68A107E1" w14:textId="77777777" w:rsidR="000E162B" w:rsidRPr="00DD5361"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DD5361">
              <w:rPr>
                <w:rFonts w:asciiTheme="majorHAnsi" w:eastAsia="Times New Roman" w:hAnsiTheme="majorHAnsi"/>
                <w:sz w:val="18"/>
                <w:szCs w:val="18"/>
              </w:rPr>
              <w:t>442,389</w:t>
            </w:r>
          </w:p>
        </w:tc>
        <w:tc>
          <w:tcPr>
            <w:tcW w:w="588" w:type="pct"/>
            <w:noWrap/>
            <w:hideMark/>
          </w:tcPr>
          <w:p w14:paraId="04B81E88" w14:textId="77777777" w:rsidR="000E162B" w:rsidRPr="00DD5361"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DD5361">
              <w:rPr>
                <w:rFonts w:asciiTheme="majorHAnsi" w:eastAsia="Times New Roman" w:hAnsiTheme="majorHAnsi"/>
                <w:sz w:val="18"/>
                <w:szCs w:val="18"/>
              </w:rPr>
              <w:t>71.7%</w:t>
            </w:r>
          </w:p>
        </w:tc>
      </w:tr>
      <w:tr w:rsidR="00F16DD3" w:rsidRPr="00E46E80" w14:paraId="020596B8" w14:textId="77777777" w:rsidTr="00CD7C38">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686" w:type="pct"/>
            <w:noWrap/>
            <w:hideMark/>
          </w:tcPr>
          <w:p w14:paraId="610F023C" w14:textId="33099671" w:rsidR="000E162B" w:rsidRPr="00E46E80" w:rsidRDefault="000E162B" w:rsidP="00CD7C38">
            <w:pPr>
              <w:keepNext/>
              <w:jc w:val="center"/>
              <w:rPr>
                <w:rFonts w:ascii="Calibri" w:eastAsia="Times New Roman" w:hAnsi="Calibri"/>
                <w:b/>
                <w:bCs/>
                <w:sz w:val="18"/>
                <w:szCs w:val="18"/>
              </w:rPr>
            </w:pPr>
          </w:p>
        </w:tc>
        <w:tc>
          <w:tcPr>
            <w:tcW w:w="2892" w:type="pct"/>
            <w:noWrap/>
            <w:hideMark/>
          </w:tcPr>
          <w:p w14:paraId="17D58FC4" w14:textId="77777777" w:rsidR="000E162B" w:rsidRPr="00DD5361"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 w:val="18"/>
                <w:szCs w:val="18"/>
              </w:rPr>
            </w:pPr>
            <w:r w:rsidRPr="00DD5361">
              <w:rPr>
                <w:rFonts w:asciiTheme="majorHAnsi" w:eastAsia="Times New Roman" w:hAnsiTheme="majorHAnsi"/>
                <w:sz w:val="18"/>
                <w:szCs w:val="18"/>
              </w:rPr>
              <w:t>Total Cumulative Savings</w:t>
            </w:r>
          </w:p>
        </w:tc>
        <w:tc>
          <w:tcPr>
            <w:tcW w:w="833" w:type="pct"/>
            <w:noWrap/>
            <w:hideMark/>
          </w:tcPr>
          <w:p w14:paraId="76F90F1E" w14:textId="77777777" w:rsidR="000E162B" w:rsidRPr="00DD5361"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 w:val="18"/>
                <w:szCs w:val="18"/>
              </w:rPr>
            </w:pPr>
            <w:r w:rsidRPr="00DD5361">
              <w:rPr>
                <w:rFonts w:asciiTheme="majorHAnsi" w:eastAsia="Times New Roman" w:hAnsiTheme="majorHAnsi"/>
                <w:sz w:val="18"/>
                <w:szCs w:val="18"/>
              </w:rPr>
              <w:t>616,674</w:t>
            </w:r>
          </w:p>
        </w:tc>
        <w:tc>
          <w:tcPr>
            <w:tcW w:w="588" w:type="pct"/>
            <w:noWrap/>
            <w:hideMark/>
          </w:tcPr>
          <w:p w14:paraId="4BC5E596" w14:textId="77777777" w:rsidR="000E162B" w:rsidRPr="00DD5361"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 w:val="18"/>
                <w:szCs w:val="18"/>
              </w:rPr>
            </w:pPr>
            <w:r w:rsidRPr="00DD5361">
              <w:rPr>
                <w:rFonts w:asciiTheme="majorHAnsi" w:eastAsia="Times New Roman" w:hAnsiTheme="majorHAnsi"/>
                <w:sz w:val="18"/>
                <w:szCs w:val="18"/>
              </w:rPr>
              <w:t>100.0%</w:t>
            </w:r>
          </w:p>
        </w:tc>
      </w:tr>
    </w:tbl>
    <w:p w14:paraId="653242B5" w14:textId="6D661F01" w:rsidR="002C0EAC" w:rsidRDefault="002C0EAC" w:rsidP="00844662">
      <w:pPr>
        <w:rPr>
          <w:lang w:eastAsia="ja-JP"/>
        </w:rPr>
      </w:pPr>
    </w:p>
    <w:p w14:paraId="068931E5" w14:textId="72F48BD3" w:rsidR="00865C34" w:rsidRDefault="00CD7C38" w:rsidP="00C937E8">
      <w:pPr>
        <w:pStyle w:val="AEGBody"/>
      </w:pPr>
      <w:r>
        <w:rPr>
          <w:bCs/>
        </w:rPr>
        <w:fldChar w:fldCharType="begin"/>
      </w:r>
      <w:r>
        <w:rPr>
          <w:bCs/>
        </w:rPr>
        <w:instrText xml:space="preserve"> REF _Ref175815951 \h </w:instrText>
      </w:r>
      <w:r>
        <w:rPr>
          <w:bCs/>
        </w:rPr>
      </w:r>
      <w:r>
        <w:rPr>
          <w:bCs/>
        </w:rPr>
        <w:fldChar w:fldCharType="separate"/>
      </w:r>
      <w:r w:rsidRPr="00DC6FA6">
        <w:t xml:space="preserve">Figure </w:t>
      </w:r>
      <w:r>
        <w:rPr>
          <w:noProof/>
        </w:rPr>
        <w:t>5</w:t>
      </w:r>
      <w:r>
        <w:noBreakHyphen/>
      </w:r>
      <w:r>
        <w:rPr>
          <w:noProof/>
        </w:rPr>
        <w:t>7</w:t>
      </w:r>
      <w:r>
        <w:rPr>
          <w:bCs/>
        </w:rPr>
        <w:fldChar w:fldCharType="end"/>
      </w:r>
      <w:r w:rsidR="00865C34">
        <w:rPr>
          <w:bCs/>
        </w:rPr>
        <w:t xml:space="preserve"> </w:t>
      </w:r>
      <w:r w:rsidR="00865C34" w:rsidRPr="00C22C96">
        <w:t xml:space="preserve">presents </w:t>
      </w:r>
      <w:r w:rsidR="00865C34">
        <w:t>the</w:t>
      </w:r>
      <w:r w:rsidR="00865C34" w:rsidRPr="00C22C96">
        <w:t xml:space="preserve"> cumulative</w:t>
      </w:r>
      <w:r w:rsidR="00865C34">
        <w:t xml:space="preserve"> residential</w:t>
      </w:r>
      <w:r w:rsidR="00865C34" w:rsidRPr="00C22C96">
        <w:t xml:space="preserve"> </w:t>
      </w:r>
      <w:r w:rsidR="00865C34">
        <w:t>Achievable Technical Potential by end use in</w:t>
      </w:r>
      <w:r w:rsidR="00865C34" w:rsidRPr="00C22C96">
        <w:t xml:space="preserve"> </w:t>
      </w:r>
      <w:r w:rsidR="00865C34">
        <w:t xml:space="preserve">Idaho. </w:t>
      </w:r>
      <w:r w:rsidR="00865C34" w:rsidRPr="000077C0">
        <w:t>Results are similar to Washington,</w:t>
      </w:r>
      <w:r w:rsidR="00865C34">
        <w:t xml:space="preserve"> where the majority of the savings come from space heating and water heating measures.</w:t>
      </w:r>
    </w:p>
    <w:p w14:paraId="384CD7AC" w14:textId="77777777" w:rsidR="002C0EAC" w:rsidRDefault="002C0EAC" w:rsidP="00844662">
      <w:pPr>
        <w:rPr>
          <w:lang w:eastAsia="ja-JP"/>
        </w:rPr>
      </w:pPr>
    </w:p>
    <w:p w14:paraId="7D429658" w14:textId="0BFE2D8B" w:rsidR="00DC6FA6" w:rsidRPr="00DC6FA6" w:rsidRDefault="00DC6FA6" w:rsidP="00DC6FA6">
      <w:pPr>
        <w:pStyle w:val="FigureorTableCaption"/>
      </w:pPr>
      <w:bookmarkStart w:id="140" w:name="_Ref175815951"/>
      <w:bookmarkStart w:id="141" w:name="_Toc175904453"/>
      <w:r w:rsidRPr="00DC6FA6">
        <w:lastRenderedPageBreak/>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7</w:t>
      </w:r>
      <w:r w:rsidR="000E34CB">
        <w:fldChar w:fldCharType="end"/>
      </w:r>
      <w:bookmarkEnd w:id="140"/>
      <w:r w:rsidR="009246C7">
        <w:t xml:space="preserve"> </w:t>
      </w:r>
      <w:r w:rsidRPr="00DC6FA6">
        <w:t>Residential Cumulative Achievable Technical Potential by End Use, Idaho</w:t>
      </w:r>
      <w:bookmarkEnd w:id="141"/>
    </w:p>
    <w:p w14:paraId="6D9386A6" w14:textId="4F815727" w:rsidR="00DC6FA6" w:rsidRDefault="00D20B1F" w:rsidP="00C54C72">
      <w:pPr>
        <w:jc w:val="center"/>
        <w:rPr>
          <w:lang w:eastAsia="ja-JP"/>
        </w:rPr>
      </w:pPr>
      <w:r>
        <w:rPr>
          <w:noProof/>
        </w:rPr>
        <w:drawing>
          <wp:inline distT="0" distB="0" distL="0" distR="0" wp14:anchorId="3C3D3C4B" wp14:editId="4A7D6EF2">
            <wp:extent cx="5450565" cy="2743200"/>
            <wp:effectExtent l="0" t="0" r="0" b="0"/>
            <wp:docPr id="1202678169" name="Chart 1">
              <a:extLst xmlns:a="http://schemas.openxmlformats.org/drawingml/2006/main">
                <a:ext uri="{FF2B5EF4-FFF2-40B4-BE49-F238E27FC236}">
                  <a16:creationId xmlns:a16="http://schemas.microsoft.com/office/drawing/2014/main" id="{45EF645E-7707-4FCC-9DD0-A5E86900D6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6F374B1" w14:textId="77777777" w:rsidR="001D00F0" w:rsidRDefault="001D00F0" w:rsidP="001D00F0">
      <w:pPr>
        <w:pStyle w:val="BodyText"/>
      </w:pPr>
    </w:p>
    <w:p w14:paraId="4C916D06" w14:textId="2AA51F81" w:rsidR="001D00F0" w:rsidRDefault="00CD7C38" w:rsidP="00C937E8">
      <w:pPr>
        <w:pStyle w:val="AEGBody"/>
        <w:rPr>
          <w:i/>
          <w:color w:val="444C5E" w:themeColor="text2"/>
        </w:rPr>
      </w:pPr>
      <w:r>
        <w:fldChar w:fldCharType="begin"/>
      </w:r>
      <w:r>
        <w:instrText xml:space="preserve"> REF _Ref175815967 \h </w:instrText>
      </w:r>
      <w:r>
        <w:fldChar w:fldCharType="separate"/>
      </w:r>
      <w:r>
        <w:t xml:space="preserve">Table </w:t>
      </w:r>
      <w:r>
        <w:rPr>
          <w:noProof/>
        </w:rPr>
        <w:t>5</w:t>
      </w:r>
      <w:r>
        <w:noBreakHyphen/>
      </w:r>
      <w:r>
        <w:rPr>
          <w:noProof/>
        </w:rPr>
        <w:t>7</w:t>
      </w:r>
      <w:r>
        <w:fldChar w:fldCharType="end"/>
      </w:r>
      <w:r w:rsidR="001D00F0">
        <w:t xml:space="preserve"> shows the top residential measures for Idaho </w:t>
      </w:r>
      <w:r w:rsidR="001D00F0" w:rsidRPr="0023081E">
        <w:t>by 2045.</w:t>
      </w:r>
      <w:r w:rsidR="001D00F0">
        <w:t xml:space="preserve"> </w:t>
      </w:r>
      <w:r w:rsidR="001D00F0" w:rsidRPr="004A7C58">
        <w:t xml:space="preserve">The top three </w:t>
      </w:r>
      <w:r w:rsidR="001D00F0">
        <w:t xml:space="preserve">measures </w:t>
      </w:r>
      <w:r w:rsidR="001D00F0" w:rsidRPr="004A7C58">
        <w:t>include</w:t>
      </w:r>
      <w:r w:rsidR="001D00F0">
        <w:t xml:space="preserve"> </w:t>
      </w:r>
      <w:r w:rsidR="001D00F0" w:rsidRPr="0023081E">
        <w:t>two types of high-efficiency windows, as well as advanced new home construction designs.</w:t>
      </w:r>
      <w:r w:rsidR="001D00F0">
        <w:t xml:space="preserve"> Note that Achievable Technical Potential is not screened for cost-effectiveness, and some measures are expected to be screened out during the IRP process.</w:t>
      </w:r>
    </w:p>
    <w:p w14:paraId="1BA478EE" w14:textId="77777777" w:rsidR="001D00F0" w:rsidRDefault="001D00F0" w:rsidP="00DC6FA6">
      <w:pPr>
        <w:rPr>
          <w:lang w:eastAsia="ja-JP"/>
        </w:rPr>
      </w:pPr>
    </w:p>
    <w:p w14:paraId="6B429CFD" w14:textId="32B3844B" w:rsidR="00DC6FA6" w:rsidRDefault="00DC6FA6" w:rsidP="00DC6FA6">
      <w:pPr>
        <w:pStyle w:val="FigureorTableCaption"/>
      </w:pPr>
      <w:bookmarkStart w:id="142" w:name="_Ref175815967"/>
      <w:bookmarkStart w:id="143" w:name="_Toc175912391"/>
      <w:r>
        <w:lastRenderedPageBreak/>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7</w:t>
      </w:r>
      <w:r w:rsidR="00EE4707">
        <w:fldChar w:fldCharType="end"/>
      </w:r>
      <w:bookmarkEnd w:id="142"/>
      <w:r w:rsidR="009246C7">
        <w:t xml:space="preserve"> </w:t>
      </w:r>
      <w:r>
        <w:t xml:space="preserve">Residential Top Measures </w:t>
      </w:r>
      <w:r w:rsidR="006265FB">
        <w:t>in</w:t>
      </w:r>
      <w:r>
        <w:t xml:space="preserve"> 2045, Idaho</w:t>
      </w:r>
      <w:bookmarkEnd w:id="143"/>
    </w:p>
    <w:tbl>
      <w:tblPr>
        <w:tblStyle w:val="AEGBlue2"/>
        <w:tblW w:w="4615" w:type="pct"/>
        <w:jc w:val="center"/>
        <w:tblLayout w:type="fixed"/>
        <w:tblLook w:val="04A0" w:firstRow="1" w:lastRow="0" w:firstColumn="1" w:lastColumn="0" w:noHBand="0" w:noVBand="1"/>
      </w:tblPr>
      <w:tblGrid>
        <w:gridCol w:w="826"/>
        <w:gridCol w:w="5429"/>
        <w:gridCol w:w="1558"/>
        <w:gridCol w:w="826"/>
      </w:tblGrid>
      <w:tr w:rsidR="00642165" w:rsidRPr="00E46E80" w14:paraId="54A7CB36" w14:textId="77777777" w:rsidTr="003D455E">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521A0AEA" w14:textId="71FC38C8" w:rsidR="000E162B" w:rsidRPr="00B71059" w:rsidRDefault="000E162B" w:rsidP="00CD7C38">
            <w:pPr>
              <w:keepNext/>
              <w:jc w:val="center"/>
              <w:rPr>
                <w:rFonts w:asciiTheme="majorHAnsi" w:eastAsia="Times New Roman" w:hAnsiTheme="majorHAnsi"/>
                <w:sz w:val="18"/>
                <w:szCs w:val="18"/>
              </w:rPr>
            </w:pPr>
            <w:r w:rsidRPr="00B71059">
              <w:rPr>
                <w:rFonts w:asciiTheme="majorHAnsi" w:eastAsia="Times New Roman" w:hAnsiTheme="majorHAnsi"/>
                <w:sz w:val="18"/>
                <w:szCs w:val="18"/>
              </w:rPr>
              <w:t>Rank</w:t>
            </w:r>
          </w:p>
        </w:tc>
        <w:tc>
          <w:tcPr>
            <w:tcW w:w="3141" w:type="pct"/>
            <w:noWrap/>
            <w:hideMark/>
          </w:tcPr>
          <w:p w14:paraId="4C21A739" w14:textId="6615B02E" w:rsidR="000E162B" w:rsidRPr="00B71059" w:rsidRDefault="003C3DE0" w:rsidP="00CD7C38">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71059">
              <w:rPr>
                <w:rFonts w:asciiTheme="majorHAnsi" w:eastAsia="Times New Roman" w:hAnsiTheme="majorHAnsi"/>
                <w:sz w:val="18"/>
                <w:szCs w:val="18"/>
              </w:rPr>
              <w:t>Residential Measure</w:t>
            </w:r>
          </w:p>
        </w:tc>
        <w:tc>
          <w:tcPr>
            <w:tcW w:w="902" w:type="pct"/>
            <w:hideMark/>
          </w:tcPr>
          <w:p w14:paraId="421904FB" w14:textId="590BD467" w:rsidR="000E162B" w:rsidRPr="00B71059" w:rsidRDefault="0029549C"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71059">
              <w:rPr>
                <w:rFonts w:asciiTheme="majorHAnsi" w:eastAsia="Times New Roman" w:hAnsiTheme="majorHAnsi"/>
                <w:sz w:val="18"/>
                <w:szCs w:val="18"/>
              </w:rPr>
              <w:t>2045 Cumulative Savings (MWh)</w:t>
            </w:r>
          </w:p>
        </w:tc>
        <w:tc>
          <w:tcPr>
            <w:tcW w:w="478" w:type="pct"/>
            <w:noWrap/>
            <w:hideMark/>
          </w:tcPr>
          <w:p w14:paraId="54E0F1C4" w14:textId="77777777" w:rsidR="000E162B" w:rsidRPr="00B71059" w:rsidRDefault="000E162B" w:rsidP="009336C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B71059">
              <w:rPr>
                <w:rFonts w:asciiTheme="majorHAnsi" w:eastAsia="Times New Roman" w:hAnsiTheme="majorHAnsi"/>
                <w:sz w:val="18"/>
                <w:szCs w:val="18"/>
              </w:rPr>
              <w:t>% of Total</w:t>
            </w:r>
          </w:p>
        </w:tc>
      </w:tr>
      <w:tr w:rsidR="00642165" w:rsidRPr="00E46E80" w14:paraId="5C2869BB"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442BBCBF"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w:t>
            </w:r>
          </w:p>
        </w:tc>
        <w:tc>
          <w:tcPr>
            <w:tcW w:w="3141" w:type="pct"/>
            <w:noWrap/>
            <w:hideMark/>
          </w:tcPr>
          <w:p w14:paraId="5CF4B4F7" w14:textId="1BB66976"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Windows - High Efficiency (ENERGY STAR 7.0)</w:t>
            </w:r>
          </w:p>
        </w:tc>
        <w:tc>
          <w:tcPr>
            <w:tcW w:w="902" w:type="pct"/>
            <w:noWrap/>
            <w:hideMark/>
          </w:tcPr>
          <w:p w14:paraId="32CF4FCF"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21,294</w:t>
            </w:r>
          </w:p>
        </w:tc>
        <w:tc>
          <w:tcPr>
            <w:tcW w:w="478" w:type="pct"/>
            <w:noWrap/>
            <w:hideMark/>
          </w:tcPr>
          <w:p w14:paraId="56357723"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7.8%</w:t>
            </w:r>
          </w:p>
        </w:tc>
      </w:tr>
      <w:tr w:rsidR="00642165" w:rsidRPr="00E46E80" w14:paraId="5ACEF3D8"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156D19FB" w14:textId="77777777" w:rsidR="000E162B" w:rsidRPr="00B71059" w:rsidRDefault="000E162B" w:rsidP="00CD7C38">
            <w:pPr>
              <w:keepNext/>
              <w:jc w:val="center"/>
              <w:rPr>
                <w:rFonts w:eastAsia="Times New Roman"/>
                <w:sz w:val="18"/>
                <w:szCs w:val="18"/>
              </w:rPr>
            </w:pPr>
            <w:r w:rsidRPr="00B71059">
              <w:rPr>
                <w:rFonts w:eastAsia="Times New Roman"/>
                <w:sz w:val="18"/>
                <w:szCs w:val="18"/>
              </w:rPr>
              <w:t>2</w:t>
            </w:r>
          </w:p>
        </w:tc>
        <w:tc>
          <w:tcPr>
            <w:tcW w:w="3141" w:type="pct"/>
            <w:noWrap/>
            <w:hideMark/>
          </w:tcPr>
          <w:p w14:paraId="158A6D01" w14:textId="65B58DF3"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Advanced New Construction Designs</w:t>
            </w:r>
          </w:p>
        </w:tc>
        <w:tc>
          <w:tcPr>
            <w:tcW w:w="902" w:type="pct"/>
            <w:noWrap/>
            <w:hideMark/>
          </w:tcPr>
          <w:p w14:paraId="7A848964"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13,714</w:t>
            </w:r>
          </w:p>
        </w:tc>
        <w:tc>
          <w:tcPr>
            <w:tcW w:w="478" w:type="pct"/>
            <w:noWrap/>
            <w:hideMark/>
          </w:tcPr>
          <w:p w14:paraId="4997ACDA"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5.0%</w:t>
            </w:r>
          </w:p>
        </w:tc>
      </w:tr>
      <w:tr w:rsidR="00642165" w:rsidRPr="00E46E80" w14:paraId="2A9286CE"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506D9EB4" w14:textId="77777777" w:rsidR="000E162B" w:rsidRPr="00B71059" w:rsidRDefault="000E162B" w:rsidP="00CD7C38">
            <w:pPr>
              <w:keepNext/>
              <w:jc w:val="center"/>
              <w:rPr>
                <w:rFonts w:eastAsia="Times New Roman"/>
                <w:sz w:val="18"/>
                <w:szCs w:val="18"/>
              </w:rPr>
            </w:pPr>
            <w:r w:rsidRPr="00B71059">
              <w:rPr>
                <w:rFonts w:eastAsia="Times New Roman"/>
                <w:sz w:val="18"/>
                <w:szCs w:val="18"/>
              </w:rPr>
              <w:t>3</w:t>
            </w:r>
          </w:p>
        </w:tc>
        <w:tc>
          <w:tcPr>
            <w:tcW w:w="3141" w:type="pct"/>
            <w:noWrap/>
            <w:hideMark/>
          </w:tcPr>
          <w:p w14:paraId="186E3530" w14:textId="0FA74AF8"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Windows - High Efficiency (Triple Pane)</w:t>
            </w:r>
          </w:p>
        </w:tc>
        <w:tc>
          <w:tcPr>
            <w:tcW w:w="902" w:type="pct"/>
            <w:noWrap/>
            <w:hideMark/>
          </w:tcPr>
          <w:p w14:paraId="56FB2517"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12,602</w:t>
            </w:r>
          </w:p>
        </w:tc>
        <w:tc>
          <w:tcPr>
            <w:tcW w:w="478" w:type="pct"/>
            <w:noWrap/>
            <w:hideMark/>
          </w:tcPr>
          <w:p w14:paraId="7BCAB519"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4.6%</w:t>
            </w:r>
          </w:p>
        </w:tc>
      </w:tr>
      <w:tr w:rsidR="00642165" w:rsidRPr="00E46E80" w14:paraId="3FD2C02F"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524A5717" w14:textId="77777777" w:rsidR="000E162B" w:rsidRPr="00B71059" w:rsidRDefault="000E162B" w:rsidP="00CD7C38">
            <w:pPr>
              <w:keepNext/>
              <w:jc w:val="center"/>
              <w:rPr>
                <w:rFonts w:eastAsia="Times New Roman"/>
                <w:sz w:val="18"/>
                <w:szCs w:val="18"/>
              </w:rPr>
            </w:pPr>
            <w:r w:rsidRPr="00B71059">
              <w:rPr>
                <w:rFonts w:eastAsia="Times New Roman"/>
                <w:sz w:val="18"/>
                <w:szCs w:val="18"/>
              </w:rPr>
              <w:t>4</w:t>
            </w:r>
          </w:p>
        </w:tc>
        <w:tc>
          <w:tcPr>
            <w:tcW w:w="3141" w:type="pct"/>
            <w:noWrap/>
            <w:hideMark/>
          </w:tcPr>
          <w:p w14:paraId="08FBE76C" w14:textId="207BE35E"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 xml:space="preserve">Engine Block Heater Controls </w:t>
            </w:r>
          </w:p>
        </w:tc>
        <w:tc>
          <w:tcPr>
            <w:tcW w:w="902" w:type="pct"/>
            <w:noWrap/>
            <w:hideMark/>
          </w:tcPr>
          <w:p w14:paraId="42E9DA73"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10,799</w:t>
            </w:r>
          </w:p>
        </w:tc>
        <w:tc>
          <w:tcPr>
            <w:tcW w:w="478" w:type="pct"/>
            <w:noWrap/>
            <w:hideMark/>
          </w:tcPr>
          <w:p w14:paraId="206E3ACE"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3.9%</w:t>
            </w:r>
          </w:p>
        </w:tc>
      </w:tr>
      <w:tr w:rsidR="00642165" w:rsidRPr="00E46E80" w14:paraId="57020C43"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1323B2A1" w14:textId="77777777" w:rsidR="000E162B" w:rsidRPr="00B71059" w:rsidRDefault="000E162B" w:rsidP="00CD7C38">
            <w:pPr>
              <w:keepNext/>
              <w:jc w:val="center"/>
              <w:rPr>
                <w:rFonts w:eastAsia="Times New Roman"/>
                <w:sz w:val="18"/>
                <w:szCs w:val="18"/>
              </w:rPr>
            </w:pPr>
            <w:r w:rsidRPr="00B71059">
              <w:rPr>
                <w:rFonts w:eastAsia="Times New Roman"/>
                <w:sz w:val="18"/>
                <w:szCs w:val="18"/>
              </w:rPr>
              <w:t>5</w:t>
            </w:r>
          </w:p>
        </w:tc>
        <w:tc>
          <w:tcPr>
            <w:tcW w:w="3141" w:type="pct"/>
            <w:noWrap/>
            <w:hideMark/>
          </w:tcPr>
          <w:p w14:paraId="5B887F03" w14:textId="7DB83FFE"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Ducting - Repair and Sealing</w:t>
            </w:r>
          </w:p>
        </w:tc>
        <w:tc>
          <w:tcPr>
            <w:tcW w:w="902" w:type="pct"/>
            <w:noWrap/>
            <w:hideMark/>
          </w:tcPr>
          <w:p w14:paraId="1E7D7C98"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9,508</w:t>
            </w:r>
          </w:p>
        </w:tc>
        <w:tc>
          <w:tcPr>
            <w:tcW w:w="478" w:type="pct"/>
            <w:noWrap/>
            <w:hideMark/>
          </w:tcPr>
          <w:p w14:paraId="4F219947"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3.5%</w:t>
            </w:r>
          </w:p>
        </w:tc>
      </w:tr>
      <w:tr w:rsidR="00642165" w:rsidRPr="00E46E80" w14:paraId="321DF5F0"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049D4D85" w14:textId="77777777" w:rsidR="000E162B" w:rsidRPr="00B71059" w:rsidRDefault="000E162B" w:rsidP="00CD7C38">
            <w:pPr>
              <w:keepNext/>
              <w:jc w:val="center"/>
              <w:rPr>
                <w:rFonts w:eastAsia="Times New Roman"/>
                <w:sz w:val="18"/>
                <w:szCs w:val="18"/>
              </w:rPr>
            </w:pPr>
            <w:r w:rsidRPr="00B71059">
              <w:rPr>
                <w:rFonts w:eastAsia="Times New Roman"/>
                <w:sz w:val="18"/>
                <w:szCs w:val="18"/>
              </w:rPr>
              <w:t>6</w:t>
            </w:r>
          </w:p>
        </w:tc>
        <w:tc>
          <w:tcPr>
            <w:tcW w:w="3141" w:type="pct"/>
            <w:noWrap/>
            <w:hideMark/>
          </w:tcPr>
          <w:p w14:paraId="21B39F5D" w14:textId="77777777"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Insulation - Wall Sheathing - R-19</w:t>
            </w:r>
          </w:p>
        </w:tc>
        <w:tc>
          <w:tcPr>
            <w:tcW w:w="902" w:type="pct"/>
            <w:noWrap/>
            <w:hideMark/>
          </w:tcPr>
          <w:p w14:paraId="02F58788"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9,377</w:t>
            </w:r>
          </w:p>
        </w:tc>
        <w:tc>
          <w:tcPr>
            <w:tcW w:w="478" w:type="pct"/>
            <w:noWrap/>
            <w:hideMark/>
          </w:tcPr>
          <w:p w14:paraId="205D3098"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3.4%</w:t>
            </w:r>
          </w:p>
        </w:tc>
      </w:tr>
      <w:tr w:rsidR="00642165" w:rsidRPr="00E46E80" w14:paraId="51354DE9"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4270C3F1" w14:textId="77777777" w:rsidR="000E162B" w:rsidRPr="00B71059" w:rsidRDefault="000E162B" w:rsidP="00CD7C38">
            <w:pPr>
              <w:keepNext/>
              <w:jc w:val="center"/>
              <w:rPr>
                <w:rFonts w:eastAsia="Times New Roman"/>
                <w:sz w:val="18"/>
                <w:szCs w:val="18"/>
              </w:rPr>
            </w:pPr>
            <w:r w:rsidRPr="00B71059">
              <w:rPr>
                <w:rFonts w:eastAsia="Times New Roman"/>
                <w:sz w:val="18"/>
                <w:szCs w:val="18"/>
              </w:rPr>
              <w:t>7</w:t>
            </w:r>
          </w:p>
        </w:tc>
        <w:tc>
          <w:tcPr>
            <w:tcW w:w="3141" w:type="pct"/>
            <w:noWrap/>
            <w:hideMark/>
          </w:tcPr>
          <w:p w14:paraId="7B19C086" w14:textId="77777777"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Electric Vehicles - Level 2</w:t>
            </w:r>
          </w:p>
        </w:tc>
        <w:tc>
          <w:tcPr>
            <w:tcW w:w="902" w:type="pct"/>
            <w:noWrap/>
            <w:hideMark/>
          </w:tcPr>
          <w:p w14:paraId="25FBDBED"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9,173</w:t>
            </w:r>
          </w:p>
        </w:tc>
        <w:tc>
          <w:tcPr>
            <w:tcW w:w="478" w:type="pct"/>
            <w:noWrap/>
            <w:hideMark/>
          </w:tcPr>
          <w:p w14:paraId="4A30E7B1"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3.4%</w:t>
            </w:r>
          </w:p>
        </w:tc>
      </w:tr>
      <w:tr w:rsidR="00642165" w:rsidRPr="00E46E80" w14:paraId="5C20A0DF"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04FAD0F8" w14:textId="77777777" w:rsidR="000E162B" w:rsidRPr="00B71059" w:rsidRDefault="000E162B" w:rsidP="00CD7C38">
            <w:pPr>
              <w:keepNext/>
              <w:jc w:val="center"/>
              <w:rPr>
                <w:rFonts w:eastAsia="Times New Roman"/>
                <w:sz w:val="18"/>
                <w:szCs w:val="18"/>
              </w:rPr>
            </w:pPr>
            <w:r w:rsidRPr="00B71059">
              <w:rPr>
                <w:rFonts w:eastAsia="Times New Roman"/>
                <w:sz w:val="18"/>
                <w:szCs w:val="18"/>
              </w:rPr>
              <w:t>8</w:t>
            </w:r>
          </w:p>
        </w:tc>
        <w:tc>
          <w:tcPr>
            <w:tcW w:w="3141" w:type="pct"/>
            <w:noWrap/>
            <w:hideMark/>
          </w:tcPr>
          <w:p w14:paraId="252F6E19" w14:textId="77777777"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TVs - ENERGY STAR (9.0)</w:t>
            </w:r>
          </w:p>
        </w:tc>
        <w:tc>
          <w:tcPr>
            <w:tcW w:w="902" w:type="pct"/>
            <w:noWrap/>
            <w:hideMark/>
          </w:tcPr>
          <w:p w14:paraId="279F6ACF"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8,885</w:t>
            </w:r>
          </w:p>
        </w:tc>
        <w:tc>
          <w:tcPr>
            <w:tcW w:w="478" w:type="pct"/>
            <w:noWrap/>
            <w:hideMark/>
          </w:tcPr>
          <w:p w14:paraId="29D143BE"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3.2%</w:t>
            </w:r>
          </w:p>
        </w:tc>
      </w:tr>
      <w:tr w:rsidR="00642165" w:rsidRPr="00E46E80" w14:paraId="33E48FB9"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6AC86479" w14:textId="77777777" w:rsidR="000E162B" w:rsidRPr="00B71059" w:rsidRDefault="000E162B" w:rsidP="00CD7C38">
            <w:pPr>
              <w:keepNext/>
              <w:jc w:val="center"/>
              <w:rPr>
                <w:rFonts w:eastAsia="Times New Roman"/>
                <w:sz w:val="18"/>
                <w:szCs w:val="18"/>
              </w:rPr>
            </w:pPr>
            <w:r w:rsidRPr="00B71059">
              <w:rPr>
                <w:rFonts w:eastAsia="Times New Roman"/>
                <w:sz w:val="18"/>
                <w:szCs w:val="18"/>
              </w:rPr>
              <w:t>9</w:t>
            </w:r>
          </w:p>
        </w:tc>
        <w:tc>
          <w:tcPr>
            <w:tcW w:w="3141" w:type="pct"/>
            <w:noWrap/>
            <w:hideMark/>
          </w:tcPr>
          <w:p w14:paraId="24C37184" w14:textId="569115F0"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 xml:space="preserve">Clothes Washer - CEE Tier 2 </w:t>
            </w:r>
          </w:p>
        </w:tc>
        <w:tc>
          <w:tcPr>
            <w:tcW w:w="902" w:type="pct"/>
            <w:noWrap/>
            <w:hideMark/>
          </w:tcPr>
          <w:p w14:paraId="78E69CA8"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8,375</w:t>
            </w:r>
          </w:p>
        </w:tc>
        <w:tc>
          <w:tcPr>
            <w:tcW w:w="478" w:type="pct"/>
            <w:noWrap/>
            <w:hideMark/>
          </w:tcPr>
          <w:p w14:paraId="4214D2B7"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3.1%</w:t>
            </w:r>
          </w:p>
        </w:tc>
      </w:tr>
      <w:tr w:rsidR="00642165" w:rsidRPr="00E46E80" w14:paraId="687BB1AA"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626A6C7E"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10</w:t>
            </w:r>
          </w:p>
        </w:tc>
        <w:tc>
          <w:tcPr>
            <w:tcW w:w="3141" w:type="pct"/>
            <w:noWrap/>
            <w:hideMark/>
          </w:tcPr>
          <w:p w14:paraId="27D11822" w14:textId="77777777"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Water Heater (&lt;= 55 Gal) - NEEA Tier 5 Heat Pump (CCE 3.5)</w:t>
            </w:r>
          </w:p>
        </w:tc>
        <w:tc>
          <w:tcPr>
            <w:tcW w:w="902" w:type="pct"/>
            <w:noWrap/>
            <w:hideMark/>
          </w:tcPr>
          <w:p w14:paraId="1B979B95"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7,750</w:t>
            </w:r>
          </w:p>
        </w:tc>
        <w:tc>
          <w:tcPr>
            <w:tcW w:w="478" w:type="pct"/>
            <w:noWrap/>
            <w:hideMark/>
          </w:tcPr>
          <w:p w14:paraId="223864B1"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2.8%</w:t>
            </w:r>
          </w:p>
        </w:tc>
      </w:tr>
      <w:tr w:rsidR="00642165" w:rsidRPr="00E46E80" w14:paraId="2F758A6C"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6C5BBF04"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11</w:t>
            </w:r>
          </w:p>
        </w:tc>
        <w:tc>
          <w:tcPr>
            <w:tcW w:w="3141" w:type="pct"/>
            <w:noWrap/>
            <w:hideMark/>
          </w:tcPr>
          <w:p w14:paraId="16BBEAC0" w14:textId="77777777"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Insulation - Ducting - R-8 Ducts (Code)</w:t>
            </w:r>
          </w:p>
        </w:tc>
        <w:tc>
          <w:tcPr>
            <w:tcW w:w="902" w:type="pct"/>
            <w:noWrap/>
            <w:hideMark/>
          </w:tcPr>
          <w:p w14:paraId="4229899D"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7,458</w:t>
            </w:r>
          </w:p>
        </w:tc>
        <w:tc>
          <w:tcPr>
            <w:tcW w:w="478" w:type="pct"/>
            <w:noWrap/>
            <w:hideMark/>
          </w:tcPr>
          <w:p w14:paraId="4E9118E9"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2.7%</w:t>
            </w:r>
          </w:p>
        </w:tc>
      </w:tr>
      <w:tr w:rsidR="00642165" w:rsidRPr="00E46E80" w14:paraId="471FE066"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4B4C1AAA"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12</w:t>
            </w:r>
          </w:p>
        </w:tc>
        <w:tc>
          <w:tcPr>
            <w:tcW w:w="3141" w:type="pct"/>
            <w:noWrap/>
            <w:hideMark/>
          </w:tcPr>
          <w:p w14:paraId="41A7C5E6" w14:textId="0FA769E3"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Ducting - Repair and Sealing - Aerosol - Aerosol duct sealing</w:t>
            </w:r>
          </w:p>
        </w:tc>
        <w:tc>
          <w:tcPr>
            <w:tcW w:w="902" w:type="pct"/>
            <w:noWrap/>
            <w:hideMark/>
          </w:tcPr>
          <w:p w14:paraId="5C5FCFBC"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7,026</w:t>
            </w:r>
          </w:p>
        </w:tc>
        <w:tc>
          <w:tcPr>
            <w:tcW w:w="478" w:type="pct"/>
            <w:noWrap/>
            <w:hideMark/>
          </w:tcPr>
          <w:p w14:paraId="62B14E90"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2.6%</w:t>
            </w:r>
          </w:p>
        </w:tc>
      </w:tr>
      <w:tr w:rsidR="00642165" w:rsidRPr="00E46E80" w14:paraId="61EBB8D6"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2CF08D16"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13</w:t>
            </w:r>
          </w:p>
        </w:tc>
        <w:tc>
          <w:tcPr>
            <w:tcW w:w="3141" w:type="pct"/>
            <w:noWrap/>
            <w:hideMark/>
          </w:tcPr>
          <w:p w14:paraId="23614B47" w14:textId="77777777"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Linear Lighting - LED 2035 (152 lm/W system)</w:t>
            </w:r>
          </w:p>
        </w:tc>
        <w:tc>
          <w:tcPr>
            <w:tcW w:w="902" w:type="pct"/>
            <w:noWrap/>
            <w:hideMark/>
          </w:tcPr>
          <w:p w14:paraId="6691A4CE"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6,858</w:t>
            </w:r>
          </w:p>
        </w:tc>
        <w:tc>
          <w:tcPr>
            <w:tcW w:w="478" w:type="pct"/>
            <w:noWrap/>
            <w:hideMark/>
          </w:tcPr>
          <w:p w14:paraId="7C6C4DA5"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2.5%</w:t>
            </w:r>
          </w:p>
        </w:tc>
      </w:tr>
      <w:tr w:rsidR="00642165" w:rsidRPr="00E46E80" w14:paraId="4942AE84"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2B1EDA5C"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14</w:t>
            </w:r>
          </w:p>
        </w:tc>
        <w:tc>
          <w:tcPr>
            <w:tcW w:w="3141" w:type="pct"/>
            <w:noWrap/>
            <w:hideMark/>
          </w:tcPr>
          <w:p w14:paraId="59ABD57C" w14:textId="2515F20B"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Home Energy Reports</w:t>
            </w:r>
          </w:p>
        </w:tc>
        <w:tc>
          <w:tcPr>
            <w:tcW w:w="902" w:type="pct"/>
            <w:noWrap/>
            <w:hideMark/>
          </w:tcPr>
          <w:p w14:paraId="3029DCA0"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6,829</w:t>
            </w:r>
          </w:p>
        </w:tc>
        <w:tc>
          <w:tcPr>
            <w:tcW w:w="478" w:type="pct"/>
            <w:noWrap/>
            <w:hideMark/>
          </w:tcPr>
          <w:p w14:paraId="5101B327"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2.5%</w:t>
            </w:r>
          </w:p>
        </w:tc>
      </w:tr>
      <w:tr w:rsidR="00642165" w:rsidRPr="00E46E80" w14:paraId="596E1CF4"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1E2DE582"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15</w:t>
            </w:r>
          </w:p>
        </w:tc>
        <w:tc>
          <w:tcPr>
            <w:tcW w:w="3141" w:type="pct"/>
            <w:noWrap/>
            <w:hideMark/>
          </w:tcPr>
          <w:p w14:paraId="61CA60C0" w14:textId="7AEBD456"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HVAC - Maintenance and Tune-Up</w:t>
            </w:r>
          </w:p>
        </w:tc>
        <w:tc>
          <w:tcPr>
            <w:tcW w:w="902" w:type="pct"/>
            <w:noWrap/>
            <w:hideMark/>
          </w:tcPr>
          <w:p w14:paraId="2BEE8C41"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6,715</w:t>
            </w:r>
          </w:p>
        </w:tc>
        <w:tc>
          <w:tcPr>
            <w:tcW w:w="478" w:type="pct"/>
            <w:noWrap/>
            <w:hideMark/>
          </w:tcPr>
          <w:p w14:paraId="79875FAB"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2.5%</w:t>
            </w:r>
          </w:p>
        </w:tc>
      </w:tr>
      <w:tr w:rsidR="00642165" w:rsidRPr="00E46E80" w14:paraId="7F87E850"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7059A3F7"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16</w:t>
            </w:r>
          </w:p>
        </w:tc>
        <w:tc>
          <w:tcPr>
            <w:tcW w:w="3141" w:type="pct"/>
            <w:noWrap/>
            <w:hideMark/>
          </w:tcPr>
          <w:p w14:paraId="39F42714" w14:textId="443DD910"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Building Shell - Air Sealing (Infiltration Control)</w:t>
            </w:r>
          </w:p>
        </w:tc>
        <w:tc>
          <w:tcPr>
            <w:tcW w:w="902" w:type="pct"/>
            <w:noWrap/>
            <w:hideMark/>
          </w:tcPr>
          <w:p w14:paraId="668BF6EA"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6,650</w:t>
            </w:r>
          </w:p>
        </w:tc>
        <w:tc>
          <w:tcPr>
            <w:tcW w:w="478" w:type="pct"/>
            <w:noWrap/>
            <w:hideMark/>
          </w:tcPr>
          <w:p w14:paraId="228C683E"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2.4%</w:t>
            </w:r>
          </w:p>
        </w:tc>
      </w:tr>
      <w:tr w:rsidR="00642165" w:rsidRPr="00E46E80" w14:paraId="3E69F63B"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1BE84471"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17</w:t>
            </w:r>
          </w:p>
        </w:tc>
        <w:tc>
          <w:tcPr>
            <w:tcW w:w="3141" w:type="pct"/>
            <w:noWrap/>
            <w:hideMark/>
          </w:tcPr>
          <w:p w14:paraId="389674CC" w14:textId="54FF7CAC"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Home Energy Management System (HEMS)</w:t>
            </w:r>
          </w:p>
        </w:tc>
        <w:tc>
          <w:tcPr>
            <w:tcW w:w="902" w:type="pct"/>
            <w:noWrap/>
            <w:hideMark/>
          </w:tcPr>
          <w:p w14:paraId="7F0B9677"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6,092</w:t>
            </w:r>
          </w:p>
        </w:tc>
        <w:tc>
          <w:tcPr>
            <w:tcW w:w="478" w:type="pct"/>
            <w:noWrap/>
            <w:hideMark/>
          </w:tcPr>
          <w:p w14:paraId="7A9843B2"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2.2%</w:t>
            </w:r>
          </w:p>
        </w:tc>
      </w:tr>
      <w:tr w:rsidR="00642165" w:rsidRPr="00E46E80" w14:paraId="109C503A"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021804F0"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18</w:t>
            </w:r>
          </w:p>
        </w:tc>
        <w:tc>
          <w:tcPr>
            <w:tcW w:w="3141" w:type="pct"/>
            <w:noWrap/>
            <w:hideMark/>
          </w:tcPr>
          <w:p w14:paraId="6E8213F2" w14:textId="121FC82C"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Air-Source Heat Pump - SEER 16.0 / HSPF 9.2</w:t>
            </w:r>
          </w:p>
        </w:tc>
        <w:tc>
          <w:tcPr>
            <w:tcW w:w="902" w:type="pct"/>
            <w:noWrap/>
            <w:hideMark/>
          </w:tcPr>
          <w:p w14:paraId="0F4423EE"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5,937</w:t>
            </w:r>
          </w:p>
        </w:tc>
        <w:tc>
          <w:tcPr>
            <w:tcW w:w="478" w:type="pct"/>
            <w:noWrap/>
            <w:hideMark/>
          </w:tcPr>
          <w:p w14:paraId="442312FD"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2.2%</w:t>
            </w:r>
          </w:p>
        </w:tc>
      </w:tr>
      <w:tr w:rsidR="00642165" w:rsidRPr="00E46E80" w14:paraId="74D78FAA"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57BE6C27" w14:textId="77777777" w:rsidR="000E162B" w:rsidRPr="00B71059" w:rsidRDefault="000E162B" w:rsidP="00CD7C38">
            <w:pPr>
              <w:keepNext/>
              <w:jc w:val="center"/>
              <w:rPr>
                <w:rFonts w:eastAsia="Times New Roman"/>
                <w:sz w:val="18"/>
                <w:szCs w:val="18"/>
              </w:rPr>
            </w:pPr>
            <w:r w:rsidRPr="00B71059">
              <w:rPr>
                <w:rFonts w:eastAsia="Times New Roman"/>
                <w:sz w:val="18"/>
                <w:szCs w:val="18"/>
              </w:rPr>
              <w:t>19</w:t>
            </w:r>
          </w:p>
        </w:tc>
        <w:tc>
          <w:tcPr>
            <w:tcW w:w="3141" w:type="pct"/>
            <w:noWrap/>
            <w:hideMark/>
          </w:tcPr>
          <w:p w14:paraId="3F47FF04" w14:textId="77777777" w:rsidR="000E162B" w:rsidRPr="00B71059"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Personal Computers - ENERGY STAR (8.0)</w:t>
            </w:r>
          </w:p>
        </w:tc>
        <w:tc>
          <w:tcPr>
            <w:tcW w:w="902" w:type="pct"/>
            <w:noWrap/>
            <w:hideMark/>
          </w:tcPr>
          <w:p w14:paraId="480F170B" w14:textId="77777777" w:rsidR="000E162B" w:rsidRPr="00B71059"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5,624</w:t>
            </w:r>
          </w:p>
        </w:tc>
        <w:tc>
          <w:tcPr>
            <w:tcW w:w="478" w:type="pct"/>
            <w:noWrap/>
            <w:hideMark/>
          </w:tcPr>
          <w:p w14:paraId="05F3CBA1" w14:textId="77777777" w:rsidR="000E162B" w:rsidRPr="00B71059"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B71059">
              <w:rPr>
                <w:rFonts w:eastAsia="Times New Roman"/>
                <w:sz w:val="18"/>
                <w:szCs w:val="18"/>
              </w:rPr>
              <w:t>2.1%</w:t>
            </w:r>
          </w:p>
        </w:tc>
      </w:tr>
      <w:tr w:rsidR="00642165" w:rsidRPr="00E46E80" w14:paraId="08C38833"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0CAF6519" w14:textId="77777777" w:rsidR="000E162B" w:rsidRPr="00B71059" w:rsidRDefault="000E162B" w:rsidP="00CD7C38">
            <w:pPr>
              <w:keepNext/>
              <w:jc w:val="center"/>
              <w:rPr>
                <w:rFonts w:eastAsia="Times New Roman"/>
                <w:sz w:val="18"/>
                <w:szCs w:val="18"/>
              </w:rPr>
            </w:pPr>
            <w:r w:rsidRPr="00B71059">
              <w:rPr>
                <w:rFonts w:eastAsia="Times New Roman"/>
                <w:sz w:val="18"/>
                <w:szCs w:val="18"/>
              </w:rPr>
              <w:t>20</w:t>
            </w:r>
          </w:p>
        </w:tc>
        <w:tc>
          <w:tcPr>
            <w:tcW w:w="3141" w:type="pct"/>
            <w:noWrap/>
            <w:hideMark/>
          </w:tcPr>
          <w:p w14:paraId="3FC618C5" w14:textId="77777777" w:rsidR="000E162B" w:rsidRPr="00B71059"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Insulation - Ceiling Installation - R-49</w:t>
            </w:r>
          </w:p>
        </w:tc>
        <w:tc>
          <w:tcPr>
            <w:tcW w:w="902" w:type="pct"/>
            <w:noWrap/>
            <w:hideMark/>
          </w:tcPr>
          <w:p w14:paraId="2DB1093F" w14:textId="77777777" w:rsidR="000E162B" w:rsidRPr="00B71059"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5,610</w:t>
            </w:r>
          </w:p>
        </w:tc>
        <w:tc>
          <w:tcPr>
            <w:tcW w:w="478" w:type="pct"/>
            <w:noWrap/>
            <w:hideMark/>
          </w:tcPr>
          <w:p w14:paraId="7BBC7AE4" w14:textId="77777777" w:rsidR="000E162B" w:rsidRPr="00B71059"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 w:val="18"/>
                <w:szCs w:val="18"/>
              </w:rPr>
            </w:pPr>
            <w:r w:rsidRPr="00B71059">
              <w:rPr>
                <w:rFonts w:eastAsia="Times New Roman"/>
                <w:sz w:val="18"/>
                <w:szCs w:val="18"/>
              </w:rPr>
              <w:t>2.1%</w:t>
            </w:r>
          </w:p>
        </w:tc>
      </w:tr>
      <w:tr w:rsidR="00642165" w:rsidRPr="00E46E80" w14:paraId="311D8679"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504CBA4F" w14:textId="1A16D524" w:rsidR="000E162B" w:rsidRPr="00E46E80" w:rsidRDefault="000E162B" w:rsidP="00CD7C38">
            <w:pPr>
              <w:keepNext/>
              <w:jc w:val="center"/>
              <w:rPr>
                <w:rFonts w:ascii="Calibri" w:eastAsia="Times New Roman" w:hAnsi="Calibri"/>
                <w:b/>
                <w:bCs/>
                <w:sz w:val="18"/>
                <w:szCs w:val="18"/>
              </w:rPr>
            </w:pPr>
          </w:p>
        </w:tc>
        <w:tc>
          <w:tcPr>
            <w:tcW w:w="3141" w:type="pct"/>
            <w:noWrap/>
            <w:hideMark/>
          </w:tcPr>
          <w:p w14:paraId="2A9441DE" w14:textId="77777777" w:rsidR="000E162B" w:rsidRPr="00413CCD" w:rsidRDefault="000E162B" w:rsidP="00CD7C38">
            <w:pPr>
              <w:keepNext/>
              <w:ind w:firstLineChars="100" w:firstLine="18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13CCD">
              <w:rPr>
                <w:rFonts w:asciiTheme="majorHAnsi" w:eastAsia="Times New Roman" w:hAnsiTheme="majorHAnsi"/>
                <w:sz w:val="18"/>
                <w:szCs w:val="18"/>
              </w:rPr>
              <w:t>Total of Top 20 Measures</w:t>
            </w:r>
          </w:p>
        </w:tc>
        <w:tc>
          <w:tcPr>
            <w:tcW w:w="902" w:type="pct"/>
            <w:noWrap/>
            <w:hideMark/>
          </w:tcPr>
          <w:p w14:paraId="14AF9AF9" w14:textId="77777777" w:rsidR="000E162B" w:rsidRPr="00413CCD" w:rsidRDefault="000E162B" w:rsidP="00CD7C38">
            <w:pPr>
              <w:keepNext/>
              <w:ind w:right="288" w:firstLineChars="100" w:firstLine="18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13CCD">
              <w:rPr>
                <w:rFonts w:asciiTheme="majorHAnsi" w:eastAsia="Times New Roman" w:hAnsiTheme="majorHAnsi"/>
                <w:sz w:val="18"/>
                <w:szCs w:val="18"/>
              </w:rPr>
              <w:t>176,277</w:t>
            </w:r>
          </w:p>
        </w:tc>
        <w:tc>
          <w:tcPr>
            <w:tcW w:w="478" w:type="pct"/>
            <w:noWrap/>
            <w:hideMark/>
          </w:tcPr>
          <w:p w14:paraId="2FD8F436" w14:textId="77777777" w:rsidR="000E162B" w:rsidRPr="00413CCD" w:rsidRDefault="000E162B"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13CCD">
              <w:rPr>
                <w:rFonts w:asciiTheme="majorHAnsi" w:eastAsia="Times New Roman" w:hAnsiTheme="majorHAnsi"/>
                <w:sz w:val="18"/>
                <w:szCs w:val="18"/>
              </w:rPr>
              <w:t>64.4%</w:t>
            </w:r>
          </w:p>
        </w:tc>
      </w:tr>
      <w:tr w:rsidR="00642165" w:rsidRPr="00E46E80" w14:paraId="4A22F909"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78" w:type="pct"/>
            <w:noWrap/>
            <w:hideMark/>
          </w:tcPr>
          <w:p w14:paraId="54BC950A" w14:textId="78FB84B7" w:rsidR="000E162B" w:rsidRPr="00E46E80" w:rsidRDefault="000E162B" w:rsidP="00CD7C38">
            <w:pPr>
              <w:keepNext/>
              <w:jc w:val="center"/>
              <w:rPr>
                <w:rFonts w:ascii="Calibri" w:eastAsia="Times New Roman" w:hAnsi="Calibri"/>
                <w:b/>
                <w:bCs/>
                <w:sz w:val="18"/>
                <w:szCs w:val="18"/>
              </w:rPr>
            </w:pPr>
          </w:p>
        </w:tc>
        <w:tc>
          <w:tcPr>
            <w:tcW w:w="3141" w:type="pct"/>
            <w:noWrap/>
            <w:hideMark/>
          </w:tcPr>
          <w:p w14:paraId="61AE8C9A" w14:textId="77777777" w:rsidR="000E162B" w:rsidRPr="00413CCD" w:rsidRDefault="000E162B" w:rsidP="00CD7C38">
            <w:pPr>
              <w:keepNext/>
              <w:ind w:firstLineChars="100" w:firstLine="180"/>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 w:val="18"/>
                <w:szCs w:val="18"/>
              </w:rPr>
            </w:pPr>
            <w:r w:rsidRPr="00413CCD">
              <w:rPr>
                <w:rFonts w:asciiTheme="majorHAnsi" w:eastAsia="Times New Roman" w:hAnsiTheme="majorHAnsi"/>
                <w:sz w:val="18"/>
                <w:szCs w:val="18"/>
              </w:rPr>
              <w:t>Total Cumulative Savings</w:t>
            </w:r>
          </w:p>
        </w:tc>
        <w:tc>
          <w:tcPr>
            <w:tcW w:w="902" w:type="pct"/>
            <w:noWrap/>
            <w:hideMark/>
          </w:tcPr>
          <w:p w14:paraId="0054E656" w14:textId="77777777" w:rsidR="000E162B" w:rsidRPr="00413CCD" w:rsidRDefault="000E162B" w:rsidP="00CD7C38">
            <w:pPr>
              <w:keepNext/>
              <w:ind w:right="288" w:firstLineChars="100" w:firstLine="180"/>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 w:val="18"/>
                <w:szCs w:val="18"/>
              </w:rPr>
            </w:pPr>
            <w:r w:rsidRPr="00413CCD">
              <w:rPr>
                <w:rFonts w:asciiTheme="majorHAnsi" w:eastAsia="Times New Roman" w:hAnsiTheme="majorHAnsi"/>
                <w:sz w:val="18"/>
                <w:szCs w:val="18"/>
              </w:rPr>
              <w:t>273,606</w:t>
            </w:r>
          </w:p>
        </w:tc>
        <w:tc>
          <w:tcPr>
            <w:tcW w:w="478" w:type="pct"/>
            <w:noWrap/>
            <w:hideMark/>
          </w:tcPr>
          <w:p w14:paraId="5415246B" w14:textId="77777777" w:rsidR="000E162B" w:rsidRPr="00413CCD" w:rsidRDefault="000E162B"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 w:val="18"/>
                <w:szCs w:val="18"/>
              </w:rPr>
            </w:pPr>
            <w:r w:rsidRPr="00413CCD">
              <w:rPr>
                <w:rFonts w:asciiTheme="majorHAnsi" w:eastAsia="Times New Roman" w:hAnsiTheme="majorHAnsi"/>
                <w:sz w:val="18"/>
                <w:szCs w:val="18"/>
              </w:rPr>
              <w:t>100.0%</w:t>
            </w:r>
          </w:p>
        </w:tc>
      </w:tr>
    </w:tbl>
    <w:p w14:paraId="2D1CD703" w14:textId="77777777" w:rsidR="002C0EAC" w:rsidRPr="00844662" w:rsidRDefault="002C0EAC" w:rsidP="00844662">
      <w:pPr>
        <w:rPr>
          <w:lang w:eastAsia="ja-JP"/>
        </w:rPr>
      </w:pPr>
    </w:p>
    <w:p w14:paraId="0570A12E" w14:textId="4CE41CD4" w:rsidR="00F11F4D" w:rsidRDefault="00CC6A72" w:rsidP="00F11F4D">
      <w:pPr>
        <w:pStyle w:val="Heading2"/>
      </w:pPr>
      <w:bookmarkStart w:id="144" w:name="_Toc175904876"/>
      <w:r>
        <w:t>Commercial Conservation Potential</w:t>
      </w:r>
      <w:bookmarkEnd w:id="144"/>
    </w:p>
    <w:p w14:paraId="1FFDF7FC" w14:textId="4110373B" w:rsidR="00352D03" w:rsidRDefault="003D455E" w:rsidP="00C937E8">
      <w:pPr>
        <w:pStyle w:val="AEGBody"/>
      </w:pPr>
      <w:r>
        <w:fldChar w:fldCharType="begin"/>
      </w:r>
      <w:r>
        <w:instrText xml:space="preserve"> REF _Ref175816146 \h </w:instrText>
      </w:r>
      <w:r>
        <w:fldChar w:fldCharType="separate"/>
      </w:r>
      <w:r>
        <w:t xml:space="preserve">Table </w:t>
      </w:r>
      <w:r>
        <w:rPr>
          <w:noProof/>
        </w:rPr>
        <w:t>5</w:t>
      </w:r>
      <w:r>
        <w:noBreakHyphen/>
      </w:r>
      <w:r>
        <w:rPr>
          <w:noProof/>
        </w:rPr>
        <w:t>8</w:t>
      </w:r>
      <w:r>
        <w:fldChar w:fldCharType="end"/>
      </w:r>
      <w:r w:rsidR="00352D03" w:rsidRPr="0015284F">
        <w:t xml:space="preserve"> and </w:t>
      </w:r>
      <w:r>
        <w:fldChar w:fldCharType="begin"/>
      </w:r>
      <w:r>
        <w:instrText xml:space="preserve"> REF _Ref175816151 \h </w:instrText>
      </w:r>
      <w:r>
        <w:fldChar w:fldCharType="separate"/>
      </w:r>
      <w:r>
        <w:t xml:space="preserve">Table </w:t>
      </w:r>
      <w:r>
        <w:rPr>
          <w:noProof/>
        </w:rPr>
        <w:t>5</w:t>
      </w:r>
      <w:r>
        <w:noBreakHyphen/>
      </w:r>
      <w:r>
        <w:rPr>
          <w:noProof/>
        </w:rPr>
        <w:t>9</w:t>
      </w:r>
      <w:r>
        <w:fldChar w:fldCharType="end"/>
      </w:r>
      <w:r w:rsidR="00352D03" w:rsidRPr="0015284F">
        <w:t xml:space="preserve"> present state-specific estimates of conservation potential for the commercial sector. For Washington, Achievable Technical Potential is 3</w:t>
      </w:r>
      <w:r w:rsidR="005F128B" w:rsidRPr="0015284F">
        <w:t>2</w:t>
      </w:r>
      <w:r w:rsidR="00352D03" w:rsidRPr="0015284F">
        <w:t xml:space="preserve"> GWh in 202</w:t>
      </w:r>
      <w:r w:rsidR="005F128B" w:rsidRPr="0015284F">
        <w:t>6</w:t>
      </w:r>
      <w:r w:rsidR="00352D03" w:rsidRPr="0015284F">
        <w:t xml:space="preserve"> or 1.</w:t>
      </w:r>
      <w:r w:rsidR="005F128B" w:rsidRPr="0015284F">
        <w:t>6</w:t>
      </w:r>
      <w:r w:rsidR="00352D03" w:rsidRPr="0015284F">
        <w:t xml:space="preserve">% of the baseline projection. By 2045, achievable technical savings are </w:t>
      </w:r>
      <w:r w:rsidR="005F128B" w:rsidRPr="0015284F">
        <w:t>816</w:t>
      </w:r>
      <w:r w:rsidR="00352D03" w:rsidRPr="0015284F">
        <w:t xml:space="preserve"> GWh or 2</w:t>
      </w:r>
      <w:r w:rsidR="005F128B" w:rsidRPr="0015284F">
        <w:t>6</w:t>
      </w:r>
      <w:r w:rsidR="00352D03" w:rsidRPr="0015284F">
        <w:t>.</w:t>
      </w:r>
      <w:r w:rsidR="005F128B" w:rsidRPr="0015284F">
        <w:t>9</w:t>
      </w:r>
      <w:r w:rsidR="00352D03" w:rsidRPr="0015284F">
        <w:t xml:space="preserve">% of the baseline projection. For Idaho, first-year Achievable Technical Potential is 16 GWh or 1.6% of the baseline, and by 2045, cumulative Achievable Technical Potential reaches </w:t>
      </w:r>
      <w:r w:rsidR="005F128B" w:rsidRPr="0015284F">
        <w:t>358</w:t>
      </w:r>
      <w:r w:rsidR="00352D03" w:rsidRPr="0015284F">
        <w:t xml:space="preserve"> GWh or 28.</w:t>
      </w:r>
      <w:r w:rsidR="005F128B" w:rsidRPr="0015284F">
        <w:t>8</w:t>
      </w:r>
      <w:r w:rsidR="00352D03" w:rsidRPr="0015284F">
        <w:t>% of the baseline.</w:t>
      </w:r>
      <w:r w:rsidR="00352D03" w:rsidRPr="00B451D8">
        <w:t xml:space="preserve"> </w:t>
      </w:r>
    </w:p>
    <w:p w14:paraId="0F648471" w14:textId="77777777" w:rsidR="00352D03" w:rsidRPr="00352D03" w:rsidRDefault="00352D03" w:rsidP="00352D03">
      <w:pPr>
        <w:pStyle w:val="AEGBody"/>
      </w:pPr>
    </w:p>
    <w:p w14:paraId="51B2B55F" w14:textId="6C78AF51" w:rsidR="00DF4432" w:rsidRPr="00DF4432" w:rsidRDefault="002B5A9B" w:rsidP="00F11F4D">
      <w:pPr>
        <w:pStyle w:val="Caption"/>
      </w:pPr>
      <w:bookmarkStart w:id="145" w:name="_Ref175816146"/>
      <w:bookmarkStart w:id="146" w:name="_Toc175912392"/>
      <w:r>
        <w:lastRenderedPageBreak/>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8</w:t>
      </w:r>
      <w:r w:rsidR="00EE4707">
        <w:fldChar w:fldCharType="end"/>
      </w:r>
      <w:bookmarkEnd w:id="145"/>
      <w:r w:rsidR="009246C7">
        <w:t xml:space="preserve"> </w:t>
      </w:r>
      <w:r>
        <w:t>C</w:t>
      </w:r>
      <w:r w:rsidRPr="008820F6">
        <w:t>ommercial Conservation Potential, Washington</w:t>
      </w:r>
      <w:bookmarkEnd w:id="146"/>
    </w:p>
    <w:tbl>
      <w:tblPr>
        <w:tblStyle w:val="AEG-DarkBanded"/>
        <w:tblW w:w="5000" w:type="pct"/>
        <w:jc w:val="center"/>
        <w:tblLook w:val="04A0" w:firstRow="1" w:lastRow="0" w:firstColumn="1" w:lastColumn="0" w:noHBand="0" w:noVBand="1"/>
      </w:tblPr>
      <w:tblGrid>
        <w:gridCol w:w="3080"/>
        <w:gridCol w:w="1047"/>
        <w:gridCol w:w="1047"/>
        <w:gridCol w:w="1047"/>
        <w:gridCol w:w="1047"/>
        <w:gridCol w:w="1046"/>
        <w:gridCol w:w="1046"/>
      </w:tblGrid>
      <w:tr w:rsidR="00DF4432" w:rsidRPr="00DF4432" w14:paraId="03889CBD" w14:textId="77777777" w:rsidTr="003D455E">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4" w:type="pct"/>
            <w:hideMark/>
          </w:tcPr>
          <w:p w14:paraId="4E80E579" w14:textId="460DD90E" w:rsidR="00DF4432" w:rsidRPr="00E8593A" w:rsidRDefault="00DF4432" w:rsidP="00596A1C">
            <w:pPr>
              <w:keepNext/>
              <w:jc w:val="center"/>
              <w:rPr>
                <w:rFonts w:asciiTheme="majorHAnsi" w:eastAsia="Times New Roman" w:hAnsiTheme="majorHAnsi"/>
                <w:b w:val="0"/>
                <w:szCs w:val="20"/>
              </w:rPr>
            </w:pPr>
          </w:p>
        </w:tc>
        <w:tc>
          <w:tcPr>
            <w:tcW w:w="559" w:type="pct"/>
            <w:noWrap/>
            <w:hideMark/>
          </w:tcPr>
          <w:p w14:paraId="41F036D6" w14:textId="77777777" w:rsidR="00DF4432" w:rsidRPr="00E8593A"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8593A">
              <w:rPr>
                <w:rFonts w:asciiTheme="majorHAnsi" w:eastAsia="Times New Roman" w:hAnsiTheme="majorHAnsi"/>
                <w:b w:val="0"/>
                <w:szCs w:val="20"/>
              </w:rPr>
              <w:t>2026</w:t>
            </w:r>
          </w:p>
        </w:tc>
        <w:tc>
          <w:tcPr>
            <w:tcW w:w="559" w:type="pct"/>
            <w:noWrap/>
            <w:hideMark/>
          </w:tcPr>
          <w:p w14:paraId="37748E74" w14:textId="77777777" w:rsidR="00DF4432" w:rsidRPr="00E8593A"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8593A">
              <w:rPr>
                <w:rFonts w:asciiTheme="majorHAnsi" w:eastAsia="Times New Roman" w:hAnsiTheme="majorHAnsi"/>
                <w:b w:val="0"/>
                <w:szCs w:val="20"/>
              </w:rPr>
              <w:t>2027</w:t>
            </w:r>
          </w:p>
        </w:tc>
        <w:tc>
          <w:tcPr>
            <w:tcW w:w="559" w:type="pct"/>
            <w:hideMark/>
          </w:tcPr>
          <w:p w14:paraId="0D89C266" w14:textId="77777777" w:rsidR="00DF4432" w:rsidRPr="00E8593A"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8593A">
              <w:rPr>
                <w:rFonts w:asciiTheme="majorHAnsi" w:eastAsia="Times New Roman" w:hAnsiTheme="majorHAnsi"/>
                <w:b w:val="0"/>
                <w:szCs w:val="20"/>
              </w:rPr>
              <w:t>2028</w:t>
            </w:r>
          </w:p>
        </w:tc>
        <w:tc>
          <w:tcPr>
            <w:tcW w:w="559" w:type="pct"/>
            <w:noWrap/>
            <w:hideMark/>
          </w:tcPr>
          <w:p w14:paraId="78F376C1" w14:textId="77777777" w:rsidR="00DF4432" w:rsidRPr="00E8593A"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8593A">
              <w:rPr>
                <w:rFonts w:asciiTheme="majorHAnsi" w:eastAsia="Times New Roman" w:hAnsiTheme="majorHAnsi"/>
                <w:b w:val="0"/>
                <w:szCs w:val="20"/>
              </w:rPr>
              <w:t>2030</w:t>
            </w:r>
          </w:p>
        </w:tc>
        <w:tc>
          <w:tcPr>
            <w:tcW w:w="559" w:type="pct"/>
            <w:noWrap/>
            <w:hideMark/>
          </w:tcPr>
          <w:p w14:paraId="2F1FB0B1" w14:textId="77777777" w:rsidR="00DF4432" w:rsidRPr="00E8593A"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8593A">
              <w:rPr>
                <w:rFonts w:asciiTheme="majorHAnsi" w:eastAsia="Times New Roman" w:hAnsiTheme="majorHAnsi"/>
                <w:b w:val="0"/>
                <w:szCs w:val="20"/>
              </w:rPr>
              <w:t>2035</w:t>
            </w:r>
          </w:p>
        </w:tc>
        <w:tc>
          <w:tcPr>
            <w:tcW w:w="559" w:type="pct"/>
            <w:noWrap/>
            <w:hideMark/>
          </w:tcPr>
          <w:p w14:paraId="6DCA4366" w14:textId="77777777" w:rsidR="00DF4432" w:rsidRPr="00E8593A"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E8593A">
              <w:rPr>
                <w:rFonts w:asciiTheme="majorHAnsi" w:eastAsia="Times New Roman" w:hAnsiTheme="majorHAnsi"/>
                <w:b w:val="0"/>
                <w:szCs w:val="20"/>
              </w:rPr>
              <w:t>2045</w:t>
            </w:r>
          </w:p>
        </w:tc>
      </w:tr>
      <w:tr w:rsidR="00DF4432" w:rsidRPr="00DF4432" w14:paraId="2A130D70" w14:textId="77777777" w:rsidTr="003D455E">
        <w:trPr>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2AF1BBBA" w14:textId="77777777" w:rsidR="00DF4432" w:rsidRPr="00E8593A" w:rsidRDefault="00DF4432" w:rsidP="00F11F4D">
            <w:pPr>
              <w:keepNext/>
              <w:jc w:val="left"/>
              <w:rPr>
                <w:rFonts w:asciiTheme="majorHAnsi" w:eastAsia="Times New Roman" w:hAnsiTheme="majorHAnsi"/>
                <w:szCs w:val="20"/>
              </w:rPr>
            </w:pPr>
            <w:r w:rsidRPr="00E8593A">
              <w:rPr>
                <w:rFonts w:asciiTheme="majorHAnsi" w:eastAsia="Times New Roman" w:hAnsiTheme="majorHAnsi"/>
                <w:szCs w:val="20"/>
              </w:rPr>
              <w:t>Baseline Forecast (GWh)</w:t>
            </w:r>
          </w:p>
        </w:tc>
        <w:tc>
          <w:tcPr>
            <w:tcW w:w="559" w:type="pct"/>
            <w:noWrap/>
            <w:hideMark/>
          </w:tcPr>
          <w:p w14:paraId="16BBA9D6"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2,049</w:t>
            </w:r>
          </w:p>
        </w:tc>
        <w:tc>
          <w:tcPr>
            <w:tcW w:w="559" w:type="pct"/>
            <w:noWrap/>
            <w:hideMark/>
          </w:tcPr>
          <w:p w14:paraId="386F335C"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2,056</w:t>
            </w:r>
          </w:p>
        </w:tc>
        <w:tc>
          <w:tcPr>
            <w:tcW w:w="559" w:type="pct"/>
            <w:noWrap/>
            <w:hideMark/>
          </w:tcPr>
          <w:p w14:paraId="1D12283E"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2,066</w:t>
            </w:r>
          </w:p>
        </w:tc>
        <w:tc>
          <w:tcPr>
            <w:tcW w:w="559" w:type="pct"/>
            <w:noWrap/>
            <w:hideMark/>
          </w:tcPr>
          <w:p w14:paraId="5C9E8181"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2,103</w:t>
            </w:r>
          </w:p>
        </w:tc>
        <w:tc>
          <w:tcPr>
            <w:tcW w:w="559" w:type="pct"/>
            <w:noWrap/>
            <w:hideMark/>
          </w:tcPr>
          <w:p w14:paraId="47DB076E"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2,305</w:t>
            </w:r>
          </w:p>
        </w:tc>
        <w:tc>
          <w:tcPr>
            <w:tcW w:w="559" w:type="pct"/>
            <w:noWrap/>
            <w:hideMark/>
          </w:tcPr>
          <w:p w14:paraId="38B8F16F"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3,034</w:t>
            </w:r>
          </w:p>
        </w:tc>
      </w:tr>
      <w:tr w:rsidR="00DF4432" w:rsidRPr="00DF4432" w14:paraId="04DE5FB3" w14:textId="77777777" w:rsidTr="003D455E">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1DE6FF71" w14:textId="77777777" w:rsidR="00DF4432" w:rsidRPr="00E8593A" w:rsidRDefault="00DF4432" w:rsidP="00F11F4D">
            <w:pPr>
              <w:keepNext/>
              <w:jc w:val="left"/>
              <w:rPr>
                <w:rFonts w:asciiTheme="majorHAnsi" w:eastAsia="Times New Roman" w:hAnsiTheme="majorHAnsi"/>
                <w:szCs w:val="20"/>
              </w:rPr>
            </w:pPr>
            <w:r w:rsidRPr="00E8593A">
              <w:rPr>
                <w:rFonts w:asciiTheme="majorHAnsi" w:eastAsia="Times New Roman" w:hAnsiTheme="majorHAnsi"/>
                <w:szCs w:val="20"/>
              </w:rPr>
              <w:t>Cumulative Savings (GWh)</w:t>
            </w:r>
          </w:p>
        </w:tc>
        <w:tc>
          <w:tcPr>
            <w:tcW w:w="559" w:type="pct"/>
            <w:noWrap/>
            <w:hideMark/>
          </w:tcPr>
          <w:p w14:paraId="41E253B0" w14:textId="7310BE73"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22B16546" w14:textId="64673F95"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0A86FC35" w14:textId="67FF1B9B"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7786458F" w14:textId="40D2F96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752763A6" w14:textId="78B6B410"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0326DC4E" w14:textId="1426CD3D"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r>
      <w:tr w:rsidR="00DF4432" w:rsidRPr="00DF4432" w14:paraId="7CCA41AF" w14:textId="77777777" w:rsidTr="003D455E">
        <w:trPr>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620A14D1" w14:textId="77777777" w:rsidR="00DF4432" w:rsidRPr="00E8593A" w:rsidRDefault="00DF4432" w:rsidP="00F11F4D">
            <w:pPr>
              <w:keepNext/>
              <w:ind w:firstLineChars="100" w:firstLine="200"/>
              <w:jc w:val="left"/>
              <w:rPr>
                <w:rFonts w:asciiTheme="minorHAnsi" w:eastAsia="Times New Roman" w:hAnsiTheme="minorHAnsi"/>
                <w:szCs w:val="20"/>
              </w:rPr>
            </w:pPr>
            <w:r w:rsidRPr="00E8593A">
              <w:rPr>
                <w:rFonts w:asciiTheme="minorHAnsi" w:eastAsia="Times New Roman" w:hAnsiTheme="minorHAnsi"/>
                <w:szCs w:val="20"/>
              </w:rPr>
              <w:t>Technical Achievable Potential</w:t>
            </w:r>
          </w:p>
        </w:tc>
        <w:tc>
          <w:tcPr>
            <w:tcW w:w="559" w:type="pct"/>
            <w:noWrap/>
            <w:hideMark/>
          </w:tcPr>
          <w:p w14:paraId="37CD8F00"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32</w:t>
            </w:r>
          </w:p>
        </w:tc>
        <w:tc>
          <w:tcPr>
            <w:tcW w:w="559" w:type="pct"/>
            <w:noWrap/>
            <w:hideMark/>
          </w:tcPr>
          <w:p w14:paraId="63F3D1EF"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68</w:t>
            </w:r>
          </w:p>
        </w:tc>
        <w:tc>
          <w:tcPr>
            <w:tcW w:w="559" w:type="pct"/>
            <w:noWrap/>
            <w:hideMark/>
          </w:tcPr>
          <w:p w14:paraId="1BC99CFC"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107</w:t>
            </w:r>
          </w:p>
        </w:tc>
        <w:tc>
          <w:tcPr>
            <w:tcW w:w="559" w:type="pct"/>
            <w:noWrap/>
            <w:hideMark/>
          </w:tcPr>
          <w:p w14:paraId="20983D40"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196</w:t>
            </w:r>
          </w:p>
        </w:tc>
        <w:tc>
          <w:tcPr>
            <w:tcW w:w="559" w:type="pct"/>
            <w:noWrap/>
            <w:hideMark/>
          </w:tcPr>
          <w:p w14:paraId="0B728197"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428</w:t>
            </w:r>
          </w:p>
        </w:tc>
        <w:tc>
          <w:tcPr>
            <w:tcW w:w="559" w:type="pct"/>
            <w:noWrap/>
            <w:hideMark/>
          </w:tcPr>
          <w:p w14:paraId="42E24051"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816</w:t>
            </w:r>
          </w:p>
        </w:tc>
      </w:tr>
      <w:tr w:rsidR="00DF4432" w:rsidRPr="00DF4432" w14:paraId="64BDEF15" w14:textId="77777777" w:rsidTr="003D455E">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7646C3BE" w14:textId="77777777" w:rsidR="00DF4432" w:rsidRPr="00E8593A" w:rsidRDefault="00DF4432" w:rsidP="00F11F4D">
            <w:pPr>
              <w:keepNext/>
              <w:ind w:firstLineChars="100" w:firstLine="200"/>
              <w:jc w:val="left"/>
              <w:rPr>
                <w:rFonts w:asciiTheme="minorHAnsi" w:eastAsia="Times New Roman" w:hAnsiTheme="minorHAnsi"/>
                <w:szCs w:val="20"/>
              </w:rPr>
            </w:pPr>
            <w:r w:rsidRPr="00E8593A">
              <w:rPr>
                <w:rFonts w:asciiTheme="minorHAnsi" w:eastAsia="Times New Roman" w:hAnsiTheme="minorHAnsi"/>
                <w:szCs w:val="20"/>
              </w:rPr>
              <w:t>Technical Potential</w:t>
            </w:r>
          </w:p>
        </w:tc>
        <w:tc>
          <w:tcPr>
            <w:tcW w:w="559" w:type="pct"/>
            <w:noWrap/>
            <w:hideMark/>
          </w:tcPr>
          <w:p w14:paraId="13D042E4"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64</w:t>
            </w:r>
          </w:p>
        </w:tc>
        <w:tc>
          <w:tcPr>
            <w:tcW w:w="559" w:type="pct"/>
            <w:noWrap/>
            <w:hideMark/>
          </w:tcPr>
          <w:p w14:paraId="37A2E9D7"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126</w:t>
            </w:r>
          </w:p>
        </w:tc>
        <w:tc>
          <w:tcPr>
            <w:tcW w:w="559" w:type="pct"/>
            <w:noWrap/>
            <w:hideMark/>
          </w:tcPr>
          <w:p w14:paraId="7FF19BBE"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190</w:t>
            </w:r>
          </w:p>
        </w:tc>
        <w:tc>
          <w:tcPr>
            <w:tcW w:w="559" w:type="pct"/>
            <w:noWrap/>
            <w:hideMark/>
          </w:tcPr>
          <w:p w14:paraId="72F0C287"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315</w:t>
            </w:r>
          </w:p>
        </w:tc>
        <w:tc>
          <w:tcPr>
            <w:tcW w:w="559" w:type="pct"/>
            <w:noWrap/>
            <w:hideMark/>
          </w:tcPr>
          <w:p w14:paraId="1963B4A6"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577</w:t>
            </w:r>
          </w:p>
        </w:tc>
        <w:tc>
          <w:tcPr>
            <w:tcW w:w="559" w:type="pct"/>
            <w:noWrap/>
            <w:hideMark/>
          </w:tcPr>
          <w:p w14:paraId="211604AC"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938</w:t>
            </w:r>
          </w:p>
        </w:tc>
      </w:tr>
      <w:tr w:rsidR="00DF4432" w:rsidRPr="00DF4432" w14:paraId="5F6A1E40" w14:textId="77777777" w:rsidTr="003D455E">
        <w:trPr>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6589E619" w14:textId="77777777" w:rsidR="00DF4432" w:rsidRPr="00453FC9" w:rsidRDefault="00DF4432" w:rsidP="00F11F4D">
            <w:pPr>
              <w:keepNext/>
              <w:jc w:val="left"/>
              <w:rPr>
                <w:rFonts w:asciiTheme="majorHAnsi" w:eastAsia="Times New Roman" w:hAnsiTheme="majorHAnsi"/>
                <w:szCs w:val="20"/>
              </w:rPr>
            </w:pPr>
            <w:r w:rsidRPr="00453FC9">
              <w:rPr>
                <w:rFonts w:asciiTheme="majorHAnsi" w:eastAsia="Times New Roman" w:hAnsiTheme="majorHAnsi"/>
                <w:szCs w:val="20"/>
              </w:rPr>
              <w:t>Energy Savings (% of Baseline)</w:t>
            </w:r>
          </w:p>
        </w:tc>
        <w:tc>
          <w:tcPr>
            <w:tcW w:w="559" w:type="pct"/>
            <w:noWrap/>
            <w:hideMark/>
          </w:tcPr>
          <w:p w14:paraId="764D3561" w14:textId="2F9C67B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559" w:type="pct"/>
            <w:noWrap/>
            <w:hideMark/>
          </w:tcPr>
          <w:p w14:paraId="0B05C473" w14:textId="1E43A70F"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559" w:type="pct"/>
            <w:noWrap/>
            <w:hideMark/>
          </w:tcPr>
          <w:p w14:paraId="774E2D24" w14:textId="246C9A2E"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559" w:type="pct"/>
            <w:noWrap/>
            <w:hideMark/>
          </w:tcPr>
          <w:p w14:paraId="0D26B538" w14:textId="7563A53C"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559" w:type="pct"/>
            <w:noWrap/>
            <w:hideMark/>
          </w:tcPr>
          <w:p w14:paraId="2102D1A1" w14:textId="0AC6D66D"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559" w:type="pct"/>
            <w:noWrap/>
            <w:hideMark/>
          </w:tcPr>
          <w:p w14:paraId="0430CE61" w14:textId="091CCF2B"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r>
      <w:tr w:rsidR="00DF4432" w:rsidRPr="00DF4432" w14:paraId="4F4DDD1E" w14:textId="77777777" w:rsidTr="003D455E">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0517743D" w14:textId="77777777" w:rsidR="00DF4432" w:rsidRPr="00E8593A" w:rsidRDefault="00DF4432" w:rsidP="00F11F4D">
            <w:pPr>
              <w:keepNext/>
              <w:ind w:firstLineChars="100" w:firstLine="200"/>
              <w:jc w:val="left"/>
              <w:rPr>
                <w:rFonts w:asciiTheme="minorHAnsi" w:eastAsia="Times New Roman" w:hAnsiTheme="minorHAnsi"/>
                <w:szCs w:val="20"/>
              </w:rPr>
            </w:pPr>
            <w:r w:rsidRPr="00E8593A">
              <w:rPr>
                <w:rFonts w:asciiTheme="minorHAnsi" w:eastAsia="Times New Roman" w:hAnsiTheme="minorHAnsi"/>
                <w:szCs w:val="20"/>
              </w:rPr>
              <w:t>Technical Achievable Potential</w:t>
            </w:r>
          </w:p>
        </w:tc>
        <w:tc>
          <w:tcPr>
            <w:tcW w:w="559" w:type="pct"/>
            <w:noWrap/>
            <w:hideMark/>
          </w:tcPr>
          <w:p w14:paraId="6FD30CB8"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1.6%</w:t>
            </w:r>
          </w:p>
        </w:tc>
        <w:tc>
          <w:tcPr>
            <w:tcW w:w="559" w:type="pct"/>
            <w:noWrap/>
            <w:hideMark/>
          </w:tcPr>
          <w:p w14:paraId="0E9BD067"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3.3%</w:t>
            </w:r>
          </w:p>
        </w:tc>
        <w:tc>
          <w:tcPr>
            <w:tcW w:w="559" w:type="pct"/>
            <w:noWrap/>
            <w:hideMark/>
          </w:tcPr>
          <w:p w14:paraId="0A96C614"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5.2%</w:t>
            </w:r>
          </w:p>
        </w:tc>
        <w:tc>
          <w:tcPr>
            <w:tcW w:w="559" w:type="pct"/>
            <w:noWrap/>
            <w:hideMark/>
          </w:tcPr>
          <w:p w14:paraId="5539ABC1"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9.3%</w:t>
            </w:r>
          </w:p>
        </w:tc>
        <w:tc>
          <w:tcPr>
            <w:tcW w:w="559" w:type="pct"/>
            <w:noWrap/>
            <w:hideMark/>
          </w:tcPr>
          <w:p w14:paraId="207EF7B0"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18.6%</w:t>
            </w:r>
          </w:p>
        </w:tc>
        <w:tc>
          <w:tcPr>
            <w:tcW w:w="559" w:type="pct"/>
            <w:noWrap/>
            <w:hideMark/>
          </w:tcPr>
          <w:p w14:paraId="41F0D5FB"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26.9%</w:t>
            </w:r>
          </w:p>
        </w:tc>
      </w:tr>
      <w:tr w:rsidR="00DF4432" w:rsidRPr="00DF4432" w14:paraId="1173BD1A" w14:textId="77777777" w:rsidTr="003D455E">
        <w:trPr>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7928A70E" w14:textId="77777777" w:rsidR="00DF4432" w:rsidRPr="00E8593A" w:rsidRDefault="00DF4432" w:rsidP="00F11F4D">
            <w:pPr>
              <w:keepNext/>
              <w:ind w:firstLineChars="100" w:firstLine="200"/>
              <w:jc w:val="left"/>
              <w:rPr>
                <w:rFonts w:asciiTheme="minorHAnsi" w:eastAsia="Times New Roman" w:hAnsiTheme="minorHAnsi"/>
                <w:szCs w:val="20"/>
              </w:rPr>
            </w:pPr>
            <w:r w:rsidRPr="00E8593A">
              <w:rPr>
                <w:rFonts w:asciiTheme="minorHAnsi" w:eastAsia="Times New Roman" w:hAnsiTheme="minorHAnsi"/>
                <w:szCs w:val="20"/>
              </w:rPr>
              <w:t>Technical Potential</w:t>
            </w:r>
          </w:p>
        </w:tc>
        <w:tc>
          <w:tcPr>
            <w:tcW w:w="559" w:type="pct"/>
            <w:noWrap/>
            <w:hideMark/>
          </w:tcPr>
          <w:p w14:paraId="279DB827"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3.1%</w:t>
            </w:r>
          </w:p>
        </w:tc>
        <w:tc>
          <w:tcPr>
            <w:tcW w:w="559" w:type="pct"/>
            <w:noWrap/>
            <w:hideMark/>
          </w:tcPr>
          <w:p w14:paraId="68AE7194"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6.1%</w:t>
            </w:r>
          </w:p>
        </w:tc>
        <w:tc>
          <w:tcPr>
            <w:tcW w:w="559" w:type="pct"/>
            <w:noWrap/>
            <w:hideMark/>
          </w:tcPr>
          <w:p w14:paraId="07482A90"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9.2%</w:t>
            </w:r>
          </w:p>
        </w:tc>
        <w:tc>
          <w:tcPr>
            <w:tcW w:w="559" w:type="pct"/>
            <w:noWrap/>
            <w:hideMark/>
          </w:tcPr>
          <w:p w14:paraId="76958A16"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15.0%</w:t>
            </w:r>
          </w:p>
        </w:tc>
        <w:tc>
          <w:tcPr>
            <w:tcW w:w="559" w:type="pct"/>
            <w:noWrap/>
            <w:hideMark/>
          </w:tcPr>
          <w:p w14:paraId="61DF5B89"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25.0%</w:t>
            </w:r>
          </w:p>
        </w:tc>
        <w:tc>
          <w:tcPr>
            <w:tcW w:w="559" w:type="pct"/>
            <w:noWrap/>
            <w:hideMark/>
          </w:tcPr>
          <w:p w14:paraId="50C78630"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30.9%</w:t>
            </w:r>
          </w:p>
        </w:tc>
      </w:tr>
      <w:tr w:rsidR="00DF4432" w:rsidRPr="00DF4432" w14:paraId="7AB7B056" w14:textId="77777777" w:rsidTr="003D455E">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6A7D1F1A" w14:textId="77777777" w:rsidR="00DF4432" w:rsidRPr="00453FC9" w:rsidRDefault="00DF4432" w:rsidP="00F11F4D">
            <w:pPr>
              <w:keepNext/>
              <w:jc w:val="left"/>
              <w:rPr>
                <w:rFonts w:asciiTheme="majorHAnsi" w:eastAsia="Times New Roman" w:hAnsiTheme="majorHAnsi"/>
                <w:szCs w:val="20"/>
              </w:rPr>
            </w:pPr>
            <w:r w:rsidRPr="00453FC9">
              <w:rPr>
                <w:rFonts w:asciiTheme="majorHAnsi" w:eastAsia="Times New Roman" w:hAnsiTheme="majorHAnsi"/>
                <w:szCs w:val="20"/>
              </w:rPr>
              <w:t>Cumulative Savings (aMW)</w:t>
            </w:r>
          </w:p>
        </w:tc>
        <w:tc>
          <w:tcPr>
            <w:tcW w:w="559" w:type="pct"/>
            <w:noWrap/>
            <w:hideMark/>
          </w:tcPr>
          <w:p w14:paraId="5D1F20DB" w14:textId="39D852A9"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0E3C476E" w14:textId="3AE7F18A"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398D0095" w14:textId="6F2A144C"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715C21C0" w14:textId="3C59874B"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7687C9D8" w14:textId="51A82070"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559" w:type="pct"/>
            <w:noWrap/>
            <w:hideMark/>
          </w:tcPr>
          <w:p w14:paraId="5257507D" w14:textId="39F13A83"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r>
      <w:tr w:rsidR="00DF4432" w:rsidRPr="00DF4432" w14:paraId="167C4F0C" w14:textId="77777777" w:rsidTr="003D455E">
        <w:trPr>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73F4C6C7" w14:textId="77777777" w:rsidR="00DF4432" w:rsidRPr="00E8593A" w:rsidRDefault="00DF4432" w:rsidP="00F11F4D">
            <w:pPr>
              <w:keepNext/>
              <w:ind w:firstLineChars="100" w:firstLine="200"/>
              <w:jc w:val="left"/>
              <w:rPr>
                <w:rFonts w:asciiTheme="minorHAnsi" w:eastAsia="Times New Roman" w:hAnsiTheme="minorHAnsi"/>
                <w:szCs w:val="20"/>
              </w:rPr>
            </w:pPr>
            <w:r w:rsidRPr="00E8593A">
              <w:rPr>
                <w:rFonts w:asciiTheme="minorHAnsi" w:eastAsia="Times New Roman" w:hAnsiTheme="minorHAnsi"/>
                <w:szCs w:val="20"/>
              </w:rPr>
              <w:t>Technical Achievable Potential</w:t>
            </w:r>
          </w:p>
        </w:tc>
        <w:tc>
          <w:tcPr>
            <w:tcW w:w="559" w:type="pct"/>
            <w:noWrap/>
            <w:hideMark/>
          </w:tcPr>
          <w:p w14:paraId="107AC418"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3.7</w:t>
            </w:r>
          </w:p>
        </w:tc>
        <w:tc>
          <w:tcPr>
            <w:tcW w:w="559" w:type="pct"/>
            <w:noWrap/>
            <w:hideMark/>
          </w:tcPr>
          <w:p w14:paraId="50C193AD"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7.7</w:t>
            </w:r>
          </w:p>
        </w:tc>
        <w:tc>
          <w:tcPr>
            <w:tcW w:w="559" w:type="pct"/>
            <w:noWrap/>
            <w:hideMark/>
          </w:tcPr>
          <w:p w14:paraId="2D4B2E36"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12.2</w:t>
            </w:r>
          </w:p>
        </w:tc>
        <w:tc>
          <w:tcPr>
            <w:tcW w:w="559" w:type="pct"/>
            <w:noWrap/>
            <w:hideMark/>
          </w:tcPr>
          <w:p w14:paraId="3838A9B4"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22.4</w:t>
            </w:r>
          </w:p>
        </w:tc>
        <w:tc>
          <w:tcPr>
            <w:tcW w:w="559" w:type="pct"/>
            <w:noWrap/>
            <w:hideMark/>
          </w:tcPr>
          <w:p w14:paraId="70D3414B"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48.9</w:t>
            </w:r>
          </w:p>
        </w:tc>
        <w:tc>
          <w:tcPr>
            <w:tcW w:w="559" w:type="pct"/>
            <w:noWrap/>
            <w:hideMark/>
          </w:tcPr>
          <w:p w14:paraId="737CD174" w14:textId="77777777" w:rsidR="00DF4432" w:rsidRPr="00E8593A" w:rsidRDefault="00DF4432"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93.1</w:t>
            </w:r>
          </w:p>
        </w:tc>
      </w:tr>
      <w:tr w:rsidR="00DF4432" w:rsidRPr="00DF4432" w14:paraId="22FFD7DF" w14:textId="77777777" w:rsidTr="003D455E">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4" w:type="pct"/>
            <w:noWrap/>
            <w:hideMark/>
          </w:tcPr>
          <w:p w14:paraId="39F1353C" w14:textId="77777777" w:rsidR="00DF4432" w:rsidRPr="00E8593A" w:rsidRDefault="00DF4432" w:rsidP="00F11F4D">
            <w:pPr>
              <w:keepNext/>
              <w:ind w:firstLineChars="100" w:firstLine="200"/>
              <w:jc w:val="left"/>
              <w:rPr>
                <w:rFonts w:asciiTheme="minorHAnsi" w:eastAsia="Times New Roman" w:hAnsiTheme="minorHAnsi"/>
                <w:szCs w:val="20"/>
              </w:rPr>
            </w:pPr>
            <w:r w:rsidRPr="00E8593A">
              <w:rPr>
                <w:rFonts w:asciiTheme="minorHAnsi" w:eastAsia="Times New Roman" w:hAnsiTheme="minorHAnsi"/>
                <w:szCs w:val="20"/>
              </w:rPr>
              <w:t>Technical Potential</w:t>
            </w:r>
          </w:p>
        </w:tc>
        <w:tc>
          <w:tcPr>
            <w:tcW w:w="559" w:type="pct"/>
            <w:noWrap/>
            <w:hideMark/>
          </w:tcPr>
          <w:p w14:paraId="75940946"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7.3</w:t>
            </w:r>
          </w:p>
        </w:tc>
        <w:tc>
          <w:tcPr>
            <w:tcW w:w="559" w:type="pct"/>
            <w:noWrap/>
            <w:hideMark/>
          </w:tcPr>
          <w:p w14:paraId="4B34B166"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14.4</w:t>
            </w:r>
          </w:p>
        </w:tc>
        <w:tc>
          <w:tcPr>
            <w:tcW w:w="559" w:type="pct"/>
            <w:noWrap/>
            <w:hideMark/>
          </w:tcPr>
          <w:p w14:paraId="3F867058"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21.7</w:t>
            </w:r>
          </w:p>
        </w:tc>
        <w:tc>
          <w:tcPr>
            <w:tcW w:w="559" w:type="pct"/>
            <w:noWrap/>
            <w:hideMark/>
          </w:tcPr>
          <w:p w14:paraId="2390B517"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36.0</w:t>
            </w:r>
          </w:p>
        </w:tc>
        <w:tc>
          <w:tcPr>
            <w:tcW w:w="559" w:type="pct"/>
            <w:noWrap/>
            <w:hideMark/>
          </w:tcPr>
          <w:p w14:paraId="017FF406"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65.9</w:t>
            </w:r>
          </w:p>
        </w:tc>
        <w:tc>
          <w:tcPr>
            <w:tcW w:w="559" w:type="pct"/>
            <w:noWrap/>
            <w:hideMark/>
          </w:tcPr>
          <w:p w14:paraId="24C1344B" w14:textId="77777777" w:rsidR="00DF4432" w:rsidRPr="00E8593A" w:rsidRDefault="00DF4432"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E8593A">
              <w:rPr>
                <w:rFonts w:asciiTheme="minorHAnsi" w:eastAsia="Times New Roman" w:hAnsiTheme="minorHAnsi"/>
                <w:szCs w:val="20"/>
              </w:rPr>
              <w:t>107.1</w:t>
            </w:r>
          </w:p>
        </w:tc>
      </w:tr>
    </w:tbl>
    <w:p w14:paraId="7EDEBB61" w14:textId="290CD570" w:rsidR="00916C6F" w:rsidRDefault="00916C6F" w:rsidP="00844662">
      <w:pPr>
        <w:rPr>
          <w:rFonts w:cstheme="minorBidi"/>
        </w:rPr>
      </w:pPr>
    </w:p>
    <w:p w14:paraId="3E0BA154" w14:textId="7937A7AA" w:rsidR="00DF4432" w:rsidRPr="00DF4432" w:rsidRDefault="002B5A9B" w:rsidP="00F11F4D">
      <w:pPr>
        <w:pStyle w:val="FigureorTableCaption"/>
        <w:divId w:val="1370300742"/>
      </w:pPr>
      <w:bookmarkStart w:id="147" w:name="_Ref175816151"/>
      <w:bookmarkStart w:id="148" w:name="_Toc175912393"/>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9</w:t>
      </w:r>
      <w:r w:rsidR="00EE4707">
        <w:fldChar w:fldCharType="end"/>
      </w:r>
      <w:bookmarkEnd w:id="147"/>
      <w:r w:rsidR="009246C7">
        <w:t xml:space="preserve"> </w:t>
      </w:r>
      <w:r w:rsidRPr="00126C7F">
        <w:t>Commercial Conservation Potential, Idaho</w:t>
      </w:r>
      <w:bookmarkEnd w:id="148"/>
    </w:p>
    <w:tbl>
      <w:tblPr>
        <w:tblStyle w:val="AEGBlue2"/>
        <w:tblW w:w="5000" w:type="pct"/>
        <w:jc w:val="center"/>
        <w:tblLayout w:type="fixed"/>
        <w:tblLook w:val="04A0" w:firstRow="1" w:lastRow="0" w:firstColumn="1" w:lastColumn="0" w:noHBand="0" w:noVBand="1"/>
      </w:tblPr>
      <w:tblGrid>
        <w:gridCol w:w="3191"/>
        <w:gridCol w:w="1029"/>
        <w:gridCol w:w="1028"/>
        <w:gridCol w:w="1028"/>
        <w:gridCol w:w="1028"/>
        <w:gridCol w:w="1028"/>
        <w:gridCol w:w="1028"/>
      </w:tblGrid>
      <w:tr w:rsidR="00DF4432" w:rsidRPr="00DF4432" w14:paraId="1673EE4D" w14:textId="77777777" w:rsidTr="00FF4586">
        <w:trPr>
          <w:cnfStyle w:val="100000000000" w:firstRow="1" w:lastRow="0" w:firstColumn="0" w:lastColumn="0" w:oddVBand="0" w:evenVBand="0" w:oddHBand="0" w:evenHBand="0" w:firstRowFirstColumn="0" w:firstRowLastColumn="0" w:lastRowFirstColumn="0" w:lastRowLastColumn="0"/>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hideMark/>
          </w:tcPr>
          <w:p w14:paraId="3B1866C3" w14:textId="22BBF946" w:rsidR="00DF4432" w:rsidRPr="00CE345C" w:rsidRDefault="00DF4432" w:rsidP="00596A1C">
            <w:pPr>
              <w:keepNext/>
              <w:jc w:val="center"/>
              <w:rPr>
                <w:rFonts w:asciiTheme="majorHAnsi" w:eastAsia="Times New Roman" w:hAnsiTheme="majorHAnsi"/>
                <w:szCs w:val="20"/>
              </w:rPr>
            </w:pPr>
          </w:p>
        </w:tc>
        <w:tc>
          <w:tcPr>
            <w:tcW w:w="549" w:type="pct"/>
            <w:noWrap/>
            <w:hideMark/>
          </w:tcPr>
          <w:p w14:paraId="322B0BDA" w14:textId="77777777" w:rsidR="00DF4432" w:rsidRPr="00CE345C"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E345C">
              <w:rPr>
                <w:rFonts w:asciiTheme="majorHAnsi" w:eastAsia="Times New Roman" w:hAnsiTheme="majorHAnsi"/>
                <w:szCs w:val="20"/>
              </w:rPr>
              <w:t>2026</w:t>
            </w:r>
          </w:p>
        </w:tc>
        <w:tc>
          <w:tcPr>
            <w:tcW w:w="549" w:type="pct"/>
            <w:noWrap/>
            <w:hideMark/>
          </w:tcPr>
          <w:p w14:paraId="387268D6" w14:textId="77777777" w:rsidR="00DF4432" w:rsidRPr="00CE345C"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E345C">
              <w:rPr>
                <w:rFonts w:asciiTheme="majorHAnsi" w:eastAsia="Times New Roman" w:hAnsiTheme="majorHAnsi"/>
                <w:szCs w:val="20"/>
              </w:rPr>
              <w:t>2027</w:t>
            </w:r>
          </w:p>
        </w:tc>
        <w:tc>
          <w:tcPr>
            <w:tcW w:w="549" w:type="pct"/>
            <w:hideMark/>
          </w:tcPr>
          <w:p w14:paraId="182CADE4" w14:textId="77777777" w:rsidR="00DF4432" w:rsidRPr="00CE345C"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E345C">
              <w:rPr>
                <w:rFonts w:asciiTheme="majorHAnsi" w:eastAsia="Times New Roman" w:hAnsiTheme="majorHAnsi"/>
                <w:szCs w:val="20"/>
              </w:rPr>
              <w:t>2028</w:t>
            </w:r>
          </w:p>
        </w:tc>
        <w:tc>
          <w:tcPr>
            <w:tcW w:w="549" w:type="pct"/>
            <w:noWrap/>
            <w:hideMark/>
          </w:tcPr>
          <w:p w14:paraId="0517B6A2" w14:textId="77777777" w:rsidR="00DF4432" w:rsidRPr="00CE345C"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E345C">
              <w:rPr>
                <w:rFonts w:asciiTheme="majorHAnsi" w:eastAsia="Times New Roman" w:hAnsiTheme="majorHAnsi"/>
                <w:szCs w:val="20"/>
              </w:rPr>
              <w:t>2030</w:t>
            </w:r>
          </w:p>
        </w:tc>
        <w:tc>
          <w:tcPr>
            <w:tcW w:w="549" w:type="pct"/>
            <w:noWrap/>
            <w:hideMark/>
          </w:tcPr>
          <w:p w14:paraId="79C61E2B" w14:textId="77777777" w:rsidR="00DF4432" w:rsidRPr="00CE345C"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E345C">
              <w:rPr>
                <w:rFonts w:asciiTheme="majorHAnsi" w:eastAsia="Times New Roman" w:hAnsiTheme="majorHAnsi"/>
                <w:szCs w:val="20"/>
              </w:rPr>
              <w:t>2035</w:t>
            </w:r>
          </w:p>
        </w:tc>
        <w:tc>
          <w:tcPr>
            <w:tcW w:w="549" w:type="pct"/>
            <w:noWrap/>
            <w:hideMark/>
          </w:tcPr>
          <w:p w14:paraId="4080561A" w14:textId="77777777" w:rsidR="00DF4432" w:rsidRPr="00CE345C" w:rsidRDefault="00DF4432"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E345C">
              <w:rPr>
                <w:rFonts w:asciiTheme="majorHAnsi" w:eastAsia="Times New Roman" w:hAnsiTheme="majorHAnsi"/>
                <w:szCs w:val="20"/>
              </w:rPr>
              <w:t>2045</w:t>
            </w:r>
          </w:p>
        </w:tc>
      </w:tr>
      <w:tr w:rsidR="00DF4432" w:rsidRPr="00DF4432" w14:paraId="0FE662AE" w14:textId="77777777" w:rsidTr="00FF4586">
        <w:trPr>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7889C50E" w14:textId="77777777" w:rsidR="00DF4432" w:rsidRPr="00CE345C" w:rsidRDefault="00DF4432" w:rsidP="00F11F4D">
            <w:pPr>
              <w:keepNext/>
              <w:jc w:val="left"/>
              <w:rPr>
                <w:rFonts w:asciiTheme="majorHAnsi" w:eastAsia="Times New Roman" w:hAnsiTheme="majorHAnsi"/>
                <w:szCs w:val="20"/>
              </w:rPr>
            </w:pPr>
            <w:r w:rsidRPr="00CE345C">
              <w:rPr>
                <w:rFonts w:asciiTheme="majorHAnsi" w:eastAsia="Times New Roman" w:hAnsiTheme="majorHAnsi"/>
                <w:szCs w:val="20"/>
              </w:rPr>
              <w:t>Baseline Forecast (GWh)</w:t>
            </w:r>
          </w:p>
        </w:tc>
        <w:tc>
          <w:tcPr>
            <w:tcW w:w="549" w:type="pct"/>
            <w:noWrap/>
            <w:hideMark/>
          </w:tcPr>
          <w:p w14:paraId="5859960E"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1,037</w:t>
            </w:r>
          </w:p>
        </w:tc>
        <w:tc>
          <w:tcPr>
            <w:tcW w:w="549" w:type="pct"/>
            <w:noWrap/>
            <w:hideMark/>
          </w:tcPr>
          <w:p w14:paraId="7FDE8D8B"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1,041</w:t>
            </w:r>
          </w:p>
        </w:tc>
        <w:tc>
          <w:tcPr>
            <w:tcW w:w="549" w:type="pct"/>
            <w:noWrap/>
            <w:hideMark/>
          </w:tcPr>
          <w:p w14:paraId="17E9145F"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1,046</w:t>
            </w:r>
          </w:p>
        </w:tc>
        <w:tc>
          <w:tcPr>
            <w:tcW w:w="549" w:type="pct"/>
            <w:noWrap/>
            <w:hideMark/>
          </w:tcPr>
          <w:p w14:paraId="63BF3230"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1,058</w:t>
            </w:r>
          </w:p>
        </w:tc>
        <w:tc>
          <w:tcPr>
            <w:tcW w:w="549" w:type="pct"/>
            <w:noWrap/>
            <w:hideMark/>
          </w:tcPr>
          <w:p w14:paraId="38F545B0"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1,099</w:t>
            </w:r>
          </w:p>
        </w:tc>
        <w:tc>
          <w:tcPr>
            <w:tcW w:w="549" w:type="pct"/>
            <w:noWrap/>
            <w:hideMark/>
          </w:tcPr>
          <w:p w14:paraId="347F3A25"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1,240</w:t>
            </w:r>
          </w:p>
        </w:tc>
      </w:tr>
      <w:tr w:rsidR="00DF4432" w:rsidRPr="00DF4432" w14:paraId="3C136BA1" w14:textId="77777777" w:rsidTr="00FF4586">
        <w:trPr>
          <w:cnfStyle w:val="000000010000" w:firstRow="0" w:lastRow="0" w:firstColumn="0" w:lastColumn="0" w:oddVBand="0" w:evenVBand="0" w:oddHBand="0" w:evenHBand="1" w:firstRowFirstColumn="0" w:firstRowLastColumn="0" w:lastRowFirstColumn="0" w:lastRowLastColumn="0"/>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65661443" w14:textId="77777777" w:rsidR="00DF4432" w:rsidRPr="00CE345C" w:rsidRDefault="00DF4432" w:rsidP="00F11F4D">
            <w:pPr>
              <w:keepNext/>
              <w:jc w:val="left"/>
              <w:rPr>
                <w:rFonts w:asciiTheme="majorHAnsi" w:eastAsia="Times New Roman" w:hAnsiTheme="majorHAnsi"/>
                <w:szCs w:val="20"/>
              </w:rPr>
            </w:pPr>
            <w:r w:rsidRPr="00CE345C">
              <w:rPr>
                <w:rFonts w:asciiTheme="majorHAnsi" w:eastAsia="Times New Roman" w:hAnsiTheme="majorHAnsi"/>
                <w:szCs w:val="20"/>
              </w:rPr>
              <w:t>Cumulative Savings (GWh)</w:t>
            </w:r>
          </w:p>
        </w:tc>
        <w:tc>
          <w:tcPr>
            <w:tcW w:w="549" w:type="pct"/>
            <w:noWrap/>
            <w:hideMark/>
          </w:tcPr>
          <w:p w14:paraId="18242E8D"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3F1A9364"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799537B2"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6C8695BB"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022B20B2"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4B920695"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r>
      <w:tr w:rsidR="00DF4432" w:rsidRPr="00DF4432" w14:paraId="77F926CE" w14:textId="77777777" w:rsidTr="00FF4586">
        <w:trPr>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5014E6BD" w14:textId="77777777" w:rsidR="00DF4432" w:rsidRPr="00CE345C" w:rsidRDefault="00DF4432" w:rsidP="00F11F4D">
            <w:pPr>
              <w:keepNext/>
              <w:ind w:firstLineChars="100" w:firstLine="200"/>
              <w:jc w:val="left"/>
              <w:rPr>
                <w:rFonts w:eastAsia="Times New Roman"/>
                <w:szCs w:val="20"/>
              </w:rPr>
            </w:pPr>
            <w:r w:rsidRPr="00CE345C">
              <w:rPr>
                <w:rFonts w:eastAsia="Times New Roman"/>
                <w:szCs w:val="20"/>
              </w:rPr>
              <w:t>Technical Achievable Potential</w:t>
            </w:r>
          </w:p>
        </w:tc>
        <w:tc>
          <w:tcPr>
            <w:tcW w:w="549" w:type="pct"/>
            <w:noWrap/>
            <w:hideMark/>
          </w:tcPr>
          <w:p w14:paraId="4CE4C60A"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16</w:t>
            </w:r>
          </w:p>
        </w:tc>
        <w:tc>
          <w:tcPr>
            <w:tcW w:w="549" w:type="pct"/>
            <w:noWrap/>
            <w:hideMark/>
          </w:tcPr>
          <w:p w14:paraId="7F8E3E41"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34</w:t>
            </w:r>
          </w:p>
        </w:tc>
        <w:tc>
          <w:tcPr>
            <w:tcW w:w="549" w:type="pct"/>
            <w:noWrap/>
            <w:hideMark/>
          </w:tcPr>
          <w:p w14:paraId="0EF72E8A"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53</w:t>
            </w:r>
          </w:p>
        </w:tc>
        <w:tc>
          <w:tcPr>
            <w:tcW w:w="549" w:type="pct"/>
            <w:noWrap/>
            <w:hideMark/>
          </w:tcPr>
          <w:p w14:paraId="3BC11F67"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97</w:t>
            </w:r>
          </w:p>
        </w:tc>
        <w:tc>
          <w:tcPr>
            <w:tcW w:w="549" w:type="pct"/>
            <w:noWrap/>
            <w:hideMark/>
          </w:tcPr>
          <w:p w14:paraId="7ADE7FE4"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211</w:t>
            </w:r>
          </w:p>
        </w:tc>
        <w:tc>
          <w:tcPr>
            <w:tcW w:w="549" w:type="pct"/>
            <w:noWrap/>
            <w:hideMark/>
          </w:tcPr>
          <w:p w14:paraId="44DD46FD"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358</w:t>
            </w:r>
          </w:p>
        </w:tc>
      </w:tr>
      <w:tr w:rsidR="00DF4432" w:rsidRPr="00DF4432" w14:paraId="5B0FFEA1" w14:textId="77777777" w:rsidTr="00FF4586">
        <w:trPr>
          <w:cnfStyle w:val="000000010000" w:firstRow="0" w:lastRow="0" w:firstColumn="0" w:lastColumn="0" w:oddVBand="0" w:evenVBand="0" w:oddHBand="0" w:evenHBand="1" w:firstRowFirstColumn="0" w:firstRowLastColumn="0" w:lastRowFirstColumn="0" w:lastRowLastColumn="0"/>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2C52B74E" w14:textId="77777777" w:rsidR="00DF4432" w:rsidRPr="00CE345C" w:rsidRDefault="00DF4432" w:rsidP="00F11F4D">
            <w:pPr>
              <w:keepNext/>
              <w:ind w:firstLineChars="100" w:firstLine="200"/>
              <w:jc w:val="left"/>
              <w:rPr>
                <w:rFonts w:eastAsia="Times New Roman"/>
                <w:szCs w:val="20"/>
              </w:rPr>
            </w:pPr>
            <w:r w:rsidRPr="00CE345C">
              <w:rPr>
                <w:rFonts w:eastAsia="Times New Roman"/>
                <w:szCs w:val="20"/>
              </w:rPr>
              <w:t>Technical Potential</w:t>
            </w:r>
          </w:p>
        </w:tc>
        <w:tc>
          <w:tcPr>
            <w:tcW w:w="549" w:type="pct"/>
            <w:noWrap/>
            <w:hideMark/>
          </w:tcPr>
          <w:p w14:paraId="7C4EF895"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32</w:t>
            </w:r>
          </w:p>
        </w:tc>
        <w:tc>
          <w:tcPr>
            <w:tcW w:w="549" w:type="pct"/>
            <w:noWrap/>
            <w:hideMark/>
          </w:tcPr>
          <w:p w14:paraId="7CA376BE"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64</w:t>
            </w:r>
          </w:p>
        </w:tc>
        <w:tc>
          <w:tcPr>
            <w:tcW w:w="549" w:type="pct"/>
            <w:noWrap/>
            <w:hideMark/>
          </w:tcPr>
          <w:p w14:paraId="260F58BA"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96</w:t>
            </w:r>
          </w:p>
        </w:tc>
        <w:tc>
          <w:tcPr>
            <w:tcW w:w="549" w:type="pct"/>
            <w:noWrap/>
            <w:hideMark/>
          </w:tcPr>
          <w:p w14:paraId="35CB9B3B"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160</w:t>
            </w:r>
          </w:p>
        </w:tc>
        <w:tc>
          <w:tcPr>
            <w:tcW w:w="549" w:type="pct"/>
            <w:noWrap/>
            <w:hideMark/>
          </w:tcPr>
          <w:p w14:paraId="5F0F0118"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287</w:t>
            </w:r>
          </w:p>
        </w:tc>
        <w:tc>
          <w:tcPr>
            <w:tcW w:w="549" w:type="pct"/>
            <w:noWrap/>
            <w:hideMark/>
          </w:tcPr>
          <w:p w14:paraId="5DA9EDAD"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428</w:t>
            </w:r>
          </w:p>
        </w:tc>
      </w:tr>
      <w:tr w:rsidR="00DF4432" w:rsidRPr="00DF4432" w14:paraId="79D1ACB0" w14:textId="77777777" w:rsidTr="00FF4586">
        <w:trPr>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0FA85F33" w14:textId="77777777" w:rsidR="00DF4432" w:rsidRPr="00CE345C" w:rsidRDefault="00DF4432" w:rsidP="00F11F4D">
            <w:pPr>
              <w:keepNext/>
              <w:jc w:val="left"/>
              <w:rPr>
                <w:rFonts w:asciiTheme="majorHAnsi" w:eastAsia="Times New Roman" w:hAnsiTheme="majorHAnsi"/>
                <w:szCs w:val="20"/>
              </w:rPr>
            </w:pPr>
            <w:r w:rsidRPr="00CE345C">
              <w:rPr>
                <w:rFonts w:asciiTheme="majorHAnsi" w:eastAsia="Times New Roman" w:hAnsiTheme="majorHAnsi"/>
                <w:szCs w:val="20"/>
              </w:rPr>
              <w:t>Energy Savings (% of Baseline)</w:t>
            </w:r>
          </w:p>
        </w:tc>
        <w:tc>
          <w:tcPr>
            <w:tcW w:w="549" w:type="pct"/>
            <w:noWrap/>
            <w:hideMark/>
          </w:tcPr>
          <w:p w14:paraId="4958F2E8"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746B7DC7"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5AC530C7"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59ED3B4D"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7D08E038"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588ED015"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 </w:t>
            </w:r>
          </w:p>
        </w:tc>
      </w:tr>
      <w:tr w:rsidR="00DF4432" w:rsidRPr="00DF4432" w14:paraId="2A8796F4" w14:textId="77777777" w:rsidTr="00FF4586">
        <w:trPr>
          <w:cnfStyle w:val="000000010000" w:firstRow="0" w:lastRow="0" w:firstColumn="0" w:lastColumn="0" w:oddVBand="0" w:evenVBand="0" w:oddHBand="0" w:evenHBand="1" w:firstRowFirstColumn="0" w:firstRowLastColumn="0" w:lastRowFirstColumn="0" w:lastRowLastColumn="0"/>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7BDACDD3" w14:textId="77777777" w:rsidR="00DF4432" w:rsidRPr="00CE345C" w:rsidRDefault="00DF4432" w:rsidP="00F11F4D">
            <w:pPr>
              <w:keepNext/>
              <w:ind w:firstLineChars="100" w:firstLine="200"/>
              <w:jc w:val="left"/>
              <w:rPr>
                <w:rFonts w:eastAsia="Times New Roman"/>
                <w:szCs w:val="20"/>
              </w:rPr>
            </w:pPr>
            <w:r w:rsidRPr="00CE345C">
              <w:rPr>
                <w:rFonts w:eastAsia="Times New Roman"/>
                <w:szCs w:val="20"/>
              </w:rPr>
              <w:t>Technical Achievable Potential</w:t>
            </w:r>
          </w:p>
        </w:tc>
        <w:tc>
          <w:tcPr>
            <w:tcW w:w="549" w:type="pct"/>
            <w:noWrap/>
            <w:hideMark/>
          </w:tcPr>
          <w:p w14:paraId="14171B74"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1.6%</w:t>
            </w:r>
          </w:p>
        </w:tc>
        <w:tc>
          <w:tcPr>
            <w:tcW w:w="549" w:type="pct"/>
            <w:noWrap/>
            <w:hideMark/>
          </w:tcPr>
          <w:p w14:paraId="5584F819"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3.2%</w:t>
            </w:r>
          </w:p>
        </w:tc>
        <w:tc>
          <w:tcPr>
            <w:tcW w:w="549" w:type="pct"/>
            <w:noWrap/>
            <w:hideMark/>
          </w:tcPr>
          <w:p w14:paraId="692EB172"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5.1%</w:t>
            </w:r>
          </w:p>
        </w:tc>
        <w:tc>
          <w:tcPr>
            <w:tcW w:w="549" w:type="pct"/>
            <w:noWrap/>
            <w:hideMark/>
          </w:tcPr>
          <w:p w14:paraId="3F5A3E80"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9.2%</w:t>
            </w:r>
          </w:p>
        </w:tc>
        <w:tc>
          <w:tcPr>
            <w:tcW w:w="549" w:type="pct"/>
            <w:noWrap/>
            <w:hideMark/>
          </w:tcPr>
          <w:p w14:paraId="041C9769"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19.2%</w:t>
            </w:r>
          </w:p>
        </w:tc>
        <w:tc>
          <w:tcPr>
            <w:tcW w:w="549" w:type="pct"/>
            <w:noWrap/>
            <w:hideMark/>
          </w:tcPr>
          <w:p w14:paraId="57E941A1"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28.8%</w:t>
            </w:r>
          </w:p>
        </w:tc>
      </w:tr>
      <w:tr w:rsidR="00DF4432" w:rsidRPr="00DF4432" w14:paraId="63635343" w14:textId="77777777" w:rsidTr="00FF4586">
        <w:trPr>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2EB6E3D6" w14:textId="77777777" w:rsidR="00DF4432" w:rsidRPr="00CE345C" w:rsidRDefault="00DF4432" w:rsidP="00F11F4D">
            <w:pPr>
              <w:keepNext/>
              <w:ind w:firstLineChars="100" w:firstLine="200"/>
              <w:jc w:val="left"/>
              <w:rPr>
                <w:rFonts w:eastAsia="Times New Roman"/>
                <w:szCs w:val="20"/>
              </w:rPr>
            </w:pPr>
            <w:r w:rsidRPr="00CE345C">
              <w:rPr>
                <w:rFonts w:eastAsia="Times New Roman"/>
                <w:szCs w:val="20"/>
              </w:rPr>
              <w:t>Technical Potential</w:t>
            </w:r>
          </w:p>
        </w:tc>
        <w:tc>
          <w:tcPr>
            <w:tcW w:w="549" w:type="pct"/>
            <w:noWrap/>
            <w:hideMark/>
          </w:tcPr>
          <w:p w14:paraId="394F5060"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3.1%</w:t>
            </w:r>
          </w:p>
        </w:tc>
        <w:tc>
          <w:tcPr>
            <w:tcW w:w="549" w:type="pct"/>
            <w:noWrap/>
            <w:hideMark/>
          </w:tcPr>
          <w:p w14:paraId="32CB3F3A"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6.1%</w:t>
            </w:r>
          </w:p>
        </w:tc>
        <w:tc>
          <w:tcPr>
            <w:tcW w:w="549" w:type="pct"/>
            <w:noWrap/>
            <w:hideMark/>
          </w:tcPr>
          <w:p w14:paraId="3A45716E"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9.2%</w:t>
            </w:r>
          </w:p>
        </w:tc>
        <w:tc>
          <w:tcPr>
            <w:tcW w:w="549" w:type="pct"/>
            <w:noWrap/>
            <w:hideMark/>
          </w:tcPr>
          <w:p w14:paraId="151D6F3E"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15.1%</w:t>
            </w:r>
          </w:p>
        </w:tc>
        <w:tc>
          <w:tcPr>
            <w:tcW w:w="549" w:type="pct"/>
            <w:noWrap/>
            <w:hideMark/>
          </w:tcPr>
          <w:p w14:paraId="25414EAE"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26.1%</w:t>
            </w:r>
          </w:p>
        </w:tc>
        <w:tc>
          <w:tcPr>
            <w:tcW w:w="549" w:type="pct"/>
            <w:noWrap/>
            <w:hideMark/>
          </w:tcPr>
          <w:p w14:paraId="557422AE"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34.5%</w:t>
            </w:r>
          </w:p>
        </w:tc>
      </w:tr>
      <w:tr w:rsidR="00DF4432" w:rsidRPr="00DF4432" w14:paraId="1B4E4EB9" w14:textId="77777777" w:rsidTr="00FF4586">
        <w:trPr>
          <w:cnfStyle w:val="000000010000" w:firstRow="0" w:lastRow="0" w:firstColumn="0" w:lastColumn="0" w:oddVBand="0" w:evenVBand="0" w:oddHBand="0" w:evenHBand="1" w:firstRowFirstColumn="0" w:firstRowLastColumn="0" w:lastRowFirstColumn="0" w:lastRowLastColumn="0"/>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4DE6209E" w14:textId="77777777" w:rsidR="00DF4432" w:rsidRPr="00CE345C" w:rsidRDefault="00DF4432" w:rsidP="00F11F4D">
            <w:pPr>
              <w:keepNext/>
              <w:jc w:val="left"/>
              <w:rPr>
                <w:rFonts w:asciiTheme="majorHAnsi" w:eastAsia="Times New Roman" w:hAnsiTheme="majorHAnsi"/>
                <w:szCs w:val="20"/>
              </w:rPr>
            </w:pPr>
            <w:r w:rsidRPr="00CE345C">
              <w:rPr>
                <w:rFonts w:asciiTheme="majorHAnsi" w:eastAsia="Times New Roman" w:hAnsiTheme="majorHAnsi"/>
                <w:szCs w:val="20"/>
              </w:rPr>
              <w:t>Cumulative Savings (aMW)</w:t>
            </w:r>
          </w:p>
        </w:tc>
        <w:tc>
          <w:tcPr>
            <w:tcW w:w="549" w:type="pct"/>
            <w:noWrap/>
            <w:hideMark/>
          </w:tcPr>
          <w:p w14:paraId="107E3780"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5523E4C4"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5D0C270A"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3642A3CB"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35927192"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c>
          <w:tcPr>
            <w:tcW w:w="549" w:type="pct"/>
            <w:noWrap/>
            <w:hideMark/>
          </w:tcPr>
          <w:p w14:paraId="4E1BCB2D"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 </w:t>
            </w:r>
          </w:p>
        </w:tc>
      </w:tr>
      <w:tr w:rsidR="00DF4432" w:rsidRPr="00DF4432" w14:paraId="1AE8BDFA" w14:textId="77777777" w:rsidTr="00FF4586">
        <w:trPr>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262ECCBA" w14:textId="77777777" w:rsidR="00DF4432" w:rsidRPr="00CE345C" w:rsidRDefault="00DF4432" w:rsidP="00F11F4D">
            <w:pPr>
              <w:keepNext/>
              <w:ind w:firstLineChars="100" w:firstLine="200"/>
              <w:jc w:val="left"/>
              <w:rPr>
                <w:rFonts w:eastAsia="Times New Roman"/>
                <w:szCs w:val="20"/>
              </w:rPr>
            </w:pPr>
            <w:r w:rsidRPr="00CE345C">
              <w:rPr>
                <w:rFonts w:eastAsia="Times New Roman"/>
                <w:szCs w:val="20"/>
              </w:rPr>
              <w:t>Technical Achievable Potential</w:t>
            </w:r>
          </w:p>
        </w:tc>
        <w:tc>
          <w:tcPr>
            <w:tcW w:w="549" w:type="pct"/>
            <w:noWrap/>
            <w:hideMark/>
          </w:tcPr>
          <w:p w14:paraId="6C70B3EA"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1.8</w:t>
            </w:r>
          </w:p>
        </w:tc>
        <w:tc>
          <w:tcPr>
            <w:tcW w:w="549" w:type="pct"/>
            <w:noWrap/>
            <w:hideMark/>
          </w:tcPr>
          <w:p w14:paraId="3AB308A0"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3.8</w:t>
            </w:r>
          </w:p>
        </w:tc>
        <w:tc>
          <w:tcPr>
            <w:tcW w:w="549" w:type="pct"/>
            <w:noWrap/>
            <w:hideMark/>
          </w:tcPr>
          <w:p w14:paraId="015EBC45"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6.1</w:t>
            </w:r>
          </w:p>
        </w:tc>
        <w:tc>
          <w:tcPr>
            <w:tcW w:w="549" w:type="pct"/>
            <w:noWrap/>
            <w:hideMark/>
          </w:tcPr>
          <w:p w14:paraId="2A6943E3"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11.1</w:t>
            </w:r>
          </w:p>
        </w:tc>
        <w:tc>
          <w:tcPr>
            <w:tcW w:w="549" w:type="pct"/>
            <w:noWrap/>
            <w:hideMark/>
          </w:tcPr>
          <w:p w14:paraId="235E2460"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24.1</w:t>
            </w:r>
          </w:p>
        </w:tc>
        <w:tc>
          <w:tcPr>
            <w:tcW w:w="549" w:type="pct"/>
            <w:noWrap/>
            <w:hideMark/>
          </w:tcPr>
          <w:p w14:paraId="6DA62BBC" w14:textId="77777777" w:rsidR="00DF4432" w:rsidRPr="00CE345C" w:rsidRDefault="00DF4432" w:rsidP="00F11F4D">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E345C">
              <w:rPr>
                <w:rFonts w:eastAsia="Times New Roman"/>
                <w:szCs w:val="20"/>
              </w:rPr>
              <w:t>40.8</w:t>
            </w:r>
          </w:p>
        </w:tc>
      </w:tr>
      <w:tr w:rsidR="00DF4432" w:rsidRPr="00DF4432" w14:paraId="08BE3CCE" w14:textId="77777777" w:rsidTr="00FF4586">
        <w:trPr>
          <w:cnfStyle w:val="000000010000" w:firstRow="0" w:lastRow="0" w:firstColumn="0" w:lastColumn="0" w:oddVBand="0" w:evenVBand="0" w:oddHBand="0" w:evenHBand="1" w:firstRowFirstColumn="0" w:firstRowLastColumn="0" w:lastRowFirstColumn="0" w:lastRowLastColumn="0"/>
          <w:divId w:val="1370300742"/>
          <w:trHeight w:val="290"/>
          <w:jc w:val="center"/>
        </w:trPr>
        <w:tc>
          <w:tcPr>
            <w:cnfStyle w:val="001000000000" w:firstRow="0" w:lastRow="0" w:firstColumn="1" w:lastColumn="0" w:oddVBand="0" w:evenVBand="0" w:oddHBand="0" w:evenHBand="0" w:firstRowFirstColumn="0" w:firstRowLastColumn="0" w:lastRowFirstColumn="0" w:lastRowLastColumn="0"/>
            <w:tcW w:w="1703" w:type="pct"/>
            <w:noWrap/>
            <w:hideMark/>
          </w:tcPr>
          <w:p w14:paraId="6DCCE6A0" w14:textId="77777777" w:rsidR="00DF4432" w:rsidRPr="00CE345C" w:rsidRDefault="00DF4432" w:rsidP="00F11F4D">
            <w:pPr>
              <w:keepNext/>
              <w:ind w:firstLineChars="100" w:firstLine="200"/>
              <w:jc w:val="left"/>
              <w:rPr>
                <w:rFonts w:eastAsia="Times New Roman"/>
                <w:szCs w:val="20"/>
              </w:rPr>
            </w:pPr>
            <w:r w:rsidRPr="00CE345C">
              <w:rPr>
                <w:rFonts w:eastAsia="Times New Roman"/>
                <w:szCs w:val="20"/>
              </w:rPr>
              <w:t>Technical Potential</w:t>
            </w:r>
          </w:p>
        </w:tc>
        <w:tc>
          <w:tcPr>
            <w:tcW w:w="549" w:type="pct"/>
            <w:noWrap/>
            <w:hideMark/>
          </w:tcPr>
          <w:p w14:paraId="68B87AEA"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3.7</w:t>
            </w:r>
          </w:p>
        </w:tc>
        <w:tc>
          <w:tcPr>
            <w:tcW w:w="549" w:type="pct"/>
            <w:noWrap/>
            <w:hideMark/>
          </w:tcPr>
          <w:p w14:paraId="08504757"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7.3</w:t>
            </w:r>
          </w:p>
        </w:tc>
        <w:tc>
          <w:tcPr>
            <w:tcW w:w="549" w:type="pct"/>
            <w:noWrap/>
            <w:hideMark/>
          </w:tcPr>
          <w:p w14:paraId="0ACD9067"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11.0</w:t>
            </w:r>
          </w:p>
        </w:tc>
        <w:tc>
          <w:tcPr>
            <w:tcW w:w="549" w:type="pct"/>
            <w:noWrap/>
            <w:hideMark/>
          </w:tcPr>
          <w:p w14:paraId="0B2970F3"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18.3</w:t>
            </w:r>
          </w:p>
        </w:tc>
        <w:tc>
          <w:tcPr>
            <w:tcW w:w="549" w:type="pct"/>
            <w:noWrap/>
            <w:hideMark/>
          </w:tcPr>
          <w:p w14:paraId="4FDED03A"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32.8</w:t>
            </w:r>
          </w:p>
        </w:tc>
        <w:tc>
          <w:tcPr>
            <w:tcW w:w="549" w:type="pct"/>
            <w:noWrap/>
            <w:hideMark/>
          </w:tcPr>
          <w:p w14:paraId="31E71285" w14:textId="77777777" w:rsidR="00DF4432" w:rsidRPr="00CE345C" w:rsidRDefault="00DF4432" w:rsidP="00F11F4D">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E345C">
              <w:rPr>
                <w:rFonts w:eastAsia="Times New Roman"/>
                <w:szCs w:val="20"/>
              </w:rPr>
              <w:t>48.9</w:t>
            </w:r>
          </w:p>
        </w:tc>
      </w:tr>
    </w:tbl>
    <w:p w14:paraId="5D7CA330" w14:textId="653F572E" w:rsidR="00DF4432" w:rsidRPr="00DF4432" w:rsidRDefault="00DF4432" w:rsidP="00DF4432">
      <w:pPr>
        <w:pStyle w:val="BodyText"/>
        <w:divId w:val="1370300742"/>
      </w:pPr>
    </w:p>
    <w:p w14:paraId="1A706FF6" w14:textId="62F60461" w:rsidR="00C82EF5" w:rsidRDefault="00C82EF5" w:rsidP="00C82EF5">
      <w:pPr>
        <w:pStyle w:val="FigureorTableCaption"/>
      </w:pPr>
      <w:bookmarkStart w:id="149" w:name="_Toc175904454"/>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8</w:t>
      </w:r>
      <w:r w:rsidR="000E34CB">
        <w:fldChar w:fldCharType="end"/>
      </w:r>
      <w:r w:rsidR="009246C7">
        <w:t xml:space="preserve"> </w:t>
      </w:r>
      <w:r w:rsidRPr="00127B82">
        <w:t>Commercial Cumulative Conservation Potential, Washington</w:t>
      </w:r>
      <w:bookmarkEnd w:id="149"/>
    </w:p>
    <w:p w14:paraId="4110B906" w14:textId="152E28CA" w:rsidR="00365A01" w:rsidRDefault="00406CD0" w:rsidP="00C54C72">
      <w:pPr>
        <w:jc w:val="center"/>
        <w:rPr>
          <w:lang w:eastAsia="ja-JP"/>
        </w:rPr>
      </w:pPr>
      <w:r>
        <w:rPr>
          <w:noProof/>
        </w:rPr>
        <w:drawing>
          <wp:inline distT="0" distB="0" distL="0" distR="0" wp14:anchorId="26DF953E" wp14:editId="48223B73">
            <wp:extent cx="5943600" cy="2560320"/>
            <wp:effectExtent l="0" t="0" r="0" b="0"/>
            <wp:docPr id="1873850848" name="Chart 1">
              <a:extLst xmlns:a="http://schemas.openxmlformats.org/drawingml/2006/main">
                <a:ext uri="{FF2B5EF4-FFF2-40B4-BE49-F238E27FC236}">
                  <a16:creationId xmlns:a16="http://schemas.microsoft.com/office/drawing/2014/main" id="{F5D94D82-E4D9-48E1-8066-70425A424C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25058A7" w14:textId="77777777" w:rsidR="00365A01" w:rsidRDefault="00365A01" w:rsidP="00844662">
      <w:pPr>
        <w:rPr>
          <w:lang w:eastAsia="ja-JP"/>
        </w:rPr>
      </w:pPr>
    </w:p>
    <w:p w14:paraId="3D7FC544" w14:textId="430BA012" w:rsidR="00C82EF5" w:rsidRPr="001E118C" w:rsidRDefault="00C82EF5" w:rsidP="00C82EF5">
      <w:pPr>
        <w:pStyle w:val="FigureorTableCaption"/>
        <w:rPr>
          <w:lang w:val="fr-FR"/>
        </w:rPr>
      </w:pPr>
      <w:bookmarkStart w:id="150" w:name="_Toc175904455"/>
      <w:r w:rsidRPr="001E118C">
        <w:rPr>
          <w:lang w:val="fr-FR"/>
        </w:rPr>
        <w:lastRenderedPageBreak/>
        <w:t xml:space="preserve">Figure </w:t>
      </w:r>
      <w:r w:rsidR="000E34CB">
        <w:fldChar w:fldCharType="begin"/>
      </w:r>
      <w:r w:rsidR="000E34CB" w:rsidRPr="001E118C">
        <w:rPr>
          <w:lang w:val="fr-FR"/>
        </w:rPr>
        <w:instrText xml:space="preserve"> STYLEREF 1 \s </w:instrText>
      </w:r>
      <w:r w:rsidR="000E34CB">
        <w:fldChar w:fldCharType="separate"/>
      </w:r>
      <w:r w:rsidR="000E34CB" w:rsidRPr="001E118C">
        <w:rPr>
          <w:noProof/>
          <w:lang w:val="fr-FR"/>
        </w:rPr>
        <w:t>5</w:t>
      </w:r>
      <w:r w:rsidR="000E34CB">
        <w:fldChar w:fldCharType="end"/>
      </w:r>
      <w:r w:rsidR="000E34CB" w:rsidRPr="001E118C">
        <w:rPr>
          <w:lang w:val="fr-FR"/>
        </w:rPr>
        <w:noBreakHyphen/>
      </w:r>
      <w:r w:rsidR="000E34CB">
        <w:fldChar w:fldCharType="begin"/>
      </w:r>
      <w:r w:rsidR="000E34CB" w:rsidRPr="001E118C">
        <w:rPr>
          <w:lang w:val="fr-FR"/>
        </w:rPr>
        <w:instrText xml:space="preserve"> SEQ Figure \* ARABIC \s 1 </w:instrText>
      </w:r>
      <w:r w:rsidR="000E34CB">
        <w:fldChar w:fldCharType="separate"/>
      </w:r>
      <w:r w:rsidR="000E34CB" w:rsidRPr="001E118C">
        <w:rPr>
          <w:noProof/>
          <w:lang w:val="fr-FR"/>
        </w:rPr>
        <w:t>9</w:t>
      </w:r>
      <w:r w:rsidR="000E34CB">
        <w:fldChar w:fldCharType="end"/>
      </w:r>
      <w:r w:rsidR="009246C7" w:rsidRPr="001E118C">
        <w:rPr>
          <w:lang w:val="fr-FR"/>
        </w:rPr>
        <w:t xml:space="preserve"> </w:t>
      </w:r>
      <w:r w:rsidRPr="001E118C">
        <w:rPr>
          <w:lang w:val="fr-FR"/>
        </w:rPr>
        <w:t>Commercial Cumulative Conservation Potential, Idaho</w:t>
      </w:r>
      <w:bookmarkEnd w:id="150"/>
    </w:p>
    <w:p w14:paraId="1987400A" w14:textId="2D28D948" w:rsidR="00365A01" w:rsidRDefault="00406CD0" w:rsidP="00C54C72">
      <w:pPr>
        <w:jc w:val="center"/>
        <w:rPr>
          <w:lang w:eastAsia="ja-JP"/>
        </w:rPr>
      </w:pPr>
      <w:r>
        <w:rPr>
          <w:noProof/>
        </w:rPr>
        <w:drawing>
          <wp:inline distT="0" distB="0" distL="0" distR="0" wp14:anchorId="132466B7" wp14:editId="346C8B5B">
            <wp:extent cx="5943600" cy="2560320"/>
            <wp:effectExtent l="0" t="0" r="0" b="0"/>
            <wp:docPr id="1527863582" name="Chart 1">
              <a:extLst xmlns:a="http://schemas.openxmlformats.org/drawingml/2006/main">
                <a:ext uri="{FF2B5EF4-FFF2-40B4-BE49-F238E27FC236}">
                  <a16:creationId xmlns:a16="http://schemas.microsoft.com/office/drawing/2014/main" id="{F5D94D82-E4D9-48E1-8066-70425A424C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0A239D9" w14:textId="77777777" w:rsidR="00365A01" w:rsidRDefault="00365A01" w:rsidP="00844662">
      <w:pPr>
        <w:rPr>
          <w:lang w:eastAsia="ja-JP"/>
        </w:rPr>
      </w:pPr>
    </w:p>
    <w:p w14:paraId="06AB18E9" w14:textId="26239DD0" w:rsidR="00690765" w:rsidRDefault="003D455E" w:rsidP="00C937E8">
      <w:pPr>
        <w:pStyle w:val="AEGBody"/>
      </w:pPr>
      <w:r>
        <w:rPr>
          <w:bCs/>
        </w:rPr>
        <w:fldChar w:fldCharType="begin"/>
      </w:r>
      <w:r>
        <w:rPr>
          <w:bCs/>
        </w:rPr>
        <w:instrText xml:space="preserve"> REF _Ref175816195 \h </w:instrText>
      </w:r>
      <w:r>
        <w:rPr>
          <w:bCs/>
        </w:rPr>
      </w:r>
      <w:r>
        <w:rPr>
          <w:bCs/>
        </w:rPr>
        <w:fldChar w:fldCharType="separate"/>
      </w:r>
      <w:r>
        <w:t xml:space="preserve">Figure </w:t>
      </w:r>
      <w:r>
        <w:rPr>
          <w:noProof/>
        </w:rPr>
        <w:t>5</w:t>
      </w:r>
      <w:r>
        <w:noBreakHyphen/>
      </w:r>
      <w:r>
        <w:rPr>
          <w:noProof/>
        </w:rPr>
        <w:t>10</w:t>
      </w:r>
      <w:r>
        <w:rPr>
          <w:bCs/>
        </w:rPr>
        <w:fldChar w:fldCharType="end"/>
      </w:r>
      <w:r w:rsidR="00690765">
        <w:rPr>
          <w:bCs/>
        </w:rPr>
        <w:t xml:space="preserve"> </w:t>
      </w:r>
      <w:r w:rsidR="00690765" w:rsidRPr="004671E8">
        <w:t>present</w:t>
      </w:r>
      <w:r w:rsidR="00690765">
        <w:t xml:space="preserve">s a </w:t>
      </w:r>
      <w:r w:rsidR="00690765" w:rsidRPr="004671E8">
        <w:t xml:space="preserve">forecast of cumulative </w:t>
      </w:r>
      <w:r w:rsidR="00690765">
        <w:t xml:space="preserve">commercial </w:t>
      </w:r>
      <w:r w:rsidR="00690765" w:rsidRPr="004671E8">
        <w:t>energy savings by end use</w:t>
      </w:r>
      <w:r w:rsidR="00690765">
        <w:t xml:space="preserve"> in Washington</w:t>
      </w:r>
      <w:r w:rsidR="00690765" w:rsidRPr="004671E8">
        <w:t>.</w:t>
      </w:r>
      <w:r w:rsidR="00690765">
        <w:t xml:space="preserve"> HVAC end uses (cooling, space heating and ventilation) paired with</w:t>
      </w:r>
      <w:r w:rsidR="00690765" w:rsidRPr="004671E8">
        <w:t xml:space="preserve"> </w:t>
      </w:r>
      <w:r w:rsidR="00690765">
        <w:t xml:space="preserve">interior lighting </w:t>
      </w:r>
      <w:r w:rsidR="00690765" w:rsidRPr="004671E8">
        <w:t>account for a substantial portion of the savings throughout the forecast horizon</w:t>
      </w:r>
      <w:r w:rsidR="00690765">
        <w:t xml:space="preserve">. </w:t>
      </w:r>
    </w:p>
    <w:p w14:paraId="2EF896F4" w14:textId="77777777" w:rsidR="00365A01" w:rsidRDefault="00365A01" w:rsidP="00844662">
      <w:pPr>
        <w:rPr>
          <w:lang w:eastAsia="ja-JP"/>
        </w:rPr>
      </w:pPr>
    </w:p>
    <w:p w14:paraId="082B6490" w14:textId="0BD066C7" w:rsidR="00C82EF5" w:rsidRDefault="00C82EF5" w:rsidP="00C82EF5">
      <w:pPr>
        <w:pStyle w:val="FigureorTableCaption"/>
      </w:pPr>
      <w:bookmarkStart w:id="151" w:name="_Ref175816195"/>
      <w:bookmarkStart w:id="152" w:name="_Toc175904456"/>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10</w:t>
      </w:r>
      <w:r w:rsidR="000E34CB">
        <w:fldChar w:fldCharType="end"/>
      </w:r>
      <w:bookmarkEnd w:id="151"/>
      <w:r w:rsidR="00455098">
        <w:t xml:space="preserve"> </w:t>
      </w:r>
      <w:r w:rsidR="007E53AA" w:rsidRPr="006401BC">
        <w:t>Commercial</w:t>
      </w:r>
      <w:r w:rsidRPr="006401BC">
        <w:t xml:space="preserve"> Cumulative Achievable Technical Potential by End Use, Washington</w:t>
      </w:r>
      <w:bookmarkEnd w:id="152"/>
    </w:p>
    <w:p w14:paraId="02A68F06" w14:textId="3021AA28" w:rsidR="008D1B97" w:rsidRDefault="00FD1C35" w:rsidP="00C54C72">
      <w:pPr>
        <w:jc w:val="center"/>
        <w:rPr>
          <w:lang w:eastAsia="ja-JP"/>
        </w:rPr>
      </w:pPr>
      <w:r>
        <w:rPr>
          <w:noProof/>
        </w:rPr>
        <w:drawing>
          <wp:inline distT="0" distB="0" distL="0" distR="0" wp14:anchorId="16899068" wp14:editId="48E5F439">
            <wp:extent cx="5460090" cy="3136266"/>
            <wp:effectExtent l="0" t="0" r="7620" b="6985"/>
            <wp:docPr id="771213868" name="Chart 1">
              <a:extLst xmlns:a="http://schemas.openxmlformats.org/drawingml/2006/main">
                <a:ext uri="{FF2B5EF4-FFF2-40B4-BE49-F238E27FC236}">
                  <a16:creationId xmlns:a16="http://schemas.microsoft.com/office/drawing/2014/main" id="{4ABFCEA4-4FBB-41DA-A723-C939D1956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2491CCC" w14:textId="3F6A0410" w:rsidR="00690765" w:rsidRPr="002171D7" w:rsidRDefault="003D455E" w:rsidP="00C937E8">
      <w:pPr>
        <w:pStyle w:val="AEGBody"/>
      </w:pPr>
      <w:r>
        <w:fldChar w:fldCharType="begin"/>
      </w:r>
      <w:r>
        <w:instrText xml:space="preserve"> REF _Ref175816161 \h </w:instrText>
      </w:r>
      <w:r>
        <w:fldChar w:fldCharType="separate"/>
      </w:r>
      <w:r>
        <w:t xml:space="preserve">Table </w:t>
      </w:r>
      <w:r>
        <w:rPr>
          <w:noProof/>
        </w:rPr>
        <w:t>5</w:t>
      </w:r>
      <w:r>
        <w:noBreakHyphen/>
      </w:r>
      <w:r>
        <w:rPr>
          <w:noProof/>
        </w:rPr>
        <w:t>10</w:t>
      </w:r>
      <w:r>
        <w:fldChar w:fldCharType="end"/>
      </w:r>
      <w:r w:rsidR="00690765" w:rsidRPr="0015284F">
        <w:t xml:space="preserve"> identifies the top 20 commercial sector measures from the perspective of cumulative energy savings by 2045 in Washington. </w:t>
      </w:r>
      <w:r w:rsidR="00D916EA" w:rsidRPr="0015284F">
        <w:t>Electric vehicle chargers and l</w:t>
      </w:r>
      <w:r w:rsidR="00690765" w:rsidRPr="0015284F">
        <w:t xml:space="preserve">inear lighting </w:t>
      </w:r>
      <w:r w:rsidR="00D916EA" w:rsidRPr="0015284F">
        <w:t>are</w:t>
      </w:r>
      <w:r w:rsidR="00690765" w:rsidRPr="0015284F">
        <w:t xml:space="preserve"> included in the top 3 measures. Although the market has seen significant penetration of LEDs in some applications, newer systems – particularly those with built-in occupancy sensors or other controls – still represent significant savings opportunities. High-efficiency water heaters also contribute a significant portion to the potential.</w:t>
      </w:r>
    </w:p>
    <w:p w14:paraId="1BF23F80" w14:textId="587616EA" w:rsidR="00DC6F30" w:rsidRDefault="00DC6F30" w:rsidP="00844662">
      <w:pPr>
        <w:rPr>
          <w:rFonts w:cstheme="minorBidi"/>
        </w:rPr>
      </w:pPr>
    </w:p>
    <w:p w14:paraId="06855DC5" w14:textId="0999C128" w:rsidR="00DC0CF5" w:rsidRPr="00DC0CF5" w:rsidRDefault="00C82EF5" w:rsidP="00DC0CF5">
      <w:pPr>
        <w:pStyle w:val="Caption"/>
      </w:pPr>
      <w:bookmarkStart w:id="153" w:name="_Ref175816161"/>
      <w:bookmarkStart w:id="154" w:name="_Toc175912394"/>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10</w:t>
      </w:r>
      <w:r w:rsidR="00EE4707">
        <w:fldChar w:fldCharType="end"/>
      </w:r>
      <w:bookmarkEnd w:id="153"/>
      <w:r w:rsidR="00455098">
        <w:t xml:space="preserve"> </w:t>
      </w:r>
      <w:r w:rsidRPr="000C6EC6">
        <w:t>Commercial Top 20 Measures in 2045, Washington</w:t>
      </w:r>
      <w:bookmarkEnd w:id="154"/>
    </w:p>
    <w:tbl>
      <w:tblPr>
        <w:tblStyle w:val="AEG-DarkBanded"/>
        <w:tblW w:w="5000" w:type="pct"/>
        <w:tblLayout w:type="fixed"/>
        <w:tblLook w:val="04A0" w:firstRow="1" w:lastRow="0" w:firstColumn="1" w:lastColumn="0" w:noHBand="0" w:noVBand="1"/>
      </w:tblPr>
      <w:tblGrid>
        <w:gridCol w:w="826"/>
        <w:gridCol w:w="5874"/>
        <w:gridCol w:w="1651"/>
        <w:gridCol w:w="1009"/>
      </w:tblGrid>
      <w:tr w:rsidR="00DC0CF5" w:rsidRPr="00DC0CF5" w14:paraId="59B0DDAD" w14:textId="77777777" w:rsidTr="003D455E">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61CB72CB" w14:textId="63C48DEB" w:rsidR="00DC0CF5" w:rsidRPr="003E0957" w:rsidRDefault="00DC0CF5" w:rsidP="003D455E">
            <w:pPr>
              <w:keepNext/>
              <w:jc w:val="center"/>
              <w:rPr>
                <w:rFonts w:asciiTheme="majorHAnsi" w:eastAsia="Times New Roman" w:hAnsiTheme="majorHAnsi"/>
                <w:b w:val="0"/>
                <w:szCs w:val="20"/>
              </w:rPr>
            </w:pPr>
            <w:r w:rsidRPr="003E0957">
              <w:rPr>
                <w:rFonts w:asciiTheme="majorHAnsi" w:eastAsia="Times New Roman" w:hAnsiTheme="majorHAnsi"/>
                <w:b w:val="0"/>
                <w:szCs w:val="20"/>
              </w:rPr>
              <w:t>Rank</w:t>
            </w:r>
          </w:p>
        </w:tc>
        <w:tc>
          <w:tcPr>
            <w:tcW w:w="3138" w:type="pct"/>
            <w:noWrap/>
            <w:hideMark/>
          </w:tcPr>
          <w:p w14:paraId="54FFCEAE" w14:textId="77777777" w:rsidR="00DC0CF5" w:rsidRPr="003E0957" w:rsidRDefault="00DC0CF5" w:rsidP="003D455E">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3E0957">
              <w:rPr>
                <w:rFonts w:asciiTheme="majorHAnsi" w:eastAsia="Times New Roman" w:hAnsiTheme="majorHAnsi"/>
                <w:b w:val="0"/>
                <w:szCs w:val="20"/>
              </w:rPr>
              <w:t>Measure / Technology</w:t>
            </w:r>
          </w:p>
        </w:tc>
        <w:tc>
          <w:tcPr>
            <w:tcW w:w="882" w:type="pct"/>
            <w:hideMark/>
          </w:tcPr>
          <w:p w14:paraId="74A8C97E" w14:textId="23B5168D" w:rsidR="00DC0CF5" w:rsidRPr="003E0957" w:rsidRDefault="00DC0CF5"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3E0957">
              <w:rPr>
                <w:rFonts w:asciiTheme="majorHAnsi" w:eastAsia="Times New Roman" w:hAnsiTheme="majorHAnsi"/>
                <w:b w:val="0"/>
                <w:szCs w:val="20"/>
              </w:rPr>
              <w:t>2045</w:t>
            </w:r>
            <w:r w:rsidR="00F11F4D" w:rsidRPr="003E0957">
              <w:rPr>
                <w:rFonts w:asciiTheme="majorHAnsi" w:eastAsia="Times New Roman" w:hAnsiTheme="majorHAnsi"/>
                <w:b w:val="0"/>
                <w:szCs w:val="20"/>
              </w:rPr>
              <w:t xml:space="preserve"> Cumulative Savings (MWh)</w:t>
            </w:r>
          </w:p>
        </w:tc>
        <w:tc>
          <w:tcPr>
            <w:tcW w:w="539" w:type="pct"/>
            <w:noWrap/>
            <w:hideMark/>
          </w:tcPr>
          <w:p w14:paraId="0A46D047" w14:textId="77777777" w:rsidR="00DC0CF5" w:rsidRPr="003E0957" w:rsidRDefault="00DC0CF5"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3E0957">
              <w:rPr>
                <w:rFonts w:asciiTheme="majorHAnsi" w:eastAsia="Times New Roman" w:hAnsiTheme="majorHAnsi"/>
                <w:b w:val="0"/>
                <w:szCs w:val="20"/>
              </w:rPr>
              <w:t>% of Total</w:t>
            </w:r>
          </w:p>
        </w:tc>
      </w:tr>
      <w:tr w:rsidR="00DC0CF5" w:rsidRPr="00DC0CF5" w14:paraId="4103B1C0"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7135244A"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w:t>
            </w:r>
          </w:p>
        </w:tc>
        <w:tc>
          <w:tcPr>
            <w:tcW w:w="3138" w:type="pct"/>
            <w:noWrap/>
            <w:hideMark/>
          </w:tcPr>
          <w:p w14:paraId="1EBE210C" w14:textId="77777777"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Electric Vehicle Chargers - Level 2</w:t>
            </w:r>
          </w:p>
        </w:tc>
        <w:tc>
          <w:tcPr>
            <w:tcW w:w="882" w:type="pct"/>
            <w:noWrap/>
            <w:hideMark/>
          </w:tcPr>
          <w:p w14:paraId="7F068E11"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156,182</w:t>
            </w:r>
          </w:p>
        </w:tc>
        <w:tc>
          <w:tcPr>
            <w:tcW w:w="539" w:type="pct"/>
            <w:noWrap/>
            <w:hideMark/>
          </w:tcPr>
          <w:p w14:paraId="398511AB"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19.3%</w:t>
            </w:r>
          </w:p>
        </w:tc>
      </w:tr>
      <w:tr w:rsidR="00DC0CF5" w:rsidRPr="00DC0CF5" w14:paraId="6713D159"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5C6EA6B"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2</w:t>
            </w:r>
          </w:p>
        </w:tc>
        <w:tc>
          <w:tcPr>
            <w:tcW w:w="3138" w:type="pct"/>
            <w:noWrap/>
            <w:hideMark/>
          </w:tcPr>
          <w:p w14:paraId="7B1BD246" w14:textId="0CF79239"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Linear Lighting - LED 2035 (152 lm/W system)</w:t>
            </w:r>
          </w:p>
        </w:tc>
        <w:tc>
          <w:tcPr>
            <w:tcW w:w="882" w:type="pct"/>
            <w:noWrap/>
            <w:hideMark/>
          </w:tcPr>
          <w:p w14:paraId="755ECB9A"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154,543</w:t>
            </w:r>
          </w:p>
        </w:tc>
        <w:tc>
          <w:tcPr>
            <w:tcW w:w="539" w:type="pct"/>
            <w:noWrap/>
            <w:hideMark/>
          </w:tcPr>
          <w:p w14:paraId="50B5BCAB"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19.1%</w:t>
            </w:r>
          </w:p>
        </w:tc>
      </w:tr>
      <w:tr w:rsidR="00DC0CF5" w:rsidRPr="00DC0CF5" w14:paraId="3E3D056B"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7E532C61"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3</w:t>
            </w:r>
          </w:p>
        </w:tc>
        <w:tc>
          <w:tcPr>
            <w:tcW w:w="3138" w:type="pct"/>
            <w:noWrap/>
            <w:hideMark/>
          </w:tcPr>
          <w:p w14:paraId="57DA7867" w14:textId="77777777"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Water Heater - UEF 3.9 - Heat Pump</w:t>
            </w:r>
          </w:p>
        </w:tc>
        <w:tc>
          <w:tcPr>
            <w:tcW w:w="882" w:type="pct"/>
            <w:noWrap/>
            <w:hideMark/>
          </w:tcPr>
          <w:p w14:paraId="7349E84C"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70,102</w:t>
            </w:r>
          </w:p>
        </w:tc>
        <w:tc>
          <w:tcPr>
            <w:tcW w:w="539" w:type="pct"/>
            <w:noWrap/>
            <w:hideMark/>
          </w:tcPr>
          <w:p w14:paraId="7561A67D"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8.6%</w:t>
            </w:r>
          </w:p>
        </w:tc>
      </w:tr>
      <w:tr w:rsidR="00DC0CF5" w:rsidRPr="00DC0CF5" w14:paraId="64E55BF5"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605A506"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4</w:t>
            </w:r>
          </w:p>
        </w:tc>
        <w:tc>
          <w:tcPr>
            <w:tcW w:w="3138" w:type="pct"/>
            <w:noWrap/>
            <w:hideMark/>
          </w:tcPr>
          <w:p w14:paraId="6198B823" w14:textId="3C1AAB0F"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Air-Source Heat Pump - IEER 20.3 / COP 3.7</w:t>
            </w:r>
          </w:p>
        </w:tc>
        <w:tc>
          <w:tcPr>
            <w:tcW w:w="882" w:type="pct"/>
            <w:noWrap/>
            <w:hideMark/>
          </w:tcPr>
          <w:p w14:paraId="3ADCF234"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47,567</w:t>
            </w:r>
          </w:p>
        </w:tc>
        <w:tc>
          <w:tcPr>
            <w:tcW w:w="539" w:type="pct"/>
            <w:noWrap/>
            <w:hideMark/>
          </w:tcPr>
          <w:p w14:paraId="4944866A"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5.9%</w:t>
            </w:r>
          </w:p>
        </w:tc>
      </w:tr>
      <w:tr w:rsidR="00DC0CF5" w:rsidRPr="00DC0CF5" w14:paraId="54A4975D"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E05C2D5"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5</w:t>
            </w:r>
          </w:p>
        </w:tc>
        <w:tc>
          <w:tcPr>
            <w:tcW w:w="3138" w:type="pct"/>
            <w:noWrap/>
            <w:hideMark/>
          </w:tcPr>
          <w:p w14:paraId="4E1056BF" w14:textId="71C36939"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High-Bay Lighting - LED</w:t>
            </w:r>
          </w:p>
        </w:tc>
        <w:tc>
          <w:tcPr>
            <w:tcW w:w="882" w:type="pct"/>
            <w:noWrap/>
            <w:hideMark/>
          </w:tcPr>
          <w:p w14:paraId="63DCB068"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34,132</w:t>
            </w:r>
          </w:p>
        </w:tc>
        <w:tc>
          <w:tcPr>
            <w:tcW w:w="539" w:type="pct"/>
            <w:noWrap/>
            <w:hideMark/>
          </w:tcPr>
          <w:p w14:paraId="24686983"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4.2%</w:t>
            </w:r>
          </w:p>
        </w:tc>
      </w:tr>
      <w:tr w:rsidR="00DC0CF5" w:rsidRPr="00DC0CF5" w14:paraId="6003A34F"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94F9D48"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6</w:t>
            </w:r>
          </w:p>
        </w:tc>
        <w:tc>
          <w:tcPr>
            <w:tcW w:w="3138" w:type="pct"/>
            <w:noWrap/>
            <w:hideMark/>
          </w:tcPr>
          <w:p w14:paraId="0E51AC79" w14:textId="77777777"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Desktop Computer - ENERGY STAR (8.0)</w:t>
            </w:r>
          </w:p>
        </w:tc>
        <w:tc>
          <w:tcPr>
            <w:tcW w:w="882" w:type="pct"/>
            <w:noWrap/>
            <w:hideMark/>
          </w:tcPr>
          <w:p w14:paraId="6E526536"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30,568</w:t>
            </w:r>
          </w:p>
        </w:tc>
        <w:tc>
          <w:tcPr>
            <w:tcW w:w="539" w:type="pct"/>
            <w:noWrap/>
            <w:hideMark/>
          </w:tcPr>
          <w:p w14:paraId="6A01BEDA"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3.8%</w:t>
            </w:r>
          </w:p>
        </w:tc>
      </w:tr>
      <w:tr w:rsidR="00DC0CF5" w:rsidRPr="00DC0CF5" w14:paraId="4548F606"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069D000B"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7</w:t>
            </w:r>
          </w:p>
        </w:tc>
        <w:tc>
          <w:tcPr>
            <w:tcW w:w="3138" w:type="pct"/>
            <w:noWrap/>
            <w:hideMark/>
          </w:tcPr>
          <w:p w14:paraId="50176084" w14:textId="5856B166"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HVAC - Energy Recovery Ventilator</w:t>
            </w:r>
          </w:p>
        </w:tc>
        <w:tc>
          <w:tcPr>
            <w:tcW w:w="882" w:type="pct"/>
            <w:noWrap/>
            <w:hideMark/>
          </w:tcPr>
          <w:p w14:paraId="2BDE7C79"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25,087</w:t>
            </w:r>
          </w:p>
        </w:tc>
        <w:tc>
          <w:tcPr>
            <w:tcW w:w="539" w:type="pct"/>
            <w:noWrap/>
            <w:hideMark/>
          </w:tcPr>
          <w:p w14:paraId="115A039A"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3.1%</w:t>
            </w:r>
          </w:p>
        </w:tc>
      </w:tr>
      <w:tr w:rsidR="00DC0CF5" w:rsidRPr="00DC0CF5" w14:paraId="34658285"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1B131E2C"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8</w:t>
            </w:r>
          </w:p>
        </w:tc>
        <w:tc>
          <w:tcPr>
            <w:tcW w:w="3138" w:type="pct"/>
            <w:noWrap/>
            <w:hideMark/>
          </w:tcPr>
          <w:p w14:paraId="4779373B" w14:textId="77777777"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Server - ENERGY STAR (4.0)</w:t>
            </w:r>
          </w:p>
        </w:tc>
        <w:tc>
          <w:tcPr>
            <w:tcW w:w="882" w:type="pct"/>
            <w:noWrap/>
            <w:hideMark/>
          </w:tcPr>
          <w:p w14:paraId="1048A396"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21,368</w:t>
            </w:r>
          </w:p>
        </w:tc>
        <w:tc>
          <w:tcPr>
            <w:tcW w:w="539" w:type="pct"/>
            <w:noWrap/>
            <w:hideMark/>
          </w:tcPr>
          <w:p w14:paraId="4DB85A1A"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2.6%</w:t>
            </w:r>
          </w:p>
        </w:tc>
      </w:tr>
      <w:tr w:rsidR="00DC0CF5" w:rsidRPr="00DC0CF5" w14:paraId="72F58E11"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354CF173"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9</w:t>
            </w:r>
          </w:p>
        </w:tc>
        <w:tc>
          <w:tcPr>
            <w:tcW w:w="3138" w:type="pct"/>
            <w:noWrap/>
            <w:hideMark/>
          </w:tcPr>
          <w:p w14:paraId="63D7870A" w14:textId="40483789"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Ventilation - Variable Speed Control</w:t>
            </w:r>
          </w:p>
        </w:tc>
        <w:tc>
          <w:tcPr>
            <w:tcW w:w="882" w:type="pct"/>
            <w:noWrap/>
            <w:hideMark/>
          </w:tcPr>
          <w:p w14:paraId="5E6488A9"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21,259</w:t>
            </w:r>
          </w:p>
        </w:tc>
        <w:tc>
          <w:tcPr>
            <w:tcW w:w="539" w:type="pct"/>
            <w:noWrap/>
            <w:hideMark/>
          </w:tcPr>
          <w:p w14:paraId="51DBA92A"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2.6%</w:t>
            </w:r>
          </w:p>
        </w:tc>
      </w:tr>
      <w:tr w:rsidR="00DC0CF5" w:rsidRPr="00DC0CF5" w14:paraId="528D5464"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51580BE6"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10</w:t>
            </w:r>
          </w:p>
        </w:tc>
        <w:tc>
          <w:tcPr>
            <w:tcW w:w="3138" w:type="pct"/>
            <w:noWrap/>
            <w:hideMark/>
          </w:tcPr>
          <w:p w14:paraId="39CD5BC9" w14:textId="11B9E281"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Office Equipment - Advanced Power Strips</w:t>
            </w:r>
          </w:p>
        </w:tc>
        <w:tc>
          <w:tcPr>
            <w:tcW w:w="882" w:type="pct"/>
            <w:noWrap/>
            <w:hideMark/>
          </w:tcPr>
          <w:p w14:paraId="1646F0B5"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20,274</w:t>
            </w:r>
          </w:p>
        </w:tc>
        <w:tc>
          <w:tcPr>
            <w:tcW w:w="539" w:type="pct"/>
            <w:noWrap/>
            <w:hideMark/>
          </w:tcPr>
          <w:p w14:paraId="3A8D1C8E"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2.5%</w:t>
            </w:r>
          </w:p>
        </w:tc>
      </w:tr>
      <w:tr w:rsidR="00DC0CF5" w:rsidRPr="00DC0CF5" w14:paraId="2947DD29"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12EB743F"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11</w:t>
            </w:r>
          </w:p>
        </w:tc>
        <w:tc>
          <w:tcPr>
            <w:tcW w:w="3138" w:type="pct"/>
            <w:noWrap/>
            <w:hideMark/>
          </w:tcPr>
          <w:p w14:paraId="6DD74849" w14:textId="544934E6"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Strategic Energy Management</w:t>
            </w:r>
          </w:p>
        </w:tc>
        <w:tc>
          <w:tcPr>
            <w:tcW w:w="882" w:type="pct"/>
            <w:noWrap/>
            <w:hideMark/>
          </w:tcPr>
          <w:p w14:paraId="76FD0995"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19,452</w:t>
            </w:r>
          </w:p>
        </w:tc>
        <w:tc>
          <w:tcPr>
            <w:tcW w:w="539" w:type="pct"/>
            <w:noWrap/>
            <w:hideMark/>
          </w:tcPr>
          <w:p w14:paraId="64659D13"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2.4%</w:t>
            </w:r>
          </w:p>
        </w:tc>
      </w:tr>
      <w:tr w:rsidR="00DC0CF5" w:rsidRPr="00DC0CF5" w14:paraId="3DF0DC2D"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4FC4004"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12</w:t>
            </w:r>
          </w:p>
        </w:tc>
        <w:tc>
          <w:tcPr>
            <w:tcW w:w="3138" w:type="pct"/>
            <w:noWrap/>
            <w:hideMark/>
          </w:tcPr>
          <w:p w14:paraId="1C30B64B" w14:textId="3845D3CF"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HVAC - Dedicated Outdoor Air System (DOAS)</w:t>
            </w:r>
          </w:p>
        </w:tc>
        <w:tc>
          <w:tcPr>
            <w:tcW w:w="882" w:type="pct"/>
            <w:noWrap/>
            <w:hideMark/>
          </w:tcPr>
          <w:p w14:paraId="13CE10BF"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17,903</w:t>
            </w:r>
          </w:p>
        </w:tc>
        <w:tc>
          <w:tcPr>
            <w:tcW w:w="539" w:type="pct"/>
            <w:noWrap/>
            <w:hideMark/>
          </w:tcPr>
          <w:p w14:paraId="63653D63"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2.2%</w:t>
            </w:r>
          </w:p>
        </w:tc>
      </w:tr>
      <w:tr w:rsidR="00DC0CF5" w:rsidRPr="00DC0CF5" w14:paraId="788C965F"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5C3B82B0"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13</w:t>
            </w:r>
          </w:p>
        </w:tc>
        <w:tc>
          <w:tcPr>
            <w:tcW w:w="3138" w:type="pct"/>
            <w:noWrap/>
            <w:hideMark/>
          </w:tcPr>
          <w:p w14:paraId="721179B1" w14:textId="34448FD8"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Ductless Mini Split Heat Pump</w:t>
            </w:r>
          </w:p>
        </w:tc>
        <w:tc>
          <w:tcPr>
            <w:tcW w:w="882" w:type="pct"/>
            <w:noWrap/>
            <w:hideMark/>
          </w:tcPr>
          <w:p w14:paraId="237680C0"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13,858</w:t>
            </w:r>
          </w:p>
        </w:tc>
        <w:tc>
          <w:tcPr>
            <w:tcW w:w="539" w:type="pct"/>
            <w:noWrap/>
            <w:hideMark/>
          </w:tcPr>
          <w:p w14:paraId="14360C8F"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1.7%</w:t>
            </w:r>
          </w:p>
        </w:tc>
      </w:tr>
      <w:tr w:rsidR="00DC0CF5" w:rsidRPr="00DC0CF5" w14:paraId="40EF76F6"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471C534"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14</w:t>
            </w:r>
          </w:p>
        </w:tc>
        <w:tc>
          <w:tcPr>
            <w:tcW w:w="3138" w:type="pct"/>
            <w:noWrap/>
            <w:hideMark/>
          </w:tcPr>
          <w:p w14:paraId="5BA73E1F" w14:textId="5E78CC11"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Refrigeration - Economizer Addition</w:t>
            </w:r>
          </w:p>
        </w:tc>
        <w:tc>
          <w:tcPr>
            <w:tcW w:w="882" w:type="pct"/>
            <w:noWrap/>
            <w:hideMark/>
          </w:tcPr>
          <w:p w14:paraId="3A070A1F"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13,660</w:t>
            </w:r>
          </w:p>
        </w:tc>
        <w:tc>
          <w:tcPr>
            <w:tcW w:w="539" w:type="pct"/>
            <w:noWrap/>
            <w:hideMark/>
          </w:tcPr>
          <w:p w14:paraId="3B1C1F74"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1.7%</w:t>
            </w:r>
          </w:p>
        </w:tc>
      </w:tr>
      <w:tr w:rsidR="00DC0CF5" w:rsidRPr="00DC0CF5" w14:paraId="2330E063"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3DB3A2B2"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15</w:t>
            </w:r>
          </w:p>
        </w:tc>
        <w:tc>
          <w:tcPr>
            <w:tcW w:w="3138" w:type="pct"/>
            <w:noWrap/>
            <w:hideMark/>
          </w:tcPr>
          <w:p w14:paraId="2F754CA6" w14:textId="1EF2A830"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Water Heater - Pipe Insulation</w:t>
            </w:r>
          </w:p>
        </w:tc>
        <w:tc>
          <w:tcPr>
            <w:tcW w:w="882" w:type="pct"/>
            <w:noWrap/>
            <w:hideMark/>
          </w:tcPr>
          <w:p w14:paraId="420A48CF"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12,374</w:t>
            </w:r>
          </w:p>
        </w:tc>
        <w:tc>
          <w:tcPr>
            <w:tcW w:w="539" w:type="pct"/>
            <w:noWrap/>
            <w:hideMark/>
          </w:tcPr>
          <w:p w14:paraId="1F97F223"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1.5%</w:t>
            </w:r>
          </w:p>
        </w:tc>
      </w:tr>
      <w:tr w:rsidR="00DC0CF5" w:rsidRPr="00DC0CF5" w14:paraId="43F86D21"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251D0E3B"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16</w:t>
            </w:r>
          </w:p>
        </w:tc>
        <w:tc>
          <w:tcPr>
            <w:tcW w:w="3138" w:type="pct"/>
            <w:noWrap/>
            <w:hideMark/>
          </w:tcPr>
          <w:p w14:paraId="66B7C639" w14:textId="66DCA283"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Lodging - Guest Room Controls</w:t>
            </w:r>
          </w:p>
        </w:tc>
        <w:tc>
          <w:tcPr>
            <w:tcW w:w="882" w:type="pct"/>
            <w:noWrap/>
            <w:hideMark/>
          </w:tcPr>
          <w:p w14:paraId="333C5BEA"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8,534</w:t>
            </w:r>
          </w:p>
        </w:tc>
        <w:tc>
          <w:tcPr>
            <w:tcW w:w="539" w:type="pct"/>
            <w:noWrap/>
            <w:hideMark/>
          </w:tcPr>
          <w:p w14:paraId="2D9EE65E"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1.1%</w:t>
            </w:r>
          </w:p>
        </w:tc>
      </w:tr>
      <w:tr w:rsidR="00DC0CF5" w:rsidRPr="00DC0CF5" w14:paraId="04039648"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2C7F61AF"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17</w:t>
            </w:r>
          </w:p>
        </w:tc>
        <w:tc>
          <w:tcPr>
            <w:tcW w:w="3138" w:type="pct"/>
            <w:noWrap/>
            <w:hideMark/>
          </w:tcPr>
          <w:p w14:paraId="2DD3301F" w14:textId="55FAD9FE"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Retrocommissioning</w:t>
            </w:r>
          </w:p>
        </w:tc>
        <w:tc>
          <w:tcPr>
            <w:tcW w:w="882" w:type="pct"/>
            <w:noWrap/>
            <w:hideMark/>
          </w:tcPr>
          <w:p w14:paraId="19E9DBEC"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7,422</w:t>
            </w:r>
          </w:p>
        </w:tc>
        <w:tc>
          <w:tcPr>
            <w:tcW w:w="539" w:type="pct"/>
            <w:noWrap/>
            <w:hideMark/>
          </w:tcPr>
          <w:p w14:paraId="3BA6AB3A"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0.9%</w:t>
            </w:r>
          </w:p>
        </w:tc>
      </w:tr>
      <w:tr w:rsidR="00DC0CF5" w:rsidRPr="00DC0CF5" w14:paraId="523CE439"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18A90334"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18</w:t>
            </w:r>
          </w:p>
        </w:tc>
        <w:tc>
          <w:tcPr>
            <w:tcW w:w="3138" w:type="pct"/>
            <w:noWrap/>
            <w:hideMark/>
          </w:tcPr>
          <w:p w14:paraId="26EC9A77" w14:textId="5694AB5E"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Water Heater - Solar System</w:t>
            </w:r>
            <w:r w:rsidR="0015284F" w:rsidRPr="00A5792A">
              <w:rPr>
                <w:rFonts w:asciiTheme="minorHAnsi" w:eastAsia="Times New Roman" w:hAnsiTheme="minorHAnsi"/>
                <w:szCs w:val="20"/>
              </w:rPr>
              <w:t>s</w:t>
            </w:r>
          </w:p>
        </w:tc>
        <w:tc>
          <w:tcPr>
            <w:tcW w:w="882" w:type="pct"/>
            <w:noWrap/>
            <w:hideMark/>
          </w:tcPr>
          <w:p w14:paraId="5DEE8006"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6,984</w:t>
            </w:r>
          </w:p>
        </w:tc>
        <w:tc>
          <w:tcPr>
            <w:tcW w:w="539" w:type="pct"/>
            <w:noWrap/>
            <w:hideMark/>
          </w:tcPr>
          <w:p w14:paraId="21B25A3F"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0.9%</w:t>
            </w:r>
          </w:p>
        </w:tc>
      </w:tr>
      <w:tr w:rsidR="00DC0CF5" w:rsidRPr="00DC0CF5" w14:paraId="4F370ECB"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050C4789"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19</w:t>
            </w:r>
          </w:p>
        </w:tc>
        <w:tc>
          <w:tcPr>
            <w:tcW w:w="3138" w:type="pct"/>
            <w:noWrap/>
            <w:hideMark/>
          </w:tcPr>
          <w:p w14:paraId="43210AAB" w14:textId="77777777"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Laptop - ENERGY STAR (8.0)</w:t>
            </w:r>
          </w:p>
        </w:tc>
        <w:tc>
          <w:tcPr>
            <w:tcW w:w="882" w:type="pct"/>
            <w:noWrap/>
            <w:hideMark/>
          </w:tcPr>
          <w:p w14:paraId="65A308ED"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5,448</w:t>
            </w:r>
          </w:p>
        </w:tc>
        <w:tc>
          <w:tcPr>
            <w:tcW w:w="539" w:type="pct"/>
            <w:noWrap/>
            <w:hideMark/>
          </w:tcPr>
          <w:p w14:paraId="3A9A5EE3"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0.7%</w:t>
            </w:r>
          </w:p>
        </w:tc>
      </w:tr>
      <w:tr w:rsidR="00DC0CF5" w:rsidRPr="00DC0CF5" w14:paraId="6D64D01D"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0E3F63E8" w14:textId="77777777" w:rsidR="00DC0CF5" w:rsidRPr="00A5792A" w:rsidRDefault="00DC0CF5" w:rsidP="003D455E">
            <w:pPr>
              <w:keepNext/>
              <w:jc w:val="center"/>
              <w:rPr>
                <w:rFonts w:asciiTheme="minorHAnsi" w:eastAsia="Times New Roman" w:hAnsiTheme="minorHAnsi"/>
                <w:szCs w:val="20"/>
              </w:rPr>
            </w:pPr>
            <w:r w:rsidRPr="00A5792A">
              <w:rPr>
                <w:rFonts w:asciiTheme="minorHAnsi" w:eastAsia="Times New Roman" w:hAnsiTheme="minorHAnsi"/>
                <w:szCs w:val="20"/>
              </w:rPr>
              <w:t>20</w:t>
            </w:r>
          </w:p>
        </w:tc>
        <w:tc>
          <w:tcPr>
            <w:tcW w:w="3138" w:type="pct"/>
            <w:noWrap/>
            <w:hideMark/>
          </w:tcPr>
          <w:p w14:paraId="30E86CCF" w14:textId="4ADB8B53"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Windows - Secondary Glazing Systems</w:t>
            </w:r>
          </w:p>
        </w:tc>
        <w:tc>
          <w:tcPr>
            <w:tcW w:w="882" w:type="pct"/>
            <w:noWrap/>
            <w:hideMark/>
          </w:tcPr>
          <w:p w14:paraId="5FA31D82" w14:textId="77777777" w:rsidR="00DC0CF5" w:rsidRPr="00A5792A" w:rsidRDefault="00DC0CF5"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5,300</w:t>
            </w:r>
          </w:p>
        </w:tc>
        <w:tc>
          <w:tcPr>
            <w:tcW w:w="539" w:type="pct"/>
            <w:noWrap/>
            <w:hideMark/>
          </w:tcPr>
          <w:p w14:paraId="0FAFFC0A"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A5792A">
              <w:rPr>
                <w:rFonts w:asciiTheme="minorHAnsi" w:eastAsia="Times New Roman" w:hAnsiTheme="minorHAnsi"/>
                <w:szCs w:val="20"/>
              </w:rPr>
              <w:t>0.7%</w:t>
            </w:r>
          </w:p>
        </w:tc>
      </w:tr>
      <w:tr w:rsidR="00DC0CF5" w:rsidRPr="00DC0CF5" w14:paraId="56FB15F7" w14:textId="77777777" w:rsidTr="003D455E">
        <w:trPr>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4F90E97C" w14:textId="44A25FFC" w:rsidR="00DC0CF5" w:rsidRPr="00DC0CF5" w:rsidRDefault="00DC0CF5" w:rsidP="003D455E">
            <w:pPr>
              <w:keepNext/>
              <w:jc w:val="center"/>
              <w:rPr>
                <w:rFonts w:ascii="Calibri" w:eastAsia="Times New Roman" w:hAnsi="Calibri"/>
                <w:b/>
                <w:bCs/>
                <w:szCs w:val="20"/>
              </w:rPr>
            </w:pPr>
          </w:p>
        </w:tc>
        <w:tc>
          <w:tcPr>
            <w:tcW w:w="3138" w:type="pct"/>
            <w:noWrap/>
            <w:hideMark/>
          </w:tcPr>
          <w:p w14:paraId="055A2B1E" w14:textId="77777777" w:rsidR="00DC0CF5" w:rsidRPr="00A5792A" w:rsidRDefault="00DC0CF5"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5792A">
              <w:rPr>
                <w:rFonts w:asciiTheme="majorHAnsi" w:eastAsia="Times New Roman" w:hAnsiTheme="majorHAnsi"/>
                <w:szCs w:val="20"/>
              </w:rPr>
              <w:t>Total of Top 20 Measures</w:t>
            </w:r>
          </w:p>
        </w:tc>
        <w:tc>
          <w:tcPr>
            <w:tcW w:w="882" w:type="pct"/>
            <w:noWrap/>
            <w:hideMark/>
          </w:tcPr>
          <w:p w14:paraId="6F34D50B" w14:textId="77777777" w:rsidR="00DC0CF5" w:rsidRPr="00A5792A" w:rsidRDefault="00DC0CF5"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5792A">
              <w:rPr>
                <w:rFonts w:asciiTheme="majorHAnsi" w:eastAsia="Times New Roman" w:hAnsiTheme="majorHAnsi"/>
                <w:szCs w:val="20"/>
              </w:rPr>
              <w:t>692,015</w:t>
            </w:r>
          </w:p>
        </w:tc>
        <w:tc>
          <w:tcPr>
            <w:tcW w:w="539" w:type="pct"/>
            <w:noWrap/>
            <w:hideMark/>
          </w:tcPr>
          <w:p w14:paraId="58DDFB35" w14:textId="77777777" w:rsidR="00DC0CF5" w:rsidRPr="00A5792A" w:rsidRDefault="00DC0CF5"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5792A">
              <w:rPr>
                <w:rFonts w:asciiTheme="majorHAnsi" w:eastAsia="Times New Roman" w:hAnsiTheme="majorHAnsi"/>
                <w:szCs w:val="20"/>
              </w:rPr>
              <w:t>85.4%</w:t>
            </w:r>
          </w:p>
        </w:tc>
      </w:tr>
      <w:tr w:rsidR="00DC0CF5" w:rsidRPr="00DC0CF5" w14:paraId="6A8EC04F" w14:textId="77777777" w:rsidTr="003D455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41" w:type="pct"/>
            <w:noWrap/>
            <w:hideMark/>
          </w:tcPr>
          <w:p w14:paraId="79868C47" w14:textId="24492329" w:rsidR="00DC0CF5" w:rsidRPr="00DC0CF5" w:rsidRDefault="00DC0CF5" w:rsidP="003D455E">
            <w:pPr>
              <w:keepNext/>
              <w:jc w:val="center"/>
              <w:rPr>
                <w:rFonts w:ascii="Calibri" w:eastAsia="Times New Roman" w:hAnsi="Calibri"/>
                <w:b/>
                <w:bCs/>
                <w:szCs w:val="20"/>
              </w:rPr>
            </w:pPr>
          </w:p>
        </w:tc>
        <w:tc>
          <w:tcPr>
            <w:tcW w:w="3138" w:type="pct"/>
            <w:noWrap/>
            <w:hideMark/>
          </w:tcPr>
          <w:p w14:paraId="39C0810C" w14:textId="77777777" w:rsidR="00DC0CF5" w:rsidRPr="00A5792A" w:rsidRDefault="00DC0CF5"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A5792A">
              <w:rPr>
                <w:rFonts w:asciiTheme="majorHAnsi" w:eastAsia="Times New Roman" w:hAnsiTheme="majorHAnsi"/>
                <w:szCs w:val="20"/>
              </w:rPr>
              <w:t>Total Cumulative Savings</w:t>
            </w:r>
          </w:p>
        </w:tc>
        <w:tc>
          <w:tcPr>
            <w:tcW w:w="882" w:type="pct"/>
            <w:noWrap/>
            <w:hideMark/>
          </w:tcPr>
          <w:p w14:paraId="29236993" w14:textId="4154C169" w:rsidR="00DC0CF5" w:rsidRPr="00A5792A" w:rsidRDefault="00AB25A7"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A5792A">
              <w:rPr>
                <w:rFonts w:asciiTheme="majorHAnsi" w:eastAsia="Times New Roman" w:hAnsiTheme="majorHAnsi"/>
                <w:szCs w:val="20"/>
              </w:rPr>
              <w:t>815,889</w:t>
            </w:r>
          </w:p>
        </w:tc>
        <w:tc>
          <w:tcPr>
            <w:tcW w:w="539" w:type="pct"/>
            <w:noWrap/>
            <w:hideMark/>
          </w:tcPr>
          <w:p w14:paraId="4E95F96E" w14:textId="77777777" w:rsidR="00DC0CF5" w:rsidRPr="00A5792A" w:rsidRDefault="00DC0CF5"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A5792A">
              <w:rPr>
                <w:rFonts w:asciiTheme="majorHAnsi" w:eastAsia="Times New Roman" w:hAnsiTheme="majorHAnsi"/>
                <w:szCs w:val="20"/>
              </w:rPr>
              <w:t>100.0%</w:t>
            </w:r>
          </w:p>
        </w:tc>
      </w:tr>
    </w:tbl>
    <w:p w14:paraId="05069132" w14:textId="3ADF978B" w:rsidR="00E537D5" w:rsidRDefault="00E537D5" w:rsidP="00DC0CF5">
      <w:pPr>
        <w:keepNext/>
        <w:rPr>
          <w:lang w:eastAsia="ja-JP"/>
        </w:rPr>
      </w:pPr>
    </w:p>
    <w:p w14:paraId="575853EF" w14:textId="612AA8EF" w:rsidR="00EB3C6F" w:rsidRDefault="003D455E" w:rsidP="00C937E8">
      <w:pPr>
        <w:pStyle w:val="AEGBody"/>
        <w:rPr>
          <w:bCs/>
        </w:rPr>
      </w:pPr>
      <w:r>
        <w:rPr>
          <w:bCs/>
        </w:rPr>
        <w:fldChar w:fldCharType="begin"/>
      </w:r>
      <w:r>
        <w:rPr>
          <w:bCs/>
        </w:rPr>
        <w:instrText xml:space="preserve"> REF _Ref175816201 \h </w:instrText>
      </w:r>
      <w:r>
        <w:rPr>
          <w:bCs/>
        </w:rPr>
      </w:r>
      <w:r>
        <w:rPr>
          <w:bCs/>
        </w:rPr>
        <w:fldChar w:fldCharType="separate"/>
      </w:r>
      <w:r>
        <w:t xml:space="preserve">Figure </w:t>
      </w:r>
      <w:r>
        <w:rPr>
          <w:noProof/>
        </w:rPr>
        <w:t>5</w:t>
      </w:r>
      <w:r>
        <w:noBreakHyphen/>
      </w:r>
      <w:r>
        <w:rPr>
          <w:noProof/>
        </w:rPr>
        <w:t>11</w:t>
      </w:r>
      <w:r>
        <w:rPr>
          <w:bCs/>
        </w:rPr>
        <w:fldChar w:fldCharType="end"/>
      </w:r>
      <w:r w:rsidR="00EB3C6F">
        <w:rPr>
          <w:bCs/>
        </w:rPr>
        <w:t xml:space="preserve"> </w:t>
      </w:r>
      <w:r w:rsidR="00EB3C6F" w:rsidRPr="004671E8">
        <w:t>present</w:t>
      </w:r>
      <w:r w:rsidR="00EB3C6F">
        <w:t>s a</w:t>
      </w:r>
      <w:r w:rsidR="00EB3C6F" w:rsidRPr="004671E8">
        <w:t xml:space="preserve"> forecast of cumulative </w:t>
      </w:r>
      <w:r w:rsidR="00EB3C6F">
        <w:t xml:space="preserve">commercial </w:t>
      </w:r>
      <w:r w:rsidR="00EB3C6F" w:rsidRPr="004671E8">
        <w:t>energy savings by end use</w:t>
      </w:r>
      <w:r w:rsidR="00EB3C6F">
        <w:t xml:space="preserve"> in Idaho</w:t>
      </w:r>
      <w:r w:rsidR="00EB3C6F" w:rsidRPr="004671E8">
        <w:t>.</w:t>
      </w:r>
      <w:r w:rsidR="00EB3C6F">
        <w:t xml:space="preserve"> Similar to Washington, HVAC end uses (cooling, space heating, and ventilation) paired with</w:t>
      </w:r>
      <w:r w:rsidR="00EB3C6F" w:rsidRPr="004671E8">
        <w:t xml:space="preserve"> </w:t>
      </w:r>
      <w:r w:rsidR="00EB3C6F">
        <w:t xml:space="preserve">interior lighting </w:t>
      </w:r>
      <w:r w:rsidR="00EB3C6F" w:rsidRPr="004671E8">
        <w:t>account for a substantial portion of the savings throughout the forecast horizon</w:t>
      </w:r>
      <w:r w:rsidR="00EB3C6F">
        <w:t xml:space="preserve">. </w:t>
      </w:r>
    </w:p>
    <w:p w14:paraId="60BC2386" w14:textId="77777777" w:rsidR="00E537D5" w:rsidRDefault="00E537D5" w:rsidP="00844662">
      <w:pPr>
        <w:rPr>
          <w:lang w:eastAsia="ja-JP"/>
        </w:rPr>
      </w:pPr>
    </w:p>
    <w:p w14:paraId="18A58FB8" w14:textId="5B761D64" w:rsidR="00C82EF5" w:rsidRDefault="00C82EF5" w:rsidP="00C82EF5">
      <w:pPr>
        <w:pStyle w:val="FigureorTableCaption"/>
      </w:pPr>
      <w:bookmarkStart w:id="155" w:name="_Ref175816201"/>
      <w:bookmarkStart w:id="156" w:name="_Toc175904457"/>
      <w:r>
        <w:lastRenderedPageBreak/>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11</w:t>
      </w:r>
      <w:r w:rsidR="000E34CB">
        <w:fldChar w:fldCharType="end"/>
      </w:r>
      <w:bookmarkEnd w:id="155"/>
      <w:r w:rsidR="00455098">
        <w:t xml:space="preserve"> </w:t>
      </w:r>
      <w:r w:rsidR="00EB3C6F" w:rsidRPr="00D43D2D">
        <w:t>Commercial</w:t>
      </w:r>
      <w:r w:rsidRPr="00D43D2D">
        <w:t xml:space="preserve"> Cumulative Achievable Technical Potential by End Use, Idaho</w:t>
      </w:r>
      <w:bookmarkEnd w:id="156"/>
    </w:p>
    <w:p w14:paraId="16F73360" w14:textId="149791E1" w:rsidR="00EB4249" w:rsidRDefault="00FD1C35" w:rsidP="00C54C72">
      <w:pPr>
        <w:jc w:val="center"/>
        <w:rPr>
          <w:lang w:eastAsia="ja-JP"/>
        </w:rPr>
      </w:pPr>
      <w:r>
        <w:rPr>
          <w:noProof/>
        </w:rPr>
        <w:drawing>
          <wp:inline distT="0" distB="0" distL="0" distR="0" wp14:anchorId="15C42B8C" wp14:editId="4D36436A">
            <wp:extent cx="5456915" cy="3133091"/>
            <wp:effectExtent l="0" t="0" r="0" b="0"/>
            <wp:docPr id="569202382" name="Chart 1">
              <a:extLst xmlns:a="http://schemas.openxmlformats.org/drawingml/2006/main">
                <a:ext uri="{FF2B5EF4-FFF2-40B4-BE49-F238E27FC236}">
                  <a16:creationId xmlns:a16="http://schemas.microsoft.com/office/drawing/2014/main" id="{4ABFCEA4-4FBB-41DA-A723-C939D1956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95EDB25" w14:textId="24A8341B" w:rsidR="00DC6F30" w:rsidRDefault="00DC6F30" w:rsidP="00CC417F">
      <w:pPr>
        <w:rPr>
          <w:rFonts w:cstheme="minorBidi"/>
        </w:rPr>
      </w:pPr>
    </w:p>
    <w:p w14:paraId="5B2262D1" w14:textId="3C9FD1D5" w:rsidR="00EB3C6F" w:rsidRDefault="003D455E" w:rsidP="00EB3C6F">
      <w:pPr>
        <w:pStyle w:val="BodyText"/>
      </w:pPr>
      <w:r>
        <w:fldChar w:fldCharType="begin"/>
      </w:r>
      <w:r>
        <w:instrText xml:space="preserve"> REF _Ref175816171 \h </w:instrText>
      </w:r>
      <w:r>
        <w:fldChar w:fldCharType="separate"/>
      </w:r>
      <w:r>
        <w:t xml:space="preserve">Table </w:t>
      </w:r>
      <w:r>
        <w:rPr>
          <w:noProof/>
        </w:rPr>
        <w:t>5</w:t>
      </w:r>
      <w:r>
        <w:noBreakHyphen/>
      </w:r>
      <w:r>
        <w:rPr>
          <w:noProof/>
        </w:rPr>
        <w:t>11</w:t>
      </w:r>
      <w:r>
        <w:fldChar w:fldCharType="end"/>
      </w:r>
      <w:r w:rsidR="00EB3C6F" w:rsidRPr="00772D26">
        <w:t xml:space="preserve"> identifies the top 20 commercial-sector measures from the perspective of cumulative energy savings by 2045 in Idaho. Like Washington, linear lighting is included in the top 3 measures.</w:t>
      </w:r>
      <w:r w:rsidR="00EB3C6F">
        <w:t xml:space="preserve"> </w:t>
      </w:r>
    </w:p>
    <w:p w14:paraId="73AC0031" w14:textId="77777777" w:rsidR="00EB3C6F" w:rsidRDefault="00EB3C6F" w:rsidP="00CC417F">
      <w:pPr>
        <w:rPr>
          <w:rFonts w:cstheme="minorBidi"/>
        </w:rPr>
      </w:pPr>
    </w:p>
    <w:p w14:paraId="0B2E0DC0" w14:textId="6CDD274A" w:rsidR="00C82EF5" w:rsidRDefault="00C82EF5" w:rsidP="00C82EF5">
      <w:pPr>
        <w:pStyle w:val="FigureorTableCaption"/>
      </w:pPr>
      <w:bookmarkStart w:id="157" w:name="_Ref175816171"/>
      <w:bookmarkStart w:id="158" w:name="_Toc175912395"/>
      <w:r>
        <w:lastRenderedPageBreak/>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11</w:t>
      </w:r>
      <w:r w:rsidR="00EE4707">
        <w:fldChar w:fldCharType="end"/>
      </w:r>
      <w:bookmarkEnd w:id="157"/>
      <w:r w:rsidR="00455098">
        <w:t xml:space="preserve"> </w:t>
      </w:r>
      <w:r w:rsidRPr="00E9370D">
        <w:t xml:space="preserve">Commercial Top 20 Measures </w:t>
      </w:r>
      <w:r w:rsidR="00A531C6">
        <w:t>in</w:t>
      </w:r>
      <w:r w:rsidRPr="00E9370D">
        <w:t xml:space="preserve"> 2045, Idaho</w:t>
      </w:r>
      <w:bookmarkEnd w:id="158"/>
    </w:p>
    <w:tbl>
      <w:tblPr>
        <w:tblStyle w:val="AEGBlue2"/>
        <w:tblW w:w="4997" w:type="pct"/>
        <w:jc w:val="center"/>
        <w:tblLayout w:type="fixed"/>
        <w:tblLook w:val="04A0" w:firstRow="1" w:lastRow="0" w:firstColumn="1" w:lastColumn="0" w:noHBand="0" w:noVBand="1"/>
      </w:tblPr>
      <w:tblGrid>
        <w:gridCol w:w="822"/>
        <w:gridCol w:w="5874"/>
        <w:gridCol w:w="1646"/>
        <w:gridCol w:w="1012"/>
      </w:tblGrid>
      <w:tr w:rsidR="00071A34" w:rsidRPr="00DC6F30" w14:paraId="00165F50" w14:textId="77777777" w:rsidTr="003D455E">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3B090AF0" w14:textId="12FEF659" w:rsidR="00071A34" w:rsidRPr="00C82CC5" w:rsidRDefault="00071A34" w:rsidP="003D455E">
            <w:pPr>
              <w:keepNext/>
              <w:jc w:val="center"/>
              <w:rPr>
                <w:rFonts w:asciiTheme="majorHAnsi" w:eastAsia="Times New Roman" w:hAnsiTheme="majorHAnsi"/>
                <w:szCs w:val="20"/>
              </w:rPr>
            </w:pPr>
            <w:r w:rsidRPr="00C82CC5">
              <w:rPr>
                <w:rFonts w:asciiTheme="majorHAnsi" w:hAnsiTheme="majorHAnsi"/>
                <w:szCs w:val="20"/>
              </w:rPr>
              <w:t>Rank</w:t>
            </w:r>
          </w:p>
        </w:tc>
        <w:tc>
          <w:tcPr>
            <w:tcW w:w="3140" w:type="pct"/>
            <w:noWrap/>
            <w:hideMark/>
          </w:tcPr>
          <w:p w14:paraId="64F577AC" w14:textId="03AFA040" w:rsidR="00071A34" w:rsidRPr="00C82CC5" w:rsidRDefault="00071A34" w:rsidP="003D455E">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Measure / Technology</w:t>
            </w:r>
          </w:p>
        </w:tc>
        <w:tc>
          <w:tcPr>
            <w:tcW w:w="880" w:type="pct"/>
            <w:hideMark/>
          </w:tcPr>
          <w:p w14:paraId="37FCDD33" w14:textId="5C8C4DC3" w:rsidR="00071A34" w:rsidRPr="00C82CC5" w:rsidRDefault="00071A34"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2045</w:t>
            </w:r>
            <w:r w:rsidR="00F11F4D" w:rsidRPr="00C82CC5">
              <w:rPr>
                <w:rFonts w:asciiTheme="majorHAnsi" w:hAnsiTheme="majorHAnsi"/>
                <w:szCs w:val="20"/>
              </w:rPr>
              <w:t xml:space="preserve"> Cumulative Savings (MWh)</w:t>
            </w:r>
          </w:p>
        </w:tc>
        <w:tc>
          <w:tcPr>
            <w:tcW w:w="542" w:type="pct"/>
            <w:noWrap/>
            <w:hideMark/>
          </w:tcPr>
          <w:p w14:paraId="7ABEAD96" w14:textId="25FF0751" w:rsidR="00071A34" w:rsidRPr="00C82CC5" w:rsidRDefault="00071A34"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 of Total</w:t>
            </w:r>
          </w:p>
        </w:tc>
      </w:tr>
      <w:tr w:rsidR="00071A34" w:rsidRPr="00DC6F30" w14:paraId="124275EA"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75533170" w14:textId="7E6E3264" w:rsidR="00071A34" w:rsidRPr="00C82CC5" w:rsidRDefault="00071A34" w:rsidP="003D455E">
            <w:pPr>
              <w:keepNext/>
              <w:jc w:val="center"/>
              <w:rPr>
                <w:rFonts w:eastAsia="Times New Roman"/>
                <w:szCs w:val="20"/>
              </w:rPr>
            </w:pPr>
            <w:r w:rsidRPr="00C82CC5">
              <w:rPr>
                <w:szCs w:val="20"/>
              </w:rPr>
              <w:t>1</w:t>
            </w:r>
          </w:p>
        </w:tc>
        <w:tc>
          <w:tcPr>
            <w:tcW w:w="3140" w:type="pct"/>
            <w:noWrap/>
            <w:hideMark/>
          </w:tcPr>
          <w:p w14:paraId="139C8A6E" w14:textId="11E47230"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Linear Lighting - LED</w:t>
            </w:r>
          </w:p>
        </w:tc>
        <w:tc>
          <w:tcPr>
            <w:tcW w:w="880" w:type="pct"/>
            <w:noWrap/>
            <w:hideMark/>
          </w:tcPr>
          <w:p w14:paraId="77775F12" w14:textId="29CE41A7"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82,600</w:t>
            </w:r>
          </w:p>
        </w:tc>
        <w:tc>
          <w:tcPr>
            <w:tcW w:w="542" w:type="pct"/>
            <w:noWrap/>
            <w:hideMark/>
          </w:tcPr>
          <w:p w14:paraId="39872FD3" w14:textId="2A454D1F"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23.3%</w:t>
            </w:r>
          </w:p>
        </w:tc>
      </w:tr>
      <w:tr w:rsidR="00071A34" w:rsidRPr="00DC6F30" w14:paraId="7E005B98"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1AB257B2" w14:textId="55B6788F" w:rsidR="00071A34" w:rsidRPr="00C82CC5" w:rsidRDefault="00071A34" w:rsidP="003D455E">
            <w:pPr>
              <w:keepNext/>
              <w:jc w:val="center"/>
              <w:rPr>
                <w:rFonts w:eastAsia="Times New Roman"/>
                <w:szCs w:val="20"/>
              </w:rPr>
            </w:pPr>
            <w:r w:rsidRPr="00C82CC5">
              <w:rPr>
                <w:szCs w:val="20"/>
              </w:rPr>
              <w:t>2</w:t>
            </w:r>
          </w:p>
        </w:tc>
        <w:tc>
          <w:tcPr>
            <w:tcW w:w="3140" w:type="pct"/>
            <w:noWrap/>
            <w:hideMark/>
          </w:tcPr>
          <w:p w14:paraId="46DAF84B" w14:textId="170B054F"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Water Heater - UEF 3.9 - Heat Pump</w:t>
            </w:r>
          </w:p>
        </w:tc>
        <w:tc>
          <w:tcPr>
            <w:tcW w:w="880" w:type="pct"/>
            <w:noWrap/>
            <w:hideMark/>
          </w:tcPr>
          <w:p w14:paraId="59742AAA" w14:textId="0EBD28E8"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28,926</w:t>
            </w:r>
          </w:p>
        </w:tc>
        <w:tc>
          <w:tcPr>
            <w:tcW w:w="542" w:type="pct"/>
            <w:noWrap/>
            <w:vAlign w:val="bottom"/>
            <w:hideMark/>
          </w:tcPr>
          <w:p w14:paraId="5895984B" w14:textId="1BADBE28"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8.2%</w:t>
            </w:r>
          </w:p>
        </w:tc>
      </w:tr>
      <w:tr w:rsidR="00071A34" w:rsidRPr="00DC6F30" w14:paraId="40F5B3D7"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6EC6DB10" w14:textId="79951AAA" w:rsidR="00071A34" w:rsidRPr="00C82CC5" w:rsidRDefault="00071A34" w:rsidP="003D455E">
            <w:pPr>
              <w:keepNext/>
              <w:jc w:val="center"/>
              <w:rPr>
                <w:rFonts w:eastAsia="Times New Roman"/>
                <w:szCs w:val="20"/>
              </w:rPr>
            </w:pPr>
            <w:r w:rsidRPr="00C82CC5">
              <w:rPr>
                <w:szCs w:val="20"/>
              </w:rPr>
              <w:t>3</w:t>
            </w:r>
          </w:p>
        </w:tc>
        <w:tc>
          <w:tcPr>
            <w:tcW w:w="3140" w:type="pct"/>
            <w:noWrap/>
            <w:hideMark/>
          </w:tcPr>
          <w:p w14:paraId="5DCEF6F6" w14:textId="062FD7BB"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Air-Source Heat Pump - IEER 20.3 / COP 3.7</w:t>
            </w:r>
          </w:p>
        </w:tc>
        <w:tc>
          <w:tcPr>
            <w:tcW w:w="880" w:type="pct"/>
            <w:noWrap/>
            <w:hideMark/>
          </w:tcPr>
          <w:p w14:paraId="67E528D6" w14:textId="587BE109"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16,968</w:t>
            </w:r>
          </w:p>
        </w:tc>
        <w:tc>
          <w:tcPr>
            <w:tcW w:w="542" w:type="pct"/>
            <w:noWrap/>
            <w:hideMark/>
          </w:tcPr>
          <w:p w14:paraId="5D5C820A" w14:textId="5AFDB362"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4.8%</w:t>
            </w:r>
          </w:p>
        </w:tc>
      </w:tr>
      <w:tr w:rsidR="00071A34" w:rsidRPr="00DC6F30" w14:paraId="7AD13F9A"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2D0122C3" w14:textId="55F26F0A" w:rsidR="00071A34" w:rsidRPr="00C82CC5" w:rsidRDefault="00071A34" w:rsidP="003D455E">
            <w:pPr>
              <w:keepNext/>
              <w:jc w:val="center"/>
              <w:rPr>
                <w:rFonts w:eastAsia="Times New Roman"/>
                <w:szCs w:val="20"/>
              </w:rPr>
            </w:pPr>
            <w:r w:rsidRPr="00C82CC5">
              <w:rPr>
                <w:szCs w:val="20"/>
              </w:rPr>
              <w:t>4</w:t>
            </w:r>
          </w:p>
        </w:tc>
        <w:tc>
          <w:tcPr>
            <w:tcW w:w="3140" w:type="pct"/>
            <w:noWrap/>
            <w:hideMark/>
          </w:tcPr>
          <w:p w14:paraId="1F9F5CA6" w14:textId="4C211056"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High-Bay Lighting - LED 2035</w:t>
            </w:r>
          </w:p>
        </w:tc>
        <w:tc>
          <w:tcPr>
            <w:tcW w:w="880" w:type="pct"/>
            <w:noWrap/>
            <w:hideMark/>
          </w:tcPr>
          <w:p w14:paraId="3FB1FC8F" w14:textId="7AFF0F66"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16,934</w:t>
            </w:r>
          </w:p>
        </w:tc>
        <w:tc>
          <w:tcPr>
            <w:tcW w:w="542" w:type="pct"/>
            <w:noWrap/>
            <w:vAlign w:val="bottom"/>
            <w:hideMark/>
          </w:tcPr>
          <w:p w14:paraId="2A32D2E4" w14:textId="377DADD4"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4.8%</w:t>
            </w:r>
          </w:p>
        </w:tc>
      </w:tr>
      <w:tr w:rsidR="00071A34" w:rsidRPr="00DC6F30" w14:paraId="55232552"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488201CA" w14:textId="037429D1" w:rsidR="00071A34" w:rsidRPr="00C82CC5" w:rsidRDefault="00071A34" w:rsidP="003D455E">
            <w:pPr>
              <w:keepNext/>
              <w:jc w:val="center"/>
              <w:rPr>
                <w:rFonts w:eastAsia="Times New Roman"/>
                <w:szCs w:val="20"/>
              </w:rPr>
            </w:pPr>
            <w:r w:rsidRPr="00C82CC5">
              <w:rPr>
                <w:szCs w:val="20"/>
              </w:rPr>
              <w:t>5</w:t>
            </w:r>
          </w:p>
        </w:tc>
        <w:tc>
          <w:tcPr>
            <w:tcW w:w="3140" w:type="pct"/>
            <w:noWrap/>
            <w:hideMark/>
          </w:tcPr>
          <w:p w14:paraId="3E8B6C30" w14:textId="6EC8855A"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HVAC - Energy Recovery Ventilator</w:t>
            </w:r>
          </w:p>
        </w:tc>
        <w:tc>
          <w:tcPr>
            <w:tcW w:w="880" w:type="pct"/>
            <w:noWrap/>
            <w:hideMark/>
          </w:tcPr>
          <w:p w14:paraId="05C2440F" w14:textId="7BB1FB7B"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13,198</w:t>
            </w:r>
          </w:p>
        </w:tc>
        <w:tc>
          <w:tcPr>
            <w:tcW w:w="542" w:type="pct"/>
            <w:noWrap/>
            <w:hideMark/>
          </w:tcPr>
          <w:p w14:paraId="08B9A608" w14:textId="67E43744"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3.7%</w:t>
            </w:r>
          </w:p>
        </w:tc>
      </w:tr>
      <w:tr w:rsidR="00071A34" w:rsidRPr="00DC6F30" w14:paraId="2DBCE38A"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405B9F45" w14:textId="76A6AD14" w:rsidR="00071A34" w:rsidRPr="00C82CC5" w:rsidRDefault="00071A34" w:rsidP="003D455E">
            <w:pPr>
              <w:keepNext/>
              <w:jc w:val="center"/>
              <w:rPr>
                <w:rFonts w:eastAsia="Times New Roman"/>
                <w:szCs w:val="20"/>
              </w:rPr>
            </w:pPr>
            <w:r w:rsidRPr="00C82CC5">
              <w:rPr>
                <w:szCs w:val="20"/>
              </w:rPr>
              <w:t>6</w:t>
            </w:r>
          </w:p>
        </w:tc>
        <w:tc>
          <w:tcPr>
            <w:tcW w:w="3140" w:type="pct"/>
            <w:noWrap/>
            <w:hideMark/>
          </w:tcPr>
          <w:p w14:paraId="15F9E3CC" w14:textId="17205F35"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Server - ENERGY STAR (4.0)</w:t>
            </w:r>
          </w:p>
        </w:tc>
        <w:tc>
          <w:tcPr>
            <w:tcW w:w="880" w:type="pct"/>
            <w:noWrap/>
            <w:hideMark/>
          </w:tcPr>
          <w:p w14:paraId="2EA4D8C2" w14:textId="7553D726"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13,146</w:t>
            </w:r>
          </w:p>
        </w:tc>
        <w:tc>
          <w:tcPr>
            <w:tcW w:w="542" w:type="pct"/>
            <w:noWrap/>
            <w:vAlign w:val="bottom"/>
            <w:hideMark/>
          </w:tcPr>
          <w:p w14:paraId="051C678B" w14:textId="24375E75"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3.7%</w:t>
            </w:r>
          </w:p>
        </w:tc>
      </w:tr>
      <w:tr w:rsidR="00071A34" w:rsidRPr="00DC6F30" w14:paraId="13ABEACD"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4271E6C5" w14:textId="69634B94" w:rsidR="00071A34" w:rsidRPr="00C82CC5" w:rsidRDefault="00071A34" w:rsidP="003D455E">
            <w:pPr>
              <w:keepNext/>
              <w:jc w:val="center"/>
              <w:rPr>
                <w:rFonts w:eastAsia="Times New Roman"/>
                <w:szCs w:val="20"/>
              </w:rPr>
            </w:pPr>
            <w:r w:rsidRPr="00C82CC5">
              <w:rPr>
                <w:szCs w:val="20"/>
              </w:rPr>
              <w:t>7</w:t>
            </w:r>
          </w:p>
        </w:tc>
        <w:tc>
          <w:tcPr>
            <w:tcW w:w="3140" w:type="pct"/>
            <w:noWrap/>
            <w:hideMark/>
          </w:tcPr>
          <w:p w14:paraId="26AEF1E7" w14:textId="1FE0E472"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HVAC - Dedicated Outdoor Air System (DOAS)</w:t>
            </w:r>
          </w:p>
        </w:tc>
        <w:tc>
          <w:tcPr>
            <w:tcW w:w="880" w:type="pct"/>
            <w:noWrap/>
            <w:hideMark/>
          </w:tcPr>
          <w:p w14:paraId="2082F8B2" w14:textId="199C3315"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12,901</w:t>
            </w:r>
          </w:p>
        </w:tc>
        <w:tc>
          <w:tcPr>
            <w:tcW w:w="542" w:type="pct"/>
            <w:noWrap/>
            <w:hideMark/>
          </w:tcPr>
          <w:p w14:paraId="5B8B8CF8" w14:textId="4664A5AF"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3.6%</w:t>
            </w:r>
          </w:p>
        </w:tc>
      </w:tr>
      <w:tr w:rsidR="00071A34" w:rsidRPr="00DC6F30" w14:paraId="314BAEB4"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455B72BE" w14:textId="743ED96F" w:rsidR="00071A34" w:rsidRPr="00C82CC5" w:rsidRDefault="00071A34" w:rsidP="003D455E">
            <w:pPr>
              <w:keepNext/>
              <w:jc w:val="center"/>
              <w:rPr>
                <w:rFonts w:eastAsia="Times New Roman"/>
                <w:szCs w:val="20"/>
              </w:rPr>
            </w:pPr>
            <w:r w:rsidRPr="00C82CC5">
              <w:rPr>
                <w:szCs w:val="20"/>
              </w:rPr>
              <w:t>8</w:t>
            </w:r>
          </w:p>
        </w:tc>
        <w:tc>
          <w:tcPr>
            <w:tcW w:w="3140" w:type="pct"/>
            <w:noWrap/>
            <w:hideMark/>
          </w:tcPr>
          <w:p w14:paraId="604DCCAC" w14:textId="6DB22842"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Refrigeration - Economizer Addition</w:t>
            </w:r>
          </w:p>
        </w:tc>
        <w:tc>
          <w:tcPr>
            <w:tcW w:w="880" w:type="pct"/>
            <w:noWrap/>
            <w:hideMark/>
          </w:tcPr>
          <w:p w14:paraId="23B1C0AC" w14:textId="598B1883"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12,831</w:t>
            </w:r>
          </w:p>
        </w:tc>
        <w:tc>
          <w:tcPr>
            <w:tcW w:w="542" w:type="pct"/>
            <w:noWrap/>
            <w:vAlign w:val="bottom"/>
            <w:hideMark/>
          </w:tcPr>
          <w:p w14:paraId="75394652" w14:textId="2FCEEC7D"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3.6%</w:t>
            </w:r>
          </w:p>
        </w:tc>
      </w:tr>
      <w:tr w:rsidR="00071A34" w:rsidRPr="00DC6F30" w14:paraId="1D504220"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3F79ED0F" w14:textId="02E5E987" w:rsidR="00071A34" w:rsidRPr="00C82CC5" w:rsidRDefault="00071A34" w:rsidP="003D455E">
            <w:pPr>
              <w:keepNext/>
              <w:jc w:val="center"/>
              <w:rPr>
                <w:rFonts w:eastAsia="Times New Roman"/>
                <w:szCs w:val="20"/>
              </w:rPr>
            </w:pPr>
            <w:r w:rsidRPr="00C82CC5">
              <w:rPr>
                <w:szCs w:val="20"/>
              </w:rPr>
              <w:t>9</w:t>
            </w:r>
          </w:p>
        </w:tc>
        <w:tc>
          <w:tcPr>
            <w:tcW w:w="3140" w:type="pct"/>
            <w:noWrap/>
            <w:hideMark/>
          </w:tcPr>
          <w:p w14:paraId="43881EBB" w14:textId="50756E42"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Ventilation - Variable Speed Control</w:t>
            </w:r>
          </w:p>
        </w:tc>
        <w:tc>
          <w:tcPr>
            <w:tcW w:w="880" w:type="pct"/>
            <w:noWrap/>
            <w:hideMark/>
          </w:tcPr>
          <w:p w14:paraId="580FD44F" w14:textId="6FB95DE1"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12,821</w:t>
            </w:r>
          </w:p>
        </w:tc>
        <w:tc>
          <w:tcPr>
            <w:tcW w:w="542" w:type="pct"/>
            <w:noWrap/>
            <w:hideMark/>
          </w:tcPr>
          <w:p w14:paraId="7250B582" w14:textId="5DEE41A9"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3.6%</w:t>
            </w:r>
          </w:p>
        </w:tc>
      </w:tr>
      <w:tr w:rsidR="00071A34" w:rsidRPr="00DC6F30" w14:paraId="72C56319"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058FE1" w14:textId="4A1FF568" w:rsidR="00071A34" w:rsidRPr="00C82CC5" w:rsidRDefault="00071A34" w:rsidP="003D455E">
            <w:pPr>
              <w:keepNext/>
              <w:jc w:val="center"/>
              <w:rPr>
                <w:rFonts w:eastAsia="Times New Roman"/>
                <w:szCs w:val="20"/>
              </w:rPr>
            </w:pPr>
            <w:r w:rsidRPr="00C82CC5">
              <w:rPr>
                <w:szCs w:val="20"/>
              </w:rPr>
              <w:t>10</w:t>
            </w:r>
          </w:p>
        </w:tc>
        <w:tc>
          <w:tcPr>
            <w:tcW w:w="3140" w:type="pct"/>
            <w:noWrap/>
            <w:hideMark/>
          </w:tcPr>
          <w:p w14:paraId="0F6D84CE" w14:textId="0ED4AE36"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Strategic Energy Management</w:t>
            </w:r>
          </w:p>
        </w:tc>
        <w:tc>
          <w:tcPr>
            <w:tcW w:w="880" w:type="pct"/>
            <w:noWrap/>
            <w:hideMark/>
          </w:tcPr>
          <w:p w14:paraId="778C930C" w14:textId="6876F53F"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11,179</w:t>
            </w:r>
          </w:p>
        </w:tc>
        <w:tc>
          <w:tcPr>
            <w:tcW w:w="542" w:type="pct"/>
            <w:noWrap/>
            <w:vAlign w:val="bottom"/>
            <w:hideMark/>
          </w:tcPr>
          <w:p w14:paraId="66F226BF" w14:textId="68FFDCA4"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3.2%</w:t>
            </w:r>
          </w:p>
        </w:tc>
      </w:tr>
      <w:tr w:rsidR="00071A34" w:rsidRPr="00DC6F30" w14:paraId="5CEB5760"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19779DA3" w14:textId="00EE0724" w:rsidR="00071A34" w:rsidRPr="00C82CC5" w:rsidRDefault="00071A34" w:rsidP="003D455E">
            <w:pPr>
              <w:keepNext/>
              <w:jc w:val="center"/>
              <w:rPr>
                <w:rFonts w:eastAsia="Times New Roman"/>
                <w:szCs w:val="20"/>
              </w:rPr>
            </w:pPr>
            <w:r w:rsidRPr="00C82CC5">
              <w:rPr>
                <w:szCs w:val="20"/>
              </w:rPr>
              <w:t>11</w:t>
            </w:r>
          </w:p>
        </w:tc>
        <w:tc>
          <w:tcPr>
            <w:tcW w:w="3140" w:type="pct"/>
            <w:noWrap/>
            <w:hideMark/>
          </w:tcPr>
          <w:p w14:paraId="1CE72AE4" w14:textId="632BB687"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Office Equipment - Advanced Power Strips</w:t>
            </w:r>
          </w:p>
        </w:tc>
        <w:tc>
          <w:tcPr>
            <w:tcW w:w="880" w:type="pct"/>
            <w:noWrap/>
            <w:hideMark/>
          </w:tcPr>
          <w:p w14:paraId="6B653AE7" w14:textId="58821A32"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11,130</w:t>
            </w:r>
          </w:p>
        </w:tc>
        <w:tc>
          <w:tcPr>
            <w:tcW w:w="542" w:type="pct"/>
            <w:noWrap/>
            <w:hideMark/>
          </w:tcPr>
          <w:p w14:paraId="25919419" w14:textId="67665F35"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3.1%</w:t>
            </w:r>
          </w:p>
        </w:tc>
      </w:tr>
      <w:tr w:rsidR="00071A34" w:rsidRPr="00DC6F30" w14:paraId="6256F469"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4B83E4FA" w14:textId="2DE76D83" w:rsidR="00071A34" w:rsidRPr="00C82CC5" w:rsidRDefault="00071A34" w:rsidP="003D455E">
            <w:pPr>
              <w:keepNext/>
              <w:jc w:val="center"/>
              <w:rPr>
                <w:rFonts w:eastAsia="Times New Roman"/>
                <w:szCs w:val="20"/>
              </w:rPr>
            </w:pPr>
            <w:r w:rsidRPr="00C82CC5">
              <w:rPr>
                <w:szCs w:val="20"/>
              </w:rPr>
              <w:t>12</w:t>
            </w:r>
          </w:p>
        </w:tc>
        <w:tc>
          <w:tcPr>
            <w:tcW w:w="3140" w:type="pct"/>
            <w:noWrap/>
            <w:hideMark/>
          </w:tcPr>
          <w:p w14:paraId="1DF42244" w14:textId="7D5A3FAB"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Electric Vehicle Chargers - Level 2</w:t>
            </w:r>
          </w:p>
        </w:tc>
        <w:tc>
          <w:tcPr>
            <w:tcW w:w="880" w:type="pct"/>
            <w:noWrap/>
            <w:hideMark/>
          </w:tcPr>
          <w:p w14:paraId="39D33D35" w14:textId="429309A4"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8,020</w:t>
            </w:r>
          </w:p>
        </w:tc>
        <w:tc>
          <w:tcPr>
            <w:tcW w:w="542" w:type="pct"/>
            <w:noWrap/>
            <w:vAlign w:val="bottom"/>
            <w:hideMark/>
          </w:tcPr>
          <w:p w14:paraId="77DFDE10" w14:textId="0D12060B"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2.3%</w:t>
            </w:r>
          </w:p>
        </w:tc>
      </w:tr>
      <w:tr w:rsidR="00071A34" w:rsidRPr="00DC6F30" w14:paraId="6DA8B12D"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3CEB4FDD" w14:textId="1B092B2D" w:rsidR="00071A34" w:rsidRPr="00C82CC5" w:rsidRDefault="00071A34" w:rsidP="003D455E">
            <w:pPr>
              <w:keepNext/>
              <w:jc w:val="center"/>
              <w:rPr>
                <w:rFonts w:eastAsia="Times New Roman"/>
                <w:szCs w:val="20"/>
              </w:rPr>
            </w:pPr>
            <w:r w:rsidRPr="00C82CC5">
              <w:rPr>
                <w:szCs w:val="20"/>
              </w:rPr>
              <w:t>13</w:t>
            </w:r>
          </w:p>
        </w:tc>
        <w:tc>
          <w:tcPr>
            <w:tcW w:w="3140" w:type="pct"/>
            <w:noWrap/>
            <w:hideMark/>
          </w:tcPr>
          <w:p w14:paraId="2A63A475" w14:textId="5B37BA9F"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Water Heater - Pipe Insulation</w:t>
            </w:r>
          </w:p>
        </w:tc>
        <w:tc>
          <w:tcPr>
            <w:tcW w:w="880" w:type="pct"/>
            <w:noWrap/>
            <w:hideMark/>
          </w:tcPr>
          <w:p w14:paraId="4BA8E7CE" w14:textId="177AE21A"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7,328</w:t>
            </w:r>
          </w:p>
        </w:tc>
        <w:tc>
          <w:tcPr>
            <w:tcW w:w="542" w:type="pct"/>
            <w:noWrap/>
            <w:hideMark/>
          </w:tcPr>
          <w:p w14:paraId="29D1B8BB" w14:textId="2FAF1BCB"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2.1%</w:t>
            </w:r>
          </w:p>
        </w:tc>
      </w:tr>
      <w:tr w:rsidR="00071A34" w:rsidRPr="00DC6F30" w14:paraId="09CF89D8"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7BA203FB" w14:textId="3F00D8A5" w:rsidR="00071A34" w:rsidRPr="00C82CC5" w:rsidRDefault="00071A34" w:rsidP="003D455E">
            <w:pPr>
              <w:keepNext/>
              <w:jc w:val="center"/>
              <w:rPr>
                <w:rFonts w:eastAsia="Times New Roman"/>
                <w:szCs w:val="20"/>
              </w:rPr>
            </w:pPr>
            <w:r w:rsidRPr="00C82CC5">
              <w:rPr>
                <w:szCs w:val="20"/>
              </w:rPr>
              <w:t>14</w:t>
            </w:r>
          </w:p>
        </w:tc>
        <w:tc>
          <w:tcPr>
            <w:tcW w:w="3140" w:type="pct"/>
            <w:noWrap/>
            <w:hideMark/>
          </w:tcPr>
          <w:p w14:paraId="117F9F1C" w14:textId="56A16EFE"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Ductless Mini Split Heat Pump</w:t>
            </w:r>
          </w:p>
        </w:tc>
        <w:tc>
          <w:tcPr>
            <w:tcW w:w="880" w:type="pct"/>
            <w:noWrap/>
            <w:hideMark/>
          </w:tcPr>
          <w:p w14:paraId="6807B070" w14:textId="20C7AE5C"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6,943</w:t>
            </w:r>
          </w:p>
        </w:tc>
        <w:tc>
          <w:tcPr>
            <w:tcW w:w="542" w:type="pct"/>
            <w:noWrap/>
            <w:vAlign w:val="bottom"/>
            <w:hideMark/>
          </w:tcPr>
          <w:p w14:paraId="0A08AC88" w14:textId="6119FDAF"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2.0%</w:t>
            </w:r>
          </w:p>
        </w:tc>
      </w:tr>
      <w:tr w:rsidR="00071A34" w:rsidRPr="00DC6F30" w14:paraId="1540E712"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79E7CBED" w14:textId="78481E09" w:rsidR="00071A34" w:rsidRPr="00C82CC5" w:rsidRDefault="00071A34" w:rsidP="003D455E">
            <w:pPr>
              <w:keepNext/>
              <w:jc w:val="center"/>
              <w:rPr>
                <w:rFonts w:eastAsia="Times New Roman"/>
                <w:szCs w:val="20"/>
              </w:rPr>
            </w:pPr>
            <w:r w:rsidRPr="00C82CC5">
              <w:rPr>
                <w:szCs w:val="20"/>
              </w:rPr>
              <w:t>15</w:t>
            </w:r>
          </w:p>
        </w:tc>
        <w:tc>
          <w:tcPr>
            <w:tcW w:w="3140" w:type="pct"/>
            <w:noWrap/>
            <w:hideMark/>
          </w:tcPr>
          <w:p w14:paraId="4C874699" w14:textId="63660C42"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Water Heater - Solar System</w:t>
            </w:r>
            <w:r w:rsidR="00772D26" w:rsidRPr="00C82CC5">
              <w:rPr>
                <w:szCs w:val="20"/>
              </w:rPr>
              <w:t>s</w:t>
            </w:r>
          </w:p>
        </w:tc>
        <w:tc>
          <w:tcPr>
            <w:tcW w:w="880" w:type="pct"/>
            <w:noWrap/>
            <w:hideMark/>
          </w:tcPr>
          <w:p w14:paraId="7CAC2D07" w14:textId="70ABFB54"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5,032</w:t>
            </w:r>
          </w:p>
        </w:tc>
        <w:tc>
          <w:tcPr>
            <w:tcW w:w="542" w:type="pct"/>
            <w:noWrap/>
            <w:hideMark/>
          </w:tcPr>
          <w:p w14:paraId="74485063" w14:textId="732EBFAD"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1.4%</w:t>
            </w:r>
          </w:p>
        </w:tc>
      </w:tr>
      <w:tr w:rsidR="00071A34" w:rsidRPr="00DC6F30" w14:paraId="57AB6CD7"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75ED4FD0" w14:textId="307FD245" w:rsidR="00071A34" w:rsidRPr="00C82CC5" w:rsidRDefault="00071A34" w:rsidP="003D455E">
            <w:pPr>
              <w:keepNext/>
              <w:jc w:val="center"/>
              <w:rPr>
                <w:rFonts w:eastAsia="Times New Roman"/>
                <w:szCs w:val="20"/>
              </w:rPr>
            </w:pPr>
            <w:r w:rsidRPr="00C82CC5">
              <w:rPr>
                <w:szCs w:val="20"/>
              </w:rPr>
              <w:t>16</w:t>
            </w:r>
          </w:p>
        </w:tc>
        <w:tc>
          <w:tcPr>
            <w:tcW w:w="3140" w:type="pct"/>
            <w:noWrap/>
            <w:hideMark/>
          </w:tcPr>
          <w:p w14:paraId="2C1BDA32" w14:textId="5CF121FB"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Lodging - Guest Room Controls</w:t>
            </w:r>
          </w:p>
        </w:tc>
        <w:tc>
          <w:tcPr>
            <w:tcW w:w="880" w:type="pct"/>
            <w:noWrap/>
            <w:hideMark/>
          </w:tcPr>
          <w:p w14:paraId="438E7EEA" w14:textId="23CB3DA8"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4,763</w:t>
            </w:r>
          </w:p>
        </w:tc>
        <w:tc>
          <w:tcPr>
            <w:tcW w:w="542" w:type="pct"/>
            <w:noWrap/>
            <w:vAlign w:val="bottom"/>
            <w:hideMark/>
          </w:tcPr>
          <w:p w14:paraId="4CA7AD2D" w14:textId="43A43088"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1.3%</w:t>
            </w:r>
          </w:p>
        </w:tc>
      </w:tr>
      <w:tr w:rsidR="00071A34" w:rsidRPr="00DC6F30" w14:paraId="25A7D5DF"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667B579C" w14:textId="09D6CF75" w:rsidR="00071A34" w:rsidRPr="00C82CC5" w:rsidRDefault="00071A34" w:rsidP="003D455E">
            <w:pPr>
              <w:keepNext/>
              <w:jc w:val="center"/>
              <w:rPr>
                <w:rFonts w:eastAsia="Times New Roman"/>
                <w:szCs w:val="20"/>
              </w:rPr>
            </w:pPr>
            <w:r w:rsidRPr="00C82CC5">
              <w:rPr>
                <w:szCs w:val="20"/>
              </w:rPr>
              <w:t>17</w:t>
            </w:r>
          </w:p>
        </w:tc>
        <w:tc>
          <w:tcPr>
            <w:tcW w:w="3140" w:type="pct"/>
            <w:noWrap/>
            <w:hideMark/>
          </w:tcPr>
          <w:p w14:paraId="24DCDDE8" w14:textId="37DB6B2B"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Retrocommissioning</w:t>
            </w:r>
          </w:p>
        </w:tc>
        <w:tc>
          <w:tcPr>
            <w:tcW w:w="880" w:type="pct"/>
            <w:noWrap/>
            <w:hideMark/>
          </w:tcPr>
          <w:p w14:paraId="4839C5C7" w14:textId="3069593B"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4,445</w:t>
            </w:r>
          </w:p>
        </w:tc>
        <w:tc>
          <w:tcPr>
            <w:tcW w:w="542" w:type="pct"/>
            <w:noWrap/>
            <w:hideMark/>
          </w:tcPr>
          <w:p w14:paraId="6B653B7B" w14:textId="5AC73BCF"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1.3%</w:t>
            </w:r>
          </w:p>
        </w:tc>
      </w:tr>
      <w:tr w:rsidR="00071A34" w:rsidRPr="00DC6F30" w14:paraId="31431D2B"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32C48CFA" w14:textId="5E962CFE" w:rsidR="00071A34" w:rsidRPr="00C82CC5" w:rsidRDefault="00071A34" w:rsidP="003D455E">
            <w:pPr>
              <w:keepNext/>
              <w:jc w:val="center"/>
              <w:rPr>
                <w:rFonts w:eastAsia="Times New Roman"/>
                <w:szCs w:val="20"/>
              </w:rPr>
            </w:pPr>
            <w:r w:rsidRPr="00C82CC5">
              <w:rPr>
                <w:szCs w:val="20"/>
              </w:rPr>
              <w:t>18</w:t>
            </w:r>
          </w:p>
        </w:tc>
        <w:tc>
          <w:tcPr>
            <w:tcW w:w="3140" w:type="pct"/>
            <w:noWrap/>
            <w:hideMark/>
          </w:tcPr>
          <w:p w14:paraId="396118CE" w14:textId="43C09D64"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Grocery - Display Case - LED Lighting</w:t>
            </w:r>
          </w:p>
        </w:tc>
        <w:tc>
          <w:tcPr>
            <w:tcW w:w="880" w:type="pct"/>
            <w:noWrap/>
            <w:hideMark/>
          </w:tcPr>
          <w:p w14:paraId="5D016356" w14:textId="52620C61"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4,126</w:t>
            </w:r>
          </w:p>
        </w:tc>
        <w:tc>
          <w:tcPr>
            <w:tcW w:w="542" w:type="pct"/>
            <w:noWrap/>
            <w:vAlign w:val="bottom"/>
            <w:hideMark/>
          </w:tcPr>
          <w:p w14:paraId="194CC58B" w14:textId="0ABFF19D"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1.2%</w:t>
            </w:r>
          </w:p>
        </w:tc>
      </w:tr>
      <w:tr w:rsidR="00071A34" w:rsidRPr="00DC6F30" w14:paraId="35B3FC2D"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76C2D2E2" w14:textId="4CD73AA4" w:rsidR="00071A34" w:rsidRPr="00C82CC5" w:rsidRDefault="00071A34" w:rsidP="003D455E">
            <w:pPr>
              <w:keepNext/>
              <w:jc w:val="center"/>
              <w:rPr>
                <w:rFonts w:eastAsia="Times New Roman"/>
                <w:szCs w:val="20"/>
              </w:rPr>
            </w:pPr>
            <w:r w:rsidRPr="00C82CC5">
              <w:rPr>
                <w:szCs w:val="20"/>
              </w:rPr>
              <w:t>19</w:t>
            </w:r>
          </w:p>
        </w:tc>
        <w:tc>
          <w:tcPr>
            <w:tcW w:w="3140" w:type="pct"/>
            <w:noWrap/>
            <w:hideMark/>
          </w:tcPr>
          <w:p w14:paraId="2B212742" w14:textId="3B994A26"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Refrigeration - Floating Head Pressure</w:t>
            </w:r>
          </w:p>
        </w:tc>
        <w:tc>
          <w:tcPr>
            <w:tcW w:w="880" w:type="pct"/>
            <w:noWrap/>
            <w:hideMark/>
          </w:tcPr>
          <w:p w14:paraId="31EBCBE5" w14:textId="29BE57CE"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3,841</w:t>
            </w:r>
          </w:p>
        </w:tc>
        <w:tc>
          <w:tcPr>
            <w:tcW w:w="542" w:type="pct"/>
            <w:noWrap/>
            <w:hideMark/>
          </w:tcPr>
          <w:p w14:paraId="3DF9DD85" w14:textId="2CA9E9A9"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C82CC5">
              <w:rPr>
                <w:szCs w:val="20"/>
              </w:rPr>
              <w:t>1.1%</w:t>
            </w:r>
          </w:p>
        </w:tc>
      </w:tr>
      <w:tr w:rsidR="00071A34" w:rsidRPr="00DC6F30" w14:paraId="7300094E"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54DE216A" w14:textId="78C1FF7D" w:rsidR="00071A34" w:rsidRPr="00C82CC5" w:rsidRDefault="00071A34" w:rsidP="003D455E">
            <w:pPr>
              <w:keepNext/>
              <w:jc w:val="center"/>
              <w:rPr>
                <w:rFonts w:eastAsia="Times New Roman"/>
                <w:szCs w:val="20"/>
              </w:rPr>
            </w:pPr>
            <w:r w:rsidRPr="00C82CC5">
              <w:rPr>
                <w:szCs w:val="20"/>
              </w:rPr>
              <w:t>20</w:t>
            </w:r>
          </w:p>
        </w:tc>
        <w:tc>
          <w:tcPr>
            <w:tcW w:w="3140" w:type="pct"/>
            <w:noWrap/>
            <w:hideMark/>
          </w:tcPr>
          <w:p w14:paraId="68B4BBE4" w14:textId="0EFCEB03"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Refrigeration - High Efficiency Compressor</w:t>
            </w:r>
          </w:p>
        </w:tc>
        <w:tc>
          <w:tcPr>
            <w:tcW w:w="880" w:type="pct"/>
            <w:noWrap/>
            <w:hideMark/>
          </w:tcPr>
          <w:p w14:paraId="7899189B" w14:textId="43713A19" w:rsidR="00071A34" w:rsidRPr="00C82CC5" w:rsidRDefault="00071A34"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3,716</w:t>
            </w:r>
          </w:p>
        </w:tc>
        <w:tc>
          <w:tcPr>
            <w:tcW w:w="542" w:type="pct"/>
            <w:noWrap/>
            <w:vAlign w:val="bottom"/>
            <w:hideMark/>
          </w:tcPr>
          <w:p w14:paraId="2451D90A" w14:textId="39AAE3F5"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C82CC5">
              <w:rPr>
                <w:szCs w:val="20"/>
              </w:rPr>
              <w:t>1.0%</w:t>
            </w:r>
          </w:p>
        </w:tc>
      </w:tr>
      <w:tr w:rsidR="00071A34" w:rsidRPr="00DC6F30" w14:paraId="065CD5D7" w14:textId="77777777" w:rsidTr="003D455E">
        <w:trPr>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6371E9C6" w14:textId="79524895" w:rsidR="00071A34" w:rsidRPr="00DC6F30" w:rsidRDefault="00071A34" w:rsidP="003D455E">
            <w:pPr>
              <w:keepNext/>
              <w:jc w:val="center"/>
              <w:rPr>
                <w:rFonts w:ascii="Calibri" w:eastAsia="Times New Roman" w:hAnsi="Calibri"/>
                <w:b/>
                <w:bCs/>
                <w:szCs w:val="20"/>
              </w:rPr>
            </w:pPr>
          </w:p>
        </w:tc>
        <w:tc>
          <w:tcPr>
            <w:tcW w:w="3140" w:type="pct"/>
            <w:noWrap/>
            <w:hideMark/>
          </w:tcPr>
          <w:p w14:paraId="24223543" w14:textId="1928AFC3" w:rsidR="00071A34" w:rsidRPr="00C82CC5" w:rsidRDefault="00071A34" w:rsidP="003D455E">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Total of Top 20 Measures</w:t>
            </w:r>
          </w:p>
        </w:tc>
        <w:tc>
          <w:tcPr>
            <w:tcW w:w="880" w:type="pct"/>
            <w:noWrap/>
            <w:hideMark/>
          </w:tcPr>
          <w:p w14:paraId="4F620722" w14:textId="0F0146C5" w:rsidR="00071A34" w:rsidRPr="00C82CC5" w:rsidRDefault="00071A34" w:rsidP="003D455E">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280,850</w:t>
            </w:r>
          </w:p>
        </w:tc>
        <w:tc>
          <w:tcPr>
            <w:tcW w:w="542" w:type="pct"/>
            <w:noWrap/>
            <w:hideMark/>
          </w:tcPr>
          <w:p w14:paraId="7EB87B3D" w14:textId="33F2FB5B" w:rsidR="00071A34" w:rsidRPr="00C82CC5" w:rsidRDefault="00071A34"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79.2%</w:t>
            </w:r>
          </w:p>
        </w:tc>
      </w:tr>
      <w:tr w:rsidR="00071A34" w:rsidRPr="00DC6F30" w14:paraId="07E88E05" w14:textId="77777777" w:rsidTr="003D455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439" w:type="pct"/>
            <w:noWrap/>
            <w:hideMark/>
          </w:tcPr>
          <w:p w14:paraId="32844431" w14:textId="64B77A28" w:rsidR="00071A34" w:rsidRPr="00DC6F30" w:rsidRDefault="00071A34" w:rsidP="003D455E">
            <w:pPr>
              <w:keepNext/>
              <w:jc w:val="center"/>
              <w:rPr>
                <w:rFonts w:ascii="Calibri" w:eastAsia="Times New Roman" w:hAnsi="Calibri"/>
                <w:b/>
                <w:bCs/>
                <w:szCs w:val="20"/>
              </w:rPr>
            </w:pPr>
          </w:p>
        </w:tc>
        <w:tc>
          <w:tcPr>
            <w:tcW w:w="3140" w:type="pct"/>
            <w:noWrap/>
            <w:hideMark/>
          </w:tcPr>
          <w:p w14:paraId="1738D04A" w14:textId="6D4021BE" w:rsidR="00071A34" w:rsidRPr="00C82CC5" w:rsidRDefault="00071A34" w:rsidP="003D455E">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Total Cumulative Savings</w:t>
            </w:r>
          </w:p>
        </w:tc>
        <w:tc>
          <w:tcPr>
            <w:tcW w:w="880" w:type="pct"/>
            <w:noWrap/>
            <w:hideMark/>
          </w:tcPr>
          <w:p w14:paraId="799B5B1B" w14:textId="1E210135" w:rsidR="00071A34" w:rsidRPr="00C82CC5" w:rsidRDefault="00AB25A7" w:rsidP="003D455E">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357,589</w:t>
            </w:r>
          </w:p>
        </w:tc>
        <w:tc>
          <w:tcPr>
            <w:tcW w:w="542" w:type="pct"/>
            <w:noWrap/>
            <w:hideMark/>
          </w:tcPr>
          <w:p w14:paraId="58030BCD" w14:textId="2294A777" w:rsidR="00071A34" w:rsidRPr="00C82CC5" w:rsidRDefault="00071A34"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C82CC5">
              <w:rPr>
                <w:rFonts w:asciiTheme="majorHAnsi" w:hAnsiTheme="majorHAnsi"/>
                <w:szCs w:val="20"/>
              </w:rPr>
              <w:t>100.0%</w:t>
            </w:r>
          </w:p>
        </w:tc>
      </w:tr>
    </w:tbl>
    <w:p w14:paraId="76F94C75" w14:textId="77777777" w:rsidR="00E537D5" w:rsidRPr="00CC417F" w:rsidRDefault="00E537D5" w:rsidP="00CC417F">
      <w:pPr>
        <w:rPr>
          <w:lang w:eastAsia="ja-JP"/>
        </w:rPr>
      </w:pPr>
    </w:p>
    <w:p w14:paraId="5F5843DD" w14:textId="1FC6AE1F" w:rsidR="00CC6A72" w:rsidRPr="00CC6A72" w:rsidRDefault="00CC6A72" w:rsidP="009875ED">
      <w:pPr>
        <w:pStyle w:val="Heading2"/>
      </w:pPr>
      <w:bookmarkStart w:id="159" w:name="_Toc175904877"/>
      <w:r>
        <w:t>Industrial Conservation Potential</w:t>
      </w:r>
      <w:bookmarkEnd w:id="159"/>
    </w:p>
    <w:p w14:paraId="0D136CEA" w14:textId="5F00DD45" w:rsidR="00851B9C" w:rsidRDefault="00610EA2" w:rsidP="00851B9C">
      <w:pPr>
        <w:pStyle w:val="BodyText"/>
      </w:pPr>
      <w:r>
        <w:rPr>
          <w:bCs/>
        </w:rPr>
        <w:fldChar w:fldCharType="begin"/>
      </w:r>
      <w:r>
        <w:rPr>
          <w:bCs/>
        </w:rPr>
        <w:instrText xml:space="preserve"> REF _Ref175816800 \h </w:instrText>
      </w:r>
      <w:r>
        <w:rPr>
          <w:bCs/>
        </w:rPr>
      </w:r>
      <w:r>
        <w:rPr>
          <w:bCs/>
        </w:rPr>
        <w:fldChar w:fldCharType="separate"/>
      </w:r>
      <w:r>
        <w:t xml:space="preserve">Table </w:t>
      </w:r>
      <w:r>
        <w:rPr>
          <w:noProof/>
        </w:rPr>
        <w:t>5</w:t>
      </w:r>
      <w:r>
        <w:noBreakHyphen/>
      </w:r>
      <w:r>
        <w:rPr>
          <w:noProof/>
        </w:rPr>
        <w:t>12</w:t>
      </w:r>
      <w:r>
        <w:rPr>
          <w:bCs/>
        </w:rPr>
        <w:fldChar w:fldCharType="end"/>
      </w:r>
      <w:r w:rsidR="00851B9C">
        <w:rPr>
          <w:bCs/>
        </w:rPr>
        <w:t xml:space="preserve"> </w:t>
      </w:r>
      <w:r w:rsidR="00851B9C">
        <w:t xml:space="preserve">and </w:t>
      </w:r>
      <w:r>
        <w:fldChar w:fldCharType="begin"/>
      </w:r>
      <w:r>
        <w:instrText xml:space="preserve"> REF _Ref175816805 \h </w:instrText>
      </w:r>
      <w:r>
        <w:fldChar w:fldCharType="separate"/>
      </w:r>
      <w:r>
        <w:t xml:space="preserve">Table </w:t>
      </w:r>
      <w:r>
        <w:rPr>
          <w:noProof/>
        </w:rPr>
        <w:t>5</w:t>
      </w:r>
      <w:r>
        <w:noBreakHyphen/>
      </w:r>
      <w:r>
        <w:rPr>
          <w:noProof/>
        </w:rPr>
        <w:t>13</w:t>
      </w:r>
      <w:r>
        <w:fldChar w:fldCharType="end"/>
      </w:r>
      <w:r w:rsidR="00851B9C">
        <w:t xml:space="preserve"> present</w:t>
      </w:r>
      <w:r w:rsidR="00851B9C" w:rsidRPr="000108FB">
        <w:t xml:space="preserve"> </w:t>
      </w:r>
      <w:r w:rsidR="00851B9C">
        <w:t xml:space="preserve">state-specific </w:t>
      </w:r>
      <w:r w:rsidR="00851B9C" w:rsidRPr="000108FB">
        <w:t xml:space="preserve">estimates for the </w:t>
      </w:r>
      <w:r w:rsidR="00851B9C">
        <w:t xml:space="preserve">two levels of conservation </w:t>
      </w:r>
      <w:r w:rsidR="00851B9C" w:rsidRPr="008F46CC">
        <w:t xml:space="preserve">potential for the industrial sector. For Washington, Achievable Technical Potential in the first year, 2026, is 5 GWh, or 0.9% of the baseline projection. In 2045, savings reach 87 GWh or 18.1% of the baseline projection. For Idaho, Achievable Technical Potential in the first year is 4 GWh or 0.9% of the baseline projection. In 2045, savings reach 60 GWh or </w:t>
      </w:r>
      <w:r>
        <w:t>19.3</w:t>
      </w:r>
      <w:r w:rsidR="00851B9C" w:rsidRPr="008F46CC">
        <w:t>% of the baseline projection.</w:t>
      </w:r>
    </w:p>
    <w:p w14:paraId="41437203" w14:textId="1BA36E7E" w:rsidR="006E1B8A" w:rsidRPr="006E1B8A" w:rsidRDefault="006E1B8A" w:rsidP="002D2ECA">
      <w:pPr>
        <w:rPr>
          <w:lang w:eastAsia="ja-JP"/>
        </w:rPr>
      </w:pPr>
    </w:p>
    <w:p w14:paraId="29E46C2E" w14:textId="19B9FFEE" w:rsidR="00C82EF5" w:rsidRDefault="00C82EF5" w:rsidP="00C82EF5">
      <w:pPr>
        <w:pStyle w:val="FigureorTableCaption"/>
      </w:pPr>
      <w:bookmarkStart w:id="160" w:name="_Ref175816800"/>
      <w:bookmarkStart w:id="161" w:name="_Toc175912396"/>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12</w:t>
      </w:r>
      <w:r w:rsidR="00EE4707">
        <w:fldChar w:fldCharType="end"/>
      </w:r>
      <w:bookmarkEnd w:id="160"/>
      <w:r w:rsidR="00455098">
        <w:t xml:space="preserve"> </w:t>
      </w:r>
      <w:r w:rsidRPr="00B469DA">
        <w:t>Industrial Conservation Potential, Washington</w:t>
      </w:r>
      <w:bookmarkEnd w:id="161"/>
    </w:p>
    <w:tbl>
      <w:tblPr>
        <w:tblStyle w:val="AEG-DarkBanded"/>
        <w:tblW w:w="9444" w:type="dxa"/>
        <w:jc w:val="center"/>
        <w:tblLook w:val="04A0" w:firstRow="1" w:lastRow="0" w:firstColumn="1" w:lastColumn="0" w:noHBand="0" w:noVBand="1"/>
      </w:tblPr>
      <w:tblGrid>
        <w:gridCol w:w="3312"/>
        <w:gridCol w:w="1022"/>
        <w:gridCol w:w="1022"/>
        <w:gridCol w:w="1022"/>
        <w:gridCol w:w="1022"/>
        <w:gridCol w:w="1022"/>
        <w:gridCol w:w="1022"/>
      </w:tblGrid>
      <w:tr w:rsidR="006E1B8A" w:rsidRPr="006E1B8A" w14:paraId="6420104C" w14:textId="77777777" w:rsidTr="0072059D">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hideMark/>
          </w:tcPr>
          <w:p w14:paraId="286B12EF" w14:textId="5379B7FA" w:rsidR="006E1B8A" w:rsidRPr="00F45E00" w:rsidRDefault="006E1B8A" w:rsidP="009336C2">
            <w:pPr>
              <w:keepNext/>
              <w:jc w:val="left"/>
              <w:rPr>
                <w:rFonts w:asciiTheme="majorHAnsi" w:eastAsia="Times New Roman" w:hAnsiTheme="majorHAnsi"/>
                <w:b w:val="0"/>
                <w:szCs w:val="20"/>
              </w:rPr>
            </w:pPr>
          </w:p>
        </w:tc>
        <w:tc>
          <w:tcPr>
            <w:tcW w:w="1022" w:type="dxa"/>
            <w:noWrap/>
            <w:hideMark/>
          </w:tcPr>
          <w:p w14:paraId="2EC2174B" w14:textId="77777777" w:rsidR="006E1B8A" w:rsidRPr="00F45E00"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45E00">
              <w:rPr>
                <w:rFonts w:asciiTheme="majorHAnsi" w:eastAsia="Times New Roman" w:hAnsiTheme="majorHAnsi"/>
                <w:b w:val="0"/>
                <w:szCs w:val="20"/>
              </w:rPr>
              <w:t>2026</w:t>
            </w:r>
          </w:p>
        </w:tc>
        <w:tc>
          <w:tcPr>
            <w:tcW w:w="1022" w:type="dxa"/>
            <w:noWrap/>
            <w:hideMark/>
          </w:tcPr>
          <w:p w14:paraId="67046220" w14:textId="77777777" w:rsidR="006E1B8A" w:rsidRPr="00F45E00"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45E00">
              <w:rPr>
                <w:rFonts w:asciiTheme="majorHAnsi" w:eastAsia="Times New Roman" w:hAnsiTheme="majorHAnsi"/>
                <w:b w:val="0"/>
                <w:szCs w:val="20"/>
              </w:rPr>
              <w:t>2027</w:t>
            </w:r>
          </w:p>
        </w:tc>
        <w:tc>
          <w:tcPr>
            <w:tcW w:w="1022" w:type="dxa"/>
            <w:hideMark/>
          </w:tcPr>
          <w:p w14:paraId="2E354336" w14:textId="77777777" w:rsidR="006E1B8A" w:rsidRPr="00F45E00"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45E00">
              <w:rPr>
                <w:rFonts w:asciiTheme="majorHAnsi" w:eastAsia="Times New Roman" w:hAnsiTheme="majorHAnsi"/>
                <w:b w:val="0"/>
                <w:szCs w:val="20"/>
              </w:rPr>
              <w:t>2028</w:t>
            </w:r>
          </w:p>
        </w:tc>
        <w:tc>
          <w:tcPr>
            <w:tcW w:w="1022" w:type="dxa"/>
            <w:noWrap/>
            <w:hideMark/>
          </w:tcPr>
          <w:p w14:paraId="4C604370" w14:textId="77777777" w:rsidR="006E1B8A" w:rsidRPr="00F45E00"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45E00">
              <w:rPr>
                <w:rFonts w:asciiTheme="majorHAnsi" w:eastAsia="Times New Roman" w:hAnsiTheme="majorHAnsi"/>
                <w:b w:val="0"/>
                <w:szCs w:val="20"/>
              </w:rPr>
              <w:t>2030</w:t>
            </w:r>
          </w:p>
        </w:tc>
        <w:tc>
          <w:tcPr>
            <w:tcW w:w="1022" w:type="dxa"/>
            <w:noWrap/>
            <w:hideMark/>
          </w:tcPr>
          <w:p w14:paraId="2407EAD8" w14:textId="77777777" w:rsidR="006E1B8A" w:rsidRPr="00F45E00"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45E00">
              <w:rPr>
                <w:rFonts w:asciiTheme="majorHAnsi" w:eastAsia="Times New Roman" w:hAnsiTheme="majorHAnsi"/>
                <w:b w:val="0"/>
                <w:szCs w:val="20"/>
              </w:rPr>
              <w:t>2035</w:t>
            </w:r>
          </w:p>
        </w:tc>
        <w:tc>
          <w:tcPr>
            <w:tcW w:w="1022" w:type="dxa"/>
            <w:noWrap/>
            <w:hideMark/>
          </w:tcPr>
          <w:p w14:paraId="5EC91B10" w14:textId="77777777" w:rsidR="006E1B8A" w:rsidRPr="00F45E00"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F45E00">
              <w:rPr>
                <w:rFonts w:asciiTheme="majorHAnsi" w:eastAsia="Times New Roman" w:hAnsiTheme="majorHAnsi"/>
                <w:b w:val="0"/>
                <w:szCs w:val="20"/>
              </w:rPr>
              <w:t>2045</w:t>
            </w:r>
          </w:p>
        </w:tc>
      </w:tr>
      <w:tr w:rsidR="006E1B8A" w:rsidRPr="006E1B8A" w14:paraId="5B9BA301"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3D1E2B7F" w14:textId="77777777" w:rsidR="006E1B8A" w:rsidRPr="00F45E00" w:rsidRDefault="006E1B8A" w:rsidP="009336C2">
            <w:pPr>
              <w:keepNext/>
              <w:jc w:val="left"/>
              <w:rPr>
                <w:rFonts w:asciiTheme="majorHAnsi" w:eastAsia="Times New Roman" w:hAnsiTheme="majorHAnsi"/>
                <w:szCs w:val="20"/>
              </w:rPr>
            </w:pPr>
            <w:r w:rsidRPr="00F45E00">
              <w:rPr>
                <w:rFonts w:asciiTheme="majorHAnsi" w:eastAsia="Times New Roman" w:hAnsiTheme="majorHAnsi"/>
                <w:szCs w:val="20"/>
              </w:rPr>
              <w:t>Baseline Forecast (GWh)</w:t>
            </w:r>
          </w:p>
        </w:tc>
        <w:tc>
          <w:tcPr>
            <w:tcW w:w="1022" w:type="dxa"/>
            <w:noWrap/>
            <w:hideMark/>
          </w:tcPr>
          <w:p w14:paraId="49777297"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558</w:t>
            </w:r>
          </w:p>
        </w:tc>
        <w:tc>
          <w:tcPr>
            <w:tcW w:w="1022" w:type="dxa"/>
            <w:noWrap/>
            <w:hideMark/>
          </w:tcPr>
          <w:p w14:paraId="0673E154"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551</w:t>
            </w:r>
          </w:p>
        </w:tc>
        <w:tc>
          <w:tcPr>
            <w:tcW w:w="1022" w:type="dxa"/>
            <w:noWrap/>
            <w:hideMark/>
          </w:tcPr>
          <w:p w14:paraId="2697F828"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546</w:t>
            </w:r>
          </w:p>
        </w:tc>
        <w:tc>
          <w:tcPr>
            <w:tcW w:w="1022" w:type="dxa"/>
            <w:noWrap/>
            <w:hideMark/>
          </w:tcPr>
          <w:p w14:paraId="2F17E98E"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536</w:t>
            </w:r>
          </w:p>
        </w:tc>
        <w:tc>
          <w:tcPr>
            <w:tcW w:w="1022" w:type="dxa"/>
            <w:noWrap/>
            <w:hideMark/>
          </w:tcPr>
          <w:p w14:paraId="4367A9F4"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514</w:t>
            </w:r>
          </w:p>
        </w:tc>
        <w:tc>
          <w:tcPr>
            <w:tcW w:w="1022" w:type="dxa"/>
            <w:noWrap/>
            <w:hideMark/>
          </w:tcPr>
          <w:p w14:paraId="7AEFC669"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478</w:t>
            </w:r>
          </w:p>
        </w:tc>
      </w:tr>
      <w:tr w:rsidR="006E1B8A" w:rsidRPr="006E1B8A" w14:paraId="60B55389"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CC936C0" w14:textId="77777777" w:rsidR="006E1B8A" w:rsidRPr="00F45E00" w:rsidRDefault="006E1B8A" w:rsidP="009336C2">
            <w:pPr>
              <w:keepNext/>
              <w:jc w:val="left"/>
              <w:rPr>
                <w:rFonts w:asciiTheme="majorHAnsi" w:eastAsia="Times New Roman" w:hAnsiTheme="majorHAnsi"/>
                <w:szCs w:val="20"/>
              </w:rPr>
            </w:pPr>
            <w:r w:rsidRPr="00F45E00">
              <w:rPr>
                <w:rFonts w:asciiTheme="majorHAnsi" w:eastAsia="Times New Roman" w:hAnsiTheme="majorHAnsi"/>
                <w:szCs w:val="20"/>
              </w:rPr>
              <w:t>Cumulative Savings (GWh)</w:t>
            </w:r>
          </w:p>
        </w:tc>
        <w:tc>
          <w:tcPr>
            <w:tcW w:w="1022" w:type="dxa"/>
            <w:noWrap/>
            <w:hideMark/>
          </w:tcPr>
          <w:p w14:paraId="4E465856" w14:textId="08C1BB0E"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7BB7CD5B" w14:textId="0B31AA8E"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554E0E66" w14:textId="0B68D258"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2E8B4017" w14:textId="4F5A3BC1"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2F266E73" w14:textId="53B34762"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7067FF2D" w14:textId="1FC66680"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r>
      <w:tr w:rsidR="006E1B8A" w:rsidRPr="006E1B8A" w14:paraId="7B9539E7"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2752A815" w14:textId="77777777" w:rsidR="006E1B8A" w:rsidRPr="00F45E00" w:rsidRDefault="006E1B8A" w:rsidP="0072059D">
            <w:pPr>
              <w:keepNext/>
              <w:ind w:firstLineChars="100" w:firstLine="200"/>
              <w:jc w:val="left"/>
              <w:rPr>
                <w:rFonts w:asciiTheme="minorHAnsi" w:eastAsia="Times New Roman" w:hAnsiTheme="minorHAnsi"/>
                <w:szCs w:val="20"/>
              </w:rPr>
            </w:pPr>
            <w:r w:rsidRPr="00F45E00">
              <w:rPr>
                <w:rFonts w:asciiTheme="minorHAnsi" w:eastAsia="Times New Roman" w:hAnsiTheme="minorHAnsi"/>
                <w:szCs w:val="20"/>
              </w:rPr>
              <w:t>Technical Achievable Potential</w:t>
            </w:r>
          </w:p>
        </w:tc>
        <w:tc>
          <w:tcPr>
            <w:tcW w:w="1022" w:type="dxa"/>
            <w:noWrap/>
            <w:hideMark/>
          </w:tcPr>
          <w:p w14:paraId="2906E407"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w:t>
            </w:r>
          </w:p>
        </w:tc>
        <w:tc>
          <w:tcPr>
            <w:tcW w:w="1022" w:type="dxa"/>
            <w:noWrap/>
            <w:hideMark/>
          </w:tcPr>
          <w:p w14:paraId="0866B571"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10</w:t>
            </w:r>
          </w:p>
        </w:tc>
        <w:tc>
          <w:tcPr>
            <w:tcW w:w="1022" w:type="dxa"/>
            <w:noWrap/>
            <w:hideMark/>
          </w:tcPr>
          <w:p w14:paraId="674B5BCF"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16</w:t>
            </w:r>
          </w:p>
        </w:tc>
        <w:tc>
          <w:tcPr>
            <w:tcW w:w="1022" w:type="dxa"/>
            <w:noWrap/>
            <w:hideMark/>
          </w:tcPr>
          <w:p w14:paraId="510DF109"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29</w:t>
            </w:r>
          </w:p>
        </w:tc>
        <w:tc>
          <w:tcPr>
            <w:tcW w:w="1022" w:type="dxa"/>
            <w:noWrap/>
            <w:hideMark/>
          </w:tcPr>
          <w:p w14:paraId="1EE4C222"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64</w:t>
            </w:r>
          </w:p>
        </w:tc>
        <w:tc>
          <w:tcPr>
            <w:tcW w:w="1022" w:type="dxa"/>
            <w:noWrap/>
            <w:hideMark/>
          </w:tcPr>
          <w:p w14:paraId="48F8605A"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87</w:t>
            </w:r>
          </w:p>
        </w:tc>
      </w:tr>
      <w:tr w:rsidR="006E1B8A" w:rsidRPr="006E1B8A" w14:paraId="5CF2AD83"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26DB51A0" w14:textId="77777777" w:rsidR="006E1B8A" w:rsidRPr="00F45E00" w:rsidRDefault="006E1B8A" w:rsidP="0072059D">
            <w:pPr>
              <w:keepNext/>
              <w:ind w:firstLineChars="100" w:firstLine="200"/>
              <w:jc w:val="left"/>
              <w:rPr>
                <w:rFonts w:asciiTheme="minorHAnsi" w:eastAsia="Times New Roman" w:hAnsiTheme="minorHAnsi"/>
                <w:szCs w:val="20"/>
              </w:rPr>
            </w:pPr>
            <w:r w:rsidRPr="00F45E00">
              <w:rPr>
                <w:rFonts w:asciiTheme="minorHAnsi" w:eastAsia="Times New Roman" w:hAnsiTheme="minorHAnsi"/>
                <w:szCs w:val="20"/>
              </w:rPr>
              <w:t>Technical Potential</w:t>
            </w:r>
          </w:p>
        </w:tc>
        <w:tc>
          <w:tcPr>
            <w:tcW w:w="1022" w:type="dxa"/>
            <w:noWrap/>
            <w:hideMark/>
          </w:tcPr>
          <w:p w14:paraId="46D72098"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7</w:t>
            </w:r>
          </w:p>
        </w:tc>
        <w:tc>
          <w:tcPr>
            <w:tcW w:w="1022" w:type="dxa"/>
            <w:noWrap/>
            <w:hideMark/>
          </w:tcPr>
          <w:p w14:paraId="460A4D45"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14</w:t>
            </w:r>
          </w:p>
        </w:tc>
        <w:tc>
          <w:tcPr>
            <w:tcW w:w="1022" w:type="dxa"/>
            <w:noWrap/>
            <w:hideMark/>
          </w:tcPr>
          <w:p w14:paraId="1443390B"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21</w:t>
            </w:r>
          </w:p>
        </w:tc>
        <w:tc>
          <w:tcPr>
            <w:tcW w:w="1022" w:type="dxa"/>
            <w:noWrap/>
            <w:hideMark/>
          </w:tcPr>
          <w:p w14:paraId="71F020D4"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37</w:t>
            </w:r>
          </w:p>
        </w:tc>
        <w:tc>
          <w:tcPr>
            <w:tcW w:w="1022" w:type="dxa"/>
            <w:noWrap/>
            <w:hideMark/>
          </w:tcPr>
          <w:p w14:paraId="242849F2"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79</w:t>
            </w:r>
          </w:p>
        </w:tc>
        <w:tc>
          <w:tcPr>
            <w:tcW w:w="1022" w:type="dxa"/>
            <w:noWrap/>
            <w:hideMark/>
          </w:tcPr>
          <w:p w14:paraId="38A9962A"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106</w:t>
            </w:r>
          </w:p>
        </w:tc>
      </w:tr>
      <w:tr w:rsidR="006E1B8A" w:rsidRPr="006E1B8A" w14:paraId="1B7584B7"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64F755C7" w14:textId="48B6C72C" w:rsidR="006E1B8A" w:rsidRPr="00F45E00" w:rsidRDefault="006E1B8A" w:rsidP="009336C2">
            <w:pPr>
              <w:keepNext/>
              <w:jc w:val="left"/>
              <w:rPr>
                <w:rFonts w:asciiTheme="majorHAnsi" w:eastAsia="Times New Roman" w:hAnsiTheme="majorHAnsi"/>
                <w:szCs w:val="20"/>
              </w:rPr>
            </w:pPr>
            <w:r w:rsidRPr="00F45E00">
              <w:rPr>
                <w:rFonts w:asciiTheme="majorHAnsi" w:eastAsia="Times New Roman" w:hAnsiTheme="majorHAnsi"/>
                <w:szCs w:val="20"/>
              </w:rPr>
              <w:t xml:space="preserve">Cumulative Savings </w:t>
            </w:r>
            <w:r w:rsidR="0072059D" w:rsidRPr="00F45E00">
              <w:rPr>
                <w:rFonts w:asciiTheme="majorHAnsi" w:eastAsia="Times New Roman" w:hAnsiTheme="majorHAnsi"/>
                <w:szCs w:val="20"/>
              </w:rPr>
              <w:t>(</w:t>
            </w:r>
            <w:r w:rsidRPr="00F45E00">
              <w:rPr>
                <w:rFonts w:asciiTheme="majorHAnsi" w:eastAsia="Times New Roman" w:hAnsiTheme="majorHAnsi"/>
                <w:szCs w:val="20"/>
              </w:rPr>
              <w:t>% of Baseline</w:t>
            </w:r>
            <w:r w:rsidR="0072059D" w:rsidRPr="00F45E00">
              <w:rPr>
                <w:rFonts w:asciiTheme="majorHAnsi" w:eastAsia="Times New Roman" w:hAnsiTheme="majorHAnsi"/>
                <w:szCs w:val="20"/>
              </w:rPr>
              <w:t>)</w:t>
            </w:r>
          </w:p>
        </w:tc>
        <w:tc>
          <w:tcPr>
            <w:tcW w:w="1022" w:type="dxa"/>
            <w:noWrap/>
            <w:hideMark/>
          </w:tcPr>
          <w:p w14:paraId="7FA28F4D" w14:textId="1957058F"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1022" w:type="dxa"/>
            <w:noWrap/>
            <w:hideMark/>
          </w:tcPr>
          <w:p w14:paraId="1A607F47" w14:textId="3A7CF63F"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1022" w:type="dxa"/>
            <w:noWrap/>
            <w:hideMark/>
          </w:tcPr>
          <w:p w14:paraId="02FF757A" w14:textId="66FFAAAC"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1022" w:type="dxa"/>
            <w:noWrap/>
            <w:hideMark/>
          </w:tcPr>
          <w:p w14:paraId="1D4A8304" w14:textId="794375E0"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1022" w:type="dxa"/>
            <w:noWrap/>
            <w:hideMark/>
          </w:tcPr>
          <w:p w14:paraId="4E91050D" w14:textId="2C0E1A12"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c>
          <w:tcPr>
            <w:tcW w:w="1022" w:type="dxa"/>
            <w:noWrap/>
            <w:hideMark/>
          </w:tcPr>
          <w:p w14:paraId="2C7B90FA" w14:textId="340AFC95"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p>
        </w:tc>
      </w:tr>
      <w:tr w:rsidR="006E1B8A" w:rsidRPr="006E1B8A" w14:paraId="333FFE03"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0671154F" w14:textId="77777777" w:rsidR="006E1B8A" w:rsidRPr="00F45E00" w:rsidRDefault="006E1B8A" w:rsidP="009336C2">
            <w:pPr>
              <w:keepNext/>
              <w:ind w:firstLineChars="100" w:firstLine="200"/>
              <w:jc w:val="left"/>
              <w:rPr>
                <w:rFonts w:asciiTheme="minorHAnsi" w:eastAsia="Times New Roman" w:hAnsiTheme="minorHAnsi"/>
                <w:szCs w:val="20"/>
              </w:rPr>
            </w:pPr>
            <w:r w:rsidRPr="00F45E00">
              <w:rPr>
                <w:rFonts w:asciiTheme="minorHAnsi" w:eastAsia="Times New Roman" w:hAnsiTheme="minorHAnsi"/>
                <w:szCs w:val="20"/>
              </w:rPr>
              <w:t>Technical Achievable Potential</w:t>
            </w:r>
          </w:p>
        </w:tc>
        <w:tc>
          <w:tcPr>
            <w:tcW w:w="1022" w:type="dxa"/>
            <w:noWrap/>
            <w:hideMark/>
          </w:tcPr>
          <w:p w14:paraId="3B4B2D59"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0.9%</w:t>
            </w:r>
          </w:p>
        </w:tc>
        <w:tc>
          <w:tcPr>
            <w:tcW w:w="1022" w:type="dxa"/>
            <w:noWrap/>
            <w:hideMark/>
          </w:tcPr>
          <w:p w14:paraId="4E178B45"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1.9%</w:t>
            </w:r>
          </w:p>
        </w:tc>
        <w:tc>
          <w:tcPr>
            <w:tcW w:w="1022" w:type="dxa"/>
            <w:noWrap/>
            <w:hideMark/>
          </w:tcPr>
          <w:p w14:paraId="7846AB08"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3.0%</w:t>
            </w:r>
          </w:p>
        </w:tc>
        <w:tc>
          <w:tcPr>
            <w:tcW w:w="1022" w:type="dxa"/>
            <w:noWrap/>
            <w:hideMark/>
          </w:tcPr>
          <w:p w14:paraId="4A1C515C"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5.5%</w:t>
            </w:r>
          </w:p>
        </w:tc>
        <w:tc>
          <w:tcPr>
            <w:tcW w:w="1022" w:type="dxa"/>
            <w:noWrap/>
            <w:hideMark/>
          </w:tcPr>
          <w:p w14:paraId="3B6A0F36"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12.4%</w:t>
            </w:r>
          </w:p>
        </w:tc>
        <w:tc>
          <w:tcPr>
            <w:tcW w:w="1022" w:type="dxa"/>
            <w:noWrap/>
            <w:hideMark/>
          </w:tcPr>
          <w:p w14:paraId="6ED66DD2"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18.1%</w:t>
            </w:r>
          </w:p>
        </w:tc>
      </w:tr>
      <w:tr w:rsidR="006E1B8A" w:rsidRPr="006E1B8A" w14:paraId="1B9C5E28"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39008225" w14:textId="77777777" w:rsidR="006E1B8A" w:rsidRPr="00F45E00" w:rsidRDefault="006E1B8A" w:rsidP="009336C2">
            <w:pPr>
              <w:keepNext/>
              <w:ind w:firstLineChars="100" w:firstLine="200"/>
              <w:jc w:val="left"/>
              <w:rPr>
                <w:rFonts w:asciiTheme="minorHAnsi" w:eastAsia="Times New Roman" w:hAnsiTheme="minorHAnsi"/>
                <w:szCs w:val="20"/>
              </w:rPr>
            </w:pPr>
            <w:r w:rsidRPr="00F45E00">
              <w:rPr>
                <w:rFonts w:asciiTheme="minorHAnsi" w:eastAsia="Times New Roman" w:hAnsiTheme="minorHAnsi"/>
                <w:szCs w:val="20"/>
              </w:rPr>
              <w:t>Technical Potential</w:t>
            </w:r>
          </w:p>
        </w:tc>
        <w:tc>
          <w:tcPr>
            <w:tcW w:w="1022" w:type="dxa"/>
            <w:noWrap/>
            <w:hideMark/>
          </w:tcPr>
          <w:p w14:paraId="638DA31A"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1.2%</w:t>
            </w:r>
          </w:p>
        </w:tc>
        <w:tc>
          <w:tcPr>
            <w:tcW w:w="1022" w:type="dxa"/>
            <w:noWrap/>
            <w:hideMark/>
          </w:tcPr>
          <w:p w14:paraId="4BB6F83B"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2.5%</w:t>
            </w:r>
          </w:p>
        </w:tc>
        <w:tc>
          <w:tcPr>
            <w:tcW w:w="1022" w:type="dxa"/>
            <w:noWrap/>
            <w:hideMark/>
          </w:tcPr>
          <w:p w14:paraId="455DDCD4"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3.9%</w:t>
            </w:r>
          </w:p>
        </w:tc>
        <w:tc>
          <w:tcPr>
            <w:tcW w:w="1022" w:type="dxa"/>
            <w:noWrap/>
            <w:hideMark/>
          </w:tcPr>
          <w:p w14:paraId="3CED9259"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7.0%</w:t>
            </w:r>
          </w:p>
        </w:tc>
        <w:tc>
          <w:tcPr>
            <w:tcW w:w="1022" w:type="dxa"/>
            <w:noWrap/>
            <w:hideMark/>
          </w:tcPr>
          <w:p w14:paraId="0114384D"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15.3%</w:t>
            </w:r>
          </w:p>
        </w:tc>
        <w:tc>
          <w:tcPr>
            <w:tcW w:w="1022" w:type="dxa"/>
            <w:noWrap/>
            <w:hideMark/>
          </w:tcPr>
          <w:p w14:paraId="7FC09EE3"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22.2%</w:t>
            </w:r>
          </w:p>
        </w:tc>
      </w:tr>
      <w:tr w:rsidR="006E1B8A" w:rsidRPr="006E1B8A" w14:paraId="35E1CAE9"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58D4F4EE" w14:textId="77777777" w:rsidR="006E1B8A" w:rsidRPr="00F45E00" w:rsidRDefault="006E1B8A" w:rsidP="009336C2">
            <w:pPr>
              <w:keepNext/>
              <w:jc w:val="left"/>
              <w:rPr>
                <w:rFonts w:asciiTheme="majorHAnsi" w:eastAsia="Times New Roman" w:hAnsiTheme="majorHAnsi"/>
                <w:szCs w:val="20"/>
              </w:rPr>
            </w:pPr>
            <w:r w:rsidRPr="00F45E00">
              <w:rPr>
                <w:rFonts w:asciiTheme="majorHAnsi" w:eastAsia="Times New Roman" w:hAnsiTheme="majorHAnsi"/>
                <w:szCs w:val="20"/>
              </w:rPr>
              <w:t>Cumulative Savings (aMW)</w:t>
            </w:r>
          </w:p>
        </w:tc>
        <w:tc>
          <w:tcPr>
            <w:tcW w:w="1022" w:type="dxa"/>
            <w:noWrap/>
            <w:hideMark/>
          </w:tcPr>
          <w:p w14:paraId="7CC5247A" w14:textId="2488A404"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32154A3E" w14:textId="2908F6A9"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75CDF1FB" w14:textId="57EB76A1"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78C912A1" w14:textId="7F32D208"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54DCB2C8" w14:textId="5BB06B0D"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c>
          <w:tcPr>
            <w:tcW w:w="1022" w:type="dxa"/>
            <w:noWrap/>
            <w:hideMark/>
          </w:tcPr>
          <w:p w14:paraId="31C38C15" w14:textId="1A07AC2A"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p>
        </w:tc>
      </w:tr>
      <w:tr w:rsidR="006E1B8A" w:rsidRPr="006E1B8A" w14:paraId="6D39A601"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323218D9" w14:textId="77777777" w:rsidR="006E1B8A" w:rsidRPr="00F45E00" w:rsidRDefault="006E1B8A" w:rsidP="009336C2">
            <w:pPr>
              <w:keepNext/>
              <w:ind w:firstLineChars="100" w:firstLine="200"/>
              <w:jc w:val="left"/>
              <w:rPr>
                <w:rFonts w:asciiTheme="minorHAnsi" w:eastAsia="Times New Roman" w:hAnsiTheme="minorHAnsi"/>
                <w:szCs w:val="20"/>
              </w:rPr>
            </w:pPr>
            <w:r w:rsidRPr="00F45E00">
              <w:rPr>
                <w:rFonts w:asciiTheme="minorHAnsi" w:eastAsia="Times New Roman" w:hAnsiTheme="minorHAnsi"/>
                <w:szCs w:val="20"/>
              </w:rPr>
              <w:t>Technical Achievable Potential</w:t>
            </w:r>
          </w:p>
        </w:tc>
        <w:tc>
          <w:tcPr>
            <w:tcW w:w="1022" w:type="dxa"/>
            <w:noWrap/>
            <w:hideMark/>
          </w:tcPr>
          <w:p w14:paraId="46F00C42"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0.6</w:t>
            </w:r>
          </w:p>
        </w:tc>
        <w:tc>
          <w:tcPr>
            <w:tcW w:w="1022" w:type="dxa"/>
            <w:noWrap/>
            <w:hideMark/>
          </w:tcPr>
          <w:p w14:paraId="02130823"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1.2</w:t>
            </w:r>
          </w:p>
        </w:tc>
        <w:tc>
          <w:tcPr>
            <w:tcW w:w="1022" w:type="dxa"/>
            <w:noWrap/>
            <w:hideMark/>
          </w:tcPr>
          <w:p w14:paraId="2F2BD71F"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1.8</w:t>
            </w:r>
          </w:p>
        </w:tc>
        <w:tc>
          <w:tcPr>
            <w:tcW w:w="1022" w:type="dxa"/>
            <w:noWrap/>
            <w:hideMark/>
          </w:tcPr>
          <w:p w14:paraId="3FE880C7"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3.3</w:t>
            </w:r>
          </w:p>
        </w:tc>
        <w:tc>
          <w:tcPr>
            <w:tcW w:w="1022" w:type="dxa"/>
            <w:noWrap/>
            <w:hideMark/>
          </w:tcPr>
          <w:p w14:paraId="55A12BD5"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7.3</w:t>
            </w:r>
          </w:p>
        </w:tc>
        <w:tc>
          <w:tcPr>
            <w:tcW w:w="1022" w:type="dxa"/>
            <w:noWrap/>
            <w:hideMark/>
          </w:tcPr>
          <w:p w14:paraId="231B668B" w14:textId="77777777" w:rsidR="006E1B8A" w:rsidRPr="00F45E00"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9.9</w:t>
            </w:r>
          </w:p>
        </w:tc>
      </w:tr>
      <w:tr w:rsidR="006E1B8A" w:rsidRPr="006E1B8A" w14:paraId="615196F5"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57A26774" w14:textId="77777777" w:rsidR="006E1B8A" w:rsidRPr="00F45E00" w:rsidRDefault="006E1B8A" w:rsidP="009336C2">
            <w:pPr>
              <w:keepNext/>
              <w:ind w:firstLineChars="100" w:firstLine="200"/>
              <w:jc w:val="left"/>
              <w:rPr>
                <w:rFonts w:asciiTheme="minorHAnsi" w:eastAsia="Times New Roman" w:hAnsiTheme="minorHAnsi"/>
                <w:szCs w:val="20"/>
              </w:rPr>
            </w:pPr>
            <w:r w:rsidRPr="00F45E00">
              <w:rPr>
                <w:rFonts w:asciiTheme="minorHAnsi" w:eastAsia="Times New Roman" w:hAnsiTheme="minorHAnsi"/>
                <w:szCs w:val="20"/>
              </w:rPr>
              <w:t>Technical Potential</w:t>
            </w:r>
          </w:p>
        </w:tc>
        <w:tc>
          <w:tcPr>
            <w:tcW w:w="1022" w:type="dxa"/>
            <w:noWrap/>
            <w:hideMark/>
          </w:tcPr>
          <w:p w14:paraId="0C67A6FC"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0.8</w:t>
            </w:r>
          </w:p>
        </w:tc>
        <w:tc>
          <w:tcPr>
            <w:tcW w:w="1022" w:type="dxa"/>
            <w:noWrap/>
            <w:hideMark/>
          </w:tcPr>
          <w:p w14:paraId="7F7DBCDA"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1.5</w:t>
            </w:r>
          </w:p>
        </w:tc>
        <w:tc>
          <w:tcPr>
            <w:tcW w:w="1022" w:type="dxa"/>
            <w:noWrap/>
            <w:hideMark/>
          </w:tcPr>
          <w:p w14:paraId="15C2F6F3"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2.4</w:t>
            </w:r>
          </w:p>
        </w:tc>
        <w:tc>
          <w:tcPr>
            <w:tcW w:w="1022" w:type="dxa"/>
            <w:noWrap/>
            <w:hideMark/>
          </w:tcPr>
          <w:p w14:paraId="73889693"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4.3</w:t>
            </w:r>
          </w:p>
        </w:tc>
        <w:tc>
          <w:tcPr>
            <w:tcW w:w="1022" w:type="dxa"/>
            <w:noWrap/>
            <w:hideMark/>
          </w:tcPr>
          <w:p w14:paraId="5A057E7C"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9.0</w:t>
            </w:r>
          </w:p>
        </w:tc>
        <w:tc>
          <w:tcPr>
            <w:tcW w:w="1022" w:type="dxa"/>
            <w:noWrap/>
            <w:hideMark/>
          </w:tcPr>
          <w:p w14:paraId="1FD24945" w14:textId="77777777" w:rsidR="006E1B8A" w:rsidRPr="00F45E00"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F45E00">
              <w:rPr>
                <w:rFonts w:asciiTheme="minorHAnsi" w:eastAsia="Times New Roman" w:hAnsiTheme="minorHAnsi"/>
                <w:szCs w:val="20"/>
              </w:rPr>
              <w:t>12.1</w:t>
            </w:r>
          </w:p>
        </w:tc>
      </w:tr>
    </w:tbl>
    <w:p w14:paraId="7727721C" w14:textId="43769755" w:rsidR="006E1B8A" w:rsidRPr="006E1B8A" w:rsidRDefault="006E1B8A" w:rsidP="002D2ECA">
      <w:pPr>
        <w:rPr>
          <w:lang w:eastAsia="ja-JP"/>
        </w:rPr>
      </w:pPr>
    </w:p>
    <w:p w14:paraId="1AEC09B3" w14:textId="70B8B55F" w:rsidR="00C82EF5" w:rsidRDefault="00C82EF5" w:rsidP="00C82EF5">
      <w:pPr>
        <w:pStyle w:val="FigureorTableCaption"/>
      </w:pPr>
      <w:bookmarkStart w:id="162" w:name="_Ref175816805"/>
      <w:bookmarkStart w:id="163" w:name="_Toc175912397"/>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13</w:t>
      </w:r>
      <w:r w:rsidR="00EE4707">
        <w:fldChar w:fldCharType="end"/>
      </w:r>
      <w:bookmarkEnd w:id="162"/>
      <w:r w:rsidR="00455098">
        <w:t xml:space="preserve"> </w:t>
      </w:r>
      <w:r w:rsidRPr="00DF10CF">
        <w:t>Industrial Conservation Potential, Idaho</w:t>
      </w:r>
      <w:bookmarkEnd w:id="163"/>
    </w:p>
    <w:tbl>
      <w:tblPr>
        <w:tblStyle w:val="AEGBlue2"/>
        <w:tblW w:w="9444" w:type="dxa"/>
        <w:jc w:val="center"/>
        <w:tblLook w:val="04A0" w:firstRow="1" w:lastRow="0" w:firstColumn="1" w:lastColumn="0" w:noHBand="0" w:noVBand="1"/>
      </w:tblPr>
      <w:tblGrid>
        <w:gridCol w:w="3312"/>
        <w:gridCol w:w="1022"/>
        <w:gridCol w:w="1022"/>
        <w:gridCol w:w="1022"/>
        <w:gridCol w:w="1022"/>
        <w:gridCol w:w="1022"/>
        <w:gridCol w:w="1022"/>
      </w:tblGrid>
      <w:tr w:rsidR="006E1B8A" w:rsidRPr="006E1B8A" w14:paraId="79A64916" w14:textId="77777777" w:rsidTr="0072059D">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hideMark/>
          </w:tcPr>
          <w:p w14:paraId="54043CB1" w14:textId="54F84D09" w:rsidR="006E1B8A" w:rsidRPr="00AF479B" w:rsidRDefault="006E1B8A" w:rsidP="009336C2">
            <w:pPr>
              <w:keepNext/>
              <w:jc w:val="left"/>
              <w:rPr>
                <w:rFonts w:asciiTheme="majorHAnsi" w:eastAsia="Times New Roman" w:hAnsiTheme="majorHAnsi"/>
                <w:szCs w:val="20"/>
              </w:rPr>
            </w:pPr>
          </w:p>
        </w:tc>
        <w:tc>
          <w:tcPr>
            <w:tcW w:w="1022" w:type="dxa"/>
            <w:noWrap/>
            <w:hideMark/>
          </w:tcPr>
          <w:p w14:paraId="41992506" w14:textId="77777777" w:rsidR="006E1B8A" w:rsidRPr="00AF479B"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F479B">
              <w:rPr>
                <w:rFonts w:asciiTheme="majorHAnsi" w:eastAsia="Times New Roman" w:hAnsiTheme="majorHAnsi"/>
                <w:szCs w:val="20"/>
              </w:rPr>
              <w:t>2026</w:t>
            </w:r>
          </w:p>
        </w:tc>
        <w:tc>
          <w:tcPr>
            <w:tcW w:w="1022" w:type="dxa"/>
            <w:noWrap/>
            <w:hideMark/>
          </w:tcPr>
          <w:p w14:paraId="2B2E1F0A" w14:textId="77777777" w:rsidR="006E1B8A" w:rsidRPr="00AF479B"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F479B">
              <w:rPr>
                <w:rFonts w:asciiTheme="majorHAnsi" w:eastAsia="Times New Roman" w:hAnsiTheme="majorHAnsi"/>
                <w:szCs w:val="20"/>
              </w:rPr>
              <w:t>2027</w:t>
            </w:r>
          </w:p>
        </w:tc>
        <w:tc>
          <w:tcPr>
            <w:tcW w:w="1022" w:type="dxa"/>
            <w:hideMark/>
          </w:tcPr>
          <w:p w14:paraId="23697D87" w14:textId="77777777" w:rsidR="006E1B8A" w:rsidRPr="00AF479B"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F479B">
              <w:rPr>
                <w:rFonts w:asciiTheme="majorHAnsi" w:eastAsia="Times New Roman" w:hAnsiTheme="majorHAnsi"/>
                <w:szCs w:val="20"/>
              </w:rPr>
              <w:t>2028</w:t>
            </w:r>
          </w:p>
        </w:tc>
        <w:tc>
          <w:tcPr>
            <w:tcW w:w="1022" w:type="dxa"/>
            <w:noWrap/>
            <w:hideMark/>
          </w:tcPr>
          <w:p w14:paraId="2101750B" w14:textId="77777777" w:rsidR="006E1B8A" w:rsidRPr="00AF479B"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F479B">
              <w:rPr>
                <w:rFonts w:asciiTheme="majorHAnsi" w:eastAsia="Times New Roman" w:hAnsiTheme="majorHAnsi"/>
                <w:szCs w:val="20"/>
              </w:rPr>
              <w:t>2030</w:t>
            </w:r>
          </w:p>
        </w:tc>
        <w:tc>
          <w:tcPr>
            <w:tcW w:w="1022" w:type="dxa"/>
            <w:noWrap/>
            <w:hideMark/>
          </w:tcPr>
          <w:p w14:paraId="4FF3E809" w14:textId="77777777" w:rsidR="006E1B8A" w:rsidRPr="00AF479B"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F479B">
              <w:rPr>
                <w:rFonts w:asciiTheme="majorHAnsi" w:eastAsia="Times New Roman" w:hAnsiTheme="majorHAnsi"/>
                <w:szCs w:val="20"/>
              </w:rPr>
              <w:t>2035</w:t>
            </w:r>
          </w:p>
        </w:tc>
        <w:tc>
          <w:tcPr>
            <w:tcW w:w="1022" w:type="dxa"/>
            <w:noWrap/>
            <w:hideMark/>
          </w:tcPr>
          <w:p w14:paraId="5B196E38" w14:textId="77777777" w:rsidR="006E1B8A" w:rsidRPr="00AF479B" w:rsidRDefault="006E1B8A"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F479B">
              <w:rPr>
                <w:rFonts w:asciiTheme="majorHAnsi" w:eastAsia="Times New Roman" w:hAnsiTheme="majorHAnsi"/>
                <w:szCs w:val="20"/>
              </w:rPr>
              <w:t>2045</w:t>
            </w:r>
          </w:p>
        </w:tc>
      </w:tr>
      <w:tr w:rsidR="006E1B8A" w:rsidRPr="006E1B8A" w14:paraId="3FF01C87"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B4EBCA9" w14:textId="77777777" w:rsidR="006E1B8A" w:rsidRPr="007E0D52" w:rsidRDefault="006E1B8A" w:rsidP="009336C2">
            <w:pPr>
              <w:keepNext/>
              <w:jc w:val="left"/>
              <w:rPr>
                <w:rFonts w:asciiTheme="majorHAnsi" w:eastAsia="Times New Roman" w:hAnsiTheme="majorHAnsi"/>
                <w:szCs w:val="20"/>
              </w:rPr>
            </w:pPr>
            <w:r w:rsidRPr="007E0D52">
              <w:rPr>
                <w:rFonts w:asciiTheme="majorHAnsi" w:eastAsia="Times New Roman" w:hAnsiTheme="majorHAnsi"/>
                <w:szCs w:val="20"/>
              </w:rPr>
              <w:t>Baseline Forecast (GWh)</w:t>
            </w:r>
          </w:p>
        </w:tc>
        <w:tc>
          <w:tcPr>
            <w:tcW w:w="1022" w:type="dxa"/>
            <w:noWrap/>
            <w:hideMark/>
          </w:tcPr>
          <w:p w14:paraId="16A8A059"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397</w:t>
            </w:r>
          </w:p>
        </w:tc>
        <w:tc>
          <w:tcPr>
            <w:tcW w:w="1022" w:type="dxa"/>
            <w:noWrap/>
            <w:hideMark/>
          </w:tcPr>
          <w:p w14:paraId="5E1C4109"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392</w:t>
            </w:r>
          </w:p>
        </w:tc>
        <w:tc>
          <w:tcPr>
            <w:tcW w:w="1022" w:type="dxa"/>
            <w:noWrap/>
            <w:hideMark/>
          </w:tcPr>
          <w:p w14:paraId="7CF7D3C7"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386</w:t>
            </w:r>
          </w:p>
        </w:tc>
        <w:tc>
          <w:tcPr>
            <w:tcW w:w="1022" w:type="dxa"/>
            <w:noWrap/>
            <w:hideMark/>
          </w:tcPr>
          <w:p w14:paraId="4A846D82"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375</w:t>
            </w:r>
          </w:p>
        </w:tc>
        <w:tc>
          <w:tcPr>
            <w:tcW w:w="1022" w:type="dxa"/>
            <w:noWrap/>
            <w:hideMark/>
          </w:tcPr>
          <w:p w14:paraId="5569E393"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350</w:t>
            </w:r>
          </w:p>
        </w:tc>
        <w:tc>
          <w:tcPr>
            <w:tcW w:w="1022" w:type="dxa"/>
            <w:noWrap/>
            <w:hideMark/>
          </w:tcPr>
          <w:p w14:paraId="5A4C65F4"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309</w:t>
            </w:r>
          </w:p>
        </w:tc>
      </w:tr>
      <w:tr w:rsidR="006E1B8A" w:rsidRPr="006E1B8A" w14:paraId="4D84D151"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9834D8B" w14:textId="77777777" w:rsidR="006E1B8A" w:rsidRPr="007E0D52" w:rsidRDefault="006E1B8A" w:rsidP="009336C2">
            <w:pPr>
              <w:keepNext/>
              <w:jc w:val="left"/>
              <w:rPr>
                <w:rFonts w:asciiTheme="majorHAnsi" w:eastAsia="Times New Roman" w:hAnsiTheme="majorHAnsi"/>
                <w:szCs w:val="20"/>
              </w:rPr>
            </w:pPr>
            <w:r w:rsidRPr="007E0D52">
              <w:rPr>
                <w:rFonts w:asciiTheme="majorHAnsi" w:eastAsia="Times New Roman" w:hAnsiTheme="majorHAnsi"/>
                <w:szCs w:val="20"/>
              </w:rPr>
              <w:t>Cumulative Savings (GWh)</w:t>
            </w:r>
          </w:p>
        </w:tc>
        <w:tc>
          <w:tcPr>
            <w:tcW w:w="1022" w:type="dxa"/>
            <w:noWrap/>
            <w:hideMark/>
          </w:tcPr>
          <w:p w14:paraId="3D42B9EB" w14:textId="336483F3"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43E33FEB" w14:textId="3226E010"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0017E228" w14:textId="186E970A"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2F4BCC75" w14:textId="65A50A36"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09EF79A1" w14:textId="0785A093"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4319BD6D" w14:textId="2C6DCA8C"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r>
      <w:tr w:rsidR="006E1B8A" w:rsidRPr="006E1B8A" w14:paraId="1A78A1E2"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B5EFEA4" w14:textId="77777777" w:rsidR="006E1B8A" w:rsidRPr="006B6D6C" w:rsidRDefault="006E1B8A" w:rsidP="009336C2">
            <w:pPr>
              <w:keepNext/>
              <w:ind w:firstLineChars="100" w:firstLine="200"/>
              <w:jc w:val="left"/>
              <w:rPr>
                <w:rFonts w:eastAsia="Times New Roman"/>
                <w:szCs w:val="20"/>
              </w:rPr>
            </w:pPr>
            <w:r w:rsidRPr="006B6D6C">
              <w:rPr>
                <w:rFonts w:eastAsia="Times New Roman"/>
                <w:szCs w:val="20"/>
              </w:rPr>
              <w:t>Technical Achievable Potential</w:t>
            </w:r>
          </w:p>
        </w:tc>
        <w:tc>
          <w:tcPr>
            <w:tcW w:w="1022" w:type="dxa"/>
            <w:noWrap/>
            <w:hideMark/>
          </w:tcPr>
          <w:p w14:paraId="065BE134"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4</w:t>
            </w:r>
          </w:p>
        </w:tc>
        <w:tc>
          <w:tcPr>
            <w:tcW w:w="1022" w:type="dxa"/>
            <w:noWrap/>
            <w:hideMark/>
          </w:tcPr>
          <w:p w14:paraId="0DDB32AE"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7</w:t>
            </w:r>
          </w:p>
        </w:tc>
        <w:tc>
          <w:tcPr>
            <w:tcW w:w="1022" w:type="dxa"/>
            <w:noWrap/>
            <w:hideMark/>
          </w:tcPr>
          <w:p w14:paraId="2D33E5D3"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12</w:t>
            </w:r>
          </w:p>
        </w:tc>
        <w:tc>
          <w:tcPr>
            <w:tcW w:w="1022" w:type="dxa"/>
            <w:noWrap/>
            <w:hideMark/>
          </w:tcPr>
          <w:p w14:paraId="3B04945D"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21</w:t>
            </w:r>
          </w:p>
        </w:tc>
        <w:tc>
          <w:tcPr>
            <w:tcW w:w="1022" w:type="dxa"/>
            <w:noWrap/>
            <w:hideMark/>
          </w:tcPr>
          <w:p w14:paraId="39BC7CEA"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45</w:t>
            </w:r>
          </w:p>
        </w:tc>
        <w:tc>
          <w:tcPr>
            <w:tcW w:w="1022" w:type="dxa"/>
            <w:noWrap/>
            <w:hideMark/>
          </w:tcPr>
          <w:p w14:paraId="0F1101A4"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60</w:t>
            </w:r>
          </w:p>
        </w:tc>
      </w:tr>
      <w:tr w:rsidR="006E1B8A" w:rsidRPr="006E1B8A" w14:paraId="56ADB917"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20E72283" w14:textId="77777777" w:rsidR="006E1B8A" w:rsidRPr="006B6D6C" w:rsidRDefault="006E1B8A" w:rsidP="009336C2">
            <w:pPr>
              <w:keepNext/>
              <w:ind w:firstLineChars="100" w:firstLine="200"/>
              <w:jc w:val="left"/>
              <w:rPr>
                <w:rFonts w:eastAsia="Times New Roman"/>
                <w:szCs w:val="20"/>
              </w:rPr>
            </w:pPr>
            <w:r w:rsidRPr="006B6D6C">
              <w:rPr>
                <w:rFonts w:eastAsia="Times New Roman"/>
                <w:szCs w:val="20"/>
              </w:rPr>
              <w:t>Technical Potential</w:t>
            </w:r>
          </w:p>
        </w:tc>
        <w:tc>
          <w:tcPr>
            <w:tcW w:w="1022" w:type="dxa"/>
            <w:noWrap/>
            <w:hideMark/>
          </w:tcPr>
          <w:p w14:paraId="5E23B309"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5</w:t>
            </w:r>
          </w:p>
        </w:tc>
        <w:tc>
          <w:tcPr>
            <w:tcW w:w="1022" w:type="dxa"/>
            <w:noWrap/>
            <w:hideMark/>
          </w:tcPr>
          <w:p w14:paraId="1A9849FF"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10</w:t>
            </w:r>
          </w:p>
        </w:tc>
        <w:tc>
          <w:tcPr>
            <w:tcW w:w="1022" w:type="dxa"/>
            <w:noWrap/>
            <w:hideMark/>
          </w:tcPr>
          <w:p w14:paraId="5F5B7A6D"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15</w:t>
            </w:r>
          </w:p>
        </w:tc>
        <w:tc>
          <w:tcPr>
            <w:tcW w:w="1022" w:type="dxa"/>
            <w:noWrap/>
            <w:hideMark/>
          </w:tcPr>
          <w:p w14:paraId="537489AE"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27</w:t>
            </w:r>
          </w:p>
        </w:tc>
        <w:tc>
          <w:tcPr>
            <w:tcW w:w="1022" w:type="dxa"/>
            <w:noWrap/>
            <w:hideMark/>
          </w:tcPr>
          <w:p w14:paraId="38D2A922"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56</w:t>
            </w:r>
          </w:p>
        </w:tc>
        <w:tc>
          <w:tcPr>
            <w:tcW w:w="1022" w:type="dxa"/>
            <w:noWrap/>
            <w:hideMark/>
          </w:tcPr>
          <w:p w14:paraId="04AF5DCA"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73</w:t>
            </w:r>
          </w:p>
        </w:tc>
      </w:tr>
      <w:tr w:rsidR="006E1B8A" w:rsidRPr="006E1B8A" w14:paraId="73EA496F"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61A295B9" w14:textId="584D3FA6" w:rsidR="006E1B8A" w:rsidRPr="00322540" w:rsidRDefault="006E1B8A" w:rsidP="009336C2">
            <w:pPr>
              <w:keepNext/>
              <w:jc w:val="left"/>
              <w:rPr>
                <w:rFonts w:asciiTheme="majorHAnsi" w:eastAsia="Times New Roman" w:hAnsiTheme="majorHAnsi"/>
                <w:szCs w:val="20"/>
              </w:rPr>
            </w:pPr>
            <w:r w:rsidRPr="00322540">
              <w:rPr>
                <w:rFonts w:asciiTheme="majorHAnsi" w:eastAsia="Times New Roman" w:hAnsiTheme="majorHAnsi"/>
                <w:szCs w:val="20"/>
              </w:rPr>
              <w:t xml:space="preserve">Cumulative Savings </w:t>
            </w:r>
            <w:r w:rsidR="0072059D" w:rsidRPr="00322540">
              <w:rPr>
                <w:rFonts w:asciiTheme="majorHAnsi" w:eastAsia="Times New Roman" w:hAnsiTheme="majorHAnsi"/>
                <w:szCs w:val="20"/>
              </w:rPr>
              <w:t>(</w:t>
            </w:r>
            <w:r w:rsidRPr="00322540">
              <w:rPr>
                <w:rFonts w:asciiTheme="majorHAnsi" w:eastAsia="Times New Roman" w:hAnsiTheme="majorHAnsi"/>
                <w:szCs w:val="20"/>
              </w:rPr>
              <w:t>% of Baseline</w:t>
            </w:r>
            <w:r w:rsidR="0072059D" w:rsidRPr="00322540">
              <w:rPr>
                <w:rFonts w:asciiTheme="majorHAnsi" w:eastAsia="Times New Roman" w:hAnsiTheme="majorHAnsi"/>
                <w:szCs w:val="20"/>
              </w:rPr>
              <w:t>)</w:t>
            </w:r>
          </w:p>
        </w:tc>
        <w:tc>
          <w:tcPr>
            <w:tcW w:w="1022" w:type="dxa"/>
            <w:noWrap/>
            <w:hideMark/>
          </w:tcPr>
          <w:p w14:paraId="3556C967" w14:textId="0B00179B"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1022" w:type="dxa"/>
            <w:noWrap/>
            <w:hideMark/>
          </w:tcPr>
          <w:p w14:paraId="5D793D2C" w14:textId="1D96585F"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1022" w:type="dxa"/>
            <w:noWrap/>
            <w:hideMark/>
          </w:tcPr>
          <w:p w14:paraId="0F2CA923" w14:textId="2BC8FDCB"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1022" w:type="dxa"/>
            <w:noWrap/>
            <w:hideMark/>
          </w:tcPr>
          <w:p w14:paraId="3F6169A0" w14:textId="58BD20F2"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1022" w:type="dxa"/>
            <w:noWrap/>
            <w:hideMark/>
          </w:tcPr>
          <w:p w14:paraId="171DE4A9" w14:textId="6AA5D9B3"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c>
          <w:tcPr>
            <w:tcW w:w="1022" w:type="dxa"/>
            <w:noWrap/>
            <w:hideMark/>
          </w:tcPr>
          <w:p w14:paraId="70D9F072" w14:textId="779D968B"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p>
        </w:tc>
      </w:tr>
      <w:tr w:rsidR="006E1B8A" w:rsidRPr="006E1B8A" w14:paraId="0FC0A1CC"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E10299F" w14:textId="77777777" w:rsidR="006E1B8A" w:rsidRPr="006B6D6C" w:rsidRDefault="006E1B8A" w:rsidP="009336C2">
            <w:pPr>
              <w:keepNext/>
              <w:ind w:firstLineChars="100" w:firstLine="200"/>
              <w:jc w:val="left"/>
              <w:rPr>
                <w:rFonts w:eastAsia="Times New Roman"/>
                <w:szCs w:val="20"/>
              </w:rPr>
            </w:pPr>
            <w:r w:rsidRPr="006B6D6C">
              <w:rPr>
                <w:rFonts w:eastAsia="Times New Roman"/>
                <w:szCs w:val="20"/>
              </w:rPr>
              <w:t>Technical Achievable Potential</w:t>
            </w:r>
          </w:p>
        </w:tc>
        <w:tc>
          <w:tcPr>
            <w:tcW w:w="1022" w:type="dxa"/>
            <w:noWrap/>
            <w:hideMark/>
          </w:tcPr>
          <w:p w14:paraId="4D19B42B"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0.9%</w:t>
            </w:r>
          </w:p>
        </w:tc>
        <w:tc>
          <w:tcPr>
            <w:tcW w:w="1022" w:type="dxa"/>
            <w:noWrap/>
            <w:hideMark/>
          </w:tcPr>
          <w:p w14:paraId="6E21B5C0"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1.9%</w:t>
            </w:r>
          </w:p>
        </w:tc>
        <w:tc>
          <w:tcPr>
            <w:tcW w:w="1022" w:type="dxa"/>
            <w:noWrap/>
            <w:hideMark/>
          </w:tcPr>
          <w:p w14:paraId="1E4688AE"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3.0%</w:t>
            </w:r>
          </w:p>
        </w:tc>
        <w:tc>
          <w:tcPr>
            <w:tcW w:w="1022" w:type="dxa"/>
            <w:noWrap/>
            <w:hideMark/>
          </w:tcPr>
          <w:p w14:paraId="12F62D7E"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5.6%</w:t>
            </w:r>
          </w:p>
        </w:tc>
        <w:tc>
          <w:tcPr>
            <w:tcW w:w="1022" w:type="dxa"/>
            <w:noWrap/>
            <w:hideMark/>
          </w:tcPr>
          <w:p w14:paraId="093BE9AF"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12.9%</w:t>
            </w:r>
          </w:p>
        </w:tc>
        <w:tc>
          <w:tcPr>
            <w:tcW w:w="1022" w:type="dxa"/>
            <w:noWrap/>
            <w:hideMark/>
          </w:tcPr>
          <w:p w14:paraId="5A8086CF"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19.3%</w:t>
            </w:r>
          </w:p>
        </w:tc>
      </w:tr>
      <w:tr w:rsidR="006E1B8A" w:rsidRPr="006E1B8A" w14:paraId="78EF1386"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6C0BC67B" w14:textId="77777777" w:rsidR="006E1B8A" w:rsidRPr="006B6D6C" w:rsidRDefault="006E1B8A" w:rsidP="009336C2">
            <w:pPr>
              <w:keepNext/>
              <w:ind w:firstLineChars="100" w:firstLine="200"/>
              <w:jc w:val="left"/>
              <w:rPr>
                <w:rFonts w:eastAsia="Times New Roman"/>
                <w:szCs w:val="20"/>
              </w:rPr>
            </w:pPr>
            <w:r w:rsidRPr="006B6D6C">
              <w:rPr>
                <w:rFonts w:eastAsia="Times New Roman"/>
                <w:szCs w:val="20"/>
              </w:rPr>
              <w:t>Technical Potential</w:t>
            </w:r>
          </w:p>
        </w:tc>
        <w:tc>
          <w:tcPr>
            <w:tcW w:w="1022" w:type="dxa"/>
            <w:noWrap/>
            <w:hideMark/>
          </w:tcPr>
          <w:p w14:paraId="1ACA3F71"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1.2%</w:t>
            </w:r>
          </w:p>
        </w:tc>
        <w:tc>
          <w:tcPr>
            <w:tcW w:w="1022" w:type="dxa"/>
            <w:noWrap/>
            <w:hideMark/>
          </w:tcPr>
          <w:p w14:paraId="5BF0951C"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2.5%</w:t>
            </w:r>
          </w:p>
        </w:tc>
        <w:tc>
          <w:tcPr>
            <w:tcW w:w="1022" w:type="dxa"/>
            <w:noWrap/>
            <w:hideMark/>
          </w:tcPr>
          <w:p w14:paraId="379542D1"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4.0%</w:t>
            </w:r>
          </w:p>
        </w:tc>
        <w:tc>
          <w:tcPr>
            <w:tcW w:w="1022" w:type="dxa"/>
            <w:noWrap/>
            <w:hideMark/>
          </w:tcPr>
          <w:p w14:paraId="74311820"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7.2%</w:t>
            </w:r>
          </w:p>
        </w:tc>
        <w:tc>
          <w:tcPr>
            <w:tcW w:w="1022" w:type="dxa"/>
            <w:noWrap/>
            <w:hideMark/>
          </w:tcPr>
          <w:p w14:paraId="1A77796A"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15.9%</w:t>
            </w:r>
          </w:p>
        </w:tc>
        <w:tc>
          <w:tcPr>
            <w:tcW w:w="1022" w:type="dxa"/>
            <w:noWrap/>
            <w:hideMark/>
          </w:tcPr>
          <w:p w14:paraId="74799FA9"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23.6%</w:t>
            </w:r>
          </w:p>
        </w:tc>
      </w:tr>
      <w:tr w:rsidR="006E1B8A" w:rsidRPr="006E1B8A" w14:paraId="513F0DAD"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06CCE2B6" w14:textId="77777777" w:rsidR="006E1B8A" w:rsidRPr="00322540" w:rsidRDefault="006E1B8A" w:rsidP="009336C2">
            <w:pPr>
              <w:keepNext/>
              <w:jc w:val="left"/>
              <w:rPr>
                <w:rFonts w:asciiTheme="majorHAnsi" w:eastAsia="Times New Roman" w:hAnsiTheme="majorHAnsi"/>
                <w:szCs w:val="20"/>
              </w:rPr>
            </w:pPr>
            <w:r w:rsidRPr="00322540">
              <w:rPr>
                <w:rFonts w:asciiTheme="majorHAnsi" w:eastAsia="Times New Roman" w:hAnsiTheme="majorHAnsi"/>
                <w:szCs w:val="20"/>
              </w:rPr>
              <w:t>Cumulative Savings (aMW)</w:t>
            </w:r>
          </w:p>
        </w:tc>
        <w:tc>
          <w:tcPr>
            <w:tcW w:w="1022" w:type="dxa"/>
            <w:noWrap/>
            <w:hideMark/>
          </w:tcPr>
          <w:p w14:paraId="7D220A4C" w14:textId="73A54FA0"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1DF20FEE" w14:textId="27EC942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6A59DCEC" w14:textId="39FC6CB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147D442C" w14:textId="23E38C70"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24ACF7D2" w14:textId="6B8F6400"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c>
          <w:tcPr>
            <w:tcW w:w="1022" w:type="dxa"/>
            <w:noWrap/>
            <w:hideMark/>
          </w:tcPr>
          <w:p w14:paraId="1AABF0BC" w14:textId="76FC407E"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p>
        </w:tc>
      </w:tr>
      <w:tr w:rsidR="006E1B8A" w:rsidRPr="006E1B8A" w14:paraId="5015E084" w14:textId="77777777" w:rsidTr="0072059D">
        <w:trPr>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AFC7438" w14:textId="77777777" w:rsidR="006E1B8A" w:rsidRPr="006B6D6C" w:rsidRDefault="006E1B8A" w:rsidP="009336C2">
            <w:pPr>
              <w:keepNext/>
              <w:ind w:firstLineChars="100" w:firstLine="200"/>
              <w:jc w:val="left"/>
              <w:rPr>
                <w:rFonts w:eastAsia="Times New Roman"/>
                <w:szCs w:val="20"/>
              </w:rPr>
            </w:pPr>
            <w:r w:rsidRPr="006B6D6C">
              <w:rPr>
                <w:rFonts w:eastAsia="Times New Roman"/>
                <w:szCs w:val="20"/>
              </w:rPr>
              <w:t>Technical Achievable Potential</w:t>
            </w:r>
          </w:p>
        </w:tc>
        <w:tc>
          <w:tcPr>
            <w:tcW w:w="1022" w:type="dxa"/>
            <w:noWrap/>
            <w:hideMark/>
          </w:tcPr>
          <w:p w14:paraId="42038865"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0.4</w:t>
            </w:r>
          </w:p>
        </w:tc>
        <w:tc>
          <w:tcPr>
            <w:tcW w:w="1022" w:type="dxa"/>
            <w:noWrap/>
            <w:hideMark/>
          </w:tcPr>
          <w:p w14:paraId="1C9474DE"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0.8</w:t>
            </w:r>
          </w:p>
        </w:tc>
        <w:tc>
          <w:tcPr>
            <w:tcW w:w="1022" w:type="dxa"/>
            <w:noWrap/>
            <w:hideMark/>
          </w:tcPr>
          <w:p w14:paraId="06542AE4"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1.3</w:t>
            </w:r>
          </w:p>
        </w:tc>
        <w:tc>
          <w:tcPr>
            <w:tcW w:w="1022" w:type="dxa"/>
            <w:noWrap/>
            <w:hideMark/>
          </w:tcPr>
          <w:p w14:paraId="65FE0FD1"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2.4</w:t>
            </w:r>
          </w:p>
        </w:tc>
        <w:tc>
          <w:tcPr>
            <w:tcW w:w="1022" w:type="dxa"/>
            <w:noWrap/>
            <w:hideMark/>
          </w:tcPr>
          <w:p w14:paraId="5EB1BE75"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5.2</w:t>
            </w:r>
          </w:p>
        </w:tc>
        <w:tc>
          <w:tcPr>
            <w:tcW w:w="1022" w:type="dxa"/>
            <w:noWrap/>
            <w:hideMark/>
          </w:tcPr>
          <w:p w14:paraId="63E4802B" w14:textId="77777777" w:rsidR="006E1B8A" w:rsidRPr="006B6D6C" w:rsidRDefault="006E1B8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6B6D6C">
              <w:rPr>
                <w:rFonts w:eastAsia="Times New Roman"/>
                <w:szCs w:val="20"/>
              </w:rPr>
              <w:t>6.8</w:t>
            </w:r>
          </w:p>
        </w:tc>
      </w:tr>
      <w:tr w:rsidR="006E1B8A" w:rsidRPr="006E1B8A" w14:paraId="0AD6E403" w14:textId="77777777" w:rsidTr="0072059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252FB32" w14:textId="77777777" w:rsidR="006E1B8A" w:rsidRPr="006B6D6C" w:rsidRDefault="006E1B8A" w:rsidP="009336C2">
            <w:pPr>
              <w:keepNext/>
              <w:ind w:firstLineChars="100" w:firstLine="200"/>
              <w:jc w:val="left"/>
              <w:rPr>
                <w:rFonts w:eastAsia="Times New Roman"/>
                <w:szCs w:val="20"/>
              </w:rPr>
            </w:pPr>
            <w:r w:rsidRPr="006B6D6C">
              <w:rPr>
                <w:rFonts w:eastAsia="Times New Roman"/>
                <w:szCs w:val="20"/>
              </w:rPr>
              <w:t>Technical Potential</w:t>
            </w:r>
          </w:p>
        </w:tc>
        <w:tc>
          <w:tcPr>
            <w:tcW w:w="1022" w:type="dxa"/>
            <w:noWrap/>
            <w:hideMark/>
          </w:tcPr>
          <w:p w14:paraId="747BA5CC"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0.5</w:t>
            </w:r>
          </w:p>
        </w:tc>
        <w:tc>
          <w:tcPr>
            <w:tcW w:w="1022" w:type="dxa"/>
            <w:noWrap/>
            <w:hideMark/>
          </w:tcPr>
          <w:p w14:paraId="46946E08"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1.1</w:t>
            </w:r>
          </w:p>
        </w:tc>
        <w:tc>
          <w:tcPr>
            <w:tcW w:w="1022" w:type="dxa"/>
            <w:noWrap/>
            <w:hideMark/>
          </w:tcPr>
          <w:p w14:paraId="474E0A8A"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1.7</w:t>
            </w:r>
          </w:p>
        </w:tc>
        <w:tc>
          <w:tcPr>
            <w:tcW w:w="1022" w:type="dxa"/>
            <w:noWrap/>
            <w:hideMark/>
          </w:tcPr>
          <w:p w14:paraId="17F71D9D"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3.1</w:t>
            </w:r>
          </w:p>
        </w:tc>
        <w:tc>
          <w:tcPr>
            <w:tcW w:w="1022" w:type="dxa"/>
            <w:noWrap/>
            <w:hideMark/>
          </w:tcPr>
          <w:p w14:paraId="7E37BC77"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6.3</w:t>
            </w:r>
          </w:p>
        </w:tc>
        <w:tc>
          <w:tcPr>
            <w:tcW w:w="1022" w:type="dxa"/>
            <w:noWrap/>
            <w:hideMark/>
          </w:tcPr>
          <w:p w14:paraId="3B46166B" w14:textId="77777777" w:rsidR="006E1B8A" w:rsidRPr="006B6D6C" w:rsidRDefault="006E1B8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6B6D6C">
              <w:rPr>
                <w:rFonts w:eastAsia="Times New Roman"/>
                <w:szCs w:val="20"/>
              </w:rPr>
              <w:t>8.3</w:t>
            </w:r>
          </w:p>
        </w:tc>
      </w:tr>
    </w:tbl>
    <w:p w14:paraId="6664942C" w14:textId="77777777" w:rsidR="006E1B8A" w:rsidRDefault="006E1B8A" w:rsidP="002D2ECA">
      <w:pPr>
        <w:rPr>
          <w:lang w:eastAsia="ja-JP"/>
        </w:rPr>
      </w:pPr>
    </w:p>
    <w:p w14:paraId="17DCCD39" w14:textId="25E57ADE" w:rsidR="00B2739A" w:rsidRDefault="00B2739A" w:rsidP="00B2739A">
      <w:pPr>
        <w:pStyle w:val="FigureorTableCaption"/>
      </w:pPr>
      <w:bookmarkStart w:id="164" w:name="_Toc175904458"/>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12</w:t>
      </w:r>
      <w:r w:rsidR="000E34CB">
        <w:fldChar w:fldCharType="end"/>
      </w:r>
      <w:r w:rsidR="00455098">
        <w:t xml:space="preserve"> </w:t>
      </w:r>
      <w:r w:rsidRPr="00EA4064">
        <w:t>Industrial Cumulative Conservation Potential as a % of the Baseline Projection, Washington</w:t>
      </w:r>
      <w:bookmarkEnd w:id="164"/>
    </w:p>
    <w:p w14:paraId="0C58FD43" w14:textId="3CE869B6" w:rsidR="00EC1296" w:rsidRDefault="00EC1296" w:rsidP="001F35BB">
      <w:pPr>
        <w:jc w:val="center"/>
        <w:rPr>
          <w:lang w:eastAsia="ja-JP"/>
        </w:rPr>
      </w:pPr>
      <w:r>
        <w:rPr>
          <w:noProof/>
        </w:rPr>
        <w:drawing>
          <wp:inline distT="0" distB="0" distL="0" distR="0" wp14:anchorId="3B2C4914" wp14:editId="1FAFB6F3">
            <wp:extent cx="5934075" cy="2667000"/>
            <wp:effectExtent l="0" t="0" r="0" b="0"/>
            <wp:docPr id="1516625769" name="Chart 1">
              <a:extLst xmlns:a="http://schemas.openxmlformats.org/drawingml/2006/main">
                <a:ext uri="{FF2B5EF4-FFF2-40B4-BE49-F238E27FC236}">
                  <a16:creationId xmlns:a16="http://schemas.microsoft.com/office/drawing/2014/main" id="{015FFEF7-5109-48EE-AFE3-BF111D0F26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D01A653" w14:textId="77777777" w:rsidR="00EC1296" w:rsidRDefault="00EC1296" w:rsidP="00EC1296">
      <w:pPr>
        <w:rPr>
          <w:lang w:eastAsia="ja-JP"/>
        </w:rPr>
      </w:pPr>
    </w:p>
    <w:p w14:paraId="63A69A8B" w14:textId="2B912910" w:rsidR="00B2739A" w:rsidRDefault="00B2739A" w:rsidP="00B2739A">
      <w:pPr>
        <w:pStyle w:val="FigureorTableCaption"/>
      </w:pPr>
      <w:bookmarkStart w:id="165" w:name="_Toc175904459"/>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13</w:t>
      </w:r>
      <w:r w:rsidR="000E34CB">
        <w:fldChar w:fldCharType="end"/>
      </w:r>
      <w:r w:rsidR="00455098">
        <w:t xml:space="preserve"> </w:t>
      </w:r>
      <w:r w:rsidRPr="00A774E4">
        <w:t>Industrial Cumulative Conservation Potential as a % of the Baseline Projection, Idaho</w:t>
      </w:r>
      <w:bookmarkEnd w:id="165"/>
    </w:p>
    <w:p w14:paraId="02645885" w14:textId="30736A52" w:rsidR="00EC1296" w:rsidRDefault="00EC1296" w:rsidP="00596A1C">
      <w:pPr>
        <w:jc w:val="center"/>
        <w:rPr>
          <w:lang w:eastAsia="ja-JP"/>
        </w:rPr>
      </w:pPr>
      <w:r>
        <w:rPr>
          <w:noProof/>
        </w:rPr>
        <w:drawing>
          <wp:inline distT="0" distB="0" distL="0" distR="0" wp14:anchorId="56C28CC0" wp14:editId="09B8FE6C">
            <wp:extent cx="5934075" cy="2695575"/>
            <wp:effectExtent l="0" t="0" r="0" b="0"/>
            <wp:docPr id="1262641026" name="Chart 1">
              <a:extLst xmlns:a="http://schemas.openxmlformats.org/drawingml/2006/main">
                <a:ext uri="{FF2B5EF4-FFF2-40B4-BE49-F238E27FC236}">
                  <a16:creationId xmlns:a16="http://schemas.microsoft.com/office/drawing/2014/main" id="{015FFEF7-5109-48EE-AFE3-BF111D0F26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A34435C" w14:textId="77777777" w:rsidR="00EC1296" w:rsidRDefault="00EC1296" w:rsidP="002D2ECA">
      <w:pPr>
        <w:rPr>
          <w:lang w:eastAsia="ja-JP"/>
        </w:rPr>
      </w:pPr>
    </w:p>
    <w:p w14:paraId="56C6B24B" w14:textId="0421ED79" w:rsidR="00C937E8" w:rsidRDefault="00610EA2" w:rsidP="00D77CEB">
      <w:pPr>
        <w:pStyle w:val="AEGBody"/>
      </w:pPr>
      <w:r>
        <w:rPr>
          <w:bCs/>
        </w:rPr>
        <w:fldChar w:fldCharType="begin"/>
      </w:r>
      <w:r>
        <w:rPr>
          <w:bCs/>
        </w:rPr>
        <w:instrText xml:space="preserve"> REF _Ref175816838 \h </w:instrText>
      </w:r>
      <w:r>
        <w:rPr>
          <w:bCs/>
        </w:rPr>
      </w:r>
      <w:r>
        <w:rPr>
          <w:bCs/>
        </w:rPr>
        <w:fldChar w:fldCharType="separate"/>
      </w:r>
      <w:r>
        <w:t xml:space="preserve">Figure </w:t>
      </w:r>
      <w:r>
        <w:rPr>
          <w:noProof/>
        </w:rPr>
        <w:t>5</w:t>
      </w:r>
      <w:r>
        <w:noBreakHyphen/>
      </w:r>
      <w:r>
        <w:rPr>
          <w:noProof/>
        </w:rPr>
        <w:t>14</w:t>
      </w:r>
      <w:r>
        <w:rPr>
          <w:bCs/>
        </w:rPr>
        <w:fldChar w:fldCharType="end"/>
      </w:r>
      <w:r w:rsidR="00C937E8">
        <w:rPr>
          <w:bCs/>
        </w:rPr>
        <w:t xml:space="preserve"> </w:t>
      </w:r>
      <w:r w:rsidR="00C937E8" w:rsidRPr="004671E8">
        <w:t>present</w:t>
      </w:r>
      <w:r w:rsidR="00C937E8">
        <w:t>s</w:t>
      </w:r>
      <w:r w:rsidR="00C937E8" w:rsidRPr="004671E8">
        <w:t xml:space="preserve"> </w:t>
      </w:r>
      <w:r w:rsidR="00C937E8">
        <w:t xml:space="preserve">a </w:t>
      </w:r>
      <w:r w:rsidR="00C937E8" w:rsidRPr="004671E8">
        <w:t>forecast</w:t>
      </w:r>
      <w:r w:rsidR="00C937E8">
        <w:t xml:space="preserve"> of </w:t>
      </w:r>
      <w:r w:rsidR="00C937E8" w:rsidRPr="004671E8">
        <w:t xml:space="preserve">cumulative </w:t>
      </w:r>
      <w:r w:rsidR="00C937E8">
        <w:t>industrial energy savings by end use in Washington</w:t>
      </w:r>
      <w:r w:rsidR="00C937E8" w:rsidRPr="004671E8">
        <w:t>.</w:t>
      </w:r>
      <w:r w:rsidR="00C937E8">
        <w:t xml:space="preserve"> Motor and </w:t>
      </w:r>
      <w:r>
        <w:t xml:space="preserve">process </w:t>
      </w:r>
      <w:r w:rsidR="00C937E8">
        <w:t>end uses make up most of the savings potential in the study horizon.</w:t>
      </w:r>
    </w:p>
    <w:p w14:paraId="225CF0F4" w14:textId="77777777" w:rsidR="00EC1296" w:rsidRDefault="00EC1296" w:rsidP="002D2ECA">
      <w:pPr>
        <w:rPr>
          <w:lang w:eastAsia="ja-JP"/>
        </w:rPr>
      </w:pPr>
    </w:p>
    <w:p w14:paraId="0890A12B" w14:textId="392EB3DE" w:rsidR="00B2739A" w:rsidRDefault="00B2739A" w:rsidP="00B2739A">
      <w:pPr>
        <w:pStyle w:val="FigureorTableCaption"/>
      </w:pPr>
      <w:bookmarkStart w:id="166" w:name="_Ref175816838"/>
      <w:bookmarkStart w:id="167" w:name="_Toc175904460"/>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14</w:t>
      </w:r>
      <w:r w:rsidR="000E34CB">
        <w:fldChar w:fldCharType="end"/>
      </w:r>
      <w:bookmarkEnd w:id="166"/>
      <w:r w:rsidR="00455098">
        <w:t xml:space="preserve"> </w:t>
      </w:r>
      <w:r w:rsidRPr="00987EEA">
        <w:t>Industrial Cumulative Achievable Technical Potential by End Use, Washington</w:t>
      </w:r>
      <w:bookmarkEnd w:id="167"/>
    </w:p>
    <w:p w14:paraId="22958412" w14:textId="6DF96FFA" w:rsidR="00EC1296" w:rsidRDefault="00EC1296" w:rsidP="00596A1C">
      <w:pPr>
        <w:jc w:val="center"/>
        <w:rPr>
          <w:lang w:eastAsia="ja-JP"/>
        </w:rPr>
      </w:pPr>
      <w:r w:rsidRPr="00A469DF">
        <w:rPr>
          <w:noProof/>
          <w:color w:val="544D90"/>
        </w:rPr>
        <w:drawing>
          <wp:inline distT="0" distB="0" distL="0" distR="0" wp14:anchorId="1549C17C" wp14:editId="1FEC054E">
            <wp:extent cx="6057900" cy="3143250"/>
            <wp:effectExtent l="0" t="0" r="0" b="0"/>
            <wp:docPr id="947557434" name="Chart 1">
              <a:extLst xmlns:a="http://schemas.openxmlformats.org/drawingml/2006/main">
                <a:ext uri="{FF2B5EF4-FFF2-40B4-BE49-F238E27FC236}">
                  <a16:creationId xmlns:a16="http://schemas.microsoft.com/office/drawing/2014/main" id="{DBD0DDE0-3C65-423D-BE29-E60A25CC6B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C08D3D8" w14:textId="18B58477" w:rsidR="00EF7178" w:rsidRDefault="00EF7178" w:rsidP="001E2142">
      <w:pPr>
        <w:rPr>
          <w:lang w:eastAsia="ja-JP"/>
        </w:rPr>
      </w:pPr>
    </w:p>
    <w:p w14:paraId="13047AED" w14:textId="138FEB76" w:rsidR="00D77CEB" w:rsidRDefault="00610EA2" w:rsidP="00D77CEB">
      <w:pPr>
        <w:pStyle w:val="AEGBody"/>
      </w:pPr>
      <w:r>
        <w:fldChar w:fldCharType="begin"/>
      </w:r>
      <w:r>
        <w:instrText xml:space="preserve"> REF _Ref175816814 \h </w:instrText>
      </w:r>
      <w:r>
        <w:fldChar w:fldCharType="separate"/>
      </w:r>
      <w:r>
        <w:t xml:space="preserve">Table </w:t>
      </w:r>
      <w:r>
        <w:rPr>
          <w:noProof/>
        </w:rPr>
        <w:t>5</w:t>
      </w:r>
      <w:r>
        <w:noBreakHyphen/>
      </w:r>
      <w:r>
        <w:rPr>
          <w:noProof/>
        </w:rPr>
        <w:t>14</w:t>
      </w:r>
      <w:r>
        <w:fldChar w:fldCharType="end"/>
      </w:r>
      <w:r w:rsidR="00D77CEB" w:rsidRPr="008F46CC">
        <w:t xml:space="preserve"> identifies the top 20 industrial measures from the perspective of cumulative energy savings by 2045. In Washington, the top measure is linear lighting, which includes savings for network embedded controls. The measure with the second highest savings is pumping system</w:t>
      </w:r>
      <w:r w:rsidR="00173A6A" w:rsidRPr="008F46CC">
        <w:t xml:space="preserve"> </w:t>
      </w:r>
      <w:r w:rsidR="00D77CEB" w:rsidRPr="008F46CC">
        <w:t xml:space="preserve">optimization, which is the </w:t>
      </w:r>
      <w:r w:rsidR="00173A6A" w:rsidRPr="008F46CC">
        <w:t>biproduct</w:t>
      </w:r>
      <w:r w:rsidR="00D77CEB" w:rsidRPr="008F46CC">
        <w:t xml:space="preserve"> of the baseline consumption of</w:t>
      </w:r>
      <w:r w:rsidR="00CC3F8A" w:rsidRPr="008F46CC">
        <w:t xml:space="preserve"> pumping systems. Installation of advanced-efficiency industrial motors rounds out the top three.</w:t>
      </w:r>
    </w:p>
    <w:p w14:paraId="089233F4" w14:textId="77777777" w:rsidR="00D77CEB" w:rsidRPr="00EF7178" w:rsidRDefault="00D77CEB" w:rsidP="00D77CEB">
      <w:pPr>
        <w:pStyle w:val="AEGBody"/>
        <w:rPr>
          <w:lang w:eastAsia="ja-JP"/>
        </w:rPr>
      </w:pPr>
    </w:p>
    <w:p w14:paraId="109C2961" w14:textId="73ECAFF1" w:rsidR="009D42F8" w:rsidRDefault="009D42F8" w:rsidP="009D42F8">
      <w:pPr>
        <w:pStyle w:val="FigureorTableCaption"/>
      </w:pPr>
      <w:bookmarkStart w:id="168" w:name="_Ref175816814"/>
      <w:bookmarkStart w:id="169" w:name="_Toc175912398"/>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14</w:t>
      </w:r>
      <w:r w:rsidR="00EE4707">
        <w:fldChar w:fldCharType="end"/>
      </w:r>
      <w:bookmarkEnd w:id="168"/>
      <w:r w:rsidR="00455098">
        <w:t xml:space="preserve"> </w:t>
      </w:r>
      <w:r w:rsidRPr="00C765B6">
        <w:t>Industrial Top 20 Measures in 2045, Washington</w:t>
      </w:r>
      <w:bookmarkEnd w:id="169"/>
    </w:p>
    <w:tbl>
      <w:tblPr>
        <w:tblStyle w:val="AEG-DarkBanded"/>
        <w:tblW w:w="9169" w:type="dxa"/>
        <w:jc w:val="center"/>
        <w:tblLayout w:type="fixed"/>
        <w:tblLook w:val="04A0" w:firstRow="1" w:lastRow="0" w:firstColumn="1" w:lastColumn="0" w:noHBand="0" w:noVBand="1"/>
      </w:tblPr>
      <w:tblGrid>
        <w:gridCol w:w="806"/>
        <w:gridCol w:w="5760"/>
        <w:gridCol w:w="1613"/>
        <w:gridCol w:w="990"/>
      </w:tblGrid>
      <w:tr w:rsidR="00EF7178" w:rsidRPr="00EF7178" w14:paraId="72055346" w14:textId="77777777" w:rsidTr="00610EA2">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2B14C199" w14:textId="65AA9451" w:rsidR="00EF7178" w:rsidRPr="00322540" w:rsidRDefault="00EF7178" w:rsidP="00610EA2">
            <w:pPr>
              <w:keepNext/>
              <w:jc w:val="center"/>
              <w:rPr>
                <w:rFonts w:asciiTheme="majorHAnsi" w:eastAsia="Times New Roman" w:hAnsiTheme="majorHAnsi"/>
                <w:b w:val="0"/>
                <w:szCs w:val="20"/>
              </w:rPr>
            </w:pPr>
            <w:r w:rsidRPr="00322540">
              <w:rPr>
                <w:rFonts w:asciiTheme="majorHAnsi" w:eastAsia="Times New Roman" w:hAnsiTheme="majorHAnsi"/>
                <w:b w:val="0"/>
                <w:szCs w:val="20"/>
              </w:rPr>
              <w:t>Rank</w:t>
            </w:r>
          </w:p>
        </w:tc>
        <w:tc>
          <w:tcPr>
            <w:tcW w:w="5760" w:type="dxa"/>
            <w:noWrap/>
            <w:hideMark/>
          </w:tcPr>
          <w:p w14:paraId="5653D343" w14:textId="6670456D" w:rsidR="00EF7178" w:rsidRPr="00322540" w:rsidRDefault="00EF7178" w:rsidP="00610EA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322540">
              <w:rPr>
                <w:rFonts w:asciiTheme="majorHAnsi" w:eastAsia="Times New Roman" w:hAnsiTheme="majorHAnsi"/>
                <w:b w:val="0"/>
                <w:szCs w:val="20"/>
              </w:rPr>
              <w:t>Industrial Measure</w:t>
            </w:r>
          </w:p>
        </w:tc>
        <w:tc>
          <w:tcPr>
            <w:tcW w:w="1613" w:type="dxa"/>
            <w:hideMark/>
          </w:tcPr>
          <w:p w14:paraId="68DC9285" w14:textId="503347E3" w:rsidR="00EF7178" w:rsidRPr="00322540" w:rsidRDefault="00EF7178"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322540">
              <w:rPr>
                <w:rFonts w:asciiTheme="majorHAnsi" w:eastAsia="Times New Roman" w:hAnsiTheme="majorHAnsi"/>
                <w:b w:val="0"/>
                <w:szCs w:val="20"/>
              </w:rPr>
              <w:t>2045 Cumulative Savings (MWh)</w:t>
            </w:r>
          </w:p>
        </w:tc>
        <w:tc>
          <w:tcPr>
            <w:tcW w:w="990" w:type="dxa"/>
            <w:noWrap/>
            <w:hideMark/>
          </w:tcPr>
          <w:p w14:paraId="70EDE8B5" w14:textId="77777777" w:rsidR="00EF7178" w:rsidRPr="00322540" w:rsidRDefault="00EF7178" w:rsidP="00596A1C">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322540">
              <w:rPr>
                <w:rFonts w:asciiTheme="majorHAnsi" w:eastAsia="Times New Roman" w:hAnsiTheme="majorHAnsi"/>
                <w:b w:val="0"/>
                <w:szCs w:val="20"/>
              </w:rPr>
              <w:t>% of Total</w:t>
            </w:r>
          </w:p>
        </w:tc>
      </w:tr>
      <w:tr w:rsidR="00EF7178" w:rsidRPr="00EF7178" w14:paraId="3DE82437"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1589772"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w:t>
            </w:r>
          </w:p>
        </w:tc>
        <w:tc>
          <w:tcPr>
            <w:tcW w:w="5760" w:type="dxa"/>
            <w:noWrap/>
            <w:hideMark/>
          </w:tcPr>
          <w:p w14:paraId="4EB6C35C" w14:textId="7724ADE4"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Linear Lighting - LED</w:t>
            </w:r>
          </w:p>
        </w:tc>
        <w:tc>
          <w:tcPr>
            <w:tcW w:w="1613" w:type="dxa"/>
            <w:noWrap/>
            <w:hideMark/>
          </w:tcPr>
          <w:p w14:paraId="54717D2F"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10,688</w:t>
            </w:r>
          </w:p>
        </w:tc>
        <w:tc>
          <w:tcPr>
            <w:tcW w:w="990" w:type="dxa"/>
            <w:noWrap/>
            <w:hideMark/>
          </w:tcPr>
          <w:p w14:paraId="20DC48F8"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12.3%</w:t>
            </w:r>
          </w:p>
        </w:tc>
      </w:tr>
      <w:tr w:rsidR="00EF7178" w:rsidRPr="00EF7178" w14:paraId="17E019C7"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0DC22ED2"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2</w:t>
            </w:r>
          </w:p>
        </w:tc>
        <w:tc>
          <w:tcPr>
            <w:tcW w:w="5760" w:type="dxa"/>
            <w:noWrap/>
            <w:hideMark/>
          </w:tcPr>
          <w:p w14:paraId="6D8AE3C9" w14:textId="0AC65254"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Pumping System - System Optimization</w:t>
            </w:r>
          </w:p>
        </w:tc>
        <w:tc>
          <w:tcPr>
            <w:tcW w:w="1613" w:type="dxa"/>
            <w:noWrap/>
            <w:hideMark/>
          </w:tcPr>
          <w:p w14:paraId="04518A63"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8,945</w:t>
            </w:r>
          </w:p>
        </w:tc>
        <w:tc>
          <w:tcPr>
            <w:tcW w:w="990" w:type="dxa"/>
            <w:noWrap/>
            <w:hideMark/>
          </w:tcPr>
          <w:p w14:paraId="4736AEE3"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10.3%</w:t>
            </w:r>
          </w:p>
        </w:tc>
      </w:tr>
      <w:tr w:rsidR="00EF7178" w:rsidRPr="00EF7178" w14:paraId="46E51D63"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0B499C92"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3</w:t>
            </w:r>
          </w:p>
        </w:tc>
        <w:tc>
          <w:tcPr>
            <w:tcW w:w="5760" w:type="dxa"/>
            <w:noWrap/>
            <w:hideMark/>
          </w:tcPr>
          <w:p w14:paraId="22084623" w14:textId="38ADA18B"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Advanced Industrial Motors</w:t>
            </w:r>
          </w:p>
        </w:tc>
        <w:tc>
          <w:tcPr>
            <w:tcW w:w="1613" w:type="dxa"/>
            <w:noWrap/>
            <w:hideMark/>
          </w:tcPr>
          <w:p w14:paraId="32776FED"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8,467</w:t>
            </w:r>
          </w:p>
        </w:tc>
        <w:tc>
          <w:tcPr>
            <w:tcW w:w="990" w:type="dxa"/>
            <w:noWrap/>
            <w:hideMark/>
          </w:tcPr>
          <w:p w14:paraId="2B0DAE51"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9.8%</w:t>
            </w:r>
          </w:p>
        </w:tc>
      </w:tr>
      <w:tr w:rsidR="00EF7178" w:rsidRPr="00EF7178" w14:paraId="58C62147"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EA52F23"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4</w:t>
            </w:r>
          </w:p>
        </w:tc>
        <w:tc>
          <w:tcPr>
            <w:tcW w:w="5760" w:type="dxa"/>
            <w:noWrap/>
            <w:hideMark/>
          </w:tcPr>
          <w:p w14:paraId="020E3932" w14:textId="5AF51544"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Pumping System - Controls</w:t>
            </w:r>
          </w:p>
        </w:tc>
        <w:tc>
          <w:tcPr>
            <w:tcW w:w="1613" w:type="dxa"/>
            <w:noWrap/>
            <w:hideMark/>
          </w:tcPr>
          <w:p w14:paraId="76B4E0B8"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7,599</w:t>
            </w:r>
          </w:p>
        </w:tc>
        <w:tc>
          <w:tcPr>
            <w:tcW w:w="990" w:type="dxa"/>
            <w:noWrap/>
            <w:hideMark/>
          </w:tcPr>
          <w:p w14:paraId="141DDD79"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8.8%</w:t>
            </w:r>
          </w:p>
        </w:tc>
      </w:tr>
      <w:tr w:rsidR="00EF7178" w:rsidRPr="00EF7178" w14:paraId="28BF9436"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43F79515"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5</w:t>
            </w:r>
          </w:p>
        </w:tc>
        <w:tc>
          <w:tcPr>
            <w:tcW w:w="5760" w:type="dxa"/>
            <w:noWrap/>
            <w:hideMark/>
          </w:tcPr>
          <w:p w14:paraId="0C1F1CE0" w14:textId="09B1486A"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High-Bay Lighting - LED</w:t>
            </w:r>
          </w:p>
        </w:tc>
        <w:tc>
          <w:tcPr>
            <w:tcW w:w="1613" w:type="dxa"/>
            <w:noWrap/>
            <w:hideMark/>
          </w:tcPr>
          <w:p w14:paraId="20A3737A"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6,647</w:t>
            </w:r>
          </w:p>
        </w:tc>
        <w:tc>
          <w:tcPr>
            <w:tcW w:w="990" w:type="dxa"/>
            <w:noWrap/>
            <w:hideMark/>
          </w:tcPr>
          <w:p w14:paraId="3991C857"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7.7%</w:t>
            </w:r>
          </w:p>
        </w:tc>
      </w:tr>
      <w:tr w:rsidR="00EF7178" w:rsidRPr="00EF7178" w14:paraId="1150599A"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8A5B6F4"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6</w:t>
            </w:r>
          </w:p>
        </w:tc>
        <w:tc>
          <w:tcPr>
            <w:tcW w:w="5760" w:type="dxa"/>
            <w:noWrap/>
            <w:hideMark/>
          </w:tcPr>
          <w:p w14:paraId="68689896" w14:textId="4FA9071E"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Fan System - Equipment Upgrade</w:t>
            </w:r>
          </w:p>
        </w:tc>
        <w:tc>
          <w:tcPr>
            <w:tcW w:w="1613" w:type="dxa"/>
            <w:noWrap/>
            <w:hideMark/>
          </w:tcPr>
          <w:p w14:paraId="0FB2AC8E"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5,073</w:t>
            </w:r>
          </w:p>
        </w:tc>
        <w:tc>
          <w:tcPr>
            <w:tcW w:w="990" w:type="dxa"/>
            <w:noWrap/>
            <w:hideMark/>
          </w:tcPr>
          <w:p w14:paraId="549272F1"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5.9%</w:t>
            </w:r>
          </w:p>
        </w:tc>
      </w:tr>
      <w:tr w:rsidR="00EF7178" w:rsidRPr="00EF7178" w14:paraId="18B86051"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28A1873"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7</w:t>
            </w:r>
          </w:p>
        </w:tc>
        <w:tc>
          <w:tcPr>
            <w:tcW w:w="5760" w:type="dxa"/>
            <w:noWrap/>
            <w:hideMark/>
          </w:tcPr>
          <w:p w14:paraId="16D8D3C3" w14:textId="158C7720"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Material Handling - Upgrade and Optimization</w:t>
            </w:r>
          </w:p>
        </w:tc>
        <w:tc>
          <w:tcPr>
            <w:tcW w:w="1613" w:type="dxa"/>
            <w:noWrap/>
            <w:hideMark/>
          </w:tcPr>
          <w:p w14:paraId="1740AD78"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4,122</w:t>
            </w:r>
          </w:p>
        </w:tc>
        <w:tc>
          <w:tcPr>
            <w:tcW w:w="990" w:type="dxa"/>
            <w:noWrap/>
            <w:hideMark/>
          </w:tcPr>
          <w:p w14:paraId="274B8EF7"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4.8%</w:t>
            </w:r>
          </w:p>
        </w:tc>
      </w:tr>
      <w:tr w:rsidR="00EF7178" w:rsidRPr="00EF7178" w14:paraId="25910037"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7453BAF2"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8</w:t>
            </w:r>
          </w:p>
        </w:tc>
        <w:tc>
          <w:tcPr>
            <w:tcW w:w="5760" w:type="dxa"/>
            <w:noWrap/>
            <w:hideMark/>
          </w:tcPr>
          <w:p w14:paraId="4B37C69B" w14:textId="6716C4DB"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Retrocommissioning</w:t>
            </w:r>
          </w:p>
        </w:tc>
        <w:tc>
          <w:tcPr>
            <w:tcW w:w="1613" w:type="dxa"/>
            <w:noWrap/>
            <w:hideMark/>
          </w:tcPr>
          <w:p w14:paraId="35CB0957"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3,976</w:t>
            </w:r>
          </w:p>
        </w:tc>
        <w:tc>
          <w:tcPr>
            <w:tcW w:w="990" w:type="dxa"/>
            <w:noWrap/>
            <w:hideMark/>
          </w:tcPr>
          <w:p w14:paraId="49323110"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4.6%</w:t>
            </w:r>
          </w:p>
        </w:tc>
      </w:tr>
      <w:tr w:rsidR="00EF7178" w:rsidRPr="00EF7178" w14:paraId="3821ED25"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46C209CF"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9</w:t>
            </w:r>
          </w:p>
        </w:tc>
        <w:tc>
          <w:tcPr>
            <w:tcW w:w="5760" w:type="dxa"/>
            <w:noWrap/>
            <w:hideMark/>
          </w:tcPr>
          <w:p w14:paraId="1CFF1D26" w14:textId="2A2A1C51"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Compressed Air - Equipment Upgrade</w:t>
            </w:r>
          </w:p>
        </w:tc>
        <w:tc>
          <w:tcPr>
            <w:tcW w:w="1613" w:type="dxa"/>
            <w:noWrap/>
            <w:hideMark/>
          </w:tcPr>
          <w:p w14:paraId="020DF135"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3,318</w:t>
            </w:r>
          </w:p>
        </w:tc>
        <w:tc>
          <w:tcPr>
            <w:tcW w:w="990" w:type="dxa"/>
            <w:noWrap/>
            <w:hideMark/>
          </w:tcPr>
          <w:p w14:paraId="6BEB2CC8"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3.8%</w:t>
            </w:r>
          </w:p>
        </w:tc>
      </w:tr>
      <w:tr w:rsidR="00EF7178" w:rsidRPr="00EF7178" w14:paraId="668366F6"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089371FF"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10</w:t>
            </w:r>
          </w:p>
        </w:tc>
        <w:tc>
          <w:tcPr>
            <w:tcW w:w="5760" w:type="dxa"/>
            <w:noWrap/>
            <w:hideMark/>
          </w:tcPr>
          <w:p w14:paraId="1B88F70A" w14:textId="4064E499"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Fan System - Controls</w:t>
            </w:r>
          </w:p>
        </w:tc>
        <w:tc>
          <w:tcPr>
            <w:tcW w:w="1613" w:type="dxa"/>
            <w:noWrap/>
            <w:hideMark/>
          </w:tcPr>
          <w:p w14:paraId="707A0555"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3,214</w:t>
            </w:r>
          </w:p>
        </w:tc>
        <w:tc>
          <w:tcPr>
            <w:tcW w:w="990" w:type="dxa"/>
            <w:noWrap/>
            <w:hideMark/>
          </w:tcPr>
          <w:p w14:paraId="142B91C1"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3.7%</w:t>
            </w:r>
          </w:p>
        </w:tc>
      </w:tr>
      <w:tr w:rsidR="00EF7178" w:rsidRPr="00EF7178" w14:paraId="2366BFDE"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A11E101"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11</w:t>
            </w:r>
          </w:p>
        </w:tc>
        <w:tc>
          <w:tcPr>
            <w:tcW w:w="5760" w:type="dxa"/>
            <w:noWrap/>
            <w:hideMark/>
          </w:tcPr>
          <w:p w14:paraId="7AF1C3F1" w14:textId="6C4E65A1"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Pumping System - Equipment Upgrade</w:t>
            </w:r>
          </w:p>
        </w:tc>
        <w:tc>
          <w:tcPr>
            <w:tcW w:w="1613" w:type="dxa"/>
            <w:noWrap/>
            <w:hideMark/>
          </w:tcPr>
          <w:p w14:paraId="27F6F9ED"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2,919</w:t>
            </w:r>
          </w:p>
        </w:tc>
        <w:tc>
          <w:tcPr>
            <w:tcW w:w="990" w:type="dxa"/>
            <w:noWrap/>
            <w:hideMark/>
          </w:tcPr>
          <w:p w14:paraId="48DEB8DD"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3.4%</w:t>
            </w:r>
          </w:p>
        </w:tc>
      </w:tr>
      <w:tr w:rsidR="00EF7178" w:rsidRPr="00EF7178" w14:paraId="5B764BCD"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7DB695D"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12</w:t>
            </w:r>
          </w:p>
        </w:tc>
        <w:tc>
          <w:tcPr>
            <w:tcW w:w="5760" w:type="dxa"/>
            <w:noWrap/>
            <w:hideMark/>
          </w:tcPr>
          <w:p w14:paraId="7765D3B9" w14:textId="3FBBC276"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Strategic Energy Management</w:t>
            </w:r>
          </w:p>
        </w:tc>
        <w:tc>
          <w:tcPr>
            <w:tcW w:w="1613" w:type="dxa"/>
            <w:noWrap/>
            <w:hideMark/>
          </w:tcPr>
          <w:p w14:paraId="1878503A"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2,705</w:t>
            </w:r>
          </w:p>
        </w:tc>
        <w:tc>
          <w:tcPr>
            <w:tcW w:w="990" w:type="dxa"/>
            <w:noWrap/>
            <w:hideMark/>
          </w:tcPr>
          <w:p w14:paraId="5AAA89D3"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3.1%</w:t>
            </w:r>
          </w:p>
        </w:tc>
      </w:tr>
      <w:tr w:rsidR="00EF7178" w:rsidRPr="00EF7178" w14:paraId="2CEB55C9"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6446E3BE"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13</w:t>
            </w:r>
          </w:p>
        </w:tc>
        <w:tc>
          <w:tcPr>
            <w:tcW w:w="5760" w:type="dxa"/>
            <w:noWrap/>
            <w:hideMark/>
          </w:tcPr>
          <w:p w14:paraId="0E9BDBEC" w14:textId="77777777"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Ventilation - Variable Air Volume</w:t>
            </w:r>
          </w:p>
        </w:tc>
        <w:tc>
          <w:tcPr>
            <w:tcW w:w="1613" w:type="dxa"/>
            <w:noWrap/>
            <w:hideMark/>
          </w:tcPr>
          <w:p w14:paraId="0C50B5CB"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2,154</w:t>
            </w:r>
          </w:p>
        </w:tc>
        <w:tc>
          <w:tcPr>
            <w:tcW w:w="990" w:type="dxa"/>
            <w:noWrap/>
            <w:hideMark/>
          </w:tcPr>
          <w:p w14:paraId="0F5AE40C"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2.5%</w:t>
            </w:r>
          </w:p>
        </w:tc>
      </w:tr>
      <w:tr w:rsidR="00EF7178" w:rsidRPr="00EF7178" w14:paraId="70A085B0"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B46C70D"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14</w:t>
            </w:r>
          </w:p>
        </w:tc>
        <w:tc>
          <w:tcPr>
            <w:tcW w:w="5760" w:type="dxa"/>
            <w:noWrap/>
            <w:hideMark/>
          </w:tcPr>
          <w:p w14:paraId="454F1F0E" w14:textId="64344A00"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Compressed Air - End Use Optimization</w:t>
            </w:r>
          </w:p>
        </w:tc>
        <w:tc>
          <w:tcPr>
            <w:tcW w:w="1613" w:type="dxa"/>
            <w:noWrap/>
            <w:hideMark/>
          </w:tcPr>
          <w:p w14:paraId="0767340E"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1,959</w:t>
            </w:r>
          </w:p>
        </w:tc>
        <w:tc>
          <w:tcPr>
            <w:tcW w:w="990" w:type="dxa"/>
            <w:noWrap/>
            <w:hideMark/>
          </w:tcPr>
          <w:p w14:paraId="1D44BA01"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2.3%</w:t>
            </w:r>
          </w:p>
        </w:tc>
      </w:tr>
      <w:tr w:rsidR="00EF7178" w:rsidRPr="00EF7178" w14:paraId="6955E9B6"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9359C29"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15</w:t>
            </w:r>
          </w:p>
        </w:tc>
        <w:tc>
          <w:tcPr>
            <w:tcW w:w="5760" w:type="dxa"/>
            <w:noWrap/>
            <w:hideMark/>
          </w:tcPr>
          <w:p w14:paraId="78B4A808" w14:textId="7266428A"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Fan System - Flow Optimization</w:t>
            </w:r>
          </w:p>
        </w:tc>
        <w:tc>
          <w:tcPr>
            <w:tcW w:w="1613" w:type="dxa"/>
            <w:noWrap/>
            <w:hideMark/>
          </w:tcPr>
          <w:p w14:paraId="459F44A0"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1,885</w:t>
            </w:r>
          </w:p>
        </w:tc>
        <w:tc>
          <w:tcPr>
            <w:tcW w:w="990" w:type="dxa"/>
            <w:noWrap/>
            <w:hideMark/>
          </w:tcPr>
          <w:p w14:paraId="0A188293"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2.2%</w:t>
            </w:r>
          </w:p>
        </w:tc>
      </w:tr>
      <w:tr w:rsidR="00EF7178" w:rsidRPr="00EF7178" w14:paraId="702DF43F"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1FF3E0AF"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16</w:t>
            </w:r>
          </w:p>
        </w:tc>
        <w:tc>
          <w:tcPr>
            <w:tcW w:w="5760" w:type="dxa"/>
            <w:noWrap/>
            <w:hideMark/>
          </w:tcPr>
          <w:p w14:paraId="69FF4CD3" w14:textId="4AE6A261"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HVAC - Energy Recovery Ventilator</w:t>
            </w:r>
          </w:p>
        </w:tc>
        <w:tc>
          <w:tcPr>
            <w:tcW w:w="1613" w:type="dxa"/>
            <w:noWrap/>
            <w:hideMark/>
          </w:tcPr>
          <w:p w14:paraId="02331DC9"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1,538</w:t>
            </w:r>
          </w:p>
        </w:tc>
        <w:tc>
          <w:tcPr>
            <w:tcW w:w="990" w:type="dxa"/>
            <w:noWrap/>
            <w:hideMark/>
          </w:tcPr>
          <w:p w14:paraId="7E0A6768"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1.8%</w:t>
            </w:r>
          </w:p>
        </w:tc>
      </w:tr>
      <w:tr w:rsidR="00EF7178" w:rsidRPr="00EF7178" w14:paraId="0A3A16B2"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2E000235"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17</w:t>
            </w:r>
          </w:p>
        </w:tc>
        <w:tc>
          <w:tcPr>
            <w:tcW w:w="5760" w:type="dxa"/>
            <w:noWrap/>
            <w:hideMark/>
          </w:tcPr>
          <w:p w14:paraId="516185B1" w14:textId="3E16059E"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Connected Thermostat - ENERGY STAR (1.0)</w:t>
            </w:r>
          </w:p>
        </w:tc>
        <w:tc>
          <w:tcPr>
            <w:tcW w:w="1613" w:type="dxa"/>
            <w:noWrap/>
            <w:hideMark/>
          </w:tcPr>
          <w:p w14:paraId="2552BA5C"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1,360</w:t>
            </w:r>
          </w:p>
        </w:tc>
        <w:tc>
          <w:tcPr>
            <w:tcW w:w="990" w:type="dxa"/>
            <w:noWrap/>
            <w:hideMark/>
          </w:tcPr>
          <w:p w14:paraId="71C413D7"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1.6%</w:t>
            </w:r>
          </w:p>
        </w:tc>
      </w:tr>
      <w:tr w:rsidR="00EF7178" w:rsidRPr="00EF7178" w14:paraId="3177BAD5"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71855A3E"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18</w:t>
            </w:r>
          </w:p>
        </w:tc>
        <w:tc>
          <w:tcPr>
            <w:tcW w:w="5760" w:type="dxa"/>
            <w:noWrap/>
            <w:hideMark/>
          </w:tcPr>
          <w:p w14:paraId="23E3E37A" w14:textId="1FDE6825"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Interior Lighting - Retrofit - Networked Lighting Controls</w:t>
            </w:r>
          </w:p>
        </w:tc>
        <w:tc>
          <w:tcPr>
            <w:tcW w:w="1613" w:type="dxa"/>
            <w:noWrap/>
            <w:hideMark/>
          </w:tcPr>
          <w:p w14:paraId="789A88F9"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1,334</w:t>
            </w:r>
          </w:p>
        </w:tc>
        <w:tc>
          <w:tcPr>
            <w:tcW w:w="990" w:type="dxa"/>
            <w:noWrap/>
            <w:hideMark/>
          </w:tcPr>
          <w:p w14:paraId="5B85A780"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1.5%</w:t>
            </w:r>
          </w:p>
        </w:tc>
      </w:tr>
      <w:tr w:rsidR="00EF7178" w:rsidRPr="00EF7178" w14:paraId="54F50331"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9475558"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19</w:t>
            </w:r>
          </w:p>
        </w:tc>
        <w:tc>
          <w:tcPr>
            <w:tcW w:w="5760" w:type="dxa"/>
            <w:noWrap/>
            <w:hideMark/>
          </w:tcPr>
          <w:p w14:paraId="20A1F440" w14:textId="3D7A0A7B"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Insulation - Ceiling</w:t>
            </w:r>
          </w:p>
        </w:tc>
        <w:tc>
          <w:tcPr>
            <w:tcW w:w="1613" w:type="dxa"/>
            <w:noWrap/>
            <w:hideMark/>
          </w:tcPr>
          <w:p w14:paraId="00240895"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1,183</w:t>
            </w:r>
          </w:p>
        </w:tc>
        <w:tc>
          <w:tcPr>
            <w:tcW w:w="990" w:type="dxa"/>
            <w:noWrap/>
            <w:hideMark/>
          </w:tcPr>
          <w:p w14:paraId="0169DAA1"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1.4%</w:t>
            </w:r>
          </w:p>
        </w:tc>
      </w:tr>
      <w:tr w:rsidR="00EF7178" w:rsidRPr="00EF7178" w14:paraId="7C1EE3B5"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688598F" w14:textId="77777777" w:rsidR="00EF7178" w:rsidRPr="00DE3A19" w:rsidRDefault="00EF7178" w:rsidP="00610EA2">
            <w:pPr>
              <w:keepNext/>
              <w:jc w:val="center"/>
              <w:rPr>
                <w:rFonts w:asciiTheme="minorHAnsi" w:eastAsia="Times New Roman" w:hAnsiTheme="minorHAnsi"/>
                <w:szCs w:val="20"/>
              </w:rPr>
            </w:pPr>
            <w:r w:rsidRPr="00DE3A19">
              <w:rPr>
                <w:rFonts w:asciiTheme="minorHAnsi" w:eastAsia="Times New Roman" w:hAnsiTheme="minorHAnsi"/>
                <w:szCs w:val="20"/>
              </w:rPr>
              <w:t>20</w:t>
            </w:r>
          </w:p>
        </w:tc>
        <w:tc>
          <w:tcPr>
            <w:tcW w:w="5760" w:type="dxa"/>
            <w:noWrap/>
            <w:hideMark/>
          </w:tcPr>
          <w:p w14:paraId="47E0B18B" w14:textId="0F511B3C"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Compressed Air - System Controls</w:t>
            </w:r>
          </w:p>
        </w:tc>
        <w:tc>
          <w:tcPr>
            <w:tcW w:w="1613" w:type="dxa"/>
            <w:noWrap/>
            <w:hideMark/>
          </w:tcPr>
          <w:p w14:paraId="1207FF3C"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1,013</w:t>
            </w:r>
          </w:p>
        </w:tc>
        <w:tc>
          <w:tcPr>
            <w:tcW w:w="990" w:type="dxa"/>
            <w:noWrap/>
            <w:hideMark/>
          </w:tcPr>
          <w:p w14:paraId="57D75D30"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szCs w:val="20"/>
              </w:rPr>
            </w:pPr>
            <w:r w:rsidRPr="00DE3A19">
              <w:rPr>
                <w:rFonts w:asciiTheme="minorHAnsi" w:eastAsia="Times New Roman" w:hAnsiTheme="minorHAnsi"/>
                <w:szCs w:val="20"/>
              </w:rPr>
              <w:t>1.2%</w:t>
            </w:r>
          </w:p>
        </w:tc>
      </w:tr>
      <w:tr w:rsidR="00EF7178" w:rsidRPr="00EF7178" w14:paraId="7B567575" w14:textId="77777777" w:rsidTr="00610EA2">
        <w:trPr>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48129ED3" w14:textId="731294E7" w:rsidR="00EF7178" w:rsidRPr="00EF7178" w:rsidRDefault="00EF7178" w:rsidP="00610EA2">
            <w:pPr>
              <w:keepNext/>
              <w:jc w:val="center"/>
              <w:rPr>
                <w:rFonts w:ascii="Calibri" w:eastAsia="Times New Roman" w:hAnsi="Calibri"/>
                <w:b/>
                <w:bCs/>
                <w:szCs w:val="20"/>
              </w:rPr>
            </w:pPr>
          </w:p>
        </w:tc>
        <w:tc>
          <w:tcPr>
            <w:tcW w:w="5760" w:type="dxa"/>
            <w:noWrap/>
            <w:hideMark/>
          </w:tcPr>
          <w:p w14:paraId="0D63D91A" w14:textId="77777777" w:rsidR="00EF7178" w:rsidRPr="00DE3A19"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E3A19">
              <w:rPr>
                <w:rFonts w:asciiTheme="majorHAnsi" w:eastAsia="Times New Roman" w:hAnsiTheme="majorHAnsi"/>
                <w:szCs w:val="20"/>
              </w:rPr>
              <w:t>Total of Top 20 Measures</w:t>
            </w:r>
          </w:p>
        </w:tc>
        <w:tc>
          <w:tcPr>
            <w:tcW w:w="1613" w:type="dxa"/>
            <w:noWrap/>
            <w:hideMark/>
          </w:tcPr>
          <w:p w14:paraId="4A8C62C2" w14:textId="77777777" w:rsidR="00EF7178" w:rsidRPr="00DE3A19"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E3A19">
              <w:rPr>
                <w:rFonts w:asciiTheme="majorHAnsi" w:eastAsia="Times New Roman" w:hAnsiTheme="majorHAnsi"/>
                <w:szCs w:val="20"/>
              </w:rPr>
              <w:t>80,098</w:t>
            </w:r>
          </w:p>
        </w:tc>
        <w:tc>
          <w:tcPr>
            <w:tcW w:w="990" w:type="dxa"/>
            <w:noWrap/>
            <w:hideMark/>
          </w:tcPr>
          <w:p w14:paraId="06B57BAE" w14:textId="77777777" w:rsidR="00EF7178" w:rsidRPr="00DE3A19" w:rsidRDefault="00EF7178" w:rsidP="00596A1C">
            <w:pPr>
              <w:keepNext/>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E3A19">
              <w:rPr>
                <w:rFonts w:asciiTheme="majorHAnsi" w:eastAsia="Times New Roman" w:hAnsiTheme="majorHAnsi"/>
                <w:szCs w:val="20"/>
              </w:rPr>
              <w:t>92.4%</w:t>
            </w:r>
          </w:p>
        </w:tc>
      </w:tr>
      <w:tr w:rsidR="00EF7178" w:rsidRPr="00EF7178" w14:paraId="6293702B" w14:textId="77777777" w:rsidTr="00610EA2">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EE512FF" w14:textId="2AE7487F" w:rsidR="00EF7178" w:rsidRPr="00EF7178" w:rsidRDefault="00EF7178" w:rsidP="00610EA2">
            <w:pPr>
              <w:keepNext/>
              <w:jc w:val="center"/>
              <w:rPr>
                <w:rFonts w:ascii="Calibri" w:eastAsia="Times New Roman" w:hAnsi="Calibri"/>
                <w:b/>
                <w:bCs/>
                <w:szCs w:val="20"/>
              </w:rPr>
            </w:pPr>
          </w:p>
        </w:tc>
        <w:tc>
          <w:tcPr>
            <w:tcW w:w="5760" w:type="dxa"/>
            <w:noWrap/>
            <w:hideMark/>
          </w:tcPr>
          <w:p w14:paraId="7516A676" w14:textId="77777777" w:rsidR="00EF7178" w:rsidRPr="00DE3A19"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DE3A19">
              <w:rPr>
                <w:rFonts w:asciiTheme="majorHAnsi" w:eastAsia="Times New Roman" w:hAnsiTheme="majorHAnsi"/>
                <w:szCs w:val="20"/>
              </w:rPr>
              <w:t>Total Cumulative Savings</w:t>
            </w:r>
          </w:p>
        </w:tc>
        <w:tc>
          <w:tcPr>
            <w:tcW w:w="1613" w:type="dxa"/>
            <w:noWrap/>
            <w:hideMark/>
          </w:tcPr>
          <w:p w14:paraId="00FCF74E" w14:textId="77777777" w:rsidR="00EF7178" w:rsidRPr="00DE3A19"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DE3A19">
              <w:rPr>
                <w:rFonts w:asciiTheme="majorHAnsi" w:eastAsia="Times New Roman" w:hAnsiTheme="majorHAnsi"/>
                <w:szCs w:val="20"/>
              </w:rPr>
              <w:t>86,661</w:t>
            </w:r>
          </w:p>
        </w:tc>
        <w:tc>
          <w:tcPr>
            <w:tcW w:w="990" w:type="dxa"/>
            <w:noWrap/>
            <w:hideMark/>
          </w:tcPr>
          <w:p w14:paraId="03A81753" w14:textId="77777777" w:rsidR="00EF7178" w:rsidRPr="00DE3A19" w:rsidRDefault="00EF7178" w:rsidP="00596A1C">
            <w:pPr>
              <w:keepNext/>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DE3A19">
              <w:rPr>
                <w:rFonts w:asciiTheme="majorHAnsi" w:eastAsia="Times New Roman" w:hAnsiTheme="majorHAnsi"/>
                <w:szCs w:val="20"/>
              </w:rPr>
              <w:t>100.0%</w:t>
            </w:r>
          </w:p>
        </w:tc>
      </w:tr>
    </w:tbl>
    <w:p w14:paraId="2F1E17E3" w14:textId="02DD862A" w:rsidR="00EC1296" w:rsidRDefault="00EC1296" w:rsidP="001E2142">
      <w:pPr>
        <w:rPr>
          <w:lang w:eastAsia="ja-JP"/>
        </w:rPr>
      </w:pPr>
    </w:p>
    <w:p w14:paraId="21B7C5E6" w14:textId="23A54B5D" w:rsidR="007A5079" w:rsidRPr="0034355B" w:rsidRDefault="00610EA2" w:rsidP="007A5079">
      <w:pPr>
        <w:pStyle w:val="BodyText"/>
      </w:pPr>
      <w:r>
        <w:rPr>
          <w:bCs/>
        </w:rPr>
        <w:fldChar w:fldCharType="begin"/>
      </w:r>
      <w:r>
        <w:rPr>
          <w:bCs/>
        </w:rPr>
        <w:instrText xml:space="preserve"> REF _Ref175816845 \h </w:instrText>
      </w:r>
      <w:r>
        <w:rPr>
          <w:bCs/>
        </w:rPr>
      </w:r>
      <w:r>
        <w:rPr>
          <w:bCs/>
        </w:rPr>
        <w:fldChar w:fldCharType="separate"/>
      </w:r>
      <w:r>
        <w:t xml:space="preserve">Figure </w:t>
      </w:r>
      <w:r>
        <w:rPr>
          <w:noProof/>
        </w:rPr>
        <w:t>5</w:t>
      </w:r>
      <w:r>
        <w:noBreakHyphen/>
      </w:r>
      <w:r>
        <w:rPr>
          <w:noProof/>
        </w:rPr>
        <w:t>15</w:t>
      </w:r>
      <w:r>
        <w:rPr>
          <w:bCs/>
        </w:rPr>
        <w:fldChar w:fldCharType="end"/>
      </w:r>
      <w:r w:rsidR="007A5079">
        <w:rPr>
          <w:bCs/>
        </w:rPr>
        <w:t xml:space="preserve"> </w:t>
      </w:r>
      <w:r w:rsidR="007A5079" w:rsidRPr="004671E8">
        <w:t>present</w:t>
      </w:r>
      <w:r w:rsidR="007A5079">
        <w:t>s a</w:t>
      </w:r>
      <w:r w:rsidR="007A5079" w:rsidRPr="004671E8">
        <w:t xml:space="preserve"> forecast of cumulative </w:t>
      </w:r>
      <w:r w:rsidR="007A5079">
        <w:t xml:space="preserve">industrial </w:t>
      </w:r>
      <w:r w:rsidR="007A5079" w:rsidRPr="004671E8">
        <w:t>energy savings by end use</w:t>
      </w:r>
      <w:r w:rsidR="007A5079">
        <w:t xml:space="preserve"> in Idaho</w:t>
      </w:r>
      <w:r w:rsidR="007A5079" w:rsidRPr="004671E8">
        <w:t>.</w:t>
      </w:r>
      <w:r w:rsidR="007A5079">
        <w:t xml:space="preserve"> Like Washington, the motor and lighting end uses make up most of the savings potential in the study horizon.</w:t>
      </w:r>
    </w:p>
    <w:p w14:paraId="06450AB0" w14:textId="77777777" w:rsidR="007A5079" w:rsidRDefault="007A5079" w:rsidP="001E2142">
      <w:pPr>
        <w:rPr>
          <w:lang w:eastAsia="ja-JP"/>
        </w:rPr>
      </w:pPr>
    </w:p>
    <w:p w14:paraId="2DBE953E" w14:textId="63DB1550" w:rsidR="009D42F8" w:rsidRDefault="009D42F8" w:rsidP="009D42F8">
      <w:pPr>
        <w:pStyle w:val="FigureorTableCaption"/>
      </w:pPr>
      <w:bookmarkStart w:id="170" w:name="_Ref175816845"/>
      <w:bookmarkStart w:id="171" w:name="_Toc175904461"/>
      <w:r>
        <w:t xml:space="preserve">Figure </w:t>
      </w:r>
      <w:r w:rsidR="000E34CB">
        <w:fldChar w:fldCharType="begin"/>
      </w:r>
      <w:r w:rsidR="000E34CB">
        <w:instrText xml:space="preserve"> STYLEREF 1 \s </w:instrText>
      </w:r>
      <w:r w:rsidR="000E34CB">
        <w:fldChar w:fldCharType="separate"/>
      </w:r>
      <w:r w:rsidR="000E34CB">
        <w:rPr>
          <w:noProof/>
        </w:rPr>
        <w:t>5</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15</w:t>
      </w:r>
      <w:r w:rsidR="000E34CB">
        <w:fldChar w:fldCharType="end"/>
      </w:r>
      <w:bookmarkEnd w:id="170"/>
      <w:r w:rsidR="00455098">
        <w:t xml:space="preserve"> </w:t>
      </w:r>
      <w:r w:rsidRPr="00F5315B">
        <w:t>Industrial Cumulative Achievable Technical Potential by End Use, Idaho</w:t>
      </w:r>
      <w:bookmarkEnd w:id="171"/>
    </w:p>
    <w:p w14:paraId="016C7570" w14:textId="33BDF183" w:rsidR="00EC1296" w:rsidRDefault="00EC1296" w:rsidP="0038053B">
      <w:pPr>
        <w:jc w:val="center"/>
        <w:rPr>
          <w:lang w:eastAsia="ja-JP"/>
        </w:rPr>
      </w:pPr>
      <w:r>
        <w:rPr>
          <w:noProof/>
        </w:rPr>
        <w:drawing>
          <wp:inline distT="0" distB="0" distL="0" distR="0" wp14:anchorId="18E6F0FB" wp14:editId="1A65B7D1">
            <wp:extent cx="6000750" cy="3114675"/>
            <wp:effectExtent l="0" t="0" r="0" b="0"/>
            <wp:docPr id="1866037869" name="Chart 1">
              <a:extLst xmlns:a="http://schemas.openxmlformats.org/drawingml/2006/main">
                <a:ext uri="{FF2B5EF4-FFF2-40B4-BE49-F238E27FC236}">
                  <a16:creationId xmlns:a16="http://schemas.microsoft.com/office/drawing/2014/main" id="{DBD0DDE0-3C65-423D-BE29-E60A25CC6B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FE460A9" w14:textId="351377A1" w:rsidR="00EF7178" w:rsidRDefault="00EF7178" w:rsidP="001E2142">
      <w:pPr>
        <w:rPr>
          <w:lang w:eastAsia="ja-JP"/>
        </w:rPr>
      </w:pPr>
    </w:p>
    <w:p w14:paraId="2E9B8059" w14:textId="1748FD3D" w:rsidR="00A0393C" w:rsidRPr="00A0393C" w:rsidRDefault="00610EA2" w:rsidP="00A0393C">
      <w:pPr>
        <w:pStyle w:val="AEGBody"/>
        <w:rPr>
          <w:iCs/>
        </w:rPr>
      </w:pPr>
      <w:r>
        <w:rPr>
          <w:iCs/>
          <w:noProof/>
        </w:rPr>
        <w:fldChar w:fldCharType="begin"/>
      </w:r>
      <w:r>
        <w:rPr>
          <w:iCs/>
          <w:noProof/>
        </w:rPr>
        <w:instrText xml:space="preserve"> REF _Ref175816821 \h </w:instrText>
      </w:r>
      <w:r>
        <w:rPr>
          <w:iCs/>
          <w:noProof/>
        </w:rPr>
      </w:r>
      <w:r>
        <w:rPr>
          <w:iCs/>
          <w:noProof/>
        </w:rPr>
        <w:fldChar w:fldCharType="separate"/>
      </w:r>
      <w:r>
        <w:t xml:space="preserve">Table </w:t>
      </w:r>
      <w:r>
        <w:rPr>
          <w:noProof/>
        </w:rPr>
        <w:t>5</w:t>
      </w:r>
      <w:r>
        <w:noBreakHyphen/>
      </w:r>
      <w:r>
        <w:rPr>
          <w:noProof/>
        </w:rPr>
        <w:t>15</w:t>
      </w:r>
      <w:r>
        <w:rPr>
          <w:iCs/>
          <w:noProof/>
        </w:rPr>
        <w:fldChar w:fldCharType="end"/>
      </w:r>
      <w:r w:rsidR="00A0393C" w:rsidRPr="006E1D2F">
        <w:rPr>
          <w:iCs/>
          <w:noProof/>
        </w:rPr>
        <w:t xml:space="preserve"> </w:t>
      </w:r>
      <w:r w:rsidR="00A0393C" w:rsidRPr="006E1D2F">
        <w:rPr>
          <w:iCs/>
        </w:rPr>
        <w:t xml:space="preserve">identifies the top 20 industrial measures from the perspective of cumulative energy savings by 2045 in Idaho. </w:t>
      </w:r>
      <w:r w:rsidR="002C0170" w:rsidRPr="006E1D2F">
        <w:rPr>
          <w:iCs/>
        </w:rPr>
        <w:t>Like</w:t>
      </w:r>
      <w:r w:rsidR="00A0393C" w:rsidRPr="006E1D2F">
        <w:rPr>
          <w:iCs/>
        </w:rPr>
        <w:t xml:space="preserve"> Washington, the top three measures are linear lighting, pumping system optimization, and advanced industrial motors.</w:t>
      </w:r>
    </w:p>
    <w:p w14:paraId="4D9BD5E4" w14:textId="77777777" w:rsidR="00A0393C" w:rsidRPr="00EF7178" w:rsidRDefault="00A0393C" w:rsidP="001E2142">
      <w:pPr>
        <w:rPr>
          <w:lang w:eastAsia="ja-JP"/>
        </w:rPr>
      </w:pPr>
    </w:p>
    <w:p w14:paraId="16EDB663" w14:textId="596C4FE1" w:rsidR="009D42F8" w:rsidRDefault="009D42F8" w:rsidP="009D42F8">
      <w:pPr>
        <w:pStyle w:val="FigureorTableCaption"/>
      </w:pPr>
      <w:bookmarkStart w:id="172" w:name="_Ref175816821"/>
      <w:bookmarkStart w:id="173" w:name="_Toc175912399"/>
      <w:r>
        <w:t xml:space="preserve">Table </w:t>
      </w:r>
      <w:r w:rsidR="00EE4707">
        <w:fldChar w:fldCharType="begin"/>
      </w:r>
      <w:r w:rsidR="00EE4707">
        <w:instrText xml:space="preserve"> STYLEREF 1 \s </w:instrText>
      </w:r>
      <w:r w:rsidR="00EE4707">
        <w:fldChar w:fldCharType="separate"/>
      </w:r>
      <w:r w:rsidR="00EE4707">
        <w:rPr>
          <w:noProof/>
        </w:rPr>
        <w:t>5</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15</w:t>
      </w:r>
      <w:r w:rsidR="00EE4707">
        <w:fldChar w:fldCharType="end"/>
      </w:r>
      <w:bookmarkEnd w:id="172"/>
      <w:r w:rsidR="00455098">
        <w:t xml:space="preserve"> </w:t>
      </w:r>
      <w:r w:rsidRPr="00931C13">
        <w:t xml:space="preserve">Industrial Top 20 Measures </w:t>
      </w:r>
      <w:r w:rsidR="00A531C6">
        <w:t>in</w:t>
      </w:r>
      <w:r w:rsidRPr="00931C13">
        <w:t xml:space="preserve"> 2045, Idaho</w:t>
      </w:r>
      <w:bookmarkEnd w:id="173"/>
    </w:p>
    <w:tbl>
      <w:tblPr>
        <w:tblStyle w:val="AEGBlue2"/>
        <w:tblW w:w="9173" w:type="dxa"/>
        <w:jc w:val="center"/>
        <w:tblLook w:val="04A0" w:firstRow="1" w:lastRow="0" w:firstColumn="1" w:lastColumn="0" w:noHBand="0" w:noVBand="1"/>
      </w:tblPr>
      <w:tblGrid>
        <w:gridCol w:w="806"/>
        <w:gridCol w:w="5760"/>
        <w:gridCol w:w="1613"/>
        <w:gridCol w:w="994"/>
      </w:tblGrid>
      <w:tr w:rsidR="00EF7178" w:rsidRPr="00EF7178" w14:paraId="447EF218" w14:textId="77777777" w:rsidTr="00610EA2">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A9EB3A3" w14:textId="640D5E37" w:rsidR="00EF7178" w:rsidRPr="00AA759F" w:rsidRDefault="00EF7178" w:rsidP="00610EA2">
            <w:pPr>
              <w:keepNext/>
              <w:jc w:val="center"/>
              <w:rPr>
                <w:rFonts w:asciiTheme="majorHAnsi" w:eastAsia="Times New Roman" w:hAnsiTheme="majorHAnsi"/>
                <w:szCs w:val="20"/>
              </w:rPr>
            </w:pPr>
            <w:r w:rsidRPr="00AA759F">
              <w:rPr>
                <w:rFonts w:asciiTheme="majorHAnsi" w:eastAsia="Times New Roman" w:hAnsiTheme="majorHAnsi"/>
                <w:szCs w:val="20"/>
              </w:rPr>
              <w:t>Rank</w:t>
            </w:r>
          </w:p>
        </w:tc>
        <w:tc>
          <w:tcPr>
            <w:tcW w:w="5760" w:type="dxa"/>
            <w:noWrap/>
            <w:hideMark/>
          </w:tcPr>
          <w:p w14:paraId="755E3C71" w14:textId="0614E833" w:rsidR="00EF7178" w:rsidRPr="00AA759F" w:rsidRDefault="00EF7178" w:rsidP="00610EA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A759F">
              <w:rPr>
                <w:rFonts w:asciiTheme="majorHAnsi" w:eastAsia="Times New Roman" w:hAnsiTheme="majorHAnsi"/>
                <w:szCs w:val="20"/>
              </w:rPr>
              <w:t>Industrial Measure</w:t>
            </w:r>
          </w:p>
        </w:tc>
        <w:tc>
          <w:tcPr>
            <w:tcW w:w="1613" w:type="dxa"/>
            <w:hideMark/>
          </w:tcPr>
          <w:p w14:paraId="3B41BF26" w14:textId="451202C9" w:rsidR="00EF7178" w:rsidRPr="00AA759F" w:rsidRDefault="00EF7178" w:rsidP="009336C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A759F">
              <w:rPr>
                <w:rFonts w:asciiTheme="majorHAnsi" w:eastAsia="Times New Roman" w:hAnsiTheme="majorHAnsi"/>
                <w:szCs w:val="20"/>
              </w:rPr>
              <w:t>2045 Cumulative Savings (MWh)</w:t>
            </w:r>
          </w:p>
        </w:tc>
        <w:tc>
          <w:tcPr>
            <w:tcW w:w="994" w:type="dxa"/>
            <w:noWrap/>
            <w:hideMark/>
          </w:tcPr>
          <w:p w14:paraId="644EF7A2" w14:textId="77777777" w:rsidR="00EF7178" w:rsidRPr="00AA759F" w:rsidRDefault="00EF7178" w:rsidP="009336C2">
            <w:pPr>
              <w:keepNext/>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AA759F">
              <w:rPr>
                <w:rFonts w:asciiTheme="majorHAnsi" w:eastAsia="Times New Roman" w:hAnsiTheme="majorHAnsi"/>
                <w:szCs w:val="20"/>
              </w:rPr>
              <w:t>% of Total</w:t>
            </w:r>
          </w:p>
        </w:tc>
      </w:tr>
      <w:tr w:rsidR="00EF7178" w:rsidRPr="00EF7178" w14:paraId="42E458C4"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51A604E" w14:textId="77777777" w:rsidR="00EF7178" w:rsidRPr="00AA759F" w:rsidRDefault="00EF7178" w:rsidP="00610EA2">
            <w:pPr>
              <w:keepNext/>
              <w:jc w:val="center"/>
              <w:rPr>
                <w:rFonts w:eastAsia="Times New Roman"/>
                <w:szCs w:val="20"/>
              </w:rPr>
            </w:pPr>
            <w:r w:rsidRPr="00AA759F">
              <w:rPr>
                <w:rFonts w:eastAsia="Times New Roman"/>
                <w:szCs w:val="20"/>
              </w:rPr>
              <w:t>1</w:t>
            </w:r>
          </w:p>
        </w:tc>
        <w:tc>
          <w:tcPr>
            <w:tcW w:w="5760" w:type="dxa"/>
            <w:noWrap/>
            <w:hideMark/>
          </w:tcPr>
          <w:p w14:paraId="6FED6527" w14:textId="29C67E40"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Linear Lighting - LED (152 lm/W system) w/ Controls</w:t>
            </w:r>
          </w:p>
        </w:tc>
        <w:tc>
          <w:tcPr>
            <w:tcW w:w="1613" w:type="dxa"/>
            <w:noWrap/>
            <w:hideMark/>
          </w:tcPr>
          <w:p w14:paraId="014E7AB0"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7,549</w:t>
            </w:r>
          </w:p>
        </w:tc>
        <w:tc>
          <w:tcPr>
            <w:tcW w:w="994" w:type="dxa"/>
            <w:noWrap/>
            <w:hideMark/>
          </w:tcPr>
          <w:p w14:paraId="3AC56C9B"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12.7%</w:t>
            </w:r>
          </w:p>
        </w:tc>
      </w:tr>
      <w:tr w:rsidR="00EF7178" w:rsidRPr="00EF7178" w14:paraId="117AD5E2"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4D2E3011" w14:textId="77777777" w:rsidR="00EF7178" w:rsidRPr="00AA759F" w:rsidRDefault="00EF7178" w:rsidP="00610EA2">
            <w:pPr>
              <w:keepNext/>
              <w:jc w:val="center"/>
              <w:rPr>
                <w:rFonts w:eastAsia="Times New Roman"/>
                <w:szCs w:val="20"/>
              </w:rPr>
            </w:pPr>
            <w:r w:rsidRPr="00AA759F">
              <w:rPr>
                <w:rFonts w:eastAsia="Times New Roman"/>
                <w:szCs w:val="20"/>
              </w:rPr>
              <w:t>2</w:t>
            </w:r>
          </w:p>
        </w:tc>
        <w:tc>
          <w:tcPr>
            <w:tcW w:w="5760" w:type="dxa"/>
            <w:noWrap/>
            <w:hideMark/>
          </w:tcPr>
          <w:p w14:paraId="7FF6E658" w14:textId="12951BAD"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Advanced Industrial Motors</w:t>
            </w:r>
          </w:p>
        </w:tc>
        <w:tc>
          <w:tcPr>
            <w:tcW w:w="1613" w:type="dxa"/>
            <w:noWrap/>
            <w:hideMark/>
          </w:tcPr>
          <w:p w14:paraId="3DEFCCEF"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6,264</w:t>
            </w:r>
          </w:p>
        </w:tc>
        <w:tc>
          <w:tcPr>
            <w:tcW w:w="994" w:type="dxa"/>
            <w:noWrap/>
            <w:hideMark/>
          </w:tcPr>
          <w:p w14:paraId="3395B62E"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10.5%</w:t>
            </w:r>
          </w:p>
        </w:tc>
      </w:tr>
      <w:tr w:rsidR="00EF7178" w:rsidRPr="00EF7178" w14:paraId="4F5A6CDE"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06C0A68" w14:textId="77777777" w:rsidR="00EF7178" w:rsidRPr="00AA759F" w:rsidRDefault="00EF7178" w:rsidP="00610EA2">
            <w:pPr>
              <w:keepNext/>
              <w:jc w:val="center"/>
              <w:rPr>
                <w:rFonts w:eastAsia="Times New Roman"/>
                <w:szCs w:val="20"/>
              </w:rPr>
            </w:pPr>
            <w:r w:rsidRPr="00AA759F">
              <w:rPr>
                <w:rFonts w:eastAsia="Times New Roman"/>
                <w:szCs w:val="20"/>
              </w:rPr>
              <w:t>3</w:t>
            </w:r>
          </w:p>
        </w:tc>
        <w:tc>
          <w:tcPr>
            <w:tcW w:w="5760" w:type="dxa"/>
            <w:noWrap/>
            <w:hideMark/>
          </w:tcPr>
          <w:p w14:paraId="3BD80050" w14:textId="045E5AC7"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Pumping System - System Optimization</w:t>
            </w:r>
          </w:p>
        </w:tc>
        <w:tc>
          <w:tcPr>
            <w:tcW w:w="1613" w:type="dxa"/>
            <w:noWrap/>
            <w:hideMark/>
          </w:tcPr>
          <w:p w14:paraId="6890D04E"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5,114</w:t>
            </w:r>
          </w:p>
        </w:tc>
        <w:tc>
          <w:tcPr>
            <w:tcW w:w="994" w:type="dxa"/>
            <w:noWrap/>
            <w:hideMark/>
          </w:tcPr>
          <w:p w14:paraId="169438F9"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8.6%</w:t>
            </w:r>
          </w:p>
        </w:tc>
      </w:tr>
      <w:tr w:rsidR="00EF7178" w:rsidRPr="00EF7178" w14:paraId="454565DD"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B0F5444" w14:textId="77777777" w:rsidR="00EF7178" w:rsidRPr="00AA759F" w:rsidRDefault="00EF7178" w:rsidP="00610EA2">
            <w:pPr>
              <w:keepNext/>
              <w:jc w:val="center"/>
              <w:rPr>
                <w:rFonts w:eastAsia="Times New Roman"/>
                <w:szCs w:val="20"/>
              </w:rPr>
            </w:pPr>
            <w:r w:rsidRPr="00AA759F">
              <w:rPr>
                <w:rFonts w:eastAsia="Times New Roman"/>
                <w:szCs w:val="20"/>
              </w:rPr>
              <w:t>4</w:t>
            </w:r>
          </w:p>
        </w:tc>
        <w:tc>
          <w:tcPr>
            <w:tcW w:w="5760" w:type="dxa"/>
            <w:noWrap/>
            <w:hideMark/>
          </w:tcPr>
          <w:p w14:paraId="7620A9D0" w14:textId="099FD824"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High-Bay Lighting - LED (181 lm/W) w/ Controls</w:t>
            </w:r>
          </w:p>
        </w:tc>
        <w:tc>
          <w:tcPr>
            <w:tcW w:w="1613" w:type="dxa"/>
            <w:noWrap/>
            <w:hideMark/>
          </w:tcPr>
          <w:p w14:paraId="5E1F8D18"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4,754</w:t>
            </w:r>
          </w:p>
        </w:tc>
        <w:tc>
          <w:tcPr>
            <w:tcW w:w="994" w:type="dxa"/>
            <w:noWrap/>
            <w:hideMark/>
          </w:tcPr>
          <w:p w14:paraId="7B74A75C"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8.0%</w:t>
            </w:r>
          </w:p>
        </w:tc>
      </w:tr>
      <w:tr w:rsidR="00EF7178" w:rsidRPr="00EF7178" w14:paraId="3B9E9F4D"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1261A96D" w14:textId="77777777" w:rsidR="00EF7178" w:rsidRPr="00AA759F" w:rsidRDefault="00EF7178" w:rsidP="00610EA2">
            <w:pPr>
              <w:keepNext/>
              <w:jc w:val="center"/>
              <w:rPr>
                <w:rFonts w:eastAsia="Times New Roman"/>
                <w:szCs w:val="20"/>
              </w:rPr>
            </w:pPr>
            <w:r w:rsidRPr="00AA759F">
              <w:rPr>
                <w:rFonts w:eastAsia="Times New Roman"/>
                <w:szCs w:val="20"/>
              </w:rPr>
              <w:t>5</w:t>
            </w:r>
          </w:p>
        </w:tc>
        <w:tc>
          <w:tcPr>
            <w:tcW w:w="5760" w:type="dxa"/>
            <w:noWrap/>
            <w:hideMark/>
          </w:tcPr>
          <w:p w14:paraId="47AD81C8" w14:textId="6464F325"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Pumping System - Controls</w:t>
            </w:r>
          </w:p>
        </w:tc>
        <w:tc>
          <w:tcPr>
            <w:tcW w:w="1613" w:type="dxa"/>
            <w:noWrap/>
            <w:hideMark/>
          </w:tcPr>
          <w:p w14:paraId="66589E8F"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4,331</w:t>
            </w:r>
          </w:p>
        </w:tc>
        <w:tc>
          <w:tcPr>
            <w:tcW w:w="994" w:type="dxa"/>
            <w:noWrap/>
            <w:hideMark/>
          </w:tcPr>
          <w:p w14:paraId="70C7CA09"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7.3%</w:t>
            </w:r>
          </w:p>
        </w:tc>
      </w:tr>
      <w:tr w:rsidR="00EF7178" w:rsidRPr="00EF7178" w14:paraId="76A8F292"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4F521354" w14:textId="77777777" w:rsidR="00EF7178" w:rsidRPr="00AA759F" w:rsidRDefault="00EF7178" w:rsidP="00610EA2">
            <w:pPr>
              <w:keepNext/>
              <w:jc w:val="center"/>
              <w:rPr>
                <w:rFonts w:eastAsia="Times New Roman"/>
                <w:szCs w:val="20"/>
              </w:rPr>
            </w:pPr>
            <w:r w:rsidRPr="00AA759F">
              <w:rPr>
                <w:rFonts w:eastAsia="Times New Roman"/>
                <w:szCs w:val="20"/>
              </w:rPr>
              <w:t>6</w:t>
            </w:r>
          </w:p>
        </w:tc>
        <w:tc>
          <w:tcPr>
            <w:tcW w:w="5760" w:type="dxa"/>
            <w:noWrap/>
            <w:hideMark/>
          </w:tcPr>
          <w:p w14:paraId="1ABC6CDD" w14:textId="0FD0D040"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Fan System - Equipment Upgrade</w:t>
            </w:r>
          </w:p>
        </w:tc>
        <w:tc>
          <w:tcPr>
            <w:tcW w:w="1613" w:type="dxa"/>
            <w:noWrap/>
            <w:hideMark/>
          </w:tcPr>
          <w:p w14:paraId="49A90A9D"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3,788</w:t>
            </w:r>
          </w:p>
        </w:tc>
        <w:tc>
          <w:tcPr>
            <w:tcW w:w="994" w:type="dxa"/>
            <w:noWrap/>
            <w:hideMark/>
          </w:tcPr>
          <w:p w14:paraId="750908F1"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6.4%</w:t>
            </w:r>
          </w:p>
        </w:tc>
      </w:tr>
      <w:tr w:rsidR="00EF7178" w:rsidRPr="00EF7178" w14:paraId="65E84434"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4A6EAFF8" w14:textId="77777777" w:rsidR="00EF7178" w:rsidRPr="00AA759F" w:rsidRDefault="00EF7178" w:rsidP="00610EA2">
            <w:pPr>
              <w:keepNext/>
              <w:jc w:val="center"/>
              <w:rPr>
                <w:rFonts w:eastAsia="Times New Roman"/>
                <w:szCs w:val="20"/>
              </w:rPr>
            </w:pPr>
            <w:r w:rsidRPr="00AA759F">
              <w:rPr>
                <w:rFonts w:eastAsia="Times New Roman"/>
                <w:szCs w:val="20"/>
              </w:rPr>
              <w:t>7</w:t>
            </w:r>
          </w:p>
        </w:tc>
        <w:tc>
          <w:tcPr>
            <w:tcW w:w="5760" w:type="dxa"/>
            <w:noWrap/>
            <w:hideMark/>
          </w:tcPr>
          <w:p w14:paraId="13618A59" w14:textId="58D1D9C0"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Material Handling - Upgrade and Optimization</w:t>
            </w:r>
          </w:p>
        </w:tc>
        <w:tc>
          <w:tcPr>
            <w:tcW w:w="1613" w:type="dxa"/>
            <w:noWrap/>
            <w:hideMark/>
          </w:tcPr>
          <w:p w14:paraId="2005363A"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3,076</w:t>
            </w:r>
          </w:p>
        </w:tc>
        <w:tc>
          <w:tcPr>
            <w:tcW w:w="994" w:type="dxa"/>
            <w:noWrap/>
            <w:hideMark/>
          </w:tcPr>
          <w:p w14:paraId="02FE03E6"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5.2%</w:t>
            </w:r>
          </w:p>
        </w:tc>
      </w:tr>
      <w:tr w:rsidR="00EF7178" w:rsidRPr="00EF7178" w14:paraId="5768B905"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1A8D5AD5" w14:textId="77777777" w:rsidR="00EF7178" w:rsidRPr="00AA759F" w:rsidRDefault="00EF7178" w:rsidP="00610EA2">
            <w:pPr>
              <w:keepNext/>
              <w:jc w:val="center"/>
              <w:rPr>
                <w:rFonts w:eastAsia="Times New Roman"/>
                <w:szCs w:val="20"/>
              </w:rPr>
            </w:pPr>
            <w:r w:rsidRPr="00AA759F">
              <w:rPr>
                <w:rFonts w:eastAsia="Times New Roman"/>
                <w:szCs w:val="20"/>
              </w:rPr>
              <w:t>8</w:t>
            </w:r>
          </w:p>
        </w:tc>
        <w:tc>
          <w:tcPr>
            <w:tcW w:w="5760" w:type="dxa"/>
            <w:noWrap/>
            <w:hideMark/>
          </w:tcPr>
          <w:p w14:paraId="3BE262FD" w14:textId="60BDC6C0"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Retrocommissioning</w:t>
            </w:r>
          </w:p>
        </w:tc>
        <w:tc>
          <w:tcPr>
            <w:tcW w:w="1613" w:type="dxa"/>
            <w:noWrap/>
            <w:hideMark/>
          </w:tcPr>
          <w:p w14:paraId="76FC53EE"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2,960</w:t>
            </w:r>
          </w:p>
        </w:tc>
        <w:tc>
          <w:tcPr>
            <w:tcW w:w="994" w:type="dxa"/>
            <w:noWrap/>
            <w:hideMark/>
          </w:tcPr>
          <w:p w14:paraId="492CD15D"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5.0%</w:t>
            </w:r>
          </w:p>
        </w:tc>
      </w:tr>
      <w:tr w:rsidR="00EF7178" w:rsidRPr="00EF7178" w14:paraId="7CF2E422"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678EE5A8" w14:textId="77777777" w:rsidR="00EF7178" w:rsidRPr="00AA759F" w:rsidRDefault="00EF7178" w:rsidP="00610EA2">
            <w:pPr>
              <w:keepNext/>
              <w:jc w:val="center"/>
              <w:rPr>
                <w:rFonts w:eastAsia="Times New Roman"/>
                <w:szCs w:val="20"/>
              </w:rPr>
            </w:pPr>
            <w:r w:rsidRPr="00AA759F">
              <w:rPr>
                <w:rFonts w:eastAsia="Times New Roman"/>
                <w:szCs w:val="20"/>
              </w:rPr>
              <w:t>9</w:t>
            </w:r>
          </w:p>
        </w:tc>
        <w:tc>
          <w:tcPr>
            <w:tcW w:w="5760" w:type="dxa"/>
            <w:noWrap/>
            <w:hideMark/>
          </w:tcPr>
          <w:p w14:paraId="700D4CFF" w14:textId="2E84981B"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Fan System - Controls</w:t>
            </w:r>
          </w:p>
        </w:tc>
        <w:tc>
          <w:tcPr>
            <w:tcW w:w="1613" w:type="dxa"/>
            <w:noWrap/>
            <w:hideMark/>
          </w:tcPr>
          <w:p w14:paraId="494FD337"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2,384</w:t>
            </w:r>
          </w:p>
        </w:tc>
        <w:tc>
          <w:tcPr>
            <w:tcW w:w="994" w:type="dxa"/>
            <w:noWrap/>
            <w:hideMark/>
          </w:tcPr>
          <w:p w14:paraId="1666B322"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4.0%</w:t>
            </w:r>
          </w:p>
        </w:tc>
      </w:tr>
      <w:tr w:rsidR="00EF7178" w:rsidRPr="00EF7178" w14:paraId="54A782DC"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0D26E2D1" w14:textId="77777777" w:rsidR="00EF7178" w:rsidRPr="00AA759F" w:rsidRDefault="00EF7178" w:rsidP="00610EA2">
            <w:pPr>
              <w:keepNext/>
              <w:jc w:val="center"/>
              <w:rPr>
                <w:rFonts w:eastAsia="Times New Roman"/>
                <w:szCs w:val="20"/>
              </w:rPr>
            </w:pPr>
            <w:r w:rsidRPr="00AA759F">
              <w:rPr>
                <w:rFonts w:eastAsia="Times New Roman"/>
                <w:szCs w:val="20"/>
              </w:rPr>
              <w:t>10</w:t>
            </w:r>
          </w:p>
        </w:tc>
        <w:tc>
          <w:tcPr>
            <w:tcW w:w="5760" w:type="dxa"/>
            <w:noWrap/>
            <w:hideMark/>
          </w:tcPr>
          <w:p w14:paraId="27D82626" w14:textId="426F73F0"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Compressed Air - Equipment Upgrade</w:t>
            </w:r>
          </w:p>
        </w:tc>
        <w:tc>
          <w:tcPr>
            <w:tcW w:w="1613" w:type="dxa"/>
            <w:noWrap/>
            <w:hideMark/>
          </w:tcPr>
          <w:p w14:paraId="2A3C3874"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2,133</w:t>
            </w:r>
          </w:p>
        </w:tc>
        <w:tc>
          <w:tcPr>
            <w:tcW w:w="994" w:type="dxa"/>
            <w:noWrap/>
            <w:hideMark/>
          </w:tcPr>
          <w:p w14:paraId="634E79E7"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3.6%</w:t>
            </w:r>
          </w:p>
        </w:tc>
      </w:tr>
      <w:tr w:rsidR="00EF7178" w:rsidRPr="00EF7178" w14:paraId="4BED3601"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95419FF" w14:textId="77777777" w:rsidR="00EF7178" w:rsidRPr="00AA759F" w:rsidRDefault="00EF7178" w:rsidP="00610EA2">
            <w:pPr>
              <w:keepNext/>
              <w:jc w:val="center"/>
              <w:rPr>
                <w:rFonts w:eastAsia="Times New Roman"/>
                <w:szCs w:val="20"/>
              </w:rPr>
            </w:pPr>
            <w:r w:rsidRPr="00AA759F">
              <w:rPr>
                <w:rFonts w:eastAsia="Times New Roman"/>
                <w:szCs w:val="20"/>
              </w:rPr>
              <w:t>11</w:t>
            </w:r>
          </w:p>
        </w:tc>
        <w:tc>
          <w:tcPr>
            <w:tcW w:w="5760" w:type="dxa"/>
            <w:noWrap/>
            <w:hideMark/>
          </w:tcPr>
          <w:p w14:paraId="6A7630F0" w14:textId="3AD4DEE4"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Strategic Energy Management</w:t>
            </w:r>
          </w:p>
        </w:tc>
        <w:tc>
          <w:tcPr>
            <w:tcW w:w="1613" w:type="dxa"/>
            <w:noWrap/>
            <w:hideMark/>
          </w:tcPr>
          <w:p w14:paraId="53405734"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2,013</w:t>
            </w:r>
          </w:p>
        </w:tc>
        <w:tc>
          <w:tcPr>
            <w:tcW w:w="994" w:type="dxa"/>
            <w:noWrap/>
            <w:hideMark/>
          </w:tcPr>
          <w:p w14:paraId="665E54EF"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3.4%</w:t>
            </w:r>
          </w:p>
        </w:tc>
      </w:tr>
      <w:tr w:rsidR="00EF7178" w:rsidRPr="00EF7178" w14:paraId="6EE69D37"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663DB4C1" w14:textId="77777777" w:rsidR="00EF7178" w:rsidRPr="00AA759F" w:rsidRDefault="00EF7178" w:rsidP="00610EA2">
            <w:pPr>
              <w:keepNext/>
              <w:jc w:val="center"/>
              <w:rPr>
                <w:rFonts w:eastAsia="Times New Roman"/>
                <w:szCs w:val="20"/>
              </w:rPr>
            </w:pPr>
            <w:r w:rsidRPr="00AA759F">
              <w:rPr>
                <w:rFonts w:eastAsia="Times New Roman"/>
                <w:szCs w:val="20"/>
              </w:rPr>
              <w:t>12</w:t>
            </w:r>
          </w:p>
        </w:tc>
        <w:tc>
          <w:tcPr>
            <w:tcW w:w="5760" w:type="dxa"/>
            <w:noWrap/>
            <w:hideMark/>
          </w:tcPr>
          <w:p w14:paraId="684C3BA2" w14:textId="1377AF64"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Pumping System - Equipment Upgrade</w:t>
            </w:r>
          </w:p>
        </w:tc>
        <w:tc>
          <w:tcPr>
            <w:tcW w:w="1613" w:type="dxa"/>
            <w:noWrap/>
            <w:hideMark/>
          </w:tcPr>
          <w:p w14:paraId="4F98A8CA"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1,677</w:t>
            </w:r>
          </w:p>
        </w:tc>
        <w:tc>
          <w:tcPr>
            <w:tcW w:w="994" w:type="dxa"/>
            <w:noWrap/>
            <w:hideMark/>
          </w:tcPr>
          <w:p w14:paraId="2E903FA6"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2.8%</w:t>
            </w:r>
          </w:p>
        </w:tc>
      </w:tr>
      <w:tr w:rsidR="00EF7178" w:rsidRPr="00EF7178" w14:paraId="641B2F71"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202A45FC" w14:textId="77777777" w:rsidR="00EF7178" w:rsidRPr="00AA759F" w:rsidRDefault="00EF7178" w:rsidP="00610EA2">
            <w:pPr>
              <w:keepNext/>
              <w:jc w:val="center"/>
              <w:rPr>
                <w:rFonts w:eastAsia="Times New Roman"/>
                <w:szCs w:val="20"/>
              </w:rPr>
            </w:pPr>
            <w:r w:rsidRPr="00AA759F">
              <w:rPr>
                <w:rFonts w:eastAsia="Times New Roman"/>
                <w:szCs w:val="20"/>
              </w:rPr>
              <w:t>13</w:t>
            </w:r>
          </w:p>
        </w:tc>
        <w:tc>
          <w:tcPr>
            <w:tcW w:w="5760" w:type="dxa"/>
            <w:noWrap/>
            <w:hideMark/>
          </w:tcPr>
          <w:p w14:paraId="10CBA9E5" w14:textId="77777777"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Ventilation - Variable Air Volume</w:t>
            </w:r>
          </w:p>
        </w:tc>
        <w:tc>
          <w:tcPr>
            <w:tcW w:w="1613" w:type="dxa"/>
            <w:noWrap/>
            <w:hideMark/>
          </w:tcPr>
          <w:p w14:paraId="70416565"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1,638</w:t>
            </w:r>
          </w:p>
        </w:tc>
        <w:tc>
          <w:tcPr>
            <w:tcW w:w="994" w:type="dxa"/>
            <w:noWrap/>
            <w:hideMark/>
          </w:tcPr>
          <w:p w14:paraId="17DBBE2B"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2.7%</w:t>
            </w:r>
          </w:p>
        </w:tc>
      </w:tr>
      <w:tr w:rsidR="00EF7178" w:rsidRPr="00EF7178" w14:paraId="0CC4D806"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01F7E842" w14:textId="77777777" w:rsidR="00EF7178" w:rsidRPr="00AA759F" w:rsidRDefault="00EF7178" w:rsidP="00610EA2">
            <w:pPr>
              <w:keepNext/>
              <w:jc w:val="center"/>
              <w:rPr>
                <w:rFonts w:eastAsia="Times New Roman"/>
                <w:szCs w:val="20"/>
              </w:rPr>
            </w:pPr>
            <w:r w:rsidRPr="00AA759F">
              <w:rPr>
                <w:rFonts w:eastAsia="Times New Roman"/>
                <w:szCs w:val="20"/>
              </w:rPr>
              <w:t>14</w:t>
            </w:r>
          </w:p>
        </w:tc>
        <w:tc>
          <w:tcPr>
            <w:tcW w:w="5760" w:type="dxa"/>
            <w:noWrap/>
            <w:hideMark/>
          </w:tcPr>
          <w:p w14:paraId="1E95D62A" w14:textId="7F26718C"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Fan System - Flow Optimization</w:t>
            </w:r>
          </w:p>
        </w:tc>
        <w:tc>
          <w:tcPr>
            <w:tcW w:w="1613" w:type="dxa"/>
            <w:noWrap/>
            <w:hideMark/>
          </w:tcPr>
          <w:p w14:paraId="7545C6D9"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1,385</w:t>
            </w:r>
          </w:p>
        </w:tc>
        <w:tc>
          <w:tcPr>
            <w:tcW w:w="994" w:type="dxa"/>
            <w:noWrap/>
            <w:hideMark/>
          </w:tcPr>
          <w:p w14:paraId="10EA6F84"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2.3%</w:t>
            </w:r>
          </w:p>
        </w:tc>
      </w:tr>
      <w:tr w:rsidR="00EF7178" w:rsidRPr="00EF7178" w14:paraId="155696A1"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76A01313" w14:textId="77777777" w:rsidR="00EF7178" w:rsidRPr="00AA759F" w:rsidRDefault="00EF7178" w:rsidP="00610EA2">
            <w:pPr>
              <w:keepNext/>
              <w:jc w:val="center"/>
              <w:rPr>
                <w:rFonts w:eastAsia="Times New Roman"/>
                <w:szCs w:val="20"/>
              </w:rPr>
            </w:pPr>
            <w:r w:rsidRPr="00AA759F">
              <w:rPr>
                <w:rFonts w:eastAsia="Times New Roman"/>
                <w:szCs w:val="20"/>
              </w:rPr>
              <w:t>15</w:t>
            </w:r>
          </w:p>
        </w:tc>
        <w:tc>
          <w:tcPr>
            <w:tcW w:w="5760" w:type="dxa"/>
            <w:noWrap/>
            <w:hideMark/>
          </w:tcPr>
          <w:p w14:paraId="7608C93E" w14:textId="061FECC1"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Compressed Air - End Use Optimization</w:t>
            </w:r>
          </w:p>
        </w:tc>
        <w:tc>
          <w:tcPr>
            <w:tcW w:w="1613" w:type="dxa"/>
            <w:noWrap/>
            <w:hideMark/>
          </w:tcPr>
          <w:p w14:paraId="4A1D4DC7"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1,342</w:t>
            </w:r>
          </w:p>
        </w:tc>
        <w:tc>
          <w:tcPr>
            <w:tcW w:w="994" w:type="dxa"/>
            <w:noWrap/>
            <w:hideMark/>
          </w:tcPr>
          <w:p w14:paraId="613DA7AE"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2.3%</w:t>
            </w:r>
          </w:p>
        </w:tc>
      </w:tr>
      <w:tr w:rsidR="00EF7178" w:rsidRPr="00EF7178" w14:paraId="7C6F4DD0"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5DD5EDA" w14:textId="77777777" w:rsidR="00EF7178" w:rsidRPr="00AA759F" w:rsidRDefault="00EF7178" w:rsidP="00610EA2">
            <w:pPr>
              <w:keepNext/>
              <w:jc w:val="center"/>
              <w:rPr>
                <w:rFonts w:eastAsia="Times New Roman"/>
                <w:szCs w:val="20"/>
              </w:rPr>
            </w:pPr>
            <w:r w:rsidRPr="00AA759F">
              <w:rPr>
                <w:rFonts w:eastAsia="Times New Roman"/>
                <w:szCs w:val="20"/>
              </w:rPr>
              <w:t>16</w:t>
            </w:r>
          </w:p>
        </w:tc>
        <w:tc>
          <w:tcPr>
            <w:tcW w:w="5760" w:type="dxa"/>
            <w:noWrap/>
            <w:hideMark/>
          </w:tcPr>
          <w:p w14:paraId="088CAC29" w14:textId="46D8A057"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HVAC - Energy Recovery Ventilator</w:t>
            </w:r>
          </w:p>
        </w:tc>
        <w:tc>
          <w:tcPr>
            <w:tcW w:w="1613" w:type="dxa"/>
            <w:noWrap/>
            <w:hideMark/>
          </w:tcPr>
          <w:p w14:paraId="17B56801"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1,308</w:t>
            </w:r>
          </w:p>
        </w:tc>
        <w:tc>
          <w:tcPr>
            <w:tcW w:w="994" w:type="dxa"/>
            <w:noWrap/>
            <w:hideMark/>
          </w:tcPr>
          <w:p w14:paraId="2563B04D"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2.2%</w:t>
            </w:r>
          </w:p>
        </w:tc>
      </w:tr>
      <w:tr w:rsidR="00EF7178" w:rsidRPr="00EF7178" w14:paraId="7FFD0474"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55092E94" w14:textId="77777777" w:rsidR="00EF7178" w:rsidRPr="00AA759F" w:rsidRDefault="00EF7178" w:rsidP="00610EA2">
            <w:pPr>
              <w:keepNext/>
              <w:jc w:val="center"/>
              <w:rPr>
                <w:rFonts w:eastAsia="Times New Roman"/>
                <w:szCs w:val="20"/>
              </w:rPr>
            </w:pPr>
            <w:r w:rsidRPr="00AA759F">
              <w:rPr>
                <w:rFonts w:eastAsia="Times New Roman"/>
                <w:szCs w:val="20"/>
              </w:rPr>
              <w:t>17</w:t>
            </w:r>
          </w:p>
        </w:tc>
        <w:tc>
          <w:tcPr>
            <w:tcW w:w="5760" w:type="dxa"/>
            <w:noWrap/>
            <w:hideMark/>
          </w:tcPr>
          <w:p w14:paraId="5C4CD415" w14:textId="375C15E2"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Connected Thermostat - ENERGY STAR (1.0)</w:t>
            </w:r>
          </w:p>
        </w:tc>
        <w:tc>
          <w:tcPr>
            <w:tcW w:w="1613" w:type="dxa"/>
            <w:noWrap/>
            <w:hideMark/>
          </w:tcPr>
          <w:p w14:paraId="0A710E30"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1,013</w:t>
            </w:r>
          </w:p>
        </w:tc>
        <w:tc>
          <w:tcPr>
            <w:tcW w:w="994" w:type="dxa"/>
            <w:noWrap/>
            <w:hideMark/>
          </w:tcPr>
          <w:p w14:paraId="2E39F1C6"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1.7%</w:t>
            </w:r>
          </w:p>
        </w:tc>
      </w:tr>
      <w:tr w:rsidR="00EF7178" w:rsidRPr="00EF7178" w14:paraId="7A556674"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28A0D9F1" w14:textId="77777777" w:rsidR="00EF7178" w:rsidRPr="00AA759F" w:rsidRDefault="00EF7178" w:rsidP="00610EA2">
            <w:pPr>
              <w:keepNext/>
              <w:jc w:val="center"/>
              <w:rPr>
                <w:rFonts w:eastAsia="Times New Roman"/>
                <w:szCs w:val="20"/>
              </w:rPr>
            </w:pPr>
            <w:r w:rsidRPr="00AA759F">
              <w:rPr>
                <w:rFonts w:eastAsia="Times New Roman"/>
                <w:szCs w:val="20"/>
              </w:rPr>
              <w:t>18</w:t>
            </w:r>
          </w:p>
        </w:tc>
        <w:tc>
          <w:tcPr>
            <w:tcW w:w="5760" w:type="dxa"/>
            <w:noWrap/>
            <w:hideMark/>
          </w:tcPr>
          <w:p w14:paraId="3DD5B982" w14:textId="635EF9F7"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Interior Lighting - Networked Lighting Controls</w:t>
            </w:r>
          </w:p>
        </w:tc>
        <w:tc>
          <w:tcPr>
            <w:tcW w:w="1613" w:type="dxa"/>
            <w:noWrap/>
            <w:hideMark/>
          </w:tcPr>
          <w:p w14:paraId="4B3A8A97"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912</w:t>
            </w:r>
          </w:p>
        </w:tc>
        <w:tc>
          <w:tcPr>
            <w:tcW w:w="994" w:type="dxa"/>
            <w:noWrap/>
            <w:hideMark/>
          </w:tcPr>
          <w:p w14:paraId="1FE39EF2"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1.5%</w:t>
            </w:r>
          </w:p>
        </w:tc>
      </w:tr>
      <w:tr w:rsidR="00EF7178" w:rsidRPr="00EF7178" w14:paraId="6892CA76"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3948675A" w14:textId="77777777" w:rsidR="00EF7178" w:rsidRPr="00AA759F" w:rsidRDefault="00EF7178" w:rsidP="00610EA2">
            <w:pPr>
              <w:keepNext/>
              <w:jc w:val="center"/>
              <w:rPr>
                <w:rFonts w:eastAsia="Times New Roman"/>
                <w:szCs w:val="20"/>
              </w:rPr>
            </w:pPr>
            <w:r w:rsidRPr="00AA759F">
              <w:rPr>
                <w:rFonts w:eastAsia="Times New Roman"/>
                <w:szCs w:val="20"/>
              </w:rPr>
              <w:t>19</w:t>
            </w:r>
          </w:p>
        </w:tc>
        <w:tc>
          <w:tcPr>
            <w:tcW w:w="5760" w:type="dxa"/>
            <w:noWrap/>
            <w:hideMark/>
          </w:tcPr>
          <w:p w14:paraId="29B1C13C" w14:textId="1E04DFB9" w:rsidR="00EF7178" w:rsidRPr="00AA759F"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Insulation - Ceiling</w:t>
            </w:r>
          </w:p>
        </w:tc>
        <w:tc>
          <w:tcPr>
            <w:tcW w:w="1613" w:type="dxa"/>
            <w:noWrap/>
            <w:hideMark/>
          </w:tcPr>
          <w:p w14:paraId="234EF6F6" w14:textId="77777777" w:rsidR="00EF7178" w:rsidRPr="00AA759F"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856</w:t>
            </w:r>
          </w:p>
        </w:tc>
        <w:tc>
          <w:tcPr>
            <w:tcW w:w="994" w:type="dxa"/>
            <w:noWrap/>
            <w:hideMark/>
          </w:tcPr>
          <w:p w14:paraId="2764FEE1" w14:textId="77777777" w:rsidR="00EF7178" w:rsidRPr="00AA759F"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AA759F">
              <w:rPr>
                <w:rFonts w:eastAsia="Times New Roman"/>
                <w:szCs w:val="20"/>
              </w:rPr>
              <w:t>1.4%</w:t>
            </w:r>
          </w:p>
        </w:tc>
      </w:tr>
      <w:tr w:rsidR="00EF7178" w:rsidRPr="00EF7178" w14:paraId="204E7C65"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626E1111" w14:textId="77777777" w:rsidR="00EF7178" w:rsidRPr="00AA759F" w:rsidRDefault="00EF7178" w:rsidP="00610EA2">
            <w:pPr>
              <w:keepNext/>
              <w:jc w:val="center"/>
              <w:rPr>
                <w:rFonts w:eastAsia="Times New Roman"/>
                <w:szCs w:val="20"/>
              </w:rPr>
            </w:pPr>
            <w:r w:rsidRPr="00AA759F">
              <w:rPr>
                <w:rFonts w:eastAsia="Times New Roman"/>
                <w:szCs w:val="20"/>
              </w:rPr>
              <w:t>20</w:t>
            </w:r>
          </w:p>
        </w:tc>
        <w:tc>
          <w:tcPr>
            <w:tcW w:w="5760" w:type="dxa"/>
            <w:noWrap/>
            <w:hideMark/>
          </w:tcPr>
          <w:p w14:paraId="3391B136" w14:textId="6C7CCF66" w:rsidR="00EF7178" w:rsidRPr="00AA759F"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Compressed Air - System Controls</w:t>
            </w:r>
          </w:p>
        </w:tc>
        <w:tc>
          <w:tcPr>
            <w:tcW w:w="1613" w:type="dxa"/>
            <w:noWrap/>
            <w:hideMark/>
          </w:tcPr>
          <w:p w14:paraId="77483E01" w14:textId="77777777" w:rsidR="00EF7178" w:rsidRPr="00AA759F"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683</w:t>
            </w:r>
          </w:p>
        </w:tc>
        <w:tc>
          <w:tcPr>
            <w:tcW w:w="994" w:type="dxa"/>
            <w:noWrap/>
            <w:hideMark/>
          </w:tcPr>
          <w:p w14:paraId="297FA0F4" w14:textId="77777777" w:rsidR="00EF7178" w:rsidRPr="00AA759F"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eastAsia="Times New Roman"/>
                <w:szCs w:val="20"/>
              </w:rPr>
            </w:pPr>
            <w:r w:rsidRPr="00AA759F">
              <w:rPr>
                <w:rFonts w:eastAsia="Times New Roman"/>
                <w:szCs w:val="20"/>
              </w:rPr>
              <w:t>1.1%</w:t>
            </w:r>
          </w:p>
        </w:tc>
      </w:tr>
      <w:tr w:rsidR="00EF7178" w:rsidRPr="00EF7178" w14:paraId="118EA43B" w14:textId="77777777" w:rsidTr="00610EA2">
        <w:trPr>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7E06FAAA" w14:textId="09E13129" w:rsidR="00EF7178" w:rsidRPr="00EF7178" w:rsidRDefault="00EF7178" w:rsidP="00610EA2">
            <w:pPr>
              <w:keepNext/>
              <w:jc w:val="center"/>
              <w:rPr>
                <w:rFonts w:ascii="Calibri" w:eastAsia="Times New Roman" w:hAnsi="Calibri"/>
                <w:b/>
                <w:bCs/>
                <w:szCs w:val="20"/>
              </w:rPr>
            </w:pPr>
          </w:p>
        </w:tc>
        <w:tc>
          <w:tcPr>
            <w:tcW w:w="5760" w:type="dxa"/>
            <w:noWrap/>
            <w:hideMark/>
          </w:tcPr>
          <w:p w14:paraId="6CCB5300" w14:textId="77777777" w:rsidR="00EF7178" w:rsidRPr="00913633" w:rsidRDefault="00EF7178" w:rsidP="00610EA2">
            <w:pPr>
              <w:keepNext/>
              <w:ind w:firstLineChars="100" w:firstLine="20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913633">
              <w:rPr>
                <w:rFonts w:asciiTheme="majorHAnsi" w:eastAsia="Times New Roman" w:hAnsiTheme="majorHAnsi"/>
                <w:szCs w:val="20"/>
              </w:rPr>
              <w:t>Total of Top 20 Measures</w:t>
            </w:r>
          </w:p>
        </w:tc>
        <w:tc>
          <w:tcPr>
            <w:tcW w:w="1613" w:type="dxa"/>
            <w:noWrap/>
            <w:hideMark/>
          </w:tcPr>
          <w:p w14:paraId="4F3C21F5" w14:textId="77777777" w:rsidR="00EF7178" w:rsidRPr="00913633" w:rsidRDefault="00EF7178" w:rsidP="00610EA2">
            <w:pPr>
              <w:keepNext/>
              <w:ind w:right="288" w:firstLineChars="100" w:firstLine="20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913633">
              <w:rPr>
                <w:rFonts w:asciiTheme="majorHAnsi" w:eastAsia="Times New Roman" w:hAnsiTheme="majorHAnsi"/>
                <w:szCs w:val="20"/>
              </w:rPr>
              <w:t>55,178</w:t>
            </w:r>
          </w:p>
        </w:tc>
        <w:tc>
          <w:tcPr>
            <w:tcW w:w="994" w:type="dxa"/>
            <w:noWrap/>
            <w:hideMark/>
          </w:tcPr>
          <w:p w14:paraId="50EF90B1" w14:textId="77777777" w:rsidR="00EF7178" w:rsidRPr="00913633" w:rsidRDefault="00EF7178" w:rsidP="00F11F4D">
            <w:pPr>
              <w:keepNext/>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913633">
              <w:rPr>
                <w:rFonts w:asciiTheme="majorHAnsi" w:eastAsia="Times New Roman" w:hAnsiTheme="majorHAnsi"/>
                <w:szCs w:val="20"/>
              </w:rPr>
              <w:t>92.6%</w:t>
            </w:r>
          </w:p>
        </w:tc>
      </w:tr>
      <w:tr w:rsidR="00EF7178" w:rsidRPr="00EF7178" w14:paraId="4CC3E835" w14:textId="77777777" w:rsidTr="00610EA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dxa"/>
            <w:noWrap/>
            <w:hideMark/>
          </w:tcPr>
          <w:p w14:paraId="283F1B51" w14:textId="1F279F01" w:rsidR="00EF7178" w:rsidRPr="00EF7178" w:rsidRDefault="00EF7178" w:rsidP="00610EA2">
            <w:pPr>
              <w:keepNext/>
              <w:jc w:val="center"/>
              <w:rPr>
                <w:rFonts w:ascii="Calibri" w:eastAsia="Times New Roman" w:hAnsi="Calibri"/>
                <w:b/>
                <w:bCs/>
                <w:szCs w:val="20"/>
              </w:rPr>
            </w:pPr>
          </w:p>
        </w:tc>
        <w:tc>
          <w:tcPr>
            <w:tcW w:w="5760" w:type="dxa"/>
            <w:noWrap/>
            <w:hideMark/>
          </w:tcPr>
          <w:p w14:paraId="1807A887" w14:textId="77777777" w:rsidR="00EF7178" w:rsidRPr="00913633" w:rsidRDefault="00EF7178" w:rsidP="00610EA2">
            <w:pPr>
              <w:keepNext/>
              <w:ind w:firstLineChars="100" w:firstLine="200"/>
              <w:jc w:val="lef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913633">
              <w:rPr>
                <w:rFonts w:asciiTheme="majorHAnsi" w:eastAsia="Times New Roman" w:hAnsiTheme="majorHAnsi"/>
                <w:szCs w:val="20"/>
              </w:rPr>
              <w:t>Total Cumulative Savings</w:t>
            </w:r>
          </w:p>
        </w:tc>
        <w:tc>
          <w:tcPr>
            <w:tcW w:w="1613" w:type="dxa"/>
            <w:noWrap/>
            <w:hideMark/>
          </w:tcPr>
          <w:p w14:paraId="78D8FC0F" w14:textId="77777777" w:rsidR="00EF7178" w:rsidRPr="00913633" w:rsidRDefault="00EF7178" w:rsidP="00610EA2">
            <w:pPr>
              <w:keepNext/>
              <w:ind w:right="288" w:firstLineChars="100" w:firstLine="200"/>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913633">
              <w:rPr>
                <w:rFonts w:asciiTheme="majorHAnsi" w:eastAsia="Times New Roman" w:hAnsiTheme="majorHAnsi"/>
                <w:szCs w:val="20"/>
              </w:rPr>
              <w:t>59,568</w:t>
            </w:r>
          </w:p>
        </w:tc>
        <w:tc>
          <w:tcPr>
            <w:tcW w:w="994" w:type="dxa"/>
            <w:noWrap/>
            <w:hideMark/>
          </w:tcPr>
          <w:p w14:paraId="374AD46B" w14:textId="2E1F39F7" w:rsidR="00EF7178" w:rsidRPr="00913633" w:rsidRDefault="00EF7178" w:rsidP="00F11F4D">
            <w:pPr>
              <w:keepNext/>
              <w:jc w:val="center"/>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szCs w:val="20"/>
              </w:rPr>
            </w:pPr>
            <w:r w:rsidRPr="00913633">
              <w:rPr>
                <w:rFonts w:asciiTheme="majorHAnsi" w:eastAsia="Times New Roman" w:hAnsiTheme="majorHAnsi"/>
                <w:szCs w:val="20"/>
              </w:rPr>
              <w:t>100.0%</w:t>
            </w:r>
          </w:p>
        </w:tc>
      </w:tr>
    </w:tbl>
    <w:p w14:paraId="5143AB10" w14:textId="0A8CDDD4" w:rsidR="00CB67A7" w:rsidRDefault="00CB67A7" w:rsidP="001E2142">
      <w:pPr>
        <w:rPr>
          <w:lang w:eastAsia="ja-JP"/>
        </w:rPr>
      </w:pPr>
    </w:p>
    <w:p w14:paraId="2C9A44A8" w14:textId="5AFF1EF1" w:rsidR="00C52EDA" w:rsidRDefault="001C3662" w:rsidP="00D6177B">
      <w:pPr>
        <w:pStyle w:val="Heading1"/>
      </w:pPr>
      <w:bookmarkStart w:id="174" w:name="_Ref175899719"/>
      <w:bookmarkStart w:id="175" w:name="_Toc175904878"/>
      <w:r>
        <w:t>Demand Response Potential</w:t>
      </w:r>
      <w:bookmarkEnd w:id="174"/>
      <w:bookmarkEnd w:id="175"/>
    </w:p>
    <w:p w14:paraId="67CB5B41" w14:textId="4E6DB0BB" w:rsidR="00574CB1" w:rsidRPr="004D32BA" w:rsidRDefault="00574CB1" w:rsidP="00574CB1">
      <w:pPr>
        <w:pStyle w:val="AEGBody"/>
      </w:pPr>
      <w:r>
        <w:t xml:space="preserve">AEG has been working with Avista to estimate demand response (DR) potential since 2014. During that first study, AEG and The Brattle Group assessed winter demand response potential for Avista’s C&amp;I sectors in Washington and Idaho. Since then, AEG has performed </w:t>
      </w:r>
      <w:r w:rsidR="00B17CC2" w:rsidRPr="004D32BA">
        <w:t>five</w:t>
      </w:r>
      <w:r w:rsidRPr="004D32BA">
        <w:t xml:space="preserve"> additional DR potential assessments including the current study expanding the scope and making improvements along the way as additional DR programs are run around the country.</w:t>
      </w:r>
    </w:p>
    <w:p w14:paraId="68609F56" w14:textId="62F3A843" w:rsidR="00574CB1" w:rsidRPr="00574CB1" w:rsidRDefault="00574CB1" w:rsidP="00574CB1">
      <w:pPr>
        <w:pStyle w:val="AEGBody"/>
      </w:pPr>
      <w:r w:rsidRPr="004D32BA">
        <w:t>The current study provides demand response potential and cost estimates for the 2</w:t>
      </w:r>
      <w:r w:rsidR="004D32BA" w:rsidRPr="004D32BA">
        <w:t>5</w:t>
      </w:r>
      <w:r w:rsidRPr="004D32BA">
        <w:t>-year planning horizon (202</w:t>
      </w:r>
      <w:r w:rsidR="004D32BA" w:rsidRPr="004D32BA">
        <w:t>6</w:t>
      </w:r>
      <w:r w:rsidRPr="004D32BA">
        <w:t>-2045) to inform the development of Avista’s 202</w:t>
      </w:r>
      <w:r w:rsidR="004D32BA" w:rsidRPr="004D32BA">
        <w:t>5</w:t>
      </w:r>
      <w:r w:rsidRPr="004D32BA">
        <w:t xml:space="preserve"> IRP.</w:t>
      </w:r>
      <w:r w:rsidRPr="006043E9">
        <w:t xml:space="preserve"> </w:t>
      </w:r>
      <w:r>
        <w:t>Through this assessment, AEG sought</w:t>
      </w:r>
      <w:r w:rsidRPr="006043E9">
        <w:t xml:space="preserve"> to develop reliable estimates of the magnitude, timing, and costs of DR resources likely available to Avista over the planning horizon. The analysis focuses on resources assumed achievable during the planning horizon, recognizing known market dynamics</w:t>
      </w:r>
      <w:r>
        <w:t xml:space="preserve"> that may hinder resource acquisition. DR analysis results will also be incorporated into subsequent DR planning and program development efforts. </w:t>
      </w:r>
    </w:p>
    <w:p w14:paraId="2F3C0E51" w14:textId="36122DD6" w:rsidR="00E97469" w:rsidRDefault="00CC6A72" w:rsidP="00E97469">
      <w:pPr>
        <w:pStyle w:val="Heading2"/>
      </w:pPr>
      <w:bookmarkStart w:id="176" w:name="_Toc175904879"/>
      <w:r>
        <w:t>Study Approa</w:t>
      </w:r>
      <w:r w:rsidR="004C3FDE">
        <w:t>ch</w:t>
      </w:r>
      <w:bookmarkEnd w:id="176"/>
    </w:p>
    <w:p w14:paraId="73F9F061" w14:textId="473FCE49" w:rsidR="00CA02A5" w:rsidRDefault="00CA02A5" w:rsidP="00CA02A5">
      <w:pPr>
        <w:pStyle w:val="BodyText"/>
      </w:pPr>
      <w:r>
        <w:t>Figure 6-1 outlines the analysis approach</w:t>
      </w:r>
      <w:r w:rsidRPr="005E7A08">
        <w:t xml:space="preserve"> </w:t>
      </w:r>
      <w:r>
        <w:t>used to develop potential and cost estimates, with each step described in more detail in the subsections that follow.</w:t>
      </w:r>
    </w:p>
    <w:p w14:paraId="12031005" w14:textId="513626C9" w:rsidR="00E97469" w:rsidRDefault="00E97469" w:rsidP="00E97469">
      <w:pPr>
        <w:pStyle w:val="Caption"/>
      </w:pPr>
      <w:bookmarkStart w:id="177" w:name="_Toc175904462"/>
      <w:r>
        <w:t xml:space="preserve">Figure </w:t>
      </w:r>
      <w:r w:rsidR="000E34CB">
        <w:fldChar w:fldCharType="begin"/>
      </w:r>
      <w:r w:rsidR="000E34CB">
        <w:instrText xml:space="preserve"> STYLEREF 1 \s </w:instrText>
      </w:r>
      <w:r w:rsidR="000E34CB">
        <w:fldChar w:fldCharType="separate"/>
      </w:r>
      <w:r w:rsidR="000E34CB">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w:t>
      </w:r>
      <w:r w:rsidR="000E34CB">
        <w:fldChar w:fldCharType="end"/>
      </w:r>
      <w:r w:rsidR="00455098">
        <w:t xml:space="preserve"> </w:t>
      </w:r>
      <w:r>
        <w:t>Demand Response Analysis Approach</w:t>
      </w:r>
      <w:bookmarkEnd w:id="177"/>
    </w:p>
    <w:p w14:paraId="1775FE12" w14:textId="3F92EA97" w:rsidR="00E97469" w:rsidRDefault="00E97469" w:rsidP="004C3FDE">
      <w:pPr>
        <w:pStyle w:val="AEGBody"/>
      </w:pPr>
      <w:r>
        <w:rPr>
          <w:noProof/>
        </w:rPr>
        <w:drawing>
          <wp:inline distT="0" distB="0" distL="0" distR="0" wp14:anchorId="023E68C5" wp14:editId="482E2836">
            <wp:extent cx="5829300" cy="1558453"/>
            <wp:effectExtent l="19050" t="0" r="19050" b="3810"/>
            <wp:docPr id="3" name="Diagram 3">
              <a:extLst xmlns:a="http://schemas.openxmlformats.org/drawingml/2006/main">
                <a:ext uri="{FF2B5EF4-FFF2-40B4-BE49-F238E27FC236}">
                  <a16:creationId xmlns:a16="http://schemas.microsoft.com/office/drawing/2014/main" id="{D9DDC270-2729-47DF-99B2-FD37B5961C4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7FAB44CD" w14:textId="77777777" w:rsidR="00CA02A5" w:rsidRPr="005420A4" w:rsidRDefault="00CA02A5" w:rsidP="00CA02A5">
      <w:pPr>
        <w:pStyle w:val="AEGBody"/>
      </w:pPr>
      <w:r w:rsidRPr="005420A4">
        <w:t xml:space="preserve">AEG estimated </w:t>
      </w:r>
      <w:r>
        <w:t xml:space="preserve">demand response </w:t>
      </w:r>
      <w:r w:rsidRPr="005420A4">
        <w:t>potential across the following scenarios:</w:t>
      </w:r>
    </w:p>
    <w:p w14:paraId="687B59B7" w14:textId="77777777" w:rsidR="00CA02A5" w:rsidRPr="00A87A37" w:rsidRDefault="00CA02A5" w:rsidP="00CA02A5">
      <w:pPr>
        <w:pStyle w:val="AEG-BulletList"/>
        <w:rPr>
          <w:rStyle w:val="BulletedListChar"/>
          <w:rFonts w:asciiTheme="minorHAnsi" w:hAnsiTheme="minorHAnsi" w:cs="Calibri Light"/>
          <w:spacing w:val="0"/>
          <w:sz w:val="22"/>
        </w:rPr>
      </w:pPr>
      <w:r w:rsidRPr="00A87A37">
        <w:rPr>
          <w:rStyle w:val="BulletedListChar"/>
          <w:rFonts w:asciiTheme="minorHAnsi" w:hAnsiTheme="minorHAnsi" w:cs="Calibri Light"/>
          <w:b/>
          <w:bCs/>
          <w:spacing w:val="0"/>
          <w:sz w:val="22"/>
        </w:rPr>
        <w:t>Achievable</w:t>
      </w:r>
      <w:r w:rsidRPr="00A87A37">
        <w:rPr>
          <w:b/>
          <w:bCs/>
        </w:rPr>
        <w:t xml:space="preserve"> </w:t>
      </w:r>
      <w:r w:rsidRPr="00A87A37">
        <w:rPr>
          <w:rStyle w:val="BulletedListChar"/>
          <w:rFonts w:asciiTheme="minorHAnsi" w:hAnsiTheme="minorHAnsi" w:cs="Calibri Light"/>
          <w:b/>
          <w:bCs/>
          <w:spacing w:val="0"/>
          <w:sz w:val="22"/>
        </w:rPr>
        <w:t>Technical Potential or Stand Alone</w:t>
      </w:r>
      <w:r w:rsidRPr="00A87A37">
        <w:rPr>
          <w:rStyle w:val="BulletedListChar"/>
          <w:rFonts w:asciiTheme="minorHAnsi" w:hAnsiTheme="minorHAnsi" w:cs="Calibri Light"/>
          <w:spacing w:val="0"/>
          <w:sz w:val="22"/>
        </w:rPr>
        <w:t>. In this scenario, program options are treated as if they are the only programs running in the Avista territory and are viewed in a vacuum. Potential</w:t>
      </w:r>
      <w:r w:rsidRPr="00A87A37" w:rsidDel="000C5E7C">
        <w:rPr>
          <w:rStyle w:val="BulletedListChar"/>
          <w:rFonts w:asciiTheme="minorHAnsi" w:hAnsiTheme="minorHAnsi" w:cs="Calibri Light"/>
          <w:spacing w:val="0"/>
          <w:sz w:val="22"/>
        </w:rPr>
        <w:t xml:space="preserve"> </w:t>
      </w:r>
      <w:r w:rsidRPr="00A87A37">
        <w:rPr>
          <w:rStyle w:val="BulletedListChar"/>
          <w:rFonts w:asciiTheme="minorHAnsi" w:hAnsiTheme="minorHAnsi" w:cs="Calibri Light"/>
          <w:spacing w:val="0"/>
          <w:sz w:val="22"/>
        </w:rPr>
        <w:t>demand savings cannot be added in this scenario since it does not account for program overlap.</w:t>
      </w:r>
    </w:p>
    <w:p w14:paraId="7EB8A974" w14:textId="01514976" w:rsidR="00CA02A5" w:rsidRPr="004C3FDE" w:rsidRDefault="00CA02A5" w:rsidP="004C3FDE">
      <w:pPr>
        <w:pStyle w:val="AEG-BulletList"/>
      </w:pPr>
      <w:r w:rsidRPr="00A87A37">
        <w:rPr>
          <w:rStyle w:val="BulletedListChar"/>
          <w:rFonts w:asciiTheme="minorHAnsi" w:hAnsiTheme="minorHAnsi" w:cs="Calibri Light"/>
          <w:b/>
          <w:bCs/>
          <w:spacing w:val="0"/>
          <w:sz w:val="22"/>
        </w:rPr>
        <w:t>Achievable Potential or Integrated</w:t>
      </w:r>
      <w:r w:rsidRPr="00A87A37">
        <w:rPr>
          <w:rStyle w:val="BulletedListChar"/>
          <w:rFonts w:asciiTheme="minorHAnsi" w:hAnsiTheme="minorHAnsi" w:cs="Calibri Light"/>
          <w:spacing w:val="0"/>
          <w:sz w:val="22"/>
        </w:rPr>
        <w:t xml:space="preserve">. In </w:t>
      </w:r>
      <w:r w:rsidRPr="00A87A37">
        <w:t xml:space="preserve">this scenario, the program options are treated as if the programs were run simultaneously. To account for participation overlap across programs that make use of the same end-use, a program hierarchy is employed. For programs that affect the same end use, the model selects the most likely program a customer would participate in, and eligible participants were chosen for that program first. The remaining pool of eligible participants will then be available to participate in the secondary program. This scenario allows for potential to be added up as it removes any double counting of savings. </w:t>
      </w:r>
    </w:p>
    <w:p w14:paraId="4710C5E3" w14:textId="265F66B0" w:rsidR="004C3FDE" w:rsidRDefault="004C3FDE" w:rsidP="004C3FDE">
      <w:pPr>
        <w:pStyle w:val="Heading2"/>
        <w:rPr>
          <w:lang w:eastAsia="ja-JP"/>
        </w:rPr>
      </w:pPr>
      <w:bookmarkStart w:id="178" w:name="_Toc175904880"/>
      <w:r>
        <w:rPr>
          <w:lang w:eastAsia="ja-JP"/>
        </w:rPr>
        <w:t>Market Characterization</w:t>
      </w:r>
      <w:bookmarkEnd w:id="178"/>
    </w:p>
    <w:p w14:paraId="4BD4EECE" w14:textId="1533D487" w:rsidR="006821E6" w:rsidRDefault="006821E6" w:rsidP="006821E6">
      <w:pPr>
        <w:pStyle w:val="AEGBody"/>
      </w:pPr>
      <w:bookmarkStart w:id="179" w:name="_Toc470003481"/>
      <w:bookmarkStart w:id="180" w:name="_Toc488070907"/>
      <w:r>
        <w:t xml:space="preserve">The first step in the DR analysis was to segment customers by service class and develop characteristics for each segment. The </w:t>
      </w:r>
      <w:r w:rsidDel="00503994">
        <w:t xml:space="preserve">two </w:t>
      </w:r>
      <w:r>
        <w:t xml:space="preserve">relevant characteristics for DR potential analysis are end-use saturations of the controllable equipment types in each market segment and coincident peak demand in the base year. </w:t>
      </w:r>
      <w:r w:rsidRPr="005420A4">
        <w:t>Market</w:t>
      </w:r>
      <w:r w:rsidRPr="005420A4" w:rsidDel="00122C30">
        <w:t xml:space="preserve"> </w:t>
      </w:r>
      <w:r w:rsidRPr="005420A4">
        <w:t>characteristics, including equipment saturation and base</w:t>
      </w:r>
      <w:r>
        <w:t xml:space="preserve"> </w:t>
      </w:r>
      <w:r w:rsidRPr="005420A4">
        <w:t>year peak consumption, are consistent with the energy efficiency analysis</w:t>
      </w:r>
      <w:r>
        <w:t xml:space="preserve"> (see Chapter 2 for more information on the market profiles). </w:t>
      </w:r>
    </w:p>
    <w:bookmarkEnd w:id="179"/>
    <w:bookmarkEnd w:id="180"/>
    <w:p w14:paraId="42DA34D2" w14:textId="7B4FF530" w:rsidR="006821E6" w:rsidRDefault="006821E6" w:rsidP="006821E6">
      <w:pPr>
        <w:pStyle w:val="AEGBody"/>
      </w:pPr>
      <w:r>
        <w:t>As in</w:t>
      </w:r>
      <w:r w:rsidDel="007E2CF1">
        <w:t xml:space="preserve"> </w:t>
      </w:r>
      <w:r>
        <w:t>previous</w:t>
      </w:r>
      <w:r w:rsidRPr="00966F24">
        <w:t xml:space="preserve"> studies</w:t>
      </w:r>
      <w:r>
        <w:t xml:space="preserve">, AEG used Avista’s rate schedules as the basis for customer segmentation by state and customer class. Table 6-1 summarizes the market segmentation developed for this study. </w:t>
      </w:r>
    </w:p>
    <w:p w14:paraId="3C7C8A8D" w14:textId="6BED5515" w:rsidR="00E97469" w:rsidRDefault="00E97469" w:rsidP="00E97469">
      <w:pPr>
        <w:pStyle w:val="Caption"/>
      </w:pPr>
      <w:bookmarkStart w:id="181" w:name="_Toc175912400"/>
      <w:r>
        <w:t xml:space="preserve">Table </w:t>
      </w:r>
      <w:r w:rsidR="00EE4707">
        <w:fldChar w:fldCharType="begin"/>
      </w:r>
      <w:r w:rsidR="00EE4707">
        <w:instrText xml:space="preserve"> STYLEREF 1 \s </w:instrText>
      </w:r>
      <w:r w:rsidR="00EE4707">
        <w:fldChar w:fldCharType="separate"/>
      </w:r>
      <w:r w:rsidR="00EE4707">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1</w:t>
      </w:r>
      <w:r w:rsidR="00EE4707">
        <w:fldChar w:fldCharType="end"/>
      </w:r>
      <w:r w:rsidR="00455098">
        <w:t xml:space="preserve"> </w:t>
      </w:r>
      <w:r>
        <w:t>Market Segmentation</w:t>
      </w:r>
      <w:bookmarkEnd w:id="181"/>
    </w:p>
    <w:tbl>
      <w:tblPr>
        <w:tblStyle w:val="AEGBlue2"/>
        <w:tblW w:w="5000" w:type="pct"/>
        <w:tblLook w:val="0420" w:firstRow="1" w:lastRow="0" w:firstColumn="0" w:lastColumn="0" w:noHBand="0" w:noVBand="1"/>
      </w:tblPr>
      <w:tblGrid>
        <w:gridCol w:w="1650"/>
        <w:gridCol w:w="2274"/>
        <w:gridCol w:w="5436"/>
      </w:tblGrid>
      <w:tr w:rsidR="00E97469" w:rsidRPr="005D67B2" w14:paraId="3F45D8F8" w14:textId="77777777" w:rsidTr="00FF4586">
        <w:trPr>
          <w:cnfStyle w:val="100000000000" w:firstRow="1" w:lastRow="0" w:firstColumn="0" w:lastColumn="0" w:oddVBand="0" w:evenVBand="0" w:oddHBand="0" w:evenHBand="0" w:firstRowFirstColumn="0" w:firstRowLastColumn="0" w:lastRowFirstColumn="0" w:lastRowLastColumn="0"/>
          <w:trHeight w:val="259"/>
        </w:trPr>
        <w:tc>
          <w:tcPr>
            <w:tcW w:w="881" w:type="pct"/>
            <w:noWrap/>
            <w:hideMark/>
          </w:tcPr>
          <w:p w14:paraId="5B04902B" w14:textId="77777777" w:rsidR="00891131" w:rsidRDefault="00E97469" w:rsidP="00437774">
            <w:pPr>
              <w:pStyle w:val="TableText"/>
              <w:ind w:right="-115"/>
              <w:jc w:val="left"/>
              <w:rPr>
                <w:rFonts w:asciiTheme="majorHAnsi" w:hAnsiTheme="majorHAnsi"/>
                <w:color w:val="F6F6F7" w:themeColor="background1"/>
                <w:sz w:val="20"/>
                <w:szCs w:val="20"/>
              </w:rPr>
            </w:pPr>
            <w:r w:rsidRPr="00762283">
              <w:rPr>
                <w:rFonts w:asciiTheme="majorHAnsi" w:hAnsiTheme="majorHAnsi"/>
                <w:color w:val="F6F6F7" w:themeColor="background1"/>
                <w:sz w:val="20"/>
                <w:szCs w:val="20"/>
              </w:rPr>
              <w:t xml:space="preserve">Market </w:t>
            </w:r>
          </w:p>
          <w:p w14:paraId="0ABEE3A8" w14:textId="4F751DC9" w:rsidR="00E97469" w:rsidRPr="00762283" w:rsidRDefault="00E97469" w:rsidP="00437774">
            <w:pPr>
              <w:pStyle w:val="TableText"/>
              <w:ind w:right="-115"/>
              <w:jc w:val="left"/>
              <w:rPr>
                <w:rFonts w:asciiTheme="majorHAnsi" w:hAnsiTheme="majorHAnsi"/>
                <w:color w:val="F6F6F7" w:themeColor="background1"/>
                <w:sz w:val="20"/>
                <w:szCs w:val="20"/>
              </w:rPr>
            </w:pPr>
            <w:r w:rsidRPr="00762283">
              <w:rPr>
                <w:rFonts w:asciiTheme="majorHAnsi" w:hAnsiTheme="majorHAnsi"/>
                <w:color w:val="F6F6F7" w:themeColor="background1"/>
                <w:sz w:val="20"/>
                <w:szCs w:val="20"/>
              </w:rPr>
              <w:t>Dimensions</w:t>
            </w:r>
          </w:p>
        </w:tc>
        <w:tc>
          <w:tcPr>
            <w:tcW w:w="1215" w:type="pct"/>
            <w:noWrap/>
            <w:hideMark/>
          </w:tcPr>
          <w:p w14:paraId="3668B253" w14:textId="77777777" w:rsidR="00891131" w:rsidRDefault="00E97469" w:rsidP="00437774">
            <w:pPr>
              <w:pStyle w:val="TableText"/>
              <w:ind w:right="-115"/>
              <w:rPr>
                <w:rFonts w:asciiTheme="majorHAnsi" w:hAnsiTheme="majorHAnsi"/>
                <w:color w:val="F6F6F7" w:themeColor="background1"/>
                <w:sz w:val="20"/>
                <w:szCs w:val="20"/>
              </w:rPr>
            </w:pPr>
            <w:r w:rsidRPr="00762283">
              <w:rPr>
                <w:rFonts w:asciiTheme="majorHAnsi" w:hAnsiTheme="majorHAnsi"/>
                <w:color w:val="F6F6F7" w:themeColor="background1"/>
                <w:sz w:val="20"/>
                <w:szCs w:val="20"/>
              </w:rPr>
              <w:t xml:space="preserve">Segmentation </w:t>
            </w:r>
          </w:p>
          <w:p w14:paraId="58306B5D" w14:textId="7CFAA3BE" w:rsidR="00E97469" w:rsidRPr="00762283" w:rsidRDefault="00E97469" w:rsidP="00437774">
            <w:pPr>
              <w:pStyle w:val="TableText"/>
              <w:ind w:right="-115"/>
              <w:rPr>
                <w:rFonts w:asciiTheme="majorHAnsi" w:hAnsiTheme="majorHAnsi"/>
                <w:color w:val="F6F6F7" w:themeColor="background1"/>
                <w:sz w:val="20"/>
                <w:szCs w:val="20"/>
              </w:rPr>
            </w:pPr>
            <w:r w:rsidRPr="00762283">
              <w:rPr>
                <w:rFonts w:asciiTheme="majorHAnsi" w:hAnsiTheme="majorHAnsi"/>
                <w:color w:val="F6F6F7" w:themeColor="background1"/>
                <w:sz w:val="20"/>
                <w:szCs w:val="20"/>
              </w:rPr>
              <w:t>Variable</w:t>
            </w:r>
          </w:p>
        </w:tc>
        <w:tc>
          <w:tcPr>
            <w:tcW w:w="2905" w:type="pct"/>
          </w:tcPr>
          <w:p w14:paraId="5493A5A0" w14:textId="77777777" w:rsidR="00E97469" w:rsidRPr="00762283" w:rsidRDefault="00E97469" w:rsidP="00437774">
            <w:pPr>
              <w:pStyle w:val="TableText"/>
              <w:ind w:right="-115"/>
              <w:rPr>
                <w:rFonts w:asciiTheme="majorHAnsi" w:hAnsiTheme="majorHAnsi"/>
                <w:color w:val="F6F6F7" w:themeColor="background1"/>
                <w:sz w:val="20"/>
                <w:szCs w:val="20"/>
              </w:rPr>
            </w:pPr>
            <w:r w:rsidRPr="00762283">
              <w:rPr>
                <w:rFonts w:asciiTheme="majorHAnsi" w:hAnsiTheme="majorHAnsi"/>
                <w:color w:val="F6F6F7" w:themeColor="background1"/>
                <w:sz w:val="20"/>
                <w:szCs w:val="20"/>
              </w:rPr>
              <w:t>Description</w:t>
            </w:r>
          </w:p>
        </w:tc>
      </w:tr>
      <w:tr w:rsidR="00E97469" w:rsidRPr="005D67B2" w14:paraId="472279D8" w14:textId="77777777" w:rsidTr="00FF4586">
        <w:trPr>
          <w:trHeight w:val="259"/>
        </w:trPr>
        <w:tc>
          <w:tcPr>
            <w:tcW w:w="881" w:type="pct"/>
            <w:noWrap/>
          </w:tcPr>
          <w:p w14:paraId="75A186DF" w14:textId="77777777" w:rsidR="00E97469" w:rsidRPr="00762283" w:rsidRDefault="00E97469" w:rsidP="00FF4586">
            <w:pPr>
              <w:pStyle w:val="TableText"/>
              <w:ind w:right="-115"/>
              <w:rPr>
                <w:rFonts w:asciiTheme="minorHAnsi" w:hAnsiTheme="minorHAnsi"/>
                <w:sz w:val="20"/>
                <w:szCs w:val="20"/>
              </w:rPr>
            </w:pPr>
            <w:r w:rsidRPr="00762283">
              <w:rPr>
                <w:rFonts w:asciiTheme="minorHAnsi" w:hAnsiTheme="minorHAnsi"/>
                <w:sz w:val="20"/>
                <w:szCs w:val="20"/>
              </w:rPr>
              <w:t>1</w:t>
            </w:r>
          </w:p>
        </w:tc>
        <w:tc>
          <w:tcPr>
            <w:tcW w:w="1215" w:type="pct"/>
            <w:noWrap/>
          </w:tcPr>
          <w:p w14:paraId="50BFFE9D"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State</w:t>
            </w:r>
          </w:p>
        </w:tc>
        <w:tc>
          <w:tcPr>
            <w:tcW w:w="2905" w:type="pct"/>
          </w:tcPr>
          <w:p w14:paraId="7097B28F"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Idaho</w:t>
            </w:r>
          </w:p>
          <w:p w14:paraId="06AA1CE0"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Washington</w:t>
            </w:r>
          </w:p>
        </w:tc>
      </w:tr>
      <w:tr w:rsidR="00E97469" w:rsidRPr="005D67B2" w14:paraId="474170C4" w14:textId="77777777" w:rsidTr="00FF4586">
        <w:trPr>
          <w:cnfStyle w:val="000000010000" w:firstRow="0" w:lastRow="0" w:firstColumn="0" w:lastColumn="0" w:oddVBand="0" w:evenVBand="0" w:oddHBand="0" w:evenHBand="1" w:firstRowFirstColumn="0" w:firstRowLastColumn="0" w:lastRowFirstColumn="0" w:lastRowLastColumn="0"/>
          <w:trHeight w:val="259"/>
        </w:trPr>
        <w:tc>
          <w:tcPr>
            <w:tcW w:w="881" w:type="pct"/>
            <w:noWrap/>
          </w:tcPr>
          <w:p w14:paraId="10A91D5A" w14:textId="77777777" w:rsidR="00E97469" w:rsidRPr="00762283" w:rsidRDefault="00E97469" w:rsidP="00FF4586">
            <w:pPr>
              <w:pStyle w:val="TableText"/>
              <w:ind w:right="-115"/>
              <w:rPr>
                <w:rFonts w:asciiTheme="minorHAnsi" w:hAnsiTheme="minorHAnsi"/>
                <w:sz w:val="20"/>
                <w:szCs w:val="20"/>
              </w:rPr>
            </w:pPr>
            <w:r w:rsidRPr="00762283">
              <w:rPr>
                <w:rFonts w:asciiTheme="minorHAnsi" w:hAnsiTheme="minorHAnsi"/>
                <w:sz w:val="20"/>
                <w:szCs w:val="20"/>
              </w:rPr>
              <w:t>2</w:t>
            </w:r>
          </w:p>
        </w:tc>
        <w:tc>
          <w:tcPr>
            <w:tcW w:w="1215" w:type="pct"/>
            <w:noWrap/>
          </w:tcPr>
          <w:p w14:paraId="42D7BCEB"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Customer Class</w:t>
            </w:r>
          </w:p>
          <w:p w14:paraId="69775830"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(by rate schedule)</w:t>
            </w:r>
          </w:p>
        </w:tc>
        <w:tc>
          <w:tcPr>
            <w:tcW w:w="2905" w:type="pct"/>
          </w:tcPr>
          <w:p w14:paraId="227F1AF5"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Residential Service</w:t>
            </w:r>
          </w:p>
          <w:p w14:paraId="0139E39A"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General Service: Rate Schedule 11</w:t>
            </w:r>
          </w:p>
          <w:p w14:paraId="24DD4012" w14:textId="77777777"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Large General Service: Rate Schedule 21</w:t>
            </w:r>
          </w:p>
          <w:p w14:paraId="56EFC410" w14:textId="0B00639D" w:rsidR="00E97469" w:rsidRPr="00762283" w:rsidRDefault="00E97469" w:rsidP="00FF4586">
            <w:pPr>
              <w:pStyle w:val="TableText"/>
              <w:ind w:right="-115"/>
              <w:jc w:val="left"/>
              <w:rPr>
                <w:rFonts w:asciiTheme="minorHAnsi" w:hAnsiTheme="minorHAnsi"/>
                <w:sz w:val="20"/>
                <w:szCs w:val="20"/>
              </w:rPr>
            </w:pPr>
            <w:r w:rsidRPr="00762283">
              <w:rPr>
                <w:rFonts w:asciiTheme="minorHAnsi" w:hAnsiTheme="minorHAnsi"/>
                <w:sz w:val="20"/>
                <w:szCs w:val="20"/>
              </w:rPr>
              <w:t>Extra Large General Service: Rate Schedule 25</w:t>
            </w:r>
          </w:p>
        </w:tc>
      </w:tr>
    </w:tbl>
    <w:p w14:paraId="2DBE58DA" w14:textId="77777777" w:rsidR="00E97469" w:rsidRDefault="00E97469" w:rsidP="000F5F8E">
      <w:pPr>
        <w:pStyle w:val="AEGBody"/>
        <w:rPr>
          <w:lang w:eastAsia="ja-JP"/>
        </w:rPr>
      </w:pPr>
    </w:p>
    <w:p w14:paraId="62E79202" w14:textId="2DCE8D90" w:rsidR="004C4F4A" w:rsidRDefault="004C4F4A" w:rsidP="000F5F8E">
      <w:pPr>
        <w:pStyle w:val="AEGBody"/>
      </w:pPr>
      <w:bookmarkStart w:id="182" w:name="_Toc470003482"/>
      <w:bookmarkStart w:id="183" w:name="_Toc488070908"/>
      <w:r>
        <w:t>AEG excluded Avista’s two largest industrial customers from the analysis because they are so large and unique that a segment-based modeling approach is not appropriate. To accurately estimate DR potential for these customers, we would need to develop a detailed understanding of their industrial processes and associated possibilities for load reduction. We would also need to develop specific DR potential estimates for each customer. Avista may wish to engage</w:t>
      </w:r>
      <w:r w:rsidDel="009A1C96">
        <w:t xml:space="preserve"> </w:t>
      </w:r>
      <w:r>
        <w:t>these large customers directly to gauge interest in participating in DR programs.</w:t>
      </w:r>
      <w:bookmarkEnd w:id="182"/>
      <w:bookmarkEnd w:id="183"/>
    </w:p>
    <w:p w14:paraId="0940744D" w14:textId="599B7173" w:rsidR="00CC6A72" w:rsidRDefault="00CC6A72" w:rsidP="009875ED">
      <w:pPr>
        <w:pStyle w:val="Heading2"/>
      </w:pPr>
      <w:bookmarkStart w:id="184" w:name="_Toc175904881"/>
      <w:r>
        <w:t>Baseline Forecast</w:t>
      </w:r>
      <w:bookmarkEnd w:id="184"/>
    </w:p>
    <w:p w14:paraId="4C053AA5" w14:textId="28685253" w:rsidR="005D7C7E" w:rsidRPr="005D7C7E" w:rsidRDefault="005D7C7E" w:rsidP="005D7C7E">
      <w:pPr>
        <w:pStyle w:val="AEGBody"/>
      </w:pPr>
      <w:r>
        <w:t xml:space="preserve">Once the customer segments were defined and characterized, AEG developed </w:t>
      </w:r>
      <w:r w:rsidRPr="005420A4">
        <w:t xml:space="preserve">the baseline projection. Load and consumption </w:t>
      </w:r>
      <w:r w:rsidRPr="005420A4" w:rsidDel="00991E8D">
        <w:t>c</w:t>
      </w:r>
      <w:r w:rsidRPr="005420A4">
        <w:t>haracteristics, including customer count and coincident peak demand values</w:t>
      </w:r>
      <w:r>
        <w:t>,</w:t>
      </w:r>
      <w:r w:rsidRPr="005420A4">
        <w:t xml:space="preserve"> </w:t>
      </w:r>
      <w:r>
        <w:t>we</w:t>
      </w:r>
      <w:r w:rsidRPr="005420A4">
        <w:t xml:space="preserve">re provided by Avista load </w:t>
      </w:r>
      <w:r w:rsidR="00C05953" w:rsidRPr="005420A4">
        <w:t>forecasts</w:t>
      </w:r>
      <w:r w:rsidR="00C05953">
        <w:t xml:space="preserve"> </w:t>
      </w:r>
      <w:r w:rsidRPr="005420A4">
        <w:t xml:space="preserve">and aligned with the energy efficiency analysis. </w:t>
      </w:r>
    </w:p>
    <w:p w14:paraId="5960D0CB" w14:textId="13FC79A0" w:rsidR="00CC6A72" w:rsidRDefault="00CC6A72" w:rsidP="009875ED">
      <w:pPr>
        <w:pStyle w:val="Heading3"/>
      </w:pPr>
      <w:bookmarkStart w:id="185" w:name="_Toc175904882"/>
      <w:r>
        <w:t>Customer Counts</w:t>
      </w:r>
      <w:bookmarkEnd w:id="185"/>
    </w:p>
    <w:p w14:paraId="3D0E2802" w14:textId="66661666" w:rsidR="00424D12" w:rsidRDefault="00424D12" w:rsidP="00424D12">
      <w:pPr>
        <w:pStyle w:val="BodyText"/>
      </w:pPr>
      <w:r w:rsidRPr="00A3664F">
        <w:t>Avista provided actual customer counts by rate schedule for Washington and Idaho over the 201</w:t>
      </w:r>
      <w:r w:rsidR="004A6A76" w:rsidRPr="00A3664F">
        <w:t>9</w:t>
      </w:r>
      <w:r w:rsidRPr="00A3664F">
        <w:t>-202</w:t>
      </w:r>
      <w:r w:rsidR="004A6A76" w:rsidRPr="00A3664F">
        <w:t>3</w:t>
      </w:r>
      <w:r w:rsidRPr="00A3664F">
        <w:t xml:space="preserve"> timeframe and forecasted customer counts over the 202</w:t>
      </w:r>
      <w:r w:rsidR="004A6A76" w:rsidRPr="00A3664F">
        <w:t>4</w:t>
      </w:r>
      <w:r w:rsidRPr="00A3664F">
        <w:t>-202</w:t>
      </w:r>
      <w:r w:rsidR="004A6A76" w:rsidRPr="00A3664F">
        <w:t>8</w:t>
      </w:r>
      <w:r w:rsidRPr="00A3664F">
        <w:t xml:space="preserve"> period. AEG used this data to calculate the growth rates by customer class across the final two forecasted years, and projected customer counts through 2045. The average annual customer growth rate for all sectors </w:t>
      </w:r>
      <w:r w:rsidR="004A6A76" w:rsidRPr="00A3664F">
        <w:t>was</w:t>
      </w:r>
      <w:r w:rsidRPr="00A3664F">
        <w:t xml:space="preserve"> </w:t>
      </w:r>
      <w:r w:rsidR="004A6A76" w:rsidRPr="00A3664F">
        <w:t>0</w:t>
      </w:r>
      <w:r w:rsidRPr="00A3664F">
        <w:t>.</w:t>
      </w:r>
      <w:r w:rsidR="00E92EDB">
        <w:t>6</w:t>
      </w:r>
      <w:r w:rsidRPr="00A3664F">
        <w:t xml:space="preserve">% in Washington and </w:t>
      </w:r>
      <w:r w:rsidR="004A6A76" w:rsidRPr="00A3664F">
        <w:t>0</w:t>
      </w:r>
      <w:r w:rsidRPr="00A3664F">
        <w:t>.</w:t>
      </w:r>
      <w:r w:rsidR="00E92EDB">
        <w:t>7</w:t>
      </w:r>
      <w:r w:rsidRPr="00A3664F">
        <w:t>% in Idaho.</w:t>
      </w:r>
      <w:r w:rsidRPr="00966F24">
        <w:t xml:space="preserve"> </w:t>
      </w:r>
    </w:p>
    <w:p w14:paraId="684BBFE8" w14:textId="77777777" w:rsidR="00424D12" w:rsidRDefault="00424D12" w:rsidP="000F5F8E">
      <w:pPr>
        <w:pStyle w:val="AEGBody"/>
        <w:rPr>
          <w:lang w:eastAsia="ja-JP"/>
        </w:rPr>
      </w:pPr>
    </w:p>
    <w:p w14:paraId="2D43165F" w14:textId="33297ADC" w:rsidR="00424D12" w:rsidRDefault="00424D12" w:rsidP="00424D12">
      <w:pPr>
        <w:pStyle w:val="Caption"/>
      </w:pPr>
      <w:bookmarkStart w:id="186" w:name="_Toc175912401"/>
      <w:r>
        <w:t xml:space="preserve">Table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Table \* ARABIC \s 1 </w:instrText>
      </w:r>
      <w:r>
        <w:fldChar w:fldCharType="separate"/>
      </w:r>
      <w:r>
        <w:rPr>
          <w:noProof/>
        </w:rPr>
        <w:t>2</w:t>
      </w:r>
      <w:r>
        <w:fldChar w:fldCharType="end"/>
      </w:r>
      <w:r>
        <w:t xml:space="preserve"> </w:t>
      </w:r>
      <w:r w:rsidRPr="00633D08">
        <w:t xml:space="preserve">Baseline </w:t>
      </w:r>
      <w:r>
        <w:t>Customer Forecast by Customer Class, Washington</w:t>
      </w:r>
      <w:bookmarkEnd w:id="186"/>
    </w:p>
    <w:tbl>
      <w:tblPr>
        <w:tblStyle w:val="AEG-DarkBanded"/>
        <w:tblW w:w="5000" w:type="pct"/>
        <w:jc w:val="center"/>
        <w:tblCellMar>
          <w:top w:w="29" w:type="dxa"/>
          <w:bottom w:w="29" w:type="dxa"/>
        </w:tblCellMar>
        <w:tblLook w:val="04A0" w:firstRow="1" w:lastRow="0" w:firstColumn="1" w:lastColumn="0" w:noHBand="0" w:noVBand="1"/>
      </w:tblPr>
      <w:tblGrid>
        <w:gridCol w:w="2902"/>
        <w:gridCol w:w="1292"/>
        <w:gridCol w:w="1292"/>
        <w:gridCol w:w="1292"/>
        <w:gridCol w:w="1291"/>
        <w:gridCol w:w="1291"/>
      </w:tblGrid>
      <w:tr w:rsidR="00424D12" w:rsidRPr="005D67B2" w14:paraId="3F6BB59E" w14:textId="77777777" w:rsidTr="00FF4586">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hideMark/>
          </w:tcPr>
          <w:p w14:paraId="01BDFE1A" w14:textId="77777777" w:rsidR="00424D12" w:rsidRPr="00762283" w:rsidRDefault="00424D12">
            <w:pPr>
              <w:keepNext/>
              <w:jc w:val="left"/>
              <w:rPr>
                <w:rFonts w:asciiTheme="majorHAnsi" w:eastAsia="Times New Roman" w:hAnsiTheme="majorHAnsi"/>
                <w:b w:val="0"/>
                <w:szCs w:val="20"/>
              </w:rPr>
            </w:pPr>
            <w:r w:rsidRPr="00762283">
              <w:rPr>
                <w:rFonts w:asciiTheme="majorHAnsi" w:eastAsia="Times New Roman" w:hAnsiTheme="majorHAnsi"/>
                <w:b w:val="0"/>
                <w:szCs w:val="20"/>
              </w:rPr>
              <w:t>State</w:t>
            </w:r>
          </w:p>
        </w:tc>
        <w:tc>
          <w:tcPr>
            <w:tcW w:w="0" w:type="pct"/>
            <w:hideMark/>
          </w:tcPr>
          <w:p w14:paraId="70C9D8C6" w14:textId="77777777" w:rsidR="00424D12" w:rsidRPr="00762283"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762283">
              <w:rPr>
                <w:rFonts w:asciiTheme="majorHAnsi" w:eastAsia="Times New Roman" w:hAnsiTheme="majorHAnsi"/>
                <w:b w:val="0"/>
                <w:szCs w:val="20"/>
              </w:rPr>
              <w:t>2026</w:t>
            </w:r>
          </w:p>
        </w:tc>
        <w:tc>
          <w:tcPr>
            <w:tcW w:w="0" w:type="pct"/>
            <w:hideMark/>
          </w:tcPr>
          <w:p w14:paraId="0A8E2004" w14:textId="77777777" w:rsidR="00424D12" w:rsidRPr="00762283"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762283">
              <w:rPr>
                <w:rFonts w:asciiTheme="majorHAnsi" w:eastAsia="Times New Roman" w:hAnsiTheme="majorHAnsi"/>
                <w:b w:val="0"/>
                <w:szCs w:val="20"/>
              </w:rPr>
              <w:t>2027</w:t>
            </w:r>
          </w:p>
        </w:tc>
        <w:tc>
          <w:tcPr>
            <w:tcW w:w="0" w:type="pct"/>
            <w:hideMark/>
          </w:tcPr>
          <w:p w14:paraId="096EFC38" w14:textId="77777777" w:rsidR="00424D12" w:rsidRPr="00762283"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762283">
              <w:rPr>
                <w:rFonts w:asciiTheme="majorHAnsi" w:eastAsia="Times New Roman" w:hAnsiTheme="majorHAnsi"/>
                <w:b w:val="0"/>
                <w:szCs w:val="20"/>
              </w:rPr>
              <w:t>2028</w:t>
            </w:r>
          </w:p>
        </w:tc>
        <w:tc>
          <w:tcPr>
            <w:tcW w:w="0" w:type="pct"/>
            <w:hideMark/>
          </w:tcPr>
          <w:p w14:paraId="01CE9DC1" w14:textId="77777777" w:rsidR="00424D12" w:rsidRPr="00762283"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762283">
              <w:rPr>
                <w:rFonts w:asciiTheme="majorHAnsi" w:eastAsia="Times New Roman" w:hAnsiTheme="majorHAnsi"/>
                <w:b w:val="0"/>
                <w:szCs w:val="20"/>
              </w:rPr>
              <w:t>2035</w:t>
            </w:r>
          </w:p>
        </w:tc>
        <w:tc>
          <w:tcPr>
            <w:tcW w:w="0" w:type="pct"/>
            <w:hideMark/>
          </w:tcPr>
          <w:p w14:paraId="6E86AB6F" w14:textId="77777777" w:rsidR="00424D12" w:rsidRPr="00762283"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762283">
              <w:rPr>
                <w:rFonts w:asciiTheme="majorHAnsi" w:eastAsia="Times New Roman" w:hAnsiTheme="majorHAnsi"/>
                <w:b w:val="0"/>
                <w:szCs w:val="20"/>
              </w:rPr>
              <w:t>2045</w:t>
            </w:r>
          </w:p>
        </w:tc>
      </w:tr>
      <w:tr w:rsidR="00E92EDB" w:rsidRPr="005D67B2" w14:paraId="6FDC2107"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09771507" w14:textId="434838B5" w:rsidR="00E92EDB" w:rsidRPr="00762283" w:rsidRDefault="00E92EDB" w:rsidP="00E92EDB">
            <w:pPr>
              <w:keepNext/>
              <w:jc w:val="left"/>
              <w:rPr>
                <w:rFonts w:asciiTheme="minorHAnsi" w:eastAsia="Times New Roman" w:hAnsiTheme="minorHAnsi"/>
                <w:color w:val="000000"/>
                <w:szCs w:val="20"/>
              </w:rPr>
            </w:pPr>
            <w:r w:rsidRPr="00762283">
              <w:rPr>
                <w:rFonts w:asciiTheme="minorHAnsi" w:hAnsiTheme="minorHAnsi"/>
              </w:rPr>
              <w:t>Residential</w:t>
            </w:r>
          </w:p>
        </w:tc>
        <w:tc>
          <w:tcPr>
            <w:tcW w:w="0" w:type="pct"/>
            <w:noWrap/>
            <w:vAlign w:val="top"/>
          </w:tcPr>
          <w:p w14:paraId="386E50E9" w14:textId="5543BC27"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250,635 </w:t>
            </w:r>
          </w:p>
        </w:tc>
        <w:tc>
          <w:tcPr>
            <w:tcW w:w="0" w:type="pct"/>
            <w:noWrap/>
            <w:vAlign w:val="top"/>
          </w:tcPr>
          <w:p w14:paraId="7B22CA4A" w14:textId="6E91EC28"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254,016 </w:t>
            </w:r>
          </w:p>
        </w:tc>
        <w:tc>
          <w:tcPr>
            <w:tcW w:w="0" w:type="pct"/>
            <w:noWrap/>
            <w:vAlign w:val="top"/>
          </w:tcPr>
          <w:p w14:paraId="00B77C50" w14:textId="5F4FF58C"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257,195 </w:t>
            </w:r>
          </w:p>
        </w:tc>
        <w:tc>
          <w:tcPr>
            <w:tcW w:w="0" w:type="pct"/>
            <w:noWrap/>
            <w:vAlign w:val="top"/>
          </w:tcPr>
          <w:p w14:paraId="1A28AD41" w14:textId="65D5F43C"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281,642 </w:t>
            </w:r>
          </w:p>
        </w:tc>
        <w:tc>
          <w:tcPr>
            <w:tcW w:w="0" w:type="pct"/>
            <w:noWrap/>
            <w:vAlign w:val="top"/>
          </w:tcPr>
          <w:p w14:paraId="258B6631" w14:textId="298E8651"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285,319 </w:t>
            </w:r>
          </w:p>
        </w:tc>
      </w:tr>
      <w:tr w:rsidR="00E92EDB" w:rsidRPr="005D67B2" w14:paraId="3C41DBCC" w14:textId="77777777" w:rsidTr="00FF4586">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6AEC0D14" w14:textId="44B45F01" w:rsidR="00E92EDB" w:rsidRPr="00762283" w:rsidRDefault="00E92EDB" w:rsidP="00E92EDB">
            <w:pPr>
              <w:keepNext/>
              <w:jc w:val="left"/>
              <w:rPr>
                <w:rFonts w:asciiTheme="minorHAnsi" w:eastAsia="Times New Roman" w:hAnsiTheme="minorHAnsi"/>
                <w:color w:val="000000"/>
                <w:szCs w:val="20"/>
              </w:rPr>
            </w:pPr>
            <w:r w:rsidRPr="00762283">
              <w:rPr>
                <w:rFonts w:asciiTheme="minorHAnsi" w:hAnsiTheme="minorHAnsi"/>
              </w:rPr>
              <w:t>General Service</w:t>
            </w:r>
          </w:p>
        </w:tc>
        <w:tc>
          <w:tcPr>
            <w:tcW w:w="0" w:type="pct"/>
            <w:noWrap/>
            <w:vAlign w:val="top"/>
          </w:tcPr>
          <w:p w14:paraId="7CBEA056" w14:textId="266F303C"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24,761 </w:t>
            </w:r>
          </w:p>
        </w:tc>
        <w:tc>
          <w:tcPr>
            <w:tcW w:w="0" w:type="pct"/>
            <w:noWrap/>
            <w:vAlign w:val="top"/>
          </w:tcPr>
          <w:p w14:paraId="381A0EFC" w14:textId="3EE141C1"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24,975 </w:t>
            </w:r>
          </w:p>
        </w:tc>
        <w:tc>
          <w:tcPr>
            <w:tcW w:w="0" w:type="pct"/>
            <w:noWrap/>
            <w:vAlign w:val="top"/>
          </w:tcPr>
          <w:p w14:paraId="5ABDAA3E" w14:textId="59B9A230"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25,204 </w:t>
            </w:r>
          </w:p>
        </w:tc>
        <w:tc>
          <w:tcPr>
            <w:tcW w:w="0" w:type="pct"/>
            <w:noWrap/>
            <w:vAlign w:val="top"/>
          </w:tcPr>
          <w:p w14:paraId="3938FE6A" w14:textId="777ADBD4"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26,869 </w:t>
            </w:r>
          </w:p>
        </w:tc>
        <w:tc>
          <w:tcPr>
            <w:tcW w:w="0" w:type="pct"/>
            <w:noWrap/>
            <w:vAlign w:val="top"/>
          </w:tcPr>
          <w:p w14:paraId="5A8505F1" w14:textId="051B185B"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27,116 </w:t>
            </w:r>
          </w:p>
        </w:tc>
      </w:tr>
      <w:tr w:rsidR="00E92EDB" w:rsidRPr="005D67B2" w14:paraId="273A7F48"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2223355C" w14:textId="5B49DFA5" w:rsidR="00E92EDB" w:rsidRPr="00762283" w:rsidRDefault="00E92EDB" w:rsidP="00E92EDB">
            <w:pPr>
              <w:keepNext/>
              <w:jc w:val="left"/>
              <w:rPr>
                <w:rFonts w:asciiTheme="minorHAnsi" w:eastAsia="Times New Roman" w:hAnsiTheme="minorHAnsi"/>
                <w:color w:val="000000"/>
                <w:szCs w:val="20"/>
              </w:rPr>
            </w:pPr>
            <w:r w:rsidRPr="00762283">
              <w:rPr>
                <w:rFonts w:asciiTheme="minorHAnsi" w:hAnsiTheme="minorHAnsi"/>
              </w:rPr>
              <w:t>Large General Service</w:t>
            </w:r>
          </w:p>
        </w:tc>
        <w:tc>
          <w:tcPr>
            <w:tcW w:w="0" w:type="pct"/>
            <w:noWrap/>
            <w:vAlign w:val="top"/>
            <w:hideMark/>
          </w:tcPr>
          <w:p w14:paraId="3BC2BE6C" w14:textId="4A051353"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1,538 </w:t>
            </w:r>
          </w:p>
        </w:tc>
        <w:tc>
          <w:tcPr>
            <w:tcW w:w="0" w:type="pct"/>
            <w:noWrap/>
            <w:vAlign w:val="top"/>
            <w:hideMark/>
          </w:tcPr>
          <w:p w14:paraId="39101152" w14:textId="3EBF8BFF"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1,526 </w:t>
            </w:r>
          </w:p>
        </w:tc>
        <w:tc>
          <w:tcPr>
            <w:tcW w:w="0" w:type="pct"/>
            <w:noWrap/>
            <w:vAlign w:val="top"/>
            <w:hideMark/>
          </w:tcPr>
          <w:p w14:paraId="387559B2" w14:textId="745409E3"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1,514 </w:t>
            </w:r>
          </w:p>
        </w:tc>
        <w:tc>
          <w:tcPr>
            <w:tcW w:w="0" w:type="pct"/>
            <w:noWrap/>
            <w:vAlign w:val="top"/>
            <w:hideMark/>
          </w:tcPr>
          <w:p w14:paraId="08FED284" w14:textId="4937BB23"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1,433 </w:t>
            </w:r>
          </w:p>
        </w:tc>
        <w:tc>
          <w:tcPr>
            <w:tcW w:w="0" w:type="pct"/>
            <w:noWrap/>
            <w:vAlign w:val="top"/>
            <w:hideMark/>
          </w:tcPr>
          <w:p w14:paraId="32DEC50E" w14:textId="47CD9BFB" w:rsidR="00E92EDB" w:rsidRPr="00762283"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1,421 </w:t>
            </w:r>
          </w:p>
        </w:tc>
      </w:tr>
      <w:tr w:rsidR="00E92EDB" w:rsidRPr="005D67B2" w14:paraId="5E2741B0" w14:textId="77777777" w:rsidTr="00FF4586">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0A31B4CB" w14:textId="25D5AAD8" w:rsidR="00E92EDB" w:rsidRPr="00762283" w:rsidRDefault="00E92EDB" w:rsidP="00E92EDB">
            <w:pPr>
              <w:keepNext/>
              <w:jc w:val="left"/>
              <w:rPr>
                <w:rFonts w:asciiTheme="minorHAnsi" w:eastAsia="Times New Roman" w:hAnsiTheme="minorHAnsi"/>
                <w:color w:val="000000"/>
                <w:szCs w:val="20"/>
              </w:rPr>
            </w:pPr>
            <w:r w:rsidRPr="00762283">
              <w:rPr>
                <w:rFonts w:asciiTheme="minorHAnsi" w:hAnsiTheme="minorHAnsi"/>
              </w:rPr>
              <w:t>Extra Large General Service</w:t>
            </w:r>
          </w:p>
        </w:tc>
        <w:tc>
          <w:tcPr>
            <w:tcW w:w="0" w:type="pct"/>
            <w:noWrap/>
            <w:vAlign w:val="top"/>
          </w:tcPr>
          <w:p w14:paraId="2FF175BC" w14:textId="0A0EDDEE"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21 </w:t>
            </w:r>
          </w:p>
        </w:tc>
        <w:tc>
          <w:tcPr>
            <w:tcW w:w="0" w:type="pct"/>
            <w:noWrap/>
            <w:vAlign w:val="top"/>
          </w:tcPr>
          <w:p w14:paraId="5D3E8AA8" w14:textId="69291098"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21 </w:t>
            </w:r>
          </w:p>
        </w:tc>
        <w:tc>
          <w:tcPr>
            <w:tcW w:w="0" w:type="pct"/>
            <w:noWrap/>
            <w:vAlign w:val="top"/>
          </w:tcPr>
          <w:p w14:paraId="435A354F" w14:textId="151085D0"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21 </w:t>
            </w:r>
          </w:p>
        </w:tc>
        <w:tc>
          <w:tcPr>
            <w:tcW w:w="0" w:type="pct"/>
            <w:noWrap/>
            <w:vAlign w:val="top"/>
          </w:tcPr>
          <w:p w14:paraId="76BBEF36" w14:textId="4B971E17"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21 </w:t>
            </w:r>
          </w:p>
        </w:tc>
        <w:tc>
          <w:tcPr>
            <w:tcW w:w="0" w:type="pct"/>
            <w:noWrap/>
            <w:vAlign w:val="top"/>
          </w:tcPr>
          <w:p w14:paraId="22D4F0D1" w14:textId="2B3395E3" w:rsidR="00E92EDB" w:rsidRPr="00762283"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62283">
              <w:rPr>
                <w:rFonts w:asciiTheme="minorHAnsi" w:hAnsiTheme="minorHAnsi"/>
              </w:rPr>
              <w:t xml:space="preserve"> 21 </w:t>
            </w:r>
          </w:p>
        </w:tc>
      </w:tr>
    </w:tbl>
    <w:p w14:paraId="5F14790B" w14:textId="4BBFE545" w:rsidR="00424D12" w:rsidRDefault="00424D12" w:rsidP="00424D12">
      <w:pPr>
        <w:pStyle w:val="Caption"/>
      </w:pPr>
      <w:bookmarkStart w:id="187" w:name="_Toc175912402"/>
      <w:r>
        <w:t xml:space="preserve">Table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Table \* ARABIC \s 1 </w:instrText>
      </w:r>
      <w:r>
        <w:fldChar w:fldCharType="separate"/>
      </w:r>
      <w:r>
        <w:rPr>
          <w:noProof/>
        </w:rPr>
        <w:t>3</w:t>
      </w:r>
      <w:r>
        <w:fldChar w:fldCharType="end"/>
      </w:r>
      <w:r>
        <w:t xml:space="preserve"> </w:t>
      </w:r>
      <w:r w:rsidRPr="00591F6B">
        <w:t xml:space="preserve">Baseline </w:t>
      </w:r>
      <w:r>
        <w:t>Customer Forecast by Customer Class, Idaho</w:t>
      </w:r>
      <w:bookmarkEnd w:id="187"/>
    </w:p>
    <w:tbl>
      <w:tblPr>
        <w:tblStyle w:val="AEGBlue2"/>
        <w:tblW w:w="5000" w:type="pct"/>
        <w:jc w:val="center"/>
        <w:tblCellMar>
          <w:top w:w="29" w:type="dxa"/>
          <w:bottom w:w="29" w:type="dxa"/>
        </w:tblCellMar>
        <w:tblLook w:val="04A0" w:firstRow="1" w:lastRow="0" w:firstColumn="1" w:lastColumn="0" w:noHBand="0" w:noVBand="1"/>
      </w:tblPr>
      <w:tblGrid>
        <w:gridCol w:w="2902"/>
        <w:gridCol w:w="1292"/>
        <w:gridCol w:w="1292"/>
        <w:gridCol w:w="1292"/>
        <w:gridCol w:w="1291"/>
        <w:gridCol w:w="1291"/>
      </w:tblGrid>
      <w:tr w:rsidR="00424D12" w:rsidRPr="005D67B2" w14:paraId="338A850C" w14:textId="77777777" w:rsidTr="00FF4586">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hideMark/>
          </w:tcPr>
          <w:p w14:paraId="2F748E03" w14:textId="77777777" w:rsidR="00424D12" w:rsidRPr="00D41F18" w:rsidRDefault="00424D12">
            <w:pPr>
              <w:keepNext/>
              <w:jc w:val="left"/>
              <w:rPr>
                <w:rFonts w:asciiTheme="majorHAnsi" w:eastAsia="Times New Roman" w:hAnsiTheme="majorHAnsi"/>
                <w:szCs w:val="20"/>
              </w:rPr>
            </w:pPr>
            <w:r w:rsidRPr="00D41F18">
              <w:rPr>
                <w:rFonts w:asciiTheme="majorHAnsi" w:eastAsia="Times New Roman" w:hAnsiTheme="majorHAnsi"/>
                <w:szCs w:val="20"/>
              </w:rPr>
              <w:t>State</w:t>
            </w:r>
          </w:p>
        </w:tc>
        <w:tc>
          <w:tcPr>
            <w:tcW w:w="0" w:type="pct"/>
            <w:hideMark/>
          </w:tcPr>
          <w:p w14:paraId="2578DBF6" w14:textId="77777777" w:rsidR="00424D12" w:rsidRPr="00D41F18"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41F18">
              <w:rPr>
                <w:rFonts w:asciiTheme="majorHAnsi" w:eastAsia="Times New Roman" w:hAnsiTheme="majorHAnsi"/>
                <w:szCs w:val="20"/>
              </w:rPr>
              <w:t>2026</w:t>
            </w:r>
          </w:p>
        </w:tc>
        <w:tc>
          <w:tcPr>
            <w:tcW w:w="0" w:type="pct"/>
            <w:hideMark/>
          </w:tcPr>
          <w:p w14:paraId="289B4229" w14:textId="77777777" w:rsidR="00424D12" w:rsidRPr="00D41F18"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41F18">
              <w:rPr>
                <w:rFonts w:asciiTheme="majorHAnsi" w:eastAsia="Times New Roman" w:hAnsiTheme="majorHAnsi"/>
                <w:szCs w:val="20"/>
              </w:rPr>
              <w:t>2027</w:t>
            </w:r>
          </w:p>
        </w:tc>
        <w:tc>
          <w:tcPr>
            <w:tcW w:w="0" w:type="pct"/>
            <w:hideMark/>
          </w:tcPr>
          <w:p w14:paraId="6745F7E8" w14:textId="77777777" w:rsidR="00424D12" w:rsidRPr="00D41F18"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41F18">
              <w:rPr>
                <w:rFonts w:asciiTheme="majorHAnsi" w:eastAsia="Times New Roman" w:hAnsiTheme="majorHAnsi"/>
                <w:szCs w:val="20"/>
              </w:rPr>
              <w:t>2028</w:t>
            </w:r>
          </w:p>
        </w:tc>
        <w:tc>
          <w:tcPr>
            <w:tcW w:w="0" w:type="pct"/>
            <w:hideMark/>
          </w:tcPr>
          <w:p w14:paraId="02447765" w14:textId="77777777" w:rsidR="00424D12" w:rsidRPr="00D41F18"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41F18">
              <w:rPr>
                <w:rFonts w:asciiTheme="majorHAnsi" w:eastAsia="Times New Roman" w:hAnsiTheme="majorHAnsi"/>
                <w:szCs w:val="20"/>
              </w:rPr>
              <w:t>2035</w:t>
            </w:r>
          </w:p>
        </w:tc>
        <w:tc>
          <w:tcPr>
            <w:tcW w:w="0" w:type="pct"/>
            <w:hideMark/>
          </w:tcPr>
          <w:p w14:paraId="17A517B0" w14:textId="77777777" w:rsidR="00424D12" w:rsidRPr="00D41F18" w:rsidRDefault="00424D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D41F18">
              <w:rPr>
                <w:rFonts w:asciiTheme="majorHAnsi" w:eastAsia="Times New Roman" w:hAnsiTheme="majorHAnsi"/>
                <w:szCs w:val="20"/>
              </w:rPr>
              <w:t>2045</w:t>
            </w:r>
          </w:p>
        </w:tc>
      </w:tr>
      <w:tr w:rsidR="00E92EDB" w:rsidRPr="005D67B2" w14:paraId="5FC3A355"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3F086CB1" w14:textId="2579B02C" w:rsidR="00E92EDB" w:rsidRPr="00D41F18" w:rsidRDefault="00E92EDB" w:rsidP="00E92EDB">
            <w:pPr>
              <w:keepNext/>
              <w:jc w:val="left"/>
              <w:rPr>
                <w:rFonts w:eastAsia="Times New Roman"/>
                <w:color w:val="000000"/>
                <w:szCs w:val="20"/>
              </w:rPr>
            </w:pPr>
            <w:r w:rsidRPr="00D41F18">
              <w:t>Residential</w:t>
            </w:r>
          </w:p>
        </w:tc>
        <w:tc>
          <w:tcPr>
            <w:tcW w:w="0" w:type="pct"/>
            <w:noWrap/>
            <w:vAlign w:val="top"/>
          </w:tcPr>
          <w:p w14:paraId="413EA8F4" w14:textId="757DA926"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130,883 </w:t>
            </w:r>
          </w:p>
        </w:tc>
        <w:tc>
          <w:tcPr>
            <w:tcW w:w="0" w:type="pct"/>
            <w:noWrap/>
            <w:vAlign w:val="top"/>
          </w:tcPr>
          <w:p w14:paraId="1BE46CA3" w14:textId="53CC583C"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132,911 </w:t>
            </w:r>
          </w:p>
        </w:tc>
        <w:tc>
          <w:tcPr>
            <w:tcW w:w="0" w:type="pct"/>
            <w:noWrap/>
            <w:vAlign w:val="top"/>
          </w:tcPr>
          <w:p w14:paraId="25287472" w14:textId="0089F057"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134,923 </w:t>
            </w:r>
          </w:p>
        </w:tc>
        <w:tc>
          <w:tcPr>
            <w:tcW w:w="0" w:type="pct"/>
            <w:noWrap/>
            <w:vAlign w:val="top"/>
          </w:tcPr>
          <w:p w14:paraId="1C07FAFB" w14:textId="13915729"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150,303 </w:t>
            </w:r>
          </w:p>
        </w:tc>
        <w:tc>
          <w:tcPr>
            <w:tcW w:w="0" w:type="pct"/>
            <w:noWrap/>
            <w:vAlign w:val="top"/>
          </w:tcPr>
          <w:p w14:paraId="7934202F" w14:textId="4F536115"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152,639 </w:t>
            </w:r>
          </w:p>
        </w:tc>
      </w:tr>
      <w:tr w:rsidR="00E92EDB" w:rsidRPr="005D67B2" w14:paraId="033BB0BF" w14:textId="77777777" w:rsidTr="00FF4586">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6F5DE23F" w14:textId="48685250" w:rsidR="00E92EDB" w:rsidRPr="00D41F18" w:rsidRDefault="00E92EDB" w:rsidP="00E92EDB">
            <w:pPr>
              <w:keepNext/>
              <w:jc w:val="left"/>
              <w:rPr>
                <w:rFonts w:eastAsia="Times New Roman"/>
                <w:color w:val="000000"/>
                <w:szCs w:val="20"/>
              </w:rPr>
            </w:pPr>
            <w:r w:rsidRPr="00D41F18">
              <w:t>General Service</w:t>
            </w:r>
          </w:p>
        </w:tc>
        <w:tc>
          <w:tcPr>
            <w:tcW w:w="0" w:type="pct"/>
            <w:noWrap/>
            <w:vAlign w:val="top"/>
          </w:tcPr>
          <w:p w14:paraId="7FBD7A14" w14:textId="163A6439"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18,519 </w:t>
            </w:r>
          </w:p>
        </w:tc>
        <w:tc>
          <w:tcPr>
            <w:tcW w:w="0" w:type="pct"/>
            <w:noWrap/>
            <w:vAlign w:val="top"/>
          </w:tcPr>
          <w:p w14:paraId="23014063" w14:textId="43B1D1FF"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18,787 </w:t>
            </w:r>
          </w:p>
        </w:tc>
        <w:tc>
          <w:tcPr>
            <w:tcW w:w="0" w:type="pct"/>
            <w:noWrap/>
            <w:vAlign w:val="top"/>
          </w:tcPr>
          <w:p w14:paraId="020FD7D5" w14:textId="6FE18CE0"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19,056 </w:t>
            </w:r>
          </w:p>
        </w:tc>
        <w:tc>
          <w:tcPr>
            <w:tcW w:w="0" w:type="pct"/>
            <w:noWrap/>
            <w:vAlign w:val="top"/>
          </w:tcPr>
          <w:p w14:paraId="34D7ACE5" w14:textId="051EE1CE"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21,046 </w:t>
            </w:r>
          </w:p>
        </w:tc>
        <w:tc>
          <w:tcPr>
            <w:tcW w:w="0" w:type="pct"/>
            <w:noWrap/>
            <w:vAlign w:val="top"/>
          </w:tcPr>
          <w:p w14:paraId="51108E9B" w14:textId="22677C90"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21,347 </w:t>
            </w:r>
          </w:p>
        </w:tc>
      </w:tr>
      <w:tr w:rsidR="00E92EDB" w:rsidRPr="005D67B2" w14:paraId="21BE604D"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641EDA20" w14:textId="307F832D" w:rsidR="00E92EDB" w:rsidRPr="00D41F18" w:rsidRDefault="00E92EDB" w:rsidP="00E92EDB">
            <w:pPr>
              <w:keepNext/>
              <w:jc w:val="left"/>
              <w:rPr>
                <w:rFonts w:eastAsia="Times New Roman"/>
                <w:color w:val="000000"/>
                <w:szCs w:val="20"/>
              </w:rPr>
            </w:pPr>
            <w:r w:rsidRPr="00D41F18">
              <w:t>Large General Service</w:t>
            </w:r>
          </w:p>
        </w:tc>
        <w:tc>
          <w:tcPr>
            <w:tcW w:w="0" w:type="pct"/>
            <w:noWrap/>
            <w:vAlign w:val="top"/>
            <w:hideMark/>
          </w:tcPr>
          <w:p w14:paraId="0EA2E362" w14:textId="32D611A8"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593 </w:t>
            </w:r>
          </w:p>
        </w:tc>
        <w:tc>
          <w:tcPr>
            <w:tcW w:w="0" w:type="pct"/>
            <w:noWrap/>
            <w:vAlign w:val="top"/>
            <w:hideMark/>
          </w:tcPr>
          <w:p w14:paraId="19F9CD58" w14:textId="4023E7F4"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567 </w:t>
            </w:r>
          </w:p>
        </w:tc>
        <w:tc>
          <w:tcPr>
            <w:tcW w:w="0" w:type="pct"/>
            <w:noWrap/>
            <w:vAlign w:val="top"/>
            <w:hideMark/>
          </w:tcPr>
          <w:p w14:paraId="1F4758ED" w14:textId="05DB2045"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540 </w:t>
            </w:r>
          </w:p>
        </w:tc>
        <w:tc>
          <w:tcPr>
            <w:tcW w:w="0" w:type="pct"/>
            <w:noWrap/>
            <w:vAlign w:val="top"/>
            <w:hideMark/>
          </w:tcPr>
          <w:p w14:paraId="0F2B392B" w14:textId="7EEED045"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540 </w:t>
            </w:r>
          </w:p>
        </w:tc>
        <w:tc>
          <w:tcPr>
            <w:tcW w:w="0" w:type="pct"/>
            <w:noWrap/>
            <w:vAlign w:val="top"/>
            <w:hideMark/>
          </w:tcPr>
          <w:p w14:paraId="083CDB86" w14:textId="12539667" w:rsidR="00E92EDB" w:rsidRPr="00D41F18" w:rsidRDefault="00E92EDB"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D41F18">
              <w:t xml:space="preserve"> 540 </w:t>
            </w:r>
          </w:p>
        </w:tc>
      </w:tr>
      <w:tr w:rsidR="00E92EDB" w:rsidRPr="005D67B2" w14:paraId="0B317E33" w14:textId="77777777" w:rsidTr="00FF4586">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1F811B6D" w14:textId="4CB9EB94" w:rsidR="00E92EDB" w:rsidRPr="00D41F18" w:rsidRDefault="00E92EDB" w:rsidP="00E92EDB">
            <w:pPr>
              <w:keepNext/>
              <w:jc w:val="left"/>
              <w:rPr>
                <w:rFonts w:eastAsia="Times New Roman"/>
                <w:color w:val="000000"/>
                <w:szCs w:val="20"/>
              </w:rPr>
            </w:pPr>
            <w:r w:rsidRPr="00D41F18">
              <w:t>Extra Large General Service</w:t>
            </w:r>
          </w:p>
        </w:tc>
        <w:tc>
          <w:tcPr>
            <w:tcW w:w="0" w:type="pct"/>
            <w:noWrap/>
            <w:vAlign w:val="top"/>
          </w:tcPr>
          <w:p w14:paraId="3705F9F1" w14:textId="1BB71E8B"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11 </w:t>
            </w:r>
          </w:p>
        </w:tc>
        <w:tc>
          <w:tcPr>
            <w:tcW w:w="0" w:type="pct"/>
            <w:noWrap/>
            <w:vAlign w:val="top"/>
          </w:tcPr>
          <w:p w14:paraId="7B52681E" w14:textId="49A0F53C"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11 </w:t>
            </w:r>
          </w:p>
        </w:tc>
        <w:tc>
          <w:tcPr>
            <w:tcW w:w="0" w:type="pct"/>
            <w:noWrap/>
            <w:vAlign w:val="top"/>
          </w:tcPr>
          <w:p w14:paraId="23713160" w14:textId="2233B4E0"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11 </w:t>
            </w:r>
          </w:p>
        </w:tc>
        <w:tc>
          <w:tcPr>
            <w:tcW w:w="0" w:type="pct"/>
            <w:noWrap/>
            <w:vAlign w:val="top"/>
          </w:tcPr>
          <w:p w14:paraId="487FE7B2" w14:textId="26A6CDC9"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11 </w:t>
            </w:r>
          </w:p>
        </w:tc>
        <w:tc>
          <w:tcPr>
            <w:tcW w:w="0" w:type="pct"/>
            <w:noWrap/>
            <w:vAlign w:val="top"/>
          </w:tcPr>
          <w:p w14:paraId="6DE87DDD" w14:textId="48EA5920" w:rsidR="00E92EDB" w:rsidRPr="00D41F18" w:rsidRDefault="00E92EDB"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D41F18">
              <w:t xml:space="preserve"> 11 </w:t>
            </w:r>
          </w:p>
        </w:tc>
      </w:tr>
    </w:tbl>
    <w:p w14:paraId="74F88E89" w14:textId="77777777" w:rsidR="00424D12" w:rsidRPr="000F5F8E" w:rsidRDefault="00424D12" w:rsidP="000F5F8E">
      <w:pPr>
        <w:pStyle w:val="AEGBody"/>
        <w:rPr>
          <w:lang w:eastAsia="ja-JP"/>
        </w:rPr>
      </w:pPr>
    </w:p>
    <w:p w14:paraId="303D53BB" w14:textId="2963226D" w:rsidR="008D1B82" w:rsidRDefault="00CC6A72" w:rsidP="00231DA6">
      <w:pPr>
        <w:pStyle w:val="Heading3"/>
      </w:pPr>
      <w:bookmarkStart w:id="188" w:name="_Toc175904883"/>
      <w:r>
        <w:t>Summer and Winter Peak Load Forecasts by State</w:t>
      </w:r>
      <w:bookmarkEnd w:id="188"/>
    </w:p>
    <w:p w14:paraId="75CD52D7" w14:textId="60633B7A" w:rsidR="004E26A9" w:rsidRDefault="004E26A9" w:rsidP="00793FF2">
      <w:pPr>
        <w:pStyle w:val="AEGBody"/>
      </w:pPr>
      <w:r>
        <w:t xml:space="preserve">AEG used the baseline peak demand forecasts developed by the EE team </w:t>
      </w:r>
      <w:r w:rsidR="00784C28">
        <w:t xml:space="preserve">for the DR model. </w:t>
      </w:r>
      <w:r w:rsidR="00784C28" w:rsidRPr="00585BC4">
        <w:t xml:space="preserve">These demand forecasts were produced </w:t>
      </w:r>
      <w:r w:rsidRPr="00585BC4">
        <w:t xml:space="preserve">by state and sector (residential, commercial and industrial) </w:t>
      </w:r>
      <w:r w:rsidR="009C69E4" w:rsidRPr="00585BC4">
        <w:t xml:space="preserve">using the coincident summer and winter peaks from </w:t>
      </w:r>
      <w:r w:rsidR="00784C28" w:rsidRPr="00585BC4">
        <w:t>annual hourly load shapes</w:t>
      </w:r>
      <w:r w:rsidR="009C69E4" w:rsidRPr="00585BC4">
        <w:t xml:space="preserve"> by end use</w:t>
      </w:r>
      <w:r>
        <w:t>. Since demand response programs were modeled by customer service class, AEG used the energy forecasts provided by Avista (by rate schedule) to break out the commercial and industrial demand forecasts into customer class forecasts.</w:t>
      </w:r>
    </w:p>
    <w:p w14:paraId="76A59511" w14:textId="5F8E4859" w:rsidR="00015E26" w:rsidRPr="00793FF2" w:rsidRDefault="00015E26" w:rsidP="00793FF2">
      <w:pPr>
        <w:pStyle w:val="AEGBody"/>
      </w:pPr>
      <w:r>
        <w:t xml:space="preserve">Table 6-4 and Table 6-5 show </w:t>
      </w:r>
      <w:r w:rsidRPr="00966F24">
        <w:t xml:space="preserve">the summer </w:t>
      </w:r>
      <w:r>
        <w:t>and winter system peak</w:t>
      </w:r>
      <w:r w:rsidRPr="00966F24">
        <w:t xml:space="preserve"> for selected future</w:t>
      </w:r>
      <w:r>
        <w:t xml:space="preserve"> years. </w:t>
      </w:r>
      <w:r w:rsidRPr="009C69E4">
        <w:t xml:space="preserve">The Summer and Winter peaks are expected to increase by </w:t>
      </w:r>
      <w:r w:rsidR="009C69E4" w:rsidRPr="009C69E4">
        <w:t>23%</w:t>
      </w:r>
      <w:r w:rsidRPr="009C69E4">
        <w:t xml:space="preserve"> and </w:t>
      </w:r>
      <w:r w:rsidR="009C69E4" w:rsidRPr="009C69E4">
        <w:t>30%</w:t>
      </w:r>
      <w:r w:rsidRPr="009C69E4">
        <w:t xml:space="preserve"> respectively between 2026 and 2045.</w:t>
      </w:r>
    </w:p>
    <w:p w14:paraId="2C28E430" w14:textId="0F210862" w:rsidR="00FC19D7" w:rsidRDefault="00FC19D7" w:rsidP="00FC19D7">
      <w:pPr>
        <w:pStyle w:val="Caption"/>
      </w:pPr>
      <w:bookmarkStart w:id="189" w:name="_Toc175912403"/>
      <w:r>
        <w:t xml:space="preserve">Table </w:t>
      </w:r>
      <w:r w:rsidR="00EE4707">
        <w:fldChar w:fldCharType="begin"/>
      </w:r>
      <w:r w:rsidR="00EE4707">
        <w:instrText xml:space="preserve"> STYLEREF 1 \s </w:instrText>
      </w:r>
      <w:r w:rsidR="00EE4707">
        <w:fldChar w:fldCharType="separate"/>
      </w:r>
      <w:r w:rsidR="00424D12">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424D12">
        <w:rPr>
          <w:noProof/>
        </w:rPr>
        <w:t>4</w:t>
      </w:r>
      <w:r w:rsidR="00EE4707">
        <w:fldChar w:fldCharType="end"/>
      </w:r>
      <w:r>
        <w:t xml:space="preserve"> </w:t>
      </w:r>
      <w:r w:rsidRPr="00633D08">
        <w:t>Baseline July Summer System Peak Load (MW @Generation) by State</w:t>
      </w:r>
      <w:bookmarkEnd w:id="189"/>
    </w:p>
    <w:tbl>
      <w:tblPr>
        <w:tblStyle w:val="AEG-DarkBanded"/>
        <w:tblW w:w="5000" w:type="pct"/>
        <w:jc w:val="center"/>
        <w:tblCellMar>
          <w:top w:w="29" w:type="dxa"/>
          <w:bottom w:w="29" w:type="dxa"/>
        </w:tblCellMar>
        <w:tblLook w:val="04A0" w:firstRow="1" w:lastRow="0" w:firstColumn="1" w:lastColumn="0" w:noHBand="0" w:noVBand="1"/>
      </w:tblPr>
      <w:tblGrid>
        <w:gridCol w:w="2176"/>
        <w:gridCol w:w="1437"/>
        <w:gridCol w:w="1437"/>
        <w:gridCol w:w="1437"/>
        <w:gridCol w:w="1437"/>
        <w:gridCol w:w="1436"/>
      </w:tblGrid>
      <w:tr w:rsidR="008D1B82" w:rsidRPr="005D67B2" w14:paraId="70D900EF" w14:textId="77777777" w:rsidTr="00FF4586">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hideMark/>
          </w:tcPr>
          <w:p w14:paraId="2477FCF9" w14:textId="4544ADE4" w:rsidR="008D1B82" w:rsidRPr="00D41F18" w:rsidRDefault="008D1B82" w:rsidP="009623EB">
            <w:pPr>
              <w:keepNext/>
              <w:jc w:val="left"/>
              <w:rPr>
                <w:rFonts w:asciiTheme="majorHAnsi" w:eastAsia="Times New Roman" w:hAnsiTheme="majorHAnsi"/>
                <w:b w:val="0"/>
                <w:szCs w:val="20"/>
              </w:rPr>
            </w:pPr>
            <w:r w:rsidRPr="00D41F18">
              <w:rPr>
                <w:rFonts w:asciiTheme="majorHAnsi" w:eastAsia="Times New Roman" w:hAnsiTheme="majorHAnsi"/>
                <w:b w:val="0"/>
                <w:szCs w:val="20"/>
              </w:rPr>
              <w:t>State</w:t>
            </w:r>
          </w:p>
        </w:tc>
        <w:tc>
          <w:tcPr>
            <w:tcW w:w="0" w:type="pct"/>
            <w:hideMark/>
          </w:tcPr>
          <w:p w14:paraId="2A30ADD5" w14:textId="77777777" w:rsidR="008D1B82" w:rsidRPr="00D41F18" w:rsidRDefault="008D1B82"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D41F18">
              <w:rPr>
                <w:rFonts w:asciiTheme="majorHAnsi" w:eastAsia="Times New Roman" w:hAnsiTheme="majorHAnsi"/>
                <w:b w:val="0"/>
                <w:szCs w:val="20"/>
              </w:rPr>
              <w:t>2026</w:t>
            </w:r>
          </w:p>
        </w:tc>
        <w:tc>
          <w:tcPr>
            <w:tcW w:w="0" w:type="pct"/>
            <w:hideMark/>
          </w:tcPr>
          <w:p w14:paraId="288981E6" w14:textId="77777777" w:rsidR="008D1B82" w:rsidRPr="00D41F18" w:rsidRDefault="008D1B82"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D41F18">
              <w:rPr>
                <w:rFonts w:asciiTheme="majorHAnsi" w:eastAsia="Times New Roman" w:hAnsiTheme="majorHAnsi"/>
                <w:b w:val="0"/>
                <w:szCs w:val="20"/>
              </w:rPr>
              <w:t>2027</w:t>
            </w:r>
          </w:p>
        </w:tc>
        <w:tc>
          <w:tcPr>
            <w:tcW w:w="0" w:type="pct"/>
            <w:hideMark/>
          </w:tcPr>
          <w:p w14:paraId="3E490CE7" w14:textId="77777777" w:rsidR="008D1B82" w:rsidRPr="00D41F18" w:rsidRDefault="008D1B82"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D41F18">
              <w:rPr>
                <w:rFonts w:asciiTheme="majorHAnsi" w:eastAsia="Times New Roman" w:hAnsiTheme="majorHAnsi"/>
                <w:b w:val="0"/>
                <w:szCs w:val="20"/>
              </w:rPr>
              <w:t>2028</w:t>
            </w:r>
          </w:p>
        </w:tc>
        <w:tc>
          <w:tcPr>
            <w:tcW w:w="0" w:type="pct"/>
            <w:hideMark/>
          </w:tcPr>
          <w:p w14:paraId="1380C42D" w14:textId="77777777" w:rsidR="008D1B82" w:rsidRPr="00D41F18" w:rsidRDefault="008D1B82"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D41F18">
              <w:rPr>
                <w:rFonts w:asciiTheme="majorHAnsi" w:eastAsia="Times New Roman" w:hAnsiTheme="majorHAnsi"/>
                <w:b w:val="0"/>
                <w:szCs w:val="20"/>
              </w:rPr>
              <w:t>2035</w:t>
            </w:r>
          </w:p>
        </w:tc>
        <w:tc>
          <w:tcPr>
            <w:tcW w:w="0" w:type="pct"/>
            <w:hideMark/>
          </w:tcPr>
          <w:p w14:paraId="4DF2A60C" w14:textId="77777777" w:rsidR="008D1B82" w:rsidRPr="00D41F18" w:rsidRDefault="008D1B82"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D41F18">
              <w:rPr>
                <w:rFonts w:asciiTheme="majorHAnsi" w:eastAsia="Times New Roman" w:hAnsiTheme="majorHAnsi"/>
                <w:b w:val="0"/>
                <w:szCs w:val="20"/>
              </w:rPr>
              <w:t>2045</w:t>
            </w:r>
          </w:p>
        </w:tc>
      </w:tr>
      <w:tr w:rsidR="001A03F1" w:rsidRPr="005D67B2" w14:paraId="2C00C785"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5005C437" w14:textId="3FC0FEF2" w:rsidR="001A03F1" w:rsidRPr="00D41F18" w:rsidRDefault="001A03F1" w:rsidP="001A03F1">
            <w:pPr>
              <w:keepNext/>
              <w:jc w:val="left"/>
              <w:rPr>
                <w:rFonts w:asciiTheme="minorHAnsi" w:eastAsia="Times New Roman" w:hAnsiTheme="minorHAnsi"/>
                <w:color w:val="000000"/>
                <w:szCs w:val="20"/>
              </w:rPr>
            </w:pPr>
            <w:r w:rsidRPr="00D41F18">
              <w:rPr>
                <w:rFonts w:asciiTheme="minorHAnsi" w:eastAsia="Times New Roman" w:hAnsiTheme="minorHAnsi"/>
                <w:color w:val="000000"/>
                <w:szCs w:val="20"/>
              </w:rPr>
              <w:t>Washington</w:t>
            </w:r>
          </w:p>
        </w:tc>
        <w:tc>
          <w:tcPr>
            <w:tcW w:w="0" w:type="pct"/>
            <w:noWrap/>
            <w:vAlign w:val="top"/>
            <w:hideMark/>
          </w:tcPr>
          <w:p w14:paraId="08454155" w14:textId="64ACDB4C"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1,234</w:t>
            </w:r>
          </w:p>
        </w:tc>
        <w:tc>
          <w:tcPr>
            <w:tcW w:w="0" w:type="pct"/>
            <w:noWrap/>
            <w:vAlign w:val="top"/>
            <w:hideMark/>
          </w:tcPr>
          <w:p w14:paraId="63E81B11" w14:textId="1C5B12B1"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1,226</w:t>
            </w:r>
          </w:p>
        </w:tc>
        <w:tc>
          <w:tcPr>
            <w:tcW w:w="0" w:type="pct"/>
            <w:noWrap/>
            <w:vAlign w:val="top"/>
            <w:hideMark/>
          </w:tcPr>
          <w:p w14:paraId="5A633610" w14:textId="39243589"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1,214</w:t>
            </w:r>
          </w:p>
        </w:tc>
        <w:tc>
          <w:tcPr>
            <w:tcW w:w="0" w:type="pct"/>
            <w:noWrap/>
            <w:vAlign w:val="top"/>
            <w:hideMark/>
          </w:tcPr>
          <w:p w14:paraId="2B1DEA51" w14:textId="0B36AF02"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1,357</w:t>
            </w:r>
          </w:p>
        </w:tc>
        <w:tc>
          <w:tcPr>
            <w:tcW w:w="0" w:type="pct"/>
            <w:noWrap/>
            <w:vAlign w:val="top"/>
            <w:hideMark/>
          </w:tcPr>
          <w:p w14:paraId="35B2EB7C" w14:textId="19A8524F"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1,560</w:t>
            </w:r>
          </w:p>
        </w:tc>
      </w:tr>
      <w:tr w:rsidR="001A03F1" w:rsidRPr="005D67B2" w14:paraId="4A8AEE95" w14:textId="77777777" w:rsidTr="00FF4586">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390FC3C4" w14:textId="21AF793E" w:rsidR="001A03F1" w:rsidRPr="00D41F18" w:rsidRDefault="001A03F1" w:rsidP="001A03F1">
            <w:pPr>
              <w:keepNext/>
              <w:jc w:val="left"/>
              <w:rPr>
                <w:rFonts w:asciiTheme="minorHAnsi" w:eastAsia="Times New Roman" w:hAnsiTheme="minorHAnsi"/>
                <w:color w:val="000000"/>
                <w:szCs w:val="20"/>
              </w:rPr>
            </w:pPr>
            <w:r w:rsidRPr="00D41F18">
              <w:rPr>
                <w:rFonts w:asciiTheme="minorHAnsi" w:eastAsia="Times New Roman" w:hAnsiTheme="minorHAnsi"/>
                <w:color w:val="000000"/>
                <w:szCs w:val="20"/>
              </w:rPr>
              <w:t>Idaho</w:t>
            </w:r>
          </w:p>
        </w:tc>
        <w:tc>
          <w:tcPr>
            <w:tcW w:w="0" w:type="pct"/>
            <w:noWrap/>
            <w:vAlign w:val="top"/>
          </w:tcPr>
          <w:p w14:paraId="2CD616F0" w14:textId="7D0B4AC1" w:rsidR="001A03F1" w:rsidRPr="00D41F18"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605</w:t>
            </w:r>
          </w:p>
        </w:tc>
        <w:tc>
          <w:tcPr>
            <w:tcW w:w="0" w:type="pct"/>
            <w:noWrap/>
            <w:vAlign w:val="top"/>
          </w:tcPr>
          <w:p w14:paraId="2C3ABBC6" w14:textId="6C1FC811" w:rsidR="001A03F1" w:rsidRPr="00D41F18"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604</w:t>
            </w:r>
          </w:p>
        </w:tc>
        <w:tc>
          <w:tcPr>
            <w:tcW w:w="0" w:type="pct"/>
            <w:noWrap/>
            <w:vAlign w:val="top"/>
          </w:tcPr>
          <w:p w14:paraId="64425273" w14:textId="4FCC7A17" w:rsidR="001A03F1" w:rsidRPr="00D41F18"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592</w:t>
            </w:r>
          </w:p>
        </w:tc>
        <w:tc>
          <w:tcPr>
            <w:tcW w:w="0" w:type="pct"/>
            <w:noWrap/>
            <w:vAlign w:val="top"/>
          </w:tcPr>
          <w:p w14:paraId="5F61F678" w14:textId="7DC362E5" w:rsidR="001A03F1" w:rsidRPr="00D41F18"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641</w:t>
            </w:r>
          </w:p>
        </w:tc>
        <w:tc>
          <w:tcPr>
            <w:tcW w:w="0" w:type="pct"/>
            <w:noWrap/>
            <w:vAlign w:val="top"/>
          </w:tcPr>
          <w:p w14:paraId="4C393AA0" w14:textId="1C289E0C" w:rsidR="001A03F1" w:rsidRPr="00D41F18"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D41F18">
              <w:rPr>
                <w:rFonts w:asciiTheme="minorHAnsi" w:hAnsiTheme="minorHAnsi"/>
              </w:rPr>
              <w:t>699</w:t>
            </w:r>
          </w:p>
        </w:tc>
      </w:tr>
      <w:tr w:rsidR="001A03F1" w:rsidRPr="005D67B2" w14:paraId="6A388B6B"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013EFC69" w14:textId="157E1EBF" w:rsidR="001A03F1" w:rsidRPr="00D41F18" w:rsidRDefault="001A03F1" w:rsidP="00FF4586">
            <w:pPr>
              <w:keepNext/>
              <w:jc w:val="left"/>
              <w:rPr>
                <w:rFonts w:asciiTheme="majorHAnsi" w:eastAsia="Times New Roman" w:hAnsiTheme="majorHAnsi"/>
                <w:color w:val="000000"/>
                <w:szCs w:val="20"/>
              </w:rPr>
            </w:pPr>
            <w:r w:rsidRPr="00D41F18">
              <w:rPr>
                <w:rFonts w:asciiTheme="majorHAnsi" w:eastAsia="Times New Roman" w:hAnsiTheme="majorHAnsi"/>
                <w:color w:val="000000"/>
                <w:szCs w:val="20"/>
              </w:rPr>
              <w:t>Summer Total</w:t>
            </w:r>
          </w:p>
        </w:tc>
        <w:tc>
          <w:tcPr>
            <w:tcW w:w="0" w:type="pct"/>
            <w:noWrap/>
            <w:vAlign w:val="top"/>
          </w:tcPr>
          <w:p w14:paraId="6865FF5D" w14:textId="68C2F5DA"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D41F18">
              <w:rPr>
                <w:rFonts w:asciiTheme="majorHAnsi" w:hAnsiTheme="majorHAnsi"/>
              </w:rPr>
              <w:t>1,839</w:t>
            </w:r>
          </w:p>
        </w:tc>
        <w:tc>
          <w:tcPr>
            <w:tcW w:w="0" w:type="pct"/>
            <w:noWrap/>
            <w:vAlign w:val="top"/>
          </w:tcPr>
          <w:p w14:paraId="2C028DF8" w14:textId="3C1FC134"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D41F18">
              <w:rPr>
                <w:rFonts w:asciiTheme="majorHAnsi" w:hAnsiTheme="majorHAnsi"/>
              </w:rPr>
              <w:t>1,829</w:t>
            </w:r>
          </w:p>
        </w:tc>
        <w:tc>
          <w:tcPr>
            <w:tcW w:w="0" w:type="pct"/>
            <w:noWrap/>
            <w:vAlign w:val="top"/>
          </w:tcPr>
          <w:p w14:paraId="790D39B5" w14:textId="25A2E92C"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D41F18">
              <w:rPr>
                <w:rFonts w:asciiTheme="majorHAnsi" w:hAnsiTheme="majorHAnsi"/>
              </w:rPr>
              <w:t>1,806</w:t>
            </w:r>
          </w:p>
        </w:tc>
        <w:tc>
          <w:tcPr>
            <w:tcW w:w="0" w:type="pct"/>
            <w:noWrap/>
            <w:vAlign w:val="top"/>
          </w:tcPr>
          <w:p w14:paraId="0B6BD410" w14:textId="78954C02"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D41F18">
              <w:rPr>
                <w:rFonts w:asciiTheme="majorHAnsi" w:hAnsiTheme="majorHAnsi"/>
              </w:rPr>
              <w:t>1,998</w:t>
            </w:r>
          </w:p>
        </w:tc>
        <w:tc>
          <w:tcPr>
            <w:tcW w:w="0" w:type="pct"/>
            <w:noWrap/>
            <w:vAlign w:val="top"/>
          </w:tcPr>
          <w:p w14:paraId="42B30E4E" w14:textId="03F4F4F4" w:rsidR="001A03F1" w:rsidRPr="00D41F18"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D41F18">
              <w:rPr>
                <w:rFonts w:asciiTheme="majorHAnsi" w:hAnsiTheme="majorHAnsi"/>
              </w:rPr>
              <w:t>2,258</w:t>
            </w:r>
          </w:p>
        </w:tc>
      </w:tr>
    </w:tbl>
    <w:p w14:paraId="12406B92" w14:textId="35FAF524" w:rsidR="003F14B9" w:rsidRDefault="003F14B9" w:rsidP="003F14B9">
      <w:pPr>
        <w:pStyle w:val="Caption"/>
      </w:pPr>
      <w:bookmarkStart w:id="190" w:name="_Toc175912404"/>
      <w:r>
        <w:t xml:space="preserve">Table </w:t>
      </w:r>
      <w:r w:rsidR="00EE4707">
        <w:fldChar w:fldCharType="begin"/>
      </w:r>
      <w:r w:rsidR="00EE4707">
        <w:instrText xml:space="preserve"> STYLEREF 1 \s </w:instrText>
      </w:r>
      <w:r w:rsidR="00EE4707">
        <w:fldChar w:fldCharType="separate"/>
      </w:r>
      <w:r w:rsidR="00424D12">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424D12">
        <w:rPr>
          <w:noProof/>
        </w:rPr>
        <w:t>5</w:t>
      </w:r>
      <w:r w:rsidR="00EE4707">
        <w:fldChar w:fldCharType="end"/>
      </w:r>
      <w:r>
        <w:t xml:space="preserve"> </w:t>
      </w:r>
      <w:r w:rsidRPr="00591F6B">
        <w:t>Baseline February Winter System Peak Forecast (MW @Generation) by State</w:t>
      </w:r>
      <w:bookmarkEnd w:id="190"/>
    </w:p>
    <w:tbl>
      <w:tblPr>
        <w:tblStyle w:val="AEGBlue2"/>
        <w:tblW w:w="5000" w:type="pct"/>
        <w:jc w:val="center"/>
        <w:tblCellMar>
          <w:top w:w="29" w:type="dxa"/>
          <w:bottom w:w="29" w:type="dxa"/>
        </w:tblCellMar>
        <w:tblLook w:val="04A0" w:firstRow="1" w:lastRow="0" w:firstColumn="1" w:lastColumn="0" w:noHBand="0" w:noVBand="1"/>
      </w:tblPr>
      <w:tblGrid>
        <w:gridCol w:w="2039"/>
        <w:gridCol w:w="1465"/>
        <w:gridCol w:w="1464"/>
        <w:gridCol w:w="1464"/>
        <w:gridCol w:w="1464"/>
        <w:gridCol w:w="1464"/>
      </w:tblGrid>
      <w:tr w:rsidR="00FC19D7" w:rsidRPr="005D67B2" w14:paraId="11B98044" w14:textId="77777777" w:rsidTr="00FF4586">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hideMark/>
          </w:tcPr>
          <w:p w14:paraId="30DFA204" w14:textId="0CAEC402" w:rsidR="00FC19D7" w:rsidRPr="001F6EFF" w:rsidRDefault="00FC19D7" w:rsidP="009623EB">
            <w:pPr>
              <w:keepNext/>
              <w:jc w:val="left"/>
              <w:rPr>
                <w:rFonts w:asciiTheme="majorHAnsi" w:eastAsia="Times New Roman" w:hAnsiTheme="majorHAnsi"/>
                <w:szCs w:val="20"/>
              </w:rPr>
            </w:pPr>
            <w:r w:rsidRPr="001F6EFF">
              <w:rPr>
                <w:rFonts w:asciiTheme="majorHAnsi" w:eastAsia="Times New Roman" w:hAnsiTheme="majorHAnsi"/>
                <w:szCs w:val="20"/>
              </w:rPr>
              <w:t>State</w:t>
            </w:r>
          </w:p>
        </w:tc>
        <w:tc>
          <w:tcPr>
            <w:tcW w:w="0" w:type="pct"/>
            <w:hideMark/>
          </w:tcPr>
          <w:p w14:paraId="0E574CB2" w14:textId="77777777" w:rsidR="00FC19D7" w:rsidRPr="001F6EFF" w:rsidRDefault="00FC19D7"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F6EFF">
              <w:rPr>
                <w:rFonts w:asciiTheme="majorHAnsi" w:eastAsia="Times New Roman" w:hAnsiTheme="majorHAnsi"/>
                <w:szCs w:val="20"/>
              </w:rPr>
              <w:t>2026</w:t>
            </w:r>
          </w:p>
        </w:tc>
        <w:tc>
          <w:tcPr>
            <w:tcW w:w="0" w:type="pct"/>
            <w:hideMark/>
          </w:tcPr>
          <w:p w14:paraId="462608F4" w14:textId="77777777" w:rsidR="00FC19D7" w:rsidRPr="001F6EFF" w:rsidRDefault="00FC19D7"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F6EFF">
              <w:rPr>
                <w:rFonts w:asciiTheme="majorHAnsi" w:eastAsia="Times New Roman" w:hAnsiTheme="majorHAnsi"/>
                <w:szCs w:val="20"/>
              </w:rPr>
              <w:t>2027</w:t>
            </w:r>
          </w:p>
        </w:tc>
        <w:tc>
          <w:tcPr>
            <w:tcW w:w="0" w:type="pct"/>
            <w:hideMark/>
          </w:tcPr>
          <w:p w14:paraId="3C324CA3" w14:textId="77777777" w:rsidR="00FC19D7" w:rsidRPr="001F6EFF" w:rsidRDefault="00FC19D7"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F6EFF">
              <w:rPr>
                <w:rFonts w:asciiTheme="majorHAnsi" w:eastAsia="Times New Roman" w:hAnsiTheme="majorHAnsi"/>
                <w:szCs w:val="20"/>
              </w:rPr>
              <w:t>2028</w:t>
            </w:r>
          </w:p>
        </w:tc>
        <w:tc>
          <w:tcPr>
            <w:tcW w:w="0" w:type="pct"/>
            <w:hideMark/>
          </w:tcPr>
          <w:p w14:paraId="70B2D471" w14:textId="77777777" w:rsidR="00FC19D7" w:rsidRPr="001F6EFF" w:rsidRDefault="00FC19D7"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F6EFF">
              <w:rPr>
                <w:rFonts w:asciiTheme="majorHAnsi" w:eastAsia="Times New Roman" w:hAnsiTheme="majorHAnsi"/>
                <w:szCs w:val="20"/>
              </w:rPr>
              <w:t>2035</w:t>
            </w:r>
          </w:p>
        </w:tc>
        <w:tc>
          <w:tcPr>
            <w:tcW w:w="0" w:type="pct"/>
            <w:hideMark/>
          </w:tcPr>
          <w:p w14:paraId="178CDAFB" w14:textId="77777777" w:rsidR="00FC19D7" w:rsidRPr="001F6EFF" w:rsidRDefault="00FC19D7" w:rsidP="0091121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1F6EFF">
              <w:rPr>
                <w:rFonts w:asciiTheme="majorHAnsi" w:eastAsia="Times New Roman" w:hAnsiTheme="majorHAnsi"/>
                <w:szCs w:val="20"/>
              </w:rPr>
              <w:t>2045</w:t>
            </w:r>
          </w:p>
        </w:tc>
      </w:tr>
      <w:tr w:rsidR="001A03F1" w:rsidRPr="005D67B2" w14:paraId="11046EBC"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hideMark/>
          </w:tcPr>
          <w:p w14:paraId="147A6335" w14:textId="01584E17" w:rsidR="001A03F1" w:rsidRPr="001F6EFF" w:rsidRDefault="001A03F1" w:rsidP="001A03F1">
            <w:pPr>
              <w:keepNext/>
              <w:jc w:val="left"/>
              <w:rPr>
                <w:rFonts w:eastAsia="Times New Roman"/>
                <w:color w:val="000000"/>
                <w:szCs w:val="20"/>
              </w:rPr>
            </w:pPr>
            <w:r w:rsidRPr="001F6EFF">
              <w:rPr>
                <w:rFonts w:eastAsia="Times New Roman"/>
                <w:color w:val="000000"/>
                <w:szCs w:val="20"/>
              </w:rPr>
              <w:t>Washington</w:t>
            </w:r>
          </w:p>
        </w:tc>
        <w:tc>
          <w:tcPr>
            <w:tcW w:w="0" w:type="pct"/>
            <w:noWrap/>
            <w:vAlign w:val="top"/>
            <w:hideMark/>
          </w:tcPr>
          <w:p w14:paraId="363CAC11" w14:textId="46BDEA4B"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1F6EFF">
              <w:t>1,237</w:t>
            </w:r>
          </w:p>
        </w:tc>
        <w:tc>
          <w:tcPr>
            <w:tcW w:w="0" w:type="pct"/>
            <w:noWrap/>
            <w:vAlign w:val="top"/>
            <w:hideMark/>
          </w:tcPr>
          <w:p w14:paraId="50A1CA69" w14:textId="5B4A677C"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1F6EFF">
              <w:t>1,248</w:t>
            </w:r>
          </w:p>
        </w:tc>
        <w:tc>
          <w:tcPr>
            <w:tcW w:w="0" w:type="pct"/>
            <w:noWrap/>
            <w:vAlign w:val="top"/>
            <w:hideMark/>
          </w:tcPr>
          <w:p w14:paraId="69DF0DDC" w14:textId="16075842"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1F6EFF">
              <w:t>1,235</w:t>
            </w:r>
          </w:p>
        </w:tc>
        <w:tc>
          <w:tcPr>
            <w:tcW w:w="0" w:type="pct"/>
            <w:noWrap/>
            <w:vAlign w:val="top"/>
            <w:hideMark/>
          </w:tcPr>
          <w:p w14:paraId="2D23AA75" w14:textId="2E3992A4"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1F6EFF">
              <w:t>1,336</w:t>
            </w:r>
          </w:p>
        </w:tc>
        <w:tc>
          <w:tcPr>
            <w:tcW w:w="0" w:type="pct"/>
            <w:noWrap/>
            <w:vAlign w:val="top"/>
            <w:hideMark/>
          </w:tcPr>
          <w:p w14:paraId="4C4F15CE" w14:textId="3B74887F"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1F6EFF">
              <w:t>1,662</w:t>
            </w:r>
          </w:p>
        </w:tc>
      </w:tr>
      <w:tr w:rsidR="001A03F1" w:rsidRPr="005D67B2" w14:paraId="017D5B43" w14:textId="77777777" w:rsidTr="00FF4586">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5D40476A" w14:textId="4FCA8197" w:rsidR="001A03F1" w:rsidRPr="001F6EFF" w:rsidRDefault="001A03F1" w:rsidP="001A03F1">
            <w:pPr>
              <w:keepNext/>
              <w:jc w:val="left"/>
              <w:rPr>
                <w:rFonts w:eastAsia="Times New Roman"/>
                <w:color w:val="000000"/>
                <w:szCs w:val="20"/>
              </w:rPr>
            </w:pPr>
            <w:r w:rsidRPr="001F6EFF">
              <w:rPr>
                <w:rFonts w:eastAsia="Times New Roman"/>
                <w:color w:val="000000"/>
                <w:szCs w:val="20"/>
              </w:rPr>
              <w:t>Idaho</w:t>
            </w:r>
          </w:p>
        </w:tc>
        <w:tc>
          <w:tcPr>
            <w:tcW w:w="0" w:type="pct"/>
            <w:noWrap/>
            <w:vAlign w:val="top"/>
          </w:tcPr>
          <w:p w14:paraId="06008DDF" w14:textId="0F86BD38" w:rsidR="001A03F1" w:rsidRPr="001F6EFF"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1F6EFF">
              <w:t>620</w:t>
            </w:r>
          </w:p>
        </w:tc>
        <w:tc>
          <w:tcPr>
            <w:tcW w:w="0" w:type="pct"/>
            <w:noWrap/>
            <w:vAlign w:val="top"/>
          </w:tcPr>
          <w:p w14:paraId="5E4F47C0" w14:textId="43A0E6C9" w:rsidR="001A03F1" w:rsidRPr="001F6EFF"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1F6EFF">
              <w:t>625</w:t>
            </w:r>
          </w:p>
        </w:tc>
        <w:tc>
          <w:tcPr>
            <w:tcW w:w="0" w:type="pct"/>
            <w:noWrap/>
            <w:vAlign w:val="top"/>
          </w:tcPr>
          <w:p w14:paraId="2280833E" w14:textId="566946DA" w:rsidR="001A03F1" w:rsidRPr="001F6EFF"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1F6EFF">
              <w:t>620</w:t>
            </w:r>
          </w:p>
        </w:tc>
        <w:tc>
          <w:tcPr>
            <w:tcW w:w="0" w:type="pct"/>
            <w:noWrap/>
            <w:vAlign w:val="top"/>
          </w:tcPr>
          <w:p w14:paraId="3737A9FB" w14:textId="0B7CC5F9" w:rsidR="001A03F1" w:rsidRPr="001F6EFF"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1F6EFF">
              <w:t>669</w:t>
            </w:r>
          </w:p>
        </w:tc>
        <w:tc>
          <w:tcPr>
            <w:tcW w:w="0" w:type="pct"/>
            <w:noWrap/>
            <w:vAlign w:val="top"/>
          </w:tcPr>
          <w:p w14:paraId="6D80CE75" w14:textId="08E187B8" w:rsidR="001A03F1" w:rsidRPr="001F6EFF" w:rsidRDefault="001A03F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1F6EFF">
              <w:t>760</w:t>
            </w:r>
          </w:p>
        </w:tc>
      </w:tr>
      <w:tr w:rsidR="001A03F1" w:rsidRPr="005D67B2" w14:paraId="5D00544E" w14:textId="77777777" w:rsidTr="00FF4586">
        <w:trPr>
          <w:trHeight w:val="20"/>
          <w:jc w:val="center"/>
        </w:trPr>
        <w:tc>
          <w:tcPr>
            <w:cnfStyle w:val="001000000000" w:firstRow="0" w:lastRow="0" w:firstColumn="1" w:lastColumn="0" w:oddVBand="0" w:evenVBand="0" w:oddHBand="0" w:evenHBand="0" w:firstRowFirstColumn="0" w:firstRowLastColumn="0" w:lastRowFirstColumn="0" w:lastRowLastColumn="0"/>
            <w:tcW w:w="0" w:type="pct"/>
            <w:noWrap/>
          </w:tcPr>
          <w:p w14:paraId="498DF5EC" w14:textId="4D905EFE" w:rsidR="001A03F1" w:rsidRPr="001F6EFF" w:rsidRDefault="001A03F1" w:rsidP="00FF4586">
            <w:pPr>
              <w:keepNext/>
              <w:jc w:val="left"/>
              <w:rPr>
                <w:rFonts w:asciiTheme="majorHAnsi" w:eastAsia="Times New Roman" w:hAnsiTheme="majorHAnsi"/>
                <w:color w:val="000000"/>
                <w:szCs w:val="20"/>
              </w:rPr>
            </w:pPr>
            <w:r w:rsidRPr="001F6EFF">
              <w:rPr>
                <w:rFonts w:asciiTheme="majorHAnsi" w:eastAsia="Times New Roman" w:hAnsiTheme="majorHAnsi"/>
                <w:color w:val="000000"/>
                <w:szCs w:val="20"/>
              </w:rPr>
              <w:t>Winter Total</w:t>
            </w:r>
          </w:p>
        </w:tc>
        <w:tc>
          <w:tcPr>
            <w:tcW w:w="0" w:type="pct"/>
            <w:noWrap/>
            <w:vAlign w:val="top"/>
          </w:tcPr>
          <w:p w14:paraId="66203859" w14:textId="1F4CFF1E"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1F6EFF">
              <w:rPr>
                <w:rFonts w:asciiTheme="majorHAnsi" w:hAnsiTheme="majorHAnsi"/>
              </w:rPr>
              <w:t>1,857</w:t>
            </w:r>
          </w:p>
        </w:tc>
        <w:tc>
          <w:tcPr>
            <w:tcW w:w="0" w:type="pct"/>
            <w:noWrap/>
            <w:vAlign w:val="top"/>
          </w:tcPr>
          <w:p w14:paraId="7D1E9175" w14:textId="2F09CF8F"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1F6EFF">
              <w:rPr>
                <w:rFonts w:asciiTheme="majorHAnsi" w:hAnsiTheme="majorHAnsi"/>
              </w:rPr>
              <w:t>1,873</w:t>
            </w:r>
          </w:p>
        </w:tc>
        <w:tc>
          <w:tcPr>
            <w:tcW w:w="0" w:type="pct"/>
            <w:noWrap/>
            <w:vAlign w:val="top"/>
          </w:tcPr>
          <w:p w14:paraId="18BF419F" w14:textId="26FDB39B"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1F6EFF">
              <w:rPr>
                <w:rFonts w:asciiTheme="majorHAnsi" w:hAnsiTheme="majorHAnsi"/>
              </w:rPr>
              <w:t>1,855</w:t>
            </w:r>
          </w:p>
        </w:tc>
        <w:tc>
          <w:tcPr>
            <w:tcW w:w="0" w:type="pct"/>
            <w:noWrap/>
            <w:vAlign w:val="top"/>
          </w:tcPr>
          <w:p w14:paraId="7C453E02" w14:textId="45A45ED6"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1F6EFF">
              <w:rPr>
                <w:rFonts w:asciiTheme="majorHAnsi" w:hAnsiTheme="majorHAnsi"/>
              </w:rPr>
              <w:t>2,004</w:t>
            </w:r>
          </w:p>
        </w:tc>
        <w:tc>
          <w:tcPr>
            <w:tcW w:w="0" w:type="pct"/>
            <w:noWrap/>
            <w:vAlign w:val="top"/>
          </w:tcPr>
          <w:p w14:paraId="0768DD59" w14:textId="4DD8DDAA" w:rsidR="001A03F1" w:rsidRPr="001F6EFF" w:rsidRDefault="001A03F1"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1F6EFF">
              <w:rPr>
                <w:rFonts w:asciiTheme="majorHAnsi" w:hAnsiTheme="majorHAnsi"/>
              </w:rPr>
              <w:t>2,422</w:t>
            </w:r>
          </w:p>
        </w:tc>
      </w:tr>
    </w:tbl>
    <w:p w14:paraId="3D73F8AA" w14:textId="77777777" w:rsidR="00C635C9" w:rsidRDefault="00C635C9" w:rsidP="000F5F8E">
      <w:pPr>
        <w:pStyle w:val="AEGBody"/>
        <w:rPr>
          <w:lang w:eastAsia="ja-JP"/>
        </w:rPr>
      </w:pPr>
    </w:p>
    <w:p w14:paraId="03294CAE" w14:textId="7F990532" w:rsidR="00CD4238" w:rsidRPr="005A1FAF" w:rsidRDefault="009C69E4" w:rsidP="00CD4238">
      <w:pPr>
        <w:pStyle w:val="AEGBody"/>
      </w:pPr>
      <w:r w:rsidRPr="005A1FAF">
        <w:rPr>
          <w:bCs/>
        </w:rPr>
        <w:fldChar w:fldCharType="begin"/>
      </w:r>
      <w:r w:rsidRPr="005A1FAF">
        <w:rPr>
          <w:bCs/>
        </w:rPr>
        <w:instrText xml:space="preserve"> REF _Ref175674463 \h </w:instrText>
      </w:r>
      <w:r w:rsidR="005A1FAF">
        <w:rPr>
          <w:bCs/>
        </w:rPr>
        <w:instrText xml:space="preserve"> \* MERGEFORMAT </w:instrText>
      </w:r>
      <w:r w:rsidRPr="005A1FAF">
        <w:rPr>
          <w:bCs/>
        </w:rPr>
      </w:r>
      <w:r w:rsidRPr="005A1FAF">
        <w:rPr>
          <w:bCs/>
        </w:rPr>
        <w:fldChar w:fldCharType="separate"/>
      </w:r>
      <w:r w:rsidRPr="005A1FAF">
        <w:t xml:space="preserve">Figure </w:t>
      </w:r>
      <w:r w:rsidRPr="005A1FAF">
        <w:rPr>
          <w:noProof/>
        </w:rPr>
        <w:t>6</w:t>
      </w:r>
      <w:r w:rsidRPr="005A1FAF">
        <w:noBreakHyphen/>
      </w:r>
      <w:r w:rsidRPr="005A1FAF">
        <w:rPr>
          <w:noProof/>
        </w:rPr>
        <w:t>2</w:t>
      </w:r>
      <w:r w:rsidRPr="005A1FAF">
        <w:rPr>
          <w:bCs/>
        </w:rPr>
        <w:fldChar w:fldCharType="end"/>
      </w:r>
      <w:r w:rsidR="00CD4238" w:rsidRPr="005A1FAF">
        <w:rPr>
          <w:bCs/>
        </w:rPr>
        <w:t xml:space="preserve"> shows</w:t>
      </w:r>
      <w:r w:rsidR="00CD4238" w:rsidRPr="005A1FAF">
        <w:rPr>
          <w:b/>
          <w:bCs/>
        </w:rPr>
        <w:t xml:space="preserve"> </w:t>
      </w:r>
      <w:r w:rsidR="00CD4238" w:rsidRPr="005A1FAF">
        <w:t>the state contribution to the estimated system coincident summer peak. In 202</w:t>
      </w:r>
      <w:r w:rsidR="009043BD" w:rsidRPr="005A1FAF">
        <w:t>6</w:t>
      </w:r>
      <w:r w:rsidR="00CD4238" w:rsidRPr="005A1FAF">
        <w:t>, system peak load for the summer is 1,</w:t>
      </w:r>
      <w:r w:rsidRPr="005A1FAF">
        <w:t>839</w:t>
      </w:r>
      <w:r w:rsidR="00CD4238" w:rsidRPr="005A1FAF">
        <w:t xml:space="preserve"> MW at the grid or generator level. Washington contributes 67% to the summer system peak, while Idaho contributes 33%. Summer coincident peak load is expected to grow by an average of 1% annually from 202</w:t>
      </w:r>
      <w:r w:rsidR="009043BD" w:rsidRPr="005A1FAF">
        <w:t>6</w:t>
      </w:r>
      <w:r w:rsidR="00CD4238" w:rsidRPr="005A1FAF">
        <w:t>-204</w:t>
      </w:r>
      <w:r w:rsidR="009043BD" w:rsidRPr="005A1FAF">
        <w:t>5</w:t>
      </w:r>
      <w:r w:rsidR="00CD4238" w:rsidRPr="005A1FAF">
        <w:t>.</w:t>
      </w:r>
    </w:p>
    <w:p w14:paraId="67BF1960" w14:textId="77777777" w:rsidR="00CD4238" w:rsidRPr="005A1FAF" w:rsidRDefault="00CD4238" w:rsidP="000F5F8E">
      <w:pPr>
        <w:pStyle w:val="AEGBody"/>
        <w:rPr>
          <w:lang w:eastAsia="ja-JP"/>
        </w:rPr>
      </w:pPr>
    </w:p>
    <w:p w14:paraId="0CC34194" w14:textId="12E45F8D" w:rsidR="003133F2" w:rsidRPr="005A1FAF" w:rsidRDefault="003133F2" w:rsidP="003133F2">
      <w:pPr>
        <w:pStyle w:val="Caption"/>
      </w:pPr>
      <w:bookmarkStart w:id="191" w:name="_Ref175674463"/>
      <w:bookmarkStart w:id="192" w:name="_Toc175904463"/>
      <w:r w:rsidRPr="005A1FAF">
        <w:t xml:space="preserve">Figure </w:t>
      </w:r>
      <w:r w:rsidR="000E34CB" w:rsidRPr="005A1FAF">
        <w:fldChar w:fldCharType="begin"/>
      </w:r>
      <w:r w:rsidR="000E34CB" w:rsidRPr="005A1FAF">
        <w:instrText xml:space="preserve"> STYLEREF 1 \s </w:instrText>
      </w:r>
      <w:r w:rsidR="000E34CB" w:rsidRPr="005A1FAF">
        <w:fldChar w:fldCharType="separate"/>
      </w:r>
      <w:r w:rsidR="009C69E4" w:rsidRPr="005A1FAF">
        <w:rPr>
          <w:noProof/>
        </w:rPr>
        <w:t>6</w:t>
      </w:r>
      <w:r w:rsidR="000E34CB" w:rsidRPr="005A1FAF">
        <w:fldChar w:fldCharType="end"/>
      </w:r>
      <w:r w:rsidR="000E34CB" w:rsidRPr="005A1FAF">
        <w:noBreakHyphen/>
      </w:r>
      <w:r w:rsidR="000E34CB" w:rsidRPr="005A1FAF">
        <w:fldChar w:fldCharType="begin"/>
      </w:r>
      <w:r w:rsidR="000E34CB" w:rsidRPr="005A1FAF">
        <w:instrText xml:space="preserve"> SEQ Figure \* ARABIC \s 1 </w:instrText>
      </w:r>
      <w:r w:rsidR="000E34CB" w:rsidRPr="005A1FAF">
        <w:fldChar w:fldCharType="separate"/>
      </w:r>
      <w:r w:rsidR="009C69E4" w:rsidRPr="005A1FAF">
        <w:rPr>
          <w:noProof/>
        </w:rPr>
        <w:t>2</w:t>
      </w:r>
      <w:r w:rsidR="000E34CB" w:rsidRPr="005A1FAF">
        <w:fldChar w:fldCharType="end"/>
      </w:r>
      <w:bookmarkEnd w:id="191"/>
      <w:r w:rsidRPr="005A1FAF">
        <w:t xml:space="preserve"> Coincident Peak Load Forecast by State (Summer)</w:t>
      </w:r>
      <w:bookmarkEnd w:id="192"/>
    </w:p>
    <w:p w14:paraId="52310B83" w14:textId="066DF935" w:rsidR="00E239A5" w:rsidRPr="005A1FAF" w:rsidRDefault="004E7544" w:rsidP="0038053B">
      <w:pPr>
        <w:pStyle w:val="AEGBody"/>
        <w:jc w:val="center"/>
        <w:rPr>
          <w:lang w:eastAsia="ja-JP"/>
        </w:rPr>
      </w:pPr>
      <w:r>
        <w:rPr>
          <w:noProof/>
        </w:rPr>
        <w:drawing>
          <wp:inline distT="0" distB="0" distL="0" distR="0" wp14:anchorId="7E0E6B3C" wp14:editId="4B666F54">
            <wp:extent cx="4572000" cy="2743200"/>
            <wp:effectExtent l="0" t="0" r="0" b="0"/>
            <wp:docPr id="1839691754" name="Chart 1">
              <a:extLst xmlns:a="http://schemas.openxmlformats.org/drawingml/2006/main">
                <a:ext uri="{FF2B5EF4-FFF2-40B4-BE49-F238E27FC236}">
                  <a16:creationId xmlns:a16="http://schemas.microsoft.com/office/drawing/2014/main" id="{65B25BBD-2940-A2A3-82A5-869355E779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E5D22D9" w14:textId="2C694D45" w:rsidR="00CD4238" w:rsidRDefault="009C69E4" w:rsidP="00CD4238">
      <w:pPr>
        <w:pStyle w:val="AEGBody"/>
      </w:pPr>
      <w:r w:rsidRPr="005A1FAF">
        <w:rPr>
          <w:bCs/>
        </w:rPr>
        <w:fldChar w:fldCharType="begin"/>
      </w:r>
      <w:r w:rsidRPr="005A1FAF">
        <w:instrText xml:space="preserve"> REF _Ref175674474 \h </w:instrText>
      </w:r>
      <w:r w:rsidR="005A1FAF">
        <w:rPr>
          <w:bCs/>
        </w:rPr>
        <w:instrText xml:space="preserve"> \* MERGEFORMAT </w:instrText>
      </w:r>
      <w:r w:rsidRPr="005A1FAF">
        <w:rPr>
          <w:bCs/>
        </w:rPr>
      </w:r>
      <w:r w:rsidRPr="005A1FAF">
        <w:rPr>
          <w:bCs/>
        </w:rPr>
        <w:fldChar w:fldCharType="separate"/>
      </w:r>
      <w:r w:rsidRPr="005A1FAF">
        <w:t xml:space="preserve">Figure </w:t>
      </w:r>
      <w:r w:rsidRPr="005A1FAF">
        <w:rPr>
          <w:noProof/>
        </w:rPr>
        <w:t>6</w:t>
      </w:r>
      <w:r w:rsidRPr="005A1FAF">
        <w:noBreakHyphen/>
      </w:r>
      <w:r w:rsidRPr="005A1FAF">
        <w:rPr>
          <w:noProof/>
        </w:rPr>
        <w:t>3</w:t>
      </w:r>
      <w:r w:rsidRPr="005A1FAF">
        <w:rPr>
          <w:bCs/>
        </w:rPr>
        <w:fldChar w:fldCharType="end"/>
      </w:r>
      <w:r w:rsidRPr="005A1FAF">
        <w:rPr>
          <w:bCs/>
        </w:rPr>
        <w:t xml:space="preserve"> </w:t>
      </w:r>
      <w:r w:rsidR="00CD4238" w:rsidRPr="005A1FAF">
        <w:t>shows the state contribution to the estimated system coincident winter peak forecast. In 202</w:t>
      </w:r>
      <w:r w:rsidR="009043BD" w:rsidRPr="005A1FAF">
        <w:t>6</w:t>
      </w:r>
      <w:r w:rsidR="00CD4238" w:rsidRPr="005A1FAF">
        <w:t>, system peak load for the winter is 1,</w:t>
      </w:r>
      <w:r w:rsidRPr="005A1FAF">
        <w:t>857</w:t>
      </w:r>
      <w:r w:rsidR="00CD4238" w:rsidRPr="005A1FAF">
        <w:t xml:space="preserve"> MW at the grid or generator level. The winter system peak is about </w:t>
      </w:r>
      <w:r w:rsidRPr="005A1FAF">
        <w:t>1</w:t>
      </w:r>
      <w:r w:rsidR="00CD4238" w:rsidRPr="005A1FAF">
        <w:t xml:space="preserve">% </w:t>
      </w:r>
      <w:r w:rsidRPr="005A1FAF">
        <w:t>higher</w:t>
      </w:r>
      <w:r w:rsidR="005A1FAF" w:rsidRPr="005A1FAF">
        <w:t xml:space="preserve"> in 2026</w:t>
      </w:r>
      <w:r w:rsidR="00CD4238" w:rsidRPr="005A1FAF">
        <w:t xml:space="preserve"> than the summer peak. Like in summer, Washington contributes 67% to the winter system peak, while Idaho contributes 33%. Over the study period, winter coincident peak load is expected to grow by an average of 1.</w:t>
      </w:r>
      <w:r w:rsidR="00DF351C" w:rsidRPr="005A1FAF">
        <w:t>3</w:t>
      </w:r>
      <w:r w:rsidR="00CD4238" w:rsidRPr="005A1FAF">
        <w:t>% annually.</w:t>
      </w:r>
    </w:p>
    <w:p w14:paraId="3E30B894" w14:textId="77777777" w:rsidR="00E239A5" w:rsidRDefault="00E239A5" w:rsidP="000F5F8E">
      <w:pPr>
        <w:pStyle w:val="AEGBody"/>
        <w:rPr>
          <w:lang w:eastAsia="ja-JP"/>
        </w:rPr>
      </w:pPr>
    </w:p>
    <w:p w14:paraId="09B5E40F" w14:textId="5F3A4428" w:rsidR="003133F2" w:rsidRDefault="003133F2" w:rsidP="003133F2">
      <w:pPr>
        <w:pStyle w:val="Caption"/>
      </w:pPr>
      <w:bookmarkStart w:id="193" w:name="_Ref175674474"/>
      <w:bookmarkStart w:id="194" w:name="_Toc175904464"/>
      <w:r>
        <w:t xml:space="preserve">Figure </w:t>
      </w:r>
      <w:r w:rsidR="000E34CB">
        <w:fldChar w:fldCharType="begin"/>
      </w:r>
      <w:r w:rsidR="000E34CB">
        <w:instrText xml:space="preserve"> STYLEREF 1 \s </w:instrText>
      </w:r>
      <w:r w:rsidR="000E34CB">
        <w:fldChar w:fldCharType="separate"/>
      </w:r>
      <w:r w:rsidR="000E34CB">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3</w:t>
      </w:r>
      <w:r w:rsidR="000E34CB">
        <w:fldChar w:fldCharType="end"/>
      </w:r>
      <w:bookmarkEnd w:id="193"/>
      <w:r w:rsidRPr="001D4B37">
        <w:t xml:space="preserve"> Coincident Peak Load Forecast by State (</w:t>
      </w:r>
      <w:r>
        <w:t>Winter</w:t>
      </w:r>
      <w:r w:rsidRPr="001D4B37">
        <w:t>)</w:t>
      </w:r>
      <w:bookmarkEnd w:id="194"/>
    </w:p>
    <w:p w14:paraId="1EC42CF0" w14:textId="43FE1143" w:rsidR="003133F2" w:rsidRPr="000F5F8E" w:rsidRDefault="00C560A4" w:rsidP="0038053B">
      <w:pPr>
        <w:pStyle w:val="AEGBody"/>
        <w:jc w:val="center"/>
        <w:rPr>
          <w:lang w:eastAsia="ja-JP"/>
        </w:rPr>
      </w:pPr>
      <w:r>
        <w:rPr>
          <w:noProof/>
        </w:rPr>
        <w:drawing>
          <wp:inline distT="0" distB="0" distL="0" distR="0" wp14:anchorId="2F2A9628" wp14:editId="6CE6C946">
            <wp:extent cx="4572000" cy="2743200"/>
            <wp:effectExtent l="0" t="0" r="0" b="0"/>
            <wp:docPr id="2070219093" name="Chart 1">
              <a:extLst xmlns:a="http://schemas.openxmlformats.org/drawingml/2006/main">
                <a:ext uri="{FF2B5EF4-FFF2-40B4-BE49-F238E27FC236}">
                  <a16:creationId xmlns:a16="http://schemas.microsoft.com/office/drawing/2014/main" id="{FC0C2B1C-830E-418A-B4CC-C1757B7AA7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FCD66CE" w14:textId="4A18BDEC" w:rsidR="00CC6A72" w:rsidRDefault="00CC6A72" w:rsidP="00DF1E80">
      <w:pPr>
        <w:pStyle w:val="Heading2"/>
      </w:pPr>
      <w:bookmarkStart w:id="195" w:name="_Toc175904884"/>
      <w:r>
        <w:t>Characterize Demand Response Program Options</w:t>
      </w:r>
      <w:bookmarkEnd w:id="195"/>
    </w:p>
    <w:p w14:paraId="2A779C64" w14:textId="55CD514D" w:rsidR="00B17185" w:rsidRPr="00B17185" w:rsidRDefault="00B17185" w:rsidP="00B17185">
      <w:pPr>
        <w:pStyle w:val="AEGBody"/>
      </w:pPr>
      <w:r w:rsidRPr="00B17185">
        <w:t>Next, AEG identified and described the viable DR programs for inclusion in the analysis and developed assumptions for key program parameters, including per customer impacts, participation rates, program eligibility, and program costs. AEG considered the characteristics and applicability of a comprehensive list of options available that could be feasibly run in Avista’s territory. Once a list of DR options was determined, AEG characterized each option. Several options could also have an ancillary component depending on the end use and if they could be used as a fast DR tool.</w:t>
      </w:r>
    </w:p>
    <w:p w14:paraId="76453001" w14:textId="309F9A49" w:rsidR="00B17185" w:rsidRPr="00B17185" w:rsidRDefault="00B17185" w:rsidP="00B17185">
      <w:pPr>
        <w:pStyle w:val="AEGBody"/>
      </w:pPr>
      <w:r w:rsidRPr="00B17185">
        <w:t>Each selected option is described briefly below.</w:t>
      </w:r>
    </w:p>
    <w:p w14:paraId="77029B2B" w14:textId="48719C03" w:rsidR="00CC6A72" w:rsidRDefault="00CC6A72" w:rsidP="009875ED">
      <w:pPr>
        <w:pStyle w:val="Heading3"/>
      </w:pPr>
      <w:bookmarkStart w:id="196" w:name="_Toc175904885"/>
      <w:r>
        <w:t>Program Descriptions</w:t>
      </w:r>
      <w:bookmarkEnd w:id="196"/>
    </w:p>
    <w:p w14:paraId="594C570F" w14:textId="33972D7C" w:rsidR="0055004C" w:rsidRDefault="0055004C" w:rsidP="00DF1E80">
      <w:pPr>
        <w:pStyle w:val="Heading4"/>
      </w:pPr>
      <w:r>
        <w:t>Direct Load Control of Central Air Conditioners</w:t>
      </w:r>
    </w:p>
    <w:p w14:paraId="0DC9EEAE" w14:textId="09EE37FD" w:rsidR="00B17185" w:rsidRPr="00B17185" w:rsidRDefault="00B17185" w:rsidP="00B17185">
      <w:pPr>
        <w:pStyle w:val="AEGBody"/>
        <w:rPr>
          <w:rFonts w:ascii="Aptos" w:hAnsi="Aptos"/>
          <w:b/>
          <w:i/>
          <w:spacing w:val="4"/>
          <w:szCs w:val="20"/>
        </w:rPr>
      </w:pPr>
      <w:r>
        <w:t>The Direct Load Control (DLC) of Central Air Conditioners (Central AC) targets Avista’s Residential and General Service customers with qualifying equipment in Washington and Idaho. This program directly controls Central AC load in summer through a load control switch placed on a customer’s air conditioning unit. During events, the Central AC units are cycled on and off. Participation is expected to be shared with the Smart Thermostats DLC-Cooling program in the integrated scenario since the programs target the same end-use technology.</w:t>
      </w:r>
    </w:p>
    <w:p w14:paraId="548B6291" w14:textId="214A8016" w:rsidR="0055004C" w:rsidRDefault="0055004C" w:rsidP="00DF1E80">
      <w:pPr>
        <w:pStyle w:val="Heading4"/>
      </w:pPr>
      <w:r>
        <w:t>DLC Smart Thermostats – Heating/Cooling</w:t>
      </w:r>
    </w:p>
    <w:p w14:paraId="3664DDA0" w14:textId="16488390" w:rsidR="00B17185" w:rsidRPr="00B17185" w:rsidRDefault="00B17185" w:rsidP="00B17185">
      <w:pPr>
        <w:pStyle w:val="AEGBody"/>
      </w:pPr>
      <w:r>
        <w:t>These programs use the two-way communicating ability of smart thermostats to cycle heating and cooling end uses on and off during events. The programs target Avista’s Residential and General Service customers with qualifying equipment in Washington and Idaho. This program was assumed to be Bring Your Own Thermostat (BYOT); therefore, no equipment or installation costs were estimated. The cooling and heating programs are modeled separately because the impact assumptions are quite different; however, the heating program is assumed to piggyback off the cooling program. Therefore, development and administrative costs were estimated only for the cooling program. In addition, the participation in the heating program was a subset of the cooling program participants based on typical heating program participation rates.</w:t>
      </w:r>
    </w:p>
    <w:p w14:paraId="54DAAA67" w14:textId="65B78EFE" w:rsidR="0055004C" w:rsidRDefault="0055004C" w:rsidP="00DF1E80">
      <w:pPr>
        <w:pStyle w:val="Heading4"/>
      </w:pPr>
      <w:r>
        <w:t>CTA-2045 Grid Interactive Water Heater</w:t>
      </w:r>
    </w:p>
    <w:p w14:paraId="36D9B48E" w14:textId="6E046FE9" w:rsidR="00B17185" w:rsidRPr="00B17185" w:rsidRDefault="00B17185" w:rsidP="00B17185">
      <w:pPr>
        <w:pStyle w:val="AEGBody"/>
      </w:pPr>
      <w:r>
        <w:t xml:space="preserve">The CTA-2045 Grid Interactive Water Heater program targets Avista’s Residential and General Service customers in Washington. These water heaters contain a communicating module interface and can seamlessly fit into a DR program as these become more prevalent in the Avista territory. Idaho is not mandating this equipment yet; therefore, this program is only modeled for Washington. Water heaters would be completely turned off during the DR event period. Water heaters of all sizes are eligible for control. A $150 cost to Avista is expected for each module with an additional provisioning cost of $100 for each customer (since only 20% of customers will need help provisioning, a $20 average provisioning cost is applied.) To provide additional granularity, AEG broke out the participation in this program across electric resistance and heat pump water heaters in the state of Washington, according to the latest saturation surveys used in the energy efficiency study. Results are presented separately in this study across the two end-use types. This program is planned to be offered </w:t>
      </w:r>
      <w:r w:rsidR="00585BC4">
        <w:t>in the future (this study assumes a start date of 2026)</w:t>
      </w:r>
      <w:r>
        <w:t>.</w:t>
      </w:r>
    </w:p>
    <w:p w14:paraId="61378810" w14:textId="241536C7" w:rsidR="0055004C" w:rsidRDefault="0055004C" w:rsidP="00DF1E80">
      <w:pPr>
        <w:pStyle w:val="Heading4"/>
      </w:pPr>
      <w:r>
        <w:t>DLC Water Heating</w:t>
      </w:r>
    </w:p>
    <w:p w14:paraId="51BFD57A" w14:textId="18CC588F" w:rsidR="00B17185" w:rsidRPr="00B17185" w:rsidRDefault="00B17185" w:rsidP="00B17185">
      <w:pPr>
        <w:pStyle w:val="AEGBody"/>
        <w:rPr>
          <w:rFonts w:ascii="GT Eesti Display Light" w:hAnsi="GT Eesti Display Light"/>
          <w:i/>
          <w:spacing w:val="4"/>
          <w:szCs w:val="20"/>
        </w:rPr>
      </w:pPr>
      <w:r>
        <w:t>Because the Grid Interactive Water Heater program is only available in Washington, the DLC Water Heater program targets Avista’s Residential and General Service customers in Idaho. This program directly controls water heating load throughout the year for these customers through a load control switch. Water heaters would be completely turned off during the DR event period. The event period is assumed to be 50 hours during the summer months and another 50 hours during the winter months. Water heaters of all sizes are eligible for control. AEG assumes a $160 cost to Avista for each switch, a $200 installation fee, and a permit and license cost of $100 for residential participants ($125 for general service participants).</w:t>
      </w:r>
    </w:p>
    <w:p w14:paraId="11C8E3C4" w14:textId="77063CD7" w:rsidR="0055004C" w:rsidRDefault="0055004C" w:rsidP="00DF1E80">
      <w:pPr>
        <w:pStyle w:val="Heading4"/>
      </w:pPr>
      <w:r>
        <w:t>DLC Smart Appliances</w:t>
      </w:r>
    </w:p>
    <w:p w14:paraId="37DAF7AD" w14:textId="76E4F283" w:rsidR="00B17185" w:rsidRPr="00B17185" w:rsidRDefault="00B17185" w:rsidP="00B17185">
      <w:pPr>
        <w:pStyle w:val="AEGBody"/>
        <w:rPr>
          <w:rFonts w:ascii="Aptos" w:hAnsi="Aptos"/>
          <w:b/>
          <w:i/>
          <w:spacing w:val="4"/>
          <w:szCs w:val="20"/>
        </w:rPr>
      </w:pPr>
      <w:r>
        <w:t xml:space="preserve">The DLC Smart Appliances program uses a wi-fi hub to connect smart wi-fi enabled appliances such as washers, dryers, refrigerators, and water heaters. During events throughout the year, the smart appliances are cycled on and off. The program targets Avista’s Residential and General Service customers in Washington and Idaho. A low steady-state participation rate of 5% is assumed for this program. </w:t>
      </w:r>
    </w:p>
    <w:p w14:paraId="00A897AA" w14:textId="6FEF70DC" w:rsidR="0055004C" w:rsidRDefault="0055004C" w:rsidP="00DF1E80">
      <w:pPr>
        <w:pStyle w:val="Heading4"/>
      </w:pPr>
      <w:r>
        <w:t>Third Party Contracts</w:t>
      </w:r>
    </w:p>
    <w:p w14:paraId="153B708A" w14:textId="142A2825" w:rsidR="00B17185" w:rsidRDefault="00B17185" w:rsidP="00B17185">
      <w:pPr>
        <w:pStyle w:val="AEGBody"/>
      </w:pPr>
      <w:r>
        <w:t>Third Party Contracts are assumed to be available for Large General Service, and Extra Large General Service customers year-round.</w:t>
      </w:r>
      <w:r w:rsidR="00605FC5">
        <w:rPr>
          <w:rStyle w:val="FootnoteReference"/>
        </w:rPr>
        <w:footnoteReference w:id="6"/>
      </w:r>
      <w:r>
        <w:t xml:space="preserve"> For the Large and Extra Large General Service customers, AEG assumes they will engage in firm curtailment. It is also assumed that participating customers will agree to reduce demand by a specific amount or curtail their consumption to a predefined level at the time of an event. In return, they receive a fixed incentive payment in the form of capacity credits or reservation payments (typically expressed as $/kW-month or $/kW-year). Customers are paid to be on call even though actual load curtailments may not occur. The amount of the capacity payment typically varies with the load commitment level. In addition to the fixed capacity payment, participants typically receive a payment for energy reduction during events. Because it is a firm, contractual arrangement for a specific level of load reduction, enrolled loads represent a firm resource and can be counted toward installed capacity requirements. Penalties may be assessed for under-performance or non-performance. Events may be called on a day-of or day-ahead basis as conditions warrant. </w:t>
      </w:r>
    </w:p>
    <w:p w14:paraId="245911C3" w14:textId="77777777" w:rsidR="00B17185" w:rsidRDefault="00B17185" w:rsidP="00B17185">
      <w:pPr>
        <w:pStyle w:val="AEGBody"/>
      </w:pPr>
      <w:r>
        <w:t xml:space="preserve">This option is typically delivered by load aggregators and is most attractive for customers with a maximum demand greater than 200 kW and flexibility in their operations. Industry experience indicates that aggregation of customers with smaller-sized loads is less attractive financially due to lower economies of scale. In addition, customers with 24x7 operations, continuous processes, or with obligations to continue providing service (such as schools and hospitals) are not often good candidates for this option. </w:t>
      </w:r>
    </w:p>
    <w:p w14:paraId="02839092" w14:textId="0A8455D9" w:rsidR="0055004C" w:rsidRDefault="00CA4DEB" w:rsidP="00DF1E80">
      <w:pPr>
        <w:pStyle w:val="Heading4"/>
      </w:pPr>
      <w:r>
        <w:t>EV V1G Telematics</w:t>
      </w:r>
    </w:p>
    <w:p w14:paraId="129528B5" w14:textId="3240A9DB" w:rsidR="00B17185" w:rsidRPr="00B17185" w:rsidRDefault="0064226F" w:rsidP="00B17185">
      <w:pPr>
        <w:pStyle w:val="AEGBody"/>
      </w:pPr>
      <w:r>
        <w:t xml:space="preserve">The EV </w:t>
      </w:r>
      <w:r w:rsidRPr="0064226F">
        <w:t>V1G telematics demand response program is an advanced approach to managing electric vehicle charging that utilizes vehicle telematics systems to control charging based on grid conditions and energy demand</w:t>
      </w:r>
      <w:r w:rsidR="00B17185">
        <w:t xml:space="preserve">. </w:t>
      </w:r>
      <w:r>
        <w:t>This program</w:t>
      </w:r>
      <w:r w:rsidRPr="0064226F">
        <w:t xml:space="preserve"> leverages the built-in communication systems in EVs to enable direct communication between the vehicle and the utility or grid operator. This eliminates the need for separate charging station hardware to facilitate controlled charging</w:t>
      </w:r>
      <w:r>
        <w:t xml:space="preserve">. Avista currently has 98 customers </w:t>
      </w:r>
      <w:r w:rsidRPr="004A19E3">
        <w:t xml:space="preserve">enrolled on this program but is expected to ramp up to 20% of the available EVs in the next five years. </w:t>
      </w:r>
      <w:r w:rsidR="00B17185" w:rsidRPr="004A19E3">
        <w:t xml:space="preserve">AEG </w:t>
      </w:r>
      <w:r w:rsidRPr="004A19E3">
        <w:t>assumed</w:t>
      </w:r>
      <w:r w:rsidR="00B17185" w:rsidRPr="004A19E3">
        <w:t xml:space="preserve"> </w:t>
      </w:r>
      <w:r w:rsidRPr="004A19E3">
        <w:t>90</w:t>
      </w:r>
      <w:r w:rsidR="00B17185" w:rsidRPr="004A19E3">
        <w:t>% of electric vehicle load could be curtailed</w:t>
      </w:r>
      <w:r w:rsidRPr="004A19E3">
        <w:t xml:space="preserve"> on this program</w:t>
      </w:r>
      <w:r w:rsidR="00B17185" w:rsidRPr="004A19E3">
        <w:t>. Avista requested that this program be viewed as a fully-fledged program starting in 202</w:t>
      </w:r>
      <w:r w:rsidRPr="004A19E3">
        <w:t>6</w:t>
      </w:r>
      <w:r w:rsidR="00B17185" w:rsidRPr="004A19E3">
        <w:t xml:space="preserve"> to reflect the technology rollout. </w:t>
      </w:r>
      <w:r w:rsidRPr="004A19E3">
        <w:t>Customers are provided a $350 sign-on incentive with an additional $5 per month if off-peak charging occurs</w:t>
      </w:r>
      <w:r w:rsidR="00B17185" w:rsidRPr="004A19E3">
        <w:t xml:space="preserve">. </w:t>
      </w:r>
      <w:r w:rsidR="004A19E3" w:rsidRPr="004A19E3">
        <w:t>AEG</w:t>
      </w:r>
      <w:r w:rsidR="004A19E3">
        <w:t xml:space="preserve"> used the EV forecast from the 2024 Avista DER study to inform the number of eligible vehicles for this program.</w:t>
      </w:r>
    </w:p>
    <w:p w14:paraId="7765BB2F" w14:textId="56FC3850" w:rsidR="0055004C" w:rsidRDefault="0055004C" w:rsidP="00DF1E80">
      <w:pPr>
        <w:pStyle w:val="Heading4"/>
      </w:pPr>
      <w:r>
        <w:t>Electric Vehicle Time-of-Use</w:t>
      </w:r>
    </w:p>
    <w:p w14:paraId="5C56D0DF" w14:textId="72E1879E" w:rsidR="00B17185" w:rsidRPr="00B17185" w:rsidRDefault="00B17185" w:rsidP="00B17185">
      <w:pPr>
        <w:pStyle w:val="AEGBody"/>
        <w:rPr>
          <w:rFonts w:ascii="Aptos" w:hAnsi="Aptos"/>
          <w:i/>
          <w:iCs/>
          <w:szCs w:val="20"/>
        </w:rPr>
      </w:pPr>
      <w:r>
        <w:t>There is currently an Electric Vehicle Time-of-Use (</w:t>
      </w:r>
      <w:r w:rsidR="00585BC4">
        <w:t>TOU) program</w:t>
      </w:r>
      <w:r>
        <w:t xml:space="preserve"> being run in Avista’s territory</w:t>
      </w:r>
      <w:r w:rsidR="00585BC4">
        <w:t xml:space="preserve"> and is offered to</w:t>
      </w:r>
      <w:r>
        <w:t xml:space="preserve"> General Service and Large General Service customer</w:t>
      </w:r>
      <w:r w:rsidR="00585BC4">
        <w:t>s with EV loads</w:t>
      </w:r>
      <w:r>
        <w:t xml:space="preserve">. The forecasted potential for the electric vehicle TOU program estimated in this study </w:t>
      </w:r>
      <w:r w:rsidR="00585BC4">
        <w:t>opens</w:t>
      </w:r>
      <w:r>
        <w:t xml:space="preserve"> this program to the full fleet of electric vehicles across the General Service and Large General Service classes according to the </w:t>
      </w:r>
      <w:r w:rsidRPr="00585BC4">
        <w:t xml:space="preserve">electric vehicle forecast </w:t>
      </w:r>
      <w:r w:rsidR="00585BC4" w:rsidRPr="00585BC4">
        <w:t>performed in the</w:t>
      </w:r>
      <w:r w:rsidR="0064226F">
        <w:t xml:space="preserve"> 2024</w:t>
      </w:r>
      <w:r w:rsidR="00585BC4" w:rsidRPr="00585BC4">
        <w:t xml:space="preserve"> Avista DER study.</w:t>
      </w:r>
      <w:r w:rsidRPr="00585BC4">
        <w:t xml:space="preserve"> </w:t>
      </w:r>
    </w:p>
    <w:p w14:paraId="6F41A418" w14:textId="7B205B14" w:rsidR="0055004C" w:rsidRDefault="0055004C" w:rsidP="00DF1E80">
      <w:pPr>
        <w:pStyle w:val="Heading4"/>
      </w:pPr>
      <w:r>
        <w:t>Time-of-Use Pricing</w:t>
      </w:r>
    </w:p>
    <w:p w14:paraId="39D5809C" w14:textId="7204D9C6" w:rsidR="00B17185" w:rsidRPr="00B17185" w:rsidRDefault="00B17185" w:rsidP="00B17185">
      <w:pPr>
        <w:pStyle w:val="AEGBody"/>
        <w:rPr>
          <w:rFonts w:ascii="Aptos" w:hAnsi="Aptos"/>
          <w:i/>
          <w:iCs/>
          <w:szCs w:val="20"/>
        </w:rPr>
      </w:pPr>
      <w:r>
        <w:t>The TOU pricing rate is a standard rate structure where rates are lower during off-peak hours and higher during peak hours during the day, incentivizing participants to shift energy use to periods of lower grid stress. For the TOU rate, there are no events called, and the structure does not change during the year. Therefore, it is a good default rate for customers that still offers some load-shifting potential. We assume two scenarios for the TOU rate. An opt-in rate where participants will have to choose to go on the rate and an opt-out rate where participants will automatically be placed on the TOU rate and will need to request a rate change if required. This rate is assumed to be available to</w:t>
      </w:r>
      <w:r w:rsidR="006A48B9">
        <w:t xml:space="preserve"> Residential and General Service classes</w:t>
      </w:r>
      <w:r w:rsidRPr="006A48B9">
        <w:t>. The TOU Opt-in program is planned to be offered as a pilot offering starting in 2024.</w:t>
      </w:r>
    </w:p>
    <w:p w14:paraId="3B503627" w14:textId="2D8EBBC5" w:rsidR="0055004C" w:rsidRDefault="0055004C" w:rsidP="00DF1E80">
      <w:pPr>
        <w:pStyle w:val="Heading4"/>
      </w:pPr>
      <w:r>
        <w:t>Variable Peak Pricing</w:t>
      </w:r>
    </w:p>
    <w:p w14:paraId="230733DB" w14:textId="63D506EE" w:rsidR="00B17185" w:rsidRPr="00B17185" w:rsidRDefault="00B17185" w:rsidP="00B17185">
      <w:pPr>
        <w:pStyle w:val="AEGBody"/>
      </w:pPr>
      <w:r>
        <w:t>The Variable Peak Pricing (VPP) rate is composed of significantly higher prices during relatively short critical peak periods on event days to encourage customers to reduce their usage. VPP is usually offered in conjunction with a time-of-use rate, which implies at least three time periods: critical peak, on-peak and off-peak. The customer incentive is a more heavily discounted rate during off-peak hours throughout the year (relative a standard TOU rate). Event days are dispatched on relatively short notice (day ahead or day of), typically for a limited number of days during the year. Over time, event-trigger criteria become well-established so that customers can expect events based on hot weather or other factors. Events can also be called during times of system contingencies or emergencies. In past studies, this rate has been assumed to be offered to all service classes; however, with the addition of Peak Time Rebate this year, VPP will only be considered for large and extra-large Service customers.</w:t>
      </w:r>
    </w:p>
    <w:p w14:paraId="6A56A482" w14:textId="7F985C77" w:rsidR="0055004C" w:rsidRDefault="0055004C" w:rsidP="00DF1E80">
      <w:pPr>
        <w:pStyle w:val="Heading4"/>
      </w:pPr>
      <w:r>
        <w:t>Peak Time Rebate</w:t>
      </w:r>
    </w:p>
    <w:p w14:paraId="02A1C1E1" w14:textId="60CFA302" w:rsidR="00B17185" w:rsidRPr="00B17185" w:rsidRDefault="00B17185" w:rsidP="00B17185">
      <w:pPr>
        <w:pStyle w:val="AEGBody"/>
      </w:pPr>
      <w:r>
        <w:t xml:space="preserve">The Peak Time Rebate (PTR) program offers participants an incentive for every kW saved during designated times of high energy demand. Events are called several times per season, and participants are given incentives in the form of $/kWh saved during the event relative to their baseline usage across previous seasons. The assumptions for this program were based primarily on the results of Portland General Electric’s PTR program and are offered to residential and general service customers, as not to overlap with the VPP program. </w:t>
      </w:r>
    </w:p>
    <w:p w14:paraId="5838C889" w14:textId="59EFAFD9" w:rsidR="0055004C" w:rsidRDefault="0055004C" w:rsidP="00DF1E80">
      <w:pPr>
        <w:pStyle w:val="Heading4"/>
      </w:pPr>
      <w:r>
        <w:t>Ancillary Services</w:t>
      </w:r>
    </w:p>
    <w:p w14:paraId="5218A53D" w14:textId="37E20EFB" w:rsidR="00B17185" w:rsidRPr="00B17185" w:rsidRDefault="00B17185" w:rsidP="00B17185">
      <w:pPr>
        <w:pStyle w:val="AEGBody"/>
        <w:rPr>
          <w:rFonts w:ascii="Aptos" w:hAnsi="Aptos"/>
          <w:b/>
          <w:i/>
          <w:spacing w:val="4"/>
          <w:szCs w:val="20"/>
        </w:rPr>
      </w:pPr>
      <w:r w:rsidRPr="00F65AC5">
        <w:t xml:space="preserve">Ancillary </w:t>
      </w:r>
      <w:r>
        <w:t>s</w:t>
      </w:r>
      <w:r w:rsidRPr="00F65AC5">
        <w:t>ervices refer to functions that help grid operators maintain a reliable electricity system.</w:t>
      </w:r>
      <w:r>
        <w:t xml:space="preserve"> </w:t>
      </w:r>
      <w:r w:rsidRPr="00F65AC5">
        <w:t>Ancillary services maintain the proper flow and direction of electricity, address imbalances between supply and demand, and help the system recover after a power system event. In systems with significant variable renewable energy penetration, additional ancillary services may be required to manage increased variability and uncertainty.</w:t>
      </w:r>
      <w:r>
        <w:t xml:space="preserve"> In addition, Ancillary Services can provide fast DR response during grid emergencies. AEG assumes ancillary service DR capabilities are available across all sectors. Ancillary Service options can be offered to customers who are already on programs with ancillary capabilities for an additional incentive. For this study, ancillary programs were modeled for several parent programs: Smart Thermostats- Heating/Cooling, DLC Water Heating, CTA-2045 Water Heating, Electric Vehicle Charging, and Battery Energy Storage. Ancillary service results are presented in Appendix D or the Integrated Opt-in scenario.</w:t>
      </w:r>
    </w:p>
    <w:p w14:paraId="57634409" w14:textId="1829189D" w:rsidR="0055004C" w:rsidRDefault="0055004C" w:rsidP="00DF1E80">
      <w:pPr>
        <w:pStyle w:val="Heading4"/>
      </w:pPr>
      <w:r>
        <w:t>Thermal Energy Storage</w:t>
      </w:r>
    </w:p>
    <w:p w14:paraId="4A05F1A3" w14:textId="77777777" w:rsidR="00B17185" w:rsidRPr="00FA589B" w:rsidRDefault="00B17185" w:rsidP="00B17185">
      <w:pPr>
        <w:pStyle w:val="AEGBody"/>
      </w:pPr>
      <w:r w:rsidRPr="00FA589B">
        <w:t xml:space="preserve">Ice Energy Storage, a type of thermal energy storage, is an emerging technology that is being explored in many peak-shifting applications across the country. This technology involves cooling and freezing water in a storage container so that the energy can be used later for space cooling. More specifically, </w:t>
      </w:r>
      <w:r>
        <w:t>frozen</w:t>
      </w:r>
      <w:r w:rsidRPr="00FA589B">
        <w:t xml:space="preserve"> water takes advantage of the large amount of latent energy associated with the phase change between ice and liquid water, which will absorb or release a large amount of thermal energy while maintaining a constant temperature at the freezing (or melting) point. An ice energy storage unit turns water into ice during off-peak times when price and demand for electricity </w:t>
      </w:r>
      <w:r>
        <w:t>are</w:t>
      </w:r>
      <w:r w:rsidRPr="00FA589B">
        <w:t xml:space="preserve"> low, typically </w:t>
      </w:r>
      <w:r>
        <w:t>at night</w:t>
      </w:r>
      <w:r w:rsidRPr="00FA589B">
        <w:t>. During the day, at peak times, the stored ice is melted to meet all or some of the building’s cooling requirements, allowing air conditioners to operate at reduced loads.</w:t>
      </w:r>
    </w:p>
    <w:p w14:paraId="3C5C1C87" w14:textId="0F2BCDBA" w:rsidR="00B17185" w:rsidRPr="00B17185" w:rsidRDefault="00B17185" w:rsidP="00B17185">
      <w:pPr>
        <w:pStyle w:val="AEGBody"/>
        <w:rPr>
          <w:rFonts w:ascii="Aptos" w:hAnsi="Aptos"/>
          <w:b/>
          <w:i/>
          <w:spacing w:val="4"/>
          <w:szCs w:val="20"/>
        </w:rPr>
      </w:pPr>
      <w:r w:rsidRPr="00FA589B">
        <w:t>Ice energy storage is primarily being used in non-residential buildings and applications, as modeled in this analysis, but may see expansion in the future to encompass smaller, residential systems as well as emerging grid services for peak shaving and renewable integration.</w:t>
      </w:r>
      <w:r>
        <w:t xml:space="preserve"> Since ice energy storage is used for space cooling, AEG assumes this program would be available during the summer months only. </w:t>
      </w:r>
    </w:p>
    <w:p w14:paraId="0E8B3826" w14:textId="2642ADD8" w:rsidR="0055004C" w:rsidRDefault="0055004C" w:rsidP="00DF1E80">
      <w:pPr>
        <w:pStyle w:val="Heading4"/>
      </w:pPr>
      <w:r>
        <w:t>Battery Energy Storage</w:t>
      </w:r>
    </w:p>
    <w:p w14:paraId="34DBD1AF" w14:textId="38E8DAA6" w:rsidR="00B17185" w:rsidRPr="00B17185" w:rsidRDefault="00B17185" w:rsidP="00B17185">
      <w:pPr>
        <w:pStyle w:val="AEGBody"/>
        <w:rPr>
          <w:rFonts w:ascii="Aptos" w:hAnsi="Aptos"/>
          <w:i/>
          <w:iCs/>
          <w:szCs w:val="20"/>
        </w:rPr>
      </w:pPr>
      <w:r>
        <w:t>This program provides the ability to shift peak loads using stored electrochemical energy. Currently, the main battery storage equipment uses lithium-ion batteries. They are the most cost-effective battery type on the market today. AEG assumes the battery energy storage option will be available for all service classes, with the size and cost of the battery varying depending on the level of demand of the building.</w:t>
      </w:r>
    </w:p>
    <w:p w14:paraId="03204C78" w14:textId="6D823CAA" w:rsidR="0055004C" w:rsidRDefault="0055004C" w:rsidP="00DF1E80">
      <w:pPr>
        <w:pStyle w:val="Heading4"/>
      </w:pPr>
      <w:r>
        <w:t>Behavioral DR</w:t>
      </w:r>
    </w:p>
    <w:p w14:paraId="712289CE" w14:textId="77777777" w:rsidR="00B17185" w:rsidRPr="00CC0B20" w:rsidRDefault="00B17185" w:rsidP="00B17185">
      <w:pPr>
        <w:pStyle w:val="AEGBody"/>
      </w:pPr>
      <w:r>
        <w:t>Behavioral DR</w:t>
      </w:r>
      <w:r w:rsidRPr="00CC0B20">
        <w:t xml:space="preserve"> is structured like traditional demand response interventions, but it does not rely on enabling technologies</w:t>
      </w:r>
      <w:r>
        <w:t>,</w:t>
      </w:r>
      <w:r w:rsidRPr="00CC0B20">
        <w:t xml:space="preserve"> nor does it offer financial incentives to participants. Participants are notified of an event and simply asked to reduce their consumption during the event window. Generally, notification occurs the day prior to the event and are deployed utilizing a phone call, email, or text message. The next day, customers may receive post-event feedback that includes personalized results and encouragement.</w:t>
      </w:r>
    </w:p>
    <w:p w14:paraId="7311B898" w14:textId="1FE93BE6" w:rsidR="00B17185" w:rsidRPr="00B17185" w:rsidRDefault="00B17185" w:rsidP="00B17185">
      <w:pPr>
        <w:pStyle w:val="AEGBody"/>
      </w:pPr>
      <w:r w:rsidRPr="00CC0B20">
        <w:t>For this analysis, we assumed the B</w:t>
      </w:r>
      <w:r>
        <w:t xml:space="preserve">ehavioral </w:t>
      </w:r>
      <w:r w:rsidRPr="00CC0B20">
        <w:t xml:space="preserve">DR program would be offered as part of a Home Energy Reports program in a typical opt-out scenario. </w:t>
      </w:r>
      <w:r>
        <w:t xml:space="preserve">As such, we assume this program would be offered to residential customers only. Avista does not currently have a Home Energy Report program in place. Therefore, the Behavioral program is expected to bear the full cost of the program implementation. </w:t>
      </w:r>
    </w:p>
    <w:p w14:paraId="103ED685" w14:textId="5E6227CC" w:rsidR="00CC6A72" w:rsidRDefault="00CC6A72" w:rsidP="001E255C">
      <w:pPr>
        <w:pStyle w:val="Heading3"/>
      </w:pPr>
      <w:bookmarkStart w:id="197" w:name="_Toc175904886"/>
      <w:r>
        <w:t>Program Assumptions and Characteristics</w:t>
      </w:r>
      <w:bookmarkEnd w:id="197"/>
    </w:p>
    <w:p w14:paraId="6367AFC7" w14:textId="25909D1A" w:rsidR="00B17185" w:rsidRPr="00B17185" w:rsidRDefault="00B17185" w:rsidP="00B17185">
      <w:pPr>
        <w:pStyle w:val="AEGBody"/>
      </w:pPr>
      <w:r>
        <w:t xml:space="preserve">The key parameters required to estimate the potential for a DR program are participation rate, </w:t>
      </w:r>
      <w:r w:rsidDel="00461C7F">
        <w:t>per</w:t>
      </w:r>
      <w:r>
        <w:t xml:space="preserve">-participant load reduction, and eligibility or end use saturations. </w:t>
      </w:r>
      <w:r w:rsidRPr="00C90B70">
        <w:t xml:space="preserve">The development of these </w:t>
      </w:r>
      <w:r>
        <w:t>parameters</w:t>
      </w:r>
      <w:r w:rsidRPr="00C90B70">
        <w:t xml:space="preserve"> is based on research</w:t>
      </w:r>
      <w:r>
        <w:t xml:space="preserve"> findings</w:t>
      </w:r>
      <w:r w:rsidRPr="00C90B70">
        <w:t xml:space="preserve"> and </w:t>
      </w:r>
      <w:r>
        <w:t xml:space="preserve">a </w:t>
      </w:r>
      <w:r w:rsidRPr="00C90B70">
        <w:t xml:space="preserve">review of available information on the topic, including national program survey databases, evaluation studies, program reports, </w:t>
      </w:r>
      <w:r>
        <w:t xml:space="preserve">and </w:t>
      </w:r>
      <w:r w:rsidRPr="00C90B70">
        <w:t>regulatory filings.</w:t>
      </w:r>
      <w:r>
        <w:t xml:space="preserve"> AEG’s assumptions of these parameters are described below.</w:t>
      </w:r>
    </w:p>
    <w:p w14:paraId="22ECCB13" w14:textId="316A297B" w:rsidR="00CC6A72" w:rsidRDefault="0055004C" w:rsidP="001E255C">
      <w:pPr>
        <w:pStyle w:val="Heading4"/>
      </w:pPr>
      <w:r>
        <w:t>Participation Rate Assumptions</w:t>
      </w:r>
    </w:p>
    <w:p w14:paraId="5FF391ED" w14:textId="2FE0047E" w:rsidR="00312A5A" w:rsidRDefault="00312A5A" w:rsidP="00312A5A">
      <w:pPr>
        <w:pStyle w:val="BodyText"/>
      </w:pPr>
      <w:r w:rsidRPr="00E948E3">
        <w:rPr>
          <w:bCs/>
        </w:rPr>
        <w:fldChar w:fldCharType="begin"/>
      </w:r>
      <w:r w:rsidRPr="00E948E3">
        <w:instrText xml:space="preserve"> REF _Ref175720641 \h </w:instrText>
      </w:r>
      <w:r w:rsidRPr="00E948E3">
        <w:rPr>
          <w:bCs/>
        </w:rPr>
        <w:instrText xml:space="preserve"> \* MERGEFORMAT </w:instrText>
      </w:r>
      <w:r w:rsidRPr="00E948E3">
        <w:rPr>
          <w:bCs/>
        </w:rPr>
      </w:r>
      <w:r w:rsidRPr="00E948E3">
        <w:rPr>
          <w:bCs/>
        </w:rPr>
        <w:fldChar w:fldCharType="separate"/>
      </w:r>
      <w:r w:rsidRPr="00E948E3">
        <w:t xml:space="preserve">Table </w:t>
      </w:r>
      <w:r w:rsidRPr="00E948E3">
        <w:rPr>
          <w:noProof/>
        </w:rPr>
        <w:t>6</w:t>
      </w:r>
      <w:r w:rsidRPr="00E948E3">
        <w:noBreakHyphen/>
      </w:r>
      <w:r w:rsidRPr="00E948E3">
        <w:rPr>
          <w:noProof/>
        </w:rPr>
        <w:t>6</w:t>
      </w:r>
      <w:r w:rsidRPr="00E948E3">
        <w:rPr>
          <w:bCs/>
        </w:rPr>
        <w:fldChar w:fldCharType="end"/>
      </w:r>
      <w:r w:rsidRPr="00E948E3">
        <w:rPr>
          <w:bCs/>
        </w:rPr>
        <w:t xml:space="preserve"> </w:t>
      </w:r>
      <w:r w:rsidRPr="00E948E3">
        <w:t>below shows the steady-state participation rate assumptions for each demand side management (DSM) option as well as the basis for the assumptions. Participation for space cooling is split between DLC Central AC and Smart Thermostat options, so in total, they don’t exceed 30%.</w:t>
      </w:r>
      <w:r w:rsidRPr="00E948E3">
        <w:rPr>
          <w:rStyle w:val="FootnoteReference"/>
        </w:rPr>
        <w:footnoteReference w:id="7"/>
      </w:r>
    </w:p>
    <w:p w14:paraId="23E92D6C" w14:textId="36A935EB" w:rsidR="00EE4707" w:rsidRDefault="00EE4707" w:rsidP="00EE4707">
      <w:pPr>
        <w:pStyle w:val="Caption"/>
      </w:pPr>
      <w:bookmarkStart w:id="198" w:name="_Ref175720641"/>
      <w:bookmarkStart w:id="199" w:name="_Toc175912405"/>
      <w:r>
        <w:t xml:space="preserve">Table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Table \* ARABIC \s 1 </w:instrText>
      </w:r>
      <w:r>
        <w:fldChar w:fldCharType="separate"/>
      </w:r>
      <w:r w:rsidR="00312A5A">
        <w:rPr>
          <w:noProof/>
        </w:rPr>
        <w:t>6</w:t>
      </w:r>
      <w:r>
        <w:fldChar w:fldCharType="end"/>
      </w:r>
      <w:bookmarkEnd w:id="198"/>
      <w:r>
        <w:t xml:space="preserve"> </w:t>
      </w:r>
      <w:r w:rsidR="00D16242">
        <w:t>DSM</w:t>
      </w:r>
      <w:r w:rsidRPr="003E20B3">
        <w:t xml:space="preserve"> Steady-State Participation Rates (Percent of Eligible Customers)</w:t>
      </w:r>
      <w:bookmarkEnd w:id="199"/>
    </w:p>
    <w:tbl>
      <w:tblPr>
        <w:tblStyle w:val="AEG-DarkBanded"/>
        <w:tblW w:w="5000" w:type="pct"/>
        <w:tblLook w:val="04A0" w:firstRow="1" w:lastRow="0" w:firstColumn="1" w:lastColumn="0" w:noHBand="0" w:noVBand="1"/>
      </w:tblPr>
      <w:tblGrid>
        <w:gridCol w:w="2387"/>
        <w:gridCol w:w="1241"/>
        <w:gridCol w:w="884"/>
        <w:gridCol w:w="904"/>
        <w:gridCol w:w="917"/>
        <w:gridCol w:w="3027"/>
      </w:tblGrid>
      <w:tr w:rsidR="005952A6" w:rsidRPr="00EE4707" w14:paraId="445F54E3" w14:textId="5DFECB78" w:rsidTr="005952A6">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0CB85D69" w14:textId="67215A60" w:rsidR="00355DC6" w:rsidRPr="00016836" w:rsidRDefault="00355DC6" w:rsidP="00EE4707">
            <w:pPr>
              <w:keepNext/>
              <w:rPr>
                <w:rFonts w:asciiTheme="majorHAnsi" w:hAnsiTheme="majorHAnsi"/>
                <w:b w:val="0"/>
                <w:sz w:val="18"/>
                <w:szCs w:val="18"/>
                <w:lang w:eastAsia="ja-JP"/>
              </w:rPr>
            </w:pPr>
            <w:r w:rsidRPr="00016836">
              <w:rPr>
                <w:rFonts w:asciiTheme="majorHAnsi" w:hAnsiTheme="majorHAnsi"/>
                <w:b w:val="0"/>
                <w:sz w:val="18"/>
                <w:szCs w:val="18"/>
                <w:lang w:eastAsia="ja-JP"/>
              </w:rPr>
              <w:t>D</w:t>
            </w:r>
            <w:r w:rsidR="00F82D5B" w:rsidRPr="00016836">
              <w:rPr>
                <w:rFonts w:asciiTheme="majorHAnsi" w:hAnsiTheme="majorHAnsi"/>
                <w:b w:val="0"/>
                <w:sz w:val="18"/>
                <w:szCs w:val="18"/>
                <w:lang w:eastAsia="ja-JP"/>
              </w:rPr>
              <w:t>SM</w:t>
            </w:r>
            <w:r w:rsidRPr="00016836">
              <w:rPr>
                <w:rFonts w:asciiTheme="majorHAnsi" w:hAnsiTheme="majorHAnsi"/>
                <w:b w:val="0"/>
                <w:sz w:val="18"/>
                <w:szCs w:val="18"/>
                <w:lang w:eastAsia="ja-JP"/>
              </w:rPr>
              <w:t xml:space="preserve"> </w:t>
            </w:r>
            <w:r w:rsidR="00F82D5B" w:rsidRPr="00016836">
              <w:rPr>
                <w:rFonts w:asciiTheme="majorHAnsi" w:hAnsiTheme="majorHAnsi"/>
                <w:b w:val="0"/>
                <w:sz w:val="18"/>
                <w:szCs w:val="18"/>
                <w:lang w:eastAsia="ja-JP"/>
              </w:rPr>
              <w:t>Option</w:t>
            </w:r>
          </w:p>
        </w:tc>
        <w:tc>
          <w:tcPr>
            <w:tcW w:w="663" w:type="pct"/>
            <w:hideMark/>
          </w:tcPr>
          <w:p w14:paraId="17E43A1F" w14:textId="77777777" w:rsidR="00355DC6" w:rsidRPr="00016836" w:rsidRDefault="00355DC6" w:rsidP="00EE4707">
            <w:pPr>
              <w:keepNex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016836">
              <w:rPr>
                <w:rFonts w:asciiTheme="majorHAnsi" w:hAnsiTheme="majorHAnsi"/>
                <w:b w:val="0"/>
                <w:sz w:val="18"/>
                <w:szCs w:val="18"/>
                <w:lang w:eastAsia="ja-JP"/>
              </w:rPr>
              <w:t>Residential Service</w:t>
            </w:r>
          </w:p>
        </w:tc>
        <w:tc>
          <w:tcPr>
            <w:tcW w:w="472" w:type="pct"/>
            <w:hideMark/>
          </w:tcPr>
          <w:p w14:paraId="29967AD9" w14:textId="77777777" w:rsidR="00355DC6" w:rsidRPr="00016836" w:rsidRDefault="00355DC6" w:rsidP="00EE4707">
            <w:pPr>
              <w:keepNex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016836">
              <w:rPr>
                <w:rFonts w:asciiTheme="majorHAnsi" w:hAnsiTheme="majorHAnsi"/>
                <w:b w:val="0"/>
                <w:sz w:val="18"/>
                <w:szCs w:val="18"/>
                <w:lang w:eastAsia="ja-JP"/>
              </w:rPr>
              <w:t>General Service</w:t>
            </w:r>
          </w:p>
        </w:tc>
        <w:tc>
          <w:tcPr>
            <w:tcW w:w="483" w:type="pct"/>
            <w:hideMark/>
          </w:tcPr>
          <w:p w14:paraId="0CF3AA88" w14:textId="77777777" w:rsidR="00355DC6" w:rsidRPr="00016836" w:rsidRDefault="00355DC6" w:rsidP="00EE4707">
            <w:pPr>
              <w:keepNex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016836">
              <w:rPr>
                <w:rFonts w:asciiTheme="majorHAnsi" w:hAnsiTheme="majorHAnsi"/>
                <w:b w:val="0"/>
                <w:sz w:val="18"/>
                <w:szCs w:val="18"/>
                <w:lang w:eastAsia="ja-JP"/>
              </w:rPr>
              <w:t>Large General Service</w:t>
            </w:r>
          </w:p>
        </w:tc>
        <w:tc>
          <w:tcPr>
            <w:tcW w:w="490" w:type="pct"/>
            <w:hideMark/>
          </w:tcPr>
          <w:p w14:paraId="7AE1D2C2" w14:textId="77777777" w:rsidR="00355DC6" w:rsidRPr="00016836" w:rsidRDefault="00355DC6" w:rsidP="00EE4707">
            <w:pPr>
              <w:keepNex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016836">
              <w:rPr>
                <w:rFonts w:asciiTheme="majorHAnsi" w:hAnsiTheme="majorHAnsi"/>
                <w:b w:val="0"/>
                <w:sz w:val="18"/>
                <w:szCs w:val="18"/>
                <w:lang w:eastAsia="ja-JP"/>
              </w:rPr>
              <w:t>Extra Large General Service</w:t>
            </w:r>
          </w:p>
        </w:tc>
        <w:tc>
          <w:tcPr>
            <w:tcW w:w="1618" w:type="pct"/>
          </w:tcPr>
          <w:p w14:paraId="12D0A36C" w14:textId="2D0A75D7" w:rsidR="00355DC6" w:rsidRPr="00016836" w:rsidRDefault="00355DC6" w:rsidP="00EE4707">
            <w:pPr>
              <w:keepNex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016836">
              <w:rPr>
                <w:rFonts w:asciiTheme="majorHAnsi" w:hAnsiTheme="majorHAnsi"/>
                <w:b w:val="0"/>
                <w:sz w:val="18"/>
                <w:szCs w:val="18"/>
                <w:lang w:eastAsia="ja-JP"/>
              </w:rPr>
              <w:t>Basis for Assumption</w:t>
            </w:r>
          </w:p>
        </w:tc>
      </w:tr>
      <w:tr w:rsidR="00355DC6" w:rsidRPr="00EE4707" w14:paraId="6ACEA814" w14:textId="691A1E21"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18485E69"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DLC Central AC</w:t>
            </w:r>
          </w:p>
        </w:tc>
        <w:tc>
          <w:tcPr>
            <w:tcW w:w="663" w:type="pct"/>
            <w:hideMark/>
          </w:tcPr>
          <w:p w14:paraId="2B5AA2BC"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10%</w:t>
            </w:r>
          </w:p>
        </w:tc>
        <w:tc>
          <w:tcPr>
            <w:tcW w:w="472" w:type="pct"/>
            <w:hideMark/>
          </w:tcPr>
          <w:p w14:paraId="4F21CFCD"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10%</w:t>
            </w:r>
          </w:p>
        </w:tc>
        <w:tc>
          <w:tcPr>
            <w:tcW w:w="483" w:type="pct"/>
            <w:hideMark/>
          </w:tcPr>
          <w:p w14:paraId="5F2DCC94"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7B0E3330"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2A02C529" w14:textId="612B3C9F"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NWPC</w:t>
            </w:r>
            <w:r w:rsidR="00E948E3" w:rsidRPr="006450DE">
              <w:rPr>
                <w:rFonts w:asciiTheme="minorHAnsi" w:hAnsiTheme="minorHAnsi"/>
                <w:sz w:val="18"/>
                <w:szCs w:val="18"/>
              </w:rPr>
              <w:t>C</w:t>
            </w:r>
            <w:r w:rsidRPr="006450DE">
              <w:rPr>
                <w:rFonts w:asciiTheme="minorHAnsi" w:hAnsiTheme="minorHAnsi"/>
                <w:sz w:val="18"/>
                <w:szCs w:val="18"/>
              </w:rPr>
              <w:t xml:space="preserve"> DLC Switch cooling assumption </w:t>
            </w:r>
          </w:p>
        </w:tc>
      </w:tr>
      <w:tr w:rsidR="005952A6" w:rsidRPr="00EE4707" w14:paraId="03BFCB50" w14:textId="47528252"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1512F9FC"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DLC Smart Thermostats - Heating</w:t>
            </w:r>
          </w:p>
        </w:tc>
        <w:tc>
          <w:tcPr>
            <w:tcW w:w="663" w:type="pct"/>
            <w:hideMark/>
          </w:tcPr>
          <w:p w14:paraId="140CEF9F"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w:t>
            </w:r>
          </w:p>
        </w:tc>
        <w:tc>
          <w:tcPr>
            <w:tcW w:w="472" w:type="pct"/>
            <w:hideMark/>
          </w:tcPr>
          <w:p w14:paraId="4F516DA5"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3%</w:t>
            </w:r>
          </w:p>
        </w:tc>
        <w:tc>
          <w:tcPr>
            <w:tcW w:w="483" w:type="pct"/>
            <w:hideMark/>
          </w:tcPr>
          <w:p w14:paraId="01E82657"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42139173"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435E681E" w14:textId="4A530151"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Piggybacks off cooling- Adjusted to reflect realistic participation for space heating </w:t>
            </w:r>
          </w:p>
        </w:tc>
      </w:tr>
      <w:tr w:rsidR="00355DC6" w:rsidRPr="00EE4707" w14:paraId="73CCB7DE" w14:textId="17CD290F"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6FE78112"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CTA-2045 Grid Interactive Water Heater (ER/HP)</w:t>
            </w:r>
          </w:p>
        </w:tc>
        <w:tc>
          <w:tcPr>
            <w:tcW w:w="663" w:type="pct"/>
            <w:hideMark/>
          </w:tcPr>
          <w:p w14:paraId="1F4F748B"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50%</w:t>
            </w:r>
          </w:p>
        </w:tc>
        <w:tc>
          <w:tcPr>
            <w:tcW w:w="472" w:type="pct"/>
            <w:hideMark/>
          </w:tcPr>
          <w:p w14:paraId="4636CCA4"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50%</w:t>
            </w:r>
          </w:p>
        </w:tc>
        <w:tc>
          <w:tcPr>
            <w:tcW w:w="483" w:type="pct"/>
            <w:hideMark/>
          </w:tcPr>
          <w:p w14:paraId="3F5588BE"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4F6BC0B5"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34ACD5FA" w14:textId="52C19A45"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NWPC</w:t>
            </w:r>
            <w:r w:rsidR="00E948E3" w:rsidRPr="006450DE">
              <w:rPr>
                <w:rFonts w:asciiTheme="minorHAnsi" w:hAnsiTheme="minorHAnsi"/>
                <w:sz w:val="18"/>
                <w:szCs w:val="18"/>
              </w:rPr>
              <w:t>C</w:t>
            </w:r>
            <w:r w:rsidRPr="006450DE">
              <w:rPr>
                <w:rFonts w:asciiTheme="minorHAnsi" w:hAnsiTheme="minorHAnsi"/>
                <w:sz w:val="18"/>
                <w:szCs w:val="18"/>
              </w:rPr>
              <w:t xml:space="preserve"> Grid Interactive Water Heater Assumptions- Ten Year Ramp Rate </w:t>
            </w:r>
          </w:p>
        </w:tc>
      </w:tr>
      <w:tr w:rsidR="005952A6" w:rsidRPr="00EE4707" w14:paraId="31E50FB0" w14:textId="6599B421"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0FB6B0DE"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DLC Water Heating</w:t>
            </w:r>
          </w:p>
        </w:tc>
        <w:tc>
          <w:tcPr>
            <w:tcW w:w="663" w:type="pct"/>
            <w:hideMark/>
          </w:tcPr>
          <w:p w14:paraId="6EABF9CE"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472" w:type="pct"/>
            <w:hideMark/>
          </w:tcPr>
          <w:p w14:paraId="569B46C6"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w:t>
            </w:r>
          </w:p>
        </w:tc>
        <w:tc>
          <w:tcPr>
            <w:tcW w:w="483" w:type="pct"/>
            <w:hideMark/>
          </w:tcPr>
          <w:p w14:paraId="1DF70C59" w14:textId="3FABF466"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c>
          <w:tcPr>
            <w:tcW w:w="490" w:type="pct"/>
            <w:hideMark/>
          </w:tcPr>
          <w:p w14:paraId="29A173D2" w14:textId="42CBBC54"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c>
          <w:tcPr>
            <w:tcW w:w="1618" w:type="pct"/>
          </w:tcPr>
          <w:p w14:paraId="54A04DCC" w14:textId="097C8192"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Industry experience</w:t>
            </w:r>
          </w:p>
        </w:tc>
      </w:tr>
      <w:tr w:rsidR="00355DC6" w:rsidRPr="00EE4707" w14:paraId="758E98E0" w14:textId="24D575F6"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3B97A8F5"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DLC Smart Thermostats - Cooling</w:t>
            </w:r>
          </w:p>
        </w:tc>
        <w:tc>
          <w:tcPr>
            <w:tcW w:w="663" w:type="pct"/>
            <w:hideMark/>
          </w:tcPr>
          <w:p w14:paraId="4439868F"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20%</w:t>
            </w:r>
          </w:p>
        </w:tc>
        <w:tc>
          <w:tcPr>
            <w:tcW w:w="472" w:type="pct"/>
            <w:hideMark/>
          </w:tcPr>
          <w:p w14:paraId="6DEC07B2"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10%</w:t>
            </w:r>
          </w:p>
        </w:tc>
        <w:tc>
          <w:tcPr>
            <w:tcW w:w="483" w:type="pct"/>
            <w:hideMark/>
          </w:tcPr>
          <w:p w14:paraId="12F01926"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2001866C"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2C1B1298" w14:textId="6848223B"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NWPC</w:t>
            </w:r>
            <w:r w:rsidR="00E948E3" w:rsidRPr="006450DE">
              <w:rPr>
                <w:rFonts w:asciiTheme="minorHAnsi" w:hAnsiTheme="minorHAnsi"/>
                <w:sz w:val="18"/>
                <w:szCs w:val="18"/>
              </w:rPr>
              <w:t>C</w:t>
            </w:r>
            <w:r w:rsidRPr="006450DE">
              <w:rPr>
                <w:rFonts w:asciiTheme="minorHAnsi" w:hAnsiTheme="minorHAnsi"/>
                <w:sz w:val="18"/>
                <w:szCs w:val="18"/>
              </w:rPr>
              <w:t xml:space="preserve"> Smart Thermostat cooling assumption </w:t>
            </w:r>
          </w:p>
        </w:tc>
      </w:tr>
      <w:tr w:rsidR="005952A6" w:rsidRPr="00EE4707" w14:paraId="24A4026E" w14:textId="25A51BD9"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7A8BB9B0"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DLC Smart Appliances</w:t>
            </w:r>
          </w:p>
        </w:tc>
        <w:tc>
          <w:tcPr>
            <w:tcW w:w="663" w:type="pct"/>
            <w:hideMark/>
          </w:tcPr>
          <w:p w14:paraId="5D5F9FEE"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w:t>
            </w:r>
          </w:p>
        </w:tc>
        <w:tc>
          <w:tcPr>
            <w:tcW w:w="472" w:type="pct"/>
            <w:hideMark/>
          </w:tcPr>
          <w:p w14:paraId="38874534"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w:t>
            </w:r>
          </w:p>
        </w:tc>
        <w:tc>
          <w:tcPr>
            <w:tcW w:w="483" w:type="pct"/>
            <w:hideMark/>
          </w:tcPr>
          <w:p w14:paraId="3876AA44"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3B6ECC65"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4A2A2A60" w14:textId="35562A3F"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2017 ISACA IT Risk Reward Barometer – US Consumer Results, October 2017 </w:t>
            </w:r>
          </w:p>
        </w:tc>
      </w:tr>
      <w:tr w:rsidR="00355DC6" w:rsidRPr="00EE4707" w14:paraId="5D867FF6" w14:textId="4EA876D9"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42FDF13B"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Third Party Contracts</w:t>
            </w:r>
          </w:p>
        </w:tc>
        <w:tc>
          <w:tcPr>
            <w:tcW w:w="663" w:type="pct"/>
            <w:hideMark/>
          </w:tcPr>
          <w:p w14:paraId="231C31E9"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72" w:type="pct"/>
            <w:hideMark/>
          </w:tcPr>
          <w:p w14:paraId="0BB38A72" w14:textId="1D04C31A"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483" w:type="pct"/>
            <w:hideMark/>
          </w:tcPr>
          <w:p w14:paraId="01D2DFE1"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490" w:type="pct"/>
            <w:hideMark/>
          </w:tcPr>
          <w:p w14:paraId="11E37184"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1618" w:type="pct"/>
          </w:tcPr>
          <w:p w14:paraId="2FE431BC" w14:textId="459F8C93"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Industry Experience </w:t>
            </w:r>
          </w:p>
        </w:tc>
      </w:tr>
      <w:tr w:rsidR="005952A6" w:rsidRPr="00EE4707" w14:paraId="246F25D0" w14:textId="6054B709"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0BE7FB41"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EV V1G Telematics</w:t>
            </w:r>
          </w:p>
        </w:tc>
        <w:tc>
          <w:tcPr>
            <w:tcW w:w="663" w:type="pct"/>
            <w:hideMark/>
          </w:tcPr>
          <w:p w14:paraId="5D9E9BE4"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20%</w:t>
            </w:r>
          </w:p>
        </w:tc>
        <w:tc>
          <w:tcPr>
            <w:tcW w:w="472" w:type="pct"/>
            <w:hideMark/>
          </w:tcPr>
          <w:p w14:paraId="28CF6B45"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83" w:type="pct"/>
            <w:hideMark/>
          </w:tcPr>
          <w:p w14:paraId="3853100E"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659BC8B1"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2CFEC7E3" w14:textId="14E0CD81"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1/3 of TOU opt-in participation rate (17% lowered to 15% based on Avista decision) </w:t>
            </w:r>
          </w:p>
        </w:tc>
      </w:tr>
      <w:tr w:rsidR="00355DC6" w:rsidRPr="00EE4707" w14:paraId="401550ED" w14:textId="45470D5B"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570A6B89"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Time-of-Use Opt-in</w:t>
            </w:r>
          </w:p>
        </w:tc>
        <w:tc>
          <w:tcPr>
            <w:tcW w:w="663" w:type="pct"/>
            <w:hideMark/>
          </w:tcPr>
          <w:p w14:paraId="45CC51D8"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13%</w:t>
            </w:r>
          </w:p>
        </w:tc>
        <w:tc>
          <w:tcPr>
            <w:tcW w:w="472" w:type="pct"/>
            <w:hideMark/>
          </w:tcPr>
          <w:p w14:paraId="4A6C9499"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7%</w:t>
            </w:r>
          </w:p>
        </w:tc>
        <w:tc>
          <w:tcPr>
            <w:tcW w:w="483" w:type="pct"/>
            <w:hideMark/>
          </w:tcPr>
          <w:p w14:paraId="428D9636" w14:textId="5ABD751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490" w:type="pct"/>
            <w:hideMark/>
          </w:tcPr>
          <w:p w14:paraId="4CC86D48" w14:textId="3141D97C"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1618" w:type="pct"/>
          </w:tcPr>
          <w:p w14:paraId="51D8373F" w14:textId="0F388923"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Industry experience; Winter impacts ½ of summer impacts.</w:t>
            </w:r>
          </w:p>
        </w:tc>
      </w:tr>
      <w:tr w:rsidR="005952A6" w:rsidRPr="00EE4707" w14:paraId="777FD63B" w14:textId="6ECC47E5"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0CCE71E9"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Time-of-Use Opt-out</w:t>
            </w:r>
          </w:p>
        </w:tc>
        <w:tc>
          <w:tcPr>
            <w:tcW w:w="663" w:type="pct"/>
            <w:hideMark/>
          </w:tcPr>
          <w:p w14:paraId="66F4BB01"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20%</w:t>
            </w:r>
          </w:p>
        </w:tc>
        <w:tc>
          <w:tcPr>
            <w:tcW w:w="472" w:type="pct"/>
            <w:hideMark/>
          </w:tcPr>
          <w:p w14:paraId="55B6FA84"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20%</w:t>
            </w:r>
          </w:p>
        </w:tc>
        <w:tc>
          <w:tcPr>
            <w:tcW w:w="483" w:type="pct"/>
            <w:hideMark/>
          </w:tcPr>
          <w:p w14:paraId="67B57C08" w14:textId="464133A0"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c>
          <w:tcPr>
            <w:tcW w:w="490" w:type="pct"/>
            <w:hideMark/>
          </w:tcPr>
          <w:p w14:paraId="38643631" w14:textId="4E666933"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c>
          <w:tcPr>
            <w:tcW w:w="1618" w:type="pct"/>
          </w:tcPr>
          <w:p w14:paraId="2DEF1E7E" w14:textId="77777777"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r>
      <w:tr w:rsidR="00355DC6" w:rsidRPr="00EE4707" w14:paraId="1FED5B8A" w14:textId="49719CD1"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7E4A8CDE"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Electric Vehicle TOU Opt-in</w:t>
            </w:r>
          </w:p>
        </w:tc>
        <w:tc>
          <w:tcPr>
            <w:tcW w:w="663" w:type="pct"/>
            <w:hideMark/>
          </w:tcPr>
          <w:p w14:paraId="0D0B0F2C" w14:textId="49DEAED5"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472" w:type="pct"/>
            <w:hideMark/>
          </w:tcPr>
          <w:p w14:paraId="7C51BB76"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20%</w:t>
            </w:r>
          </w:p>
        </w:tc>
        <w:tc>
          <w:tcPr>
            <w:tcW w:w="483" w:type="pct"/>
            <w:hideMark/>
          </w:tcPr>
          <w:p w14:paraId="66918BB6"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10%</w:t>
            </w:r>
          </w:p>
        </w:tc>
        <w:tc>
          <w:tcPr>
            <w:tcW w:w="490" w:type="pct"/>
            <w:hideMark/>
          </w:tcPr>
          <w:p w14:paraId="78A9AA0B" w14:textId="7EE5EB08"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1618" w:type="pct"/>
          </w:tcPr>
          <w:p w14:paraId="2699DDFC" w14:textId="06F1AAD5"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Based on DTE program achieving 2500 EV enrollments in 3 years, with similar base EV population</w:t>
            </w:r>
          </w:p>
        </w:tc>
      </w:tr>
      <w:tr w:rsidR="005952A6" w:rsidRPr="00EE4707" w14:paraId="4BDCF157" w14:textId="77E5E123"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6FDD7434"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Variable Peak Pricing</w:t>
            </w:r>
          </w:p>
        </w:tc>
        <w:tc>
          <w:tcPr>
            <w:tcW w:w="663" w:type="pct"/>
            <w:hideMark/>
          </w:tcPr>
          <w:p w14:paraId="1DBFDC23" w14:textId="557680F3"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c>
          <w:tcPr>
            <w:tcW w:w="472" w:type="pct"/>
            <w:hideMark/>
          </w:tcPr>
          <w:p w14:paraId="646CFE42" w14:textId="3E3DCB9C"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c>
          <w:tcPr>
            <w:tcW w:w="483" w:type="pct"/>
            <w:hideMark/>
          </w:tcPr>
          <w:p w14:paraId="4463181F"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25%</w:t>
            </w:r>
          </w:p>
        </w:tc>
        <w:tc>
          <w:tcPr>
            <w:tcW w:w="490" w:type="pct"/>
            <w:hideMark/>
          </w:tcPr>
          <w:p w14:paraId="28A1378D"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25%</w:t>
            </w:r>
          </w:p>
        </w:tc>
        <w:tc>
          <w:tcPr>
            <w:tcW w:w="1618" w:type="pct"/>
          </w:tcPr>
          <w:p w14:paraId="48FAFEB0" w14:textId="7237C17B"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OG&amp;E 20</w:t>
            </w:r>
            <w:r w:rsidR="00F82D5B" w:rsidRPr="006450DE">
              <w:rPr>
                <w:rFonts w:asciiTheme="minorHAnsi" w:hAnsiTheme="minorHAnsi"/>
                <w:sz w:val="18"/>
                <w:szCs w:val="18"/>
              </w:rPr>
              <w:t>19</w:t>
            </w:r>
            <w:r w:rsidRPr="006450DE">
              <w:rPr>
                <w:rFonts w:asciiTheme="minorHAnsi" w:hAnsiTheme="minorHAnsi"/>
                <w:sz w:val="18"/>
                <w:szCs w:val="18"/>
              </w:rPr>
              <w:t xml:space="preserve"> Smart Hours Study </w:t>
            </w:r>
          </w:p>
        </w:tc>
      </w:tr>
      <w:tr w:rsidR="00355DC6" w:rsidRPr="00EE4707" w14:paraId="6F21667B" w14:textId="60099342"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76237DA1"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Peak Time Rebate</w:t>
            </w:r>
          </w:p>
        </w:tc>
        <w:tc>
          <w:tcPr>
            <w:tcW w:w="663" w:type="pct"/>
            <w:hideMark/>
          </w:tcPr>
          <w:p w14:paraId="4A978053"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472" w:type="pct"/>
            <w:hideMark/>
          </w:tcPr>
          <w:p w14:paraId="3122CD4A"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483" w:type="pct"/>
            <w:hideMark/>
          </w:tcPr>
          <w:p w14:paraId="1F2A6142" w14:textId="63B8F7A3"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490" w:type="pct"/>
            <w:hideMark/>
          </w:tcPr>
          <w:p w14:paraId="37E1DE7E" w14:textId="4A010B7F"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1618" w:type="pct"/>
          </w:tcPr>
          <w:p w14:paraId="6A632556" w14:textId="4D094F63"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2021 PGE Res Pricing and Behavioral Pilot Flex PTR Evaluation  </w:t>
            </w:r>
          </w:p>
        </w:tc>
      </w:tr>
      <w:tr w:rsidR="005952A6" w:rsidRPr="00EE4707" w14:paraId="42281230" w14:textId="789C56B0"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6F656D4C"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Thermal Energy Storage</w:t>
            </w:r>
          </w:p>
        </w:tc>
        <w:tc>
          <w:tcPr>
            <w:tcW w:w="663" w:type="pct"/>
            <w:hideMark/>
          </w:tcPr>
          <w:p w14:paraId="211EFD1D"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72" w:type="pct"/>
            <w:hideMark/>
          </w:tcPr>
          <w:p w14:paraId="3CE108CB"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0.5%</w:t>
            </w:r>
          </w:p>
        </w:tc>
        <w:tc>
          <w:tcPr>
            <w:tcW w:w="483" w:type="pct"/>
            <w:hideMark/>
          </w:tcPr>
          <w:p w14:paraId="201B239F"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490" w:type="pct"/>
            <w:hideMark/>
          </w:tcPr>
          <w:p w14:paraId="4C32565D"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1.5%</w:t>
            </w:r>
          </w:p>
        </w:tc>
        <w:tc>
          <w:tcPr>
            <w:tcW w:w="1618" w:type="pct"/>
          </w:tcPr>
          <w:p w14:paraId="20B6A735" w14:textId="79376619"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Industry Experience </w:t>
            </w:r>
          </w:p>
        </w:tc>
      </w:tr>
      <w:tr w:rsidR="00355DC6" w:rsidRPr="00EE4707" w14:paraId="687BA826" w14:textId="1A396D1B" w:rsidTr="00FF4586">
        <w:trPr>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164EA491"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Battery Energy Storage</w:t>
            </w:r>
          </w:p>
        </w:tc>
        <w:tc>
          <w:tcPr>
            <w:tcW w:w="663" w:type="pct"/>
            <w:hideMark/>
          </w:tcPr>
          <w:p w14:paraId="620BFC15"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50%</w:t>
            </w:r>
          </w:p>
        </w:tc>
        <w:tc>
          <w:tcPr>
            <w:tcW w:w="472" w:type="pct"/>
            <w:hideMark/>
          </w:tcPr>
          <w:p w14:paraId="00D28E52" w14:textId="777777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50%</w:t>
            </w:r>
          </w:p>
        </w:tc>
        <w:tc>
          <w:tcPr>
            <w:tcW w:w="483" w:type="pct"/>
            <w:hideMark/>
          </w:tcPr>
          <w:p w14:paraId="28AA875A" w14:textId="2522D47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490" w:type="pct"/>
            <w:hideMark/>
          </w:tcPr>
          <w:p w14:paraId="31175DF1" w14:textId="443D9E17" w:rsidR="00355DC6" w:rsidRPr="006450DE" w:rsidRDefault="00355DC6"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p>
        </w:tc>
        <w:tc>
          <w:tcPr>
            <w:tcW w:w="1618" w:type="pct"/>
          </w:tcPr>
          <w:p w14:paraId="281B57E9" w14:textId="5D54D334" w:rsidR="00355DC6" w:rsidRPr="006450DE" w:rsidRDefault="00355DC6"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Industry Experience </w:t>
            </w:r>
          </w:p>
        </w:tc>
      </w:tr>
      <w:tr w:rsidR="005952A6" w:rsidRPr="00EE4707" w14:paraId="115E4C23" w14:textId="3C085AD7" w:rsidTr="00FF4586">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275" w:type="pct"/>
            <w:hideMark/>
          </w:tcPr>
          <w:p w14:paraId="6AEEA7D6" w14:textId="77777777" w:rsidR="00355DC6" w:rsidRPr="006450DE" w:rsidRDefault="00355DC6" w:rsidP="006450DE">
            <w:pPr>
              <w:keepNext/>
              <w:jc w:val="left"/>
              <w:rPr>
                <w:rFonts w:asciiTheme="minorHAnsi" w:hAnsiTheme="minorHAnsi"/>
                <w:sz w:val="18"/>
                <w:szCs w:val="18"/>
                <w:lang w:eastAsia="ja-JP"/>
              </w:rPr>
            </w:pPr>
            <w:r w:rsidRPr="006450DE">
              <w:rPr>
                <w:rFonts w:asciiTheme="minorHAnsi" w:hAnsiTheme="minorHAnsi"/>
                <w:sz w:val="18"/>
                <w:szCs w:val="18"/>
                <w:lang w:eastAsia="ja-JP"/>
              </w:rPr>
              <w:t>Behavioral</w:t>
            </w:r>
          </w:p>
        </w:tc>
        <w:tc>
          <w:tcPr>
            <w:tcW w:w="663" w:type="pct"/>
            <w:hideMark/>
          </w:tcPr>
          <w:p w14:paraId="60A99FCC"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20%</w:t>
            </w:r>
          </w:p>
        </w:tc>
        <w:tc>
          <w:tcPr>
            <w:tcW w:w="472" w:type="pct"/>
            <w:hideMark/>
          </w:tcPr>
          <w:p w14:paraId="6664340B"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83" w:type="pct"/>
            <w:hideMark/>
          </w:tcPr>
          <w:p w14:paraId="2D2D6928"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490" w:type="pct"/>
            <w:hideMark/>
          </w:tcPr>
          <w:p w14:paraId="4227F13B" w14:textId="77777777" w:rsidR="00355DC6" w:rsidRPr="006450DE" w:rsidRDefault="00355DC6"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lang w:eastAsia="ja-JP"/>
              </w:rPr>
              <w:t>-</w:t>
            </w:r>
          </w:p>
        </w:tc>
        <w:tc>
          <w:tcPr>
            <w:tcW w:w="1618" w:type="pct"/>
          </w:tcPr>
          <w:p w14:paraId="2791B1BD" w14:textId="1A375121" w:rsidR="00355DC6" w:rsidRPr="006450DE" w:rsidRDefault="00355DC6"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6450DE">
              <w:rPr>
                <w:rFonts w:asciiTheme="minorHAnsi" w:hAnsiTheme="minorHAnsi"/>
                <w:sz w:val="18"/>
                <w:szCs w:val="18"/>
              </w:rPr>
              <w:t xml:space="preserve">PG&amp;E rollout with six waves (2017) </w:t>
            </w:r>
          </w:p>
        </w:tc>
      </w:tr>
    </w:tbl>
    <w:p w14:paraId="7D2BC6B9" w14:textId="77777777" w:rsidR="00EE4707" w:rsidRDefault="00EE4707" w:rsidP="000F5F8E">
      <w:pPr>
        <w:rPr>
          <w:lang w:eastAsia="ja-JP"/>
        </w:rPr>
      </w:pPr>
    </w:p>
    <w:p w14:paraId="14E5125B" w14:textId="54A0CB24" w:rsidR="0055004C" w:rsidRDefault="0055004C" w:rsidP="001E255C">
      <w:pPr>
        <w:pStyle w:val="Heading4"/>
      </w:pPr>
      <w:r>
        <w:t>Load Reduction Assumptions</w:t>
      </w:r>
    </w:p>
    <w:p w14:paraId="772A7825" w14:textId="24C309DD" w:rsidR="00312A5A" w:rsidRDefault="00D16242" w:rsidP="00312A5A">
      <w:pPr>
        <w:pStyle w:val="BodyText"/>
      </w:pPr>
      <w:r>
        <w:fldChar w:fldCharType="begin"/>
      </w:r>
      <w:r>
        <w:instrText xml:space="preserve"> REF _Ref175722002 \h </w:instrText>
      </w:r>
      <w:r>
        <w:fldChar w:fldCharType="separate"/>
      </w:r>
      <w:r>
        <w:t xml:space="preserve">Table </w:t>
      </w:r>
      <w:r>
        <w:rPr>
          <w:noProof/>
        </w:rPr>
        <w:t>6</w:t>
      </w:r>
      <w:r>
        <w:noBreakHyphen/>
      </w:r>
      <w:r>
        <w:rPr>
          <w:noProof/>
        </w:rPr>
        <w:t>7</w:t>
      </w:r>
      <w:r>
        <w:fldChar w:fldCharType="end"/>
      </w:r>
      <w:r>
        <w:t xml:space="preserve"> </w:t>
      </w:r>
      <w:r w:rsidR="00312A5A">
        <w:t>presents the per participant load reductions for each DSM option and explains the basis for these assumptions. The load reductions are shown on a kW basis for technology-based options and a percent load reduction otherwise.</w:t>
      </w:r>
    </w:p>
    <w:p w14:paraId="55EC91D2" w14:textId="7720F835" w:rsidR="00D16242" w:rsidRDefault="00D16242" w:rsidP="00D16242">
      <w:pPr>
        <w:pStyle w:val="Caption"/>
      </w:pPr>
      <w:bookmarkStart w:id="200" w:name="_Ref175722002"/>
      <w:bookmarkStart w:id="201" w:name="_Toc175912406"/>
      <w:r>
        <w:t xml:space="preserve">Table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Table \* ARABIC \s 1 </w:instrText>
      </w:r>
      <w:r>
        <w:fldChar w:fldCharType="separate"/>
      </w:r>
      <w:r>
        <w:rPr>
          <w:noProof/>
        </w:rPr>
        <w:t>7</w:t>
      </w:r>
      <w:r>
        <w:fldChar w:fldCharType="end"/>
      </w:r>
      <w:bookmarkEnd w:id="200"/>
      <w:r>
        <w:t xml:space="preserve"> DSM Per Participant Impact Assumptions</w:t>
      </w:r>
      <w:bookmarkEnd w:id="201"/>
    </w:p>
    <w:tbl>
      <w:tblPr>
        <w:tblStyle w:val="AEG-DarkBanded"/>
        <w:tblW w:w="4999" w:type="pct"/>
        <w:tblLook w:val="04A0" w:firstRow="1" w:lastRow="0" w:firstColumn="1" w:lastColumn="0" w:noHBand="0" w:noVBand="1"/>
      </w:tblPr>
      <w:tblGrid>
        <w:gridCol w:w="2109"/>
        <w:gridCol w:w="1192"/>
        <w:gridCol w:w="919"/>
        <w:gridCol w:w="919"/>
        <w:gridCol w:w="919"/>
        <w:gridCol w:w="3300"/>
      </w:tblGrid>
      <w:tr w:rsidR="005952A6" w:rsidRPr="00EE4707" w14:paraId="71780F94" w14:textId="77777777" w:rsidTr="00FF458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4417D539" w14:textId="46424015" w:rsidR="00775490" w:rsidRPr="00F35935" w:rsidRDefault="00775490" w:rsidP="00FF4586">
            <w:pPr>
              <w:keepNext/>
              <w:spacing w:line="216" w:lineRule="auto"/>
              <w:rPr>
                <w:rFonts w:asciiTheme="majorHAnsi" w:hAnsiTheme="majorHAnsi"/>
                <w:b w:val="0"/>
                <w:sz w:val="18"/>
                <w:szCs w:val="18"/>
                <w:lang w:eastAsia="ja-JP"/>
              </w:rPr>
            </w:pPr>
          </w:p>
        </w:tc>
        <w:tc>
          <w:tcPr>
            <w:tcW w:w="637" w:type="pct"/>
            <w:hideMark/>
          </w:tcPr>
          <w:p w14:paraId="615BD3C8" w14:textId="77777777" w:rsidR="00775490" w:rsidRPr="00F35935" w:rsidRDefault="00775490" w:rsidP="00FF4586">
            <w:pPr>
              <w:keepNext/>
              <w:spacing w:line="21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F35935">
              <w:rPr>
                <w:rFonts w:asciiTheme="majorHAnsi" w:hAnsiTheme="majorHAnsi"/>
                <w:b w:val="0"/>
                <w:sz w:val="18"/>
                <w:szCs w:val="18"/>
                <w:lang w:eastAsia="ja-JP"/>
              </w:rPr>
              <w:t>Residential Service</w:t>
            </w:r>
          </w:p>
        </w:tc>
        <w:tc>
          <w:tcPr>
            <w:tcW w:w="491" w:type="pct"/>
            <w:hideMark/>
          </w:tcPr>
          <w:p w14:paraId="1AD884F6" w14:textId="77777777" w:rsidR="00775490" w:rsidRPr="00F35935" w:rsidRDefault="00775490" w:rsidP="00FF4586">
            <w:pPr>
              <w:keepNext/>
              <w:spacing w:line="21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F35935">
              <w:rPr>
                <w:rFonts w:asciiTheme="majorHAnsi" w:hAnsiTheme="majorHAnsi"/>
                <w:b w:val="0"/>
                <w:sz w:val="18"/>
                <w:szCs w:val="18"/>
                <w:lang w:eastAsia="ja-JP"/>
              </w:rPr>
              <w:t>General Service</w:t>
            </w:r>
          </w:p>
        </w:tc>
        <w:tc>
          <w:tcPr>
            <w:tcW w:w="491" w:type="pct"/>
            <w:hideMark/>
          </w:tcPr>
          <w:p w14:paraId="7F719B05" w14:textId="77777777" w:rsidR="00775490" w:rsidRPr="00F35935" w:rsidRDefault="00775490" w:rsidP="00FF4586">
            <w:pPr>
              <w:keepNext/>
              <w:spacing w:line="21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F35935">
              <w:rPr>
                <w:rFonts w:asciiTheme="majorHAnsi" w:hAnsiTheme="majorHAnsi"/>
                <w:b w:val="0"/>
                <w:sz w:val="18"/>
                <w:szCs w:val="18"/>
                <w:lang w:eastAsia="ja-JP"/>
              </w:rPr>
              <w:t>Large General Service</w:t>
            </w:r>
          </w:p>
        </w:tc>
        <w:tc>
          <w:tcPr>
            <w:tcW w:w="491" w:type="pct"/>
            <w:hideMark/>
          </w:tcPr>
          <w:p w14:paraId="4454FDDC" w14:textId="77777777" w:rsidR="00775490" w:rsidRPr="00F35935" w:rsidRDefault="00775490" w:rsidP="00FF4586">
            <w:pPr>
              <w:keepNext/>
              <w:spacing w:line="21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F35935">
              <w:rPr>
                <w:rFonts w:asciiTheme="majorHAnsi" w:hAnsiTheme="majorHAnsi"/>
                <w:b w:val="0"/>
                <w:sz w:val="18"/>
                <w:szCs w:val="18"/>
                <w:lang w:eastAsia="ja-JP"/>
              </w:rPr>
              <w:t>Extra Large General Service</w:t>
            </w:r>
          </w:p>
        </w:tc>
        <w:tc>
          <w:tcPr>
            <w:tcW w:w="1764" w:type="pct"/>
          </w:tcPr>
          <w:p w14:paraId="0B9BC242" w14:textId="77777777" w:rsidR="00775490" w:rsidRPr="00F35935" w:rsidRDefault="00775490" w:rsidP="00FF4586">
            <w:pPr>
              <w:keepNext/>
              <w:spacing w:line="21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eastAsia="ja-JP"/>
              </w:rPr>
            </w:pPr>
            <w:r w:rsidRPr="00F35935">
              <w:rPr>
                <w:rFonts w:asciiTheme="majorHAnsi" w:hAnsiTheme="majorHAnsi"/>
                <w:b w:val="0"/>
                <w:sz w:val="18"/>
                <w:szCs w:val="18"/>
                <w:lang w:eastAsia="ja-JP"/>
              </w:rPr>
              <w:t>Basis for Assumption</w:t>
            </w:r>
          </w:p>
        </w:tc>
      </w:tr>
      <w:tr w:rsidR="00E948E3" w:rsidRPr="00EE4707" w14:paraId="780AC7BF"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25FA840C" w14:textId="364DC45E" w:rsidR="007F4E02" w:rsidRPr="00F35935" w:rsidRDefault="007F4E02" w:rsidP="00016836">
            <w:pPr>
              <w:keepNext/>
              <w:jc w:val="left"/>
              <w:rPr>
                <w:rFonts w:asciiTheme="minorHAnsi" w:hAnsiTheme="minorHAnsi"/>
                <w:lang w:eastAsia="ja-JP"/>
              </w:rPr>
            </w:pPr>
            <w:r w:rsidRPr="00F35935">
              <w:rPr>
                <w:rFonts w:asciiTheme="minorHAnsi" w:hAnsiTheme="minorHAnsi"/>
                <w:color w:val="000000"/>
                <w:sz w:val="18"/>
                <w:szCs w:val="18"/>
              </w:rPr>
              <w:t>DLC Central AC</w:t>
            </w:r>
          </w:p>
        </w:tc>
        <w:tc>
          <w:tcPr>
            <w:tcW w:w="637" w:type="pct"/>
            <w:hideMark/>
          </w:tcPr>
          <w:p w14:paraId="16A88DC3" w14:textId="39DCCDBE"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0.5 kW</w:t>
            </w:r>
          </w:p>
        </w:tc>
        <w:tc>
          <w:tcPr>
            <w:tcW w:w="491" w:type="pct"/>
            <w:hideMark/>
          </w:tcPr>
          <w:p w14:paraId="5B533DAA" w14:textId="7D77CCF5"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1.25 kW</w:t>
            </w:r>
          </w:p>
        </w:tc>
        <w:tc>
          <w:tcPr>
            <w:tcW w:w="491" w:type="pct"/>
            <w:hideMark/>
          </w:tcPr>
          <w:p w14:paraId="23719C12" w14:textId="05752FF4"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491" w:type="pct"/>
            <w:hideMark/>
          </w:tcPr>
          <w:p w14:paraId="587D14F0" w14:textId="2A6AA412"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1764" w:type="pct"/>
          </w:tcPr>
          <w:p w14:paraId="51991015" w14:textId="3256111E" w:rsidR="007F4E02" w:rsidRPr="00F35935"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NWP</w:t>
            </w:r>
            <w:r w:rsidR="00E948E3" w:rsidRPr="00F35935">
              <w:rPr>
                <w:rFonts w:asciiTheme="minorHAnsi" w:hAnsiTheme="minorHAnsi"/>
                <w:color w:val="000000"/>
                <w:sz w:val="18"/>
                <w:szCs w:val="18"/>
              </w:rPr>
              <w:t>C</w:t>
            </w:r>
            <w:r w:rsidRPr="00F35935">
              <w:rPr>
                <w:rFonts w:asciiTheme="minorHAnsi" w:hAnsiTheme="minorHAnsi"/>
                <w:color w:val="000000"/>
                <w:sz w:val="18"/>
                <w:szCs w:val="18"/>
              </w:rPr>
              <w:t>C DLC Switch cooling assumption was close to 1.0 kW reduced to adjust for Avista proposed cycling strategy,</w:t>
            </w:r>
          </w:p>
        </w:tc>
      </w:tr>
      <w:tr w:rsidR="00E948E3" w:rsidRPr="00EE4707" w14:paraId="003753F9"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509DED96" w14:textId="332ECC5A" w:rsidR="007F4E02" w:rsidRPr="00F35935" w:rsidRDefault="007F4E02" w:rsidP="00016836">
            <w:pPr>
              <w:keepNext/>
              <w:jc w:val="left"/>
              <w:rPr>
                <w:rFonts w:asciiTheme="minorHAnsi" w:hAnsiTheme="minorHAnsi"/>
                <w:lang w:eastAsia="ja-JP"/>
              </w:rPr>
            </w:pPr>
            <w:r w:rsidRPr="00F35935">
              <w:rPr>
                <w:rFonts w:asciiTheme="minorHAnsi" w:hAnsiTheme="minorHAnsi"/>
                <w:color w:val="000000"/>
                <w:sz w:val="18"/>
                <w:szCs w:val="18"/>
              </w:rPr>
              <w:t>DLC Smart Thermostats - Heating</w:t>
            </w:r>
          </w:p>
        </w:tc>
        <w:tc>
          <w:tcPr>
            <w:tcW w:w="637" w:type="pct"/>
            <w:hideMark/>
          </w:tcPr>
          <w:p w14:paraId="55B06F6E" w14:textId="4CE7C268" w:rsidR="007F4E02" w:rsidRPr="00F35935"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1.09 kW</w:t>
            </w:r>
          </w:p>
        </w:tc>
        <w:tc>
          <w:tcPr>
            <w:tcW w:w="491" w:type="pct"/>
            <w:hideMark/>
          </w:tcPr>
          <w:p w14:paraId="6CAFA3ED" w14:textId="67E201E5" w:rsidR="007F4E02" w:rsidRPr="00F35935"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1.35 kW</w:t>
            </w:r>
          </w:p>
        </w:tc>
        <w:tc>
          <w:tcPr>
            <w:tcW w:w="491" w:type="pct"/>
            <w:hideMark/>
          </w:tcPr>
          <w:p w14:paraId="2930BA8D" w14:textId="2AECB117" w:rsidR="007F4E02" w:rsidRPr="00F35935"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491" w:type="pct"/>
            <w:hideMark/>
          </w:tcPr>
          <w:p w14:paraId="4D718C03" w14:textId="5A594107" w:rsidR="007F4E02" w:rsidRPr="00F35935"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1764" w:type="pct"/>
          </w:tcPr>
          <w:p w14:paraId="1815324C" w14:textId="2ADB8404" w:rsidR="007F4E02" w:rsidRPr="00F35935"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NWP</w:t>
            </w:r>
            <w:r w:rsidR="00E948E3" w:rsidRPr="00F35935">
              <w:rPr>
                <w:rFonts w:asciiTheme="minorHAnsi" w:hAnsiTheme="minorHAnsi"/>
                <w:color w:val="000000"/>
                <w:sz w:val="18"/>
                <w:szCs w:val="18"/>
              </w:rPr>
              <w:t>C</w:t>
            </w:r>
            <w:r w:rsidRPr="00F35935">
              <w:rPr>
                <w:rFonts w:asciiTheme="minorHAnsi" w:hAnsiTheme="minorHAnsi"/>
                <w:color w:val="000000"/>
                <w:sz w:val="18"/>
                <w:szCs w:val="18"/>
              </w:rPr>
              <w:t>C Smart thermostat heating assumption (east)</w:t>
            </w:r>
          </w:p>
        </w:tc>
      </w:tr>
      <w:tr w:rsidR="00E948E3" w:rsidRPr="00EE4707" w14:paraId="46E477B8"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659D1A12" w14:textId="2E3B86B1" w:rsidR="007F4E02" w:rsidRPr="00F35935" w:rsidRDefault="007F4E02" w:rsidP="00016836">
            <w:pPr>
              <w:keepNext/>
              <w:jc w:val="left"/>
              <w:rPr>
                <w:rFonts w:asciiTheme="minorHAnsi" w:hAnsiTheme="minorHAnsi"/>
                <w:lang w:eastAsia="ja-JP"/>
              </w:rPr>
            </w:pPr>
            <w:r w:rsidRPr="00F35935">
              <w:rPr>
                <w:rFonts w:asciiTheme="minorHAnsi" w:hAnsiTheme="minorHAnsi"/>
                <w:color w:val="000000"/>
                <w:sz w:val="18"/>
                <w:szCs w:val="18"/>
              </w:rPr>
              <w:t>CTA-2045 Grid Interactive Water Heater (ER/HP)</w:t>
            </w:r>
          </w:p>
        </w:tc>
        <w:tc>
          <w:tcPr>
            <w:tcW w:w="637" w:type="pct"/>
            <w:hideMark/>
          </w:tcPr>
          <w:p w14:paraId="56FE2198" w14:textId="2F8DB0C3"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ER: 0.</w:t>
            </w:r>
            <w:r w:rsidR="002C558B" w:rsidRPr="00F35935">
              <w:rPr>
                <w:rFonts w:asciiTheme="minorHAnsi" w:hAnsiTheme="minorHAnsi"/>
                <w:color w:val="000000"/>
                <w:sz w:val="18"/>
                <w:szCs w:val="18"/>
              </w:rPr>
              <w:t>2</w:t>
            </w:r>
            <w:r w:rsidRPr="00F35935">
              <w:rPr>
                <w:rFonts w:asciiTheme="minorHAnsi" w:hAnsiTheme="minorHAnsi"/>
                <w:color w:val="000000"/>
                <w:sz w:val="18"/>
                <w:szCs w:val="18"/>
              </w:rPr>
              <w:t>-0.</w:t>
            </w:r>
            <w:r w:rsidR="002C558B" w:rsidRPr="00F35935">
              <w:rPr>
                <w:rFonts w:asciiTheme="minorHAnsi" w:hAnsiTheme="minorHAnsi"/>
                <w:color w:val="000000"/>
                <w:sz w:val="18"/>
                <w:szCs w:val="18"/>
              </w:rPr>
              <w:t xml:space="preserve">4 </w:t>
            </w:r>
            <w:r w:rsidRPr="00F35935">
              <w:rPr>
                <w:rFonts w:asciiTheme="minorHAnsi" w:hAnsiTheme="minorHAnsi"/>
                <w:color w:val="000000"/>
                <w:sz w:val="18"/>
                <w:szCs w:val="18"/>
              </w:rPr>
              <w:t>kW    HP: 0.9-0.14 kW</w:t>
            </w:r>
          </w:p>
        </w:tc>
        <w:tc>
          <w:tcPr>
            <w:tcW w:w="491" w:type="pct"/>
            <w:hideMark/>
          </w:tcPr>
          <w:p w14:paraId="6E5BB283" w14:textId="75E2B273"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ER: 0.4-0.93 kW HP: 0.23-0.35 kW</w:t>
            </w:r>
          </w:p>
        </w:tc>
        <w:tc>
          <w:tcPr>
            <w:tcW w:w="491" w:type="pct"/>
            <w:hideMark/>
          </w:tcPr>
          <w:p w14:paraId="4EDC33D1" w14:textId="284CCE7D"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491" w:type="pct"/>
            <w:hideMark/>
          </w:tcPr>
          <w:p w14:paraId="70BCA5E0" w14:textId="2F287266" w:rsidR="007F4E02" w:rsidRPr="00F35935"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1764" w:type="pct"/>
          </w:tcPr>
          <w:p w14:paraId="1034711F" w14:textId="1095F36E" w:rsidR="007F4E02" w:rsidRPr="00F35935"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BPA 2018 Peak Mitigation (ER/HP) - derated to align with Wh proportion of peak load from EE study</w:t>
            </w:r>
          </w:p>
        </w:tc>
      </w:tr>
      <w:tr w:rsidR="00E948E3" w:rsidRPr="00EE4707" w14:paraId="168A6059"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45D1B64B" w14:textId="513913D5"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DLC Water Heating</w:t>
            </w:r>
          </w:p>
        </w:tc>
        <w:tc>
          <w:tcPr>
            <w:tcW w:w="637" w:type="pct"/>
            <w:hideMark/>
          </w:tcPr>
          <w:p w14:paraId="194B3D08" w14:textId="36BE02E3"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0.2 kW</w:t>
            </w:r>
          </w:p>
        </w:tc>
        <w:tc>
          <w:tcPr>
            <w:tcW w:w="491" w:type="pct"/>
            <w:hideMark/>
          </w:tcPr>
          <w:p w14:paraId="767110F4" w14:textId="2D67006B"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0.5 kW</w:t>
            </w:r>
          </w:p>
        </w:tc>
        <w:tc>
          <w:tcPr>
            <w:tcW w:w="491" w:type="pct"/>
            <w:hideMark/>
          </w:tcPr>
          <w:p w14:paraId="6AA4518E" w14:textId="6387DE96"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491" w:type="pct"/>
            <w:hideMark/>
          </w:tcPr>
          <w:p w14:paraId="3CD9AA99" w14:textId="6E7318E6"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1764" w:type="pct"/>
          </w:tcPr>
          <w:p w14:paraId="05728CA6" w14:textId="1F8F9E28" w:rsidR="007F4E02" w:rsidRPr="00016836"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NWPCC Electric Resistance Switch Summer Impact, derated to align with Wh proportion of peak load from EE study</w:t>
            </w:r>
          </w:p>
        </w:tc>
      </w:tr>
      <w:tr w:rsidR="00E948E3" w:rsidRPr="00EE4707" w14:paraId="712D01A7"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559EF7F8" w14:textId="68EEF36C"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DLC Smart Thermostats - Cooling</w:t>
            </w:r>
          </w:p>
        </w:tc>
        <w:tc>
          <w:tcPr>
            <w:tcW w:w="637" w:type="pct"/>
            <w:hideMark/>
          </w:tcPr>
          <w:p w14:paraId="4E9BC36E" w14:textId="60EF784D"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0.50 kW</w:t>
            </w:r>
          </w:p>
        </w:tc>
        <w:tc>
          <w:tcPr>
            <w:tcW w:w="491" w:type="pct"/>
            <w:hideMark/>
          </w:tcPr>
          <w:p w14:paraId="48A520BC" w14:textId="0456A9B5"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1.25 kW</w:t>
            </w:r>
          </w:p>
        </w:tc>
        <w:tc>
          <w:tcPr>
            <w:tcW w:w="491" w:type="pct"/>
            <w:hideMark/>
          </w:tcPr>
          <w:p w14:paraId="01E5BAF8" w14:textId="5D724CCD"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491" w:type="pct"/>
            <w:hideMark/>
          </w:tcPr>
          <w:p w14:paraId="65427A6F" w14:textId="67279C96"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1764" w:type="pct"/>
          </w:tcPr>
          <w:p w14:paraId="425FD2F6" w14:textId="4264584F" w:rsidR="007F4E02" w:rsidRPr="00016836"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NWP</w:t>
            </w:r>
            <w:r w:rsidR="00E948E3" w:rsidRPr="00016836">
              <w:rPr>
                <w:rFonts w:asciiTheme="minorHAnsi" w:hAnsiTheme="minorHAnsi"/>
                <w:color w:val="000000"/>
                <w:sz w:val="18"/>
                <w:szCs w:val="18"/>
              </w:rPr>
              <w:t>C</w:t>
            </w:r>
            <w:r w:rsidRPr="00016836">
              <w:rPr>
                <w:rFonts w:asciiTheme="minorHAnsi" w:hAnsiTheme="minorHAnsi"/>
                <w:color w:val="000000"/>
                <w:sz w:val="18"/>
                <w:szCs w:val="18"/>
              </w:rPr>
              <w:t>C DLC Switch cooling assumption was close to 1.0 kW reduced to adjust for Avista proposed cycling strategy</w:t>
            </w:r>
          </w:p>
        </w:tc>
      </w:tr>
      <w:tr w:rsidR="00E948E3" w:rsidRPr="00EE4707" w14:paraId="667766B3"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66A55F26" w14:textId="119BEC0C"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DLC Smart Appliances</w:t>
            </w:r>
          </w:p>
        </w:tc>
        <w:tc>
          <w:tcPr>
            <w:tcW w:w="637" w:type="pct"/>
            <w:hideMark/>
          </w:tcPr>
          <w:p w14:paraId="71401BD4" w14:textId="1BD38854"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0.14 kW</w:t>
            </w:r>
          </w:p>
        </w:tc>
        <w:tc>
          <w:tcPr>
            <w:tcW w:w="491" w:type="pct"/>
            <w:hideMark/>
          </w:tcPr>
          <w:p w14:paraId="43788ADA" w14:textId="34370699"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0.14 kW</w:t>
            </w:r>
          </w:p>
        </w:tc>
        <w:tc>
          <w:tcPr>
            <w:tcW w:w="491" w:type="pct"/>
            <w:hideMark/>
          </w:tcPr>
          <w:p w14:paraId="0273AA56" w14:textId="5C3FE4D3"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491" w:type="pct"/>
            <w:hideMark/>
          </w:tcPr>
          <w:p w14:paraId="2A5A5041" w14:textId="4989CFF6"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1764" w:type="pct"/>
          </w:tcPr>
          <w:p w14:paraId="65C58B21" w14:textId="4BBBE940" w:rsidR="007F4E02" w:rsidRPr="00016836"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Ghatikar, Rish. Demand Response Automation in Appliance and Equipment. Lawrence Berkley National Laboratory, 2017.</w:t>
            </w:r>
          </w:p>
        </w:tc>
      </w:tr>
      <w:tr w:rsidR="00E948E3" w:rsidRPr="00EE4707" w14:paraId="70DE6E14"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0DABC895" w14:textId="4F8C4207"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Third Party Contracts</w:t>
            </w:r>
          </w:p>
        </w:tc>
        <w:tc>
          <w:tcPr>
            <w:tcW w:w="637" w:type="pct"/>
            <w:hideMark/>
          </w:tcPr>
          <w:p w14:paraId="123AB0A8" w14:textId="3F14B90D"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491" w:type="pct"/>
            <w:hideMark/>
          </w:tcPr>
          <w:p w14:paraId="7097DD2B" w14:textId="190C10C6"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491" w:type="pct"/>
            <w:hideMark/>
          </w:tcPr>
          <w:p w14:paraId="0D0CA70C" w14:textId="49AF0EBE"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21%</w:t>
            </w:r>
          </w:p>
        </w:tc>
        <w:tc>
          <w:tcPr>
            <w:tcW w:w="491" w:type="pct"/>
            <w:hideMark/>
          </w:tcPr>
          <w:p w14:paraId="3971248B" w14:textId="234D4D2B"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21%</w:t>
            </w:r>
          </w:p>
        </w:tc>
        <w:tc>
          <w:tcPr>
            <w:tcW w:w="1764" w:type="pct"/>
          </w:tcPr>
          <w:p w14:paraId="4493B047" w14:textId="08888EAB" w:rsidR="007F4E02" w:rsidRPr="00016836"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2012 Statewide Load Impact Evaluation of California Aggregator Demand Response Programs Volume 1: Ex post and Ex ante Load Impacts; Christensen Associates Energy Consulting; April 1, 2013</w:t>
            </w:r>
          </w:p>
        </w:tc>
      </w:tr>
      <w:tr w:rsidR="00E948E3" w:rsidRPr="00EE4707" w14:paraId="4562373C"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2031F0C0" w14:textId="1CA378F3"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EV V1G Telematics</w:t>
            </w:r>
          </w:p>
        </w:tc>
        <w:tc>
          <w:tcPr>
            <w:tcW w:w="637" w:type="pct"/>
            <w:hideMark/>
          </w:tcPr>
          <w:p w14:paraId="36EDB66A" w14:textId="7B48F2E2"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90% EV</w:t>
            </w:r>
          </w:p>
        </w:tc>
        <w:tc>
          <w:tcPr>
            <w:tcW w:w="491" w:type="pct"/>
            <w:hideMark/>
          </w:tcPr>
          <w:p w14:paraId="587BD0FB" w14:textId="259E631A"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491" w:type="pct"/>
            <w:hideMark/>
          </w:tcPr>
          <w:p w14:paraId="210D0A2C" w14:textId="3E5969F7"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491" w:type="pct"/>
            <w:hideMark/>
          </w:tcPr>
          <w:p w14:paraId="0C4BFD6C" w14:textId="2EF7A189"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w:t>
            </w:r>
          </w:p>
        </w:tc>
        <w:tc>
          <w:tcPr>
            <w:tcW w:w="1764" w:type="pct"/>
          </w:tcPr>
          <w:p w14:paraId="5A45DDFE" w14:textId="37D5E7CF" w:rsidR="007F4E02" w:rsidRPr="00016836"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90% of Avista Light-Duty Vehicle Average Load or 0.65 kW</w:t>
            </w:r>
          </w:p>
        </w:tc>
      </w:tr>
      <w:tr w:rsidR="00E948E3" w:rsidRPr="00EE4707" w14:paraId="2CA2788F"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63EDCA18" w14:textId="15375A1B"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Time-of-Use Opt-in</w:t>
            </w:r>
          </w:p>
        </w:tc>
        <w:tc>
          <w:tcPr>
            <w:tcW w:w="637" w:type="pct"/>
            <w:hideMark/>
          </w:tcPr>
          <w:p w14:paraId="346ED7A2" w14:textId="19AB00F8"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1.5%-4% (w/s)</w:t>
            </w:r>
          </w:p>
        </w:tc>
        <w:tc>
          <w:tcPr>
            <w:tcW w:w="491" w:type="pct"/>
            <w:hideMark/>
          </w:tcPr>
          <w:p w14:paraId="1B531E52" w14:textId="4A4DF054"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0.1%-0.2%</w:t>
            </w:r>
          </w:p>
        </w:tc>
        <w:tc>
          <w:tcPr>
            <w:tcW w:w="491" w:type="pct"/>
            <w:hideMark/>
          </w:tcPr>
          <w:p w14:paraId="5EBEF9AB" w14:textId="2B09B4E3"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491" w:type="pct"/>
            <w:hideMark/>
          </w:tcPr>
          <w:p w14:paraId="5F7CF2B4" w14:textId="2E6D314C"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1764" w:type="pct"/>
          </w:tcPr>
          <w:p w14:paraId="5777DE92" w14:textId="29534CF0" w:rsidR="007F4E02" w:rsidRPr="00016836"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Avista projected impacts per customer (2024); Winter impacts ½ of summer impacts -lowered impacts from 2022</w:t>
            </w:r>
          </w:p>
        </w:tc>
      </w:tr>
      <w:tr w:rsidR="00E948E3" w:rsidRPr="00EE4707" w14:paraId="46A1D9EF"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6FF7C08A" w14:textId="5D55D99D"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Time-of-Use Opt-out</w:t>
            </w:r>
          </w:p>
        </w:tc>
        <w:tc>
          <w:tcPr>
            <w:tcW w:w="637" w:type="pct"/>
            <w:hideMark/>
          </w:tcPr>
          <w:p w14:paraId="0EA26FFD" w14:textId="717D7ECC"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0.2%-1.5% (w/s)</w:t>
            </w:r>
          </w:p>
        </w:tc>
        <w:tc>
          <w:tcPr>
            <w:tcW w:w="491" w:type="pct"/>
            <w:hideMark/>
          </w:tcPr>
          <w:p w14:paraId="08AEE826" w14:textId="35718373"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0.1%-0.2%</w:t>
            </w:r>
          </w:p>
        </w:tc>
        <w:tc>
          <w:tcPr>
            <w:tcW w:w="491" w:type="pct"/>
            <w:hideMark/>
          </w:tcPr>
          <w:p w14:paraId="390CA5DD" w14:textId="5ECC94CA"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491" w:type="pct"/>
            <w:hideMark/>
          </w:tcPr>
          <w:p w14:paraId="3543E1A2" w14:textId="6974E432"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1764" w:type="pct"/>
          </w:tcPr>
          <w:p w14:paraId="0833CF3C" w14:textId="77777777" w:rsidR="007F4E02" w:rsidRPr="00016836"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p>
        </w:tc>
      </w:tr>
      <w:tr w:rsidR="00E948E3" w:rsidRPr="00EE4707" w14:paraId="7D3649C2"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4A3274F3" w14:textId="2C766A35"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Electric Vehicle TOU Opt-in</w:t>
            </w:r>
          </w:p>
        </w:tc>
        <w:tc>
          <w:tcPr>
            <w:tcW w:w="637" w:type="pct"/>
            <w:hideMark/>
          </w:tcPr>
          <w:p w14:paraId="0CBD60ED" w14:textId="55D54659"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491" w:type="pct"/>
            <w:hideMark/>
          </w:tcPr>
          <w:p w14:paraId="583C24FC" w14:textId="6C5F928E"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100% EV</w:t>
            </w:r>
          </w:p>
        </w:tc>
        <w:tc>
          <w:tcPr>
            <w:tcW w:w="491" w:type="pct"/>
            <w:hideMark/>
          </w:tcPr>
          <w:p w14:paraId="1663BCED" w14:textId="1FF41008"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100% EV</w:t>
            </w:r>
          </w:p>
        </w:tc>
        <w:tc>
          <w:tcPr>
            <w:tcW w:w="491" w:type="pct"/>
            <w:hideMark/>
          </w:tcPr>
          <w:p w14:paraId="0B53A0B9" w14:textId="7117B867"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1764" w:type="pct"/>
          </w:tcPr>
          <w:p w14:paraId="22499DC5" w14:textId="41A444F1" w:rsidR="007F4E02" w:rsidRPr="00016836"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100% of Avista Light-Duty Vehicle Average Load or 0.72 kW GS, 6.67 kW LGS</w:t>
            </w:r>
          </w:p>
        </w:tc>
      </w:tr>
      <w:tr w:rsidR="00E948E3" w:rsidRPr="00EE4707" w14:paraId="10403D57"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26B88459" w14:textId="4D8EC38F"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Variable Peak Pricing</w:t>
            </w:r>
          </w:p>
        </w:tc>
        <w:tc>
          <w:tcPr>
            <w:tcW w:w="637" w:type="pct"/>
            <w:hideMark/>
          </w:tcPr>
          <w:p w14:paraId="0FBA2154" w14:textId="78F12468"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10%</w:t>
            </w:r>
          </w:p>
        </w:tc>
        <w:tc>
          <w:tcPr>
            <w:tcW w:w="491" w:type="pct"/>
            <w:hideMark/>
          </w:tcPr>
          <w:p w14:paraId="729D4291" w14:textId="560E935B"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4%</w:t>
            </w:r>
          </w:p>
        </w:tc>
        <w:tc>
          <w:tcPr>
            <w:tcW w:w="491" w:type="pct"/>
            <w:hideMark/>
          </w:tcPr>
          <w:p w14:paraId="160FB794" w14:textId="62CD049F"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4%</w:t>
            </w:r>
          </w:p>
        </w:tc>
        <w:tc>
          <w:tcPr>
            <w:tcW w:w="491" w:type="pct"/>
            <w:hideMark/>
          </w:tcPr>
          <w:p w14:paraId="740268D4" w14:textId="57BFB832"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4%</w:t>
            </w:r>
          </w:p>
        </w:tc>
        <w:tc>
          <w:tcPr>
            <w:tcW w:w="1764" w:type="pct"/>
          </w:tcPr>
          <w:p w14:paraId="1B7C7279" w14:textId="333BB5DC" w:rsidR="007F4E02" w:rsidRPr="00016836"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xml:space="preserve">OG&amp;E 2019 Smart Hours Study; Summer Impacts Shown (Winter impacts ¾ summer) </w:t>
            </w:r>
          </w:p>
        </w:tc>
      </w:tr>
      <w:tr w:rsidR="00E948E3" w:rsidRPr="00EE4707" w14:paraId="39D822B5"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0B7DDA9F" w14:textId="1D634209"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Peak Time Rebate</w:t>
            </w:r>
          </w:p>
        </w:tc>
        <w:tc>
          <w:tcPr>
            <w:tcW w:w="637" w:type="pct"/>
            <w:hideMark/>
          </w:tcPr>
          <w:p w14:paraId="7638B916" w14:textId="224F2A09"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7.1% (W)</w:t>
            </w:r>
          </w:p>
        </w:tc>
        <w:tc>
          <w:tcPr>
            <w:tcW w:w="491" w:type="pct"/>
            <w:hideMark/>
          </w:tcPr>
          <w:p w14:paraId="79216B16" w14:textId="42A50877"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3.6% (W)</w:t>
            </w:r>
          </w:p>
        </w:tc>
        <w:tc>
          <w:tcPr>
            <w:tcW w:w="491" w:type="pct"/>
            <w:hideMark/>
          </w:tcPr>
          <w:p w14:paraId="121632FD" w14:textId="504296EB"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491" w:type="pct"/>
            <w:hideMark/>
          </w:tcPr>
          <w:p w14:paraId="78AEE175" w14:textId="25A49F79" w:rsidR="007F4E02" w:rsidRPr="00016836" w:rsidRDefault="007F4E02" w:rsidP="007F4E02">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w:t>
            </w:r>
          </w:p>
        </w:tc>
        <w:tc>
          <w:tcPr>
            <w:tcW w:w="1764" w:type="pct"/>
          </w:tcPr>
          <w:p w14:paraId="680C45A1" w14:textId="42BD9E8C" w:rsidR="007F4E02" w:rsidRPr="00016836" w:rsidRDefault="007F4E02"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 xml:space="preserve">PGE Res Pricing and Behavioral Pilot Flex PTR Evaluation 2021: 0.159 or 8.2% in summer, 0.134 or 7.1% in winter </w:t>
            </w:r>
          </w:p>
        </w:tc>
      </w:tr>
      <w:tr w:rsidR="00E948E3" w:rsidRPr="00EE4707" w14:paraId="5D42C74E"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33B83ED7" w14:textId="77777777" w:rsidR="007F4E02" w:rsidRPr="00016836" w:rsidRDefault="007F4E02" w:rsidP="00016836">
            <w:pPr>
              <w:keepNext/>
              <w:jc w:val="left"/>
              <w:rPr>
                <w:rFonts w:asciiTheme="minorHAnsi" w:hAnsiTheme="minorHAnsi"/>
                <w:sz w:val="18"/>
                <w:szCs w:val="18"/>
                <w:lang w:eastAsia="ja-JP"/>
              </w:rPr>
            </w:pPr>
            <w:r w:rsidRPr="00016836">
              <w:rPr>
                <w:rFonts w:asciiTheme="minorHAnsi" w:hAnsiTheme="minorHAnsi"/>
                <w:sz w:val="18"/>
                <w:szCs w:val="18"/>
                <w:lang w:eastAsia="ja-JP"/>
              </w:rPr>
              <w:t>Thermal Energy Storage</w:t>
            </w:r>
          </w:p>
        </w:tc>
        <w:tc>
          <w:tcPr>
            <w:tcW w:w="637" w:type="pct"/>
            <w:hideMark/>
          </w:tcPr>
          <w:p w14:paraId="3E4F83B7" w14:textId="416282DB"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8.2% (S)</w:t>
            </w:r>
          </w:p>
        </w:tc>
        <w:tc>
          <w:tcPr>
            <w:tcW w:w="491" w:type="pct"/>
            <w:hideMark/>
          </w:tcPr>
          <w:p w14:paraId="0B7CD382" w14:textId="50E5C609"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4.1% (S)</w:t>
            </w:r>
          </w:p>
        </w:tc>
        <w:tc>
          <w:tcPr>
            <w:tcW w:w="491" w:type="pct"/>
            <w:hideMark/>
          </w:tcPr>
          <w:p w14:paraId="4ECAD567" w14:textId="77777777"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sz w:val="18"/>
                <w:szCs w:val="18"/>
                <w:lang w:eastAsia="ja-JP"/>
              </w:rPr>
              <w:t>1.5%</w:t>
            </w:r>
          </w:p>
        </w:tc>
        <w:tc>
          <w:tcPr>
            <w:tcW w:w="491" w:type="pct"/>
            <w:hideMark/>
          </w:tcPr>
          <w:p w14:paraId="5669AC94" w14:textId="77777777" w:rsidR="007F4E02" w:rsidRPr="00016836" w:rsidRDefault="007F4E02" w:rsidP="007F4E02">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sz w:val="18"/>
                <w:szCs w:val="18"/>
                <w:lang w:eastAsia="ja-JP"/>
              </w:rPr>
              <w:t>1.5%</w:t>
            </w:r>
          </w:p>
        </w:tc>
        <w:tc>
          <w:tcPr>
            <w:tcW w:w="1764" w:type="pct"/>
          </w:tcPr>
          <w:p w14:paraId="2F0E93A4" w14:textId="77777777" w:rsidR="007F4E02" w:rsidRPr="00016836" w:rsidRDefault="007F4E02"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lang w:eastAsia="ja-JP"/>
              </w:rPr>
            </w:pPr>
            <w:r w:rsidRPr="00016836">
              <w:rPr>
                <w:rFonts w:asciiTheme="minorHAnsi" w:hAnsiTheme="minorHAnsi"/>
                <w:sz w:val="18"/>
                <w:szCs w:val="18"/>
              </w:rPr>
              <w:t xml:space="preserve">Industry Experience </w:t>
            </w:r>
          </w:p>
        </w:tc>
      </w:tr>
      <w:tr w:rsidR="005952A6" w:rsidRPr="00EE4707" w14:paraId="28C169A4" w14:textId="77777777" w:rsidTr="00FF4586">
        <w:trPr>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65E4D52C" w14:textId="66F54E51" w:rsidR="009C4E1E" w:rsidRPr="00016836" w:rsidRDefault="009C4E1E" w:rsidP="00016836">
            <w:pPr>
              <w:keepNext/>
              <w:jc w:val="left"/>
              <w:rPr>
                <w:rFonts w:asciiTheme="minorHAnsi" w:hAnsiTheme="minorHAnsi"/>
                <w:sz w:val="18"/>
                <w:szCs w:val="18"/>
                <w:lang w:eastAsia="ja-JP"/>
              </w:rPr>
            </w:pPr>
            <w:r w:rsidRPr="00016836">
              <w:rPr>
                <w:rFonts w:asciiTheme="minorHAnsi" w:hAnsiTheme="minorHAnsi"/>
                <w:color w:val="000000"/>
                <w:sz w:val="18"/>
                <w:szCs w:val="18"/>
              </w:rPr>
              <w:t>Battery Energy Storage</w:t>
            </w:r>
          </w:p>
        </w:tc>
        <w:tc>
          <w:tcPr>
            <w:tcW w:w="637" w:type="pct"/>
            <w:hideMark/>
          </w:tcPr>
          <w:p w14:paraId="16D2F106" w14:textId="4F08456C" w:rsidR="009C4E1E" w:rsidRPr="00016836" w:rsidRDefault="009C4E1E" w:rsidP="009C4E1E">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2 kW</w:t>
            </w:r>
          </w:p>
        </w:tc>
        <w:tc>
          <w:tcPr>
            <w:tcW w:w="491" w:type="pct"/>
            <w:hideMark/>
          </w:tcPr>
          <w:p w14:paraId="35752635" w14:textId="6819144C" w:rsidR="009C4E1E" w:rsidRPr="00016836" w:rsidRDefault="009C4E1E" w:rsidP="009C4E1E">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2 kW</w:t>
            </w:r>
          </w:p>
        </w:tc>
        <w:tc>
          <w:tcPr>
            <w:tcW w:w="491" w:type="pct"/>
            <w:hideMark/>
          </w:tcPr>
          <w:p w14:paraId="6A478D7A" w14:textId="3815A2F3" w:rsidR="009C4E1E" w:rsidRPr="00016836" w:rsidRDefault="009C4E1E" w:rsidP="009C4E1E">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15 kW</w:t>
            </w:r>
          </w:p>
        </w:tc>
        <w:tc>
          <w:tcPr>
            <w:tcW w:w="491" w:type="pct"/>
            <w:hideMark/>
          </w:tcPr>
          <w:p w14:paraId="560B736F" w14:textId="2A40C69C" w:rsidR="009C4E1E" w:rsidRPr="00016836" w:rsidRDefault="009C4E1E" w:rsidP="009C4E1E">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15 kW</w:t>
            </w:r>
          </w:p>
        </w:tc>
        <w:tc>
          <w:tcPr>
            <w:tcW w:w="1764" w:type="pct"/>
          </w:tcPr>
          <w:p w14:paraId="10585BAB" w14:textId="0CF5690C" w:rsidR="009C4E1E" w:rsidRPr="00016836" w:rsidRDefault="009C4E1E" w:rsidP="00FF4586">
            <w:pPr>
              <w:keepNext/>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016836">
              <w:rPr>
                <w:rFonts w:asciiTheme="minorHAnsi" w:hAnsiTheme="minorHAnsi"/>
                <w:color w:val="000000"/>
                <w:sz w:val="18"/>
                <w:szCs w:val="18"/>
              </w:rPr>
              <w:t>NREL 2021: 5 kW battery * 86% round trip efficiency. Xcel Energy CO Renewable Battery Connect: 40% retention</w:t>
            </w:r>
          </w:p>
        </w:tc>
      </w:tr>
      <w:tr w:rsidR="005952A6" w:rsidRPr="00EE4707" w14:paraId="3C7BF9BB" w14:textId="77777777" w:rsidTr="00FF458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27" w:type="pct"/>
            <w:hideMark/>
          </w:tcPr>
          <w:p w14:paraId="1EFE8D19" w14:textId="48967661" w:rsidR="009C4E1E" w:rsidRPr="00F35935" w:rsidRDefault="009C4E1E" w:rsidP="00016836">
            <w:pPr>
              <w:keepNext/>
              <w:jc w:val="left"/>
              <w:rPr>
                <w:rFonts w:asciiTheme="minorHAnsi" w:hAnsiTheme="minorHAnsi"/>
                <w:lang w:eastAsia="ja-JP"/>
              </w:rPr>
            </w:pPr>
            <w:r w:rsidRPr="00F35935">
              <w:rPr>
                <w:rFonts w:asciiTheme="minorHAnsi" w:hAnsiTheme="minorHAnsi"/>
                <w:color w:val="000000"/>
                <w:sz w:val="18"/>
                <w:szCs w:val="18"/>
              </w:rPr>
              <w:t>Behavioral</w:t>
            </w:r>
          </w:p>
        </w:tc>
        <w:tc>
          <w:tcPr>
            <w:tcW w:w="637" w:type="pct"/>
            <w:hideMark/>
          </w:tcPr>
          <w:p w14:paraId="2677CDBA" w14:textId="22B32567" w:rsidR="009C4E1E" w:rsidRPr="00F35935" w:rsidRDefault="009C4E1E" w:rsidP="009C4E1E">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2%</w:t>
            </w:r>
          </w:p>
        </w:tc>
        <w:tc>
          <w:tcPr>
            <w:tcW w:w="491" w:type="pct"/>
            <w:hideMark/>
          </w:tcPr>
          <w:p w14:paraId="5D1C23A6" w14:textId="4296CE60" w:rsidR="009C4E1E" w:rsidRPr="00F35935" w:rsidRDefault="009C4E1E" w:rsidP="009C4E1E">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491" w:type="pct"/>
            <w:hideMark/>
          </w:tcPr>
          <w:p w14:paraId="1B90714C" w14:textId="4D002458" w:rsidR="009C4E1E" w:rsidRPr="00F35935" w:rsidRDefault="009C4E1E" w:rsidP="009C4E1E">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491" w:type="pct"/>
            <w:hideMark/>
          </w:tcPr>
          <w:p w14:paraId="0F5729DC" w14:textId="3EFD44F9" w:rsidR="009C4E1E" w:rsidRPr="00F35935" w:rsidRDefault="009C4E1E" w:rsidP="009C4E1E">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w:t>
            </w:r>
          </w:p>
        </w:tc>
        <w:tc>
          <w:tcPr>
            <w:tcW w:w="1764" w:type="pct"/>
          </w:tcPr>
          <w:p w14:paraId="1DED87B5" w14:textId="1890B2D2" w:rsidR="009C4E1E" w:rsidRPr="00F35935" w:rsidRDefault="009C4E1E" w:rsidP="00FF4586">
            <w:pPr>
              <w:keepN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lang w:eastAsia="ja-JP"/>
              </w:rPr>
            </w:pPr>
            <w:r w:rsidRPr="00F35935">
              <w:rPr>
                <w:rFonts w:asciiTheme="minorHAnsi" w:hAnsiTheme="minorHAnsi"/>
                <w:color w:val="000000"/>
                <w:sz w:val="18"/>
                <w:szCs w:val="18"/>
              </w:rPr>
              <w:t>Opower documentation for BDR with Consumers and Detroit Energy</w:t>
            </w:r>
          </w:p>
        </w:tc>
      </w:tr>
    </w:tbl>
    <w:p w14:paraId="424B4589" w14:textId="7B283FA4" w:rsidR="0055004C" w:rsidRDefault="0055004C" w:rsidP="001E255C">
      <w:pPr>
        <w:pStyle w:val="Heading4"/>
      </w:pPr>
      <w:r>
        <w:t>Other Cross-cutting Assumptions</w:t>
      </w:r>
    </w:p>
    <w:p w14:paraId="60D41069" w14:textId="77777777" w:rsidR="007800C7" w:rsidRDefault="007800C7" w:rsidP="007800C7">
      <w:pPr>
        <w:pStyle w:val="AEGBody"/>
      </w:pPr>
      <w:r>
        <w:t>In addition to the above program-specific assumptions, there are three that affect all programs:</w:t>
      </w:r>
    </w:p>
    <w:p w14:paraId="428666CF" w14:textId="5DDE80DA" w:rsidR="007800C7" w:rsidRDefault="007800C7" w:rsidP="007800C7">
      <w:pPr>
        <w:pStyle w:val="AEG-BulletList"/>
      </w:pPr>
      <w:r w:rsidRPr="008955FA">
        <w:rPr>
          <w:b/>
          <w:bCs/>
        </w:rPr>
        <w:t>Discount rate.</w:t>
      </w:r>
      <w:r>
        <w:t xml:space="preserve"> A </w:t>
      </w:r>
      <w:r w:rsidRPr="000808FC">
        <w:t xml:space="preserve">nominal discount </w:t>
      </w:r>
      <w:r w:rsidRPr="003833BA">
        <w:t xml:space="preserve">rate of </w:t>
      </w:r>
      <w:r w:rsidR="005952A6" w:rsidRPr="003833BA">
        <w:t>6</w:t>
      </w:r>
      <w:r w:rsidRPr="003833BA">
        <w:t>.</w:t>
      </w:r>
      <w:r w:rsidR="005952A6" w:rsidRPr="003833BA">
        <w:t>5</w:t>
      </w:r>
      <w:r w:rsidRPr="003833BA">
        <w:t>1%</w:t>
      </w:r>
      <w:r>
        <w:t xml:space="preserve"> was used</w:t>
      </w:r>
      <w:r w:rsidRPr="000808FC">
        <w:t xml:space="preserve"> to calculate the net present value of costs over the useful life of each DR program. All cost results are shown in nominal dollars. </w:t>
      </w:r>
    </w:p>
    <w:p w14:paraId="3922E4CC" w14:textId="16262A13" w:rsidR="007800C7" w:rsidRDefault="007800C7" w:rsidP="007800C7">
      <w:pPr>
        <w:pStyle w:val="AEG-BulletList"/>
      </w:pPr>
      <w:r w:rsidRPr="008955FA">
        <w:rPr>
          <w:b/>
          <w:bCs/>
        </w:rPr>
        <w:t xml:space="preserve">Line losses. </w:t>
      </w:r>
      <w:r>
        <w:t xml:space="preserve">Avista provided </w:t>
      </w:r>
      <w:r w:rsidR="005952A6">
        <w:t xml:space="preserve">forecasted </w:t>
      </w:r>
      <w:r>
        <w:t>line loss factor</w:t>
      </w:r>
      <w:r w:rsidR="005952A6">
        <w:t>s averaging</w:t>
      </w:r>
      <w:r>
        <w:t xml:space="preserve"> </w:t>
      </w:r>
      <w:r w:rsidR="005952A6" w:rsidRPr="005952A6">
        <w:t>5</w:t>
      </w:r>
      <w:r w:rsidRPr="005952A6">
        <w:t>.</w:t>
      </w:r>
      <w:r w:rsidR="005952A6" w:rsidRPr="005952A6">
        <w:t>6</w:t>
      </w:r>
      <w:r w:rsidRPr="005952A6">
        <w:t>%</w:t>
      </w:r>
      <w:r w:rsidR="005952A6">
        <w:t xml:space="preserve"> which AEG used</w:t>
      </w:r>
      <w:r>
        <w:t xml:space="preserve"> to convert estimated demand savings at the customer meter level to the generator level. Results in the next section are reported at the generator level.</w:t>
      </w:r>
    </w:p>
    <w:p w14:paraId="09BE33C0" w14:textId="6CEB2F9F" w:rsidR="007800C7" w:rsidRPr="007800C7" w:rsidRDefault="007800C7" w:rsidP="007800C7">
      <w:pPr>
        <w:pStyle w:val="AEG-BulletList"/>
      </w:pPr>
      <w:r w:rsidRPr="008955FA">
        <w:rPr>
          <w:b/>
          <w:bCs/>
        </w:rPr>
        <w:t>Shifting and saving.</w:t>
      </w:r>
      <w:r>
        <w:t xml:space="preserve"> Each program varies in the way energy is shifted or saved throughout the day. For example, customers on the DLC Central AC program are likely to pre-cool their homes prior to the event and turn their AC units back on after the event (snapback effect). The results in this report only show the savings during the event window and not before and after the event. </w:t>
      </w:r>
    </w:p>
    <w:p w14:paraId="164D3E9C" w14:textId="006AE620" w:rsidR="00CC6A72" w:rsidRDefault="00CC6A72" w:rsidP="001E255C">
      <w:pPr>
        <w:pStyle w:val="Heading2"/>
      </w:pPr>
      <w:bookmarkStart w:id="202" w:name="_Toc175904887"/>
      <w:r>
        <w:t>Integrated DR Potential Results</w:t>
      </w:r>
      <w:bookmarkEnd w:id="202"/>
    </w:p>
    <w:p w14:paraId="3484A39B" w14:textId="2F297DD9" w:rsidR="000B1881" w:rsidRDefault="000B1881" w:rsidP="000B1881">
      <w:pPr>
        <w:pStyle w:val="AEGBody"/>
      </w:pPr>
      <w:r>
        <w:t xml:space="preserve">This section presents analysis results for demand savings and levelized costs for all considered DR programs. In the interest of succinctness, AEG only presents the Integrated TOU Opt-in scenario results in this chapter. The integrated approach represents Realistic Achievable Potential and is the most realistic scenario allowing for multiple DR programs to be run at the same time employing a hierarchy that eliminates double counting of impacts. </w:t>
      </w:r>
    </w:p>
    <w:p w14:paraId="2C40FDF6" w14:textId="568BCC0D" w:rsidR="000B1881" w:rsidRDefault="000B1881" w:rsidP="000B1881">
      <w:pPr>
        <w:pStyle w:val="AEGBody"/>
      </w:pPr>
      <w:r>
        <w:t xml:space="preserve">All potential results represent savings at the generator. </w:t>
      </w:r>
    </w:p>
    <w:p w14:paraId="401E2D54" w14:textId="545B8861" w:rsidR="000B1881" w:rsidRPr="000B1881" w:rsidRDefault="000B1881" w:rsidP="000B1881">
      <w:pPr>
        <w:pStyle w:val="AEGBody"/>
      </w:pPr>
      <w:r>
        <w:t>The following sections separate out the integrated potential results for the summer and winter seasons.</w:t>
      </w:r>
    </w:p>
    <w:p w14:paraId="5A279A63" w14:textId="503DBF56" w:rsidR="001D736B" w:rsidRDefault="00CC6A72" w:rsidP="001E255C">
      <w:pPr>
        <w:pStyle w:val="Heading3"/>
      </w:pPr>
      <w:bookmarkStart w:id="203" w:name="_Toc175904888"/>
      <w:r>
        <w:t>S</w:t>
      </w:r>
      <w:r w:rsidR="0055004C">
        <w:t>ummary TOU Opt-in Scenario</w:t>
      </w:r>
      <w:bookmarkEnd w:id="203"/>
    </w:p>
    <w:p w14:paraId="3E719D2D" w14:textId="27A794D3" w:rsidR="00990D65" w:rsidRPr="00990D65" w:rsidRDefault="00990D65" w:rsidP="00990D65">
      <w:pPr>
        <w:pStyle w:val="AEGBody"/>
      </w:pPr>
      <w:r w:rsidRPr="00990D65">
        <w:t>Table 6</w:t>
      </w:r>
      <w:r>
        <w:t>-</w:t>
      </w:r>
      <w:r w:rsidRPr="00990D65">
        <w:t>8, Table 6</w:t>
      </w:r>
      <w:r>
        <w:t>-</w:t>
      </w:r>
      <w:r w:rsidRPr="00990D65">
        <w:t>9, and Figure 6</w:t>
      </w:r>
      <w:r>
        <w:t>-</w:t>
      </w:r>
      <w:r w:rsidRPr="00990D65">
        <w:t>4 show the total summer and winter demand savings for selected years. These savings represent integrated savings from all available DR options in Avista’s Washington and Idaho service territories.</w:t>
      </w:r>
    </w:p>
    <w:p w14:paraId="6668BF29" w14:textId="4BA2F530" w:rsidR="00990D65" w:rsidRPr="00057CDF" w:rsidRDefault="00990D65" w:rsidP="00990D65">
      <w:pPr>
        <w:pStyle w:val="AEG-BulletList"/>
      </w:pPr>
      <w:r w:rsidRPr="00057CDF">
        <w:rPr>
          <w:b/>
          <w:bCs/>
        </w:rPr>
        <w:t>Summer TOU Opt-In Scenario:</w:t>
      </w:r>
      <w:r w:rsidRPr="00057CDF">
        <w:t xml:space="preserve"> Total potential savings are expected to increase from 1</w:t>
      </w:r>
      <w:r w:rsidR="00057CDF" w:rsidRPr="00057CDF">
        <w:t>6</w:t>
      </w:r>
      <w:r w:rsidRPr="00057CDF">
        <w:t xml:space="preserve"> MW in 2026 to 1</w:t>
      </w:r>
      <w:r w:rsidR="006D3877" w:rsidRPr="00057CDF">
        <w:t>84</w:t>
      </w:r>
      <w:r w:rsidRPr="00057CDF">
        <w:t xml:space="preserve"> MW by 2045. The percentage of system peak increases from 0.8% in 2026 to </w:t>
      </w:r>
      <w:r w:rsidR="00057CDF" w:rsidRPr="00057CDF">
        <w:t>8.2</w:t>
      </w:r>
      <w:r w:rsidRPr="00057CDF">
        <w:t>% by 2045.</w:t>
      </w:r>
    </w:p>
    <w:p w14:paraId="56EBEAE1" w14:textId="7053F782" w:rsidR="00CE27E4" w:rsidRPr="00057CDF" w:rsidRDefault="00990D65" w:rsidP="00990D65">
      <w:pPr>
        <w:pStyle w:val="AEG-BulletList"/>
      </w:pPr>
      <w:r w:rsidRPr="00057CDF">
        <w:tab/>
      </w:r>
      <w:r w:rsidRPr="00057CDF">
        <w:rPr>
          <w:b/>
          <w:bCs/>
        </w:rPr>
        <w:t>Winter TOU Opt-In Scenario:</w:t>
      </w:r>
      <w:r w:rsidRPr="00057CDF">
        <w:t xml:space="preserve"> The total potential savings are expected to increase from 1</w:t>
      </w:r>
      <w:r w:rsidR="00057CDF" w:rsidRPr="00057CDF">
        <w:t>1</w:t>
      </w:r>
      <w:r w:rsidRPr="00057CDF">
        <w:t xml:space="preserve"> MW in 2026 to 1</w:t>
      </w:r>
      <w:r w:rsidR="00057CDF" w:rsidRPr="00057CDF">
        <w:t>55</w:t>
      </w:r>
      <w:r w:rsidRPr="00057CDF">
        <w:t xml:space="preserve"> MW by 2045. The percentage of system peak goes from 0.6% in 2026 to </w:t>
      </w:r>
      <w:r w:rsidR="00057CDF" w:rsidRPr="00057CDF">
        <w:t>6.5</w:t>
      </w:r>
      <w:r w:rsidRPr="00057CDF">
        <w:t>% by 2045.</w:t>
      </w:r>
    </w:p>
    <w:p w14:paraId="43AF0CA3" w14:textId="294D068E" w:rsidR="00CE27E4" w:rsidRDefault="00CE27E4" w:rsidP="00CE27E4">
      <w:pPr>
        <w:pStyle w:val="Caption"/>
      </w:pPr>
      <w:bookmarkStart w:id="204" w:name="_Toc175912407"/>
      <w:r>
        <w:t xml:space="preserve">Table </w:t>
      </w:r>
      <w:r w:rsidR="00EE4707">
        <w:fldChar w:fldCharType="begin"/>
      </w:r>
      <w:r w:rsidR="00EE4707">
        <w:instrText xml:space="preserve"> STYLEREF 1 \s </w:instrText>
      </w:r>
      <w:r w:rsidR="00EE4707">
        <w:fldChar w:fldCharType="separate"/>
      </w:r>
      <w:r w:rsidR="003833BA">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3833BA">
        <w:rPr>
          <w:noProof/>
        </w:rPr>
        <w:t>8</w:t>
      </w:r>
      <w:r w:rsidR="00EE4707">
        <w:fldChar w:fldCharType="end"/>
      </w:r>
      <w:r>
        <w:t xml:space="preserve"> </w:t>
      </w:r>
      <w:r w:rsidRPr="00E42B02">
        <w:t>Summary of Integrated TOU Opt-in Potential (MW @ Generator), Summer</w:t>
      </w:r>
      <w:bookmarkEnd w:id="204"/>
    </w:p>
    <w:tbl>
      <w:tblPr>
        <w:tblStyle w:val="AEG-DarkBanded"/>
        <w:tblW w:w="5000" w:type="pct"/>
        <w:tblLook w:val="04A0" w:firstRow="1" w:lastRow="0" w:firstColumn="1" w:lastColumn="0" w:noHBand="0" w:noVBand="1"/>
      </w:tblPr>
      <w:tblGrid>
        <w:gridCol w:w="3665"/>
        <w:gridCol w:w="1464"/>
        <w:gridCol w:w="715"/>
        <w:gridCol w:w="1417"/>
        <w:gridCol w:w="912"/>
        <w:gridCol w:w="1187"/>
      </w:tblGrid>
      <w:tr w:rsidR="005B55C1" w:rsidRPr="005D67B2" w14:paraId="04CC8AFF" w14:textId="77777777" w:rsidTr="003833BA">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958" w:type="pct"/>
            <w:hideMark/>
          </w:tcPr>
          <w:p w14:paraId="65DB99B5" w14:textId="0FE5A5DB" w:rsidR="00CE27E4" w:rsidRPr="009D6F6C" w:rsidRDefault="00CE27E4" w:rsidP="00CE27E4">
            <w:pPr>
              <w:keepNext/>
              <w:jc w:val="left"/>
              <w:rPr>
                <w:rFonts w:asciiTheme="majorHAnsi" w:eastAsia="Times New Roman" w:hAnsiTheme="majorHAnsi"/>
                <w:b w:val="0"/>
                <w:szCs w:val="20"/>
              </w:rPr>
            </w:pPr>
          </w:p>
        </w:tc>
        <w:tc>
          <w:tcPr>
            <w:tcW w:w="782" w:type="pct"/>
            <w:hideMark/>
          </w:tcPr>
          <w:p w14:paraId="34A4B2C9" w14:textId="77777777" w:rsidR="00CE27E4" w:rsidRPr="009D6F6C"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D6F6C">
              <w:rPr>
                <w:rFonts w:asciiTheme="majorHAnsi" w:eastAsia="Times New Roman" w:hAnsiTheme="majorHAnsi"/>
                <w:b w:val="0"/>
                <w:szCs w:val="20"/>
              </w:rPr>
              <w:t>2026</w:t>
            </w:r>
          </w:p>
        </w:tc>
        <w:tc>
          <w:tcPr>
            <w:tcW w:w="382" w:type="pct"/>
            <w:hideMark/>
          </w:tcPr>
          <w:p w14:paraId="2D6B9BE4" w14:textId="77777777" w:rsidR="00CE27E4" w:rsidRPr="009D6F6C"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D6F6C">
              <w:rPr>
                <w:rFonts w:asciiTheme="majorHAnsi" w:eastAsia="Times New Roman" w:hAnsiTheme="majorHAnsi"/>
                <w:b w:val="0"/>
                <w:szCs w:val="20"/>
              </w:rPr>
              <w:t>2027</w:t>
            </w:r>
          </w:p>
        </w:tc>
        <w:tc>
          <w:tcPr>
            <w:tcW w:w="757" w:type="pct"/>
            <w:hideMark/>
          </w:tcPr>
          <w:p w14:paraId="14484FA0" w14:textId="77777777" w:rsidR="00CE27E4" w:rsidRPr="009D6F6C"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D6F6C">
              <w:rPr>
                <w:rFonts w:asciiTheme="majorHAnsi" w:eastAsia="Times New Roman" w:hAnsiTheme="majorHAnsi"/>
                <w:b w:val="0"/>
                <w:szCs w:val="20"/>
              </w:rPr>
              <w:t>2028</w:t>
            </w:r>
          </w:p>
        </w:tc>
        <w:tc>
          <w:tcPr>
            <w:tcW w:w="487" w:type="pct"/>
            <w:hideMark/>
          </w:tcPr>
          <w:p w14:paraId="35235FC7" w14:textId="77777777" w:rsidR="00CE27E4" w:rsidRPr="009D6F6C"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D6F6C">
              <w:rPr>
                <w:rFonts w:asciiTheme="majorHAnsi" w:eastAsia="Times New Roman" w:hAnsiTheme="majorHAnsi"/>
                <w:b w:val="0"/>
                <w:szCs w:val="20"/>
              </w:rPr>
              <w:t>2035</w:t>
            </w:r>
          </w:p>
        </w:tc>
        <w:tc>
          <w:tcPr>
            <w:tcW w:w="635" w:type="pct"/>
            <w:hideMark/>
          </w:tcPr>
          <w:p w14:paraId="291E270B" w14:textId="77777777" w:rsidR="00CE27E4" w:rsidRPr="009D6F6C"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D6F6C">
              <w:rPr>
                <w:rFonts w:asciiTheme="majorHAnsi" w:eastAsia="Times New Roman" w:hAnsiTheme="majorHAnsi"/>
                <w:b w:val="0"/>
                <w:szCs w:val="20"/>
              </w:rPr>
              <w:t>2045</w:t>
            </w:r>
          </w:p>
        </w:tc>
      </w:tr>
      <w:tr w:rsidR="003833BA" w:rsidRPr="005D67B2" w14:paraId="7B6C26A3" w14:textId="77777777" w:rsidTr="003833BA">
        <w:trPr>
          <w:trHeight w:val="259"/>
        </w:trPr>
        <w:tc>
          <w:tcPr>
            <w:cnfStyle w:val="001000000000" w:firstRow="0" w:lastRow="0" w:firstColumn="1" w:lastColumn="0" w:oddVBand="0" w:evenVBand="0" w:oddHBand="0" w:evenHBand="0" w:firstRowFirstColumn="0" w:firstRowLastColumn="0" w:lastRowFirstColumn="0" w:lastRowLastColumn="0"/>
            <w:tcW w:w="1958" w:type="pct"/>
            <w:noWrap/>
            <w:hideMark/>
          </w:tcPr>
          <w:p w14:paraId="35FCFC61" w14:textId="77777777" w:rsidR="003833BA" w:rsidRPr="009D6F6C" w:rsidRDefault="003833BA" w:rsidP="003833BA">
            <w:pPr>
              <w:keepNext/>
              <w:jc w:val="left"/>
              <w:rPr>
                <w:rFonts w:asciiTheme="majorHAnsi" w:eastAsia="Times New Roman" w:hAnsiTheme="majorHAnsi"/>
                <w:color w:val="000000"/>
                <w:szCs w:val="20"/>
              </w:rPr>
            </w:pPr>
            <w:r w:rsidRPr="009D6F6C">
              <w:rPr>
                <w:rFonts w:asciiTheme="majorHAnsi" w:eastAsia="Times New Roman" w:hAnsiTheme="majorHAnsi"/>
                <w:color w:val="000000"/>
                <w:szCs w:val="20"/>
              </w:rPr>
              <w:t>Baseline Forecast (Summer MW)</w:t>
            </w:r>
          </w:p>
        </w:tc>
        <w:tc>
          <w:tcPr>
            <w:tcW w:w="782" w:type="pct"/>
            <w:noWrap/>
            <w:vAlign w:val="top"/>
            <w:hideMark/>
          </w:tcPr>
          <w:p w14:paraId="456AE15E" w14:textId="0AA6C793" w:rsidR="003833BA" w:rsidRPr="009D6F6C"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D6F6C">
              <w:rPr>
                <w:rFonts w:asciiTheme="majorHAnsi" w:hAnsiTheme="majorHAnsi"/>
              </w:rPr>
              <w:t>1,839</w:t>
            </w:r>
          </w:p>
        </w:tc>
        <w:tc>
          <w:tcPr>
            <w:tcW w:w="382" w:type="pct"/>
            <w:noWrap/>
            <w:vAlign w:val="top"/>
            <w:hideMark/>
          </w:tcPr>
          <w:p w14:paraId="30549B9B" w14:textId="16AF8A1E" w:rsidR="003833BA" w:rsidRPr="009D6F6C"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D6F6C">
              <w:rPr>
                <w:rFonts w:asciiTheme="majorHAnsi" w:hAnsiTheme="majorHAnsi"/>
              </w:rPr>
              <w:t>1,829</w:t>
            </w:r>
          </w:p>
        </w:tc>
        <w:tc>
          <w:tcPr>
            <w:tcW w:w="757" w:type="pct"/>
            <w:noWrap/>
            <w:vAlign w:val="top"/>
            <w:hideMark/>
          </w:tcPr>
          <w:p w14:paraId="38E25596" w14:textId="5F169A8B" w:rsidR="003833BA" w:rsidRPr="009D6F6C"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D6F6C">
              <w:rPr>
                <w:rFonts w:asciiTheme="majorHAnsi" w:hAnsiTheme="majorHAnsi"/>
              </w:rPr>
              <w:t>1,806</w:t>
            </w:r>
          </w:p>
        </w:tc>
        <w:tc>
          <w:tcPr>
            <w:tcW w:w="487" w:type="pct"/>
            <w:noWrap/>
            <w:vAlign w:val="top"/>
            <w:hideMark/>
          </w:tcPr>
          <w:p w14:paraId="5DFA31E2" w14:textId="34FC9085" w:rsidR="003833BA" w:rsidRPr="009D6F6C"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D6F6C">
              <w:rPr>
                <w:rFonts w:asciiTheme="majorHAnsi" w:hAnsiTheme="majorHAnsi"/>
              </w:rPr>
              <w:t>1,998</w:t>
            </w:r>
          </w:p>
        </w:tc>
        <w:tc>
          <w:tcPr>
            <w:tcW w:w="635" w:type="pct"/>
            <w:noWrap/>
            <w:vAlign w:val="top"/>
            <w:hideMark/>
          </w:tcPr>
          <w:p w14:paraId="6258957F" w14:textId="50773FAD" w:rsidR="003833BA" w:rsidRPr="009D6F6C"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D6F6C">
              <w:rPr>
                <w:rFonts w:asciiTheme="majorHAnsi" w:hAnsiTheme="majorHAnsi"/>
              </w:rPr>
              <w:t>2,258</w:t>
            </w:r>
          </w:p>
        </w:tc>
      </w:tr>
      <w:tr w:rsidR="005B55C1" w:rsidRPr="005D67B2" w14:paraId="5AD74A46" w14:textId="77777777" w:rsidTr="003833BA">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958" w:type="pct"/>
            <w:noWrap/>
            <w:hideMark/>
          </w:tcPr>
          <w:p w14:paraId="7F1344EE" w14:textId="6ADD4FC4" w:rsidR="005B55C1" w:rsidRPr="00CE27E4" w:rsidRDefault="005B55C1" w:rsidP="005B55C1">
            <w:pPr>
              <w:keepNext/>
              <w:jc w:val="left"/>
              <w:rPr>
                <w:rFonts w:ascii="Calibri" w:eastAsia="Times New Roman" w:hAnsi="Calibri"/>
                <w:color w:val="000000"/>
                <w:szCs w:val="20"/>
              </w:rPr>
            </w:pPr>
            <w:r w:rsidRPr="005D67B2">
              <w:rPr>
                <w:rFonts w:ascii="Calibri" w:eastAsia="Times New Roman" w:hAnsi="Calibri"/>
                <w:color w:val="000000"/>
                <w:szCs w:val="20"/>
              </w:rPr>
              <w:t>Achievable</w:t>
            </w:r>
            <w:r w:rsidRPr="00CE27E4">
              <w:rPr>
                <w:rFonts w:ascii="Calibri" w:eastAsia="Times New Roman" w:hAnsi="Calibri"/>
                <w:color w:val="000000"/>
                <w:szCs w:val="20"/>
              </w:rPr>
              <w:t xml:space="preserve"> Potential</w:t>
            </w:r>
            <w:r w:rsidRPr="005D67B2">
              <w:rPr>
                <w:rFonts w:ascii="Calibri" w:eastAsia="Times New Roman" w:hAnsi="Calibri"/>
                <w:color w:val="000000"/>
                <w:szCs w:val="20"/>
              </w:rPr>
              <w:t xml:space="preserve"> (MW)</w:t>
            </w:r>
          </w:p>
        </w:tc>
        <w:tc>
          <w:tcPr>
            <w:tcW w:w="782" w:type="pct"/>
            <w:noWrap/>
            <w:hideMark/>
          </w:tcPr>
          <w:p w14:paraId="21485945" w14:textId="29BD095B" w:rsidR="005B55C1" w:rsidRPr="003833BA"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15.6</w:t>
            </w:r>
          </w:p>
        </w:tc>
        <w:tc>
          <w:tcPr>
            <w:tcW w:w="382" w:type="pct"/>
            <w:noWrap/>
            <w:hideMark/>
          </w:tcPr>
          <w:p w14:paraId="6F957AD0" w14:textId="6D2AD307" w:rsidR="005B55C1" w:rsidRPr="003833BA"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33.7</w:t>
            </w:r>
          </w:p>
        </w:tc>
        <w:tc>
          <w:tcPr>
            <w:tcW w:w="757" w:type="pct"/>
            <w:noWrap/>
            <w:hideMark/>
          </w:tcPr>
          <w:p w14:paraId="54957A18" w14:textId="4447B12B" w:rsidR="005B55C1" w:rsidRPr="003833BA"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61.6</w:t>
            </w:r>
          </w:p>
        </w:tc>
        <w:tc>
          <w:tcPr>
            <w:tcW w:w="487" w:type="pct"/>
            <w:noWrap/>
            <w:hideMark/>
          </w:tcPr>
          <w:p w14:paraId="0579C05E" w14:textId="67B552FA" w:rsidR="005B55C1" w:rsidRPr="003833BA"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127.7</w:t>
            </w:r>
          </w:p>
        </w:tc>
        <w:tc>
          <w:tcPr>
            <w:tcW w:w="635" w:type="pct"/>
            <w:noWrap/>
            <w:hideMark/>
          </w:tcPr>
          <w:p w14:paraId="2AD57ADD" w14:textId="6F53DE9F" w:rsidR="005B55C1" w:rsidRPr="003833BA"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184.2</w:t>
            </w:r>
          </w:p>
        </w:tc>
      </w:tr>
      <w:tr w:rsidR="005B55C1" w:rsidRPr="005D67B2" w14:paraId="71DEE5C4" w14:textId="77777777" w:rsidTr="003833BA">
        <w:trPr>
          <w:trHeight w:val="259"/>
        </w:trPr>
        <w:tc>
          <w:tcPr>
            <w:cnfStyle w:val="001000000000" w:firstRow="0" w:lastRow="0" w:firstColumn="1" w:lastColumn="0" w:oddVBand="0" w:evenVBand="0" w:oddHBand="0" w:evenHBand="0" w:firstRowFirstColumn="0" w:firstRowLastColumn="0" w:lastRowFirstColumn="0" w:lastRowLastColumn="0"/>
            <w:tcW w:w="1958" w:type="pct"/>
            <w:noWrap/>
            <w:hideMark/>
          </w:tcPr>
          <w:p w14:paraId="10493F0B" w14:textId="76E27C11" w:rsidR="005B55C1" w:rsidRPr="00CE27E4" w:rsidRDefault="005B55C1" w:rsidP="005B55C1">
            <w:pPr>
              <w:keepNext/>
              <w:jc w:val="left"/>
              <w:rPr>
                <w:rFonts w:ascii="Calibri" w:eastAsia="Times New Roman" w:hAnsi="Calibri"/>
                <w:color w:val="000000"/>
                <w:szCs w:val="20"/>
              </w:rPr>
            </w:pPr>
            <w:r w:rsidRPr="005D67B2">
              <w:rPr>
                <w:rFonts w:ascii="Calibri" w:eastAsia="Times New Roman" w:hAnsi="Calibri"/>
                <w:color w:val="000000"/>
                <w:szCs w:val="20"/>
              </w:rPr>
              <w:t>Achievable Potential (</w:t>
            </w:r>
            <w:r w:rsidRPr="00CE27E4">
              <w:rPr>
                <w:rFonts w:ascii="Calibri" w:eastAsia="Times New Roman" w:hAnsi="Calibri"/>
                <w:color w:val="000000"/>
                <w:szCs w:val="20"/>
              </w:rPr>
              <w:t>% of baseline)</w:t>
            </w:r>
          </w:p>
        </w:tc>
        <w:tc>
          <w:tcPr>
            <w:tcW w:w="782" w:type="pct"/>
            <w:noWrap/>
            <w:hideMark/>
          </w:tcPr>
          <w:p w14:paraId="650433C7" w14:textId="62D4FF5F" w:rsidR="005B55C1" w:rsidRPr="003833BA"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0.9%</w:t>
            </w:r>
          </w:p>
        </w:tc>
        <w:tc>
          <w:tcPr>
            <w:tcW w:w="382" w:type="pct"/>
            <w:noWrap/>
            <w:hideMark/>
          </w:tcPr>
          <w:p w14:paraId="6D434EA1" w14:textId="176ED86F" w:rsidR="005B55C1" w:rsidRPr="003833BA"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1.9%</w:t>
            </w:r>
          </w:p>
        </w:tc>
        <w:tc>
          <w:tcPr>
            <w:tcW w:w="757" w:type="pct"/>
            <w:noWrap/>
            <w:hideMark/>
          </w:tcPr>
          <w:p w14:paraId="4A2C618F" w14:textId="34CE2DAD" w:rsidR="005B55C1" w:rsidRPr="003833BA"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3.5%</w:t>
            </w:r>
          </w:p>
        </w:tc>
        <w:tc>
          <w:tcPr>
            <w:tcW w:w="487" w:type="pct"/>
            <w:noWrap/>
            <w:hideMark/>
          </w:tcPr>
          <w:p w14:paraId="23A79A85" w14:textId="7AA16A43" w:rsidR="005B55C1" w:rsidRPr="003833BA"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6.5%</w:t>
            </w:r>
          </w:p>
        </w:tc>
        <w:tc>
          <w:tcPr>
            <w:tcW w:w="635" w:type="pct"/>
            <w:noWrap/>
            <w:hideMark/>
          </w:tcPr>
          <w:p w14:paraId="6FDFA58C" w14:textId="647F6A55" w:rsidR="005B55C1" w:rsidRPr="003833BA"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Cs w:val="20"/>
              </w:rPr>
            </w:pPr>
            <w:r w:rsidRPr="003833BA">
              <w:rPr>
                <w:rFonts w:ascii="Calibri" w:hAnsi="Calibri"/>
                <w:color w:val="000000"/>
                <w:szCs w:val="20"/>
              </w:rPr>
              <w:t>8.3%</w:t>
            </w:r>
          </w:p>
        </w:tc>
      </w:tr>
      <w:tr w:rsidR="003833BA" w:rsidRPr="005D67B2" w14:paraId="3668C03D" w14:textId="77777777" w:rsidTr="003833BA">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958" w:type="pct"/>
            <w:noWrap/>
            <w:hideMark/>
          </w:tcPr>
          <w:p w14:paraId="0F217E6D" w14:textId="77777777" w:rsidR="003833BA" w:rsidRPr="006166D8" w:rsidRDefault="003833BA" w:rsidP="003833BA">
            <w:pPr>
              <w:keepNext/>
              <w:jc w:val="left"/>
              <w:rPr>
                <w:rFonts w:asciiTheme="majorHAnsi" w:eastAsia="Times New Roman" w:hAnsiTheme="majorHAnsi"/>
                <w:color w:val="000000"/>
                <w:szCs w:val="20"/>
              </w:rPr>
            </w:pPr>
            <w:r w:rsidRPr="006166D8">
              <w:rPr>
                <w:rFonts w:asciiTheme="majorHAnsi" w:eastAsia="Times New Roman" w:hAnsiTheme="majorHAnsi"/>
                <w:color w:val="000000"/>
                <w:szCs w:val="20"/>
              </w:rPr>
              <w:t>Potential Forecast</w:t>
            </w:r>
          </w:p>
        </w:tc>
        <w:tc>
          <w:tcPr>
            <w:tcW w:w="782" w:type="pct"/>
            <w:noWrap/>
            <w:vAlign w:val="top"/>
            <w:hideMark/>
          </w:tcPr>
          <w:p w14:paraId="12FBD692" w14:textId="4DDE8507" w:rsidR="003833BA" w:rsidRPr="006166D8"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1,823</w:t>
            </w:r>
          </w:p>
        </w:tc>
        <w:tc>
          <w:tcPr>
            <w:tcW w:w="382" w:type="pct"/>
            <w:noWrap/>
            <w:vAlign w:val="top"/>
            <w:hideMark/>
          </w:tcPr>
          <w:p w14:paraId="626350A4" w14:textId="244AD243" w:rsidR="003833BA" w:rsidRPr="006166D8"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1,796</w:t>
            </w:r>
          </w:p>
        </w:tc>
        <w:tc>
          <w:tcPr>
            <w:tcW w:w="757" w:type="pct"/>
            <w:noWrap/>
            <w:vAlign w:val="top"/>
            <w:hideMark/>
          </w:tcPr>
          <w:p w14:paraId="171986DC" w14:textId="3DB59E0B" w:rsidR="003833BA" w:rsidRPr="006166D8"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1,744</w:t>
            </w:r>
          </w:p>
        </w:tc>
        <w:tc>
          <w:tcPr>
            <w:tcW w:w="487" w:type="pct"/>
            <w:noWrap/>
            <w:vAlign w:val="top"/>
            <w:hideMark/>
          </w:tcPr>
          <w:p w14:paraId="4957733F" w14:textId="02E8C4A4" w:rsidR="003833BA" w:rsidRPr="006166D8"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1,870</w:t>
            </w:r>
          </w:p>
        </w:tc>
        <w:tc>
          <w:tcPr>
            <w:tcW w:w="635" w:type="pct"/>
            <w:noWrap/>
            <w:vAlign w:val="top"/>
            <w:hideMark/>
          </w:tcPr>
          <w:p w14:paraId="3AED231C" w14:textId="5CED2185" w:rsidR="003833BA" w:rsidRPr="006166D8"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2,074</w:t>
            </w:r>
          </w:p>
        </w:tc>
      </w:tr>
    </w:tbl>
    <w:p w14:paraId="530C88E5" w14:textId="17974369" w:rsidR="00CE27E4" w:rsidRPr="00CE27E4" w:rsidRDefault="00CE27E4" w:rsidP="00052175">
      <w:pPr>
        <w:rPr>
          <w:lang w:eastAsia="ja-JP"/>
        </w:rPr>
      </w:pPr>
    </w:p>
    <w:p w14:paraId="76BB4A63" w14:textId="4919A6A3" w:rsidR="00CE27E4" w:rsidRDefault="00CE27E4" w:rsidP="00CE27E4">
      <w:pPr>
        <w:pStyle w:val="Caption"/>
      </w:pPr>
      <w:bookmarkStart w:id="205" w:name="_Toc175912408"/>
      <w:r>
        <w:t xml:space="preserve">Table </w:t>
      </w:r>
      <w:r w:rsidR="00EE4707">
        <w:fldChar w:fldCharType="begin"/>
      </w:r>
      <w:r w:rsidR="00EE4707">
        <w:instrText xml:space="preserve"> STYLEREF 1 \s </w:instrText>
      </w:r>
      <w:r w:rsidR="00EE4707">
        <w:fldChar w:fldCharType="separate"/>
      </w:r>
      <w:r w:rsidR="003833BA">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3833BA">
        <w:rPr>
          <w:noProof/>
        </w:rPr>
        <w:t>9</w:t>
      </w:r>
      <w:r w:rsidR="00EE4707">
        <w:fldChar w:fldCharType="end"/>
      </w:r>
      <w:r>
        <w:t xml:space="preserve"> </w:t>
      </w:r>
      <w:r w:rsidRPr="00E07E9D">
        <w:t>Summary of Integrated TOU Opt-in Potential (MW @ Generator), Winter</w:t>
      </w:r>
      <w:bookmarkEnd w:id="205"/>
    </w:p>
    <w:tbl>
      <w:tblPr>
        <w:tblStyle w:val="AEGBlue2"/>
        <w:tblW w:w="5000" w:type="pct"/>
        <w:tblLook w:val="04A0" w:firstRow="1" w:lastRow="0" w:firstColumn="1" w:lastColumn="0" w:noHBand="0" w:noVBand="1"/>
      </w:tblPr>
      <w:tblGrid>
        <w:gridCol w:w="4038"/>
        <w:gridCol w:w="824"/>
        <w:gridCol w:w="1198"/>
        <w:gridCol w:w="1093"/>
        <w:gridCol w:w="1095"/>
        <w:gridCol w:w="1112"/>
      </w:tblGrid>
      <w:tr w:rsidR="00CE27E4" w:rsidRPr="005D67B2" w14:paraId="5288FBA2" w14:textId="77777777" w:rsidTr="00C14C7A">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157" w:type="pct"/>
            <w:hideMark/>
          </w:tcPr>
          <w:p w14:paraId="7A88D984" w14:textId="78187715" w:rsidR="00CE27E4" w:rsidRPr="006166D8" w:rsidRDefault="00CE27E4" w:rsidP="00CE27E4">
            <w:pPr>
              <w:keepNext/>
              <w:jc w:val="left"/>
              <w:rPr>
                <w:rFonts w:asciiTheme="majorHAnsi" w:eastAsia="Times New Roman" w:hAnsiTheme="majorHAnsi"/>
                <w:szCs w:val="20"/>
              </w:rPr>
            </w:pPr>
          </w:p>
        </w:tc>
        <w:tc>
          <w:tcPr>
            <w:tcW w:w="440" w:type="pct"/>
            <w:hideMark/>
          </w:tcPr>
          <w:p w14:paraId="6F0DA10D" w14:textId="77777777" w:rsidR="00CE27E4" w:rsidRPr="006166D8"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66D8">
              <w:rPr>
                <w:rFonts w:asciiTheme="majorHAnsi" w:eastAsia="Times New Roman" w:hAnsiTheme="majorHAnsi"/>
                <w:szCs w:val="20"/>
              </w:rPr>
              <w:t>2026</w:t>
            </w:r>
          </w:p>
        </w:tc>
        <w:tc>
          <w:tcPr>
            <w:tcW w:w="640" w:type="pct"/>
            <w:hideMark/>
          </w:tcPr>
          <w:p w14:paraId="78E8528D" w14:textId="77777777" w:rsidR="00CE27E4" w:rsidRPr="006166D8"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66D8">
              <w:rPr>
                <w:rFonts w:asciiTheme="majorHAnsi" w:eastAsia="Times New Roman" w:hAnsiTheme="majorHAnsi"/>
                <w:szCs w:val="20"/>
              </w:rPr>
              <w:t>2027</w:t>
            </w:r>
          </w:p>
        </w:tc>
        <w:tc>
          <w:tcPr>
            <w:tcW w:w="584" w:type="pct"/>
            <w:hideMark/>
          </w:tcPr>
          <w:p w14:paraId="03B3DB8B" w14:textId="77777777" w:rsidR="00CE27E4" w:rsidRPr="006166D8"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66D8">
              <w:rPr>
                <w:rFonts w:asciiTheme="majorHAnsi" w:eastAsia="Times New Roman" w:hAnsiTheme="majorHAnsi"/>
                <w:szCs w:val="20"/>
              </w:rPr>
              <w:t>2028</w:t>
            </w:r>
          </w:p>
        </w:tc>
        <w:tc>
          <w:tcPr>
            <w:tcW w:w="585" w:type="pct"/>
            <w:hideMark/>
          </w:tcPr>
          <w:p w14:paraId="25FA21C3" w14:textId="77777777" w:rsidR="00CE27E4" w:rsidRPr="006166D8"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66D8">
              <w:rPr>
                <w:rFonts w:asciiTheme="majorHAnsi" w:eastAsia="Times New Roman" w:hAnsiTheme="majorHAnsi"/>
                <w:szCs w:val="20"/>
              </w:rPr>
              <w:t>2035</w:t>
            </w:r>
          </w:p>
        </w:tc>
        <w:tc>
          <w:tcPr>
            <w:tcW w:w="594" w:type="pct"/>
            <w:hideMark/>
          </w:tcPr>
          <w:p w14:paraId="07EE0D82" w14:textId="77777777" w:rsidR="00CE27E4" w:rsidRPr="006166D8" w:rsidRDefault="00CE27E4" w:rsidP="00CE27E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66D8">
              <w:rPr>
                <w:rFonts w:asciiTheme="majorHAnsi" w:eastAsia="Times New Roman" w:hAnsiTheme="majorHAnsi"/>
                <w:szCs w:val="20"/>
              </w:rPr>
              <w:t>2045</w:t>
            </w:r>
          </w:p>
        </w:tc>
      </w:tr>
      <w:tr w:rsidR="003833BA" w:rsidRPr="005D67B2" w14:paraId="11964017" w14:textId="77777777">
        <w:trPr>
          <w:trHeight w:val="259"/>
        </w:trPr>
        <w:tc>
          <w:tcPr>
            <w:cnfStyle w:val="001000000000" w:firstRow="0" w:lastRow="0" w:firstColumn="1" w:lastColumn="0" w:oddVBand="0" w:evenVBand="0" w:oddHBand="0" w:evenHBand="0" w:firstRowFirstColumn="0" w:firstRowLastColumn="0" w:lastRowFirstColumn="0" w:lastRowLastColumn="0"/>
            <w:tcW w:w="2157" w:type="pct"/>
            <w:noWrap/>
            <w:hideMark/>
          </w:tcPr>
          <w:p w14:paraId="6C2A53A9" w14:textId="77777777" w:rsidR="003833BA" w:rsidRPr="006166D8" w:rsidRDefault="003833BA" w:rsidP="003833BA">
            <w:pPr>
              <w:keepNext/>
              <w:jc w:val="left"/>
              <w:rPr>
                <w:rFonts w:asciiTheme="majorHAnsi" w:eastAsia="Times New Roman" w:hAnsiTheme="majorHAnsi"/>
                <w:color w:val="000000"/>
                <w:szCs w:val="20"/>
              </w:rPr>
            </w:pPr>
            <w:r w:rsidRPr="006166D8">
              <w:rPr>
                <w:rFonts w:asciiTheme="majorHAnsi" w:eastAsia="Times New Roman" w:hAnsiTheme="majorHAnsi"/>
                <w:color w:val="000000"/>
                <w:szCs w:val="20"/>
              </w:rPr>
              <w:t>Baseline Forecast (Winter MW)</w:t>
            </w:r>
          </w:p>
        </w:tc>
        <w:tc>
          <w:tcPr>
            <w:tcW w:w="440" w:type="pct"/>
            <w:noWrap/>
            <w:vAlign w:val="top"/>
            <w:hideMark/>
          </w:tcPr>
          <w:p w14:paraId="2ED8641F" w14:textId="10715A63" w:rsidR="003833BA" w:rsidRPr="006166D8"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1,857</w:t>
            </w:r>
          </w:p>
        </w:tc>
        <w:tc>
          <w:tcPr>
            <w:tcW w:w="640" w:type="pct"/>
            <w:noWrap/>
            <w:vAlign w:val="top"/>
            <w:hideMark/>
          </w:tcPr>
          <w:p w14:paraId="3E85B821" w14:textId="4936AC1A" w:rsidR="003833BA" w:rsidRPr="006166D8"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1,873</w:t>
            </w:r>
          </w:p>
        </w:tc>
        <w:tc>
          <w:tcPr>
            <w:tcW w:w="584" w:type="pct"/>
            <w:noWrap/>
            <w:vAlign w:val="top"/>
            <w:hideMark/>
          </w:tcPr>
          <w:p w14:paraId="2AF58CAD" w14:textId="1953727D" w:rsidR="003833BA" w:rsidRPr="006166D8"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1,855</w:t>
            </w:r>
          </w:p>
        </w:tc>
        <w:tc>
          <w:tcPr>
            <w:tcW w:w="585" w:type="pct"/>
            <w:noWrap/>
            <w:vAlign w:val="top"/>
            <w:hideMark/>
          </w:tcPr>
          <w:p w14:paraId="292295A7" w14:textId="2BF84A00" w:rsidR="003833BA" w:rsidRPr="006166D8"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2,004</w:t>
            </w:r>
          </w:p>
        </w:tc>
        <w:tc>
          <w:tcPr>
            <w:tcW w:w="594" w:type="pct"/>
            <w:noWrap/>
            <w:vAlign w:val="top"/>
            <w:hideMark/>
          </w:tcPr>
          <w:p w14:paraId="2ED3E21D" w14:textId="5F0CD685" w:rsidR="003833BA" w:rsidRPr="006166D8" w:rsidRDefault="003833BA"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66D8">
              <w:rPr>
                <w:rFonts w:asciiTheme="majorHAnsi" w:hAnsiTheme="majorHAnsi"/>
              </w:rPr>
              <w:t>2,422</w:t>
            </w:r>
          </w:p>
        </w:tc>
      </w:tr>
      <w:tr w:rsidR="005B55C1" w:rsidRPr="005D67B2" w14:paraId="151493BB" w14:textId="77777777" w:rsidTr="00C14C7A">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157" w:type="pct"/>
            <w:noWrap/>
            <w:hideMark/>
          </w:tcPr>
          <w:p w14:paraId="4C2565C2" w14:textId="0FE05AB1" w:rsidR="005B55C1" w:rsidRPr="009C2A87" w:rsidRDefault="005B55C1" w:rsidP="005B55C1">
            <w:pPr>
              <w:keepNext/>
              <w:jc w:val="left"/>
              <w:rPr>
                <w:rFonts w:eastAsia="Times New Roman"/>
                <w:color w:val="000000"/>
                <w:szCs w:val="20"/>
              </w:rPr>
            </w:pPr>
            <w:r w:rsidRPr="009C2A87">
              <w:rPr>
                <w:rFonts w:eastAsia="Times New Roman"/>
                <w:color w:val="000000"/>
                <w:szCs w:val="20"/>
              </w:rPr>
              <w:t>Achievable Potential (MW)</w:t>
            </w:r>
          </w:p>
        </w:tc>
        <w:tc>
          <w:tcPr>
            <w:tcW w:w="440" w:type="pct"/>
            <w:noWrap/>
            <w:hideMark/>
          </w:tcPr>
          <w:p w14:paraId="51BD8E2E" w14:textId="46FF3512" w:rsidR="005B55C1" w:rsidRPr="009C2A87"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9C2A87">
              <w:rPr>
                <w:color w:val="000000"/>
                <w:szCs w:val="20"/>
              </w:rPr>
              <w:t>11.1</w:t>
            </w:r>
          </w:p>
        </w:tc>
        <w:tc>
          <w:tcPr>
            <w:tcW w:w="640" w:type="pct"/>
            <w:noWrap/>
            <w:hideMark/>
          </w:tcPr>
          <w:p w14:paraId="70045838" w14:textId="72894E38" w:rsidR="005B55C1" w:rsidRPr="009C2A87"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9C2A87">
              <w:rPr>
                <w:color w:val="000000"/>
                <w:szCs w:val="20"/>
              </w:rPr>
              <w:t>23.0</w:t>
            </w:r>
          </w:p>
        </w:tc>
        <w:tc>
          <w:tcPr>
            <w:tcW w:w="584" w:type="pct"/>
            <w:noWrap/>
            <w:hideMark/>
          </w:tcPr>
          <w:p w14:paraId="71B9508E" w14:textId="18E4CF7E" w:rsidR="005B55C1" w:rsidRPr="009C2A87"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9C2A87">
              <w:rPr>
                <w:color w:val="000000"/>
                <w:szCs w:val="20"/>
              </w:rPr>
              <w:t>39.1</w:t>
            </w:r>
          </w:p>
        </w:tc>
        <w:tc>
          <w:tcPr>
            <w:tcW w:w="585" w:type="pct"/>
            <w:noWrap/>
            <w:hideMark/>
          </w:tcPr>
          <w:p w14:paraId="6D544D4C" w14:textId="139C3D95" w:rsidR="005B55C1" w:rsidRPr="009C2A87"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9C2A87">
              <w:rPr>
                <w:color w:val="000000"/>
                <w:szCs w:val="20"/>
              </w:rPr>
              <w:t>100.5</w:t>
            </w:r>
          </w:p>
        </w:tc>
        <w:tc>
          <w:tcPr>
            <w:tcW w:w="594" w:type="pct"/>
            <w:noWrap/>
            <w:hideMark/>
          </w:tcPr>
          <w:p w14:paraId="5626443C" w14:textId="6D938559" w:rsidR="005B55C1" w:rsidRPr="009C2A87" w:rsidRDefault="005B55C1"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9C2A87">
              <w:rPr>
                <w:color w:val="000000"/>
                <w:szCs w:val="20"/>
              </w:rPr>
              <w:t>154.8</w:t>
            </w:r>
          </w:p>
        </w:tc>
      </w:tr>
      <w:tr w:rsidR="005B55C1" w:rsidRPr="005D67B2" w14:paraId="711D2C3B" w14:textId="77777777" w:rsidTr="00C14C7A">
        <w:trPr>
          <w:trHeight w:val="259"/>
        </w:trPr>
        <w:tc>
          <w:tcPr>
            <w:cnfStyle w:val="001000000000" w:firstRow="0" w:lastRow="0" w:firstColumn="1" w:lastColumn="0" w:oddVBand="0" w:evenVBand="0" w:oddHBand="0" w:evenHBand="0" w:firstRowFirstColumn="0" w:firstRowLastColumn="0" w:lastRowFirstColumn="0" w:lastRowLastColumn="0"/>
            <w:tcW w:w="2157" w:type="pct"/>
            <w:noWrap/>
            <w:hideMark/>
          </w:tcPr>
          <w:p w14:paraId="51742FEB" w14:textId="22F379E9" w:rsidR="005B55C1" w:rsidRPr="009C2A87" w:rsidRDefault="005B55C1" w:rsidP="005B55C1">
            <w:pPr>
              <w:keepNext/>
              <w:jc w:val="left"/>
              <w:rPr>
                <w:rFonts w:eastAsia="Times New Roman"/>
                <w:color w:val="000000"/>
                <w:szCs w:val="20"/>
              </w:rPr>
            </w:pPr>
            <w:r w:rsidRPr="009C2A87">
              <w:rPr>
                <w:rFonts w:eastAsia="Times New Roman"/>
                <w:color w:val="000000"/>
                <w:szCs w:val="20"/>
              </w:rPr>
              <w:t>Achievable Potential (% of baseline)</w:t>
            </w:r>
          </w:p>
        </w:tc>
        <w:tc>
          <w:tcPr>
            <w:tcW w:w="440" w:type="pct"/>
            <w:noWrap/>
            <w:hideMark/>
          </w:tcPr>
          <w:p w14:paraId="715F330B" w14:textId="04D4FA10" w:rsidR="005B55C1" w:rsidRPr="009C2A87"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9C2A87">
              <w:rPr>
                <w:color w:val="000000"/>
                <w:szCs w:val="20"/>
              </w:rPr>
              <w:t>0.6%</w:t>
            </w:r>
          </w:p>
        </w:tc>
        <w:tc>
          <w:tcPr>
            <w:tcW w:w="640" w:type="pct"/>
            <w:noWrap/>
            <w:hideMark/>
          </w:tcPr>
          <w:p w14:paraId="6C3623AE" w14:textId="39063F39" w:rsidR="005B55C1" w:rsidRPr="009C2A87"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9C2A87">
              <w:rPr>
                <w:color w:val="000000"/>
                <w:szCs w:val="20"/>
              </w:rPr>
              <w:t>1.3%</w:t>
            </w:r>
          </w:p>
        </w:tc>
        <w:tc>
          <w:tcPr>
            <w:tcW w:w="584" w:type="pct"/>
            <w:noWrap/>
            <w:hideMark/>
          </w:tcPr>
          <w:p w14:paraId="7403BF9F" w14:textId="00242ED0" w:rsidR="005B55C1" w:rsidRPr="009C2A87"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9C2A87">
              <w:rPr>
                <w:color w:val="000000"/>
                <w:szCs w:val="20"/>
              </w:rPr>
              <w:t>2.2%</w:t>
            </w:r>
          </w:p>
        </w:tc>
        <w:tc>
          <w:tcPr>
            <w:tcW w:w="585" w:type="pct"/>
            <w:noWrap/>
            <w:hideMark/>
          </w:tcPr>
          <w:p w14:paraId="4EDB28E0" w14:textId="23539CD7" w:rsidR="005B55C1" w:rsidRPr="009C2A87"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9C2A87">
              <w:rPr>
                <w:color w:val="000000"/>
                <w:szCs w:val="20"/>
              </w:rPr>
              <w:t>5.1%</w:t>
            </w:r>
          </w:p>
        </w:tc>
        <w:tc>
          <w:tcPr>
            <w:tcW w:w="594" w:type="pct"/>
            <w:noWrap/>
            <w:hideMark/>
          </w:tcPr>
          <w:p w14:paraId="48BC0BCA" w14:textId="033581A7" w:rsidR="005B55C1" w:rsidRPr="009C2A87" w:rsidRDefault="005B55C1"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9C2A87">
              <w:rPr>
                <w:color w:val="000000"/>
                <w:szCs w:val="20"/>
              </w:rPr>
              <w:t>6.5%</w:t>
            </w:r>
          </w:p>
        </w:tc>
      </w:tr>
      <w:tr w:rsidR="003833BA" w:rsidRPr="005D67B2" w14:paraId="7800D29B"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157" w:type="pct"/>
            <w:noWrap/>
            <w:hideMark/>
          </w:tcPr>
          <w:p w14:paraId="0736CA33" w14:textId="77777777" w:rsidR="003833BA" w:rsidRPr="009C2A87" w:rsidRDefault="003833BA" w:rsidP="003833BA">
            <w:pPr>
              <w:keepNext/>
              <w:jc w:val="left"/>
              <w:rPr>
                <w:rFonts w:asciiTheme="majorHAnsi" w:eastAsia="Times New Roman" w:hAnsiTheme="majorHAnsi"/>
                <w:color w:val="000000"/>
                <w:szCs w:val="20"/>
              </w:rPr>
            </w:pPr>
            <w:r w:rsidRPr="009C2A87">
              <w:rPr>
                <w:rFonts w:asciiTheme="majorHAnsi" w:eastAsia="Times New Roman" w:hAnsiTheme="majorHAnsi"/>
                <w:color w:val="000000"/>
                <w:szCs w:val="20"/>
              </w:rPr>
              <w:t>Potential Forecast</w:t>
            </w:r>
          </w:p>
        </w:tc>
        <w:tc>
          <w:tcPr>
            <w:tcW w:w="440" w:type="pct"/>
            <w:noWrap/>
            <w:vAlign w:val="top"/>
            <w:hideMark/>
          </w:tcPr>
          <w:p w14:paraId="5BF7B641" w14:textId="58B13CE1" w:rsidR="003833BA" w:rsidRPr="009C2A87"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C2A87">
              <w:rPr>
                <w:rFonts w:asciiTheme="majorHAnsi" w:hAnsiTheme="majorHAnsi"/>
              </w:rPr>
              <w:t>1,846</w:t>
            </w:r>
          </w:p>
        </w:tc>
        <w:tc>
          <w:tcPr>
            <w:tcW w:w="640" w:type="pct"/>
            <w:noWrap/>
            <w:vAlign w:val="top"/>
            <w:hideMark/>
          </w:tcPr>
          <w:p w14:paraId="4917D080" w14:textId="27916B36" w:rsidR="003833BA" w:rsidRPr="009C2A87"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C2A87">
              <w:rPr>
                <w:rFonts w:asciiTheme="majorHAnsi" w:hAnsiTheme="majorHAnsi"/>
              </w:rPr>
              <w:t>1,850</w:t>
            </w:r>
          </w:p>
        </w:tc>
        <w:tc>
          <w:tcPr>
            <w:tcW w:w="584" w:type="pct"/>
            <w:noWrap/>
            <w:vAlign w:val="top"/>
            <w:hideMark/>
          </w:tcPr>
          <w:p w14:paraId="31A6A621" w14:textId="4E027D51" w:rsidR="003833BA" w:rsidRPr="009C2A87"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C2A87">
              <w:rPr>
                <w:rFonts w:asciiTheme="majorHAnsi" w:hAnsiTheme="majorHAnsi"/>
              </w:rPr>
              <w:t>1,816</w:t>
            </w:r>
          </w:p>
        </w:tc>
        <w:tc>
          <w:tcPr>
            <w:tcW w:w="585" w:type="pct"/>
            <w:noWrap/>
            <w:vAlign w:val="top"/>
            <w:hideMark/>
          </w:tcPr>
          <w:p w14:paraId="613FFB7B" w14:textId="014F57E1" w:rsidR="003833BA" w:rsidRPr="009C2A87"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C2A87">
              <w:rPr>
                <w:rFonts w:asciiTheme="majorHAnsi" w:hAnsiTheme="majorHAnsi"/>
              </w:rPr>
              <w:t>1,904</w:t>
            </w:r>
          </w:p>
        </w:tc>
        <w:tc>
          <w:tcPr>
            <w:tcW w:w="594" w:type="pct"/>
            <w:noWrap/>
            <w:vAlign w:val="top"/>
            <w:hideMark/>
          </w:tcPr>
          <w:p w14:paraId="6E9F8010" w14:textId="639C2F2B" w:rsidR="003833BA" w:rsidRPr="009C2A87" w:rsidRDefault="003833BA"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C2A87">
              <w:rPr>
                <w:rFonts w:asciiTheme="majorHAnsi" w:hAnsiTheme="majorHAnsi"/>
              </w:rPr>
              <w:t>2,267</w:t>
            </w:r>
          </w:p>
        </w:tc>
      </w:tr>
    </w:tbl>
    <w:p w14:paraId="734A2EF7" w14:textId="77777777" w:rsidR="00CE27E4" w:rsidRDefault="00CE27E4" w:rsidP="00052175">
      <w:pPr>
        <w:rPr>
          <w:lang w:eastAsia="ja-JP"/>
        </w:rPr>
      </w:pPr>
    </w:p>
    <w:p w14:paraId="47AEE36E" w14:textId="33FEAFEF" w:rsidR="00FF7C59" w:rsidRDefault="00FF7C59" w:rsidP="00FF7C59">
      <w:pPr>
        <w:pStyle w:val="Caption"/>
      </w:pPr>
      <w:bookmarkStart w:id="206" w:name="_Toc175904465"/>
      <w:r>
        <w:t xml:space="preserve">Figure </w:t>
      </w:r>
      <w:r w:rsidR="000E34CB">
        <w:fldChar w:fldCharType="begin"/>
      </w:r>
      <w:r w:rsidR="000E34CB">
        <w:instrText xml:space="preserve"> STYLEREF 1 \s </w:instrText>
      </w:r>
      <w:r w:rsidR="000E34CB">
        <w:fldChar w:fldCharType="separate"/>
      </w:r>
      <w:r w:rsidR="003833BA">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3833BA">
        <w:rPr>
          <w:noProof/>
        </w:rPr>
        <w:t>4</w:t>
      </w:r>
      <w:r w:rsidR="000E34CB">
        <w:fldChar w:fldCharType="end"/>
      </w:r>
      <w:r>
        <w:t xml:space="preserve"> </w:t>
      </w:r>
      <w:r w:rsidRPr="002F22F4">
        <w:t>Summary of Integrated TOU Opt-In Potential (MW @ Generator)</w:t>
      </w:r>
      <w:bookmarkEnd w:id="206"/>
    </w:p>
    <w:p w14:paraId="2597E3CF" w14:textId="7ED7B04A" w:rsidR="00267C0F" w:rsidRDefault="001161FF" w:rsidP="0060704E">
      <w:pPr>
        <w:jc w:val="center"/>
        <w:rPr>
          <w:noProof/>
        </w:rPr>
      </w:pPr>
      <w:r>
        <w:rPr>
          <w:noProof/>
        </w:rPr>
        <w:drawing>
          <wp:inline distT="0" distB="0" distL="0" distR="0" wp14:anchorId="7ADD2A6F" wp14:editId="11B1D4DF">
            <wp:extent cx="2743200" cy="2130552"/>
            <wp:effectExtent l="0" t="0" r="0" b="3175"/>
            <wp:docPr id="1353013707" name="Chart 1">
              <a:extLst xmlns:a="http://schemas.openxmlformats.org/drawingml/2006/main">
                <a:ext uri="{FF2B5EF4-FFF2-40B4-BE49-F238E27FC236}">
                  <a16:creationId xmlns:a16="http://schemas.microsoft.com/office/drawing/2014/main" id="{E1BC0C7D-8C63-7ABB-280F-437A7166A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DA5BE8">
        <w:rPr>
          <w:noProof/>
        </w:rPr>
        <w:drawing>
          <wp:inline distT="0" distB="0" distL="0" distR="0" wp14:anchorId="2EC54185" wp14:editId="606F4E00">
            <wp:extent cx="2743200" cy="2130552"/>
            <wp:effectExtent l="0" t="0" r="0" b="3175"/>
            <wp:docPr id="1344857835" name="Chart 1">
              <a:extLst xmlns:a="http://schemas.openxmlformats.org/drawingml/2006/main">
                <a:ext uri="{FF2B5EF4-FFF2-40B4-BE49-F238E27FC236}">
                  <a16:creationId xmlns:a16="http://schemas.microsoft.com/office/drawing/2014/main" id="{A2AD716D-636D-4196-9906-CFD0E091B1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00C8DAC" w14:textId="77777777" w:rsidR="00FF7C59" w:rsidRDefault="00FF7C59" w:rsidP="00052175">
      <w:pPr>
        <w:rPr>
          <w:noProof/>
        </w:rPr>
      </w:pPr>
    </w:p>
    <w:p w14:paraId="3E7A2006" w14:textId="77777777" w:rsidR="00FF7C59" w:rsidRDefault="00FF7C59" w:rsidP="00052175">
      <w:pPr>
        <w:rPr>
          <w:lang w:eastAsia="ja-JP"/>
        </w:rPr>
      </w:pPr>
    </w:p>
    <w:p w14:paraId="4A3F265E" w14:textId="37C6A371" w:rsidR="00CC6A72" w:rsidRDefault="00CC6A72" w:rsidP="001E255C">
      <w:pPr>
        <w:pStyle w:val="Heading3"/>
      </w:pPr>
      <w:bookmarkStart w:id="207" w:name="_Toc175904889"/>
      <w:r>
        <w:t>S</w:t>
      </w:r>
      <w:r w:rsidR="0055004C">
        <w:t>ummer Opt-in TOU Scenario</w:t>
      </w:r>
      <w:bookmarkEnd w:id="207"/>
    </w:p>
    <w:p w14:paraId="5F45B3A7" w14:textId="77777777" w:rsidR="00560B80" w:rsidRPr="004A3A21" w:rsidRDefault="00560B80" w:rsidP="00560B80">
      <w:pPr>
        <w:pStyle w:val="BodyText"/>
      </w:pPr>
      <w:r w:rsidRPr="004A3A21">
        <w:t xml:space="preserve">Key findings </w:t>
      </w:r>
      <w:r>
        <w:t xml:space="preserve">from the summer integrated Opt-in TOU scenario </w:t>
      </w:r>
      <w:r w:rsidRPr="004A3A21">
        <w:t>include:</w:t>
      </w:r>
    </w:p>
    <w:p w14:paraId="1009FA64" w14:textId="74C2151F" w:rsidR="00560B80" w:rsidRPr="00C840E2" w:rsidRDefault="00C840E2" w:rsidP="00862AE7">
      <w:pPr>
        <w:pStyle w:val="AEG-BulletList"/>
      </w:pPr>
      <w:r w:rsidRPr="00C840E2">
        <w:t>The EV V1G Telematics Program</w:t>
      </w:r>
      <w:r w:rsidR="00560B80" w:rsidRPr="00C840E2">
        <w:t xml:space="preserve"> ha</w:t>
      </w:r>
      <w:r w:rsidRPr="00C840E2">
        <w:t>s</w:t>
      </w:r>
      <w:r w:rsidR="00560B80" w:rsidRPr="00C840E2">
        <w:t xml:space="preserve"> the highest potential savings</w:t>
      </w:r>
      <w:r w:rsidRPr="00C840E2">
        <w:t xml:space="preserve"> with</w:t>
      </w:r>
      <w:r w:rsidR="00560B80" w:rsidRPr="00C840E2">
        <w:t xml:space="preserve"> </w:t>
      </w:r>
      <w:r w:rsidRPr="00C840E2">
        <w:t>47</w:t>
      </w:r>
      <w:r w:rsidR="00560B80" w:rsidRPr="00C840E2">
        <w:t>.</w:t>
      </w:r>
      <w:r w:rsidRPr="00C840E2">
        <w:t>1</w:t>
      </w:r>
      <w:r w:rsidR="00560B80" w:rsidRPr="00C840E2">
        <w:t xml:space="preserve"> MW by 2045. </w:t>
      </w:r>
    </w:p>
    <w:p w14:paraId="69D7974E" w14:textId="0E2D90A5" w:rsidR="00560B80" w:rsidRPr="00C840E2" w:rsidRDefault="00560B80" w:rsidP="00862AE7">
      <w:pPr>
        <w:pStyle w:val="AEG-BulletList"/>
      </w:pPr>
      <w:r w:rsidRPr="00C840E2">
        <w:t xml:space="preserve">DLC </w:t>
      </w:r>
      <w:r w:rsidR="00C840E2" w:rsidRPr="00C840E2">
        <w:t>Smart Thermostats</w:t>
      </w:r>
      <w:r w:rsidRPr="00C840E2">
        <w:t xml:space="preserve"> (</w:t>
      </w:r>
      <w:r w:rsidR="00C840E2" w:rsidRPr="00C840E2">
        <w:t>33</w:t>
      </w:r>
      <w:r w:rsidRPr="00C840E2">
        <w:t>.</w:t>
      </w:r>
      <w:r w:rsidR="00C840E2" w:rsidRPr="00C840E2">
        <w:t>4</w:t>
      </w:r>
      <w:r w:rsidRPr="00C840E2">
        <w:t xml:space="preserve"> MW) and Third Party Contracts (2</w:t>
      </w:r>
      <w:r w:rsidR="00C840E2" w:rsidRPr="00C840E2">
        <w:t>6</w:t>
      </w:r>
      <w:r w:rsidRPr="00C840E2">
        <w:t>.</w:t>
      </w:r>
      <w:r w:rsidR="00C840E2" w:rsidRPr="00C840E2">
        <w:t>6</w:t>
      </w:r>
      <w:r w:rsidRPr="00C840E2">
        <w:t xml:space="preserve"> MW) have the next-highest potential savings, respectively. </w:t>
      </w:r>
    </w:p>
    <w:p w14:paraId="0ED48865" w14:textId="77777777" w:rsidR="00560B80" w:rsidRPr="00C840E2" w:rsidRDefault="00560B80" w:rsidP="00862AE7">
      <w:pPr>
        <w:pStyle w:val="AEG-BulletList"/>
      </w:pPr>
      <w:r w:rsidRPr="00C840E2">
        <w:t xml:space="preserve">Most of the DR potential in both Washington and Idaho comes from the residential customer class. </w:t>
      </w:r>
    </w:p>
    <w:p w14:paraId="6CAA9A45" w14:textId="36EB61DC" w:rsidR="0055004C" w:rsidRDefault="0055004C" w:rsidP="001E255C">
      <w:pPr>
        <w:pStyle w:val="Heading4"/>
        <w:rPr>
          <w:lang w:eastAsia="ja-JP"/>
        </w:rPr>
      </w:pPr>
      <w:r>
        <w:rPr>
          <w:lang w:eastAsia="ja-JP"/>
        </w:rPr>
        <w:t>Potential by DSM Option</w:t>
      </w:r>
    </w:p>
    <w:p w14:paraId="2767CF07" w14:textId="1F0951C3" w:rsidR="000F2D54" w:rsidRPr="000F2D54" w:rsidRDefault="000F2D54" w:rsidP="000F2D54">
      <w:pPr>
        <w:pStyle w:val="AEGBody"/>
        <w:rPr>
          <w:lang w:eastAsia="ja-JP"/>
        </w:rPr>
      </w:pPr>
      <w:r w:rsidRPr="000F2D54">
        <w:rPr>
          <w:lang w:eastAsia="ja-JP"/>
        </w:rPr>
        <w:t>Figure 6</w:t>
      </w:r>
      <w:r>
        <w:rPr>
          <w:lang w:eastAsia="ja-JP"/>
        </w:rPr>
        <w:t>-</w:t>
      </w:r>
      <w:r w:rsidRPr="000F2D54">
        <w:rPr>
          <w:lang w:eastAsia="ja-JP"/>
        </w:rPr>
        <w:t>5 and Table 6</w:t>
      </w:r>
      <w:r>
        <w:rPr>
          <w:lang w:eastAsia="ja-JP"/>
        </w:rPr>
        <w:t>-</w:t>
      </w:r>
      <w:r w:rsidRPr="000F2D54">
        <w:rPr>
          <w:lang w:eastAsia="ja-JP"/>
        </w:rPr>
        <w:t>10 show the summer demand savings from individual DR options. The savings represent integrated savings from all available DR options in Avista’s Washington and Idaho service territories.</w:t>
      </w:r>
      <w:r w:rsidR="00200C42">
        <w:rPr>
          <w:lang w:eastAsia="ja-JP"/>
        </w:rPr>
        <w:t xml:space="preserve"> </w:t>
      </w:r>
      <w:r w:rsidR="00200C42" w:rsidRPr="000370D2">
        <w:rPr>
          <w:lang w:eastAsia="ja-JP"/>
        </w:rPr>
        <w:t>Total potential savings as a percentage of summer peak are expected to increase from 1% in 2026 to 8% by 2045.</w:t>
      </w:r>
    </w:p>
    <w:p w14:paraId="274F58F9" w14:textId="699FB30C" w:rsidR="00A940A0" w:rsidRDefault="00A940A0" w:rsidP="00A940A0">
      <w:pPr>
        <w:pStyle w:val="Caption"/>
      </w:pPr>
      <w:bookmarkStart w:id="208" w:name="_Toc175904466"/>
      <w:r>
        <w:t xml:space="preserve">Figure </w:t>
      </w:r>
      <w:r w:rsidR="000E34CB">
        <w:fldChar w:fldCharType="begin"/>
      </w:r>
      <w:r w:rsidR="000E34CB">
        <w:instrText xml:space="preserve"> STYLEREF 1 \s </w:instrText>
      </w:r>
      <w:r w:rsidR="000E34CB">
        <w:fldChar w:fldCharType="separate"/>
      </w:r>
      <w:r w:rsidR="000E34CB">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5</w:t>
      </w:r>
      <w:r w:rsidR="000E34CB">
        <w:fldChar w:fldCharType="end"/>
      </w:r>
      <w:r>
        <w:t xml:space="preserve"> </w:t>
      </w:r>
      <w:r w:rsidRPr="000526BB">
        <w:t>Summary of Summer Potential by Option – TOU Opt-In (MW @ Generator)</w:t>
      </w:r>
      <w:bookmarkEnd w:id="208"/>
    </w:p>
    <w:p w14:paraId="48D70128" w14:textId="7B5424CF" w:rsidR="000370D2" w:rsidRDefault="00F87DD0" w:rsidP="000370D2">
      <w:pPr>
        <w:pStyle w:val="AEGBody"/>
        <w:jc w:val="center"/>
        <w:rPr>
          <w:lang w:eastAsia="ja-JP"/>
        </w:rPr>
      </w:pPr>
      <w:r>
        <w:rPr>
          <w:noProof/>
        </w:rPr>
        <w:drawing>
          <wp:inline distT="0" distB="0" distL="0" distR="0" wp14:anchorId="2BCF921F" wp14:editId="65BE8D8C">
            <wp:extent cx="5829300" cy="2895600"/>
            <wp:effectExtent l="0" t="0" r="0" b="0"/>
            <wp:docPr id="2083242261" name="Chart 1">
              <a:extLst xmlns:a="http://schemas.openxmlformats.org/drawingml/2006/main">
                <a:ext uri="{FF2B5EF4-FFF2-40B4-BE49-F238E27FC236}">
                  <a16:creationId xmlns:a16="http://schemas.microsoft.com/office/drawing/2014/main" id="{B2E72E1A-2994-4345-9FEB-8027EB6329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0712DB4" w14:textId="77777777" w:rsidR="000370D2" w:rsidRPr="000370D2" w:rsidRDefault="000370D2" w:rsidP="000370D2">
      <w:pPr>
        <w:pStyle w:val="AEGBody"/>
        <w:rPr>
          <w:lang w:eastAsia="ja-JP"/>
        </w:rPr>
      </w:pPr>
    </w:p>
    <w:p w14:paraId="3B5EA96F" w14:textId="420978EB" w:rsidR="007947B1" w:rsidRDefault="007947B1" w:rsidP="007947B1">
      <w:pPr>
        <w:pStyle w:val="Caption"/>
      </w:pPr>
      <w:bookmarkStart w:id="209" w:name="_Toc175912409"/>
      <w:r>
        <w:t xml:space="preserve">Table </w:t>
      </w:r>
      <w:r w:rsidR="00EE4707">
        <w:fldChar w:fldCharType="begin"/>
      </w:r>
      <w:r w:rsidR="00EE4707">
        <w:instrText xml:space="preserve"> STYLEREF 1 \s </w:instrText>
      </w:r>
      <w:r w:rsidR="00EE4707">
        <w:fldChar w:fldCharType="separate"/>
      </w:r>
      <w:r w:rsidR="00EE4707">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7</w:t>
      </w:r>
      <w:r w:rsidR="00EE4707">
        <w:fldChar w:fldCharType="end"/>
      </w:r>
      <w:r>
        <w:t xml:space="preserve"> </w:t>
      </w:r>
      <w:r w:rsidRPr="00BD3963">
        <w:t>Summary of Summer Potential by Option – TOU Opt-In (MW @ Generator)</w:t>
      </w:r>
      <w:bookmarkEnd w:id="209"/>
    </w:p>
    <w:tbl>
      <w:tblPr>
        <w:tblStyle w:val="AEG-DarkBanded"/>
        <w:tblW w:w="5000" w:type="pct"/>
        <w:tblLook w:val="04A0" w:firstRow="1" w:lastRow="0" w:firstColumn="1" w:lastColumn="0" w:noHBand="0" w:noVBand="1"/>
      </w:tblPr>
      <w:tblGrid>
        <w:gridCol w:w="4570"/>
        <w:gridCol w:w="960"/>
        <w:gridCol w:w="955"/>
        <w:gridCol w:w="955"/>
        <w:gridCol w:w="960"/>
        <w:gridCol w:w="960"/>
      </w:tblGrid>
      <w:tr w:rsidR="005705C3" w:rsidRPr="005D67B2" w14:paraId="07B2245C" w14:textId="77777777" w:rsidTr="0060704E">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hideMark/>
          </w:tcPr>
          <w:p w14:paraId="3DBB5BB3" w14:textId="7528D7F9" w:rsidR="005705C3" w:rsidRPr="008974C6" w:rsidRDefault="005705C3" w:rsidP="00B77D14">
            <w:pPr>
              <w:keepNext/>
              <w:rPr>
                <w:rFonts w:asciiTheme="majorHAnsi" w:eastAsia="Times New Roman" w:hAnsiTheme="majorHAnsi"/>
                <w:b w:val="0"/>
                <w:szCs w:val="20"/>
              </w:rPr>
            </w:pPr>
            <w:r w:rsidRPr="008974C6">
              <w:rPr>
                <w:rFonts w:asciiTheme="majorHAnsi" w:eastAsia="Times New Roman" w:hAnsiTheme="majorHAnsi"/>
                <w:b w:val="0"/>
                <w:szCs w:val="20"/>
              </w:rPr>
              <w:t>Summer Potential</w:t>
            </w:r>
          </w:p>
        </w:tc>
        <w:tc>
          <w:tcPr>
            <w:tcW w:w="513" w:type="pct"/>
            <w:hideMark/>
          </w:tcPr>
          <w:p w14:paraId="57B9A995" w14:textId="77777777" w:rsidR="005705C3" w:rsidRPr="008974C6" w:rsidRDefault="005705C3" w:rsidP="00B77D1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74C6">
              <w:rPr>
                <w:rFonts w:asciiTheme="majorHAnsi" w:eastAsia="Times New Roman" w:hAnsiTheme="majorHAnsi"/>
                <w:b w:val="0"/>
                <w:szCs w:val="20"/>
              </w:rPr>
              <w:t>2026</w:t>
            </w:r>
          </w:p>
        </w:tc>
        <w:tc>
          <w:tcPr>
            <w:tcW w:w="510" w:type="pct"/>
            <w:hideMark/>
          </w:tcPr>
          <w:p w14:paraId="08ABA4E1" w14:textId="77777777" w:rsidR="005705C3" w:rsidRPr="008974C6" w:rsidRDefault="005705C3" w:rsidP="00B77D1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74C6">
              <w:rPr>
                <w:rFonts w:asciiTheme="majorHAnsi" w:eastAsia="Times New Roman" w:hAnsiTheme="majorHAnsi"/>
                <w:b w:val="0"/>
                <w:szCs w:val="20"/>
              </w:rPr>
              <w:t>2027</w:t>
            </w:r>
          </w:p>
        </w:tc>
        <w:tc>
          <w:tcPr>
            <w:tcW w:w="510" w:type="pct"/>
            <w:hideMark/>
          </w:tcPr>
          <w:p w14:paraId="3BE106DB" w14:textId="77777777" w:rsidR="005705C3" w:rsidRPr="008974C6" w:rsidRDefault="005705C3" w:rsidP="00B77D1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74C6">
              <w:rPr>
                <w:rFonts w:asciiTheme="majorHAnsi" w:eastAsia="Times New Roman" w:hAnsiTheme="majorHAnsi"/>
                <w:b w:val="0"/>
                <w:szCs w:val="20"/>
              </w:rPr>
              <w:t>2028</w:t>
            </w:r>
          </w:p>
        </w:tc>
        <w:tc>
          <w:tcPr>
            <w:tcW w:w="513" w:type="pct"/>
            <w:hideMark/>
          </w:tcPr>
          <w:p w14:paraId="42D0E576" w14:textId="77777777" w:rsidR="005705C3" w:rsidRPr="008974C6" w:rsidRDefault="005705C3" w:rsidP="00B77D1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74C6">
              <w:rPr>
                <w:rFonts w:asciiTheme="majorHAnsi" w:eastAsia="Times New Roman" w:hAnsiTheme="majorHAnsi"/>
                <w:b w:val="0"/>
                <w:szCs w:val="20"/>
              </w:rPr>
              <w:t>2035</w:t>
            </w:r>
          </w:p>
        </w:tc>
        <w:tc>
          <w:tcPr>
            <w:tcW w:w="513" w:type="pct"/>
            <w:hideMark/>
          </w:tcPr>
          <w:p w14:paraId="62FFBAE7" w14:textId="77777777" w:rsidR="005705C3" w:rsidRPr="008974C6" w:rsidRDefault="005705C3" w:rsidP="00B77D1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8974C6">
              <w:rPr>
                <w:rFonts w:asciiTheme="majorHAnsi" w:eastAsia="Times New Roman" w:hAnsiTheme="majorHAnsi"/>
                <w:b w:val="0"/>
                <w:szCs w:val="20"/>
              </w:rPr>
              <w:t>2045</w:t>
            </w:r>
          </w:p>
        </w:tc>
      </w:tr>
      <w:tr w:rsidR="000370D2" w:rsidRPr="005705C3" w14:paraId="764AA405" w14:textId="77777777">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58299B3D" w14:textId="2D71A4BD" w:rsidR="000370D2" w:rsidRPr="008974C6" w:rsidRDefault="000370D2" w:rsidP="000370D2">
            <w:pPr>
              <w:keepNext/>
              <w:jc w:val="left"/>
              <w:rPr>
                <w:rFonts w:asciiTheme="majorHAnsi" w:eastAsia="Times New Roman" w:hAnsiTheme="majorHAnsi"/>
                <w:color w:val="000000"/>
                <w:szCs w:val="20"/>
              </w:rPr>
            </w:pPr>
            <w:r w:rsidRPr="008974C6">
              <w:rPr>
                <w:rFonts w:asciiTheme="majorHAnsi" w:hAnsiTheme="majorHAnsi"/>
                <w:color w:val="000000"/>
                <w:szCs w:val="20"/>
              </w:rPr>
              <w:t>Baseline Forecast (Summer MW)</w:t>
            </w:r>
          </w:p>
        </w:tc>
        <w:tc>
          <w:tcPr>
            <w:tcW w:w="513" w:type="pct"/>
            <w:noWrap/>
            <w:vAlign w:val="top"/>
            <w:hideMark/>
          </w:tcPr>
          <w:p w14:paraId="4F354761" w14:textId="06ACC98C" w:rsidR="000370D2" w:rsidRPr="008974C6"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rPr>
              <w:t>1,839</w:t>
            </w:r>
          </w:p>
        </w:tc>
        <w:tc>
          <w:tcPr>
            <w:tcW w:w="510" w:type="pct"/>
            <w:noWrap/>
            <w:vAlign w:val="top"/>
            <w:hideMark/>
          </w:tcPr>
          <w:p w14:paraId="4A00345F" w14:textId="3986AF71" w:rsidR="000370D2" w:rsidRPr="008974C6"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rPr>
              <w:t>1,829</w:t>
            </w:r>
          </w:p>
        </w:tc>
        <w:tc>
          <w:tcPr>
            <w:tcW w:w="510" w:type="pct"/>
            <w:noWrap/>
            <w:vAlign w:val="top"/>
            <w:hideMark/>
          </w:tcPr>
          <w:p w14:paraId="04E5FC14" w14:textId="0CD69DAA" w:rsidR="000370D2" w:rsidRPr="008974C6"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rPr>
              <w:t>1,806</w:t>
            </w:r>
          </w:p>
        </w:tc>
        <w:tc>
          <w:tcPr>
            <w:tcW w:w="513" w:type="pct"/>
            <w:noWrap/>
            <w:vAlign w:val="top"/>
            <w:hideMark/>
          </w:tcPr>
          <w:p w14:paraId="06043D66" w14:textId="4EE68C9F" w:rsidR="000370D2" w:rsidRPr="008974C6"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rPr>
              <w:t>1,998</w:t>
            </w:r>
          </w:p>
        </w:tc>
        <w:tc>
          <w:tcPr>
            <w:tcW w:w="513" w:type="pct"/>
            <w:noWrap/>
            <w:vAlign w:val="top"/>
            <w:hideMark/>
          </w:tcPr>
          <w:p w14:paraId="6BB41305" w14:textId="03CFBE47" w:rsidR="000370D2" w:rsidRPr="008974C6"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rPr>
              <w:t>2,258</w:t>
            </w:r>
          </w:p>
        </w:tc>
      </w:tr>
      <w:tr w:rsidR="009A7B38" w:rsidRPr="005D67B2" w14:paraId="70227796"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288341BD" w14:textId="0865E81A" w:rsidR="009A7B38" w:rsidRPr="008974C6" w:rsidRDefault="009A7B38" w:rsidP="009A7B38">
            <w:pPr>
              <w:keepNext/>
              <w:jc w:val="left"/>
              <w:rPr>
                <w:rFonts w:asciiTheme="majorHAnsi" w:eastAsia="Times New Roman" w:hAnsiTheme="majorHAnsi"/>
                <w:color w:val="000000"/>
                <w:szCs w:val="20"/>
              </w:rPr>
            </w:pPr>
            <w:r w:rsidRPr="008974C6">
              <w:rPr>
                <w:rFonts w:asciiTheme="majorHAnsi" w:hAnsiTheme="majorHAnsi"/>
                <w:color w:val="000000"/>
                <w:szCs w:val="20"/>
              </w:rPr>
              <w:t>Achievable Potential (MW)</w:t>
            </w:r>
          </w:p>
        </w:tc>
        <w:tc>
          <w:tcPr>
            <w:tcW w:w="513" w:type="pct"/>
            <w:noWrap/>
            <w:hideMark/>
          </w:tcPr>
          <w:p w14:paraId="4E7DB51E" w14:textId="56096D43"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16</w:t>
            </w:r>
          </w:p>
        </w:tc>
        <w:tc>
          <w:tcPr>
            <w:tcW w:w="510" w:type="pct"/>
            <w:noWrap/>
            <w:hideMark/>
          </w:tcPr>
          <w:p w14:paraId="479A2859" w14:textId="31B9B5BE"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34</w:t>
            </w:r>
          </w:p>
        </w:tc>
        <w:tc>
          <w:tcPr>
            <w:tcW w:w="510" w:type="pct"/>
            <w:noWrap/>
            <w:hideMark/>
          </w:tcPr>
          <w:p w14:paraId="000AC01E" w14:textId="48577EC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62</w:t>
            </w:r>
          </w:p>
        </w:tc>
        <w:tc>
          <w:tcPr>
            <w:tcW w:w="513" w:type="pct"/>
            <w:noWrap/>
            <w:hideMark/>
          </w:tcPr>
          <w:p w14:paraId="3778F3F3" w14:textId="477EC877"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128</w:t>
            </w:r>
          </w:p>
        </w:tc>
        <w:tc>
          <w:tcPr>
            <w:tcW w:w="513" w:type="pct"/>
            <w:noWrap/>
            <w:hideMark/>
          </w:tcPr>
          <w:p w14:paraId="36337BD5" w14:textId="76D8256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184</w:t>
            </w:r>
          </w:p>
        </w:tc>
      </w:tr>
      <w:tr w:rsidR="009A7B38" w:rsidRPr="005D67B2" w14:paraId="19C530FB"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7552B431" w14:textId="3D0CF54B" w:rsidR="009A7B38" w:rsidRPr="008974C6" w:rsidRDefault="009A7B38" w:rsidP="009A7B38">
            <w:pPr>
              <w:keepNext/>
              <w:jc w:val="left"/>
              <w:rPr>
                <w:rFonts w:asciiTheme="majorHAnsi" w:eastAsia="Times New Roman" w:hAnsiTheme="majorHAnsi"/>
                <w:color w:val="000000"/>
                <w:szCs w:val="20"/>
              </w:rPr>
            </w:pPr>
            <w:r w:rsidRPr="008974C6">
              <w:rPr>
                <w:rFonts w:asciiTheme="majorHAnsi" w:hAnsiTheme="majorHAnsi"/>
                <w:color w:val="000000"/>
                <w:szCs w:val="20"/>
              </w:rPr>
              <w:t>Achievable Potential (%)</w:t>
            </w:r>
          </w:p>
        </w:tc>
        <w:tc>
          <w:tcPr>
            <w:tcW w:w="513" w:type="pct"/>
            <w:noWrap/>
            <w:hideMark/>
          </w:tcPr>
          <w:p w14:paraId="00D7C200" w14:textId="528CA70D"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1%</w:t>
            </w:r>
          </w:p>
        </w:tc>
        <w:tc>
          <w:tcPr>
            <w:tcW w:w="510" w:type="pct"/>
            <w:noWrap/>
            <w:hideMark/>
          </w:tcPr>
          <w:p w14:paraId="703A39C3" w14:textId="61A74AF1"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2%</w:t>
            </w:r>
          </w:p>
        </w:tc>
        <w:tc>
          <w:tcPr>
            <w:tcW w:w="510" w:type="pct"/>
            <w:noWrap/>
            <w:hideMark/>
          </w:tcPr>
          <w:p w14:paraId="04C6DDCA" w14:textId="260BD1AC"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3%</w:t>
            </w:r>
          </w:p>
        </w:tc>
        <w:tc>
          <w:tcPr>
            <w:tcW w:w="513" w:type="pct"/>
            <w:noWrap/>
            <w:hideMark/>
          </w:tcPr>
          <w:p w14:paraId="5C373545" w14:textId="0AB55C88" w:rsidR="009A7B38" w:rsidRPr="008974C6"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6</w:t>
            </w:r>
            <w:r w:rsidR="009A7B38" w:rsidRPr="008974C6">
              <w:rPr>
                <w:rFonts w:asciiTheme="majorHAnsi" w:hAnsiTheme="majorHAnsi"/>
                <w:color w:val="000000"/>
                <w:szCs w:val="20"/>
              </w:rPr>
              <w:t>%</w:t>
            </w:r>
          </w:p>
        </w:tc>
        <w:tc>
          <w:tcPr>
            <w:tcW w:w="513" w:type="pct"/>
            <w:noWrap/>
            <w:hideMark/>
          </w:tcPr>
          <w:p w14:paraId="4D037C52" w14:textId="5653AC0B"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8974C6">
              <w:rPr>
                <w:rFonts w:asciiTheme="majorHAnsi" w:hAnsiTheme="majorHAnsi"/>
                <w:color w:val="000000"/>
                <w:szCs w:val="20"/>
              </w:rPr>
              <w:t>8%</w:t>
            </w:r>
          </w:p>
        </w:tc>
      </w:tr>
      <w:tr w:rsidR="009A7B38" w:rsidRPr="005D67B2" w14:paraId="1FB0571F"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3CF4C2D5" w14:textId="7C26624D"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Battery Energy Storage</w:t>
            </w:r>
          </w:p>
        </w:tc>
        <w:tc>
          <w:tcPr>
            <w:tcW w:w="513" w:type="pct"/>
            <w:noWrap/>
            <w:hideMark/>
          </w:tcPr>
          <w:p w14:paraId="14E34152" w14:textId="061EE24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0.0</w:t>
            </w:r>
          </w:p>
        </w:tc>
        <w:tc>
          <w:tcPr>
            <w:tcW w:w="510" w:type="pct"/>
            <w:noWrap/>
            <w:hideMark/>
          </w:tcPr>
          <w:p w14:paraId="6D4D9564" w14:textId="31E8E53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0.1</w:t>
            </w:r>
          </w:p>
        </w:tc>
        <w:tc>
          <w:tcPr>
            <w:tcW w:w="510" w:type="pct"/>
            <w:noWrap/>
            <w:hideMark/>
          </w:tcPr>
          <w:p w14:paraId="54691CC8" w14:textId="05BAFEB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0.3</w:t>
            </w:r>
          </w:p>
        </w:tc>
        <w:tc>
          <w:tcPr>
            <w:tcW w:w="513" w:type="pct"/>
            <w:noWrap/>
            <w:hideMark/>
          </w:tcPr>
          <w:p w14:paraId="5F81FD72" w14:textId="0FDB3D2E"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6.7</w:t>
            </w:r>
          </w:p>
        </w:tc>
        <w:tc>
          <w:tcPr>
            <w:tcW w:w="513" w:type="pct"/>
            <w:noWrap/>
            <w:hideMark/>
          </w:tcPr>
          <w:p w14:paraId="18E4E19F" w14:textId="2AFCAAF9"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12.7</w:t>
            </w:r>
          </w:p>
        </w:tc>
      </w:tr>
      <w:tr w:rsidR="009A7B38" w:rsidRPr="005705C3" w14:paraId="3B2A47E3"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4B0B093E" w14:textId="0E823082"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Behavioral</w:t>
            </w:r>
          </w:p>
        </w:tc>
        <w:tc>
          <w:tcPr>
            <w:tcW w:w="513" w:type="pct"/>
            <w:noWrap/>
            <w:hideMark/>
          </w:tcPr>
          <w:p w14:paraId="016E6638" w14:textId="104E1A4E"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1.1</w:t>
            </w:r>
          </w:p>
        </w:tc>
        <w:tc>
          <w:tcPr>
            <w:tcW w:w="510" w:type="pct"/>
            <w:noWrap/>
            <w:hideMark/>
          </w:tcPr>
          <w:p w14:paraId="03542BE5" w14:textId="6EB718CD"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1.7</w:t>
            </w:r>
          </w:p>
        </w:tc>
        <w:tc>
          <w:tcPr>
            <w:tcW w:w="510" w:type="pct"/>
            <w:noWrap/>
            <w:hideMark/>
          </w:tcPr>
          <w:p w14:paraId="4F24907C" w14:textId="76D01140"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1.9</w:t>
            </w:r>
          </w:p>
        </w:tc>
        <w:tc>
          <w:tcPr>
            <w:tcW w:w="513" w:type="pct"/>
            <w:noWrap/>
            <w:hideMark/>
          </w:tcPr>
          <w:p w14:paraId="48C7D566" w14:textId="616B1611"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2.2</w:t>
            </w:r>
          </w:p>
        </w:tc>
        <w:tc>
          <w:tcPr>
            <w:tcW w:w="513" w:type="pct"/>
            <w:noWrap/>
            <w:hideMark/>
          </w:tcPr>
          <w:p w14:paraId="35528E4F" w14:textId="305AD0C5"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2.2</w:t>
            </w:r>
          </w:p>
        </w:tc>
      </w:tr>
      <w:tr w:rsidR="009A7B38" w:rsidRPr="005D67B2" w14:paraId="6646B557"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6014AB7A" w14:textId="76D7162F"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CTA-2045 HPWH</w:t>
            </w:r>
          </w:p>
        </w:tc>
        <w:tc>
          <w:tcPr>
            <w:tcW w:w="513" w:type="pct"/>
            <w:noWrap/>
            <w:hideMark/>
          </w:tcPr>
          <w:p w14:paraId="14034343" w14:textId="6BEC7F78"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0.0</w:t>
            </w:r>
          </w:p>
        </w:tc>
        <w:tc>
          <w:tcPr>
            <w:tcW w:w="510" w:type="pct"/>
            <w:noWrap/>
            <w:hideMark/>
          </w:tcPr>
          <w:p w14:paraId="5C380FF2" w14:textId="25F06C22"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0.0</w:t>
            </w:r>
          </w:p>
        </w:tc>
        <w:tc>
          <w:tcPr>
            <w:tcW w:w="510" w:type="pct"/>
            <w:noWrap/>
            <w:hideMark/>
          </w:tcPr>
          <w:p w14:paraId="6DC89000" w14:textId="734E95C9"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0.1</w:t>
            </w:r>
          </w:p>
        </w:tc>
        <w:tc>
          <w:tcPr>
            <w:tcW w:w="513" w:type="pct"/>
            <w:noWrap/>
            <w:hideMark/>
          </w:tcPr>
          <w:p w14:paraId="42494F14" w14:textId="18A8D579"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3.5</w:t>
            </w:r>
          </w:p>
        </w:tc>
        <w:tc>
          <w:tcPr>
            <w:tcW w:w="513" w:type="pct"/>
            <w:noWrap/>
            <w:hideMark/>
          </w:tcPr>
          <w:p w14:paraId="116B8E81" w14:textId="77DE598D"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8.5</w:t>
            </w:r>
          </w:p>
        </w:tc>
      </w:tr>
      <w:tr w:rsidR="009A7B38" w:rsidRPr="005705C3" w14:paraId="26E462F0"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41A7B993" w14:textId="31E33A3E"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CTA-2045 ERWH</w:t>
            </w:r>
          </w:p>
        </w:tc>
        <w:tc>
          <w:tcPr>
            <w:tcW w:w="513" w:type="pct"/>
            <w:noWrap/>
            <w:hideMark/>
          </w:tcPr>
          <w:p w14:paraId="5A87169D" w14:textId="6CB016DD"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0.1</w:t>
            </w:r>
          </w:p>
        </w:tc>
        <w:tc>
          <w:tcPr>
            <w:tcW w:w="510" w:type="pct"/>
            <w:noWrap/>
            <w:hideMark/>
          </w:tcPr>
          <w:p w14:paraId="0B7B798D" w14:textId="10921EAA"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0.2</w:t>
            </w:r>
          </w:p>
        </w:tc>
        <w:tc>
          <w:tcPr>
            <w:tcW w:w="510" w:type="pct"/>
            <w:noWrap/>
            <w:hideMark/>
          </w:tcPr>
          <w:p w14:paraId="1AF2DB02" w14:textId="695C0121"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0.5</w:t>
            </w:r>
          </w:p>
        </w:tc>
        <w:tc>
          <w:tcPr>
            <w:tcW w:w="513" w:type="pct"/>
            <w:noWrap/>
            <w:hideMark/>
          </w:tcPr>
          <w:p w14:paraId="71C8ABD2" w14:textId="7B432D3A"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4.9</w:t>
            </w:r>
          </w:p>
        </w:tc>
        <w:tc>
          <w:tcPr>
            <w:tcW w:w="513" w:type="pct"/>
            <w:noWrap/>
            <w:hideMark/>
          </w:tcPr>
          <w:p w14:paraId="3A749E29" w14:textId="1A41F31E"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2.4</w:t>
            </w:r>
          </w:p>
        </w:tc>
      </w:tr>
      <w:tr w:rsidR="009A7B38" w:rsidRPr="005D67B2" w14:paraId="764A3EAC"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22B45513" w14:textId="1A56B9A4"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DLC Central AC</w:t>
            </w:r>
          </w:p>
        </w:tc>
        <w:tc>
          <w:tcPr>
            <w:tcW w:w="513" w:type="pct"/>
            <w:noWrap/>
            <w:hideMark/>
          </w:tcPr>
          <w:p w14:paraId="7B30831B" w14:textId="40480349"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1.2</w:t>
            </w:r>
          </w:p>
        </w:tc>
        <w:tc>
          <w:tcPr>
            <w:tcW w:w="510" w:type="pct"/>
            <w:noWrap/>
            <w:hideMark/>
          </w:tcPr>
          <w:p w14:paraId="0F228E69" w14:textId="5BD54893"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3.6</w:t>
            </w:r>
          </w:p>
        </w:tc>
        <w:tc>
          <w:tcPr>
            <w:tcW w:w="510" w:type="pct"/>
            <w:noWrap/>
            <w:hideMark/>
          </w:tcPr>
          <w:p w14:paraId="3BBDFF54" w14:textId="6D551AB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8.1</w:t>
            </w:r>
          </w:p>
        </w:tc>
        <w:tc>
          <w:tcPr>
            <w:tcW w:w="513" w:type="pct"/>
            <w:noWrap/>
            <w:hideMark/>
          </w:tcPr>
          <w:p w14:paraId="02F9014D" w14:textId="19ED8407"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12.8</w:t>
            </w:r>
          </w:p>
        </w:tc>
        <w:tc>
          <w:tcPr>
            <w:tcW w:w="513" w:type="pct"/>
            <w:noWrap/>
            <w:hideMark/>
          </w:tcPr>
          <w:p w14:paraId="25B39AE6" w14:textId="2CCA667D"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15.4</w:t>
            </w:r>
          </w:p>
        </w:tc>
      </w:tr>
      <w:tr w:rsidR="009A7B38" w:rsidRPr="005705C3" w14:paraId="0A2746C5"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19534A84" w14:textId="133F8BA9" w:rsidR="009A7B38" w:rsidRPr="008974C6" w:rsidRDefault="00CA4DEB"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 xml:space="preserve">EV </w:t>
            </w:r>
            <w:r w:rsidR="009A7B38" w:rsidRPr="008974C6">
              <w:rPr>
                <w:rFonts w:asciiTheme="minorHAnsi" w:hAnsiTheme="minorHAnsi"/>
                <w:color w:val="000000"/>
                <w:szCs w:val="20"/>
              </w:rPr>
              <w:t>V1G Telematics</w:t>
            </w:r>
          </w:p>
        </w:tc>
        <w:tc>
          <w:tcPr>
            <w:tcW w:w="513" w:type="pct"/>
            <w:noWrap/>
            <w:hideMark/>
          </w:tcPr>
          <w:p w14:paraId="2B5E7183" w14:textId="30489AC8"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1.2</w:t>
            </w:r>
          </w:p>
        </w:tc>
        <w:tc>
          <w:tcPr>
            <w:tcW w:w="510" w:type="pct"/>
            <w:noWrap/>
            <w:hideMark/>
          </w:tcPr>
          <w:p w14:paraId="613573F9" w14:textId="3CACD7E6"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3.6</w:t>
            </w:r>
          </w:p>
        </w:tc>
        <w:tc>
          <w:tcPr>
            <w:tcW w:w="510" w:type="pct"/>
            <w:noWrap/>
            <w:hideMark/>
          </w:tcPr>
          <w:p w14:paraId="5AAEF8F0" w14:textId="251EDA44"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5.8</w:t>
            </w:r>
          </w:p>
        </w:tc>
        <w:tc>
          <w:tcPr>
            <w:tcW w:w="513" w:type="pct"/>
            <w:noWrap/>
            <w:hideMark/>
          </w:tcPr>
          <w:p w14:paraId="0590F518" w14:textId="6EF6BFE0"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18.8</w:t>
            </w:r>
          </w:p>
        </w:tc>
        <w:tc>
          <w:tcPr>
            <w:tcW w:w="513" w:type="pct"/>
            <w:noWrap/>
            <w:hideMark/>
          </w:tcPr>
          <w:p w14:paraId="25174E65" w14:textId="2CBACCE6"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47.1</w:t>
            </w:r>
          </w:p>
        </w:tc>
      </w:tr>
      <w:tr w:rsidR="009A7B38" w:rsidRPr="005D67B2" w14:paraId="5851394D"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1FD2B162" w14:textId="39FACB7F"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DLC Smart Appliances</w:t>
            </w:r>
          </w:p>
        </w:tc>
        <w:tc>
          <w:tcPr>
            <w:tcW w:w="513" w:type="pct"/>
            <w:noWrap/>
            <w:hideMark/>
          </w:tcPr>
          <w:p w14:paraId="70EBD0D1" w14:textId="540F4754"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0.3</w:t>
            </w:r>
          </w:p>
        </w:tc>
        <w:tc>
          <w:tcPr>
            <w:tcW w:w="510" w:type="pct"/>
            <w:noWrap/>
            <w:hideMark/>
          </w:tcPr>
          <w:p w14:paraId="21B6E86D" w14:textId="7A81824E"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0.9</w:t>
            </w:r>
          </w:p>
        </w:tc>
        <w:tc>
          <w:tcPr>
            <w:tcW w:w="510" w:type="pct"/>
            <w:noWrap/>
            <w:hideMark/>
          </w:tcPr>
          <w:p w14:paraId="00FF52E0" w14:textId="66C5EE9B"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2.2</w:t>
            </w:r>
          </w:p>
        </w:tc>
        <w:tc>
          <w:tcPr>
            <w:tcW w:w="513" w:type="pct"/>
            <w:noWrap/>
            <w:hideMark/>
          </w:tcPr>
          <w:p w14:paraId="5E1B1478" w14:textId="39D89C39"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3.5</w:t>
            </w:r>
          </w:p>
        </w:tc>
        <w:tc>
          <w:tcPr>
            <w:tcW w:w="513" w:type="pct"/>
            <w:noWrap/>
            <w:hideMark/>
          </w:tcPr>
          <w:p w14:paraId="4FED292B" w14:textId="57628F0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4.0</w:t>
            </w:r>
          </w:p>
        </w:tc>
      </w:tr>
      <w:tr w:rsidR="009A7B38" w:rsidRPr="005705C3" w14:paraId="4F0DAFE7"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3F102147" w14:textId="0C842158"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DLC Smart Thermostats - Cooling</w:t>
            </w:r>
          </w:p>
        </w:tc>
        <w:tc>
          <w:tcPr>
            <w:tcW w:w="513" w:type="pct"/>
            <w:noWrap/>
            <w:hideMark/>
          </w:tcPr>
          <w:p w14:paraId="68D9869E" w14:textId="48F396DD"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2.3</w:t>
            </w:r>
          </w:p>
        </w:tc>
        <w:tc>
          <w:tcPr>
            <w:tcW w:w="510" w:type="pct"/>
            <w:noWrap/>
            <w:hideMark/>
          </w:tcPr>
          <w:p w14:paraId="7C0E55D4" w14:textId="551D7517"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7.0</w:t>
            </w:r>
          </w:p>
        </w:tc>
        <w:tc>
          <w:tcPr>
            <w:tcW w:w="510" w:type="pct"/>
            <w:noWrap/>
            <w:hideMark/>
          </w:tcPr>
          <w:p w14:paraId="4CFF9E93" w14:textId="38D293F5"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16.6</w:t>
            </w:r>
          </w:p>
        </w:tc>
        <w:tc>
          <w:tcPr>
            <w:tcW w:w="513" w:type="pct"/>
            <w:noWrap/>
            <w:hideMark/>
          </w:tcPr>
          <w:p w14:paraId="05735149" w14:textId="19B85C24"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27.4</w:t>
            </w:r>
          </w:p>
        </w:tc>
        <w:tc>
          <w:tcPr>
            <w:tcW w:w="513" w:type="pct"/>
            <w:noWrap/>
            <w:hideMark/>
          </w:tcPr>
          <w:p w14:paraId="340215DE" w14:textId="14F935D8"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33.4</w:t>
            </w:r>
          </w:p>
        </w:tc>
      </w:tr>
      <w:tr w:rsidR="009A7B38" w:rsidRPr="005D67B2" w14:paraId="5AEBF5A7"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5B220AFB" w14:textId="2BFB6767"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DLC Smart Thermostats - Heating</w:t>
            </w:r>
          </w:p>
        </w:tc>
        <w:tc>
          <w:tcPr>
            <w:tcW w:w="513" w:type="pct"/>
            <w:noWrap/>
            <w:hideMark/>
          </w:tcPr>
          <w:p w14:paraId="440C25C3" w14:textId="230F803F"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0" w:type="pct"/>
            <w:noWrap/>
            <w:hideMark/>
          </w:tcPr>
          <w:p w14:paraId="211176DE" w14:textId="36D8568D"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0" w:type="pct"/>
            <w:noWrap/>
            <w:hideMark/>
          </w:tcPr>
          <w:p w14:paraId="3609F200" w14:textId="6F11F9E0"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3" w:type="pct"/>
            <w:noWrap/>
            <w:hideMark/>
          </w:tcPr>
          <w:p w14:paraId="3695AB30" w14:textId="23C1E1E5"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3" w:type="pct"/>
            <w:noWrap/>
            <w:hideMark/>
          </w:tcPr>
          <w:p w14:paraId="26D52B54" w14:textId="0C68A071"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r>
      <w:tr w:rsidR="009A7B38" w:rsidRPr="005705C3" w14:paraId="59D62486"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293BF417" w14:textId="37956273"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DLC Water Heating</w:t>
            </w:r>
          </w:p>
        </w:tc>
        <w:tc>
          <w:tcPr>
            <w:tcW w:w="513" w:type="pct"/>
            <w:noWrap/>
            <w:hideMark/>
          </w:tcPr>
          <w:p w14:paraId="7C0FE9D2" w14:textId="74A0D6ED"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0.3</w:t>
            </w:r>
          </w:p>
        </w:tc>
        <w:tc>
          <w:tcPr>
            <w:tcW w:w="510" w:type="pct"/>
            <w:noWrap/>
            <w:hideMark/>
          </w:tcPr>
          <w:p w14:paraId="098A2AD5" w14:textId="2751AFD8"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0.8</w:t>
            </w:r>
          </w:p>
        </w:tc>
        <w:tc>
          <w:tcPr>
            <w:tcW w:w="510" w:type="pct"/>
            <w:noWrap/>
            <w:hideMark/>
          </w:tcPr>
          <w:p w14:paraId="1499E581" w14:textId="6E6AD009"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1.9</w:t>
            </w:r>
          </w:p>
        </w:tc>
        <w:tc>
          <w:tcPr>
            <w:tcW w:w="513" w:type="pct"/>
            <w:noWrap/>
            <w:hideMark/>
          </w:tcPr>
          <w:p w14:paraId="6F063B36" w14:textId="4949EEB5"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3.0</w:t>
            </w:r>
          </w:p>
        </w:tc>
        <w:tc>
          <w:tcPr>
            <w:tcW w:w="513" w:type="pct"/>
            <w:noWrap/>
            <w:hideMark/>
          </w:tcPr>
          <w:p w14:paraId="5D1A6D0B" w14:textId="1A388232"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3.5</w:t>
            </w:r>
          </w:p>
        </w:tc>
      </w:tr>
      <w:tr w:rsidR="009A7B38" w:rsidRPr="005D67B2" w14:paraId="38B7A0F7"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0744073E" w14:textId="3CB4A8C7"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Electric Vehicle TOU Opt-in</w:t>
            </w:r>
          </w:p>
        </w:tc>
        <w:tc>
          <w:tcPr>
            <w:tcW w:w="513" w:type="pct"/>
            <w:noWrap/>
            <w:hideMark/>
          </w:tcPr>
          <w:p w14:paraId="57D691D7" w14:textId="2F877EB5"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0.1</w:t>
            </w:r>
          </w:p>
        </w:tc>
        <w:tc>
          <w:tcPr>
            <w:tcW w:w="510" w:type="pct"/>
            <w:noWrap/>
            <w:hideMark/>
          </w:tcPr>
          <w:p w14:paraId="5DA5C769" w14:textId="4226C5F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0.3</w:t>
            </w:r>
          </w:p>
        </w:tc>
        <w:tc>
          <w:tcPr>
            <w:tcW w:w="510" w:type="pct"/>
            <w:noWrap/>
            <w:hideMark/>
          </w:tcPr>
          <w:p w14:paraId="3BDFECF9" w14:textId="014B49C2"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0.6</w:t>
            </w:r>
          </w:p>
        </w:tc>
        <w:tc>
          <w:tcPr>
            <w:tcW w:w="513" w:type="pct"/>
            <w:noWrap/>
            <w:hideMark/>
          </w:tcPr>
          <w:p w14:paraId="1892E088" w14:textId="3B6C920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3.1</w:t>
            </w:r>
          </w:p>
        </w:tc>
        <w:tc>
          <w:tcPr>
            <w:tcW w:w="513" w:type="pct"/>
            <w:noWrap/>
            <w:hideMark/>
          </w:tcPr>
          <w:p w14:paraId="55BC6D3D" w14:textId="35B4E91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9.6</w:t>
            </w:r>
          </w:p>
        </w:tc>
      </w:tr>
      <w:tr w:rsidR="009A7B38" w:rsidRPr="005705C3" w14:paraId="34FF15EB"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77A6FB78" w14:textId="672DC3D5"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Thermal Energy Storage</w:t>
            </w:r>
          </w:p>
        </w:tc>
        <w:tc>
          <w:tcPr>
            <w:tcW w:w="513" w:type="pct"/>
            <w:noWrap/>
            <w:hideMark/>
          </w:tcPr>
          <w:p w14:paraId="5C0A1F55" w14:textId="6E07E220"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0.0</w:t>
            </w:r>
          </w:p>
        </w:tc>
        <w:tc>
          <w:tcPr>
            <w:tcW w:w="510" w:type="pct"/>
            <w:noWrap/>
            <w:hideMark/>
          </w:tcPr>
          <w:p w14:paraId="0B60D9B9" w14:textId="685CCCEF"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0.1</w:t>
            </w:r>
          </w:p>
        </w:tc>
        <w:tc>
          <w:tcPr>
            <w:tcW w:w="510" w:type="pct"/>
            <w:noWrap/>
            <w:hideMark/>
          </w:tcPr>
          <w:p w14:paraId="1D8D3985" w14:textId="5F373A85"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0.3</w:t>
            </w:r>
          </w:p>
        </w:tc>
        <w:tc>
          <w:tcPr>
            <w:tcW w:w="513" w:type="pct"/>
            <w:noWrap/>
            <w:hideMark/>
          </w:tcPr>
          <w:p w14:paraId="4DE45658" w14:textId="23A8CD62"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0.6</w:t>
            </w:r>
          </w:p>
        </w:tc>
        <w:tc>
          <w:tcPr>
            <w:tcW w:w="513" w:type="pct"/>
            <w:noWrap/>
            <w:hideMark/>
          </w:tcPr>
          <w:p w14:paraId="4BD13C32" w14:textId="1A932F08"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0.6</w:t>
            </w:r>
          </w:p>
        </w:tc>
      </w:tr>
      <w:tr w:rsidR="009A7B38" w:rsidRPr="005D67B2" w14:paraId="7B029B67"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38F8A459" w14:textId="16B75FFA"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Third Party Contracts</w:t>
            </w:r>
          </w:p>
        </w:tc>
        <w:tc>
          <w:tcPr>
            <w:tcW w:w="513" w:type="pct"/>
            <w:noWrap/>
            <w:hideMark/>
          </w:tcPr>
          <w:p w14:paraId="35C5CB37" w14:textId="06EC2B4F"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7.9</w:t>
            </w:r>
          </w:p>
        </w:tc>
        <w:tc>
          <w:tcPr>
            <w:tcW w:w="510" w:type="pct"/>
            <w:noWrap/>
            <w:hideMark/>
          </w:tcPr>
          <w:p w14:paraId="0011D181" w14:textId="7AA032BF"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12.5</w:t>
            </w:r>
          </w:p>
        </w:tc>
        <w:tc>
          <w:tcPr>
            <w:tcW w:w="510" w:type="pct"/>
            <w:noWrap/>
            <w:hideMark/>
          </w:tcPr>
          <w:p w14:paraId="469EF125" w14:textId="7ECD375C"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17.0</w:t>
            </w:r>
          </w:p>
        </w:tc>
        <w:tc>
          <w:tcPr>
            <w:tcW w:w="513" w:type="pct"/>
            <w:noWrap/>
            <w:hideMark/>
          </w:tcPr>
          <w:p w14:paraId="5A95E385" w14:textId="058E159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24.1</w:t>
            </w:r>
          </w:p>
        </w:tc>
        <w:tc>
          <w:tcPr>
            <w:tcW w:w="513" w:type="pct"/>
            <w:noWrap/>
            <w:hideMark/>
          </w:tcPr>
          <w:p w14:paraId="43464CF1" w14:textId="34F4DA8D"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26.6</w:t>
            </w:r>
          </w:p>
        </w:tc>
      </w:tr>
      <w:tr w:rsidR="009A7B38" w:rsidRPr="005705C3" w14:paraId="1A95AA5D"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2E10C72A" w14:textId="01396C39"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Time-of-Use Opt-in</w:t>
            </w:r>
          </w:p>
        </w:tc>
        <w:tc>
          <w:tcPr>
            <w:tcW w:w="513" w:type="pct"/>
            <w:noWrap/>
            <w:hideMark/>
          </w:tcPr>
          <w:p w14:paraId="54B55CC4" w14:textId="049DF39C"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0.2</w:t>
            </w:r>
          </w:p>
        </w:tc>
        <w:tc>
          <w:tcPr>
            <w:tcW w:w="510" w:type="pct"/>
            <w:noWrap/>
            <w:hideMark/>
          </w:tcPr>
          <w:p w14:paraId="4CB4A21F" w14:textId="5B0248E0"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0.4</w:t>
            </w:r>
          </w:p>
        </w:tc>
        <w:tc>
          <w:tcPr>
            <w:tcW w:w="510" w:type="pct"/>
            <w:noWrap/>
            <w:hideMark/>
          </w:tcPr>
          <w:p w14:paraId="48BC4DB6" w14:textId="3F69A13E"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0.8</w:t>
            </w:r>
          </w:p>
        </w:tc>
        <w:tc>
          <w:tcPr>
            <w:tcW w:w="513" w:type="pct"/>
            <w:noWrap/>
            <w:hideMark/>
          </w:tcPr>
          <w:p w14:paraId="7AFE1FC5" w14:textId="1E1F8E6C"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2.9</w:t>
            </w:r>
          </w:p>
        </w:tc>
        <w:tc>
          <w:tcPr>
            <w:tcW w:w="513" w:type="pct"/>
            <w:noWrap/>
            <w:hideMark/>
          </w:tcPr>
          <w:p w14:paraId="0215D4E9" w14:textId="25978FB8"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3.0</w:t>
            </w:r>
          </w:p>
        </w:tc>
      </w:tr>
      <w:tr w:rsidR="009A7B38" w:rsidRPr="005D67B2" w14:paraId="5C5E4381"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7AB582B5" w14:textId="0EB07972"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Time-of-Use Opt-out</w:t>
            </w:r>
          </w:p>
        </w:tc>
        <w:tc>
          <w:tcPr>
            <w:tcW w:w="513" w:type="pct"/>
            <w:noWrap/>
            <w:hideMark/>
          </w:tcPr>
          <w:p w14:paraId="20645131" w14:textId="78D12E4A"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0" w:type="pct"/>
            <w:noWrap/>
            <w:hideMark/>
          </w:tcPr>
          <w:p w14:paraId="438B8CF5" w14:textId="251CC358"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0" w:type="pct"/>
            <w:noWrap/>
            <w:hideMark/>
          </w:tcPr>
          <w:p w14:paraId="5BAB69C5" w14:textId="2816D55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3" w:type="pct"/>
            <w:noWrap/>
            <w:hideMark/>
          </w:tcPr>
          <w:p w14:paraId="5A059171" w14:textId="04EB05B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c>
          <w:tcPr>
            <w:tcW w:w="513" w:type="pct"/>
            <w:noWrap/>
            <w:hideMark/>
          </w:tcPr>
          <w:p w14:paraId="22A984F4" w14:textId="01ABDCD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w:t>
            </w:r>
          </w:p>
        </w:tc>
      </w:tr>
      <w:tr w:rsidR="009A7B38" w:rsidRPr="005705C3" w14:paraId="6F4AB62D" w14:textId="77777777" w:rsidTr="0060704E">
        <w:trPr>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275094EA" w14:textId="72A53D87"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Variable Peak Pricing Rates</w:t>
            </w:r>
          </w:p>
        </w:tc>
        <w:tc>
          <w:tcPr>
            <w:tcW w:w="513" w:type="pct"/>
            <w:noWrap/>
            <w:hideMark/>
          </w:tcPr>
          <w:p w14:paraId="596DA1CF" w14:textId="6771B07F"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0.6</w:t>
            </w:r>
          </w:p>
        </w:tc>
        <w:tc>
          <w:tcPr>
            <w:tcW w:w="510" w:type="pct"/>
            <w:noWrap/>
            <w:hideMark/>
          </w:tcPr>
          <w:p w14:paraId="5DE56301" w14:textId="2C232A2B"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1.6</w:t>
            </w:r>
          </w:p>
        </w:tc>
        <w:tc>
          <w:tcPr>
            <w:tcW w:w="510" w:type="pct"/>
            <w:noWrap/>
            <w:hideMark/>
          </w:tcPr>
          <w:p w14:paraId="44141147" w14:textId="41E39969"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3.6</w:t>
            </w:r>
          </w:p>
        </w:tc>
        <w:tc>
          <w:tcPr>
            <w:tcW w:w="513" w:type="pct"/>
            <w:noWrap/>
            <w:hideMark/>
          </w:tcPr>
          <w:p w14:paraId="50E7AA8E" w14:textId="1CAB7F1C"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6.5</w:t>
            </w:r>
          </w:p>
        </w:tc>
        <w:tc>
          <w:tcPr>
            <w:tcW w:w="513" w:type="pct"/>
            <w:noWrap/>
            <w:hideMark/>
          </w:tcPr>
          <w:p w14:paraId="6286FAA7" w14:textId="55CCD627" w:rsidR="009A7B38" w:rsidRPr="008974C6" w:rsidRDefault="009A7B38"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7.2</w:t>
            </w:r>
          </w:p>
        </w:tc>
      </w:tr>
      <w:tr w:rsidR="009A7B38" w:rsidRPr="005D67B2" w14:paraId="418D4C49" w14:textId="77777777" w:rsidTr="0060704E">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41" w:type="pct"/>
            <w:noWrap/>
            <w:hideMark/>
          </w:tcPr>
          <w:p w14:paraId="203BD090" w14:textId="7A6EBEE0" w:rsidR="009A7B38" w:rsidRPr="008974C6" w:rsidRDefault="009A7B38" w:rsidP="009A7B38">
            <w:pPr>
              <w:keepNext/>
              <w:jc w:val="left"/>
              <w:rPr>
                <w:rFonts w:asciiTheme="minorHAnsi" w:eastAsia="Times New Roman" w:hAnsiTheme="minorHAnsi"/>
                <w:color w:val="000000"/>
                <w:szCs w:val="20"/>
              </w:rPr>
            </w:pPr>
            <w:r w:rsidRPr="008974C6">
              <w:rPr>
                <w:rFonts w:asciiTheme="minorHAnsi" w:hAnsiTheme="minorHAnsi"/>
                <w:color w:val="000000"/>
                <w:szCs w:val="20"/>
              </w:rPr>
              <w:t>Peak Time Rebate</w:t>
            </w:r>
          </w:p>
        </w:tc>
        <w:tc>
          <w:tcPr>
            <w:tcW w:w="513" w:type="pct"/>
            <w:noWrap/>
            <w:hideMark/>
          </w:tcPr>
          <w:p w14:paraId="31BCF3AA" w14:textId="0A5C940D"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0.3</w:t>
            </w:r>
          </w:p>
        </w:tc>
        <w:tc>
          <w:tcPr>
            <w:tcW w:w="510" w:type="pct"/>
            <w:noWrap/>
            <w:hideMark/>
          </w:tcPr>
          <w:p w14:paraId="38DC81F2" w14:textId="02D6E586"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0.7</w:t>
            </w:r>
          </w:p>
        </w:tc>
        <w:tc>
          <w:tcPr>
            <w:tcW w:w="510" w:type="pct"/>
            <w:noWrap/>
            <w:hideMark/>
          </w:tcPr>
          <w:p w14:paraId="7E71FBCC" w14:textId="10C3E1B8"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1.9</w:t>
            </w:r>
          </w:p>
        </w:tc>
        <w:tc>
          <w:tcPr>
            <w:tcW w:w="513" w:type="pct"/>
            <w:noWrap/>
            <w:hideMark/>
          </w:tcPr>
          <w:p w14:paraId="75D5CDF9" w14:textId="173AEB2E"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7.6</w:t>
            </w:r>
          </w:p>
        </w:tc>
        <w:tc>
          <w:tcPr>
            <w:tcW w:w="513" w:type="pct"/>
            <w:noWrap/>
            <w:hideMark/>
          </w:tcPr>
          <w:p w14:paraId="264BB5E1" w14:textId="6F9CEEE7" w:rsidR="009A7B38" w:rsidRPr="008974C6" w:rsidRDefault="009A7B38"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8974C6">
              <w:rPr>
                <w:rFonts w:asciiTheme="minorHAnsi" w:hAnsiTheme="minorHAnsi"/>
                <w:color w:val="000000"/>
                <w:szCs w:val="20"/>
              </w:rPr>
              <w:t>7.9</w:t>
            </w:r>
          </w:p>
        </w:tc>
      </w:tr>
    </w:tbl>
    <w:p w14:paraId="624CF1DD" w14:textId="77777777" w:rsidR="005705C3" w:rsidRPr="00BE441D" w:rsidRDefault="005705C3" w:rsidP="00BE441D">
      <w:pPr>
        <w:pStyle w:val="AEGBody"/>
        <w:rPr>
          <w:lang w:eastAsia="ja-JP"/>
        </w:rPr>
      </w:pPr>
    </w:p>
    <w:p w14:paraId="0B9B0004" w14:textId="1072FDA7" w:rsidR="00DA08D2" w:rsidRDefault="0055004C" w:rsidP="00AD355C">
      <w:pPr>
        <w:pStyle w:val="Heading4"/>
        <w:rPr>
          <w:lang w:eastAsia="ja-JP"/>
        </w:rPr>
      </w:pPr>
      <w:r>
        <w:rPr>
          <w:lang w:eastAsia="ja-JP"/>
        </w:rPr>
        <w:t>Potential by Sector and Segment</w:t>
      </w:r>
    </w:p>
    <w:p w14:paraId="088AE560" w14:textId="56DFD1BE" w:rsidR="00215B34" w:rsidRPr="000370D2" w:rsidRDefault="00106CF8" w:rsidP="000370D2">
      <w:pPr>
        <w:pStyle w:val="AEGBody"/>
      </w:pPr>
      <w:r>
        <w:rPr>
          <w:lang w:eastAsia="ja-JP"/>
        </w:rPr>
        <w:fldChar w:fldCharType="begin"/>
      </w:r>
      <w:r>
        <w:instrText xml:space="preserve"> REF _Ref175732644 \h </w:instrText>
      </w:r>
      <w:r>
        <w:rPr>
          <w:lang w:eastAsia="ja-JP"/>
        </w:rPr>
      </w:r>
      <w:r>
        <w:rPr>
          <w:lang w:eastAsia="ja-JP"/>
        </w:rPr>
        <w:fldChar w:fldCharType="separate"/>
      </w:r>
      <w:r>
        <w:t xml:space="preserve">Table </w:t>
      </w:r>
      <w:r>
        <w:rPr>
          <w:noProof/>
        </w:rPr>
        <w:t>6</w:t>
      </w:r>
      <w:r>
        <w:noBreakHyphen/>
      </w:r>
      <w:r>
        <w:rPr>
          <w:noProof/>
        </w:rPr>
        <w:t>8</w:t>
      </w:r>
      <w:r>
        <w:rPr>
          <w:lang w:eastAsia="ja-JP"/>
        </w:rPr>
        <w:fldChar w:fldCharType="end"/>
      </w:r>
      <w:r>
        <w:rPr>
          <w:lang w:eastAsia="ja-JP"/>
        </w:rPr>
        <w:t xml:space="preserve"> and </w:t>
      </w:r>
      <w:r>
        <w:rPr>
          <w:lang w:eastAsia="ja-JP"/>
        </w:rPr>
        <w:fldChar w:fldCharType="begin"/>
      </w:r>
      <w:r>
        <w:rPr>
          <w:lang w:eastAsia="ja-JP"/>
        </w:rPr>
        <w:instrText xml:space="preserve"> REF _Ref175732646 \h </w:instrText>
      </w:r>
      <w:r>
        <w:rPr>
          <w:lang w:eastAsia="ja-JP"/>
        </w:rPr>
      </w:r>
      <w:r>
        <w:rPr>
          <w:lang w:eastAsia="ja-JP"/>
        </w:rPr>
        <w:fldChar w:fldCharType="separate"/>
      </w:r>
      <w:r>
        <w:t xml:space="preserve">Table </w:t>
      </w:r>
      <w:r>
        <w:rPr>
          <w:noProof/>
        </w:rPr>
        <w:t>6</w:t>
      </w:r>
      <w:r>
        <w:noBreakHyphen/>
      </w:r>
      <w:r>
        <w:rPr>
          <w:noProof/>
        </w:rPr>
        <w:t>9</w:t>
      </w:r>
      <w:r>
        <w:rPr>
          <w:lang w:eastAsia="ja-JP"/>
        </w:rPr>
        <w:fldChar w:fldCharType="end"/>
      </w:r>
      <w:r>
        <w:rPr>
          <w:lang w:eastAsia="ja-JP"/>
        </w:rPr>
        <w:t xml:space="preserve"> </w:t>
      </w:r>
      <w:r w:rsidR="00215B34" w:rsidRPr="000370D2">
        <w:t>show the total summer demand savings by class for Washington and Idaho, respectively. Washington is projected to save</w:t>
      </w:r>
      <w:r>
        <w:t xml:space="preserve"> 144 MW (9.2% of summer peak demand) by 2045, while Idaho is projected to save 40 MW (5.7% of summer peak demand) by 2045.</w:t>
      </w:r>
    </w:p>
    <w:p w14:paraId="427F9CAC" w14:textId="1710AD2D" w:rsidR="00DA08D2" w:rsidRDefault="00DA08D2" w:rsidP="00DA08D2">
      <w:pPr>
        <w:pStyle w:val="Caption"/>
      </w:pPr>
      <w:bookmarkStart w:id="210" w:name="_Ref175732644"/>
      <w:bookmarkStart w:id="211" w:name="_Toc175912410"/>
      <w:r>
        <w:t xml:space="preserve">Table </w:t>
      </w:r>
      <w:r w:rsidR="00EE4707">
        <w:fldChar w:fldCharType="begin"/>
      </w:r>
      <w:r w:rsidR="00EE4707">
        <w:instrText xml:space="preserve"> STYLEREF 1 \s </w:instrText>
      </w:r>
      <w:r w:rsidR="00EE4707">
        <w:fldChar w:fldCharType="separate"/>
      </w:r>
      <w:r w:rsidR="00EE4707">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8</w:t>
      </w:r>
      <w:r w:rsidR="00EE4707">
        <w:fldChar w:fldCharType="end"/>
      </w:r>
      <w:bookmarkEnd w:id="210"/>
      <w:r>
        <w:t xml:space="preserve"> </w:t>
      </w:r>
      <w:r w:rsidRPr="00964F14">
        <w:t>Summer Potential by Class – TOU Opt-In (MW @ Generator), Washington</w:t>
      </w:r>
      <w:bookmarkEnd w:id="211"/>
    </w:p>
    <w:tbl>
      <w:tblPr>
        <w:tblStyle w:val="AEG-DarkBanded"/>
        <w:tblW w:w="5000" w:type="pct"/>
        <w:tblLook w:val="04A0" w:firstRow="1" w:lastRow="0" w:firstColumn="1" w:lastColumn="0" w:noHBand="0" w:noVBand="1"/>
      </w:tblPr>
      <w:tblGrid>
        <w:gridCol w:w="3337"/>
        <w:gridCol w:w="1205"/>
        <w:gridCol w:w="1206"/>
        <w:gridCol w:w="1206"/>
        <w:gridCol w:w="1206"/>
        <w:gridCol w:w="1200"/>
      </w:tblGrid>
      <w:tr w:rsidR="00DA08D2" w:rsidRPr="005D67B2" w14:paraId="41D3F90F" w14:textId="77777777" w:rsidTr="0054281D">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3" w:type="pct"/>
            <w:hideMark/>
          </w:tcPr>
          <w:p w14:paraId="02696FBB" w14:textId="5AC2F0E2" w:rsidR="00DA08D2" w:rsidRPr="002C2B6C" w:rsidRDefault="00DA08D2" w:rsidP="00DA08D2">
            <w:pPr>
              <w:keepNext/>
              <w:jc w:val="left"/>
              <w:rPr>
                <w:rFonts w:asciiTheme="majorHAnsi" w:eastAsia="Times New Roman" w:hAnsiTheme="majorHAnsi"/>
                <w:b w:val="0"/>
                <w:szCs w:val="20"/>
              </w:rPr>
            </w:pPr>
          </w:p>
        </w:tc>
        <w:tc>
          <w:tcPr>
            <w:tcW w:w="644" w:type="pct"/>
            <w:hideMark/>
          </w:tcPr>
          <w:p w14:paraId="21F00704" w14:textId="77777777" w:rsidR="00DA08D2" w:rsidRPr="002C2B6C"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2C2B6C">
              <w:rPr>
                <w:rFonts w:asciiTheme="majorHAnsi" w:eastAsia="Times New Roman" w:hAnsiTheme="majorHAnsi"/>
                <w:b w:val="0"/>
                <w:szCs w:val="20"/>
              </w:rPr>
              <w:t>2026</w:t>
            </w:r>
          </w:p>
        </w:tc>
        <w:tc>
          <w:tcPr>
            <w:tcW w:w="644" w:type="pct"/>
            <w:hideMark/>
          </w:tcPr>
          <w:p w14:paraId="1049F322" w14:textId="77777777" w:rsidR="00DA08D2" w:rsidRPr="002C2B6C"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2C2B6C">
              <w:rPr>
                <w:rFonts w:asciiTheme="majorHAnsi" w:eastAsia="Times New Roman" w:hAnsiTheme="majorHAnsi"/>
                <w:b w:val="0"/>
                <w:szCs w:val="20"/>
              </w:rPr>
              <w:t>2027</w:t>
            </w:r>
          </w:p>
        </w:tc>
        <w:tc>
          <w:tcPr>
            <w:tcW w:w="644" w:type="pct"/>
            <w:hideMark/>
          </w:tcPr>
          <w:p w14:paraId="00011F32" w14:textId="77777777" w:rsidR="00DA08D2" w:rsidRPr="002C2B6C"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2C2B6C">
              <w:rPr>
                <w:rFonts w:asciiTheme="majorHAnsi" w:eastAsia="Times New Roman" w:hAnsiTheme="majorHAnsi"/>
                <w:b w:val="0"/>
                <w:szCs w:val="20"/>
              </w:rPr>
              <w:t>2028</w:t>
            </w:r>
          </w:p>
        </w:tc>
        <w:tc>
          <w:tcPr>
            <w:tcW w:w="644" w:type="pct"/>
            <w:hideMark/>
          </w:tcPr>
          <w:p w14:paraId="46166B59" w14:textId="77777777" w:rsidR="00DA08D2" w:rsidRPr="002C2B6C"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2C2B6C">
              <w:rPr>
                <w:rFonts w:asciiTheme="majorHAnsi" w:eastAsia="Times New Roman" w:hAnsiTheme="majorHAnsi"/>
                <w:b w:val="0"/>
                <w:szCs w:val="20"/>
              </w:rPr>
              <w:t>2035</w:t>
            </w:r>
          </w:p>
        </w:tc>
        <w:tc>
          <w:tcPr>
            <w:tcW w:w="642" w:type="pct"/>
            <w:hideMark/>
          </w:tcPr>
          <w:p w14:paraId="65211949" w14:textId="77777777" w:rsidR="00DA08D2" w:rsidRPr="002C2B6C"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2C2B6C">
              <w:rPr>
                <w:rFonts w:asciiTheme="majorHAnsi" w:eastAsia="Times New Roman" w:hAnsiTheme="majorHAnsi"/>
                <w:b w:val="0"/>
                <w:szCs w:val="20"/>
              </w:rPr>
              <w:t>2045</w:t>
            </w:r>
          </w:p>
        </w:tc>
      </w:tr>
      <w:tr w:rsidR="00DA08D2" w:rsidRPr="00DA08D2" w14:paraId="7ACC685B" w14:textId="77777777" w:rsidTr="0054281D">
        <w:trPr>
          <w:trHeight w:val="259"/>
        </w:trPr>
        <w:tc>
          <w:tcPr>
            <w:cnfStyle w:val="001000000000" w:firstRow="0" w:lastRow="0" w:firstColumn="1" w:lastColumn="0" w:oddVBand="0" w:evenVBand="0" w:oddHBand="0" w:evenHBand="0" w:firstRowFirstColumn="0" w:firstRowLastColumn="0" w:lastRowFirstColumn="0" w:lastRowLastColumn="0"/>
            <w:tcW w:w="1783" w:type="pct"/>
            <w:noWrap/>
            <w:hideMark/>
          </w:tcPr>
          <w:p w14:paraId="7C0691BB" w14:textId="77777777" w:rsidR="00DA08D2" w:rsidRPr="002C2B6C" w:rsidRDefault="00DA08D2" w:rsidP="00DA08D2">
            <w:pPr>
              <w:keepNext/>
              <w:jc w:val="left"/>
              <w:rPr>
                <w:rFonts w:asciiTheme="majorHAnsi" w:eastAsia="Times New Roman" w:hAnsiTheme="majorHAnsi"/>
                <w:color w:val="000000"/>
                <w:szCs w:val="20"/>
              </w:rPr>
            </w:pPr>
            <w:r w:rsidRPr="002C2B6C">
              <w:rPr>
                <w:rFonts w:asciiTheme="majorHAnsi" w:eastAsia="Times New Roman" w:hAnsiTheme="majorHAnsi"/>
                <w:color w:val="000000"/>
                <w:szCs w:val="20"/>
              </w:rPr>
              <w:t>Baseline Forecast (Summer MW)</w:t>
            </w:r>
          </w:p>
        </w:tc>
        <w:tc>
          <w:tcPr>
            <w:tcW w:w="644" w:type="pct"/>
            <w:noWrap/>
            <w:hideMark/>
          </w:tcPr>
          <w:p w14:paraId="2311B89C" w14:textId="77777777" w:rsidR="00DA08D2" w:rsidRPr="002C2B6C" w:rsidRDefault="00DA08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2C2B6C">
              <w:rPr>
                <w:rFonts w:asciiTheme="majorHAnsi" w:eastAsia="Times New Roman" w:hAnsiTheme="majorHAnsi"/>
                <w:color w:val="000000"/>
                <w:szCs w:val="20"/>
              </w:rPr>
              <w:t>1,234</w:t>
            </w:r>
          </w:p>
        </w:tc>
        <w:tc>
          <w:tcPr>
            <w:tcW w:w="644" w:type="pct"/>
            <w:noWrap/>
            <w:hideMark/>
          </w:tcPr>
          <w:p w14:paraId="79E3EDF1" w14:textId="77777777" w:rsidR="00DA08D2" w:rsidRPr="002C2B6C" w:rsidRDefault="00DA08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2C2B6C">
              <w:rPr>
                <w:rFonts w:asciiTheme="majorHAnsi" w:eastAsia="Times New Roman" w:hAnsiTheme="majorHAnsi"/>
                <w:color w:val="000000"/>
                <w:szCs w:val="20"/>
              </w:rPr>
              <w:t>1,226</w:t>
            </w:r>
          </w:p>
        </w:tc>
        <w:tc>
          <w:tcPr>
            <w:tcW w:w="644" w:type="pct"/>
            <w:noWrap/>
            <w:hideMark/>
          </w:tcPr>
          <w:p w14:paraId="382C3C60" w14:textId="77777777" w:rsidR="00DA08D2" w:rsidRPr="002C2B6C" w:rsidRDefault="00DA08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2C2B6C">
              <w:rPr>
                <w:rFonts w:asciiTheme="majorHAnsi" w:eastAsia="Times New Roman" w:hAnsiTheme="majorHAnsi"/>
                <w:color w:val="000000"/>
                <w:szCs w:val="20"/>
              </w:rPr>
              <w:t>1,214</w:t>
            </w:r>
          </w:p>
        </w:tc>
        <w:tc>
          <w:tcPr>
            <w:tcW w:w="644" w:type="pct"/>
            <w:noWrap/>
            <w:hideMark/>
          </w:tcPr>
          <w:p w14:paraId="1414F23D" w14:textId="77777777" w:rsidR="00DA08D2" w:rsidRPr="002C2B6C" w:rsidRDefault="00DA08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2C2B6C">
              <w:rPr>
                <w:rFonts w:asciiTheme="majorHAnsi" w:eastAsia="Times New Roman" w:hAnsiTheme="majorHAnsi"/>
                <w:color w:val="000000"/>
                <w:szCs w:val="20"/>
              </w:rPr>
              <w:t>1,357</w:t>
            </w:r>
          </w:p>
        </w:tc>
        <w:tc>
          <w:tcPr>
            <w:tcW w:w="642" w:type="pct"/>
            <w:noWrap/>
            <w:hideMark/>
          </w:tcPr>
          <w:p w14:paraId="029DCCF4" w14:textId="77777777" w:rsidR="00DA08D2" w:rsidRPr="002C2B6C" w:rsidRDefault="00DA08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2C2B6C">
              <w:rPr>
                <w:rFonts w:asciiTheme="majorHAnsi" w:eastAsia="Times New Roman" w:hAnsiTheme="majorHAnsi"/>
                <w:color w:val="000000"/>
                <w:szCs w:val="20"/>
              </w:rPr>
              <w:t>1,560</w:t>
            </w:r>
          </w:p>
        </w:tc>
      </w:tr>
      <w:tr w:rsidR="0054281D" w:rsidRPr="005D67B2" w14:paraId="2568887C" w14:textId="77777777" w:rsidTr="0054281D">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3" w:type="pct"/>
            <w:noWrap/>
            <w:hideMark/>
          </w:tcPr>
          <w:p w14:paraId="0ECC625A" w14:textId="77777777" w:rsidR="0054281D" w:rsidRPr="002C2B6C" w:rsidRDefault="0054281D" w:rsidP="0054281D">
            <w:pPr>
              <w:keepNext/>
              <w:jc w:val="left"/>
              <w:rPr>
                <w:rFonts w:asciiTheme="majorHAnsi" w:eastAsia="Times New Roman" w:hAnsiTheme="majorHAnsi"/>
                <w:color w:val="000000"/>
                <w:szCs w:val="20"/>
              </w:rPr>
            </w:pPr>
            <w:r w:rsidRPr="002C2B6C">
              <w:rPr>
                <w:rFonts w:asciiTheme="majorHAnsi" w:eastAsia="Times New Roman" w:hAnsiTheme="majorHAnsi"/>
                <w:color w:val="000000"/>
                <w:szCs w:val="20"/>
              </w:rPr>
              <w:t>Achievable Potential (MW)</w:t>
            </w:r>
          </w:p>
        </w:tc>
        <w:tc>
          <w:tcPr>
            <w:tcW w:w="644" w:type="pct"/>
            <w:noWrap/>
            <w:hideMark/>
          </w:tcPr>
          <w:p w14:paraId="51E5C17B" w14:textId="33FDF719" w:rsidR="0054281D" w:rsidRPr="002C2B6C"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2C2B6C">
              <w:rPr>
                <w:rFonts w:asciiTheme="majorHAnsi" w:hAnsiTheme="majorHAnsi"/>
                <w:color w:val="000000"/>
                <w:szCs w:val="20"/>
              </w:rPr>
              <w:t>14</w:t>
            </w:r>
          </w:p>
        </w:tc>
        <w:tc>
          <w:tcPr>
            <w:tcW w:w="644" w:type="pct"/>
            <w:noWrap/>
            <w:hideMark/>
          </w:tcPr>
          <w:p w14:paraId="763C5AA8" w14:textId="7E6FFA19" w:rsidR="0054281D" w:rsidRPr="002C2B6C"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2C2B6C">
              <w:rPr>
                <w:rFonts w:asciiTheme="majorHAnsi" w:hAnsiTheme="majorHAnsi"/>
                <w:color w:val="000000"/>
                <w:szCs w:val="20"/>
              </w:rPr>
              <w:t>29</w:t>
            </w:r>
          </w:p>
        </w:tc>
        <w:tc>
          <w:tcPr>
            <w:tcW w:w="644" w:type="pct"/>
            <w:noWrap/>
            <w:hideMark/>
          </w:tcPr>
          <w:p w14:paraId="046ECA1C" w14:textId="61EDC752" w:rsidR="0054281D" w:rsidRPr="002C2B6C"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2C2B6C">
              <w:rPr>
                <w:rFonts w:asciiTheme="majorHAnsi" w:hAnsiTheme="majorHAnsi"/>
                <w:color w:val="000000"/>
                <w:szCs w:val="20"/>
              </w:rPr>
              <w:t>48</w:t>
            </w:r>
          </w:p>
        </w:tc>
        <w:tc>
          <w:tcPr>
            <w:tcW w:w="644" w:type="pct"/>
            <w:noWrap/>
            <w:hideMark/>
          </w:tcPr>
          <w:p w14:paraId="294C3704" w14:textId="17F23E34" w:rsidR="0054281D" w:rsidRPr="002C2B6C"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2C2B6C">
              <w:rPr>
                <w:rFonts w:asciiTheme="majorHAnsi" w:hAnsiTheme="majorHAnsi"/>
                <w:color w:val="000000"/>
                <w:szCs w:val="20"/>
              </w:rPr>
              <w:t>95</w:t>
            </w:r>
          </w:p>
        </w:tc>
        <w:tc>
          <w:tcPr>
            <w:tcW w:w="642" w:type="pct"/>
            <w:noWrap/>
            <w:hideMark/>
          </w:tcPr>
          <w:p w14:paraId="6BE759AF" w14:textId="675B2C3A" w:rsidR="0054281D" w:rsidRPr="002C2B6C"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2C2B6C">
              <w:rPr>
                <w:rFonts w:asciiTheme="majorHAnsi" w:hAnsiTheme="majorHAnsi"/>
                <w:color w:val="000000"/>
                <w:szCs w:val="20"/>
              </w:rPr>
              <w:t>144</w:t>
            </w:r>
          </w:p>
        </w:tc>
      </w:tr>
      <w:tr w:rsidR="0054281D" w:rsidRPr="00DA08D2" w14:paraId="4C062F37" w14:textId="77777777" w:rsidTr="0054281D">
        <w:trPr>
          <w:trHeight w:val="259"/>
        </w:trPr>
        <w:tc>
          <w:tcPr>
            <w:cnfStyle w:val="001000000000" w:firstRow="0" w:lastRow="0" w:firstColumn="1" w:lastColumn="0" w:oddVBand="0" w:evenVBand="0" w:oddHBand="0" w:evenHBand="0" w:firstRowFirstColumn="0" w:firstRowLastColumn="0" w:lastRowFirstColumn="0" w:lastRowLastColumn="0"/>
            <w:tcW w:w="1783" w:type="pct"/>
            <w:noWrap/>
            <w:hideMark/>
          </w:tcPr>
          <w:p w14:paraId="3648C4E7" w14:textId="77777777" w:rsidR="0054281D" w:rsidRPr="00C96D88" w:rsidRDefault="0054281D" w:rsidP="0054281D">
            <w:pPr>
              <w:keepNext/>
              <w:jc w:val="left"/>
              <w:rPr>
                <w:rFonts w:asciiTheme="minorHAnsi" w:eastAsia="Times New Roman" w:hAnsiTheme="minorHAnsi"/>
                <w:color w:val="000000"/>
                <w:szCs w:val="20"/>
              </w:rPr>
            </w:pPr>
            <w:r w:rsidRPr="00C96D88">
              <w:rPr>
                <w:rFonts w:asciiTheme="minorHAnsi" w:eastAsia="Times New Roman" w:hAnsiTheme="minorHAnsi"/>
                <w:color w:val="000000"/>
                <w:szCs w:val="20"/>
              </w:rPr>
              <w:t>Residential</w:t>
            </w:r>
          </w:p>
        </w:tc>
        <w:tc>
          <w:tcPr>
            <w:tcW w:w="644" w:type="pct"/>
            <w:noWrap/>
            <w:hideMark/>
          </w:tcPr>
          <w:p w14:paraId="20B6B32D" w14:textId="71310C0D"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5.0</w:t>
            </w:r>
          </w:p>
        </w:tc>
        <w:tc>
          <w:tcPr>
            <w:tcW w:w="644" w:type="pct"/>
            <w:noWrap/>
            <w:hideMark/>
          </w:tcPr>
          <w:p w14:paraId="1C049659" w14:textId="300E35AD"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13.5</w:t>
            </w:r>
          </w:p>
        </w:tc>
        <w:tc>
          <w:tcPr>
            <w:tcW w:w="644" w:type="pct"/>
            <w:noWrap/>
            <w:hideMark/>
          </w:tcPr>
          <w:p w14:paraId="7708955E" w14:textId="79159435"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27.0</w:t>
            </w:r>
          </w:p>
        </w:tc>
        <w:tc>
          <w:tcPr>
            <w:tcW w:w="644" w:type="pct"/>
            <w:noWrap/>
            <w:hideMark/>
          </w:tcPr>
          <w:p w14:paraId="1F572A77" w14:textId="79B68B25"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61.3</w:t>
            </w:r>
          </w:p>
        </w:tc>
        <w:tc>
          <w:tcPr>
            <w:tcW w:w="642" w:type="pct"/>
            <w:noWrap/>
            <w:hideMark/>
          </w:tcPr>
          <w:p w14:paraId="6E04DFAF" w14:textId="3B9B8BEF"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99.1</w:t>
            </w:r>
          </w:p>
        </w:tc>
      </w:tr>
      <w:tr w:rsidR="0054281D" w:rsidRPr="00DA08D2" w14:paraId="29C8CFF5" w14:textId="77777777" w:rsidTr="0054281D">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3" w:type="pct"/>
            <w:noWrap/>
            <w:hideMark/>
          </w:tcPr>
          <w:p w14:paraId="244E2786" w14:textId="77777777" w:rsidR="0054281D" w:rsidRPr="00C96D88" w:rsidRDefault="0054281D" w:rsidP="0054281D">
            <w:pPr>
              <w:keepNext/>
              <w:jc w:val="left"/>
              <w:rPr>
                <w:rFonts w:asciiTheme="minorHAnsi" w:eastAsia="Times New Roman" w:hAnsiTheme="minorHAnsi"/>
                <w:color w:val="000000"/>
                <w:szCs w:val="20"/>
              </w:rPr>
            </w:pPr>
            <w:r w:rsidRPr="00C96D88">
              <w:rPr>
                <w:rFonts w:asciiTheme="minorHAnsi" w:eastAsia="Times New Roman" w:hAnsiTheme="minorHAnsi"/>
                <w:color w:val="000000"/>
                <w:szCs w:val="20"/>
              </w:rPr>
              <w:t>General Service</w:t>
            </w:r>
          </w:p>
        </w:tc>
        <w:tc>
          <w:tcPr>
            <w:tcW w:w="644" w:type="pct"/>
            <w:noWrap/>
            <w:hideMark/>
          </w:tcPr>
          <w:p w14:paraId="654F11A6" w14:textId="0A794B55"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0.4</w:t>
            </w:r>
          </w:p>
        </w:tc>
        <w:tc>
          <w:tcPr>
            <w:tcW w:w="644" w:type="pct"/>
            <w:noWrap/>
            <w:hideMark/>
          </w:tcPr>
          <w:p w14:paraId="25650292" w14:textId="767BB1BE"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1.0</w:t>
            </w:r>
          </w:p>
        </w:tc>
        <w:tc>
          <w:tcPr>
            <w:tcW w:w="644" w:type="pct"/>
            <w:noWrap/>
            <w:hideMark/>
          </w:tcPr>
          <w:p w14:paraId="2F2058C8" w14:textId="075502ED"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2.3</w:t>
            </w:r>
          </w:p>
        </w:tc>
        <w:tc>
          <w:tcPr>
            <w:tcW w:w="644" w:type="pct"/>
            <w:noWrap/>
            <w:hideMark/>
          </w:tcPr>
          <w:p w14:paraId="06FABDE9" w14:textId="273D0F3B"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9.9</w:t>
            </w:r>
          </w:p>
        </w:tc>
        <w:tc>
          <w:tcPr>
            <w:tcW w:w="642" w:type="pct"/>
            <w:noWrap/>
            <w:hideMark/>
          </w:tcPr>
          <w:p w14:paraId="5C545189" w14:textId="3D736C6A"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15.2</w:t>
            </w:r>
          </w:p>
        </w:tc>
      </w:tr>
      <w:tr w:rsidR="0054281D" w:rsidRPr="00DA08D2" w14:paraId="50456CD1" w14:textId="77777777" w:rsidTr="0054281D">
        <w:trPr>
          <w:trHeight w:val="259"/>
        </w:trPr>
        <w:tc>
          <w:tcPr>
            <w:cnfStyle w:val="001000000000" w:firstRow="0" w:lastRow="0" w:firstColumn="1" w:lastColumn="0" w:oddVBand="0" w:evenVBand="0" w:oddHBand="0" w:evenHBand="0" w:firstRowFirstColumn="0" w:firstRowLastColumn="0" w:lastRowFirstColumn="0" w:lastRowLastColumn="0"/>
            <w:tcW w:w="1783" w:type="pct"/>
            <w:noWrap/>
            <w:hideMark/>
          </w:tcPr>
          <w:p w14:paraId="17DEC605" w14:textId="77777777" w:rsidR="0054281D" w:rsidRPr="00C96D88" w:rsidRDefault="0054281D" w:rsidP="0054281D">
            <w:pPr>
              <w:keepNext/>
              <w:jc w:val="left"/>
              <w:rPr>
                <w:rFonts w:asciiTheme="minorHAnsi" w:eastAsia="Times New Roman" w:hAnsiTheme="minorHAnsi"/>
                <w:color w:val="000000"/>
                <w:szCs w:val="20"/>
              </w:rPr>
            </w:pPr>
            <w:r w:rsidRPr="00C96D88">
              <w:rPr>
                <w:rFonts w:asciiTheme="minorHAnsi" w:eastAsia="Times New Roman" w:hAnsiTheme="minorHAnsi"/>
                <w:color w:val="000000"/>
                <w:szCs w:val="20"/>
              </w:rPr>
              <w:t>Large General Service</w:t>
            </w:r>
          </w:p>
        </w:tc>
        <w:tc>
          <w:tcPr>
            <w:tcW w:w="644" w:type="pct"/>
            <w:noWrap/>
            <w:hideMark/>
          </w:tcPr>
          <w:p w14:paraId="585F6364" w14:textId="413BD21C"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5.1</w:t>
            </w:r>
          </w:p>
        </w:tc>
        <w:tc>
          <w:tcPr>
            <w:tcW w:w="644" w:type="pct"/>
            <w:noWrap/>
            <w:hideMark/>
          </w:tcPr>
          <w:p w14:paraId="5E74C84C" w14:textId="0830C0F4"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8.4</w:t>
            </w:r>
          </w:p>
        </w:tc>
        <w:tc>
          <w:tcPr>
            <w:tcW w:w="644" w:type="pct"/>
            <w:noWrap/>
            <w:hideMark/>
          </w:tcPr>
          <w:p w14:paraId="4134E4B3" w14:textId="7ADEA47F"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11.0</w:t>
            </w:r>
          </w:p>
        </w:tc>
        <w:tc>
          <w:tcPr>
            <w:tcW w:w="644" w:type="pct"/>
            <w:noWrap/>
            <w:hideMark/>
          </w:tcPr>
          <w:p w14:paraId="25367FBF" w14:textId="670F728C"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15.5</w:t>
            </w:r>
          </w:p>
        </w:tc>
        <w:tc>
          <w:tcPr>
            <w:tcW w:w="642" w:type="pct"/>
            <w:noWrap/>
            <w:hideMark/>
          </w:tcPr>
          <w:p w14:paraId="36CF7843" w14:textId="5C7C0777" w:rsidR="0054281D" w:rsidRPr="00C96D88"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21.2</w:t>
            </w:r>
          </w:p>
        </w:tc>
      </w:tr>
      <w:tr w:rsidR="0054281D" w:rsidRPr="00DA08D2" w14:paraId="3A6815F2" w14:textId="77777777" w:rsidTr="0054281D">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3" w:type="pct"/>
            <w:noWrap/>
            <w:hideMark/>
          </w:tcPr>
          <w:p w14:paraId="126C7CE6" w14:textId="77777777" w:rsidR="0054281D" w:rsidRPr="00C96D88" w:rsidRDefault="0054281D" w:rsidP="0054281D">
            <w:pPr>
              <w:keepNext/>
              <w:jc w:val="left"/>
              <w:rPr>
                <w:rFonts w:asciiTheme="minorHAnsi" w:eastAsia="Times New Roman" w:hAnsiTheme="minorHAnsi"/>
                <w:color w:val="000000"/>
                <w:szCs w:val="20"/>
              </w:rPr>
            </w:pPr>
            <w:r w:rsidRPr="00C96D88">
              <w:rPr>
                <w:rFonts w:asciiTheme="minorHAnsi" w:eastAsia="Times New Roman" w:hAnsiTheme="minorHAnsi"/>
                <w:color w:val="000000"/>
                <w:szCs w:val="20"/>
              </w:rPr>
              <w:t>Extra Large General Service</w:t>
            </w:r>
          </w:p>
        </w:tc>
        <w:tc>
          <w:tcPr>
            <w:tcW w:w="644" w:type="pct"/>
            <w:noWrap/>
            <w:hideMark/>
          </w:tcPr>
          <w:p w14:paraId="67003767" w14:textId="6C79222A"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3.4</w:t>
            </w:r>
          </w:p>
        </w:tc>
        <w:tc>
          <w:tcPr>
            <w:tcW w:w="644" w:type="pct"/>
            <w:noWrap/>
            <w:hideMark/>
          </w:tcPr>
          <w:p w14:paraId="0E5A5EEF" w14:textId="41A9FD61"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5.6</w:t>
            </w:r>
          </w:p>
        </w:tc>
        <w:tc>
          <w:tcPr>
            <w:tcW w:w="644" w:type="pct"/>
            <w:noWrap/>
            <w:hideMark/>
          </w:tcPr>
          <w:p w14:paraId="3BF8BB9C" w14:textId="584B5209"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7.5</w:t>
            </w:r>
          </w:p>
        </w:tc>
        <w:tc>
          <w:tcPr>
            <w:tcW w:w="644" w:type="pct"/>
            <w:noWrap/>
            <w:hideMark/>
          </w:tcPr>
          <w:p w14:paraId="50421FC5" w14:textId="2B2D822B"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8.2</w:t>
            </w:r>
          </w:p>
        </w:tc>
        <w:tc>
          <w:tcPr>
            <w:tcW w:w="642" w:type="pct"/>
            <w:noWrap/>
            <w:hideMark/>
          </w:tcPr>
          <w:p w14:paraId="13C9A914" w14:textId="4951700F" w:rsidR="0054281D" w:rsidRPr="00C96D88"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C96D88">
              <w:rPr>
                <w:rFonts w:asciiTheme="minorHAnsi" w:hAnsiTheme="minorHAnsi"/>
                <w:color w:val="000000"/>
                <w:szCs w:val="20"/>
              </w:rPr>
              <w:t>8.5</w:t>
            </w:r>
          </w:p>
        </w:tc>
      </w:tr>
    </w:tbl>
    <w:p w14:paraId="5D56434F" w14:textId="54E591DB" w:rsidR="00DA08D2" w:rsidRDefault="00DA08D2" w:rsidP="00DA08D2">
      <w:pPr>
        <w:pStyle w:val="AEGBody"/>
        <w:rPr>
          <w:rFonts w:cstheme="minorBidi"/>
        </w:rPr>
      </w:pPr>
    </w:p>
    <w:p w14:paraId="5D1EA6D3" w14:textId="6AFA21AE" w:rsidR="00DA08D2" w:rsidRDefault="00DA08D2" w:rsidP="00DA08D2">
      <w:pPr>
        <w:pStyle w:val="Caption"/>
      </w:pPr>
      <w:bookmarkStart w:id="212" w:name="_Ref175732646"/>
      <w:bookmarkStart w:id="213" w:name="_Toc175912411"/>
      <w:r>
        <w:t xml:space="preserve">Table </w:t>
      </w:r>
      <w:r w:rsidR="00EE4707">
        <w:fldChar w:fldCharType="begin"/>
      </w:r>
      <w:r w:rsidR="00EE4707">
        <w:instrText xml:space="preserve"> STYLEREF 1 \s </w:instrText>
      </w:r>
      <w:r w:rsidR="00EE4707">
        <w:fldChar w:fldCharType="separate"/>
      </w:r>
      <w:r w:rsidR="00EE4707">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EE4707">
        <w:rPr>
          <w:noProof/>
        </w:rPr>
        <w:t>9</w:t>
      </w:r>
      <w:r w:rsidR="00EE4707">
        <w:fldChar w:fldCharType="end"/>
      </w:r>
      <w:bookmarkEnd w:id="212"/>
      <w:r>
        <w:t xml:space="preserve"> </w:t>
      </w:r>
      <w:r w:rsidRPr="007A66B6">
        <w:t>Summer Potential by Class – TOU Opt-In (MW @ Generator), Idaho</w:t>
      </w:r>
      <w:bookmarkEnd w:id="213"/>
    </w:p>
    <w:tbl>
      <w:tblPr>
        <w:tblStyle w:val="AEGBlue2"/>
        <w:tblW w:w="5000" w:type="pct"/>
        <w:tblLook w:val="04A0" w:firstRow="1" w:lastRow="0" w:firstColumn="1" w:lastColumn="0" w:noHBand="0" w:noVBand="1"/>
      </w:tblPr>
      <w:tblGrid>
        <w:gridCol w:w="3339"/>
        <w:gridCol w:w="1205"/>
        <w:gridCol w:w="1206"/>
        <w:gridCol w:w="1206"/>
        <w:gridCol w:w="1206"/>
        <w:gridCol w:w="1198"/>
      </w:tblGrid>
      <w:tr w:rsidR="00DA08D2" w:rsidRPr="00DA08D2" w14:paraId="3FEBDD66" w14:textId="77777777" w:rsidTr="000370D2">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4" w:type="pct"/>
            <w:hideMark/>
          </w:tcPr>
          <w:p w14:paraId="5ABEFC6A" w14:textId="039FEF92" w:rsidR="00DA08D2" w:rsidRPr="00BB442E" w:rsidRDefault="00DA08D2" w:rsidP="00DA08D2">
            <w:pPr>
              <w:keepNext/>
              <w:jc w:val="left"/>
              <w:rPr>
                <w:rFonts w:asciiTheme="majorHAnsi" w:eastAsia="Times New Roman" w:hAnsiTheme="majorHAnsi" w:cs="Segoe UI Semilight"/>
                <w:szCs w:val="20"/>
              </w:rPr>
            </w:pPr>
          </w:p>
        </w:tc>
        <w:tc>
          <w:tcPr>
            <w:tcW w:w="644" w:type="pct"/>
            <w:hideMark/>
          </w:tcPr>
          <w:p w14:paraId="6BE659E1" w14:textId="77777777" w:rsidR="00DA08D2" w:rsidRPr="00BB442E"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szCs w:val="20"/>
              </w:rPr>
            </w:pPr>
            <w:r w:rsidRPr="00BB442E">
              <w:rPr>
                <w:rFonts w:asciiTheme="majorHAnsi" w:eastAsia="Times New Roman" w:hAnsiTheme="majorHAnsi" w:cs="Segoe UI Semilight"/>
                <w:szCs w:val="20"/>
              </w:rPr>
              <w:t>2026</w:t>
            </w:r>
          </w:p>
        </w:tc>
        <w:tc>
          <w:tcPr>
            <w:tcW w:w="644" w:type="pct"/>
            <w:hideMark/>
          </w:tcPr>
          <w:p w14:paraId="7F12F1BD" w14:textId="77777777" w:rsidR="00DA08D2" w:rsidRPr="00BB442E"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szCs w:val="20"/>
              </w:rPr>
            </w:pPr>
            <w:r w:rsidRPr="00BB442E">
              <w:rPr>
                <w:rFonts w:asciiTheme="majorHAnsi" w:eastAsia="Times New Roman" w:hAnsiTheme="majorHAnsi" w:cs="Segoe UI Semilight"/>
                <w:szCs w:val="20"/>
              </w:rPr>
              <w:t>2027</w:t>
            </w:r>
          </w:p>
        </w:tc>
        <w:tc>
          <w:tcPr>
            <w:tcW w:w="644" w:type="pct"/>
            <w:hideMark/>
          </w:tcPr>
          <w:p w14:paraId="14D0DA2C" w14:textId="77777777" w:rsidR="00DA08D2" w:rsidRPr="00BB442E"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szCs w:val="20"/>
              </w:rPr>
            </w:pPr>
            <w:r w:rsidRPr="00BB442E">
              <w:rPr>
                <w:rFonts w:asciiTheme="majorHAnsi" w:eastAsia="Times New Roman" w:hAnsiTheme="majorHAnsi" w:cs="Segoe UI Semilight"/>
                <w:szCs w:val="20"/>
              </w:rPr>
              <w:t>2028</w:t>
            </w:r>
          </w:p>
        </w:tc>
        <w:tc>
          <w:tcPr>
            <w:tcW w:w="644" w:type="pct"/>
            <w:hideMark/>
          </w:tcPr>
          <w:p w14:paraId="2B4E7CDD" w14:textId="77777777" w:rsidR="00DA08D2" w:rsidRPr="00BB442E"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szCs w:val="20"/>
              </w:rPr>
            </w:pPr>
            <w:r w:rsidRPr="00BB442E">
              <w:rPr>
                <w:rFonts w:asciiTheme="majorHAnsi" w:eastAsia="Times New Roman" w:hAnsiTheme="majorHAnsi" w:cs="Segoe UI Semilight"/>
                <w:szCs w:val="20"/>
              </w:rPr>
              <w:t>2035</w:t>
            </w:r>
          </w:p>
        </w:tc>
        <w:tc>
          <w:tcPr>
            <w:tcW w:w="641" w:type="pct"/>
            <w:hideMark/>
          </w:tcPr>
          <w:p w14:paraId="7D18EA92" w14:textId="77777777" w:rsidR="00DA08D2" w:rsidRPr="00BB442E" w:rsidRDefault="00DA08D2" w:rsidP="00DA08D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szCs w:val="20"/>
              </w:rPr>
            </w:pPr>
            <w:r w:rsidRPr="00BB442E">
              <w:rPr>
                <w:rFonts w:asciiTheme="majorHAnsi" w:eastAsia="Times New Roman" w:hAnsiTheme="majorHAnsi" w:cs="Segoe UI Semilight"/>
                <w:szCs w:val="20"/>
              </w:rPr>
              <w:t>2045</w:t>
            </w:r>
          </w:p>
        </w:tc>
      </w:tr>
      <w:tr w:rsidR="000370D2" w:rsidRPr="00DA08D2" w14:paraId="0E713FD5" w14:textId="77777777" w:rsidTr="000370D2">
        <w:trPr>
          <w:trHeight w:val="259"/>
        </w:trPr>
        <w:tc>
          <w:tcPr>
            <w:cnfStyle w:val="001000000000" w:firstRow="0" w:lastRow="0" w:firstColumn="1" w:lastColumn="0" w:oddVBand="0" w:evenVBand="0" w:oddHBand="0" w:evenHBand="0" w:firstRowFirstColumn="0" w:firstRowLastColumn="0" w:lastRowFirstColumn="0" w:lastRowLastColumn="0"/>
            <w:tcW w:w="1784" w:type="pct"/>
            <w:noWrap/>
            <w:hideMark/>
          </w:tcPr>
          <w:p w14:paraId="56995D5B" w14:textId="77777777" w:rsidR="000370D2" w:rsidRPr="00BB442E" w:rsidRDefault="000370D2" w:rsidP="000370D2">
            <w:pPr>
              <w:keepNext/>
              <w:jc w:val="left"/>
              <w:rPr>
                <w:rFonts w:asciiTheme="majorHAnsi" w:eastAsia="Times New Roman" w:hAnsiTheme="majorHAnsi"/>
                <w:color w:val="000000"/>
                <w:szCs w:val="20"/>
              </w:rPr>
            </w:pPr>
            <w:r w:rsidRPr="00BB442E">
              <w:rPr>
                <w:rFonts w:asciiTheme="majorHAnsi" w:eastAsia="Times New Roman" w:hAnsiTheme="majorHAnsi"/>
                <w:color w:val="000000"/>
                <w:szCs w:val="20"/>
              </w:rPr>
              <w:t>Baseline Forecast (Summer MW)</w:t>
            </w:r>
          </w:p>
        </w:tc>
        <w:tc>
          <w:tcPr>
            <w:tcW w:w="644" w:type="pct"/>
            <w:noWrap/>
            <w:vAlign w:val="top"/>
            <w:hideMark/>
          </w:tcPr>
          <w:p w14:paraId="549F5AF4" w14:textId="3920CD5B" w:rsidR="000370D2" w:rsidRPr="00BB442E"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rPr>
              <w:t>605</w:t>
            </w:r>
          </w:p>
        </w:tc>
        <w:tc>
          <w:tcPr>
            <w:tcW w:w="644" w:type="pct"/>
            <w:noWrap/>
            <w:vAlign w:val="top"/>
            <w:hideMark/>
          </w:tcPr>
          <w:p w14:paraId="007115E4" w14:textId="66141873" w:rsidR="000370D2" w:rsidRPr="00BB442E"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rPr>
              <w:t>604</w:t>
            </w:r>
          </w:p>
        </w:tc>
        <w:tc>
          <w:tcPr>
            <w:tcW w:w="644" w:type="pct"/>
            <w:noWrap/>
            <w:vAlign w:val="top"/>
            <w:hideMark/>
          </w:tcPr>
          <w:p w14:paraId="0D6177BD" w14:textId="544F42C9" w:rsidR="000370D2" w:rsidRPr="00BB442E"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rPr>
              <w:t>592</w:t>
            </w:r>
          </w:p>
        </w:tc>
        <w:tc>
          <w:tcPr>
            <w:tcW w:w="644" w:type="pct"/>
            <w:noWrap/>
            <w:vAlign w:val="top"/>
            <w:hideMark/>
          </w:tcPr>
          <w:p w14:paraId="6F3B5211" w14:textId="52C1C33A" w:rsidR="000370D2" w:rsidRPr="00BB442E"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rPr>
              <w:t>641</w:t>
            </w:r>
          </w:p>
        </w:tc>
        <w:tc>
          <w:tcPr>
            <w:tcW w:w="641" w:type="pct"/>
            <w:noWrap/>
            <w:vAlign w:val="top"/>
            <w:hideMark/>
          </w:tcPr>
          <w:p w14:paraId="51C85BA9" w14:textId="278405BC" w:rsidR="000370D2" w:rsidRPr="00BB442E" w:rsidRDefault="000370D2"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rPr>
              <w:t>699</w:t>
            </w:r>
          </w:p>
        </w:tc>
      </w:tr>
      <w:tr w:rsidR="0054281D" w:rsidRPr="00DA08D2" w14:paraId="47C6CE61" w14:textId="77777777" w:rsidTr="000370D2">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4" w:type="pct"/>
            <w:noWrap/>
            <w:hideMark/>
          </w:tcPr>
          <w:p w14:paraId="29AA9543" w14:textId="77777777" w:rsidR="0054281D" w:rsidRPr="00BB442E" w:rsidRDefault="0054281D" w:rsidP="0054281D">
            <w:pPr>
              <w:keepNext/>
              <w:jc w:val="left"/>
              <w:rPr>
                <w:rFonts w:asciiTheme="majorHAnsi" w:eastAsia="Times New Roman" w:hAnsiTheme="majorHAnsi"/>
                <w:color w:val="000000"/>
                <w:szCs w:val="20"/>
              </w:rPr>
            </w:pPr>
            <w:r w:rsidRPr="00BB442E">
              <w:rPr>
                <w:rFonts w:asciiTheme="majorHAnsi" w:eastAsia="Times New Roman" w:hAnsiTheme="majorHAnsi"/>
                <w:color w:val="000000"/>
                <w:szCs w:val="20"/>
              </w:rPr>
              <w:t>Achievable Potential (MW)</w:t>
            </w:r>
          </w:p>
        </w:tc>
        <w:tc>
          <w:tcPr>
            <w:tcW w:w="644" w:type="pct"/>
            <w:noWrap/>
            <w:hideMark/>
          </w:tcPr>
          <w:p w14:paraId="102CFEBD" w14:textId="50F1A045"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color w:val="000000"/>
                <w:szCs w:val="20"/>
              </w:rPr>
              <w:t>2</w:t>
            </w:r>
          </w:p>
        </w:tc>
        <w:tc>
          <w:tcPr>
            <w:tcW w:w="644" w:type="pct"/>
            <w:noWrap/>
            <w:hideMark/>
          </w:tcPr>
          <w:p w14:paraId="29355282" w14:textId="3478C71E"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color w:val="000000"/>
                <w:szCs w:val="20"/>
              </w:rPr>
              <w:t>5</w:t>
            </w:r>
          </w:p>
        </w:tc>
        <w:tc>
          <w:tcPr>
            <w:tcW w:w="644" w:type="pct"/>
            <w:noWrap/>
            <w:hideMark/>
          </w:tcPr>
          <w:p w14:paraId="7DAB0164" w14:textId="5A033E4E"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color w:val="000000"/>
                <w:szCs w:val="20"/>
              </w:rPr>
              <w:t>14</w:t>
            </w:r>
          </w:p>
        </w:tc>
        <w:tc>
          <w:tcPr>
            <w:tcW w:w="644" w:type="pct"/>
            <w:noWrap/>
            <w:hideMark/>
          </w:tcPr>
          <w:p w14:paraId="24615410" w14:textId="6D6EE1A0"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color w:val="000000"/>
                <w:szCs w:val="20"/>
              </w:rPr>
              <w:t>33</w:t>
            </w:r>
          </w:p>
        </w:tc>
        <w:tc>
          <w:tcPr>
            <w:tcW w:w="641" w:type="pct"/>
            <w:noWrap/>
            <w:hideMark/>
          </w:tcPr>
          <w:p w14:paraId="44E2B1AB" w14:textId="1A575422"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BB442E">
              <w:rPr>
                <w:rFonts w:asciiTheme="majorHAnsi" w:hAnsiTheme="majorHAnsi"/>
                <w:color w:val="000000"/>
                <w:szCs w:val="20"/>
              </w:rPr>
              <w:t>40</w:t>
            </w:r>
          </w:p>
        </w:tc>
      </w:tr>
      <w:tr w:rsidR="0054281D" w:rsidRPr="00DA08D2" w14:paraId="7CB448F8" w14:textId="77777777" w:rsidTr="000370D2">
        <w:trPr>
          <w:trHeight w:val="259"/>
        </w:trPr>
        <w:tc>
          <w:tcPr>
            <w:cnfStyle w:val="001000000000" w:firstRow="0" w:lastRow="0" w:firstColumn="1" w:lastColumn="0" w:oddVBand="0" w:evenVBand="0" w:oddHBand="0" w:evenHBand="0" w:firstRowFirstColumn="0" w:firstRowLastColumn="0" w:lastRowFirstColumn="0" w:lastRowLastColumn="0"/>
            <w:tcW w:w="1784" w:type="pct"/>
            <w:noWrap/>
            <w:hideMark/>
          </w:tcPr>
          <w:p w14:paraId="30E8303D" w14:textId="77777777" w:rsidR="0054281D" w:rsidRPr="00BB442E" w:rsidRDefault="0054281D" w:rsidP="0054281D">
            <w:pPr>
              <w:keepNext/>
              <w:jc w:val="left"/>
              <w:rPr>
                <w:rFonts w:eastAsia="Times New Roman"/>
                <w:color w:val="000000"/>
                <w:szCs w:val="20"/>
              </w:rPr>
            </w:pPr>
            <w:r w:rsidRPr="00BB442E">
              <w:rPr>
                <w:rFonts w:eastAsia="Times New Roman"/>
                <w:color w:val="000000"/>
                <w:szCs w:val="20"/>
              </w:rPr>
              <w:t>Residential</w:t>
            </w:r>
          </w:p>
        </w:tc>
        <w:tc>
          <w:tcPr>
            <w:tcW w:w="644" w:type="pct"/>
            <w:noWrap/>
            <w:hideMark/>
          </w:tcPr>
          <w:p w14:paraId="568F5532" w14:textId="68B365AD"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1.5</w:t>
            </w:r>
          </w:p>
        </w:tc>
        <w:tc>
          <w:tcPr>
            <w:tcW w:w="644" w:type="pct"/>
            <w:noWrap/>
            <w:hideMark/>
          </w:tcPr>
          <w:p w14:paraId="53C4527A" w14:textId="3ED52107"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4.4</w:t>
            </w:r>
          </w:p>
        </w:tc>
        <w:tc>
          <w:tcPr>
            <w:tcW w:w="644" w:type="pct"/>
            <w:noWrap/>
            <w:hideMark/>
          </w:tcPr>
          <w:p w14:paraId="2D9D0111" w14:textId="4BC6A65F"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10.4</w:t>
            </w:r>
          </w:p>
        </w:tc>
        <w:tc>
          <w:tcPr>
            <w:tcW w:w="644" w:type="pct"/>
            <w:noWrap/>
            <w:hideMark/>
          </w:tcPr>
          <w:p w14:paraId="7B3EAE7B" w14:textId="78FE1669"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21.1</w:t>
            </w:r>
          </w:p>
        </w:tc>
        <w:tc>
          <w:tcPr>
            <w:tcW w:w="641" w:type="pct"/>
            <w:noWrap/>
            <w:hideMark/>
          </w:tcPr>
          <w:p w14:paraId="2EB8A590" w14:textId="361BF214"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25.7</w:t>
            </w:r>
          </w:p>
        </w:tc>
      </w:tr>
      <w:tr w:rsidR="0054281D" w:rsidRPr="00DA08D2" w14:paraId="5745992E" w14:textId="77777777" w:rsidTr="000370D2">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4" w:type="pct"/>
            <w:noWrap/>
            <w:hideMark/>
          </w:tcPr>
          <w:p w14:paraId="2B60531F" w14:textId="77777777" w:rsidR="0054281D" w:rsidRPr="00BB442E" w:rsidRDefault="0054281D" w:rsidP="0054281D">
            <w:pPr>
              <w:keepNext/>
              <w:jc w:val="left"/>
              <w:rPr>
                <w:rFonts w:eastAsia="Times New Roman"/>
                <w:color w:val="000000"/>
                <w:szCs w:val="20"/>
              </w:rPr>
            </w:pPr>
            <w:r w:rsidRPr="00BB442E">
              <w:rPr>
                <w:rFonts w:eastAsia="Times New Roman"/>
                <w:color w:val="000000"/>
                <w:szCs w:val="20"/>
              </w:rPr>
              <w:t>General Service</w:t>
            </w:r>
          </w:p>
        </w:tc>
        <w:tc>
          <w:tcPr>
            <w:tcW w:w="644" w:type="pct"/>
            <w:noWrap/>
            <w:hideMark/>
          </w:tcPr>
          <w:p w14:paraId="29619E03" w14:textId="76EE459B"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0.1</w:t>
            </w:r>
          </w:p>
        </w:tc>
        <w:tc>
          <w:tcPr>
            <w:tcW w:w="644" w:type="pct"/>
            <w:noWrap/>
            <w:hideMark/>
          </w:tcPr>
          <w:p w14:paraId="20F79316" w14:textId="1AD12A73"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0.4</w:t>
            </w:r>
          </w:p>
        </w:tc>
        <w:tc>
          <w:tcPr>
            <w:tcW w:w="644" w:type="pct"/>
            <w:noWrap/>
            <w:hideMark/>
          </w:tcPr>
          <w:p w14:paraId="54D27D18" w14:textId="371C773E"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0.9</w:t>
            </w:r>
          </w:p>
        </w:tc>
        <w:tc>
          <w:tcPr>
            <w:tcW w:w="644" w:type="pct"/>
            <w:noWrap/>
            <w:hideMark/>
          </w:tcPr>
          <w:p w14:paraId="2A15F436" w14:textId="4C8A31C7"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3.5</w:t>
            </w:r>
          </w:p>
        </w:tc>
        <w:tc>
          <w:tcPr>
            <w:tcW w:w="641" w:type="pct"/>
            <w:noWrap/>
            <w:hideMark/>
          </w:tcPr>
          <w:p w14:paraId="27468413" w14:textId="7D157B87"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5.6</w:t>
            </w:r>
          </w:p>
        </w:tc>
      </w:tr>
      <w:tr w:rsidR="0054281D" w:rsidRPr="00DA08D2" w14:paraId="2D98F401" w14:textId="77777777" w:rsidTr="000370D2">
        <w:trPr>
          <w:trHeight w:val="259"/>
        </w:trPr>
        <w:tc>
          <w:tcPr>
            <w:cnfStyle w:val="001000000000" w:firstRow="0" w:lastRow="0" w:firstColumn="1" w:lastColumn="0" w:oddVBand="0" w:evenVBand="0" w:oddHBand="0" w:evenHBand="0" w:firstRowFirstColumn="0" w:firstRowLastColumn="0" w:lastRowFirstColumn="0" w:lastRowLastColumn="0"/>
            <w:tcW w:w="1784" w:type="pct"/>
            <w:noWrap/>
            <w:hideMark/>
          </w:tcPr>
          <w:p w14:paraId="2412501B" w14:textId="77777777" w:rsidR="0054281D" w:rsidRPr="00BB442E" w:rsidRDefault="0054281D" w:rsidP="0054281D">
            <w:pPr>
              <w:keepNext/>
              <w:jc w:val="left"/>
              <w:rPr>
                <w:rFonts w:eastAsia="Times New Roman"/>
                <w:color w:val="000000"/>
                <w:szCs w:val="20"/>
              </w:rPr>
            </w:pPr>
            <w:r w:rsidRPr="00BB442E">
              <w:rPr>
                <w:rFonts w:eastAsia="Times New Roman"/>
                <w:color w:val="000000"/>
                <w:szCs w:val="20"/>
              </w:rPr>
              <w:t>Large General Service</w:t>
            </w:r>
          </w:p>
        </w:tc>
        <w:tc>
          <w:tcPr>
            <w:tcW w:w="644" w:type="pct"/>
            <w:noWrap/>
            <w:hideMark/>
          </w:tcPr>
          <w:p w14:paraId="6D97DFD7" w14:textId="3C1B7EAF"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0.0</w:t>
            </w:r>
          </w:p>
        </w:tc>
        <w:tc>
          <w:tcPr>
            <w:tcW w:w="644" w:type="pct"/>
            <w:noWrap/>
            <w:hideMark/>
          </w:tcPr>
          <w:p w14:paraId="7673389B" w14:textId="460CDA0C"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0.0</w:t>
            </w:r>
          </w:p>
        </w:tc>
        <w:tc>
          <w:tcPr>
            <w:tcW w:w="644" w:type="pct"/>
            <w:noWrap/>
            <w:hideMark/>
          </w:tcPr>
          <w:p w14:paraId="3D4F9C1A" w14:textId="417DF265"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0.0</w:t>
            </w:r>
          </w:p>
        </w:tc>
        <w:tc>
          <w:tcPr>
            <w:tcW w:w="644" w:type="pct"/>
            <w:noWrap/>
            <w:hideMark/>
          </w:tcPr>
          <w:p w14:paraId="32246CC9" w14:textId="10A58811"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4.4</w:t>
            </w:r>
          </w:p>
        </w:tc>
        <w:tc>
          <w:tcPr>
            <w:tcW w:w="641" w:type="pct"/>
            <w:noWrap/>
            <w:hideMark/>
          </w:tcPr>
          <w:p w14:paraId="3A6E1E9B" w14:textId="7133114E" w:rsidR="0054281D" w:rsidRPr="00BB442E" w:rsidRDefault="0054281D"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BB442E">
              <w:rPr>
                <w:color w:val="000000"/>
                <w:szCs w:val="20"/>
              </w:rPr>
              <w:t>5.3</w:t>
            </w:r>
          </w:p>
        </w:tc>
      </w:tr>
      <w:tr w:rsidR="0054281D" w:rsidRPr="00DA08D2" w14:paraId="6AA908D4" w14:textId="77777777" w:rsidTr="000370D2">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84" w:type="pct"/>
            <w:noWrap/>
            <w:hideMark/>
          </w:tcPr>
          <w:p w14:paraId="5FD5A014" w14:textId="77777777" w:rsidR="0054281D" w:rsidRPr="00BB442E" w:rsidRDefault="0054281D" w:rsidP="0054281D">
            <w:pPr>
              <w:keepNext/>
              <w:jc w:val="left"/>
              <w:rPr>
                <w:rFonts w:eastAsia="Times New Roman"/>
                <w:color w:val="000000"/>
                <w:szCs w:val="20"/>
              </w:rPr>
            </w:pPr>
            <w:r w:rsidRPr="00BB442E">
              <w:rPr>
                <w:rFonts w:eastAsia="Times New Roman"/>
                <w:color w:val="000000"/>
                <w:szCs w:val="20"/>
              </w:rPr>
              <w:t>Extra Large General Service</w:t>
            </w:r>
          </w:p>
        </w:tc>
        <w:tc>
          <w:tcPr>
            <w:tcW w:w="644" w:type="pct"/>
            <w:noWrap/>
            <w:hideMark/>
          </w:tcPr>
          <w:p w14:paraId="216B17AD" w14:textId="5E832409"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0.1</w:t>
            </w:r>
          </w:p>
        </w:tc>
        <w:tc>
          <w:tcPr>
            <w:tcW w:w="644" w:type="pct"/>
            <w:noWrap/>
            <w:hideMark/>
          </w:tcPr>
          <w:p w14:paraId="24781DB8" w14:textId="7186FE9A"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0.3</w:t>
            </w:r>
          </w:p>
        </w:tc>
        <w:tc>
          <w:tcPr>
            <w:tcW w:w="644" w:type="pct"/>
            <w:noWrap/>
            <w:hideMark/>
          </w:tcPr>
          <w:p w14:paraId="2F18D577" w14:textId="20335AEE"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2.4</w:t>
            </w:r>
          </w:p>
        </w:tc>
        <w:tc>
          <w:tcPr>
            <w:tcW w:w="644" w:type="pct"/>
            <w:noWrap/>
            <w:hideMark/>
          </w:tcPr>
          <w:p w14:paraId="66C203DB" w14:textId="05ACA9D0"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3.9</w:t>
            </w:r>
          </w:p>
        </w:tc>
        <w:tc>
          <w:tcPr>
            <w:tcW w:w="641" w:type="pct"/>
            <w:noWrap/>
            <w:hideMark/>
          </w:tcPr>
          <w:p w14:paraId="3C1AC94B" w14:textId="03D529A2" w:rsidR="0054281D" w:rsidRPr="00BB442E" w:rsidRDefault="0054281D"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BB442E">
              <w:rPr>
                <w:color w:val="000000"/>
                <w:szCs w:val="20"/>
              </w:rPr>
              <w:t>3.6</w:t>
            </w:r>
          </w:p>
        </w:tc>
      </w:tr>
    </w:tbl>
    <w:p w14:paraId="4BBAADFB" w14:textId="3F7A60EF" w:rsidR="00DA08D2" w:rsidRDefault="00DA08D2" w:rsidP="00DA08D2">
      <w:pPr>
        <w:pStyle w:val="AEGBody"/>
        <w:rPr>
          <w:lang w:eastAsia="ja-JP"/>
        </w:rPr>
      </w:pPr>
    </w:p>
    <w:p w14:paraId="4687578F" w14:textId="59CE4FEF" w:rsidR="00F2129C" w:rsidRDefault="00F2129C" w:rsidP="00F2129C">
      <w:pPr>
        <w:pStyle w:val="Caption"/>
      </w:pPr>
      <w:bookmarkStart w:id="214" w:name="_Toc175904467"/>
      <w:r>
        <w:t xml:space="preserve">Figure </w:t>
      </w:r>
      <w:r w:rsidR="000E34CB">
        <w:fldChar w:fldCharType="begin"/>
      </w:r>
      <w:r w:rsidR="000E34CB">
        <w:instrText xml:space="preserve"> STYLEREF 1 \s </w:instrText>
      </w:r>
      <w:r w:rsidR="000E34CB">
        <w:fldChar w:fldCharType="separate"/>
      </w:r>
      <w:r w:rsidR="00106CF8">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106CF8">
        <w:rPr>
          <w:noProof/>
        </w:rPr>
        <w:t>6</w:t>
      </w:r>
      <w:r w:rsidR="000E34CB">
        <w:fldChar w:fldCharType="end"/>
      </w:r>
      <w:r>
        <w:t xml:space="preserve"> </w:t>
      </w:r>
      <w:r w:rsidRPr="00132E21">
        <w:t>Summer Potential by Class – TOU Opt-In (MW @Generator), Washington</w:t>
      </w:r>
      <w:bookmarkEnd w:id="214"/>
    </w:p>
    <w:p w14:paraId="267AC5D9" w14:textId="6D3CC749" w:rsidR="00F2129C" w:rsidRDefault="00563A54" w:rsidP="0060704E">
      <w:pPr>
        <w:pStyle w:val="AEGBody"/>
        <w:jc w:val="center"/>
        <w:rPr>
          <w:lang w:eastAsia="ja-JP"/>
        </w:rPr>
      </w:pPr>
      <w:r>
        <w:rPr>
          <w:noProof/>
        </w:rPr>
        <w:drawing>
          <wp:inline distT="0" distB="0" distL="0" distR="0" wp14:anchorId="4FB61DD3" wp14:editId="7765FAF4">
            <wp:extent cx="5314950" cy="2705881"/>
            <wp:effectExtent l="0" t="0" r="0" b="0"/>
            <wp:docPr id="918201452" name="Chart 1">
              <a:extLst xmlns:a="http://schemas.openxmlformats.org/drawingml/2006/main">
                <a:ext uri="{FF2B5EF4-FFF2-40B4-BE49-F238E27FC236}">
                  <a16:creationId xmlns:a16="http://schemas.microsoft.com/office/drawing/2014/main" id="{7FD5167B-1FB3-4B5A-83D8-D9A566D2D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B06CFB0" w14:textId="77777777" w:rsidR="00F2129C" w:rsidRDefault="00F2129C" w:rsidP="00DA08D2">
      <w:pPr>
        <w:pStyle w:val="AEGBody"/>
        <w:rPr>
          <w:lang w:eastAsia="ja-JP"/>
        </w:rPr>
      </w:pPr>
    </w:p>
    <w:p w14:paraId="6F68CBC7" w14:textId="7FFCF869" w:rsidR="00F2129C" w:rsidRDefault="00F2129C" w:rsidP="00F2129C">
      <w:pPr>
        <w:pStyle w:val="Caption"/>
      </w:pPr>
      <w:bookmarkStart w:id="215" w:name="_Toc175904468"/>
      <w:r>
        <w:t xml:space="preserve">Figure </w:t>
      </w:r>
      <w:r w:rsidR="000E34CB">
        <w:fldChar w:fldCharType="begin"/>
      </w:r>
      <w:r w:rsidR="000E34CB">
        <w:instrText xml:space="preserve"> STYLEREF 1 \s </w:instrText>
      </w:r>
      <w:r w:rsidR="000E34CB">
        <w:fldChar w:fldCharType="separate"/>
      </w:r>
      <w:r w:rsidR="00106CF8">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106CF8">
        <w:rPr>
          <w:noProof/>
        </w:rPr>
        <w:t>7</w:t>
      </w:r>
      <w:r w:rsidR="000E34CB">
        <w:fldChar w:fldCharType="end"/>
      </w:r>
      <w:r>
        <w:t xml:space="preserve"> </w:t>
      </w:r>
      <w:r w:rsidRPr="00322BD8">
        <w:t>Summer Potential by Class – TOU Opt-In (MW @Generator), Idaho</w:t>
      </w:r>
      <w:bookmarkEnd w:id="215"/>
    </w:p>
    <w:p w14:paraId="63D952DC" w14:textId="16532510" w:rsidR="00F2129C" w:rsidRPr="00DA08D2" w:rsidRDefault="00563A54" w:rsidP="0060704E">
      <w:pPr>
        <w:pStyle w:val="AEGBody"/>
        <w:jc w:val="center"/>
        <w:rPr>
          <w:lang w:eastAsia="ja-JP"/>
        </w:rPr>
      </w:pPr>
      <w:r>
        <w:rPr>
          <w:noProof/>
        </w:rPr>
        <w:drawing>
          <wp:inline distT="0" distB="0" distL="0" distR="0" wp14:anchorId="0EC1887E" wp14:editId="0B2516C6">
            <wp:extent cx="5334000" cy="2708275"/>
            <wp:effectExtent l="0" t="0" r="0" b="0"/>
            <wp:docPr id="381907192" name="Chart 1">
              <a:extLst xmlns:a="http://schemas.openxmlformats.org/drawingml/2006/main">
                <a:ext uri="{FF2B5EF4-FFF2-40B4-BE49-F238E27FC236}">
                  <a16:creationId xmlns:a16="http://schemas.microsoft.com/office/drawing/2014/main" id="{BD0C21A5-006E-49B0-A936-C9FBFDE96F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B980530" w14:textId="5F3E5891" w:rsidR="001E255C" w:rsidRDefault="001E255C" w:rsidP="001E255C">
      <w:pPr>
        <w:pStyle w:val="Heading3"/>
        <w:rPr>
          <w:lang w:eastAsia="ja-JP"/>
        </w:rPr>
      </w:pPr>
      <w:bookmarkStart w:id="216" w:name="_Toc175904890"/>
      <w:r>
        <w:rPr>
          <w:lang w:eastAsia="ja-JP"/>
        </w:rPr>
        <w:t>Winter Opt-in TOU Scenario</w:t>
      </w:r>
      <w:bookmarkEnd w:id="216"/>
    </w:p>
    <w:p w14:paraId="1F22BFD2" w14:textId="77777777" w:rsidR="00106CF8" w:rsidRDefault="00106CF8" w:rsidP="00106CF8">
      <w:pPr>
        <w:pStyle w:val="BodyText"/>
      </w:pPr>
      <w:r w:rsidRPr="004A3A21">
        <w:t xml:space="preserve">Key findings </w:t>
      </w:r>
      <w:r>
        <w:t xml:space="preserve">from the winter integrated Opt-in TOU scenario </w:t>
      </w:r>
      <w:r w:rsidRPr="004A3A21">
        <w:t>include:</w:t>
      </w:r>
    </w:p>
    <w:p w14:paraId="13259D61" w14:textId="72811300" w:rsidR="00106CF8" w:rsidRPr="00CA4DEB" w:rsidRDefault="00106CF8" w:rsidP="00862AE7">
      <w:pPr>
        <w:pStyle w:val="AEG-BulletList"/>
      </w:pPr>
      <w:r w:rsidRPr="00CA4DEB">
        <w:t xml:space="preserve">The highest potential options are </w:t>
      </w:r>
      <w:r w:rsidR="00211476" w:rsidRPr="00CA4DEB">
        <w:t>V1G Telematics (47</w:t>
      </w:r>
      <w:r w:rsidR="00211476">
        <w:t>.1</w:t>
      </w:r>
      <w:r w:rsidR="00211476" w:rsidRPr="00CA4DEB">
        <w:t xml:space="preserve"> MW by 2045)</w:t>
      </w:r>
      <w:r w:rsidR="00211476">
        <w:t xml:space="preserve"> and </w:t>
      </w:r>
      <w:r w:rsidRPr="00CA4DEB">
        <w:t>Third-Party Contracts (2</w:t>
      </w:r>
      <w:r w:rsidR="00F83C41" w:rsidRPr="00CA4DEB">
        <w:t>1</w:t>
      </w:r>
      <w:r w:rsidR="00211476">
        <w:t>.0</w:t>
      </w:r>
      <w:r w:rsidRPr="00CA4DEB">
        <w:t xml:space="preserve"> MW </w:t>
      </w:r>
      <w:r w:rsidR="00F83C41" w:rsidRPr="00CA4DEB">
        <w:t>by</w:t>
      </w:r>
      <w:r w:rsidRPr="00CA4DEB">
        <w:t xml:space="preserve"> 2045).</w:t>
      </w:r>
    </w:p>
    <w:p w14:paraId="25134DA9" w14:textId="39530BAA" w:rsidR="00106CF8" w:rsidRPr="00CA4DEB" w:rsidRDefault="00106CF8" w:rsidP="00862AE7">
      <w:pPr>
        <w:pStyle w:val="AEG-BulletList"/>
      </w:pPr>
      <w:r w:rsidRPr="00CA4DEB">
        <w:t>DLC Smart Thermostats have much lower potential savings for heating (</w:t>
      </w:r>
      <w:r w:rsidR="00CA4DEB" w:rsidRPr="00CA4DEB">
        <w:t>14</w:t>
      </w:r>
      <w:r w:rsidRPr="00CA4DEB">
        <w:t>.</w:t>
      </w:r>
      <w:r w:rsidR="00CA4DEB" w:rsidRPr="00CA4DEB">
        <w:t>6</w:t>
      </w:r>
      <w:r w:rsidRPr="00CA4DEB">
        <w:t xml:space="preserve"> MW by 2045) than cooling</w:t>
      </w:r>
      <w:r w:rsidR="00CA4DEB" w:rsidRPr="00CA4DEB">
        <w:t xml:space="preserve"> </w:t>
      </w:r>
      <w:r w:rsidRPr="00CA4DEB">
        <w:t xml:space="preserve">as the heating program </w:t>
      </w:r>
      <w:r w:rsidR="00CA4DEB" w:rsidRPr="00CA4DEB">
        <w:t>is expected to</w:t>
      </w:r>
      <w:r w:rsidRPr="00CA4DEB">
        <w:t xml:space="preserve"> piggyback off the cooling program and be a subset of the cooling participants.</w:t>
      </w:r>
    </w:p>
    <w:p w14:paraId="2C3A8451" w14:textId="26233871" w:rsidR="00CD4238" w:rsidRPr="00CD4238" w:rsidRDefault="00106CF8" w:rsidP="00106CF8">
      <w:pPr>
        <w:pStyle w:val="AEGBody"/>
        <w:rPr>
          <w:lang w:eastAsia="ja-JP"/>
        </w:rPr>
      </w:pPr>
      <w:r w:rsidRPr="00CA4DEB">
        <w:t xml:space="preserve">In </w:t>
      </w:r>
      <w:r w:rsidR="00F83C41" w:rsidRPr="00CA4DEB">
        <w:t>previous studies</w:t>
      </w:r>
      <w:r w:rsidRPr="00CA4DEB">
        <w:t>, Variable Peak Pricing has shown high potential savings in both summer and winter seasons. However, since Variable Peak Pricing is only being considered for large and extra-large customer classes in this study, the potential is much lower (</w:t>
      </w:r>
      <w:r w:rsidR="00F83C41" w:rsidRPr="00CA4DEB">
        <w:t>5</w:t>
      </w:r>
      <w:r w:rsidRPr="00CA4DEB">
        <w:t>.7 MW by 2045)</w:t>
      </w:r>
      <w:r w:rsidRPr="00CA4DEB">
        <w:rPr>
          <w:rStyle w:val="FootnoteReference"/>
        </w:rPr>
        <w:footnoteReference w:id="8"/>
      </w:r>
      <w:r w:rsidRPr="00CA4DEB">
        <w:t>.</w:t>
      </w:r>
    </w:p>
    <w:p w14:paraId="3E4D78F4" w14:textId="77777777" w:rsidR="001E255C" w:rsidRDefault="001E255C" w:rsidP="001E255C">
      <w:pPr>
        <w:pStyle w:val="Heading4"/>
        <w:rPr>
          <w:lang w:eastAsia="ja-JP"/>
        </w:rPr>
      </w:pPr>
      <w:r>
        <w:rPr>
          <w:lang w:eastAsia="ja-JP"/>
        </w:rPr>
        <w:t>Potential by DSM Option</w:t>
      </w:r>
    </w:p>
    <w:p w14:paraId="3746254C" w14:textId="07E556AB" w:rsidR="00632C33" w:rsidRPr="00632C33" w:rsidRDefault="00862AE7" w:rsidP="00632C33">
      <w:pPr>
        <w:pStyle w:val="AEGBody"/>
      </w:pPr>
      <w:r>
        <w:fldChar w:fldCharType="begin"/>
      </w:r>
      <w:r>
        <w:instrText xml:space="preserve"> REF _Ref175733066 \h </w:instrText>
      </w:r>
      <w:r>
        <w:fldChar w:fldCharType="separate"/>
      </w:r>
      <w:r>
        <w:t xml:space="preserve">Figure </w:t>
      </w:r>
      <w:r>
        <w:rPr>
          <w:noProof/>
        </w:rPr>
        <w:t>6</w:t>
      </w:r>
      <w:r>
        <w:noBreakHyphen/>
      </w:r>
      <w:r>
        <w:rPr>
          <w:noProof/>
        </w:rPr>
        <w:t>8</w:t>
      </w:r>
      <w:r>
        <w:fldChar w:fldCharType="end"/>
      </w:r>
      <w:r>
        <w:t xml:space="preserve"> and </w:t>
      </w:r>
      <w:r>
        <w:fldChar w:fldCharType="begin"/>
      </w:r>
      <w:r>
        <w:instrText xml:space="preserve"> REF _Ref175733121 \h </w:instrText>
      </w:r>
      <w:r>
        <w:fldChar w:fldCharType="separate"/>
      </w:r>
      <w:r>
        <w:t xml:space="preserve">Table </w:t>
      </w:r>
      <w:r>
        <w:rPr>
          <w:noProof/>
        </w:rPr>
        <w:t>6</w:t>
      </w:r>
      <w:r>
        <w:noBreakHyphen/>
      </w:r>
      <w:r>
        <w:rPr>
          <w:noProof/>
        </w:rPr>
        <w:t>13</w:t>
      </w:r>
      <w:r>
        <w:fldChar w:fldCharType="end"/>
      </w:r>
      <w:r>
        <w:t xml:space="preserve"> </w:t>
      </w:r>
      <w:r w:rsidR="00632C33" w:rsidRPr="00632C33">
        <w:t>show the total winter demand savings from individual DR options for selected years. These savings represent integrated savings from all available DR options in Avista’s Washington and Idaho service territories</w:t>
      </w:r>
      <w:r w:rsidR="00632C33" w:rsidRPr="00DB728D">
        <w:t>. The total potential savings in the Winter TOU Opt-in scenario are expected to increase from 11 MW in 2026 to 1</w:t>
      </w:r>
      <w:r w:rsidR="00292052" w:rsidRPr="00DB728D">
        <w:t>55</w:t>
      </w:r>
      <w:r w:rsidR="00632C33" w:rsidRPr="00DB728D">
        <w:t xml:space="preserve"> MW by 2045. The respective increase in the percentage of system peak goes from 1% in 2026 to </w:t>
      </w:r>
      <w:r w:rsidR="009A4CEF" w:rsidRPr="00DB728D">
        <w:t>7</w:t>
      </w:r>
      <w:r w:rsidR="00632C33" w:rsidRPr="00DB728D">
        <w:t>% by 2045.</w:t>
      </w:r>
    </w:p>
    <w:p w14:paraId="2E1AEB4D" w14:textId="75177B7A" w:rsidR="007947B1" w:rsidRDefault="007947B1" w:rsidP="007947B1">
      <w:pPr>
        <w:pStyle w:val="Caption"/>
      </w:pPr>
      <w:bookmarkStart w:id="217" w:name="_Ref175733066"/>
      <w:bookmarkStart w:id="218" w:name="_Toc175904469"/>
      <w:r>
        <w:t xml:space="preserve">Figure </w:t>
      </w:r>
      <w:r w:rsidR="000E34CB">
        <w:fldChar w:fldCharType="begin"/>
      </w:r>
      <w:r w:rsidR="000E34CB">
        <w:instrText xml:space="preserve"> STYLEREF 1 \s </w:instrText>
      </w:r>
      <w:r w:rsidR="000E34CB">
        <w:fldChar w:fldCharType="separate"/>
      </w:r>
      <w:r w:rsidR="00862AE7">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862AE7">
        <w:rPr>
          <w:noProof/>
        </w:rPr>
        <w:t>8</w:t>
      </w:r>
      <w:r w:rsidR="000E34CB">
        <w:fldChar w:fldCharType="end"/>
      </w:r>
      <w:bookmarkEnd w:id="217"/>
      <w:r w:rsidR="00B77D14">
        <w:t xml:space="preserve"> </w:t>
      </w:r>
      <w:r w:rsidRPr="003B482F">
        <w:t xml:space="preserve">Summary of </w:t>
      </w:r>
      <w:r>
        <w:t>Wint</w:t>
      </w:r>
      <w:r w:rsidRPr="003B482F">
        <w:t>er Potential by Option – TOU Opt-In (MW @ Generator)</w:t>
      </w:r>
      <w:bookmarkEnd w:id="218"/>
    </w:p>
    <w:p w14:paraId="3A40D325" w14:textId="386C25CF" w:rsidR="005705C3" w:rsidRDefault="00E80741" w:rsidP="00B00998">
      <w:pPr>
        <w:pStyle w:val="AEGBody"/>
        <w:jc w:val="center"/>
        <w:rPr>
          <w:lang w:eastAsia="ja-JP"/>
        </w:rPr>
      </w:pPr>
      <w:r>
        <w:rPr>
          <w:noProof/>
        </w:rPr>
        <w:drawing>
          <wp:inline distT="0" distB="0" distL="0" distR="0" wp14:anchorId="30AB7A66" wp14:editId="7FFE9FF7">
            <wp:extent cx="5829300" cy="2843784"/>
            <wp:effectExtent l="0" t="0" r="0" b="0"/>
            <wp:docPr id="775729235" name="Chart 1">
              <a:extLst xmlns:a="http://schemas.openxmlformats.org/drawingml/2006/main">
                <a:ext uri="{FF2B5EF4-FFF2-40B4-BE49-F238E27FC236}">
                  <a16:creationId xmlns:a16="http://schemas.microsoft.com/office/drawing/2014/main" id="{F158CEC5-8F2D-4142-9D96-3EC259620B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E95B50D" w14:textId="7D63C73F" w:rsidR="005705C3" w:rsidRDefault="005705C3" w:rsidP="00BE441D">
      <w:pPr>
        <w:pStyle w:val="AEGBody"/>
        <w:rPr>
          <w:rFonts w:cstheme="minorBidi"/>
        </w:rPr>
      </w:pPr>
    </w:p>
    <w:p w14:paraId="274BEAA7" w14:textId="64B6451C" w:rsidR="00614EA4" w:rsidRDefault="00614EA4" w:rsidP="00614EA4">
      <w:pPr>
        <w:pStyle w:val="Caption"/>
      </w:pPr>
      <w:bookmarkStart w:id="219" w:name="_Toc175912412"/>
      <w:r>
        <w:t xml:space="preserve">Table </w:t>
      </w:r>
      <w:r w:rsidR="00EE4707">
        <w:fldChar w:fldCharType="begin"/>
      </w:r>
      <w:r w:rsidR="00EE4707">
        <w:instrText xml:space="preserve"> STYLEREF 1 \s </w:instrText>
      </w:r>
      <w:r w:rsidR="00EE4707">
        <w:fldChar w:fldCharType="separate"/>
      </w:r>
      <w:r w:rsidR="00862AE7">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862AE7">
        <w:rPr>
          <w:noProof/>
        </w:rPr>
        <w:t>13</w:t>
      </w:r>
      <w:r w:rsidR="00EE4707">
        <w:fldChar w:fldCharType="end"/>
      </w:r>
      <w:r>
        <w:t xml:space="preserve"> Summary of Winter </w:t>
      </w:r>
      <w:r w:rsidRPr="003B482F">
        <w:t>Potential by Option – TOU Opt-In (MW @ Generator)</w:t>
      </w:r>
      <w:bookmarkEnd w:id="219"/>
    </w:p>
    <w:tbl>
      <w:tblPr>
        <w:tblStyle w:val="AEG-DarkBanded"/>
        <w:tblW w:w="5000" w:type="pct"/>
        <w:jc w:val="center"/>
        <w:tblLook w:val="04A0" w:firstRow="1" w:lastRow="0" w:firstColumn="1" w:lastColumn="0" w:noHBand="0" w:noVBand="1"/>
      </w:tblPr>
      <w:tblGrid>
        <w:gridCol w:w="4207"/>
        <w:gridCol w:w="1045"/>
        <w:gridCol w:w="1045"/>
        <w:gridCol w:w="1045"/>
        <w:gridCol w:w="1011"/>
        <w:gridCol w:w="1007"/>
      </w:tblGrid>
      <w:tr w:rsidR="005705C3" w:rsidRPr="005705C3" w14:paraId="3D1BE2B4" w14:textId="77777777" w:rsidTr="0060704E">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hideMark/>
          </w:tcPr>
          <w:p w14:paraId="5816744D" w14:textId="39EB2FCE" w:rsidR="005705C3" w:rsidRPr="00705E32" w:rsidRDefault="005705C3" w:rsidP="00B77D14">
            <w:pPr>
              <w:keepNext/>
              <w:jc w:val="left"/>
              <w:rPr>
                <w:rFonts w:asciiTheme="majorHAnsi" w:eastAsia="Times New Roman" w:hAnsiTheme="majorHAnsi" w:cs="Segoe UI Semilight"/>
                <w:b w:val="0"/>
                <w:szCs w:val="20"/>
              </w:rPr>
            </w:pPr>
            <w:r w:rsidRPr="00705E32">
              <w:rPr>
                <w:rFonts w:asciiTheme="majorHAnsi" w:eastAsia="Times New Roman" w:hAnsiTheme="majorHAnsi" w:cs="Segoe UI Semilight"/>
                <w:b w:val="0"/>
                <w:szCs w:val="20"/>
              </w:rPr>
              <w:t>Winter Potential</w:t>
            </w:r>
          </w:p>
        </w:tc>
        <w:tc>
          <w:tcPr>
            <w:tcW w:w="558" w:type="pct"/>
            <w:hideMark/>
          </w:tcPr>
          <w:p w14:paraId="70788004" w14:textId="77777777" w:rsidR="005705C3" w:rsidRPr="00705E32" w:rsidRDefault="005705C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b w:val="0"/>
                <w:szCs w:val="20"/>
              </w:rPr>
            </w:pPr>
            <w:r w:rsidRPr="00705E32">
              <w:rPr>
                <w:rFonts w:asciiTheme="majorHAnsi" w:eastAsia="Times New Roman" w:hAnsiTheme="majorHAnsi" w:cs="Segoe UI Semilight"/>
                <w:b w:val="0"/>
                <w:szCs w:val="20"/>
              </w:rPr>
              <w:t>2026</w:t>
            </w:r>
          </w:p>
        </w:tc>
        <w:tc>
          <w:tcPr>
            <w:tcW w:w="558" w:type="pct"/>
            <w:hideMark/>
          </w:tcPr>
          <w:p w14:paraId="59D415AF" w14:textId="77777777" w:rsidR="005705C3" w:rsidRPr="003A3968" w:rsidRDefault="005705C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b w:val="0"/>
                <w:szCs w:val="20"/>
              </w:rPr>
            </w:pPr>
            <w:r w:rsidRPr="003A3968">
              <w:rPr>
                <w:rFonts w:asciiTheme="majorHAnsi" w:eastAsia="Times New Roman" w:hAnsiTheme="majorHAnsi" w:cs="Segoe UI Semilight"/>
                <w:b w:val="0"/>
                <w:szCs w:val="20"/>
              </w:rPr>
              <w:t>2027</w:t>
            </w:r>
          </w:p>
        </w:tc>
        <w:tc>
          <w:tcPr>
            <w:tcW w:w="558" w:type="pct"/>
            <w:hideMark/>
          </w:tcPr>
          <w:p w14:paraId="3850BAB5" w14:textId="77777777" w:rsidR="005705C3" w:rsidRPr="003A3968" w:rsidRDefault="005705C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b w:val="0"/>
                <w:szCs w:val="20"/>
              </w:rPr>
            </w:pPr>
            <w:r w:rsidRPr="003A3968">
              <w:rPr>
                <w:rFonts w:asciiTheme="majorHAnsi" w:eastAsia="Times New Roman" w:hAnsiTheme="majorHAnsi" w:cs="Segoe UI Semilight"/>
                <w:b w:val="0"/>
                <w:szCs w:val="20"/>
              </w:rPr>
              <w:t>2028</w:t>
            </w:r>
          </w:p>
        </w:tc>
        <w:tc>
          <w:tcPr>
            <w:tcW w:w="540" w:type="pct"/>
            <w:hideMark/>
          </w:tcPr>
          <w:p w14:paraId="0C178D52" w14:textId="77777777" w:rsidR="005705C3" w:rsidRPr="003A3968" w:rsidRDefault="005705C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b w:val="0"/>
                <w:szCs w:val="20"/>
              </w:rPr>
            </w:pPr>
            <w:r w:rsidRPr="003A3968">
              <w:rPr>
                <w:rFonts w:asciiTheme="majorHAnsi" w:eastAsia="Times New Roman" w:hAnsiTheme="majorHAnsi" w:cs="Segoe UI Semilight"/>
                <w:b w:val="0"/>
                <w:szCs w:val="20"/>
              </w:rPr>
              <w:t>2035</w:t>
            </w:r>
          </w:p>
        </w:tc>
        <w:tc>
          <w:tcPr>
            <w:tcW w:w="538" w:type="pct"/>
            <w:hideMark/>
          </w:tcPr>
          <w:p w14:paraId="7E9534EA" w14:textId="77777777" w:rsidR="005705C3" w:rsidRPr="003A3968" w:rsidRDefault="005705C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Segoe UI Semilight"/>
                <w:b w:val="0"/>
                <w:szCs w:val="20"/>
              </w:rPr>
            </w:pPr>
            <w:r w:rsidRPr="003A3968">
              <w:rPr>
                <w:rFonts w:asciiTheme="majorHAnsi" w:eastAsia="Times New Roman" w:hAnsiTheme="majorHAnsi" w:cs="Segoe UI Semilight"/>
                <w:b w:val="0"/>
                <w:szCs w:val="20"/>
              </w:rPr>
              <w:t>2045</w:t>
            </w:r>
          </w:p>
        </w:tc>
      </w:tr>
      <w:tr w:rsidR="009A7B38" w:rsidRPr="005705C3" w14:paraId="6008CB91"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71D4EA3B" w14:textId="385520F7" w:rsidR="009A7B38" w:rsidRPr="00705E32" w:rsidRDefault="009A7B38" w:rsidP="009A7B38">
            <w:pPr>
              <w:keepNext/>
              <w:jc w:val="left"/>
              <w:rPr>
                <w:rFonts w:asciiTheme="majorHAnsi" w:eastAsia="Times New Roman" w:hAnsiTheme="majorHAnsi"/>
                <w:color w:val="000000"/>
                <w:szCs w:val="20"/>
              </w:rPr>
            </w:pPr>
            <w:r w:rsidRPr="00705E32">
              <w:rPr>
                <w:rFonts w:asciiTheme="majorHAnsi" w:hAnsiTheme="majorHAnsi"/>
                <w:color w:val="000000"/>
                <w:szCs w:val="20"/>
              </w:rPr>
              <w:t>Baseline Forecast (Winter MW)</w:t>
            </w:r>
          </w:p>
        </w:tc>
        <w:tc>
          <w:tcPr>
            <w:tcW w:w="558" w:type="pct"/>
            <w:noWrap/>
            <w:hideMark/>
          </w:tcPr>
          <w:p w14:paraId="102AC748" w14:textId="53F4B932"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1,819</w:t>
            </w:r>
          </w:p>
        </w:tc>
        <w:tc>
          <w:tcPr>
            <w:tcW w:w="558" w:type="pct"/>
            <w:noWrap/>
            <w:hideMark/>
          </w:tcPr>
          <w:p w14:paraId="542BD3B8" w14:textId="17FE5139"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1,835</w:t>
            </w:r>
          </w:p>
        </w:tc>
        <w:tc>
          <w:tcPr>
            <w:tcW w:w="558" w:type="pct"/>
            <w:noWrap/>
            <w:hideMark/>
          </w:tcPr>
          <w:p w14:paraId="30662D62" w14:textId="23B5D681"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1,817</w:t>
            </w:r>
          </w:p>
        </w:tc>
        <w:tc>
          <w:tcPr>
            <w:tcW w:w="540" w:type="pct"/>
            <w:noWrap/>
            <w:hideMark/>
          </w:tcPr>
          <w:p w14:paraId="5AE7E5E3" w14:textId="29FA85EB"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1,963</w:t>
            </w:r>
          </w:p>
        </w:tc>
        <w:tc>
          <w:tcPr>
            <w:tcW w:w="538" w:type="pct"/>
            <w:noWrap/>
            <w:hideMark/>
          </w:tcPr>
          <w:p w14:paraId="0D6B14C7" w14:textId="3E543892"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2,375</w:t>
            </w:r>
          </w:p>
        </w:tc>
      </w:tr>
      <w:tr w:rsidR="009A7B38" w:rsidRPr="005705C3" w14:paraId="582B259C"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4C765922" w14:textId="054A431E" w:rsidR="009A7B38" w:rsidRPr="00705E32" w:rsidRDefault="009A7B38" w:rsidP="009A7B38">
            <w:pPr>
              <w:keepNext/>
              <w:jc w:val="left"/>
              <w:rPr>
                <w:rFonts w:asciiTheme="majorHAnsi" w:eastAsia="Times New Roman" w:hAnsiTheme="majorHAnsi"/>
                <w:color w:val="000000"/>
                <w:szCs w:val="20"/>
              </w:rPr>
            </w:pPr>
            <w:r w:rsidRPr="00705E32">
              <w:rPr>
                <w:rFonts w:asciiTheme="majorHAnsi" w:hAnsiTheme="majorHAnsi"/>
                <w:color w:val="000000"/>
                <w:szCs w:val="20"/>
              </w:rPr>
              <w:t>Achievable Potential (MW)</w:t>
            </w:r>
          </w:p>
        </w:tc>
        <w:tc>
          <w:tcPr>
            <w:tcW w:w="558" w:type="pct"/>
            <w:noWrap/>
            <w:hideMark/>
          </w:tcPr>
          <w:p w14:paraId="734656EC" w14:textId="7826DB8A"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11</w:t>
            </w:r>
          </w:p>
        </w:tc>
        <w:tc>
          <w:tcPr>
            <w:tcW w:w="558" w:type="pct"/>
            <w:noWrap/>
            <w:hideMark/>
          </w:tcPr>
          <w:p w14:paraId="6C819950" w14:textId="61BC9997"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23</w:t>
            </w:r>
          </w:p>
        </w:tc>
        <w:tc>
          <w:tcPr>
            <w:tcW w:w="558" w:type="pct"/>
            <w:noWrap/>
            <w:hideMark/>
          </w:tcPr>
          <w:p w14:paraId="42E37C63" w14:textId="5F29AF1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39</w:t>
            </w:r>
          </w:p>
        </w:tc>
        <w:tc>
          <w:tcPr>
            <w:tcW w:w="540" w:type="pct"/>
            <w:noWrap/>
            <w:hideMark/>
          </w:tcPr>
          <w:p w14:paraId="2C27B237" w14:textId="44F69FCF"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101</w:t>
            </w:r>
          </w:p>
        </w:tc>
        <w:tc>
          <w:tcPr>
            <w:tcW w:w="538" w:type="pct"/>
            <w:noWrap/>
            <w:hideMark/>
          </w:tcPr>
          <w:p w14:paraId="09ECB011" w14:textId="58E1770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155</w:t>
            </w:r>
          </w:p>
        </w:tc>
      </w:tr>
      <w:tr w:rsidR="009A7B38" w:rsidRPr="005705C3" w14:paraId="317B1B69"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0A4EBCAC" w14:textId="5EA465A1" w:rsidR="009A7B38" w:rsidRPr="00705E32" w:rsidRDefault="009A7B38" w:rsidP="009A7B38">
            <w:pPr>
              <w:keepNext/>
              <w:jc w:val="left"/>
              <w:rPr>
                <w:rFonts w:asciiTheme="majorHAnsi" w:eastAsia="Times New Roman" w:hAnsiTheme="majorHAnsi"/>
                <w:color w:val="000000"/>
                <w:szCs w:val="20"/>
              </w:rPr>
            </w:pPr>
            <w:r w:rsidRPr="00705E32">
              <w:rPr>
                <w:rFonts w:asciiTheme="majorHAnsi" w:hAnsiTheme="majorHAnsi"/>
                <w:color w:val="000000"/>
                <w:szCs w:val="20"/>
              </w:rPr>
              <w:t>Achievable Potential (%)</w:t>
            </w:r>
          </w:p>
        </w:tc>
        <w:tc>
          <w:tcPr>
            <w:tcW w:w="558" w:type="pct"/>
            <w:noWrap/>
            <w:hideMark/>
          </w:tcPr>
          <w:p w14:paraId="09A8D4A6" w14:textId="7E8D5892"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w:t>
            </w:r>
          </w:p>
        </w:tc>
        <w:tc>
          <w:tcPr>
            <w:tcW w:w="558" w:type="pct"/>
            <w:noWrap/>
            <w:hideMark/>
          </w:tcPr>
          <w:p w14:paraId="2CF2A6B1" w14:textId="023C9B4F"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1%</w:t>
            </w:r>
          </w:p>
        </w:tc>
        <w:tc>
          <w:tcPr>
            <w:tcW w:w="558" w:type="pct"/>
            <w:noWrap/>
            <w:hideMark/>
          </w:tcPr>
          <w:p w14:paraId="73F1AB97" w14:textId="3A539DFB"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2%</w:t>
            </w:r>
          </w:p>
        </w:tc>
        <w:tc>
          <w:tcPr>
            <w:tcW w:w="540" w:type="pct"/>
            <w:noWrap/>
            <w:hideMark/>
          </w:tcPr>
          <w:p w14:paraId="1950B126" w14:textId="2573A2A5"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5%</w:t>
            </w:r>
          </w:p>
        </w:tc>
        <w:tc>
          <w:tcPr>
            <w:tcW w:w="538" w:type="pct"/>
            <w:noWrap/>
            <w:hideMark/>
          </w:tcPr>
          <w:p w14:paraId="47A8CADB" w14:textId="2C69CCF9"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705E32">
              <w:rPr>
                <w:rFonts w:asciiTheme="majorHAnsi" w:hAnsiTheme="majorHAnsi"/>
                <w:color w:val="000000"/>
                <w:szCs w:val="20"/>
              </w:rPr>
              <w:t>7%</w:t>
            </w:r>
          </w:p>
        </w:tc>
      </w:tr>
      <w:tr w:rsidR="009A7B38" w:rsidRPr="005705C3" w14:paraId="3F9E1165"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5AD75B8B" w14:textId="1ACDBF38"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Battery Energy Storage</w:t>
            </w:r>
          </w:p>
        </w:tc>
        <w:tc>
          <w:tcPr>
            <w:tcW w:w="558" w:type="pct"/>
            <w:noWrap/>
            <w:hideMark/>
          </w:tcPr>
          <w:p w14:paraId="12DFB984" w14:textId="06ED0F08"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0.0</w:t>
            </w:r>
          </w:p>
        </w:tc>
        <w:tc>
          <w:tcPr>
            <w:tcW w:w="558" w:type="pct"/>
            <w:noWrap/>
            <w:hideMark/>
          </w:tcPr>
          <w:p w14:paraId="2BDCC483" w14:textId="25EA05FB"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0.1</w:t>
            </w:r>
          </w:p>
        </w:tc>
        <w:tc>
          <w:tcPr>
            <w:tcW w:w="558" w:type="pct"/>
            <w:noWrap/>
            <w:hideMark/>
          </w:tcPr>
          <w:p w14:paraId="4F6B9AF9" w14:textId="3C57041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0.2</w:t>
            </w:r>
          </w:p>
        </w:tc>
        <w:tc>
          <w:tcPr>
            <w:tcW w:w="540" w:type="pct"/>
            <w:noWrap/>
            <w:hideMark/>
          </w:tcPr>
          <w:p w14:paraId="6E2523F0" w14:textId="4DB19AF1"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6.6</w:t>
            </w:r>
          </w:p>
        </w:tc>
        <w:tc>
          <w:tcPr>
            <w:tcW w:w="538" w:type="pct"/>
            <w:noWrap/>
            <w:hideMark/>
          </w:tcPr>
          <w:p w14:paraId="21E09418" w14:textId="47A1DCC1"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13.0</w:t>
            </w:r>
          </w:p>
        </w:tc>
      </w:tr>
      <w:tr w:rsidR="009A7B38" w:rsidRPr="005705C3" w14:paraId="1328282C"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2E0E1DC5" w14:textId="110ECD6F"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Behavioral</w:t>
            </w:r>
          </w:p>
        </w:tc>
        <w:tc>
          <w:tcPr>
            <w:tcW w:w="558" w:type="pct"/>
            <w:noWrap/>
            <w:hideMark/>
          </w:tcPr>
          <w:p w14:paraId="6E98CC61" w14:textId="13836A7E"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1.4</w:t>
            </w:r>
          </w:p>
        </w:tc>
        <w:tc>
          <w:tcPr>
            <w:tcW w:w="558" w:type="pct"/>
            <w:noWrap/>
            <w:hideMark/>
          </w:tcPr>
          <w:p w14:paraId="76E59FD1" w14:textId="167C1D20"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2.2</w:t>
            </w:r>
          </w:p>
        </w:tc>
        <w:tc>
          <w:tcPr>
            <w:tcW w:w="558" w:type="pct"/>
            <w:noWrap/>
            <w:hideMark/>
          </w:tcPr>
          <w:p w14:paraId="62311B6C" w14:textId="7982ACAD"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2.5</w:t>
            </w:r>
          </w:p>
        </w:tc>
        <w:tc>
          <w:tcPr>
            <w:tcW w:w="540" w:type="pct"/>
            <w:noWrap/>
            <w:hideMark/>
          </w:tcPr>
          <w:p w14:paraId="10F5D9E0" w14:textId="747FE342"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3.0</w:t>
            </w:r>
          </w:p>
        </w:tc>
        <w:tc>
          <w:tcPr>
            <w:tcW w:w="538" w:type="pct"/>
            <w:noWrap/>
            <w:hideMark/>
          </w:tcPr>
          <w:p w14:paraId="42B41F78" w14:textId="1850E4A1"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3.2</w:t>
            </w:r>
          </w:p>
        </w:tc>
      </w:tr>
      <w:tr w:rsidR="009A7B38" w:rsidRPr="005705C3" w14:paraId="5D20605D"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0699D0D7" w14:textId="5E2DF8B3"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CTA-2045 HPWH</w:t>
            </w:r>
          </w:p>
        </w:tc>
        <w:tc>
          <w:tcPr>
            <w:tcW w:w="558" w:type="pct"/>
            <w:noWrap/>
            <w:hideMark/>
          </w:tcPr>
          <w:p w14:paraId="55ED8C10" w14:textId="4660898B"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0.0</w:t>
            </w:r>
          </w:p>
        </w:tc>
        <w:tc>
          <w:tcPr>
            <w:tcW w:w="558" w:type="pct"/>
            <w:noWrap/>
            <w:hideMark/>
          </w:tcPr>
          <w:p w14:paraId="1523385A" w14:textId="36146527"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0.0</w:t>
            </w:r>
          </w:p>
        </w:tc>
        <w:tc>
          <w:tcPr>
            <w:tcW w:w="558" w:type="pct"/>
            <w:noWrap/>
            <w:hideMark/>
          </w:tcPr>
          <w:p w14:paraId="033595D0" w14:textId="1750DB6F"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0.1</w:t>
            </w:r>
          </w:p>
        </w:tc>
        <w:tc>
          <w:tcPr>
            <w:tcW w:w="540" w:type="pct"/>
            <w:noWrap/>
            <w:hideMark/>
          </w:tcPr>
          <w:p w14:paraId="39C0FA1F" w14:textId="36262C6E"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5.5</w:t>
            </w:r>
          </w:p>
        </w:tc>
        <w:tc>
          <w:tcPr>
            <w:tcW w:w="538" w:type="pct"/>
            <w:noWrap/>
            <w:hideMark/>
          </w:tcPr>
          <w:p w14:paraId="3B483B86" w14:textId="51B5C762"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13.2</w:t>
            </w:r>
          </w:p>
        </w:tc>
      </w:tr>
      <w:tr w:rsidR="009A7B38" w:rsidRPr="005705C3" w14:paraId="2E478F78"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3E1DC413" w14:textId="5F6F00D7"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CTA-2045 ERWH</w:t>
            </w:r>
          </w:p>
        </w:tc>
        <w:tc>
          <w:tcPr>
            <w:tcW w:w="558" w:type="pct"/>
            <w:noWrap/>
            <w:hideMark/>
          </w:tcPr>
          <w:p w14:paraId="16F7E326" w14:textId="10A40FE5"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0.1</w:t>
            </w:r>
          </w:p>
        </w:tc>
        <w:tc>
          <w:tcPr>
            <w:tcW w:w="558" w:type="pct"/>
            <w:noWrap/>
            <w:hideMark/>
          </w:tcPr>
          <w:p w14:paraId="3ED1DEE7" w14:textId="560374CF"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0.5</w:t>
            </w:r>
          </w:p>
        </w:tc>
        <w:tc>
          <w:tcPr>
            <w:tcW w:w="558" w:type="pct"/>
            <w:noWrap/>
            <w:hideMark/>
          </w:tcPr>
          <w:p w14:paraId="1461234E" w14:textId="222CC8D6"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1.1</w:t>
            </w:r>
          </w:p>
        </w:tc>
        <w:tc>
          <w:tcPr>
            <w:tcW w:w="540" w:type="pct"/>
            <w:noWrap/>
            <w:hideMark/>
          </w:tcPr>
          <w:p w14:paraId="6D942393" w14:textId="3D116763"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11.4</w:t>
            </w:r>
          </w:p>
        </w:tc>
        <w:tc>
          <w:tcPr>
            <w:tcW w:w="538" w:type="pct"/>
            <w:noWrap/>
            <w:hideMark/>
          </w:tcPr>
          <w:p w14:paraId="6725C01A" w14:textId="32E699A9"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5.6</w:t>
            </w:r>
          </w:p>
        </w:tc>
      </w:tr>
      <w:tr w:rsidR="009A7B38" w:rsidRPr="005705C3" w14:paraId="60CF0CC8"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0A57C943" w14:textId="7B249D53"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DLC Central AC</w:t>
            </w:r>
          </w:p>
        </w:tc>
        <w:tc>
          <w:tcPr>
            <w:tcW w:w="558" w:type="pct"/>
            <w:noWrap/>
            <w:hideMark/>
          </w:tcPr>
          <w:p w14:paraId="64D0BA92" w14:textId="14FF4577"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36926BD3" w14:textId="6D5A0911"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2A3F5000" w14:textId="4797C22A"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40" w:type="pct"/>
            <w:noWrap/>
            <w:hideMark/>
          </w:tcPr>
          <w:p w14:paraId="59ECDB60" w14:textId="45B68155"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38" w:type="pct"/>
            <w:noWrap/>
            <w:hideMark/>
          </w:tcPr>
          <w:p w14:paraId="6EA8E7BC" w14:textId="79C9F9CB"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r>
      <w:tr w:rsidR="009A7B38" w:rsidRPr="005705C3" w14:paraId="79F5F0E4"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022A4DAB" w14:textId="0B8F66AE" w:rsidR="009A7B38" w:rsidRPr="00705E32" w:rsidRDefault="00CA4DEB"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 xml:space="preserve">EV </w:t>
            </w:r>
            <w:r w:rsidR="009A7B38" w:rsidRPr="00705E32">
              <w:rPr>
                <w:rFonts w:asciiTheme="minorHAnsi" w:hAnsiTheme="minorHAnsi"/>
                <w:color w:val="000000"/>
                <w:szCs w:val="20"/>
              </w:rPr>
              <w:t>V1G Telematics</w:t>
            </w:r>
          </w:p>
        </w:tc>
        <w:tc>
          <w:tcPr>
            <w:tcW w:w="558" w:type="pct"/>
            <w:noWrap/>
            <w:hideMark/>
          </w:tcPr>
          <w:p w14:paraId="2BF25A03" w14:textId="1FB4D877"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1.2</w:t>
            </w:r>
          </w:p>
        </w:tc>
        <w:tc>
          <w:tcPr>
            <w:tcW w:w="558" w:type="pct"/>
            <w:noWrap/>
            <w:hideMark/>
          </w:tcPr>
          <w:p w14:paraId="0B73E41C" w14:textId="0F5D807D"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3.6</w:t>
            </w:r>
          </w:p>
        </w:tc>
        <w:tc>
          <w:tcPr>
            <w:tcW w:w="558" w:type="pct"/>
            <w:noWrap/>
            <w:hideMark/>
          </w:tcPr>
          <w:p w14:paraId="7802C76E" w14:textId="375E9192"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5.8</w:t>
            </w:r>
          </w:p>
        </w:tc>
        <w:tc>
          <w:tcPr>
            <w:tcW w:w="540" w:type="pct"/>
            <w:noWrap/>
            <w:hideMark/>
          </w:tcPr>
          <w:p w14:paraId="1DA9CF2F" w14:textId="14D51585"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18.8</w:t>
            </w:r>
          </w:p>
        </w:tc>
        <w:tc>
          <w:tcPr>
            <w:tcW w:w="538" w:type="pct"/>
            <w:noWrap/>
            <w:hideMark/>
          </w:tcPr>
          <w:p w14:paraId="167DFA3F" w14:textId="2788D717"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47.1</w:t>
            </w:r>
          </w:p>
        </w:tc>
      </w:tr>
      <w:tr w:rsidR="009A7B38" w:rsidRPr="005705C3" w14:paraId="3D32E0ED"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6B2748E5" w14:textId="50777442"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DLC Smart Appliances</w:t>
            </w:r>
          </w:p>
        </w:tc>
        <w:tc>
          <w:tcPr>
            <w:tcW w:w="558" w:type="pct"/>
            <w:noWrap/>
            <w:hideMark/>
          </w:tcPr>
          <w:p w14:paraId="5D2472F3" w14:textId="3B19358D"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0.3</w:t>
            </w:r>
          </w:p>
        </w:tc>
        <w:tc>
          <w:tcPr>
            <w:tcW w:w="558" w:type="pct"/>
            <w:noWrap/>
            <w:hideMark/>
          </w:tcPr>
          <w:p w14:paraId="5A5AB48F" w14:textId="0C142BD6"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0.9</w:t>
            </w:r>
          </w:p>
        </w:tc>
        <w:tc>
          <w:tcPr>
            <w:tcW w:w="558" w:type="pct"/>
            <w:noWrap/>
            <w:hideMark/>
          </w:tcPr>
          <w:p w14:paraId="64CDBB72" w14:textId="171128A7"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2.2</w:t>
            </w:r>
          </w:p>
        </w:tc>
        <w:tc>
          <w:tcPr>
            <w:tcW w:w="540" w:type="pct"/>
            <w:noWrap/>
            <w:hideMark/>
          </w:tcPr>
          <w:p w14:paraId="439CFB07" w14:textId="31F5C502"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3.5</w:t>
            </w:r>
          </w:p>
        </w:tc>
        <w:tc>
          <w:tcPr>
            <w:tcW w:w="538" w:type="pct"/>
            <w:noWrap/>
            <w:hideMark/>
          </w:tcPr>
          <w:p w14:paraId="7857039F" w14:textId="09AB4AB7"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4.0</w:t>
            </w:r>
          </w:p>
        </w:tc>
      </w:tr>
      <w:tr w:rsidR="009A7B38" w:rsidRPr="005705C3" w14:paraId="50FFE920"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63EBA8CE" w14:textId="2F3BF429"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DLC Smart Thermostats - Cooling</w:t>
            </w:r>
          </w:p>
        </w:tc>
        <w:tc>
          <w:tcPr>
            <w:tcW w:w="558" w:type="pct"/>
            <w:noWrap/>
            <w:hideMark/>
          </w:tcPr>
          <w:p w14:paraId="62B7D654" w14:textId="281696AD"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41A63925" w14:textId="499C6B4D"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20EB181C" w14:textId="2BE54A1E"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40" w:type="pct"/>
            <w:noWrap/>
            <w:hideMark/>
          </w:tcPr>
          <w:p w14:paraId="7608B193" w14:textId="764C4C0E"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38" w:type="pct"/>
            <w:noWrap/>
            <w:hideMark/>
          </w:tcPr>
          <w:p w14:paraId="46915893" w14:textId="1781674E"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r>
      <w:tr w:rsidR="009A7B38" w:rsidRPr="005705C3" w14:paraId="1738BF15"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049F55C8" w14:textId="69BAA395"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DLC Smart Thermostats - Heating</w:t>
            </w:r>
          </w:p>
        </w:tc>
        <w:tc>
          <w:tcPr>
            <w:tcW w:w="558" w:type="pct"/>
            <w:noWrap/>
            <w:hideMark/>
          </w:tcPr>
          <w:p w14:paraId="6FAA955F" w14:textId="2039AE33"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0.8</w:t>
            </w:r>
          </w:p>
        </w:tc>
        <w:tc>
          <w:tcPr>
            <w:tcW w:w="558" w:type="pct"/>
            <w:noWrap/>
            <w:hideMark/>
          </w:tcPr>
          <w:p w14:paraId="7E3154CB" w14:textId="2E45CB3F"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2.5</w:t>
            </w:r>
          </w:p>
        </w:tc>
        <w:tc>
          <w:tcPr>
            <w:tcW w:w="558" w:type="pct"/>
            <w:noWrap/>
            <w:hideMark/>
          </w:tcPr>
          <w:p w14:paraId="458EF68B" w14:textId="1270102B"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6.0</w:t>
            </w:r>
          </w:p>
        </w:tc>
        <w:tc>
          <w:tcPr>
            <w:tcW w:w="540" w:type="pct"/>
            <w:noWrap/>
            <w:hideMark/>
          </w:tcPr>
          <w:p w14:paraId="189503A5" w14:textId="6DF675C3"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10.9</w:t>
            </w:r>
          </w:p>
        </w:tc>
        <w:tc>
          <w:tcPr>
            <w:tcW w:w="538" w:type="pct"/>
            <w:noWrap/>
            <w:hideMark/>
          </w:tcPr>
          <w:p w14:paraId="27B99FEB" w14:textId="4FD5B6BF"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14.6</w:t>
            </w:r>
          </w:p>
        </w:tc>
      </w:tr>
      <w:tr w:rsidR="009A7B38" w:rsidRPr="005705C3" w14:paraId="550554FB"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770751C2" w14:textId="6473D924"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DLC Water Heating</w:t>
            </w:r>
          </w:p>
        </w:tc>
        <w:tc>
          <w:tcPr>
            <w:tcW w:w="558" w:type="pct"/>
            <w:noWrap/>
            <w:hideMark/>
          </w:tcPr>
          <w:p w14:paraId="6ED8641A" w14:textId="7690291D"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0.3</w:t>
            </w:r>
          </w:p>
        </w:tc>
        <w:tc>
          <w:tcPr>
            <w:tcW w:w="558" w:type="pct"/>
            <w:noWrap/>
            <w:hideMark/>
          </w:tcPr>
          <w:p w14:paraId="7E85378C" w14:textId="1DFE8460"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0.8</w:t>
            </w:r>
          </w:p>
        </w:tc>
        <w:tc>
          <w:tcPr>
            <w:tcW w:w="558" w:type="pct"/>
            <w:noWrap/>
            <w:hideMark/>
          </w:tcPr>
          <w:p w14:paraId="57B0EAAC" w14:textId="6B98782E"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1.9</w:t>
            </w:r>
          </w:p>
        </w:tc>
        <w:tc>
          <w:tcPr>
            <w:tcW w:w="540" w:type="pct"/>
            <w:noWrap/>
            <w:hideMark/>
          </w:tcPr>
          <w:p w14:paraId="3927A938" w14:textId="77FD5546"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3.0</w:t>
            </w:r>
          </w:p>
        </w:tc>
        <w:tc>
          <w:tcPr>
            <w:tcW w:w="538" w:type="pct"/>
            <w:noWrap/>
            <w:hideMark/>
          </w:tcPr>
          <w:p w14:paraId="41938FED" w14:textId="14D381FB"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3.5</w:t>
            </w:r>
          </w:p>
        </w:tc>
      </w:tr>
      <w:tr w:rsidR="009A7B38" w:rsidRPr="005705C3" w14:paraId="34A85AF1"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489A11E0" w14:textId="377FF131"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Electric Vehicle TOU Opt-in</w:t>
            </w:r>
          </w:p>
        </w:tc>
        <w:tc>
          <w:tcPr>
            <w:tcW w:w="558" w:type="pct"/>
            <w:noWrap/>
            <w:hideMark/>
          </w:tcPr>
          <w:p w14:paraId="59AC9F68" w14:textId="467BDE43"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0.1</w:t>
            </w:r>
          </w:p>
        </w:tc>
        <w:tc>
          <w:tcPr>
            <w:tcW w:w="558" w:type="pct"/>
            <w:noWrap/>
            <w:hideMark/>
          </w:tcPr>
          <w:p w14:paraId="4E6C3B3D" w14:textId="431F06FF"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0.3</w:t>
            </w:r>
          </w:p>
        </w:tc>
        <w:tc>
          <w:tcPr>
            <w:tcW w:w="558" w:type="pct"/>
            <w:noWrap/>
            <w:hideMark/>
          </w:tcPr>
          <w:p w14:paraId="29296090" w14:textId="26907796"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0.6</w:t>
            </w:r>
          </w:p>
        </w:tc>
        <w:tc>
          <w:tcPr>
            <w:tcW w:w="540" w:type="pct"/>
            <w:noWrap/>
            <w:hideMark/>
          </w:tcPr>
          <w:p w14:paraId="336A4024" w14:textId="6DB82129"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3.1</w:t>
            </w:r>
          </w:p>
        </w:tc>
        <w:tc>
          <w:tcPr>
            <w:tcW w:w="538" w:type="pct"/>
            <w:noWrap/>
            <w:hideMark/>
          </w:tcPr>
          <w:p w14:paraId="0E2B7807" w14:textId="7B8660DE"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9.6</w:t>
            </w:r>
          </w:p>
        </w:tc>
      </w:tr>
      <w:tr w:rsidR="009A7B38" w:rsidRPr="005705C3" w14:paraId="5DCC48D1"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39B5A472" w14:textId="26C3DB91"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Thermal Energy Storage</w:t>
            </w:r>
          </w:p>
        </w:tc>
        <w:tc>
          <w:tcPr>
            <w:tcW w:w="558" w:type="pct"/>
            <w:noWrap/>
            <w:hideMark/>
          </w:tcPr>
          <w:p w14:paraId="08727B8A" w14:textId="045DE4CE"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2AFA139B" w14:textId="4B2F2D8C"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56CEFD2B" w14:textId="6AE800CD"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40" w:type="pct"/>
            <w:noWrap/>
            <w:hideMark/>
          </w:tcPr>
          <w:p w14:paraId="5DD34EFC" w14:textId="2D08330C"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38" w:type="pct"/>
            <w:noWrap/>
            <w:hideMark/>
          </w:tcPr>
          <w:p w14:paraId="0E89F6C3" w14:textId="10FF7C44"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r>
      <w:tr w:rsidR="009A7B38" w:rsidRPr="005705C3" w14:paraId="5386917B"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011259B0" w14:textId="5272511E"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Third Party Contracts</w:t>
            </w:r>
          </w:p>
        </w:tc>
        <w:tc>
          <w:tcPr>
            <w:tcW w:w="558" w:type="pct"/>
            <w:noWrap/>
            <w:hideMark/>
          </w:tcPr>
          <w:p w14:paraId="38076DA9" w14:textId="1387DBAC"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5.8</w:t>
            </w:r>
          </w:p>
        </w:tc>
        <w:tc>
          <w:tcPr>
            <w:tcW w:w="558" w:type="pct"/>
            <w:noWrap/>
            <w:hideMark/>
          </w:tcPr>
          <w:p w14:paraId="1006B322" w14:textId="36EE665B"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9.3</w:t>
            </w:r>
          </w:p>
        </w:tc>
        <w:tc>
          <w:tcPr>
            <w:tcW w:w="558" w:type="pct"/>
            <w:noWrap/>
            <w:hideMark/>
          </w:tcPr>
          <w:p w14:paraId="6C12C9E9" w14:textId="1F73029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12.6</w:t>
            </w:r>
          </w:p>
        </w:tc>
        <w:tc>
          <w:tcPr>
            <w:tcW w:w="540" w:type="pct"/>
            <w:noWrap/>
            <w:hideMark/>
          </w:tcPr>
          <w:p w14:paraId="27D8D014" w14:textId="297E7F8D"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16.8</w:t>
            </w:r>
          </w:p>
        </w:tc>
        <w:tc>
          <w:tcPr>
            <w:tcW w:w="538" w:type="pct"/>
            <w:noWrap/>
            <w:hideMark/>
          </w:tcPr>
          <w:p w14:paraId="43B3606A" w14:textId="372646DF"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21.0</w:t>
            </w:r>
          </w:p>
        </w:tc>
      </w:tr>
      <w:tr w:rsidR="009A7B38" w:rsidRPr="005705C3" w14:paraId="27D985DC"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6C8806C1" w14:textId="1E2BD0C5"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Time-of-Use Opt-in</w:t>
            </w:r>
          </w:p>
        </w:tc>
        <w:tc>
          <w:tcPr>
            <w:tcW w:w="558" w:type="pct"/>
            <w:noWrap/>
            <w:hideMark/>
          </w:tcPr>
          <w:p w14:paraId="3978099B" w14:textId="7B608829"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0.2</w:t>
            </w:r>
          </w:p>
        </w:tc>
        <w:tc>
          <w:tcPr>
            <w:tcW w:w="558" w:type="pct"/>
            <w:noWrap/>
            <w:hideMark/>
          </w:tcPr>
          <w:p w14:paraId="4D1563F0" w14:textId="601DF336"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0.6</w:t>
            </w:r>
          </w:p>
        </w:tc>
        <w:tc>
          <w:tcPr>
            <w:tcW w:w="558" w:type="pct"/>
            <w:noWrap/>
            <w:hideMark/>
          </w:tcPr>
          <w:p w14:paraId="48A7C5DA" w14:textId="718CAE17"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1.0</w:t>
            </w:r>
          </w:p>
        </w:tc>
        <w:tc>
          <w:tcPr>
            <w:tcW w:w="540" w:type="pct"/>
            <w:noWrap/>
            <w:hideMark/>
          </w:tcPr>
          <w:p w14:paraId="675E29F7" w14:textId="370F0667"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4.0</w:t>
            </w:r>
          </w:p>
        </w:tc>
        <w:tc>
          <w:tcPr>
            <w:tcW w:w="538" w:type="pct"/>
            <w:noWrap/>
            <w:hideMark/>
          </w:tcPr>
          <w:p w14:paraId="227CC68B" w14:textId="73F9CA4F"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4.2</w:t>
            </w:r>
          </w:p>
        </w:tc>
      </w:tr>
      <w:tr w:rsidR="009A7B38" w:rsidRPr="005705C3" w14:paraId="40A9E588"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5EF107B6" w14:textId="50A579F9"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Time-of-Use Opt-out</w:t>
            </w:r>
          </w:p>
        </w:tc>
        <w:tc>
          <w:tcPr>
            <w:tcW w:w="558" w:type="pct"/>
            <w:noWrap/>
            <w:hideMark/>
          </w:tcPr>
          <w:p w14:paraId="5FC1B332" w14:textId="34AB774E"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25047C74" w14:textId="4FA4FBA9"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58" w:type="pct"/>
            <w:noWrap/>
            <w:hideMark/>
          </w:tcPr>
          <w:p w14:paraId="38272836" w14:textId="3E26B3B6"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40" w:type="pct"/>
            <w:noWrap/>
            <w:hideMark/>
          </w:tcPr>
          <w:p w14:paraId="513E70B0" w14:textId="5647B4F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c>
          <w:tcPr>
            <w:tcW w:w="538" w:type="pct"/>
            <w:noWrap/>
            <w:hideMark/>
          </w:tcPr>
          <w:p w14:paraId="6375FE4E" w14:textId="35B816F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w:t>
            </w:r>
          </w:p>
        </w:tc>
      </w:tr>
      <w:tr w:rsidR="009A7B38" w:rsidRPr="005705C3" w14:paraId="6E5BF775" w14:textId="77777777" w:rsidTr="0060704E">
        <w:trPr>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50D75B29" w14:textId="3B3DC9B7"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Variable Peak Pricing Rates</w:t>
            </w:r>
          </w:p>
        </w:tc>
        <w:tc>
          <w:tcPr>
            <w:tcW w:w="558" w:type="pct"/>
            <w:noWrap/>
            <w:hideMark/>
          </w:tcPr>
          <w:p w14:paraId="70D11C0B" w14:textId="09A1EA80"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0.4</w:t>
            </w:r>
          </w:p>
        </w:tc>
        <w:tc>
          <w:tcPr>
            <w:tcW w:w="558" w:type="pct"/>
            <w:noWrap/>
            <w:hideMark/>
          </w:tcPr>
          <w:p w14:paraId="212DBE45" w14:textId="62D5EB0F"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1.2</w:t>
            </w:r>
          </w:p>
        </w:tc>
        <w:tc>
          <w:tcPr>
            <w:tcW w:w="558" w:type="pct"/>
            <w:noWrap/>
            <w:hideMark/>
          </w:tcPr>
          <w:p w14:paraId="72E922AC" w14:textId="0AD57F86"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2.6</w:t>
            </w:r>
          </w:p>
        </w:tc>
        <w:tc>
          <w:tcPr>
            <w:tcW w:w="540" w:type="pct"/>
            <w:noWrap/>
            <w:hideMark/>
          </w:tcPr>
          <w:p w14:paraId="74E416DE" w14:textId="35CCE6AB"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4.5</w:t>
            </w:r>
          </w:p>
        </w:tc>
        <w:tc>
          <w:tcPr>
            <w:tcW w:w="538" w:type="pct"/>
            <w:noWrap/>
            <w:hideMark/>
          </w:tcPr>
          <w:p w14:paraId="6D4E428C" w14:textId="4B3AC0C3" w:rsidR="009A7B38" w:rsidRPr="00705E32" w:rsidRDefault="009A7B38" w:rsidP="009A7B38">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5.7</w:t>
            </w:r>
          </w:p>
        </w:tc>
      </w:tr>
      <w:tr w:rsidR="009A7B38" w:rsidRPr="005705C3" w14:paraId="058BD853" w14:textId="77777777" w:rsidTr="0060704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248" w:type="pct"/>
            <w:noWrap/>
            <w:hideMark/>
          </w:tcPr>
          <w:p w14:paraId="5931346B" w14:textId="6C4948DC" w:rsidR="009A7B38" w:rsidRPr="00705E32" w:rsidRDefault="009A7B38" w:rsidP="009A7B38">
            <w:pPr>
              <w:keepNext/>
              <w:jc w:val="left"/>
              <w:rPr>
                <w:rFonts w:asciiTheme="minorHAnsi" w:eastAsia="Times New Roman" w:hAnsiTheme="minorHAnsi"/>
                <w:color w:val="000000"/>
                <w:szCs w:val="20"/>
              </w:rPr>
            </w:pPr>
            <w:r w:rsidRPr="00705E32">
              <w:rPr>
                <w:rFonts w:asciiTheme="minorHAnsi" w:hAnsiTheme="minorHAnsi"/>
                <w:color w:val="000000"/>
                <w:szCs w:val="20"/>
              </w:rPr>
              <w:t>Peak Time Rebate</w:t>
            </w:r>
          </w:p>
        </w:tc>
        <w:tc>
          <w:tcPr>
            <w:tcW w:w="558" w:type="pct"/>
            <w:noWrap/>
            <w:hideMark/>
          </w:tcPr>
          <w:p w14:paraId="4FB4E2E2" w14:textId="21DC64B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0.3</w:t>
            </w:r>
          </w:p>
        </w:tc>
        <w:tc>
          <w:tcPr>
            <w:tcW w:w="558" w:type="pct"/>
            <w:noWrap/>
            <w:hideMark/>
          </w:tcPr>
          <w:p w14:paraId="6970D529" w14:textId="31BF087A"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0.9</w:t>
            </w:r>
          </w:p>
        </w:tc>
        <w:tc>
          <w:tcPr>
            <w:tcW w:w="558" w:type="pct"/>
            <w:noWrap/>
            <w:hideMark/>
          </w:tcPr>
          <w:p w14:paraId="28AE76AA" w14:textId="21BB9671"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2.4</w:t>
            </w:r>
          </w:p>
        </w:tc>
        <w:tc>
          <w:tcPr>
            <w:tcW w:w="540" w:type="pct"/>
            <w:noWrap/>
            <w:hideMark/>
          </w:tcPr>
          <w:p w14:paraId="480B1965" w14:textId="43951790"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9.4</w:t>
            </w:r>
          </w:p>
        </w:tc>
        <w:tc>
          <w:tcPr>
            <w:tcW w:w="538" w:type="pct"/>
            <w:noWrap/>
            <w:hideMark/>
          </w:tcPr>
          <w:p w14:paraId="6CDA1606" w14:textId="5D041993" w:rsidR="009A7B38" w:rsidRPr="00705E32" w:rsidRDefault="009A7B38" w:rsidP="009A7B38">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705E32">
              <w:rPr>
                <w:rFonts w:asciiTheme="minorHAnsi" w:hAnsiTheme="minorHAnsi"/>
                <w:color w:val="000000"/>
                <w:szCs w:val="20"/>
              </w:rPr>
              <w:t>10.1</w:t>
            </w:r>
          </w:p>
        </w:tc>
      </w:tr>
    </w:tbl>
    <w:p w14:paraId="31EA8E0E" w14:textId="77777777" w:rsidR="005705C3" w:rsidRPr="00BE441D" w:rsidRDefault="005705C3" w:rsidP="00BE441D">
      <w:pPr>
        <w:pStyle w:val="AEGBody"/>
        <w:rPr>
          <w:lang w:eastAsia="ja-JP"/>
        </w:rPr>
      </w:pPr>
    </w:p>
    <w:p w14:paraId="0D4C747D" w14:textId="4B84D1B7" w:rsidR="0055004C" w:rsidRDefault="001E255C" w:rsidP="001E255C">
      <w:pPr>
        <w:pStyle w:val="Heading4"/>
        <w:rPr>
          <w:lang w:eastAsia="ja-JP"/>
        </w:rPr>
      </w:pPr>
      <w:r>
        <w:rPr>
          <w:lang w:eastAsia="ja-JP"/>
        </w:rPr>
        <w:t>Potential by Sector and Segment</w:t>
      </w:r>
    </w:p>
    <w:p w14:paraId="7FE83D9D" w14:textId="5044B8F0" w:rsidR="00FC0ED1" w:rsidRPr="007E5987" w:rsidRDefault="00DB728D" w:rsidP="00FC0ED1">
      <w:pPr>
        <w:pStyle w:val="AEGBody"/>
      </w:pPr>
      <w:r>
        <w:rPr>
          <w:lang w:eastAsia="ja-JP"/>
        </w:rPr>
        <w:fldChar w:fldCharType="begin"/>
      </w:r>
      <w:r>
        <w:rPr>
          <w:lang w:eastAsia="ja-JP"/>
        </w:rPr>
        <w:instrText xml:space="preserve"> REF _Ref175733874 \h </w:instrText>
      </w:r>
      <w:r>
        <w:rPr>
          <w:lang w:eastAsia="ja-JP"/>
        </w:rPr>
      </w:r>
      <w:r>
        <w:rPr>
          <w:lang w:eastAsia="ja-JP"/>
        </w:rPr>
        <w:fldChar w:fldCharType="separate"/>
      </w:r>
      <w:r>
        <w:t xml:space="preserve">Table </w:t>
      </w:r>
      <w:r>
        <w:rPr>
          <w:noProof/>
        </w:rPr>
        <w:t>6</w:t>
      </w:r>
      <w:r>
        <w:noBreakHyphen/>
      </w:r>
      <w:r>
        <w:rPr>
          <w:noProof/>
        </w:rPr>
        <w:t>14</w:t>
      </w:r>
      <w:r>
        <w:rPr>
          <w:lang w:eastAsia="ja-JP"/>
        </w:rPr>
        <w:fldChar w:fldCharType="end"/>
      </w:r>
      <w:r>
        <w:rPr>
          <w:lang w:eastAsia="ja-JP"/>
        </w:rPr>
        <w:t xml:space="preserve"> and </w:t>
      </w:r>
      <w:r>
        <w:rPr>
          <w:lang w:eastAsia="ja-JP"/>
        </w:rPr>
        <w:fldChar w:fldCharType="begin"/>
      </w:r>
      <w:r>
        <w:rPr>
          <w:lang w:eastAsia="ja-JP"/>
        </w:rPr>
        <w:instrText xml:space="preserve"> REF _Ref175733876 \h </w:instrText>
      </w:r>
      <w:r>
        <w:rPr>
          <w:lang w:eastAsia="ja-JP"/>
        </w:rPr>
      </w:r>
      <w:r>
        <w:rPr>
          <w:lang w:eastAsia="ja-JP"/>
        </w:rPr>
        <w:fldChar w:fldCharType="separate"/>
      </w:r>
      <w:r>
        <w:t xml:space="preserve">Table </w:t>
      </w:r>
      <w:r>
        <w:rPr>
          <w:noProof/>
        </w:rPr>
        <w:t>6</w:t>
      </w:r>
      <w:r>
        <w:noBreakHyphen/>
      </w:r>
      <w:r>
        <w:rPr>
          <w:noProof/>
        </w:rPr>
        <w:t>15</w:t>
      </w:r>
      <w:r>
        <w:rPr>
          <w:lang w:eastAsia="ja-JP"/>
        </w:rPr>
        <w:fldChar w:fldCharType="end"/>
      </w:r>
      <w:r>
        <w:rPr>
          <w:lang w:eastAsia="ja-JP"/>
        </w:rPr>
        <w:t xml:space="preserve"> </w:t>
      </w:r>
      <w:r w:rsidR="00FC0ED1" w:rsidRPr="00FC0ED1">
        <w:rPr>
          <w:lang w:eastAsia="ja-JP"/>
        </w:rPr>
        <w:t xml:space="preserve">show the total winter demand savings by class for Washington and Idaho, respectively. Washington is projected to </w:t>
      </w:r>
      <w:r w:rsidR="00FC0ED1" w:rsidRPr="007E5987">
        <w:t>save 1</w:t>
      </w:r>
      <w:r w:rsidR="00AF082E" w:rsidRPr="007E5987">
        <w:t>28</w:t>
      </w:r>
      <w:r w:rsidR="00FC0ED1" w:rsidRPr="007E5987">
        <w:t xml:space="preserve"> MW (</w:t>
      </w:r>
      <w:r w:rsidR="00AF082E" w:rsidRPr="007E5987">
        <w:t>7.7</w:t>
      </w:r>
      <w:r w:rsidR="00FC0ED1" w:rsidRPr="007E5987">
        <w:t>% of winter system peak demand) by 2045, while Idaho is projected to save 2</w:t>
      </w:r>
      <w:r w:rsidR="00AF082E" w:rsidRPr="007E5987">
        <w:t>7</w:t>
      </w:r>
      <w:r w:rsidR="00FC0ED1" w:rsidRPr="007E5987">
        <w:t xml:space="preserve"> MW (</w:t>
      </w:r>
      <w:r w:rsidR="00AF082E" w:rsidRPr="007E5987">
        <w:t>3.</w:t>
      </w:r>
      <w:r w:rsidR="007E5987" w:rsidRPr="007E5987">
        <w:t>5</w:t>
      </w:r>
      <w:r w:rsidR="00FC0ED1" w:rsidRPr="007E5987">
        <w:t>% of winter system peak demand) by 2045.</w:t>
      </w:r>
    </w:p>
    <w:p w14:paraId="64D6A1E4" w14:textId="5C65B017" w:rsidR="00D6586F" w:rsidRDefault="00D6586F" w:rsidP="00D6586F">
      <w:pPr>
        <w:pStyle w:val="Caption"/>
      </w:pPr>
      <w:bookmarkStart w:id="220" w:name="_Ref175733874"/>
      <w:bookmarkStart w:id="221" w:name="_Toc175912413"/>
      <w:r>
        <w:t xml:space="preserve">Table </w:t>
      </w:r>
      <w:r w:rsidR="00EE4707">
        <w:fldChar w:fldCharType="begin"/>
      </w:r>
      <w:r w:rsidR="00EE4707">
        <w:instrText xml:space="preserve"> STYLEREF 1 \s </w:instrText>
      </w:r>
      <w:r w:rsidR="00EE4707">
        <w:fldChar w:fldCharType="separate"/>
      </w:r>
      <w:r w:rsidR="00DB728D">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DB728D">
        <w:rPr>
          <w:noProof/>
        </w:rPr>
        <w:t>14</w:t>
      </w:r>
      <w:r w:rsidR="00EE4707">
        <w:fldChar w:fldCharType="end"/>
      </w:r>
      <w:bookmarkEnd w:id="220"/>
      <w:r>
        <w:t xml:space="preserve"> </w:t>
      </w:r>
      <w:r w:rsidRPr="008F3B16">
        <w:t>Winter Potential by Class – TOU Opt-In (MW @Generator), Washington</w:t>
      </w:r>
      <w:bookmarkEnd w:id="221"/>
    </w:p>
    <w:tbl>
      <w:tblPr>
        <w:tblStyle w:val="AEG-DarkBanded"/>
        <w:tblW w:w="5000" w:type="pct"/>
        <w:jc w:val="center"/>
        <w:tblLook w:val="04A0" w:firstRow="1" w:lastRow="0" w:firstColumn="1" w:lastColumn="0" w:noHBand="0" w:noVBand="1"/>
      </w:tblPr>
      <w:tblGrid>
        <w:gridCol w:w="3412"/>
        <w:gridCol w:w="1190"/>
        <w:gridCol w:w="1191"/>
        <w:gridCol w:w="1191"/>
        <w:gridCol w:w="1191"/>
        <w:gridCol w:w="1185"/>
      </w:tblGrid>
      <w:tr w:rsidR="00DB728D" w:rsidRPr="00C50273" w14:paraId="5D20B072" w14:textId="77777777" w:rsidTr="00DB728D">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23" w:type="pct"/>
            <w:hideMark/>
          </w:tcPr>
          <w:p w14:paraId="27FEFCE2" w14:textId="72CF7510" w:rsidR="00DB728D" w:rsidRPr="009A64E1" w:rsidRDefault="00DB728D" w:rsidP="00AF082E">
            <w:pPr>
              <w:keepNext/>
              <w:jc w:val="left"/>
              <w:rPr>
                <w:rFonts w:asciiTheme="majorHAnsi" w:eastAsia="Times New Roman" w:hAnsiTheme="majorHAnsi"/>
                <w:b w:val="0"/>
                <w:szCs w:val="20"/>
              </w:rPr>
            </w:pPr>
          </w:p>
        </w:tc>
        <w:tc>
          <w:tcPr>
            <w:tcW w:w="636" w:type="pct"/>
          </w:tcPr>
          <w:p w14:paraId="072A8C41" w14:textId="057648CE" w:rsidR="00DB728D" w:rsidRPr="009A64E1" w:rsidRDefault="00DB728D"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A64E1">
              <w:rPr>
                <w:rFonts w:asciiTheme="majorHAnsi" w:eastAsia="Times New Roman" w:hAnsiTheme="majorHAnsi"/>
                <w:b w:val="0"/>
                <w:szCs w:val="20"/>
              </w:rPr>
              <w:t>2026</w:t>
            </w:r>
          </w:p>
        </w:tc>
        <w:tc>
          <w:tcPr>
            <w:tcW w:w="636" w:type="pct"/>
            <w:hideMark/>
          </w:tcPr>
          <w:p w14:paraId="13E139C1" w14:textId="314A36F1" w:rsidR="00DB728D" w:rsidRPr="009A64E1" w:rsidRDefault="00DB728D"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A64E1">
              <w:rPr>
                <w:rFonts w:asciiTheme="majorHAnsi" w:eastAsia="Times New Roman" w:hAnsiTheme="majorHAnsi"/>
                <w:b w:val="0"/>
                <w:szCs w:val="20"/>
              </w:rPr>
              <w:t>2027</w:t>
            </w:r>
          </w:p>
        </w:tc>
        <w:tc>
          <w:tcPr>
            <w:tcW w:w="636" w:type="pct"/>
            <w:hideMark/>
          </w:tcPr>
          <w:p w14:paraId="42715CAE" w14:textId="77777777" w:rsidR="00DB728D" w:rsidRPr="009A64E1" w:rsidRDefault="00DB728D"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A64E1">
              <w:rPr>
                <w:rFonts w:asciiTheme="majorHAnsi" w:eastAsia="Times New Roman" w:hAnsiTheme="majorHAnsi"/>
                <w:b w:val="0"/>
                <w:szCs w:val="20"/>
              </w:rPr>
              <w:t>2028</w:t>
            </w:r>
          </w:p>
        </w:tc>
        <w:tc>
          <w:tcPr>
            <w:tcW w:w="636" w:type="pct"/>
            <w:hideMark/>
          </w:tcPr>
          <w:p w14:paraId="11FD6890" w14:textId="77777777" w:rsidR="00DB728D" w:rsidRPr="009A64E1" w:rsidRDefault="00DB728D"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A64E1">
              <w:rPr>
                <w:rFonts w:asciiTheme="majorHAnsi" w:eastAsia="Times New Roman" w:hAnsiTheme="majorHAnsi"/>
                <w:b w:val="0"/>
                <w:szCs w:val="20"/>
              </w:rPr>
              <w:t>2035</w:t>
            </w:r>
          </w:p>
        </w:tc>
        <w:tc>
          <w:tcPr>
            <w:tcW w:w="633" w:type="pct"/>
            <w:hideMark/>
          </w:tcPr>
          <w:p w14:paraId="41A11EA0" w14:textId="77777777" w:rsidR="00DB728D" w:rsidRPr="009A64E1" w:rsidRDefault="00DB728D"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A64E1">
              <w:rPr>
                <w:rFonts w:asciiTheme="majorHAnsi" w:eastAsia="Times New Roman" w:hAnsiTheme="majorHAnsi"/>
                <w:b w:val="0"/>
                <w:szCs w:val="20"/>
              </w:rPr>
              <w:t>2045</w:t>
            </w:r>
          </w:p>
        </w:tc>
      </w:tr>
      <w:tr w:rsidR="00DB728D" w:rsidRPr="00C50273" w14:paraId="56517866" w14:textId="77777777" w:rsidTr="00DB728D">
        <w:trPr>
          <w:trHeight w:val="259"/>
          <w:jc w:val="center"/>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A1DFAD4" w14:textId="77777777" w:rsidR="00DB728D" w:rsidRPr="009A64E1" w:rsidRDefault="00DB728D" w:rsidP="00AF082E">
            <w:pPr>
              <w:keepNext/>
              <w:jc w:val="left"/>
              <w:rPr>
                <w:rFonts w:asciiTheme="majorHAnsi" w:eastAsia="Times New Roman" w:hAnsiTheme="majorHAnsi"/>
                <w:color w:val="000000"/>
                <w:szCs w:val="20"/>
              </w:rPr>
            </w:pPr>
            <w:r w:rsidRPr="009A64E1">
              <w:rPr>
                <w:rFonts w:asciiTheme="majorHAnsi" w:eastAsia="Times New Roman" w:hAnsiTheme="majorHAnsi"/>
                <w:color w:val="000000"/>
                <w:szCs w:val="20"/>
              </w:rPr>
              <w:t>Baseline Forecast (Winter MW)</w:t>
            </w:r>
          </w:p>
        </w:tc>
        <w:tc>
          <w:tcPr>
            <w:tcW w:w="636" w:type="pct"/>
          </w:tcPr>
          <w:p w14:paraId="429C35BB" w14:textId="4D81434F"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1,237</w:t>
            </w:r>
          </w:p>
        </w:tc>
        <w:tc>
          <w:tcPr>
            <w:tcW w:w="636" w:type="pct"/>
            <w:noWrap/>
          </w:tcPr>
          <w:p w14:paraId="70D30BAC" w14:textId="72FFFC72"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1,248</w:t>
            </w:r>
          </w:p>
        </w:tc>
        <w:tc>
          <w:tcPr>
            <w:tcW w:w="636" w:type="pct"/>
            <w:noWrap/>
          </w:tcPr>
          <w:p w14:paraId="6B73AA8F" w14:textId="61849DF1"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1,235</w:t>
            </w:r>
          </w:p>
        </w:tc>
        <w:tc>
          <w:tcPr>
            <w:tcW w:w="636" w:type="pct"/>
            <w:noWrap/>
          </w:tcPr>
          <w:p w14:paraId="4F633180" w14:textId="37AC228F"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1,336</w:t>
            </w:r>
          </w:p>
        </w:tc>
        <w:tc>
          <w:tcPr>
            <w:tcW w:w="633" w:type="pct"/>
            <w:noWrap/>
          </w:tcPr>
          <w:p w14:paraId="2B6ED797" w14:textId="61B69307"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1,662</w:t>
            </w:r>
          </w:p>
        </w:tc>
      </w:tr>
      <w:tr w:rsidR="00DB728D" w:rsidRPr="00C50273" w14:paraId="51E24613" w14:textId="77777777" w:rsidTr="00DB728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E84B1E8" w14:textId="77777777" w:rsidR="00DB728D" w:rsidRPr="009A64E1" w:rsidRDefault="00DB728D" w:rsidP="00AF082E">
            <w:pPr>
              <w:keepNext/>
              <w:jc w:val="left"/>
              <w:rPr>
                <w:rFonts w:asciiTheme="majorHAnsi" w:eastAsia="Times New Roman" w:hAnsiTheme="majorHAnsi"/>
                <w:color w:val="000000"/>
                <w:szCs w:val="20"/>
              </w:rPr>
            </w:pPr>
            <w:r w:rsidRPr="009A64E1">
              <w:rPr>
                <w:rFonts w:asciiTheme="majorHAnsi" w:eastAsia="Times New Roman" w:hAnsiTheme="majorHAnsi"/>
                <w:color w:val="000000"/>
                <w:szCs w:val="20"/>
              </w:rPr>
              <w:t>Achievable Potential (MW)</w:t>
            </w:r>
          </w:p>
        </w:tc>
        <w:tc>
          <w:tcPr>
            <w:tcW w:w="636" w:type="pct"/>
          </w:tcPr>
          <w:p w14:paraId="320CDE52" w14:textId="34334D88"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10</w:t>
            </w:r>
          </w:p>
        </w:tc>
        <w:tc>
          <w:tcPr>
            <w:tcW w:w="636" w:type="pct"/>
            <w:noWrap/>
          </w:tcPr>
          <w:p w14:paraId="72DFB8CB" w14:textId="2F323A04"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21</w:t>
            </w:r>
          </w:p>
        </w:tc>
        <w:tc>
          <w:tcPr>
            <w:tcW w:w="636" w:type="pct"/>
            <w:noWrap/>
          </w:tcPr>
          <w:p w14:paraId="0BC131BF" w14:textId="34E87C9A"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33</w:t>
            </w:r>
          </w:p>
        </w:tc>
        <w:tc>
          <w:tcPr>
            <w:tcW w:w="636" w:type="pct"/>
            <w:noWrap/>
          </w:tcPr>
          <w:p w14:paraId="0D9E1261" w14:textId="5600EEEB"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79</w:t>
            </w:r>
          </w:p>
        </w:tc>
        <w:tc>
          <w:tcPr>
            <w:tcW w:w="633" w:type="pct"/>
            <w:noWrap/>
          </w:tcPr>
          <w:p w14:paraId="0433CA3D" w14:textId="7CDA9871"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9A64E1">
              <w:rPr>
                <w:rFonts w:asciiTheme="majorHAnsi" w:hAnsiTheme="majorHAnsi"/>
                <w:color w:val="000000"/>
                <w:szCs w:val="20"/>
              </w:rPr>
              <w:t>128</w:t>
            </w:r>
          </w:p>
        </w:tc>
      </w:tr>
      <w:tr w:rsidR="00DB728D" w:rsidRPr="00C50273" w14:paraId="5D200129" w14:textId="77777777" w:rsidTr="00DB728D">
        <w:trPr>
          <w:trHeight w:val="259"/>
          <w:jc w:val="center"/>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0A71E6A" w14:textId="77777777" w:rsidR="00DB728D" w:rsidRPr="009A64E1" w:rsidRDefault="00DB728D" w:rsidP="00AF082E">
            <w:pPr>
              <w:keepNext/>
              <w:jc w:val="left"/>
              <w:rPr>
                <w:rFonts w:asciiTheme="minorHAnsi" w:eastAsia="Times New Roman" w:hAnsiTheme="minorHAnsi"/>
                <w:color w:val="000000"/>
                <w:szCs w:val="20"/>
              </w:rPr>
            </w:pPr>
            <w:r w:rsidRPr="009A64E1">
              <w:rPr>
                <w:rFonts w:asciiTheme="minorHAnsi" w:eastAsia="Times New Roman" w:hAnsiTheme="minorHAnsi"/>
                <w:color w:val="000000"/>
                <w:szCs w:val="20"/>
              </w:rPr>
              <w:t>Residential</w:t>
            </w:r>
          </w:p>
        </w:tc>
        <w:tc>
          <w:tcPr>
            <w:tcW w:w="636" w:type="pct"/>
          </w:tcPr>
          <w:p w14:paraId="1D702C0A" w14:textId="6917168B"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3.9</w:t>
            </w:r>
          </w:p>
        </w:tc>
        <w:tc>
          <w:tcPr>
            <w:tcW w:w="636" w:type="pct"/>
            <w:noWrap/>
          </w:tcPr>
          <w:p w14:paraId="7574B584" w14:textId="35C8B720"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9.8</w:t>
            </w:r>
          </w:p>
        </w:tc>
        <w:tc>
          <w:tcPr>
            <w:tcW w:w="636" w:type="pct"/>
            <w:noWrap/>
          </w:tcPr>
          <w:p w14:paraId="196478E6" w14:textId="70261E4A"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17.6</w:t>
            </w:r>
          </w:p>
        </w:tc>
        <w:tc>
          <w:tcPr>
            <w:tcW w:w="636" w:type="pct"/>
            <w:noWrap/>
          </w:tcPr>
          <w:p w14:paraId="3E7ED16B" w14:textId="0164EAA8"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53.1</w:t>
            </w:r>
          </w:p>
        </w:tc>
        <w:tc>
          <w:tcPr>
            <w:tcW w:w="633" w:type="pct"/>
            <w:noWrap/>
          </w:tcPr>
          <w:p w14:paraId="2234C2C0" w14:textId="178AE68E"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87.6</w:t>
            </w:r>
          </w:p>
        </w:tc>
      </w:tr>
      <w:tr w:rsidR="00DB728D" w:rsidRPr="00C50273" w14:paraId="4A01AADC" w14:textId="77777777" w:rsidTr="00DB728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23" w:type="pct"/>
            <w:noWrap/>
            <w:hideMark/>
          </w:tcPr>
          <w:p w14:paraId="2FD971B0" w14:textId="77777777" w:rsidR="00DB728D" w:rsidRPr="009A64E1" w:rsidRDefault="00DB728D" w:rsidP="00AF082E">
            <w:pPr>
              <w:keepNext/>
              <w:jc w:val="left"/>
              <w:rPr>
                <w:rFonts w:asciiTheme="minorHAnsi" w:eastAsia="Times New Roman" w:hAnsiTheme="minorHAnsi"/>
                <w:color w:val="000000"/>
                <w:szCs w:val="20"/>
              </w:rPr>
            </w:pPr>
            <w:r w:rsidRPr="009A64E1">
              <w:rPr>
                <w:rFonts w:asciiTheme="minorHAnsi" w:eastAsia="Times New Roman" w:hAnsiTheme="minorHAnsi"/>
                <w:color w:val="000000"/>
                <w:szCs w:val="20"/>
              </w:rPr>
              <w:t>General Service</w:t>
            </w:r>
          </w:p>
        </w:tc>
        <w:tc>
          <w:tcPr>
            <w:tcW w:w="636" w:type="pct"/>
          </w:tcPr>
          <w:p w14:paraId="50A9E52F" w14:textId="46BB9FEA"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0.3</w:t>
            </w:r>
          </w:p>
        </w:tc>
        <w:tc>
          <w:tcPr>
            <w:tcW w:w="636" w:type="pct"/>
            <w:noWrap/>
          </w:tcPr>
          <w:p w14:paraId="34129173" w14:textId="26F2C08B"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0.6</w:t>
            </w:r>
          </w:p>
        </w:tc>
        <w:tc>
          <w:tcPr>
            <w:tcW w:w="636" w:type="pct"/>
            <w:noWrap/>
          </w:tcPr>
          <w:p w14:paraId="4762B1AF" w14:textId="49D15F46"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1.3</w:t>
            </w:r>
          </w:p>
        </w:tc>
        <w:tc>
          <w:tcPr>
            <w:tcW w:w="636" w:type="pct"/>
            <w:noWrap/>
          </w:tcPr>
          <w:p w14:paraId="3047564D" w14:textId="0040E4EA"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9.8</w:t>
            </w:r>
          </w:p>
        </w:tc>
        <w:tc>
          <w:tcPr>
            <w:tcW w:w="633" w:type="pct"/>
            <w:noWrap/>
          </w:tcPr>
          <w:p w14:paraId="3BC685A4" w14:textId="549A885F"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15.6</w:t>
            </w:r>
          </w:p>
        </w:tc>
      </w:tr>
      <w:tr w:rsidR="00DB728D" w:rsidRPr="00C50273" w14:paraId="4AA8D488" w14:textId="77777777" w:rsidTr="00DB728D">
        <w:trPr>
          <w:trHeight w:val="259"/>
          <w:jc w:val="center"/>
        </w:trPr>
        <w:tc>
          <w:tcPr>
            <w:cnfStyle w:val="001000000000" w:firstRow="0" w:lastRow="0" w:firstColumn="1" w:lastColumn="0" w:oddVBand="0" w:evenVBand="0" w:oddHBand="0" w:evenHBand="0" w:firstRowFirstColumn="0" w:firstRowLastColumn="0" w:lastRowFirstColumn="0" w:lastRowLastColumn="0"/>
            <w:tcW w:w="1823" w:type="pct"/>
            <w:noWrap/>
            <w:hideMark/>
          </w:tcPr>
          <w:p w14:paraId="3D04A24C" w14:textId="77777777" w:rsidR="00DB728D" w:rsidRPr="009A64E1" w:rsidRDefault="00DB728D" w:rsidP="00AF082E">
            <w:pPr>
              <w:keepNext/>
              <w:jc w:val="left"/>
              <w:rPr>
                <w:rFonts w:asciiTheme="minorHAnsi" w:eastAsia="Times New Roman" w:hAnsiTheme="minorHAnsi"/>
                <w:color w:val="000000"/>
                <w:szCs w:val="20"/>
              </w:rPr>
            </w:pPr>
            <w:r w:rsidRPr="009A64E1">
              <w:rPr>
                <w:rFonts w:asciiTheme="minorHAnsi" w:eastAsia="Times New Roman" w:hAnsiTheme="minorHAnsi"/>
                <w:color w:val="000000"/>
                <w:szCs w:val="20"/>
              </w:rPr>
              <w:t>Large General Service</w:t>
            </w:r>
          </w:p>
        </w:tc>
        <w:tc>
          <w:tcPr>
            <w:tcW w:w="636" w:type="pct"/>
          </w:tcPr>
          <w:p w14:paraId="023C14C1" w14:textId="476E9A86"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3.9</w:t>
            </w:r>
          </w:p>
        </w:tc>
        <w:tc>
          <w:tcPr>
            <w:tcW w:w="636" w:type="pct"/>
            <w:noWrap/>
          </w:tcPr>
          <w:p w14:paraId="3E5CC6C5" w14:textId="792AF220"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6.5</w:t>
            </w:r>
          </w:p>
        </w:tc>
        <w:tc>
          <w:tcPr>
            <w:tcW w:w="636" w:type="pct"/>
            <w:noWrap/>
          </w:tcPr>
          <w:p w14:paraId="08423DD3" w14:textId="7F97A198"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8.6</w:t>
            </w:r>
          </w:p>
        </w:tc>
        <w:tc>
          <w:tcPr>
            <w:tcW w:w="636" w:type="pct"/>
            <w:noWrap/>
          </w:tcPr>
          <w:p w14:paraId="704A7B5A" w14:textId="771F3AAD"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11.3</w:t>
            </w:r>
          </w:p>
        </w:tc>
        <w:tc>
          <w:tcPr>
            <w:tcW w:w="633" w:type="pct"/>
            <w:noWrap/>
          </w:tcPr>
          <w:p w14:paraId="746B1245" w14:textId="041B05CC" w:rsidR="00DB728D" w:rsidRPr="009A64E1" w:rsidRDefault="00DB728D"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18.6</w:t>
            </w:r>
          </w:p>
        </w:tc>
      </w:tr>
      <w:tr w:rsidR="00DB728D" w:rsidRPr="00C50273" w14:paraId="697ADE4A" w14:textId="77777777" w:rsidTr="00DB728D">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823" w:type="pct"/>
            <w:noWrap/>
            <w:hideMark/>
          </w:tcPr>
          <w:p w14:paraId="49EE3BCC" w14:textId="77777777" w:rsidR="00DB728D" w:rsidRPr="009A64E1" w:rsidRDefault="00DB728D" w:rsidP="00AF082E">
            <w:pPr>
              <w:keepNext/>
              <w:jc w:val="left"/>
              <w:rPr>
                <w:rFonts w:asciiTheme="minorHAnsi" w:eastAsia="Times New Roman" w:hAnsiTheme="minorHAnsi"/>
                <w:color w:val="000000"/>
                <w:szCs w:val="20"/>
              </w:rPr>
            </w:pPr>
            <w:r w:rsidRPr="009A64E1">
              <w:rPr>
                <w:rFonts w:asciiTheme="minorHAnsi" w:eastAsia="Times New Roman" w:hAnsiTheme="minorHAnsi"/>
                <w:color w:val="000000"/>
                <w:szCs w:val="20"/>
              </w:rPr>
              <w:t>Extra Large General Service</w:t>
            </w:r>
          </w:p>
        </w:tc>
        <w:tc>
          <w:tcPr>
            <w:tcW w:w="636" w:type="pct"/>
          </w:tcPr>
          <w:p w14:paraId="2FC31E69" w14:textId="1BBA1BD5"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2.3</w:t>
            </w:r>
          </w:p>
        </w:tc>
        <w:tc>
          <w:tcPr>
            <w:tcW w:w="636" w:type="pct"/>
            <w:noWrap/>
          </w:tcPr>
          <w:p w14:paraId="60EFB15E" w14:textId="4DCA811C"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3.8</w:t>
            </w:r>
          </w:p>
        </w:tc>
        <w:tc>
          <w:tcPr>
            <w:tcW w:w="636" w:type="pct"/>
            <w:noWrap/>
          </w:tcPr>
          <w:p w14:paraId="66744680" w14:textId="6CC7FAFE"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5.1</w:t>
            </w:r>
          </w:p>
        </w:tc>
        <w:tc>
          <w:tcPr>
            <w:tcW w:w="636" w:type="pct"/>
            <w:noWrap/>
          </w:tcPr>
          <w:p w14:paraId="15C19729" w14:textId="4EF4CAB9"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5.2</w:t>
            </w:r>
          </w:p>
        </w:tc>
        <w:tc>
          <w:tcPr>
            <w:tcW w:w="633" w:type="pct"/>
            <w:noWrap/>
          </w:tcPr>
          <w:p w14:paraId="3ED0C0A2" w14:textId="2011FD24" w:rsidR="00DB728D" w:rsidRPr="009A64E1" w:rsidRDefault="00DB728D"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A64E1">
              <w:rPr>
                <w:rFonts w:asciiTheme="minorHAnsi" w:hAnsiTheme="minorHAnsi"/>
                <w:color w:val="000000"/>
                <w:szCs w:val="20"/>
              </w:rPr>
              <w:t>6.2</w:t>
            </w:r>
          </w:p>
        </w:tc>
      </w:tr>
    </w:tbl>
    <w:p w14:paraId="6AECF8A6" w14:textId="202F5359" w:rsidR="00C50273" w:rsidRDefault="00C50273" w:rsidP="00C50273">
      <w:pPr>
        <w:pStyle w:val="AEGBody"/>
        <w:rPr>
          <w:rFonts w:cstheme="minorBidi"/>
        </w:rPr>
      </w:pPr>
    </w:p>
    <w:p w14:paraId="2FB3FC9C" w14:textId="10FE0997" w:rsidR="00D6586F" w:rsidRDefault="00D6586F" w:rsidP="00D6586F">
      <w:pPr>
        <w:pStyle w:val="Caption"/>
      </w:pPr>
      <w:bookmarkStart w:id="222" w:name="_Ref175733876"/>
      <w:bookmarkStart w:id="223" w:name="_Toc175912414"/>
      <w:r>
        <w:t xml:space="preserve">Table </w:t>
      </w:r>
      <w:r w:rsidR="00EE4707">
        <w:fldChar w:fldCharType="begin"/>
      </w:r>
      <w:r w:rsidR="00EE4707">
        <w:instrText xml:space="preserve"> STYLEREF 1 \s </w:instrText>
      </w:r>
      <w:r w:rsidR="00EE4707">
        <w:fldChar w:fldCharType="separate"/>
      </w:r>
      <w:r w:rsidR="00DB728D">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DB728D">
        <w:rPr>
          <w:noProof/>
        </w:rPr>
        <w:t>15</w:t>
      </w:r>
      <w:r w:rsidR="00EE4707">
        <w:fldChar w:fldCharType="end"/>
      </w:r>
      <w:bookmarkEnd w:id="222"/>
      <w:r>
        <w:t xml:space="preserve"> </w:t>
      </w:r>
      <w:r w:rsidRPr="00003FF0">
        <w:t>Winter Potential by Class – TOU Opt-In (MW @Generator), Idaho</w:t>
      </w:r>
      <w:bookmarkEnd w:id="223"/>
    </w:p>
    <w:tbl>
      <w:tblPr>
        <w:tblStyle w:val="AEGBlue2"/>
        <w:tblW w:w="5000" w:type="pct"/>
        <w:jc w:val="center"/>
        <w:tblLook w:val="04A0" w:firstRow="1" w:lastRow="0" w:firstColumn="1" w:lastColumn="0" w:noHBand="0" w:noVBand="1"/>
      </w:tblPr>
      <w:tblGrid>
        <w:gridCol w:w="3337"/>
        <w:gridCol w:w="1203"/>
        <w:gridCol w:w="1204"/>
        <w:gridCol w:w="1206"/>
        <w:gridCol w:w="1204"/>
        <w:gridCol w:w="1206"/>
      </w:tblGrid>
      <w:tr w:rsidR="00C50273" w:rsidRPr="00C50273" w14:paraId="2199AB21" w14:textId="77777777" w:rsidTr="00AF082E">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83" w:type="pct"/>
            <w:hideMark/>
          </w:tcPr>
          <w:p w14:paraId="214B7637" w14:textId="1D4B74E0" w:rsidR="00C50273" w:rsidRPr="00614F15" w:rsidRDefault="00C50273" w:rsidP="00D6586F">
            <w:pPr>
              <w:keepNext/>
              <w:jc w:val="left"/>
              <w:rPr>
                <w:rFonts w:asciiTheme="majorHAnsi" w:eastAsia="Times New Roman" w:hAnsiTheme="majorHAnsi"/>
                <w:szCs w:val="20"/>
              </w:rPr>
            </w:pPr>
          </w:p>
        </w:tc>
        <w:tc>
          <w:tcPr>
            <w:tcW w:w="643" w:type="pct"/>
            <w:hideMark/>
          </w:tcPr>
          <w:p w14:paraId="6702DEBD" w14:textId="77777777" w:rsidR="00C50273" w:rsidRPr="00614F15" w:rsidRDefault="00C5027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4F15">
              <w:rPr>
                <w:rFonts w:asciiTheme="majorHAnsi" w:eastAsia="Times New Roman" w:hAnsiTheme="majorHAnsi"/>
                <w:szCs w:val="20"/>
              </w:rPr>
              <w:t>2026</w:t>
            </w:r>
          </w:p>
        </w:tc>
        <w:tc>
          <w:tcPr>
            <w:tcW w:w="643" w:type="pct"/>
            <w:hideMark/>
          </w:tcPr>
          <w:p w14:paraId="7427F2CA" w14:textId="77777777" w:rsidR="00C50273" w:rsidRPr="00614F15" w:rsidRDefault="00C5027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4F15">
              <w:rPr>
                <w:rFonts w:asciiTheme="majorHAnsi" w:eastAsia="Times New Roman" w:hAnsiTheme="majorHAnsi"/>
                <w:szCs w:val="20"/>
              </w:rPr>
              <w:t>2027</w:t>
            </w:r>
          </w:p>
        </w:tc>
        <w:tc>
          <w:tcPr>
            <w:tcW w:w="644" w:type="pct"/>
            <w:hideMark/>
          </w:tcPr>
          <w:p w14:paraId="3B9A326F" w14:textId="77777777" w:rsidR="00C50273" w:rsidRPr="00614F15" w:rsidRDefault="00C5027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4F15">
              <w:rPr>
                <w:rFonts w:asciiTheme="majorHAnsi" w:eastAsia="Times New Roman" w:hAnsiTheme="majorHAnsi"/>
                <w:szCs w:val="20"/>
              </w:rPr>
              <w:t>2028</w:t>
            </w:r>
          </w:p>
        </w:tc>
        <w:tc>
          <w:tcPr>
            <w:tcW w:w="643" w:type="pct"/>
            <w:hideMark/>
          </w:tcPr>
          <w:p w14:paraId="258D9A54" w14:textId="77777777" w:rsidR="00C50273" w:rsidRPr="00614F15" w:rsidRDefault="00C5027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4F15">
              <w:rPr>
                <w:rFonts w:asciiTheme="majorHAnsi" w:eastAsia="Times New Roman" w:hAnsiTheme="majorHAnsi"/>
                <w:szCs w:val="20"/>
              </w:rPr>
              <w:t>2035</w:t>
            </w:r>
          </w:p>
        </w:tc>
        <w:tc>
          <w:tcPr>
            <w:tcW w:w="644" w:type="pct"/>
            <w:hideMark/>
          </w:tcPr>
          <w:p w14:paraId="44663F5D" w14:textId="77777777" w:rsidR="00C50273" w:rsidRPr="00614F15" w:rsidRDefault="00C50273" w:rsidP="00121B54">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Cs w:val="20"/>
              </w:rPr>
            </w:pPr>
            <w:r w:rsidRPr="00614F15">
              <w:rPr>
                <w:rFonts w:asciiTheme="majorHAnsi" w:eastAsia="Times New Roman" w:hAnsiTheme="majorHAnsi"/>
                <w:szCs w:val="20"/>
              </w:rPr>
              <w:t>2045</w:t>
            </w:r>
          </w:p>
        </w:tc>
      </w:tr>
      <w:tr w:rsidR="007E5987" w:rsidRPr="00C50273" w14:paraId="1A973412" w14:textId="77777777">
        <w:trPr>
          <w:trHeight w:val="259"/>
          <w:jc w:val="center"/>
        </w:trPr>
        <w:tc>
          <w:tcPr>
            <w:cnfStyle w:val="001000000000" w:firstRow="0" w:lastRow="0" w:firstColumn="1" w:lastColumn="0" w:oddVBand="0" w:evenVBand="0" w:oddHBand="0" w:evenHBand="0" w:firstRowFirstColumn="0" w:firstRowLastColumn="0" w:lastRowFirstColumn="0" w:lastRowLastColumn="0"/>
            <w:tcW w:w="1783" w:type="pct"/>
            <w:noWrap/>
            <w:hideMark/>
          </w:tcPr>
          <w:p w14:paraId="1F46CA63" w14:textId="77777777" w:rsidR="007E5987" w:rsidRPr="00614F15" w:rsidRDefault="007E5987" w:rsidP="007E5987">
            <w:pPr>
              <w:keepNext/>
              <w:jc w:val="left"/>
              <w:rPr>
                <w:rFonts w:asciiTheme="majorHAnsi" w:eastAsia="Times New Roman" w:hAnsiTheme="majorHAnsi"/>
                <w:color w:val="000000"/>
                <w:szCs w:val="20"/>
              </w:rPr>
            </w:pPr>
            <w:r w:rsidRPr="00614F15">
              <w:rPr>
                <w:rFonts w:asciiTheme="majorHAnsi" w:eastAsia="Times New Roman" w:hAnsiTheme="majorHAnsi"/>
                <w:color w:val="000000"/>
                <w:szCs w:val="20"/>
              </w:rPr>
              <w:t>Baseline Forecast (Winter MW)</w:t>
            </w:r>
          </w:p>
        </w:tc>
        <w:tc>
          <w:tcPr>
            <w:tcW w:w="643" w:type="pct"/>
            <w:noWrap/>
            <w:vAlign w:val="top"/>
          </w:tcPr>
          <w:p w14:paraId="79CEF0AF" w14:textId="6C72D294" w:rsidR="007E5987" w:rsidRPr="00614F15" w:rsidRDefault="007E5987"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rPr>
              <w:t>620</w:t>
            </w:r>
          </w:p>
        </w:tc>
        <w:tc>
          <w:tcPr>
            <w:tcW w:w="643" w:type="pct"/>
            <w:noWrap/>
            <w:vAlign w:val="top"/>
          </w:tcPr>
          <w:p w14:paraId="12F456AC" w14:textId="4562DEAC" w:rsidR="007E5987" w:rsidRPr="00614F15" w:rsidRDefault="007E5987"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rPr>
              <w:t>625</w:t>
            </w:r>
          </w:p>
        </w:tc>
        <w:tc>
          <w:tcPr>
            <w:tcW w:w="644" w:type="pct"/>
            <w:noWrap/>
            <w:vAlign w:val="top"/>
          </w:tcPr>
          <w:p w14:paraId="42ADC9F1" w14:textId="4FE03EE2" w:rsidR="007E5987" w:rsidRPr="00614F15" w:rsidRDefault="007E5987"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rPr>
              <w:t>620</w:t>
            </w:r>
          </w:p>
        </w:tc>
        <w:tc>
          <w:tcPr>
            <w:tcW w:w="643" w:type="pct"/>
            <w:noWrap/>
            <w:vAlign w:val="top"/>
          </w:tcPr>
          <w:p w14:paraId="20290B01" w14:textId="70B15DA7" w:rsidR="007E5987" w:rsidRPr="00614F15" w:rsidRDefault="007E5987"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rPr>
              <w:t>669</w:t>
            </w:r>
          </w:p>
        </w:tc>
        <w:tc>
          <w:tcPr>
            <w:tcW w:w="644" w:type="pct"/>
            <w:noWrap/>
            <w:vAlign w:val="top"/>
          </w:tcPr>
          <w:p w14:paraId="6197E0C8" w14:textId="69ED90DD" w:rsidR="007E5987" w:rsidRPr="00614F15" w:rsidRDefault="007E5987" w:rsidP="00FF4586">
            <w:pPr>
              <w:keepNext/>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rPr>
              <w:t>760</w:t>
            </w:r>
          </w:p>
        </w:tc>
      </w:tr>
      <w:tr w:rsidR="00AF082E" w:rsidRPr="00C50273" w14:paraId="6FB5B235" w14:textId="77777777" w:rsidTr="00AF082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83" w:type="pct"/>
            <w:noWrap/>
            <w:hideMark/>
          </w:tcPr>
          <w:p w14:paraId="35B56118" w14:textId="77777777" w:rsidR="00AF082E" w:rsidRPr="00614F15" w:rsidRDefault="00AF082E" w:rsidP="00AF082E">
            <w:pPr>
              <w:keepNext/>
              <w:jc w:val="left"/>
              <w:rPr>
                <w:rFonts w:asciiTheme="majorHAnsi" w:eastAsia="Times New Roman" w:hAnsiTheme="majorHAnsi"/>
                <w:color w:val="000000"/>
                <w:szCs w:val="20"/>
              </w:rPr>
            </w:pPr>
            <w:r w:rsidRPr="00614F15">
              <w:rPr>
                <w:rFonts w:asciiTheme="majorHAnsi" w:eastAsia="Times New Roman" w:hAnsiTheme="majorHAnsi"/>
                <w:color w:val="000000"/>
                <w:szCs w:val="20"/>
              </w:rPr>
              <w:t>Achievable Potential (MW)</w:t>
            </w:r>
          </w:p>
        </w:tc>
        <w:tc>
          <w:tcPr>
            <w:tcW w:w="643" w:type="pct"/>
            <w:noWrap/>
          </w:tcPr>
          <w:p w14:paraId="0A5AA54C" w14:textId="6CDAB3B7"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color w:val="000000"/>
                <w:szCs w:val="20"/>
              </w:rPr>
              <w:t>1</w:t>
            </w:r>
          </w:p>
        </w:tc>
        <w:tc>
          <w:tcPr>
            <w:tcW w:w="643" w:type="pct"/>
            <w:noWrap/>
          </w:tcPr>
          <w:p w14:paraId="52840457" w14:textId="1D2D54AA"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color w:val="000000"/>
                <w:szCs w:val="20"/>
              </w:rPr>
              <w:t>2</w:t>
            </w:r>
          </w:p>
        </w:tc>
        <w:tc>
          <w:tcPr>
            <w:tcW w:w="644" w:type="pct"/>
            <w:noWrap/>
          </w:tcPr>
          <w:p w14:paraId="2DA74C22" w14:textId="6F15C7DC"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color w:val="000000"/>
                <w:szCs w:val="20"/>
              </w:rPr>
              <w:t>6</w:t>
            </w:r>
          </w:p>
        </w:tc>
        <w:tc>
          <w:tcPr>
            <w:tcW w:w="643" w:type="pct"/>
            <w:noWrap/>
          </w:tcPr>
          <w:p w14:paraId="0620759E" w14:textId="31A1356A"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color w:val="000000"/>
                <w:szCs w:val="20"/>
              </w:rPr>
              <w:t>21</w:t>
            </w:r>
          </w:p>
        </w:tc>
        <w:tc>
          <w:tcPr>
            <w:tcW w:w="644" w:type="pct"/>
            <w:noWrap/>
          </w:tcPr>
          <w:p w14:paraId="264CE9E5" w14:textId="108AEBF7"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olor w:val="000000"/>
                <w:szCs w:val="20"/>
              </w:rPr>
            </w:pPr>
            <w:r w:rsidRPr="00614F15">
              <w:rPr>
                <w:rFonts w:asciiTheme="majorHAnsi" w:hAnsiTheme="majorHAnsi"/>
                <w:color w:val="000000"/>
                <w:szCs w:val="20"/>
              </w:rPr>
              <w:t>27</w:t>
            </w:r>
          </w:p>
        </w:tc>
      </w:tr>
      <w:tr w:rsidR="00AF082E" w:rsidRPr="00C50273" w14:paraId="38ADDEAB" w14:textId="77777777" w:rsidTr="00AF082E">
        <w:trPr>
          <w:trHeight w:val="259"/>
          <w:jc w:val="center"/>
        </w:trPr>
        <w:tc>
          <w:tcPr>
            <w:cnfStyle w:val="001000000000" w:firstRow="0" w:lastRow="0" w:firstColumn="1" w:lastColumn="0" w:oddVBand="0" w:evenVBand="0" w:oddHBand="0" w:evenHBand="0" w:firstRowFirstColumn="0" w:firstRowLastColumn="0" w:lastRowFirstColumn="0" w:lastRowLastColumn="0"/>
            <w:tcW w:w="1783" w:type="pct"/>
            <w:noWrap/>
            <w:hideMark/>
          </w:tcPr>
          <w:p w14:paraId="2882880D" w14:textId="77777777" w:rsidR="00AF082E" w:rsidRPr="00614F15" w:rsidRDefault="00AF082E" w:rsidP="00AF082E">
            <w:pPr>
              <w:keepNext/>
              <w:jc w:val="left"/>
              <w:rPr>
                <w:rFonts w:eastAsia="Times New Roman"/>
                <w:color w:val="000000"/>
                <w:szCs w:val="20"/>
              </w:rPr>
            </w:pPr>
            <w:r w:rsidRPr="00614F15">
              <w:rPr>
                <w:rFonts w:eastAsia="Times New Roman"/>
                <w:color w:val="000000"/>
                <w:szCs w:val="20"/>
              </w:rPr>
              <w:t>Residential</w:t>
            </w:r>
          </w:p>
        </w:tc>
        <w:tc>
          <w:tcPr>
            <w:tcW w:w="643" w:type="pct"/>
            <w:noWrap/>
          </w:tcPr>
          <w:p w14:paraId="32AA2AAC" w14:textId="3C8B2F02"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0.6</w:t>
            </w:r>
          </w:p>
        </w:tc>
        <w:tc>
          <w:tcPr>
            <w:tcW w:w="643" w:type="pct"/>
            <w:noWrap/>
          </w:tcPr>
          <w:p w14:paraId="4533DB0E" w14:textId="4297361E"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1.9</w:t>
            </w:r>
          </w:p>
        </w:tc>
        <w:tc>
          <w:tcPr>
            <w:tcW w:w="644" w:type="pct"/>
            <w:noWrap/>
          </w:tcPr>
          <w:p w14:paraId="7167885E" w14:textId="3E04074C"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4.4</w:t>
            </w:r>
          </w:p>
        </w:tc>
        <w:tc>
          <w:tcPr>
            <w:tcW w:w="643" w:type="pct"/>
            <w:noWrap/>
          </w:tcPr>
          <w:p w14:paraId="2BE767A6" w14:textId="3B98C5C0"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13.3</w:t>
            </w:r>
          </w:p>
        </w:tc>
        <w:tc>
          <w:tcPr>
            <w:tcW w:w="644" w:type="pct"/>
            <w:noWrap/>
          </w:tcPr>
          <w:p w14:paraId="67801B8D" w14:textId="6EE73A1A"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16.8</w:t>
            </w:r>
          </w:p>
        </w:tc>
      </w:tr>
      <w:tr w:rsidR="00AF082E" w:rsidRPr="00C50273" w14:paraId="15A6F9A2" w14:textId="77777777" w:rsidTr="00AF082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83" w:type="pct"/>
            <w:noWrap/>
            <w:hideMark/>
          </w:tcPr>
          <w:p w14:paraId="014415ED" w14:textId="77777777" w:rsidR="00AF082E" w:rsidRPr="00614F15" w:rsidRDefault="00AF082E" w:rsidP="00AF082E">
            <w:pPr>
              <w:keepNext/>
              <w:jc w:val="left"/>
              <w:rPr>
                <w:rFonts w:eastAsia="Times New Roman"/>
                <w:color w:val="000000"/>
                <w:szCs w:val="20"/>
              </w:rPr>
            </w:pPr>
            <w:r w:rsidRPr="00614F15">
              <w:rPr>
                <w:rFonts w:eastAsia="Times New Roman"/>
                <w:color w:val="000000"/>
                <w:szCs w:val="20"/>
              </w:rPr>
              <w:t>General Service</w:t>
            </w:r>
          </w:p>
        </w:tc>
        <w:tc>
          <w:tcPr>
            <w:tcW w:w="643" w:type="pct"/>
            <w:noWrap/>
          </w:tcPr>
          <w:p w14:paraId="2C09C35F" w14:textId="37ACF21B"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0.0</w:t>
            </w:r>
          </w:p>
        </w:tc>
        <w:tc>
          <w:tcPr>
            <w:tcW w:w="643" w:type="pct"/>
            <w:noWrap/>
          </w:tcPr>
          <w:p w14:paraId="0D98D5AE" w14:textId="00D0B6A0"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0.2</w:t>
            </w:r>
          </w:p>
        </w:tc>
        <w:tc>
          <w:tcPr>
            <w:tcW w:w="644" w:type="pct"/>
            <w:noWrap/>
          </w:tcPr>
          <w:p w14:paraId="3B4A1BBC" w14:textId="61FAD02B"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0.4</w:t>
            </w:r>
          </w:p>
        </w:tc>
        <w:tc>
          <w:tcPr>
            <w:tcW w:w="643" w:type="pct"/>
            <w:noWrap/>
          </w:tcPr>
          <w:p w14:paraId="2516E13D" w14:textId="6E10FCBA"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2.0</w:t>
            </w:r>
          </w:p>
        </w:tc>
        <w:tc>
          <w:tcPr>
            <w:tcW w:w="644" w:type="pct"/>
            <w:noWrap/>
          </w:tcPr>
          <w:p w14:paraId="79CBAC89" w14:textId="1CBC6196"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3.6</w:t>
            </w:r>
          </w:p>
        </w:tc>
      </w:tr>
      <w:tr w:rsidR="00AF082E" w:rsidRPr="00C50273" w14:paraId="0CFEE09A" w14:textId="77777777" w:rsidTr="00AF082E">
        <w:trPr>
          <w:trHeight w:val="259"/>
          <w:jc w:val="center"/>
        </w:trPr>
        <w:tc>
          <w:tcPr>
            <w:cnfStyle w:val="001000000000" w:firstRow="0" w:lastRow="0" w:firstColumn="1" w:lastColumn="0" w:oddVBand="0" w:evenVBand="0" w:oddHBand="0" w:evenHBand="0" w:firstRowFirstColumn="0" w:firstRowLastColumn="0" w:lastRowFirstColumn="0" w:lastRowLastColumn="0"/>
            <w:tcW w:w="1783" w:type="pct"/>
            <w:noWrap/>
            <w:hideMark/>
          </w:tcPr>
          <w:p w14:paraId="41C38B0D" w14:textId="77777777" w:rsidR="00AF082E" w:rsidRPr="00614F15" w:rsidRDefault="00AF082E" w:rsidP="00AF082E">
            <w:pPr>
              <w:keepNext/>
              <w:jc w:val="left"/>
              <w:rPr>
                <w:rFonts w:eastAsia="Times New Roman"/>
                <w:color w:val="000000"/>
                <w:szCs w:val="20"/>
              </w:rPr>
            </w:pPr>
            <w:r w:rsidRPr="00614F15">
              <w:rPr>
                <w:rFonts w:eastAsia="Times New Roman"/>
                <w:color w:val="000000"/>
                <w:szCs w:val="20"/>
              </w:rPr>
              <w:t>Large General Service</w:t>
            </w:r>
          </w:p>
        </w:tc>
        <w:tc>
          <w:tcPr>
            <w:tcW w:w="643" w:type="pct"/>
            <w:noWrap/>
          </w:tcPr>
          <w:p w14:paraId="05BA4B57" w14:textId="01F86E45"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0.0</w:t>
            </w:r>
          </w:p>
        </w:tc>
        <w:tc>
          <w:tcPr>
            <w:tcW w:w="643" w:type="pct"/>
            <w:noWrap/>
          </w:tcPr>
          <w:p w14:paraId="56E9055F" w14:textId="32AAF814"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0.0</w:t>
            </w:r>
          </w:p>
        </w:tc>
        <w:tc>
          <w:tcPr>
            <w:tcW w:w="644" w:type="pct"/>
            <w:noWrap/>
          </w:tcPr>
          <w:p w14:paraId="447FF344" w14:textId="63FBD4C8"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0.0</w:t>
            </w:r>
          </w:p>
        </w:tc>
        <w:tc>
          <w:tcPr>
            <w:tcW w:w="643" w:type="pct"/>
            <w:noWrap/>
          </w:tcPr>
          <w:p w14:paraId="7BA444CD" w14:textId="4F1EF25E"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3.3</w:t>
            </w:r>
          </w:p>
        </w:tc>
        <w:tc>
          <w:tcPr>
            <w:tcW w:w="644" w:type="pct"/>
            <w:noWrap/>
          </w:tcPr>
          <w:p w14:paraId="67F06927" w14:textId="7144E7B2" w:rsidR="00AF082E" w:rsidRPr="00614F15" w:rsidRDefault="00AF082E" w:rsidP="00FF4586">
            <w:pPr>
              <w:keepNext/>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0"/>
              </w:rPr>
            </w:pPr>
            <w:r w:rsidRPr="00614F15">
              <w:rPr>
                <w:color w:val="000000"/>
                <w:szCs w:val="20"/>
              </w:rPr>
              <w:t>4.1</w:t>
            </w:r>
          </w:p>
        </w:tc>
      </w:tr>
      <w:tr w:rsidR="00AF082E" w:rsidRPr="00C50273" w14:paraId="6A07E4BA" w14:textId="77777777" w:rsidTr="00AF082E">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783" w:type="pct"/>
            <w:noWrap/>
            <w:hideMark/>
          </w:tcPr>
          <w:p w14:paraId="28FB28D9" w14:textId="77777777" w:rsidR="00AF082E" w:rsidRPr="00614F15" w:rsidRDefault="00AF082E" w:rsidP="00AF082E">
            <w:pPr>
              <w:keepNext/>
              <w:jc w:val="left"/>
              <w:rPr>
                <w:rFonts w:eastAsia="Times New Roman"/>
                <w:color w:val="000000"/>
                <w:szCs w:val="20"/>
              </w:rPr>
            </w:pPr>
            <w:r w:rsidRPr="00614F15">
              <w:rPr>
                <w:rFonts w:eastAsia="Times New Roman"/>
                <w:color w:val="000000"/>
                <w:szCs w:val="20"/>
              </w:rPr>
              <w:t>Extra Large General Service</w:t>
            </w:r>
          </w:p>
        </w:tc>
        <w:tc>
          <w:tcPr>
            <w:tcW w:w="643" w:type="pct"/>
            <w:noWrap/>
          </w:tcPr>
          <w:p w14:paraId="465AC973" w14:textId="7B7998E9"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0.1</w:t>
            </w:r>
          </w:p>
        </w:tc>
        <w:tc>
          <w:tcPr>
            <w:tcW w:w="643" w:type="pct"/>
            <w:noWrap/>
          </w:tcPr>
          <w:p w14:paraId="23EF1898" w14:textId="02EC2F97"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0.2</w:t>
            </w:r>
          </w:p>
        </w:tc>
        <w:tc>
          <w:tcPr>
            <w:tcW w:w="644" w:type="pct"/>
            <w:noWrap/>
          </w:tcPr>
          <w:p w14:paraId="268F5490" w14:textId="39EA5A98"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1.6</w:t>
            </w:r>
          </w:p>
        </w:tc>
        <w:tc>
          <w:tcPr>
            <w:tcW w:w="643" w:type="pct"/>
            <w:noWrap/>
          </w:tcPr>
          <w:p w14:paraId="63ABEDE1" w14:textId="6EA24F89"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2.5</w:t>
            </w:r>
          </w:p>
        </w:tc>
        <w:tc>
          <w:tcPr>
            <w:tcW w:w="644" w:type="pct"/>
            <w:noWrap/>
          </w:tcPr>
          <w:p w14:paraId="55D1BB36" w14:textId="63D23533" w:rsidR="00AF082E" w:rsidRPr="00614F15" w:rsidRDefault="00AF082E" w:rsidP="00FF4586">
            <w:pPr>
              <w:keepNext/>
              <w:jc w:val="right"/>
              <w:cnfStyle w:val="000000010000" w:firstRow="0" w:lastRow="0" w:firstColumn="0" w:lastColumn="0" w:oddVBand="0" w:evenVBand="0" w:oddHBand="0" w:evenHBand="1" w:firstRowFirstColumn="0" w:firstRowLastColumn="0" w:lastRowFirstColumn="0" w:lastRowLastColumn="0"/>
              <w:rPr>
                <w:rFonts w:eastAsia="Times New Roman"/>
                <w:color w:val="000000"/>
                <w:szCs w:val="20"/>
              </w:rPr>
            </w:pPr>
            <w:r w:rsidRPr="00614F15">
              <w:rPr>
                <w:color w:val="000000"/>
                <w:szCs w:val="20"/>
              </w:rPr>
              <w:t>2.3</w:t>
            </w:r>
          </w:p>
        </w:tc>
      </w:tr>
    </w:tbl>
    <w:p w14:paraId="1A6DA90D" w14:textId="7E2658F3" w:rsidR="00C50273" w:rsidRDefault="00C50273" w:rsidP="00C50273">
      <w:pPr>
        <w:pStyle w:val="AEGBody"/>
        <w:rPr>
          <w:lang w:eastAsia="ja-JP"/>
        </w:rPr>
      </w:pPr>
    </w:p>
    <w:p w14:paraId="456B0757" w14:textId="61C48B01" w:rsidR="004D67E9" w:rsidRDefault="004D67E9" w:rsidP="004D67E9">
      <w:pPr>
        <w:pStyle w:val="Caption"/>
      </w:pPr>
      <w:bookmarkStart w:id="224" w:name="_Toc175904470"/>
      <w:r>
        <w:t xml:space="preserve">Figure </w:t>
      </w:r>
      <w:r w:rsidR="000E34CB">
        <w:fldChar w:fldCharType="begin"/>
      </w:r>
      <w:r w:rsidR="000E34CB">
        <w:instrText xml:space="preserve"> STYLEREF 1 \s </w:instrText>
      </w:r>
      <w:r w:rsidR="000E34CB">
        <w:fldChar w:fldCharType="separate"/>
      </w:r>
      <w:r w:rsidR="000E34CB">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9</w:t>
      </w:r>
      <w:r w:rsidR="000E34CB">
        <w:fldChar w:fldCharType="end"/>
      </w:r>
      <w:r>
        <w:t xml:space="preserve"> </w:t>
      </w:r>
      <w:r w:rsidRPr="008104EB">
        <w:t>Winter Potential by Class – TOU Opt-In (MW @Generator), Washington</w:t>
      </w:r>
      <w:bookmarkEnd w:id="224"/>
    </w:p>
    <w:p w14:paraId="6DA67E9F" w14:textId="494BAF0E" w:rsidR="00C50273" w:rsidRDefault="00BF0B26" w:rsidP="0060704E">
      <w:pPr>
        <w:pStyle w:val="AEGBody"/>
        <w:jc w:val="center"/>
        <w:rPr>
          <w:lang w:eastAsia="ja-JP"/>
        </w:rPr>
      </w:pPr>
      <w:r>
        <w:rPr>
          <w:noProof/>
        </w:rPr>
        <w:drawing>
          <wp:inline distT="0" distB="0" distL="0" distR="0" wp14:anchorId="77878553" wp14:editId="687784FA">
            <wp:extent cx="5486400" cy="2807208"/>
            <wp:effectExtent l="0" t="0" r="0" b="0"/>
            <wp:docPr id="1232846900" name="Chart 1">
              <a:extLst xmlns:a="http://schemas.openxmlformats.org/drawingml/2006/main">
                <a:ext uri="{FF2B5EF4-FFF2-40B4-BE49-F238E27FC236}">
                  <a16:creationId xmlns:a16="http://schemas.microsoft.com/office/drawing/2014/main" id="{9F8052F5-0F38-4025-AE80-FA1D1B506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A2677C0" w14:textId="77777777" w:rsidR="004D67E9" w:rsidRDefault="004D67E9" w:rsidP="00C50273">
      <w:pPr>
        <w:pStyle w:val="AEGBody"/>
        <w:rPr>
          <w:lang w:eastAsia="ja-JP"/>
        </w:rPr>
      </w:pPr>
    </w:p>
    <w:p w14:paraId="3FD06EAC" w14:textId="77777777" w:rsidR="004D67E9" w:rsidRDefault="004D67E9" w:rsidP="00C50273">
      <w:pPr>
        <w:pStyle w:val="AEGBody"/>
        <w:rPr>
          <w:lang w:eastAsia="ja-JP"/>
        </w:rPr>
      </w:pPr>
    </w:p>
    <w:p w14:paraId="342B63A0" w14:textId="28600E58" w:rsidR="004D67E9" w:rsidRDefault="004D67E9" w:rsidP="004D67E9">
      <w:pPr>
        <w:pStyle w:val="Caption"/>
      </w:pPr>
      <w:bookmarkStart w:id="225" w:name="_Toc175904471"/>
      <w:r>
        <w:t xml:space="preserve">Figure </w:t>
      </w:r>
      <w:r w:rsidR="000E34CB">
        <w:fldChar w:fldCharType="begin"/>
      </w:r>
      <w:r w:rsidR="000E34CB">
        <w:instrText xml:space="preserve"> STYLEREF 1 \s </w:instrText>
      </w:r>
      <w:r w:rsidR="000E34CB">
        <w:fldChar w:fldCharType="separate"/>
      </w:r>
      <w:r w:rsidR="000E34CB">
        <w:rPr>
          <w:noProof/>
        </w:rPr>
        <w:t>6</w:t>
      </w:r>
      <w:r w:rsidR="000E34CB">
        <w:fldChar w:fldCharType="end"/>
      </w:r>
      <w:r w:rsidR="000E34CB">
        <w:noBreakHyphen/>
      </w:r>
      <w:r w:rsidR="000E34CB">
        <w:fldChar w:fldCharType="begin"/>
      </w:r>
      <w:r w:rsidR="000E34CB">
        <w:instrText xml:space="preserve"> SEQ Figure \* ARABIC \s 1 </w:instrText>
      </w:r>
      <w:r w:rsidR="000E34CB">
        <w:fldChar w:fldCharType="separate"/>
      </w:r>
      <w:r w:rsidR="000E34CB">
        <w:rPr>
          <w:noProof/>
        </w:rPr>
        <w:t>10</w:t>
      </w:r>
      <w:r w:rsidR="000E34CB">
        <w:fldChar w:fldCharType="end"/>
      </w:r>
      <w:r>
        <w:t xml:space="preserve"> </w:t>
      </w:r>
      <w:r w:rsidRPr="00A4215D">
        <w:t>Winter Potential by Class – TOU Opt-In (MW @Generator), Idaho</w:t>
      </w:r>
      <w:bookmarkEnd w:id="225"/>
    </w:p>
    <w:p w14:paraId="4C979B7C" w14:textId="7ED05FE8" w:rsidR="004D67E9" w:rsidRDefault="00BF0B26" w:rsidP="0060704E">
      <w:pPr>
        <w:pStyle w:val="AEGBody"/>
        <w:jc w:val="center"/>
        <w:rPr>
          <w:lang w:eastAsia="ja-JP"/>
        </w:rPr>
      </w:pPr>
      <w:r>
        <w:rPr>
          <w:noProof/>
        </w:rPr>
        <w:drawing>
          <wp:inline distT="0" distB="0" distL="0" distR="0" wp14:anchorId="1AFC568C" wp14:editId="4C35567E">
            <wp:extent cx="5488443" cy="2809875"/>
            <wp:effectExtent l="0" t="0" r="0" b="0"/>
            <wp:docPr id="740795642" name="Chart 1">
              <a:extLst xmlns:a="http://schemas.openxmlformats.org/drawingml/2006/main">
                <a:ext uri="{FF2B5EF4-FFF2-40B4-BE49-F238E27FC236}">
                  <a16:creationId xmlns:a16="http://schemas.microsoft.com/office/drawing/2014/main" id="{7815D632-E0B0-4F87-9BBA-D0A669604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232D223" w14:textId="77777777" w:rsidR="00C50273" w:rsidRPr="00C50273" w:rsidRDefault="00C50273" w:rsidP="00C50273">
      <w:pPr>
        <w:pStyle w:val="AEGBody"/>
        <w:rPr>
          <w:lang w:eastAsia="ja-JP"/>
        </w:rPr>
      </w:pPr>
    </w:p>
    <w:p w14:paraId="3B608921" w14:textId="0179824C" w:rsidR="00CC6A72" w:rsidRDefault="00CC6A72" w:rsidP="001E255C">
      <w:pPr>
        <w:pStyle w:val="Heading3"/>
      </w:pPr>
      <w:bookmarkStart w:id="226" w:name="_Toc175904891"/>
      <w:r>
        <w:t>Levelized Costs</w:t>
      </w:r>
      <w:bookmarkEnd w:id="226"/>
    </w:p>
    <w:bookmarkStart w:id="227" w:name="_Ref175733121"/>
    <w:p w14:paraId="63592403" w14:textId="524200EE" w:rsidR="003B39F0" w:rsidRPr="002A5176" w:rsidRDefault="003B39F0" w:rsidP="003B39F0">
      <w:pPr>
        <w:pStyle w:val="BodyText"/>
      </w:pPr>
      <w:r>
        <w:fldChar w:fldCharType="begin"/>
      </w:r>
      <w:r>
        <w:instrText xml:space="preserve"> REF _Ref175734510 \h </w:instrText>
      </w:r>
      <w:r>
        <w:fldChar w:fldCharType="separate"/>
      </w:r>
      <w:r>
        <w:t xml:space="preserve">Table </w:t>
      </w:r>
      <w:r>
        <w:rPr>
          <w:noProof/>
        </w:rPr>
        <w:t>6</w:t>
      </w:r>
      <w:r>
        <w:noBreakHyphen/>
      </w:r>
      <w:r>
        <w:rPr>
          <w:noProof/>
        </w:rPr>
        <w:t>16</w:t>
      </w:r>
      <w:r>
        <w:fldChar w:fldCharType="end"/>
      </w:r>
      <w:r>
        <w:t xml:space="preserve"> </w:t>
      </w:r>
      <w:r w:rsidRPr="002A5176">
        <w:t>presents the levelized costs per kW of equivalent generation capacity over 202</w:t>
      </w:r>
      <w:r>
        <w:t>6</w:t>
      </w:r>
      <w:r w:rsidRPr="002A5176">
        <w:t>-20</w:t>
      </w:r>
      <w:r>
        <w:t>35</w:t>
      </w:r>
      <w:r w:rsidRPr="002A5176">
        <w:t xml:space="preserve"> for Washington and Idaho. </w:t>
      </w:r>
      <w:r>
        <w:t>The ten-year net present value (NPV) MW potential by program is also shown for reference in the first two columns. Some options are only available in summer or winter, such as Thermal Energy Storage, Smart Thermostat programs, and DLC Cooling.</w:t>
      </w:r>
    </w:p>
    <w:p w14:paraId="6DC763A0" w14:textId="77777777" w:rsidR="003B39F0" w:rsidRPr="002A5176" w:rsidRDefault="003B39F0" w:rsidP="003B39F0">
      <w:pPr>
        <w:pStyle w:val="BodyText"/>
      </w:pPr>
      <w:r w:rsidRPr="002A5176">
        <w:t>Key findings</w:t>
      </w:r>
      <w:r>
        <w:t xml:space="preserve"> include</w:t>
      </w:r>
      <w:r w:rsidRPr="002A5176">
        <w:t>:</w:t>
      </w:r>
    </w:p>
    <w:p w14:paraId="0AFE6565" w14:textId="77777777" w:rsidR="009B7E6D" w:rsidRDefault="009B7E6D" w:rsidP="009B7E6D">
      <w:pPr>
        <w:pStyle w:val="AEG-BulletList"/>
      </w:pPr>
      <w:r>
        <w:t>The Battery Energy Storage option is one of the least expensive programs per kW saved at $34.9 and $35.9/kW-year for winter and summer seasons over the first ten years of the program. This is a dramatic shift from previous studies. A big contributor to this change is the change is the addition of the battery storage forecast that was performed for the Avista DER study. This along with the assumption that this would be a BYOD program added savings potential and reduced costs.</w:t>
      </w:r>
    </w:p>
    <w:p w14:paraId="1545D77B" w14:textId="05C3E65A" w:rsidR="003B39F0" w:rsidRDefault="003B39F0" w:rsidP="003B39F0">
      <w:pPr>
        <w:pStyle w:val="AEG-BulletList"/>
      </w:pPr>
      <w:r>
        <w:t xml:space="preserve">The </w:t>
      </w:r>
      <w:r w:rsidR="00917CCE">
        <w:t>Third Party</w:t>
      </w:r>
      <w:r>
        <w:t xml:space="preserve"> Contracts option delivers the highest savings</w:t>
      </w:r>
      <w:r w:rsidR="006D6AA8">
        <w:t xml:space="preserve"> </w:t>
      </w:r>
      <w:r w:rsidR="00917CCE">
        <w:t xml:space="preserve">(96 MW and 137 MW in winter and summer respectively) by 2035 </w:t>
      </w:r>
      <w:r>
        <w:t>at approximately $</w:t>
      </w:r>
      <w:r w:rsidR="00917CCE">
        <w:t>108</w:t>
      </w:r>
      <w:r w:rsidRPr="00966F24">
        <w:t>.</w:t>
      </w:r>
      <w:r w:rsidR="00917CCE">
        <w:t>5</w:t>
      </w:r>
      <w:r>
        <w:t>/kW-year cost in winter and $7</w:t>
      </w:r>
      <w:r w:rsidR="00917CCE">
        <w:t>5</w:t>
      </w:r>
      <w:r>
        <w:t>.</w:t>
      </w:r>
      <w:r w:rsidR="00917CCE">
        <w:t>5</w:t>
      </w:r>
      <w:r>
        <w:t>/kW-year cost in summer. Capacity-based and energy-based payments to the third-party constitutes the major cost component for this option. All O&amp;M and administrative costs are expected to be incurred by the representative third-party contractor.</w:t>
      </w:r>
    </w:p>
    <w:p w14:paraId="336841F5" w14:textId="2BEAF237" w:rsidR="003B39F0" w:rsidRDefault="003B39F0" w:rsidP="003B39F0">
      <w:pPr>
        <w:pStyle w:val="AEG-BulletList"/>
      </w:pPr>
      <w:r>
        <w:t xml:space="preserve">The Variable Peak Pricing option has the lowest levelized cost among all the DR options. It delivers </w:t>
      </w:r>
      <w:r w:rsidR="00917CCE">
        <w:t>22</w:t>
      </w:r>
      <w:r>
        <w:t>.</w:t>
      </w:r>
      <w:r w:rsidR="00917CCE">
        <w:t>7</w:t>
      </w:r>
      <w:r>
        <w:t xml:space="preserve"> MW of winter savings </w:t>
      </w:r>
      <w:r w:rsidR="00917CCE">
        <w:t xml:space="preserve">and 32.9 MW of summer savings by 2035 </w:t>
      </w:r>
      <w:r>
        <w:t>at $</w:t>
      </w:r>
      <w:r w:rsidR="00917CCE">
        <w:t>28</w:t>
      </w:r>
      <w:r>
        <w:t>.</w:t>
      </w:r>
      <w:r w:rsidR="00917CCE">
        <w:t>1</w:t>
      </w:r>
      <w:r>
        <w:t>/kW-year system-wide and 18.68 MW of summer savings at $</w:t>
      </w:r>
      <w:r w:rsidR="00917CCE">
        <w:t>19.4</w:t>
      </w:r>
      <w:r>
        <w:t>/kW-year system-wide. Enabling technology purchase and installation costs for enhancing customer response is a large part of deployment costs.</w:t>
      </w:r>
    </w:p>
    <w:p w14:paraId="6C786F77" w14:textId="77777777" w:rsidR="003B39F0" w:rsidRDefault="003B39F0" w:rsidP="002331E2">
      <w:pPr>
        <w:pStyle w:val="Caption"/>
      </w:pPr>
    </w:p>
    <w:p w14:paraId="37B21676" w14:textId="02FE501F" w:rsidR="002331E2" w:rsidRDefault="002331E2" w:rsidP="002331E2">
      <w:pPr>
        <w:pStyle w:val="Caption"/>
      </w:pPr>
      <w:bookmarkStart w:id="228" w:name="_Ref175734510"/>
      <w:bookmarkStart w:id="229" w:name="_Toc175912415"/>
      <w:r>
        <w:t xml:space="preserve">Table </w:t>
      </w:r>
      <w:r w:rsidR="00EE4707">
        <w:fldChar w:fldCharType="begin"/>
      </w:r>
      <w:r w:rsidR="00EE4707">
        <w:instrText xml:space="preserve"> STYLEREF 1 \s </w:instrText>
      </w:r>
      <w:r w:rsidR="00EE4707">
        <w:fldChar w:fldCharType="separate"/>
      </w:r>
      <w:r w:rsidR="003B39F0">
        <w:rPr>
          <w:noProof/>
        </w:rPr>
        <w:t>6</w:t>
      </w:r>
      <w:r w:rsidR="00EE4707">
        <w:fldChar w:fldCharType="end"/>
      </w:r>
      <w:r w:rsidR="00EE4707">
        <w:noBreakHyphen/>
      </w:r>
      <w:r w:rsidR="00EE4707">
        <w:fldChar w:fldCharType="begin"/>
      </w:r>
      <w:r w:rsidR="00EE4707">
        <w:instrText xml:space="preserve"> SEQ Table \* ARABIC \s 1 </w:instrText>
      </w:r>
      <w:r w:rsidR="00EE4707">
        <w:fldChar w:fldCharType="separate"/>
      </w:r>
      <w:r w:rsidR="003B39F0">
        <w:rPr>
          <w:noProof/>
        </w:rPr>
        <w:t>16</w:t>
      </w:r>
      <w:r w:rsidR="00EE4707">
        <w:fldChar w:fldCharType="end"/>
      </w:r>
      <w:bookmarkEnd w:id="227"/>
      <w:bookmarkEnd w:id="228"/>
      <w:r>
        <w:t xml:space="preserve"> </w:t>
      </w:r>
      <w:r w:rsidRPr="00E374BA">
        <w:t>Levelized Program Costs and Potential (TOU Opt-I</w:t>
      </w:r>
      <w:r w:rsidR="00CA37D6">
        <w:t>n</w:t>
      </w:r>
      <w:r w:rsidRPr="00E374BA">
        <w:t>)</w:t>
      </w:r>
      <w:bookmarkEnd w:id="229"/>
    </w:p>
    <w:tbl>
      <w:tblPr>
        <w:tblStyle w:val="AEG-DarkBanded"/>
        <w:tblW w:w="5000" w:type="pct"/>
        <w:tblLayout w:type="fixed"/>
        <w:tblLook w:val="04A0" w:firstRow="1" w:lastRow="0" w:firstColumn="1" w:lastColumn="0" w:noHBand="0" w:noVBand="1"/>
      </w:tblPr>
      <w:tblGrid>
        <w:gridCol w:w="3212"/>
        <w:gridCol w:w="1657"/>
        <w:gridCol w:w="1554"/>
        <w:gridCol w:w="1475"/>
        <w:gridCol w:w="1462"/>
      </w:tblGrid>
      <w:tr w:rsidR="000B720A" w:rsidRPr="00CA37D6" w14:paraId="196629A7" w14:textId="77777777" w:rsidTr="000B720A">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hideMark/>
          </w:tcPr>
          <w:p w14:paraId="567F81D2" w14:textId="720C53C7" w:rsidR="003B39F0" w:rsidRPr="0093605B" w:rsidRDefault="00917CCE" w:rsidP="0060704E">
            <w:pPr>
              <w:keepNext/>
              <w:rPr>
                <w:rFonts w:asciiTheme="majorHAnsi" w:eastAsia="Times New Roman" w:hAnsiTheme="majorHAnsi"/>
                <w:b w:val="0"/>
                <w:szCs w:val="20"/>
              </w:rPr>
            </w:pPr>
            <w:r w:rsidRPr="0093605B">
              <w:rPr>
                <w:rFonts w:asciiTheme="majorHAnsi" w:eastAsia="Times New Roman" w:hAnsiTheme="majorHAnsi"/>
                <w:b w:val="0"/>
                <w:szCs w:val="20"/>
              </w:rPr>
              <w:t>DSM Option</w:t>
            </w:r>
          </w:p>
        </w:tc>
        <w:tc>
          <w:tcPr>
            <w:tcW w:w="885" w:type="pct"/>
            <w:noWrap/>
            <w:hideMark/>
          </w:tcPr>
          <w:p w14:paraId="74A446E1" w14:textId="7DBF35E8" w:rsidR="003B39F0" w:rsidRPr="0093605B" w:rsidRDefault="003B39F0" w:rsidP="002331E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3605B">
              <w:rPr>
                <w:rFonts w:asciiTheme="majorHAnsi" w:eastAsia="Times New Roman" w:hAnsiTheme="majorHAnsi"/>
                <w:b w:val="0"/>
                <w:szCs w:val="20"/>
              </w:rPr>
              <w:t>NPV Winter Potential MW</w:t>
            </w:r>
          </w:p>
        </w:tc>
        <w:tc>
          <w:tcPr>
            <w:tcW w:w="830" w:type="pct"/>
            <w:noWrap/>
            <w:hideMark/>
          </w:tcPr>
          <w:p w14:paraId="5D400DAA" w14:textId="00595439" w:rsidR="003B39F0" w:rsidRPr="0093605B" w:rsidRDefault="003B39F0" w:rsidP="002331E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3605B">
              <w:rPr>
                <w:rFonts w:asciiTheme="majorHAnsi" w:eastAsia="Times New Roman" w:hAnsiTheme="majorHAnsi"/>
                <w:b w:val="0"/>
                <w:szCs w:val="20"/>
              </w:rPr>
              <w:t>NPV Summer Potential MW</w:t>
            </w:r>
          </w:p>
        </w:tc>
        <w:tc>
          <w:tcPr>
            <w:tcW w:w="788" w:type="pct"/>
            <w:noWrap/>
            <w:hideMark/>
          </w:tcPr>
          <w:p w14:paraId="7D590A32" w14:textId="2CDA1E00" w:rsidR="003B39F0" w:rsidRPr="0093605B" w:rsidRDefault="003B39F0" w:rsidP="002331E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3605B">
              <w:rPr>
                <w:rFonts w:asciiTheme="majorHAnsi" w:eastAsia="Times New Roman" w:hAnsiTheme="majorHAnsi"/>
                <w:b w:val="0"/>
                <w:szCs w:val="20"/>
              </w:rPr>
              <w:t>Winter Levelized Costs</w:t>
            </w:r>
          </w:p>
        </w:tc>
        <w:tc>
          <w:tcPr>
            <w:tcW w:w="781" w:type="pct"/>
            <w:noWrap/>
            <w:hideMark/>
          </w:tcPr>
          <w:p w14:paraId="5BE91F64" w14:textId="77777777" w:rsidR="003B39F0" w:rsidRPr="0093605B" w:rsidRDefault="003B39F0" w:rsidP="002331E2">
            <w:pPr>
              <w:keepNext/>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szCs w:val="20"/>
              </w:rPr>
            </w:pPr>
            <w:r w:rsidRPr="0093605B">
              <w:rPr>
                <w:rFonts w:asciiTheme="majorHAnsi" w:eastAsia="Times New Roman" w:hAnsiTheme="majorHAnsi"/>
                <w:b w:val="0"/>
                <w:szCs w:val="20"/>
              </w:rPr>
              <w:t>Summer Levelized Costs</w:t>
            </w:r>
          </w:p>
        </w:tc>
      </w:tr>
      <w:tr w:rsidR="000B720A" w:rsidRPr="002331E2" w14:paraId="3BB6DFA1"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7F58BBD6" w14:textId="3B5DFAC6"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Battery Energy Storage </w:t>
            </w:r>
          </w:p>
        </w:tc>
        <w:tc>
          <w:tcPr>
            <w:tcW w:w="885" w:type="pct"/>
            <w:noWrap/>
            <w:vAlign w:val="top"/>
            <w:hideMark/>
          </w:tcPr>
          <w:p w14:paraId="0A2B0E96" w14:textId="62326564"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19.52</w:t>
            </w:r>
          </w:p>
        </w:tc>
        <w:tc>
          <w:tcPr>
            <w:tcW w:w="830" w:type="pct"/>
            <w:noWrap/>
            <w:vAlign w:val="top"/>
            <w:hideMark/>
          </w:tcPr>
          <w:p w14:paraId="30DB3E20" w14:textId="42A8652B"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18.51</w:t>
            </w:r>
          </w:p>
        </w:tc>
        <w:tc>
          <w:tcPr>
            <w:tcW w:w="788" w:type="pct"/>
            <w:noWrap/>
            <w:vAlign w:val="top"/>
            <w:hideMark/>
          </w:tcPr>
          <w:p w14:paraId="65EB1CDA" w14:textId="510E17EB"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$34.06 </w:t>
            </w:r>
          </w:p>
        </w:tc>
        <w:tc>
          <w:tcPr>
            <w:tcW w:w="781" w:type="pct"/>
            <w:noWrap/>
            <w:vAlign w:val="top"/>
            <w:hideMark/>
          </w:tcPr>
          <w:p w14:paraId="07BEBF20" w14:textId="54A5C80F"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$35.93 </w:t>
            </w:r>
          </w:p>
        </w:tc>
      </w:tr>
      <w:tr w:rsidR="000B720A" w:rsidRPr="002331E2" w14:paraId="6A3977AF"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71ADF562" w14:textId="4B7CCBD8"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Behavioral </w:t>
            </w:r>
          </w:p>
        </w:tc>
        <w:tc>
          <w:tcPr>
            <w:tcW w:w="885" w:type="pct"/>
            <w:noWrap/>
            <w:vAlign w:val="top"/>
            <w:hideMark/>
          </w:tcPr>
          <w:p w14:paraId="39AB9EE6" w14:textId="4432567B"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19.31</w:t>
            </w:r>
          </w:p>
        </w:tc>
        <w:tc>
          <w:tcPr>
            <w:tcW w:w="830" w:type="pct"/>
            <w:noWrap/>
            <w:vAlign w:val="top"/>
            <w:hideMark/>
          </w:tcPr>
          <w:p w14:paraId="07FB9F6C" w14:textId="78909B97"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14.45</w:t>
            </w:r>
          </w:p>
        </w:tc>
        <w:tc>
          <w:tcPr>
            <w:tcW w:w="788" w:type="pct"/>
            <w:noWrap/>
            <w:vAlign w:val="top"/>
            <w:hideMark/>
          </w:tcPr>
          <w:p w14:paraId="5B1F98BF" w14:textId="51E500F0"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$111.56 </w:t>
            </w:r>
          </w:p>
        </w:tc>
        <w:tc>
          <w:tcPr>
            <w:tcW w:w="781" w:type="pct"/>
            <w:noWrap/>
            <w:vAlign w:val="top"/>
            <w:hideMark/>
          </w:tcPr>
          <w:p w14:paraId="6633BF29" w14:textId="185AAE31"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$149.13 </w:t>
            </w:r>
          </w:p>
        </w:tc>
      </w:tr>
      <w:tr w:rsidR="000B720A" w:rsidRPr="002331E2" w14:paraId="204240DD"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39B17514" w14:textId="0E2BD24E"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DLC Central AC </w:t>
            </w:r>
          </w:p>
        </w:tc>
        <w:tc>
          <w:tcPr>
            <w:tcW w:w="885" w:type="pct"/>
            <w:noWrap/>
            <w:vAlign w:val="top"/>
            <w:hideMark/>
          </w:tcPr>
          <w:p w14:paraId="67E54772" w14:textId="69D952E2"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p>
        </w:tc>
        <w:tc>
          <w:tcPr>
            <w:tcW w:w="830" w:type="pct"/>
            <w:noWrap/>
            <w:vAlign w:val="top"/>
            <w:hideMark/>
          </w:tcPr>
          <w:p w14:paraId="61F2CFAE" w14:textId="28366CED"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64.72</w:t>
            </w:r>
          </w:p>
        </w:tc>
        <w:tc>
          <w:tcPr>
            <w:tcW w:w="788" w:type="pct"/>
            <w:noWrap/>
            <w:vAlign w:val="top"/>
            <w:hideMark/>
          </w:tcPr>
          <w:p w14:paraId="3B163C4C" w14:textId="7DFBDE60"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w:t>
            </w:r>
          </w:p>
        </w:tc>
        <w:tc>
          <w:tcPr>
            <w:tcW w:w="781" w:type="pct"/>
            <w:noWrap/>
            <w:vAlign w:val="top"/>
            <w:hideMark/>
          </w:tcPr>
          <w:p w14:paraId="5F1413A3" w14:textId="01037C8E"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$162.56 </w:t>
            </w:r>
          </w:p>
        </w:tc>
      </w:tr>
      <w:tr w:rsidR="000B720A" w:rsidRPr="002331E2" w14:paraId="5A534E61"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28BF204C" w14:textId="391222E9"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EV V1G Telematics </w:t>
            </w:r>
          </w:p>
        </w:tc>
        <w:tc>
          <w:tcPr>
            <w:tcW w:w="885" w:type="pct"/>
            <w:noWrap/>
            <w:vAlign w:val="top"/>
            <w:hideMark/>
          </w:tcPr>
          <w:p w14:paraId="4746DE6C" w14:textId="64FD1675"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64.90</w:t>
            </w:r>
          </w:p>
        </w:tc>
        <w:tc>
          <w:tcPr>
            <w:tcW w:w="830" w:type="pct"/>
            <w:noWrap/>
            <w:vAlign w:val="top"/>
            <w:hideMark/>
          </w:tcPr>
          <w:p w14:paraId="04CFB4C6" w14:textId="075E8DBA"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64.90</w:t>
            </w:r>
          </w:p>
        </w:tc>
        <w:tc>
          <w:tcPr>
            <w:tcW w:w="788" w:type="pct"/>
            <w:noWrap/>
            <w:vAlign w:val="top"/>
            <w:hideMark/>
          </w:tcPr>
          <w:p w14:paraId="2F56B3BF" w14:textId="4B831C8B"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$414.85 </w:t>
            </w:r>
          </w:p>
        </w:tc>
        <w:tc>
          <w:tcPr>
            <w:tcW w:w="781" w:type="pct"/>
            <w:noWrap/>
            <w:vAlign w:val="top"/>
            <w:hideMark/>
          </w:tcPr>
          <w:p w14:paraId="2C3A797C" w14:textId="72A10610"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$414.85 </w:t>
            </w:r>
          </w:p>
        </w:tc>
      </w:tr>
      <w:tr w:rsidR="000B720A" w:rsidRPr="002331E2" w14:paraId="0BCBCD16"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48F2D241" w14:textId="201F6CCB"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DLC Smart Appliances </w:t>
            </w:r>
          </w:p>
        </w:tc>
        <w:tc>
          <w:tcPr>
            <w:tcW w:w="885" w:type="pct"/>
            <w:noWrap/>
            <w:vAlign w:val="top"/>
            <w:hideMark/>
          </w:tcPr>
          <w:p w14:paraId="2678DA7C" w14:textId="12F042DC"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17.79</w:t>
            </w:r>
          </w:p>
        </w:tc>
        <w:tc>
          <w:tcPr>
            <w:tcW w:w="830" w:type="pct"/>
            <w:noWrap/>
            <w:vAlign w:val="top"/>
            <w:hideMark/>
          </w:tcPr>
          <w:p w14:paraId="05629CD8" w14:textId="42500AC0"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17.79</w:t>
            </w:r>
          </w:p>
        </w:tc>
        <w:tc>
          <w:tcPr>
            <w:tcW w:w="788" w:type="pct"/>
            <w:noWrap/>
            <w:vAlign w:val="top"/>
            <w:hideMark/>
          </w:tcPr>
          <w:p w14:paraId="3327BD1F" w14:textId="42C30A4C"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$415.98 </w:t>
            </w:r>
          </w:p>
        </w:tc>
        <w:tc>
          <w:tcPr>
            <w:tcW w:w="781" w:type="pct"/>
            <w:noWrap/>
            <w:vAlign w:val="top"/>
            <w:hideMark/>
          </w:tcPr>
          <w:p w14:paraId="168F2003" w14:textId="6CC9A193"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$415.98 </w:t>
            </w:r>
          </w:p>
        </w:tc>
      </w:tr>
      <w:tr w:rsidR="000B720A" w:rsidRPr="002331E2" w14:paraId="5BB7F3BC"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24878F19" w14:textId="635F01BC"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DLC Smart Thermostats - Cooling </w:t>
            </w:r>
          </w:p>
        </w:tc>
        <w:tc>
          <w:tcPr>
            <w:tcW w:w="885" w:type="pct"/>
            <w:noWrap/>
            <w:vAlign w:val="top"/>
            <w:hideMark/>
          </w:tcPr>
          <w:p w14:paraId="7F897E35" w14:textId="0E487699"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p>
        </w:tc>
        <w:tc>
          <w:tcPr>
            <w:tcW w:w="830" w:type="pct"/>
            <w:noWrap/>
            <w:vAlign w:val="top"/>
            <w:hideMark/>
          </w:tcPr>
          <w:p w14:paraId="58BBA612" w14:textId="7FE0C004"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136.67</w:t>
            </w:r>
          </w:p>
        </w:tc>
        <w:tc>
          <w:tcPr>
            <w:tcW w:w="788" w:type="pct"/>
            <w:noWrap/>
            <w:vAlign w:val="top"/>
            <w:hideMark/>
          </w:tcPr>
          <w:p w14:paraId="31DEF341" w14:textId="08459C51"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w:t>
            </w:r>
          </w:p>
        </w:tc>
        <w:tc>
          <w:tcPr>
            <w:tcW w:w="781" w:type="pct"/>
            <w:noWrap/>
            <w:vAlign w:val="top"/>
            <w:hideMark/>
          </w:tcPr>
          <w:p w14:paraId="5126E1F9" w14:textId="6B4DD842"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$362.76 </w:t>
            </w:r>
          </w:p>
        </w:tc>
      </w:tr>
      <w:tr w:rsidR="000B720A" w:rsidRPr="002331E2" w14:paraId="16A6F84F"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3B0E4AD0" w14:textId="7A7C6D00"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DLC Smart Thermostats - Heating </w:t>
            </w:r>
          </w:p>
        </w:tc>
        <w:tc>
          <w:tcPr>
            <w:tcW w:w="885" w:type="pct"/>
            <w:noWrap/>
            <w:vAlign w:val="top"/>
            <w:hideMark/>
          </w:tcPr>
          <w:p w14:paraId="2E58ED66" w14:textId="367D3D5C"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51.56</w:t>
            </w:r>
          </w:p>
        </w:tc>
        <w:tc>
          <w:tcPr>
            <w:tcW w:w="830" w:type="pct"/>
            <w:noWrap/>
            <w:vAlign w:val="top"/>
            <w:hideMark/>
          </w:tcPr>
          <w:p w14:paraId="249821BF" w14:textId="7DA7B99A"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p>
        </w:tc>
        <w:tc>
          <w:tcPr>
            <w:tcW w:w="788" w:type="pct"/>
            <w:noWrap/>
            <w:vAlign w:val="top"/>
            <w:hideMark/>
          </w:tcPr>
          <w:p w14:paraId="7B535EFF" w14:textId="52E165C7"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$25.90 </w:t>
            </w:r>
          </w:p>
        </w:tc>
        <w:tc>
          <w:tcPr>
            <w:tcW w:w="781" w:type="pct"/>
            <w:noWrap/>
            <w:vAlign w:val="top"/>
            <w:hideMark/>
          </w:tcPr>
          <w:p w14:paraId="487048D5" w14:textId="2735F569"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w:t>
            </w:r>
          </w:p>
        </w:tc>
      </w:tr>
      <w:tr w:rsidR="000B720A" w:rsidRPr="002331E2" w14:paraId="08F4C994"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1E90BBE1" w14:textId="38656CB9"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DLC Water Heating </w:t>
            </w:r>
          </w:p>
        </w:tc>
        <w:tc>
          <w:tcPr>
            <w:tcW w:w="885" w:type="pct"/>
            <w:noWrap/>
            <w:vAlign w:val="top"/>
            <w:hideMark/>
          </w:tcPr>
          <w:p w14:paraId="31845DA9" w14:textId="196D5BB3"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15.23</w:t>
            </w:r>
          </w:p>
        </w:tc>
        <w:tc>
          <w:tcPr>
            <w:tcW w:w="830" w:type="pct"/>
            <w:noWrap/>
            <w:vAlign w:val="top"/>
            <w:hideMark/>
          </w:tcPr>
          <w:p w14:paraId="3E09FBB4" w14:textId="71EEFF0E"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15.23</w:t>
            </w:r>
          </w:p>
        </w:tc>
        <w:tc>
          <w:tcPr>
            <w:tcW w:w="788" w:type="pct"/>
            <w:noWrap/>
            <w:vAlign w:val="top"/>
            <w:hideMark/>
          </w:tcPr>
          <w:p w14:paraId="200A0408" w14:textId="518CFEBC"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$632.73 </w:t>
            </w:r>
          </w:p>
        </w:tc>
        <w:tc>
          <w:tcPr>
            <w:tcW w:w="781" w:type="pct"/>
            <w:noWrap/>
            <w:vAlign w:val="top"/>
            <w:hideMark/>
          </w:tcPr>
          <w:p w14:paraId="3B496001" w14:textId="329D9ACD"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$632.73 </w:t>
            </w:r>
          </w:p>
        </w:tc>
      </w:tr>
      <w:tr w:rsidR="000B720A" w:rsidRPr="002331E2" w14:paraId="3A707EAE"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31E5E39F" w14:textId="3B7D2B36"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CTA-2045 ERWH </w:t>
            </w:r>
          </w:p>
        </w:tc>
        <w:tc>
          <w:tcPr>
            <w:tcW w:w="885" w:type="pct"/>
            <w:noWrap/>
            <w:vAlign w:val="top"/>
            <w:hideMark/>
          </w:tcPr>
          <w:p w14:paraId="5B5A0EB8" w14:textId="6C76ABDC"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29.98</w:t>
            </w:r>
          </w:p>
        </w:tc>
        <w:tc>
          <w:tcPr>
            <w:tcW w:w="830" w:type="pct"/>
            <w:noWrap/>
            <w:vAlign w:val="top"/>
            <w:hideMark/>
          </w:tcPr>
          <w:p w14:paraId="28F39F62" w14:textId="231AB0C3"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12.97</w:t>
            </w:r>
          </w:p>
        </w:tc>
        <w:tc>
          <w:tcPr>
            <w:tcW w:w="788" w:type="pct"/>
            <w:noWrap/>
            <w:vAlign w:val="top"/>
            <w:hideMark/>
          </w:tcPr>
          <w:p w14:paraId="253633B7" w14:textId="464880B6"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$181.26 </w:t>
            </w:r>
          </w:p>
        </w:tc>
        <w:tc>
          <w:tcPr>
            <w:tcW w:w="781" w:type="pct"/>
            <w:noWrap/>
            <w:vAlign w:val="top"/>
            <w:hideMark/>
          </w:tcPr>
          <w:p w14:paraId="2B6AC767" w14:textId="20DFC1CB"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$419.16 </w:t>
            </w:r>
          </w:p>
        </w:tc>
      </w:tr>
      <w:tr w:rsidR="000B720A" w:rsidRPr="002331E2" w14:paraId="00390D34"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08B89EE6" w14:textId="4168BFF6"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CTA-2045 HPWH </w:t>
            </w:r>
          </w:p>
        </w:tc>
        <w:tc>
          <w:tcPr>
            <w:tcW w:w="885" w:type="pct"/>
            <w:noWrap/>
            <w:vAlign w:val="top"/>
            <w:hideMark/>
          </w:tcPr>
          <w:p w14:paraId="2DB48E2F" w14:textId="629330B6"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9.14</w:t>
            </w:r>
          </w:p>
        </w:tc>
        <w:tc>
          <w:tcPr>
            <w:tcW w:w="830" w:type="pct"/>
            <w:noWrap/>
            <w:vAlign w:val="top"/>
            <w:hideMark/>
          </w:tcPr>
          <w:p w14:paraId="02BF767F" w14:textId="4F4545D2"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5.87</w:t>
            </w:r>
          </w:p>
        </w:tc>
        <w:tc>
          <w:tcPr>
            <w:tcW w:w="788" w:type="pct"/>
            <w:noWrap/>
            <w:vAlign w:val="top"/>
            <w:hideMark/>
          </w:tcPr>
          <w:p w14:paraId="06319C50" w14:textId="69B765A7"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$748.50 </w:t>
            </w:r>
          </w:p>
        </w:tc>
        <w:tc>
          <w:tcPr>
            <w:tcW w:w="781" w:type="pct"/>
            <w:noWrap/>
            <w:vAlign w:val="top"/>
            <w:hideMark/>
          </w:tcPr>
          <w:p w14:paraId="3846690E" w14:textId="59615202"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$1,164.34 </w:t>
            </w:r>
          </w:p>
        </w:tc>
      </w:tr>
      <w:tr w:rsidR="000B720A" w:rsidRPr="002331E2" w14:paraId="3B5D17F6"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27BC4741" w14:textId="0BB235E8"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Thermal Energy Storage </w:t>
            </w:r>
          </w:p>
        </w:tc>
        <w:tc>
          <w:tcPr>
            <w:tcW w:w="885" w:type="pct"/>
            <w:noWrap/>
            <w:vAlign w:val="top"/>
            <w:hideMark/>
          </w:tcPr>
          <w:p w14:paraId="7D064767" w14:textId="05940147"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p>
        </w:tc>
        <w:tc>
          <w:tcPr>
            <w:tcW w:w="830" w:type="pct"/>
            <w:noWrap/>
            <w:vAlign w:val="top"/>
            <w:hideMark/>
          </w:tcPr>
          <w:p w14:paraId="74EE2AE2" w14:textId="501CB957"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3.05</w:t>
            </w:r>
          </w:p>
        </w:tc>
        <w:tc>
          <w:tcPr>
            <w:tcW w:w="788" w:type="pct"/>
            <w:noWrap/>
            <w:vAlign w:val="top"/>
            <w:hideMark/>
          </w:tcPr>
          <w:p w14:paraId="6FF012AA" w14:textId="6CA1A75C"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w:t>
            </w:r>
          </w:p>
        </w:tc>
        <w:tc>
          <w:tcPr>
            <w:tcW w:w="781" w:type="pct"/>
            <w:noWrap/>
            <w:vAlign w:val="top"/>
            <w:hideMark/>
          </w:tcPr>
          <w:p w14:paraId="6808F99E" w14:textId="292978AB"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$913.92 </w:t>
            </w:r>
          </w:p>
        </w:tc>
      </w:tr>
      <w:tr w:rsidR="000B720A" w:rsidRPr="002331E2" w14:paraId="13D443A2"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7D6D11FA" w14:textId="544F42EE"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Third Party Contracts </w:t>
            </w:r>
          </w:p>
        </w:tc>
        <w:tc>
          <w:tcPr>
            <w:tcW w:w="885" w:type="pct"/>
            <w:noWrap/>
            <w:vAlign w:val="top"/>
            <w:hideMark/>
          </w:tcPr>
          <w:p w14:paraId="5C57AD50" w14:textId="22439ED4"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95.49</w:t>
            </w:r>
          </w:p>
        </w:tc>
        <w:tc>
          <w:tcPr>
            <w:tcW w:w="830" w:type="pct"/>
            <w:noWrap/>
            <w:vAlign w:val="top"/>
            <w:hideMark/>
          </w:tcPr>
          <w:p w14:paraId="2AA0BBE4" w14:textId="4DEA7EDC"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137.17</w:t>
            </w:r>
          </w:p>
        </w:tc>
        <w:tc>
          <w:tcPr>
            <w:tcW w:w="788" w:type="pct"/>
            <w:noWrap/>
            <w:vAlign w:val="top"/>
            <w:hideMark/>
          </w:tcPr>
          <w:p w14:paraId="7354EDE5" w14:textId="17D7EFEB"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$108.49 </w:t>
            </w:r>
          </w:p>
        </w:tc>
        <w:tc>
          <w:tcPr>
            <w:tcW w:w="781" w:type="pct"/>
            <w:noWrap/>
            <w:vAlign w:val="top"/>
            <w:hideMark/>
          </w:tcPr>
          <w:p w14:paraId="1C3762C1" w14:textId="0D96DC46"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$75.53 </w:t>
            </w:r>
          </w:p>
        </w:tc>
      </w:tr>
      <w:tr w:rsidR="000B720A" w:rsidRPr="002331E2" w14:paraId="36A6ECB1"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51335632" w14:textId="23817EEE"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Time-of-Use Opt-in </w:t>
            </w:r>
          </w:p>
        </w:tc>
        <w:tc>
          <w:tcPr>
            <w:tcW w:w="885" w:type="pct"/>
            <w:noWrap/>
            <w:vAlign w:val="top"/>
            <w:hideMark/>
          </w:tcPr>
          <w:p w14:paraId="397EACC8" w14:textId="15584DE9"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18.52</w:t>
            </w:r>
          </w:p>
        </w:tc>
        <w:tc>
          <w:tcPr>
            <w:tcW w:w="830" w:type="pct"/>
            <w:noWrap/>
            <w:vAlign w:val="top"/>
            <w:hideMark/>
          </w:tcPr>
          <w:p w14:paraId="4BB74EB8" w14:textId="74F37B6E"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13.87</w:t>
            </w:r>
          </w:p>
        </w:tc>
        <w:tc>
          <w:tcPr>
            <w:tcW w:w="788" w:type="pct"/>
            <w:noWrap/>
            <w:vAlign w:val="top"/>
            <w:hideMark/>
          </w:tcPr>
          <w:p w14:paraId="5253CF6B" w14:textId="2B20EA90"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$215.37 </w:t>
            </w:r>
          </w:p>
        </w:tc>
        <w:tc>
          <w:tcPr>
            <w:tcW w:w="781" w:type="pct"/>
            <w:noWrap/>
            <w:vAlign w:val="top"/>
            <w:hideMark/>
          </w:tcPr>
          <w:p w14:paraId="74492F42" w14:textId="51998451"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$287.62 </w:t>
            </w:r>
          </w:p>
        </w:tc>
      </w:tr>
      <w:tr w:rsidR="000B720A" w:rsidRPr="002331E2" w14:paraId="36E9B905"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3CD30390" w14:textId="2A7B4F3C"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Time-of-Use Opt-out </w:t>
            </w:r>
          </w:p>
        </w:tc>
        <w:tc>
          <w:tcPr>
            <w:tcW w:w="885" w:type="pct"/>
            <w:noWrap/>
            <w:vAlign w:val="top"/>
            <w:hideMark/>
          </w:tcPr>
          <w:p w14:paraId="063C8D2C" w14:textId="0975E55B"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p>
        </w:tc>
        <w:tc>
          <w:tcPr>
            <w:tcW w:w="830" w:type="pct"/>
            <w:noWrap/>
            <w:vAlign w:val="top"/>
            <w:hideMark/>
          </w:tcPr>
          <w:p w14:paraId="5C008D00" w14:textId="0AEC83F1"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p>
        </w:tc>
        <w:tc>
          <w:tcPr>
            <w:tcW w:w="788" w:type="pct"/>
            <w:noWrap/>
            <w:vAlign w:val="top"/>
            <w:hideMark/>
          </w:tcPr>
          <w:p w14:paraId="1C2E25CC" w14:textId="289E41B1"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w:t>
            </w:r>
          </w:p>
        </w:tc>
        <w:tc>
          <w:tcPr>
            <w:tcW w:w="781" w:type="pct"/>
            <w:noWrap/>
            <w:vAlign w:val="top"/>
            <w:hideMark/>
          </w:tcPr>
          <w:p w14:paraId="316CD30F" w14:textId="056EB2D6"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w:t>
            </w:r>
          </w:p>
        </w:tc>
      </w:tr>
      <w:tr w:rsidR="000B720A" w:rsidRPr="002331E2" w14:paraId="3078207E"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3F6BD51A" w14:textId="02D23B88"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Electric Vehicle TOU Opt-in </w:t>
            </w:r>
          </w:p>
        </w:tc>
        <w:tc>
          <w:tcPr>
            <w:tcW w:w="885" w:type="pct"/>
            <w:noWrap/>
            <w:vAlign w:val="top"/>
            <w:hideMark/>
          </w:tcPr>
          <w:p w14:paraId="26DB0995" w14:textId="6D548D35"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9.12</w:t>
            </w:r>
          </w:p>
        </w:tc>
        <w:tc>
          <w:tcPr>
            <w:tcW w:w="830" w:type="pct"/>
            <w:noWrap/>
            <w:vAlign w:val="top"/>
            <w:hideMark/>
          </w:tcPr>
          <w:p w14:paraId="3C0B6961" w14:textId="035D9A5F"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9.12</w:t>
            </w:r>
          </w:p>
        </w:tc>
        <w:tc>
          <w:tcPr>
            <w:tcW w:w="788" w:type="pct"/>
            <w:noWrap/>
            <w:vAlign w:val="top"/>
            <w:hideMark/>
          </w:tcPr>
          <w:p w14:paraId="1CD67652" w14:textId="17BCA30F"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$69.45 </w:t>
            </w:r>
          </w:p>
        </w:tc>
        <w:tc>
          <w:tcPr>
            <w:tcW w:w="781" w:type="pct"/>
            <w:noWrap/>
            <w:vAlign w:val="top"/>
            <w:hideMark/>
          </w:tcPr>
          <w:p w14:paraId="6A85F796" w14:textId="2FF3ED1E"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$69.45 </w:t>
            </w:r>
          </w:p>
        </w:tc>
      </w:tr>
      <w:tr w:rsidR="000B720A" w:rsidRPr="002331E2" w14:paraId="40BA7AFE" w14:textId="7777777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0B8343F0" w14:textId="5176BF04"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Variable Peak Pricing Rates </w:t>
            </w:r>
          </w:p>
        </w:tc>
        <w:tc>
          <w:tcPr>
            <w:tcW w:w="885" w:type="pct"/>
            <w:noWrap/>
            <w:vAlign w:val="top"/>
            <w:hideMark/>
          </w:tcPr>
          <w:p w14:paraId="45D21093" w14:textId="1368CCCF"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22.71</w:t>
            </w:r>
          </w:p>
        </w:tc>
        <w:tc>
          <w:tcPr>
            <w:tcW w:w="830" w:type="pct"/>
            <w:noWrap/>
            <w:vAlign w:val="top"/>
            <w:hideMark/>
          </w:tcPr>
          <w:p w14:paraId="26D2AEB2" w14:textId="488D1363" w:rsidR="000B720A" w:rsidRPr="0093605B" w:rsidRDefault="000B720A" w:rsidP="00FF4586">
            <w:pPr>
              <w:keepNext/>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32.91</w:t>
            </w:r>
          </w:p>
        </w:tc>
        <w:tc>
          <w:tcPr>
            <w:tcW w:w="788" w:type="pct"/>
            <w:noWrap/>
            <w:vAlign w:val="top"/>
            <w:hideMark/>
          </w:tcPr>
          <w:p w14:paraId="7B84AD97" w14:textId="5D6932B4"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$28.11 </w:t>
            </w:r>
          </w:p>
        </w:tc>
        <w:tc>
          <w:tcPr>
            <w:tcW w:w="781" w:type="pct"/>
            <w:noWrap/>
            <w:vAlign w:val="top"/>
            <w:hideMark/>
          </w:tcPr>
          <w:p w14:paraId="2C046C46" w14:textId="30C37938" w:rsidR="000B720A" w:rsidRPr="0093605B" w:rsidRDefault="000B720A" w:rsidP="00FF4586">
            <w:pPr>
              <w:keepNext/>
              <w:ind w:firstLineChars="100" w:firstLine="200"/>
              <w:jc w:val="right"/>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$19.40 </w:t>
            </w:r>
          </w:p>
        </w:tc>
      </w:tr>
      <w:tr w:rsidR="000B720A" w:rsidRPr="002331E2" w14:paraId="4E4947F0" w14:textId="77777777">
        <w:trPr>
          <w:trHeight w:val="259"/>
        </w:trPr>
        <w:tc>
          <w:tcPr>
            <w:cnfStyle w:val="001000000000" w:firstRow="0" w:lastRow="0" w:firstColumn="1" w:lastColumn="0" w:oddVBand="0" w:evenVBand="0" w:oddHBand="0" w:evenHBand="0" w:firstRowFirstColumn="0" w:firstRowLastColumn="0" w:lastRowFirstColumn="0" w:lastRowLastColumn="0"/>
            <w:tcW w:w="1716" w:type="pct"/>
            <w:noWrap/>
            <w:vAlign w:val="top"/>
            <w:hideMark/>
          </w:tcPr>
          <w:p w14:paraId="4D0D39A4" w14:textId="111DA37B" w:rsidR="000B720A" w:rsidRPr="0093605B" w:rsidRDefault="000B720A" w:rsidP="000B720A">
            <w:pPr>
              <w:keepNext/>
              <w:rPr>
                <w:rFonts w:asciiTheme="minorHAnsi" w:eastAsia="Times New Roman" w:hAnsiTheme="minorHAnsi"/>
                <w:color w:val="000000"/>
                <w:szCs w:val="20"/>
              </w:rPr>
            </w:pPr>
            <w:r w:rsidRPr="0093605B">
              <w:rPr>
                <w:rFonts w:asciiTheme="minorHAnsi" w:hAnsiTheme="minorHAnsi"/>
                <w:szCs w:val="20"/>
              </w:rPr>
              <w:t xml:space="preserve"> Peak Time Rebate </w:t>
            </w:r>
          </w:p>
        </w:tc>
        <w:tc>
          <w:tcPr>
            <w:tcW w:w="885" w:type="pct"/>
            <w:noWrap/>
            <w:vAlign w:val="top"/>
            <w:hideMark/>
          </w:tcPr>
          <w:p w14:paraId="0F691A7A" w14:textId="79360A99"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42.75</w:t>
            </w:r>
          </w:p>
        </w:tc>
        <w:tc>
          <w:tcPr>
            <w:tcW w:w="830" w:type="pct"/>
            <w:noWrap/>
            <w:vAlign w:val="top"/>
            <w:hideMark/>
          </w:tcPr>
          <w:p w14:paraId="4E298240" w14:textId="516158C5" w:rsidR="000B720A" w:rsidRPr="0093605B" w:rsidRDefault="000B720A" w:rsidP="00FF4586">
            <w:pPr>
              <w:keepNext/>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34.91</w:t>
            </w:r>
          </w:p>
        </w:tc>
        <w:tc>
          <w:tcPr>
            <w:tcW w:w="788" w:type="pct"/>
            <w:noWrap/>
            <w:vAlign w:val="top"/>
            <w:hideMark/>
          </w:tcPr>
          <w:p w14:paraId="2976B97A" w14:textId="31DE017A"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$84.63 </w:t>
            </w:r>
          </w:p>
        </w:tc>
        <w:tc>
          <w:tcPr>
            <w:tcW w:w="781" w:type="pct"/>
            <w:noWrap/>
            <w:vAlign w:val="top"/>
            <w:hideMark/>
          </w:tcPr>
          <w:p w14:paraId="4AB64A32" w14:textId="5F271456" w:rsidR="000B720A" w:rsidRPr="0093605B" w:rsidRDefault="000B720A" w:rsidP="00FF4586">
            <w:pPr>
              <w:keepNext/>
              <w:ind w:firstLineChars="100" w:firstLine="200"/>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Cs w:val="20"/>
              </w:rPr>
            </w:pPr>
            <w:r w:rsidRPr="0093605B">
              <w:rPr>
                <w:rFonts w:asciiTheme="minorHAnsi" w:hAnsiTheme="minorHAnsi"/>
                <w:szCs w:val="20"/>
              </w:rPr>
              <w:t xml:space="preserve"> $103.64 </w:t>
            </w:r>
          </w:p>
        </w:tc>
      </w:tr>
    </w:tbl>
    <w:p w14:paraId="4D52F69C" w14:textId="4EC86040" w:rsidR="002331E2" w:rsidRDefault="002331E2" w:rsidP="00953323">
      <w:pPr>
        <w:pStyle w:val="AEGBody"/>
      </w:pPr>
    </w:p>
    <w:p w14:paraId="56C95538" w14:textId="77777777" w:rsidR="002331E2" w:rsidRPr="00953323" w:rsidRDefault="002331E2" w:rsidP="00953323">
      <w:pPr>
        <w:pStyle w:val="AEGBody"/>
      </w:pPr>
    </w:p>
    <w:p w14:paraId="150E2C68" w14:textId="77777777" w:rsidR="00D16B70" w:rsidRDefault="00D16B70" w:rsidP="00D16B70">
      <w:pPr>
        <w:pStyle w:val="Heading6"/>
      </w:pPr>
      <w:bookmarkStart w:id="230" w:name="_Toc255825465"/>
      <w:bookmarkStart w:id="231" w:name="_Toc329701189"/>
      <w:bookmarkStart w:id="232" w:name="_Toc423097499"/>
      <w:bookmarkStart w:id="233" w:name="_Toc488070921"/>
      <w:bookmarkEnd w:id="230"/>
    </w:p>
    <w:p w14:paraId="5BCA42A2" w14:textId="77777777" w:rsidR="00D16B70" w:rsidRDefault="00D16B70" w:rsidP="00D16B70">
      <w:pPr>
        <w:pStyle w:val="AppendixTitle"/>
      </w:pPr>
      <w:bookmarkStart w:id="234" w:name="_Toc55829984"/>
      <w:r>
        <w:t xml:space="preserve">Market </w:t>
      </w:r>
      <w:bookmarkStart w:id="235" w:name="Profiles"/>
      <w:r>
        <w:t>Profiles</w:t>
      </w:r>
      <w:bookmarkEnd w:id="231"/>
      <w:bookmarkEnd w:id="232"/>
      <w:bookmarkEnd w:id="233"/>
      <w:bookmarkEnd w:id="234"/>
      <w:bookmarkEnd w:id="235"/>
    </w:p>
    <w:p w14:paraId="796B2B2C" w14:textId="77777777" w:rsidR="00D16B70" w:rsidRDefault="00D16B70" w:rsidP="00D16B70">
      <w:pPr>
        <w:pStyle w:val="BodyText"/>
      </w:pPr>
      <w:r>
        <w:t xml:space="preserve">This appendix presents the market profiles for each sector and segment for Washington and Idaho, in the embedded spreadsheet. </w:t>
      </w:r>
    </w:p>
    <w:p w14:paraId="1F642D86" w14:textId="77777777" w:rsidR="00D16B70" w:rsidRDefault="00D16B70" w:rsidP="00D16B70">
      <w:pPr>
        <w:pStyle w:val="BodyText"/>
      </w:pPr>
      <w:r>
        <w:t xml:space="preserve"> </w:t>
      </w:r>
    </w:p>
    <w:p w14:paraId="61332EF1" w14:textId="4BD04F74" w:rsidR="00D16B70" w:rsidRDefault="00B857C3" w:rsidP="00D16B70">
      <w:pPr>
        <w:pStyle w:val="BodyText"/>
        <w:sectPr w:rsidR="00D16B70" w:rsidSect="00D16B70">
          <w:footerReference w:type="even" r:id="rId94"/>
          <w:pgSz w:w="12240" w:h="15840" w:code="1"/>
          <w:pgMar w:top="1440" w:right="1440" w:bottom="1440" w:left="1440" w:header="720" w:footer="720" w:gutter="0"/>
          <w:pgNumType w:start="1" w:chapStyle="6"/>
          <w:cols w:space="720"/>
          <w:titlePg/>
          <w:docGrid w:linePitch="272"/>
        </w:sectPr>
      </w:pPr>
      <w:r>
        <w:object w:dxaOrig="1520" w:dyaOrig="988" w14:anchorId="1184FA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4pt" o:ole="">
            <v:imagedata r:id="rId95" o:title=""/>
          </v:shape>
          <o:OLEObject Type="Embed" ProgID="Excel.Sheet.12" ShapeID="_x0000_i1025" DrawAspect="Icon" ObjectID="_1786531308" r:id="rId96"/>
        </w:object>
      </w:r>
    </w:p>
    <w:p w14:paraId="039CB569" w14:textId="77777777" w:rsidR="00D16B70" w:rsidRDefault="00D16B70" w:rsidP="00D16B70">
      <w:pPr>
        <w:pStyle w:val="Heading6"/>
      </w:pPr>
      <w:bookmarkStart w:id="236" w:name="Market"/>
      <w:bookmarkStart w:id="237" w:name="_Toc423097500"/>
      <w:bookmarkStart w:id="238" w:name="_Toc488070922"/>
    </w:p>
    <w:p w14:paraId="2DE8392A" w14:textId="77777777" w:rsidR="00D16B70" w:rsidRDefault="00D16B70" w:rsidP="00D16B70">
      <w:pPr>
        <w:pStyle w:val="AppendixTitle"/>
      </w:pPr>
      <w:bookmarkStart w:id="239" w:name="_Toc55829985"/>
      <w:r>
        <w:t>Market</w:t>
      </w:r>
      <w:bookmarkEnd w:id="236"/>
      <w:r>
        <w:t xml:space="preserve"> Adoption (Ramp) Rates</w:t>
      </w:r>
      <w:bookmarkEnd w:id="237"/>
      <w:bookmarkEnd w:id="238"/>
      <w:bookmarkEnd w:id="239"/>
    </w:p>
    <w:p w14:paraId="0AD2543C" w14:textId="31B20009" w:rsidR="002A3F10" w:rsidRDefault="00D16B70" w:rsidP="00984846">
      <w:pPr>
        <w:pStyle w:val="Caption"/>
      </w:pPr>
      <w:r>
        <w:t xml:space="preserve">This appendix presents the Power Council’s 2021 Power Plan ramp rates we applied to technical potential to estimate Technical Achievable Potential. </w:t>
      </w:r>
      <w:bookmarkStart w:id="240" w:name="_Toc175912515"/>
      <w:r w:rsidR="002A3F10">
        <w:t xml:space="preserve">Table B -  </w:t>
      </w:r>
      <w:r w:rsidR="002A3F10">
        <w:fldChar w:fldCharType="begin"/>
      </w:r>
      <w:r w:rsidR="002A3F10">
        <w:instrText xml:space="preserve"> SEQ Table_B_-_ \* ARABIC </w:instrText>
      </w:r>
      <w:r w:rsidR="002A3F10">
        <w:fldChar w:fldCharType="separate"/>
      </w:r>
      <w:r w:rsidR="002A3F10">
        <w:rPr>
          <w:noProof/>
        </w:rPr>
        <w:t>1</w:t>
      </w:r>
      <w:r w:rsidR="002A3F10">
        <w:fldChar w:fldCharType="end"/>
      </w:r>
      <w:r w:rsidR="002A3F10">
        <w:t xml:space="preserve"> </w:t>
      </w:r>
      <w:r w:rsidR="002A3F10" w:rsidRPr="00BF184B">
        <w:t>Measure Ramp Rates Used in CPA</w:t>
      </w:r>
      <w:bookmarkEnd w:id="240"/>
    </w:p>
    <w:tbl>
      <w:tblPr>
        <w:tblW w:w="5000" w:type="pct"/>
        <w:tblBorders>
          <w:bottom w:val="single" w:sz="4" w:space="0" w:color="5B50EB" w:themeColor="accent2" w:themeTint="99"/>
          <w:insideH w:val="single" w:sz="4" w:space="0" w:color="5B50EB" w:themeColor="accent2" w:themeTint="99"/>
        </w:tblBorders>
        <w:tblCellMar>
          <w:top w:w="29" w:type="dxa"/>
          <w:left w:w="115" w:type="dxa"/>
          <w:bottom w:w="29" w:type="dxa"/>
          <w:right w:w="115" w:type="dxa"/>
        </w:tblCellMar>
        <w:tblLook w:val="04A0" w:firstRow="1" w:lastRow="0" w:firstColumn="1" w:lastColumn="0" w:noHBand="0" w:noVBand="1"/>
      </w:tblPr>
      <w:tblGrid>
        <w:gridCol w:w="1414"/>
        <w:gridCol w:w="558"/>
        <w:gridCol w:w="561"/>
        <w:gridCol w:w="558"/>
        <w:gridCol w:w="561"/>
        <w:gridCol w:w="558"/>
        <w:gridCol w:w="561"/>
        <w:gridCol w:w="558"/>
        <w:gridCol w:w="587"/>
        <w:gridCol w:w="587"/>
        <w:gridCol w:w="587"/>
        <w:gridCol w:w="587"/>
        <w:gridCol w:w="587"/>
        <w:gridCol w:w="587"/>
        <w:gridCol w:w="587"/>
        <w:gridCol w:w="587"/>
        <w:gridCol w:w="587"/>
        <w:gridCol w:w="587"/>
        <w:gridCol w:w="587"/>
        <w:gridCol w:w="587"/>
        <w:gridCol w:w="587"/>
      </w:tblGrid>
      <w:tr w:rsidR="0054245A" w:rsidRPr="00F51155" w14:paraId="7FDBC683" w14:textId="77777777" w:rsidTr="00EE1F30">
        <w:tc>
          <w:tcPr>
            <w:tcW w:w="552" w:type="pct"/>
            <w:shd w:val="clear" w:color="auto" w:fill="1C1D4D"/>
            <w:vAlign w:val="center"/>
          </w:tcPr>
          <w:p w14:paraId="20BB1DD3" w14:textId="77777777" w:rsidR="00D16B70" w:rsidRPr="00984846" w:rsidRDefault="00D16B70">
            <w:pPr>
              <w:pStyle w:val="TableText"/>
              <w:rPr>
                <w:rFonts w:asciiTheme="majorHAnsi" w:hAnsiTheme="majorHAnsi" w:cs="Calibri"/>
                <w:b/>
                <w:sz w:val="14"/>
                <w:szCs w:val="14"/>
              </w:rPr>
            </w:pPr>
            <w:r w:rsidRPr="00984846">
              <w:rPr>
                <w:rFonts w:asciiTheme="majorHAnsi" w:hAnsiTheme="majorHAnsi" w:cs="Calibri"/>
                <w:bCs/>
                <w:sz w:val="14"/>
                <w:szCs w:val="14"/>
              </w:rPr>
              <w:t>Ramp Rate</w:t>
            </w:r>
          </w:p>
        </w:tc>
        <w:tc>
          <w:tcPr>
            <w:tcW w:w="222" w:type="pct"/>
            <w:shd w:val="clear" w:color="auto" w:fill="1C1D4D"/>
            <w:vAlign w:val="bottom"/>
          </w:tcPr>
          <w:p w14:paraId="4573E192"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2022</w:t>
            </w:r>
          </w:p>
        </w:tc>
        <w:tc>
          <w:tcPr>
            <w:tcW w:w="223" w:type="pct"/>
            <w:shd w:val="clear" w:color="auto" w:fill="1C1D4D"/>
            <w:vAlign w:val="bottom"/>
          </w:tcPr>
          <w:p w14:paraId="09A1878B"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2023</w:t>
            </w:r>
          </w:p>
        </w:tc>
        <w:tc>
          <w:tcPr>
            <w:tcW w:w="222" w:type="pct"/>
            <w:shd w:val="clear" w:color="auto" w:fill="1C1D4D"/>
            <w:vAlign w:val="bottom"/>
          </w:tcPr>
          <w:p w14:paraId="14D98962"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2024</w:t>
            </w:r>
          </w:p>
        </w:tc>
        <w:tc>
          <w:tcPr>
            <w:tcW w:w="223" w:type="pct"/>
            <w:shd w:val="clear" w:color="auto" w:fill="1C1D4D"/>
            <w:vAlign w:val="bottom"/>
          </w:tcPr>
          <w:p w14:paraId="78783CAE"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2025</w:t>
            </w:r>
          </w:p>
        </w:tc>
        <w:tc>
          <w:tcPr>
            <w:tcW w:w="222" w:type="pct"/>
            <w:shd w:val="clear" w:color="auto" w:fill="1C1D4D"/>
            <w:vAlign w:val="bottom"/>
          </w:tcPr>
          <w:p w14:paraId="37BCD560"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2026</w:t>
            </w:r>
          </w:p>
        </w:tc>
        <w:tc>
          <w:tcPr>
            <w:tcW w:w="223" w:type="pct"/>
            <w:shd w:val="clear" w:color="auto" w:fill="1C1D4D"/>
            <w:vAlign w:val="bottom"/>
          </w:tcPr>
          <w:p w14:paraId="62528895"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2027</w:t>
            </w:r>
          </w:p>
        </w:tc>
        <w:tc>
          <w:tcPr>
            <w:tcW w:w="222" w:type="pct"/>
            <w:shd w:val="clear" w:color="auto" w:fill="1C1D4D"/>
            <w:vAlign w:val="bottom"/>
          </w:tcPr>
          <w:p w14:paraId="134EABA0"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2028</w:t>
            </w:r>
          </w:p>
        </w:tc>
        <w:tc>
          <w:tcPr>
            <w:tcW w:w="223" w:type="pct"/>
            <w:shd w:val="clear" w:color="auto" w:fill="1C1D4D"/>
            <w:vAlign w:val="bottom"/>
          </w:tcPr>
          <w:p w14:paraId="4C1AD764"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2029</w:t>
            </w:r>
          </w:p>
        </w:tc>
        <w:tc>
          <w:tcPr>
            <w:tcW w:w="222" w:type="pct"/>
            <w:shd w:val="clear" w:color="auto" w:fill="1C1D4D"/>
            <w:vAlign w:val="bottom"/>
          </w:tcPr>
          <w:p w14:paraId="3CC5EEFF"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2030</w:t>
            </w:r>
          </w:p>
        </w:tc>
        <w:tc>
          <w:tcPr>
            <w:tcW w:w="223" w:type="pct"/>
            <w:shd w:val="clear" w:color="auto" w:fill="1C1D4D"/>
            <w:vAlign w:val="bottom"/>
          </w:tcPr>
          <w:p w14:paraId="106E740C"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2031</w:t>
            </w:r>
          </w:p>
        </w:tc>
        <w:tc>
          <w:tcPr>
            <w:tcW w:w="222" w:type="pct"/>
            <w:shd w:val="clear" w:color="auto" w:fill="1C1D4D"/>
            <w:vAlign w:val="bottom"/>
          </w:tcPr>
          <w:p w14:paraId="7866A7CE"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2032</w:t>
            </w:r>
          </w:p>
        </w:tc>
        <w:tc>
          <w:tcPr>
            <w:tcW w:w="223" w:type="pct"/>
            <w:shd w:val="clear" w:color="auto" w:fill="1C1D4D"/>
            <w:vAlign w:val="bottom"/>
          </w:tcPr>
          <w:p w14:paraId="15407390"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2033</w:t>
            </w:r>
          </w:p>
        </w:tc>
        <w:tc>
          <w:tcPr>
            <w:tcW w:w="222" w:type="pct"/>
            <w:shd w:val="clear" w:color="auto" w:fill="1C1D4D"/>
            <w:vAlign w:val="bottom"/>
          </w:tcPr>
          <w:p w14:paraId="649E1A2D"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2034</w:t>
            </w:r>
          </w:p>
        </w:tc>
        <w:tc>
          <w:tcPr>
            <w:tcW w:w="223" w:type="pct"/>
            <w:shd w:val="clear" w:color="auto" w:fill="1C1D4D"/>
            <w:vAlign w:val="bottom"/>
          </w:tcPr>
          <w:p w14:paraId="205F1966"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2035</w:t>
            </w:r>
          </w:p>
        </w:tc>
        <w:tc>
          <w:tcPr>
            <w:tcW w:w="222" w:type="pct"/>
            <w:shd w:val="clear" w:color="auto" w:fill="1C1D4D"/>
            <w:vAlign w:val="bottom"/>
          </w:tcPr>
          <w:p w14:paraId="7B5E2ADA"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2036</w:t>
            </w:r>
          </w:p>
        </w:tc>
        <w:tc>
          <w:tcPr>
            <w:tcW w:w="223" w:type="pct"/>
            <w:shd w:val="clear" w:color="auto" w:fill="1C1D4D"/>
            <w:vAlign w:val="bottom"/>
          </w:tcPr>
          <w:p w14:paraId="669EF45D"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2037</w:t>
            </w:r>
          </w:p>
        </w:tc>
        <w:tc>
          <w:tcPr>
            <w:tcW w:w="222" w:type="pct"/>
            <w:shd w:val="clear" w:color="auto" w:fill="1C1D4D"/>
            <w:vAlign w:val="bottom"/>
          </w:tcPr>
          <w:p w14:paraId="7B1187B2"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2038</w:t>
            </w:r>
          </w:p>
        </w:tc>
        <w:tc>
          <w:tcPr>
            <w:tcW w:w="223" w:type="pct"/>
            <w:shd w:val="clear" w:color="auto" w:fill="1C1D4D"/>
            <w:vAlign w:val="bottom"/>
          </w:tcPr>
          <w:p w14:paraId="6A8FB7CA"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2039</w:t>
            </w:r>
          </w:p>
        </w:tc>
        <w:tc>
          <w:tcPr>
            <w:tcW w:w="222" w:type="pct"/>
            <w:shd w:val="clear" w:color="auto" w:fill="1C1D4D"/>
            <w:vAlign w:val="bottom"/>
          </w:tcPr>
          <w:p w14:paraId="268AB19A"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2040</w:t>
            </w:r>
          </w:p>
        </w:tc>
        <w:tc>
          <w:tcPr>
            <w:tcW w:w="221" w:type="pct"/>
            <w:shd w:val="clear" w:color="auto" w:fill="1C1D4D"/>
            <w:vAlign w:val="bottom"/>
          </w:tcPr>
          <w:p w14:paraId="31CC2608" w14:textId="77777777" w:rsidR="00D16B70" w:rsidRPr="00984846" w:rsidRDefault="00D16B70">
            <w:pPr>
              <w:pStyle w:val="TableText"/>
              <w:rPr>
                <w:rFonts w:asciiTheme="majorHAnsi" w:hAnsiTheme="majorHAnsi" w:cs="Calibri"/>
                <w:sz w:val="14"/>
                <w:szCs w:val="14"/>
              </w:rPr>
            </w:pPr>
            <w:r w:rsidRPr="00984846">
              <w:rPr>
                <w:rFonts w:asciiTheme="majorHAnsi" w:hAnsiTheme="majorHAnsi" w:cs="Calibri"/>
                <w:sz w:val="14"/>
                <w:szCs w:val="14"/>
              </w:rPr>
              <w:t>2041</w:t>
            </w:r>
          </w:p>
        </w:tc>
      </w:tr>
      <w:tr w:rsidR="00313D96" w:rsidRPr="00F51155" w14:paraId="6FE3DEEA" w14:textId="77777777" w:rsidTr="00EE1F30">
        <w:tc>
          <w:tcPr>
            <w:tcW w:w="552" w:type="pct"/>
            <w:shd w:val="clear" w:color="auto" w:fill="auto"/>
            <w:vAlign w:val="center"/>
          </w:tcPr>
          <w:p w14:paraId="2D5B85FA"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LO12Med</w:t>
            </w:r>
          </w:p>
        </w:tc>
        <w:tc>
          <w:tcPr>
            <w:tcW w:w="222" w:type="pct"/>
            <w:shd w:val="clear" w:color="auto" w:fill="auto"/>
            <w:vAlign w:val="center"/>
          </w:tcPr>
          <w:p w14:paraId="2B2FA15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5D4E229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22%</w:t>
            </w:r>
          </w:p>
        </w:tc>
        <w:tc>
          <w:tcPr>
            <w:tcW w:w="222" w:type="pct"/>
            <w:shd w:val="clear" w:color="auto" w:fill="auto"/>
            <w:vAlign w:val="center"/>
          </w:tcPr>
          <w:p w14:paraId="1991980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33%</w:t>
            </w:r>
          </w:p>
        </w:tc>
        <w:tc>
          <w:tcPr>
            <w:tcW w:w="223" w:type="pct"/>
            <w:shd w:val="clear" w:color="auto" w:fill="auto"/>
            <w:vAlign w:val="center"/>
          </w:tcPr>
          <w:p w14:paraId="01812B1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44%</w:t>
            </w:r>
          </w:p>
        </w:tc>
        <w:tc>
          <w:tcPr>
            <w:tcW w:w="222" w:type="pct"/>
            <w:shd w:val="clear" w:color="auto" w:fill="auto"/>
            <w:vAlign w:val="center"/>
          </w:tcPr>
          <w:p w14:paraId="535EEB3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55%</w:t>
            </w:r>
          </w:p>
        </w:tc>
        <w:tc>
          <w:tcPr>
            <w:tcW w:w="223" w:type="pct"/>
            <w:shd w:val="clear" w:color="auto" w:fill="auto"/>
            <w:vAlign w:val="center"/>
          </w:tcPr>
          <w:p w14:paraId="7B71AED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65%</w:t>
            </w:r>
          </w:p>
        </w:tc>
        <w:tc>
          <w:tcPr>
            <w:tcW w:w="222" w:type="pct"/>
            <w:shd w:val="clear" w:color="auto" w:fill="auto"/>
            <w:vAlign w:val="center"/>
          </w:tcPr>
          <w:p w14:paraId="534D2C9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72%</w:t>
            </w:r>
          </w:p>
        </w:tc>
        <w:tc>
          <w:tcPr>
            <w:tcW w:w="223" w:type="pct"/>
            <w:shd w:val="clear" w:color="auto" w:fill="auto"/>
            <w:vAlign w:val="center"/>
          </w:tcPr>
          <w:p w14:paraId="52B4AFF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79%</w:t>
            </w:r>
          </w:p>
        </w:tc>
        <w:tc>
          <w:tcPr>
            <w:tcW w:w="222" w:type="pct"/>
            <w:shd w:val="clear" w:color="auto" w:fill="auto"/>
            <w:vAlign w:val="center"/>
          </w:tcPr>
          <w:p w14:paraId="78CE798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84%</w:t>
            </w:r>
          </w:p>
        </w:tc>
        <w:tc>
          <w:tcPr>
            <w:tcW w:w="223" w:type="pct"/>
            <w:shd w:val="clear" w:color="auto" w:fill="auto"/>
            <w:vAlign w:val="center"/>
          </w:tcPr>
          <w:p w14:paraId="24192D1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88%</w:t>
            </w:r>
          </w:p>
        </w:tc>
        <w:tc>
          <w:tcPr>
            <w:tcW w:w="222" w:type="pct"/>
            <w:shd w:val="clear" w:color="auto" w:fill="auto"/>
            <w:vAlign w:val="center"/>
          </w:tcPr>
          <w:p w14:paraId="74E3F81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91%</w:t>
            </w:r>
          </w:p>
        </w:tc>
        <w:tc>
          <w:tcPr>
            <w:tcW w:w="223" w:type="pct"/>
            <w:shd w:val="clear" w:color="auto" w:fill="auto"/>
            <w:vAlign w:val="center"/>
          </w:tcPr>
          <w:p w14:paraId="68B071C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94%</w:t>
            </w:r>
          </w:p>
        </w:tc>
        <w:tc>
          <w:tcPr>
            <w:tcW w:w="222" w:type="pct"/>
            <w:shd w:val="clear" w:color="auto" w:fill="auto"/>
            <w:vAlign w:val="center"/>
          </w:tcPr>
          <w:p w14:paraId="540AA63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96%</w:t>
            </w:r>
          </w:p>
        </w:tc>
        <w:tc>
          <w:tcPr>
            <w:tcW w:w="223" w:type="pct"/>
            <w:shd w:val="clear" w:color="auto" w:fill="auto"/>
            <w:vAlign w:val="center"/>
          </w:tcPr>
          <w:p w14:paraId="379705D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97%</w:t>
            </w:r>
          </w:p>
        </w:tc>
        <w:tc>
          <w:tcPr>
            <w:tcW w:w="222" w:type="pct"/>
            <w:shd w:val="clear" w:color="auto" w:fill="auto"/>
            <w:vAlign w:val="center"/>
          </w:tcPr>
          <w:p w14:paraId="37C7C0A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3" w:type="pct"/>
            <w:shd w:val="clear" w:color="auto" w:fill="auto"/>
            <w:vAlign w:val="center"/>
          </w:tcPr>
          <w:p w14:paraId="0535AAD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auto"/>
            <w:vAlign w:val="center"/>
          </w:tcPr>
          <w:p w14:paraId="76E6F4F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auto"/>
            <w:vAlign w:val="center"/>
          </w:tcPr>
          <w:p w14:paraId="15503D7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auto"/>
            <w:vAlign w:val="center"/>
          </w:tcPr>
          <w:p w14:paraId="4252A56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1" w:type="pct"/>
            <w:shd w:val="clear" w:color="auto" w:fill="auto"/>
            <w:vAlign w:val="center"/>
          </w:tcPr>
          <w:p w14:paraId="77A0D3A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54245A" w:rsidRPr="00F51155" w14:paraId="75105F2C" w14:textId="77777777" w:rsidTr="00EE1F30">
        <w:tc>
          <w:tcPr>
            <w:tcW w:w="552" w:type="pct"/>
            <w:shd w:val="clear" w:color="auto" w:fill="F2F2F2"/>
            <w:vAlign w:val="center"/>
          </w:tcPr>
          <w:p w14:paraId="13EBBAF6"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LO5Med</w:t>
            </w:r>
          </w:p>
        </w:tc>
        <w:tc>
          <w:tcPr>
            <w:tcW w:w="222" w:type="pct"/>
            <w:shd w:val="clear" w:color="auto" w:fill="F2F2F2"/>
            <w:vAlign w:val="center"/>
          </w:tcPr>
          <w:p w14:paraId="55701DE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3" w:type="pct"/>
            <w:shd w:val="clear" w:color="auto" w:fill="F2F2F2"/>
            <w:vAlign w:val="center"/>
          </w:tcPr>
          <w:p w14:paraId="4937D2A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2" w:type="pct"/>
            <w:shd w:val="clear" w:color="auto" w:fill="F2F2F2"/>
            <w:vAlign w:val="center"/>
          </w:tcPr>
          <w:p w14:paraId="7D9A13A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16%</w:t>
            </w:r>
          </w:p>
        </w:tc>
        <w:tc>
          <w:tcPr>
            <w:tcW w:w="223" w:type="pct"/>
            <w:shd w:val="clear" w:color="auto" w:fill="F2F2F2"/>
            <w:vAlign w:val="center"/>
          </w:tcPr>
          <w:p w14:paraId="1AF1FC7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24%</w:t>
            </w:r>
          </w:p>
        </w:tc>
        <w:tc>
          <w:tcPr>
            <w:tcW w:w="222" w:type="pct"/>
            <w:shd w:val="clear" w:color="auto" w:fill="F2F2F2"/>
            <w:vAlign w:val="center"/>
          </w:tcPr>
          <w:p w14:paraId="506E22D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32%</w:t>
            </w:r>
          </w:p>
        </w:tc>
        <w:tc>
          <w:tcPr>
            <w:tcW w:w="223" w:type="pct"/>
            <w:shd w:val="clear" w:color="auto" w:fill="F2F2F2"/>
            <w:vAlign w:val="center"/>
          </w:tcPr>
          <w:p w14:paraId="2C3B56E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42%</w:t>
            </w:r>
          </w:p>
        </w:tc>
        <w:tc>
          <w:tcPr>
            <w:tcW w:w="222" w:type="pct"/>
            <w:shd w:val="clear" w:color="auto" w:fill="F2F2F2"/>
            <w:vAlign w:val="center"/>
          </w:tcPr>
          <w:p w14:paraId="7B8138E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53%</w:t>
            </w:r>
          </w:p>
        </w:tc>
        <w:tc>
          <w:tcPr>
            <w:tcW w:w="223" w:type="pct"/>
            <w:shd w:val="clear" w:color="auto" w:fill="F2F2F2"/>
            <w:vAlign w:val="center"/>
          </w:tcPr>
          <w:p w14:paraId="2771BC9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64%</w:t>
            </w:r>
          </w:p>
        </w:tc>
        <w:tc>
          <w:tcPr>
            <w:tcW w:w="222" w:type="pct"/>
            <w:shd w:val="clear" w:color="auto" w:fill="F2F2F2"/>
            <w:vAlign w:val="center"/>
          </w:tcPr>
          <w:p w14:paraId="515D5E5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75%</w:t>
            </w:r>
          </w:p>
        </w:tc>
        <w:tc>
          <w:tcPr>
            <w:tcW w:w="223" w:type="pct"/>
            <w:shd w:val="clear" w:color="auto" w:fill="F2F2F2"/>
            <w:vAlign w:val="center"/>
          </w:tcPr>
          <w:p w14:paraId="05F9669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84%</w:t>
            </w:r>
          </w:p>
        </w:tc>
        <w:tc>
          <w:tcPr>
            <w:tcW w:w="222" w:type="pct"/>
            <w:shd w:val="clear" w:color="auto" w:fill="F2F2F2"/>
            <w:vAlign w:val="center"/>
          </w:tcPr>
          <w:p w14:paraId="4BE12B5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91%</w:t>
            </w:r>
          </w:p>
        </w:tc>
        <w:tc>
          <w:tcPr>
            <w:tcW w:w="223" w:type="pct"/>
            <w:shd w:val="clear" w:color="auto" w:fill="F2F2F2"/>
            <w:vAlign w:val="center"/>
          </w:tcPr>
          <w:p w14:paraId="1848477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96%</w:t>
            </w:r>
          </w:p>
        </w:tc>
        <w:tc>
          <w:tcPr>
            <w:tcW w:w="222" w:type="pct"/>
            <w:shd w:val="clear" w:color="auto" w:fill="F2F2F2"/>
            <w:vAlign w:val="center"/>
          </w:tcPr>
          <w:p w14:paraId="27EAE6D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3" w:type="pct"/>
            <w:shd w:val="clear" w:color="auto" w:fill="F2F2F2"/>
            <w:vAlign w:val="center"/>
          </w:tcPr>
          <w:p w14:paraId="79A79A6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2DDC484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76CC947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2167A10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1F9A15B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753FC47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1" w:type="pct"/>
            <w:shd w:val="clear" w:color="auto" w:fill="F2F2F2"/>
            <w:vAlign w:val="center"/>
          </w:tcPr>
          <w:p w14:paraId="2A61629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313D96" w:rsidRPr="00F51155" w14:paraId="5ECBB45C" w14:textId="77777777" w:rsidTr="00EE1F30">
        <w:tc>
          <w:tcPr>
            <w:tcW w:w="552" w:type="pct"/>
            <w:shd w:val="clear" w:color="auto" w:fill="auto"/>
            <w:vAlign w:val="center"/>
          </w:tcPr>
          <w:p w14:paraId="102001CA"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LO1Slow</w:t>
            </w:r>
          </w:p>
        </w:tc>
        <w:tc>
          <w:tcPr>
            <w:tcW w:w="222" w:type="pct"/>
            <w:shd w:val="clear" w:color="auto" w:fill="auto"/>
            <w:vAlign w:val="center"/>
          </w:tcPr>
          <w:p w14:paraId="36F15DF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64AE1CA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068D0EC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3" w:type="pct"/>
            <w:shd w:val="clear" w:color="auto" w:fill="auto"/>
            <w:vAlign w:val="center"/>
          </w:tcPr>
          <w:p w14:paraId="6C7D9EC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auto"/>
            <w:vAlign w:val="center"/>
          </w:tcPr>
          <w:p w14:paraId="2A41C72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auto"/>
            <w:vAlign w:val="center"/>
          </w:tcPr>
          <w:p w14:paraId="38823BA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2" w:type="pct"/>
            <w:shd w:val="clear" w:color="auto" w:fill="auto"/>
            <w:vAlign w:val="center"/>
          </w:tcPr>
          <w:p w14:paraId="77371B4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13%</w:t>
            </w:r>
          </w:p>
        </w:tc>
        <w:tc>
          <w:tcPr>
            <w:tcW w:w="223" w:type="pct"/>
            <w:shd w:val="clear" w:color="auto" w:fill="auto"/>
            <w:vAlign w:val="center"/>
          </w:tcPr>
          <w:p w14:paraId="181E7A0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19%</w:t>
            </w:r>
          </w:p>
        </w:tc>
        <w:tc>
          <w:tcPr>
            <w:tcW w:w="222" w:type="pct"/>
            <w:shd w:val="clear" w:color="auto" w:fill="auto"/>
            <w:vAlign w:val="center"/>
          </w:tcPr>
          <w:p w14:paraId="643CA63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26%</w:t>
            </w:r>
          </w:p>
        </w:tc>
        <w:tc>
          <w:tcPr>
            <w:tcW w:w="223" w:type="pct"/>
            <w:shd w:val="clear" w:color="auto" w:fill="auto"/>
            <w:vAlign w:val="center"/>
          </w:tcPr>
          <w:p w14:paraId="05C1DBB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34%</w:t>
            </w:r>
          </w:p>
        </w:tc>
        <w:tc>
          <w:tcPr>
            <w:tcW w:w="222" w:type="pct"/>
            <w:shd w:val="clear" w:color="auto" w:fill="auto"/>
            <w:vAlign w:val="center"/>
          </w:tcPr>
          <w:p w14:paraId="79158F8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43%</w:t>
            </w:r>
          </w:p>
        </w:tc>
        <w:tc>
          <w:tcPr>
            <w:tcW w:w="223" w:type="pct"/>
            <w:shd w:val="clear" w:color="auto" w:fill="auto"/>
            <w:vAlign w:val="center"/>
          </w:tcPr>
          <w:p w14:paraId="4B302EC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53%</w:t>
            </w:r>
          </w:p>
        </w:tc>
        <w:tc>
          <w:tcPr>
            <w:tcW w:w="222" w:type="pct"/>
            <w:shd w:val="clear" w:color="auto" w:fill="auto"/>
            <w:vAlign w:val="center"/>
          </w:tcPr>
          <w:p w14:paraId="127F17C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63%</w:t>
            </w:r>
          </w:p>
        </w:tc>
        <w:tc>
          <w:tcPr>
            <w:tcW w:w="223" w:type="pct"/>
            <w:shd w:val="clear" w:color="auto" w:fill="auto"/>
            <w:vAlign w:val="center"/>
          </w:tcPr>
          <w:p w14:paraId="30C1045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72%</w:t>
            </w:r>
          </w:p>
        </w:tc>
        <w:tc>
          <w:tcPr>
            <w:tcW w:w="222" w:type="pct"/>
            <w:shd w:val="clear" w:color="auto" w:fill="auto"/>
            <w:vAlign w:val="center"/>
          </w:tcPr>
          <w:p w14:paraId="77CF600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81%</w:t>
            </w:r>
          </w:p>
        </w:tc>
        <w:tc>
          <w:tcPr>
            <w:tcW w:w="223" w:type="pct"/>
            <w:shd w:val="clear" w:color="auto" w:fill="auto"/>
            <w:vAlign w:val="center"/>
          </w:tcPr>
          <w:p w14:paraId="69A3ED1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87%</w:t>
            </w:r>
          </w:p>
        </w:tc>
        <w:tc>
          <w:tcPr>
            <w:tcW w:w="222" w:type="pct"/>
            <w:shd w:val="clear" w:color="auto" w:fill="auto"/>
            <w:vAlign w:val="center"/>
          </w:tcPr>
          <w:p w14:paraId="50CC8C6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92%</w:t>
            </w:r>
          </w:p>
        </w:tc>
        <w:tc>
          <w:tcPr>
            <w:tcW w:w="223" w:type="pct"/>
            <w:shd w:val="clear" w:color="auto" w:fill="auto"/>
            <w:vAlign w:val="center"/>
          </w:tcPr>
          <w:p w14:paraId="5233834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96%</w:t>
            </w:r>
          </w:p>
        </w:tc>
        <w:tc>
          <w:tcPr>
            <w:tcW w:w="222" w:type="pct"/>
            <w:shd w:val="clear" w:color="auto" w:fill="auto"/>
            <w:vAlign w:val="center"/>
          </w:tcPr>
          <w:p w14:paraId="1D40A45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98%</w:t>
            </w:r>
          </w:p>
        </w:tc>
        <w:tc>
          <w:tcPr>
            <w:tcW w:w="221" w:type="pct"/>
            <w:shd w:val="clear" w:color="auto" w:fill="auto"/>
            <w:vAlign w:val="center"/>
          </w:tcPr>
          <w:p w14:paraId="53EDA47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54245A" w:rsidRPr="00F51155" w14:paraId="3995EDEF" w14:textId="77777777" w:rsidTr="00EE1F30">
        <w:tc>
          <w:tcPr>
            <w:tcW w:w="552" w:type="pct"/>
            <w:shd w:val="clear" w:color="auto" w:fill="F2F2F2"/>
            <w:vAlign w:val="center"/>
          </w:tcPr>
          <w:p w14:paraId="47D317AC"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LO50Fast</w:t>
            </w:r>
          </w:p>
        </w:tc>
        <w:tc>
          <w:tcPr>
            <w:tcW w:w="222" w:type="pct"/>
            <w:shd w:val="clear" w:color="auto" w:fill="F2F2F2"/>
            <w:vAlign w:val="center"/>
          </w:tcPr>
          <w:p w14:paraId="083FEAB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45%</w:t>
            </w:r>
          </w:p>
        </w:tc>
        <w:tc>
          <w:tcPr>
            <w:tcW w:w="223" w:type="pct"/>
            <w:shd w:val="clear" w:color="auto" w:fill="F2F2F2"/>
            <w:vAlign w:val="center"/>
          </w:tcPr>
          <w:p w14:paraId="171B4D8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66%</w:t>
            </w:r>
          </w:p>
        </w:tc>
        <w:tc>
          <w:tcPr>
            <w:tcW w:w="222" w:type="pct"/>
            <w:shd w:val="clear" w:color="auto" w:fill="F2F2F2"/>
            <w:vAlign w:val="center"/>
          </w:tcPr>
          <w:p w14:paraId="0D7A545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80%</w:t>
            </w:r>
          </w:p>
        </w:tc>
        <w:tc>
          <w:tcPr>
            <w:tcW w:w="223" w:type="pct"/>
            <w:shd w:val="clear" w:color="auto" w:fill="F2F2F2"/>
            <w:vAlign w:val="center"/>
          </w:tcPr>
          <w:p w14:paraId="29016F3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89%</w:t>
            </w:r>
          </w:p>
        </w:tc>
        <w:tc>
          <w:tcPr>
            <w:tcW w:w="222" w:type="pct"/>
            <w:shd w:val="clear" w:color="auto" w:fill="F2F2F2"/>
            <w:vAlign w:val="center"/>
          </w:tcPr>
          <w:p w14:paraId="37141E8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95%</w:t>
            </w:r>
          </w:p>
        </w:tc>
        <w:tc>
          <w:tcPr>
            <w:tcW w:w="223" w:type="pct"/>
            <w:shd w:val="clear" w:color="auto" w:fill="F2F2F2"/>
            <w:vAlign w:val="center"/>
          </w:tcPr>
          <w:p w14:paraId="19E48F9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98%</w:t>
            </w:r>
          </w:p>
        </w:tc>
        <w:tc>
          <w:tcPr>
            <w:tcW w:w="222" w:type="pct"/>
            <w:shd w:val="clear" w:color="auto" w:fill="F2F2F2"/>
            <w:vAlign w:val="center"/>
          </w:tcPr>
          <w:p w14:paraId="7066610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3" w:type="pct"/>
            <w:shd w:val="clear" w:color="auto" w:fill="F2F2F2"/>
            <w:vAlign w:val="center"/>
          </w:tcPr>
          <w:p w14:paraId="22A6734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66A194A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5FD0C26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66BECD4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40D6BB5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08DD030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21CA971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7412010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71BE369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29404E6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230C139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215869B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1" w:type="pct"/>
            <w:shd w:val="clear" w:color="auto" w:fill="F2F2F2"/>
            <w:vAlign w:val="center"/>
          </w:tcPr>
          <w:p w14:paraId="57DC4D7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313D96" w:rsidRPr="00F51155" w14:paraId="4F55D84E" w14:textId="77777777" w:rsidTr="00EE1F30">
        <w:tc>
          <w:tcPr>
            <w:tcW w:w="552" w:type="pct"/>
            <w:shd w:val="clear" w:color="auto" w:fill="auto"/>
            <w:vAlign w:val="center"/>
          </w:tcPr>
          <w:p w14:paraId="47D5B9C6"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LO20Fast</w:t>
            </w:r>
          </w:p>
        </w:tc>
        <w:tc>
          <w:tcPr>
            <w:tcW w:w="222" w:type="pct"/>
            <w:shd w:val="clear" w:color="auto" w:fill="auto"/>
            <w:vAlign w:val="center"/>
          </w:tcPr>
          <w:p w14:paraId="6D44B38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22%</w:t>
            </w:r>
          </w:p>
        </w:tc>
        <w:tc>
          <w:tcPr>
            <w:tcW w:w="223" w:type="pct"/>
            <w:shd w:val="clear" w:color="auto" w:fill="auto"/>
            <w:vAlign w:val="center"/>
          </w:tcPr>
          <w:p w14:paraId="7FA715C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38%</w:t>
            </w:r>
          </w:p>
        </w:tc>
        <w:tc>
          <w:tcPr>
            <w:tcW w:w="222" w:type="pct"/>
            <w:shd w:val="clear" w:color="auto" w:fill="auto"/>
            <w:vAlign w:val="center"/>
          </w:tcPr>
          <w:p w14:paraId="47FB833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48%</w:t>
            </w:r>
          </w:p>
        </w:tc>
        <w:tc>
          <w:tcPr>
            <w:tcW w:w="223" w:type="pct"/>
            <w:shd w:val="clear" w:color="auto" w:fill="auto"/>
            <w:vAlign w:val="center"/>
          </w:tcPr>
          <w:p w14:paraId="16E645B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57%</w:t>
            </w:r>
          </w:p>
        </w:tc>
        <w:tc>
          <w:tcPr>
            <w:tcW w:w="222" w:type="pct"/>
            <w:shd w:val="clear" w:color="auto" w:fill="auto"/>
            <w:vAlign w:val="center"/>
          </w:tcPr>
          <w:p w14:paraId="1B0DBB8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64%</w:t>
            </w:r>
          </w:p>
        </w:tc>
        <w:tc>
          <w:tcPr>
            <w:tcW w:w="223" w:type="pct"/>
            <w:shd w:val="clear" w:color="auto" w:fill="auto"/>
            <w:vAlign w:val="center"/>
          </w:tcPr>
          <w:p w14:paraId="78DEE98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70%</w:t>
            </w:r>
          </w:p>
        </w:tc>
        <w:tc>
          <w:tcPr>
            <w:tcW w:w="222" w:type="pct"/>
            <w:shd w:val="clear" w:color="auto" w:fill="auto"/>
            <w:vAlign w:val="center"/>
          </w:tcPr>
          <w:p w14:paraId="1AB2AE1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76%</w:t>
            </w:r>
          </w:p>
        </w:tc>
        <w:tc>
          <w:tcPr>
            <w:tcW w:w="223" w:type="pct"/>
            <w:shd w:val="clear" w:color="auto" w:fill="auto"/>
            <w:vAlign w:val="center"/>
          </w:tcPr>
          <w:p w14:paraId="53CCDF7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80%</w:t>
            </w:r>
          </w:p>
        </w:tc>
        <w:tc>
          <w:tcPr>
            <w:tcW w:w="222" w:type="pct"/>
            <w:shd w:val="clear" w:color="auto" w:fill="auto"/>
            <w:vAlign w:val="center"/>
          </w:tcPr>
          <w:p w14:paraId="75A522B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84%</w:t>
            </w:r>
          </w:p>
        </w:tc>
        <w:tc>
          <w:tcPr>
            <w:tcW w:w="223" w:type="pct"/>
            <w:shd w:val="clear" w:color="auto" w:fill="auto"/>
            <w:vAlign w:val="center"/>
          </w:tcPr>
          <w:p w14:paraId="5B32459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88%</w:t>
            </w:r>
          </w:p>
        </w:tc>
        <w:tc>
          <w:tcPr>
            <w:tcW w:w="222" w:type="pct"/>
            <w:shd w:val="clear" w:color="auto" w:fill="auto"/>
            <w:vAlign w:val="center"/>
          </w:tcPr>
          <w:p w14:paraId="32A55E3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90%</w:t>
            </w:r>
          </w:p>
        </w:tc>
        <w:tc>
          <w:tcPr>
            <w:tcW w:w="223" w:type="pct"/>
            <w:shd w:val="clear" w:color="auto" w:fill="auto"/>
            <w:vAlign w:val="center"/>
          </w:tcPr>
          <w:p w14:paraId="0D1D51E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92%</w:t>
            </w:r>
          </w:p>
        </w:tc>
        <w:tc>
          <w:tcPr>
            <w:tcW w:w="222" w:type="pct"/>
            <w:shd w:val="clear" w:color="auto" w:fill="auto"/>
            <w:vAlign w:val="center"/>
          </w:tcPr>
          <w:p w14:paraId="38DCF66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94%</w:t>
            </w:r>
          </w:p>
        </w:tc>
        <w:tc>
          <w:tcPr>
            <w:tcW w:w="223" w:type="pct"/>
            <w:shd w:val="clear" w:color="auto" w:fill="auto"/>
            <w:vAlign w:val="center"/>
          </w:tcPr>
          <w:p w14:paraId="0FE55FD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95%</w:t>
            </w:r>
          </w:p>
        </w:tc>
        <w:tc>
          <w:tcPr>
            <w:tcW w:w="222" w:type="pct"/>
            <w:shd w:val="clear" w:color="auto" w:fill="auto"/>
            <w:vAlign w:val="center"/>
          </w:tcPr>
          <w:p w14:paraId="6D9AFBE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96%</w:t>
            </w:r>
          </w:p>
        </w:tc>
        <w:tc>
          <w:tcPr>
            <w:tcW w:w="223" w:type="pct"/>
            <w:shd w:val="clear" w:color="auto" w:fill="auto"/>
            <w:vAlign w:val="center"/>
          </w:tcPr>
          <w:p w14:paraId="6DBE67E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97%</w:t>
            </w:r>
          </w:p>
        </w:tc>
        <w:tc>
          <w:tcPr>
            <w:tcW w:w="222" w:type="pct"/>
            <w:shd w:val="clear" w:color="auto" w:fill="auto"/>
            <w:vAlign w:val="center"/>
          </w:tcPr>
          <w:p w14:paraId="3CA47EA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98%</w:t>
            </w:r>
          </w:p>
        </w:tc>
        <w:tc>
          <w:tcPr>
            <w:tcW w:w="223" w:type="pct"/>
            <w:shd w:val="clear" w:color="auto" w:fill="auto"/>
            <w:vAlign w:val="center"/>
          </w:tcPr>
          <w:p w14:paraId="0D9BAB0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98%</w:t>
            </w:r>
          </w:p>
        </w:tc>
        <w:tc>
          <w:tcPr>
            <w:tcW w:w="222" w:type="pct"/>
            <w:shd w:val="clear" w:color="auto" w:fill="auto"/>
            <w:vAlign w:val="center"/>
          </w:tcPr>
          <w:p w14:paraId="27FC132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1" w:type="pct"/>
            <w:shd w:val="clear" w:color="auto" w:fill="auto"/>
            <w:vAlign w:val="center"/>
          </w:tcPr>
          <w:p w14:paraId="0C77146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54245A" w:rsidRPr="00F51155" w14:paraId="1B84E424" w14:textId="77777777" w:rsidTr="00EE1F30">
        <w:tc>
          <w:tcPr>
            <w:tcW w:w="552" w:type="pct"/>
            <w:shd w:val="clear" w:color="auto" w:fill="F2F2F2"/>
            <w:vAlign w:val="center"/>
          </w:tcPr>
          <w:p w14:paraId="2B5806F9"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LOEven20</w:t>
            </w:r>
          </w:p>
        </w:tc>
        <w:tc>
          <w:tcPr>
            <w:tcW w:w="222" w:type="pct"/>
            <w:shd w:val="clear" w:color="auto" w:fill="F2F2F2"/>
            <w:vAlign w:val="center"/>
          </w:tcPr>
          <w:p w14:paraId="6B1041B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69B6F43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2" w:type="pct"/>
            <w:shd w:val="clear" w:color="auto" w:fill="F2F2F2"/>
            <w:vAlign w:val="center"/>
          </w:tcPr>
          <w:p w14:paraId="2AC37B8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15%</w:t>
            </w:r>
          </w:p>
        </w:tc>
        <w:tc>
          <w:tcPr>
            <w:tcW w:w="223" w:type="pct"/>
            <w:shd w:val="clear" w:color="auto" w:fill="F2F2F2"/>
            <w:vAlign w:val="center"/>
          </w:tcPr>
          <w:p w14:paraId="2866E7E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20%</w:t>
            </w:r>
          </w:p>
        </w:tc>
        <w:tc>
          <w:tcPr>
            <w:tcW w:w="222" w:type="pct"/>
            <w:shd w:val="clear" w:color="auto" w:fill="F2F2F2"/>
            <w:vAlign w:val="center"/>
          </w:tcPr>
          <w:p w14:paraId="0EDC289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25%</w:t>
            </w:r>
          </w:p>
        </w:tc>
        <w:tc>
          <w:tcPr>
            <w:tcW w:w="223" w:type="pct"/>
            <w:shd w:val="clear" w:color="auto" w:fill="F2F2F2"/>
            <w:vAlign w:val="center"/>
          </w:tcPr>
          <w:p w14:paraId="2F0D28B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30%</w:t>
            </w:r>
          </w:p>
        </w:tc>
        <w:tc>
          <w:tcPr>
            <w:tcW w:w="222" w:type="pct"/>
            <w:shd w:val="clear" w:color="auto" w:fill="F2F2F2"/>
            <w:vAlign w:val="center"/>
          </w:tcPr>
          <w:p w14:paraId="26E0508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35%</w:t>
            </w:r>
          </w:p>
        </w:tc>
        <w:tc>
          <w:tcPr>
            <w:tcW w:w="223" w:type="pct"/>
            <w:shd w:val="clear" w:color="auto" w:fill="F2F2F2"/>
            <w:vAlign w:val="center"/>
          </w:tcPr>
          <w:p w14:paraId="067ED0B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40%</w:t>
            </w:r>
          </w:p>
        </w:tc>
        <w:tc>
          <w:tcPr>
            <w:tcW w:w="222" w:type="pct"/>
            <w:shd w:val="clear" w:color="auto" w:fill="F2F2F2"/>
            <w:vAlign w:val="center"/>
          </w:tcPr>
          <w:p w14:paraId="4A18FB3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45%</w:t>
            </w:r>
          </w:p>
        </w:tc>
        <w:tc>
          <w:tcPr>
            <w:tcW w:w="223" w:type="pct"/>
            <w:shd w:val="clear" w:color="auto" w:fill="F2F2F2"/>
            <w:vAlign w:val="center"/>
          </w:tcPr>
          <w:p w14:paraId="3B6AD39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50%</w:t>
            </w:r>
          </w:p>
        </w:tc>
        <w:tc>
          <w:tcPr>
            <w:tcW w:w="222" w:type="pct"/>
            <w:shd w:val="clear" w:color="auto" w:fill="F2F2F2"/>
            <w:vAlign w:val="center"/>
          </w:tcPr>
          <w:p w14:paraId="0C44E4F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55%</w:t>
            </w:r>
          </w:p>
        </w:tc>
        <w:tc>
          <w:tcPr>
            <w:tcW w:w="223" w:type="pct"/>
            <w:shd w:val="clear" w:color="auto" w:fill="F2F2F2"/>
            <w:vAlign w:val="center"/>
          </w:tcPr>
          <w:p w14:paraId="4A106A5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60%</w:t>
            </w:r>
          </w:p>
        </w:tc>
        <w:tc>
          <w:tcPr>
            <w:tcW w:w="222" w:type="pct"/>
            <w:shd w:val="clear" w:color="auto" w:fill="F2F2F2"/>
            <w:vAlign w:val="center"/>
          </w:tcPr>
          <w:p w14:paraId="72CB5AB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65%</w:t>
            </w:r>
          </w:p>
        </w:tc>
        <w:tc>
          <w:tcPr>
            <w:tcW w:w="223" w:type="pct"/>
            <w:shd w:val="clear" w:color="auto" w:fill="F2F2F2"/>
            <w:vAlign w:val="center"/>
          </w:tcPr>
          <w:p w14:paraId="7E63647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70%</w:t>
            </w:r>
          </w:p>
        </w:tc>
        <w:tc>
          <w:tcPr>
            <w:tcW w:w="222" w:type="pct"/>
            <w:shd w:val="clear" w:color="auto" w:fill="F2F2F2"/>
            <w:vAlign w:val="center"/>
          </w:tcPr>
          <w:p w14:paraId="4612D2C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75%</w:t>
            </w:r>
          </w:p>
        </w:tc>
        <w:tc>
          <w:tcPr>
            <w:tcW w:w="223" w:type="pct"/>
            <w:shd w:val="clear" w:color="auto" w:fill="F2F2F2"/>
            <w:vAlign w:val="center"/>
          </w:tcPr>
          <w:p w14:paraId="5B2CB4C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80%</w:t>
            </w:r>
          </w:p>
        </w:tc>
        <w:tc>
          <w:tcPr>
            <w:tcW w:w="222" w:type="pct"/>
            <w:shd w:val="clear" w:color="auto" w:fill="F2F2F2"/>
            <w:vAlign w:val="center"/>
          </w:tcPr>
          <w:p w14:paraId="5D20B8C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85%</w:t>
            </w:r>
          </w:p>
        </w:tc>
        <w:tc>
          <w:tcPr>
            <w:tcW w:w="223" w:type="pct"/>
            <w:shd w:val="clear" w:color="auto" w:fill="F2F2F2"/>
            <w:vAlign w:val="center"/>
          </w:tcPr>
          <w:p w14:paraId="4B5E36E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90%</w:t>
            </w:r>
          </w:p>
        </w:tc>
        <w:tc>
          <w:tcPr>
            <w:tcW w:w="222" w:type="pct"/>
            <w:shd w:val="clear" w:color="auto" w:fill="F2F2F2"/>
            <w:vAlign w:val="center"/>
          </w:tcPr>
          <w:p w14:paraId="786D697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95%</w:t>
            </w:r>
          </w:p>
        </w:tc>
        <w:tc>
          <w:tcPr>
            <w:tcW w:w="221" w:type="pct"/>
            <w:shd w:val="clear" w:color="auto" w:fill="F2F2F2"/>
            <w:vAlign w:val="center"/>
          </w:tcPr>
          <w:p w14:paraId="187354B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313D96" w:rsidRPr="00F51155" w14:paraId="53F3DFE7" w14:textId="77777777" w:rsidTr="00EE1F30">
        <w:tc>
          <w:tcPr>
            <w:tcW w:w="552" w:type="pct"/>
            <w:shd w:val="clear" w:color="auto" w:fill="auto"/>
            <w:vAlign w:val="center"/>
          </w:tcPr>
          <w:p w14:paraId="54310AC0"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LO3Slow</w:t>
            </w:r>
          </w:p>
        </w:tc>
        <w:tc>
          <w:tcPr>
            <w:tcW w:w="222" w:type="pct"/>
            <w:shd w:val="clear" w:color="auto" w:fill="auto"/>
            <w:vAlign w:val="center"/>
          </w:tcPr>
          <w:p w14:paraId="7876412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6BADD04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061D0C1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3" w:type="pct"/>
            <w:shd w:val="clear" w:color="auto" w:fill="auto"/>
            <w:vAlign w:val="center"/>
          </w:tcPr>
          <w:p w14:paraId="23659A6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2" w:type="pct"/>
            <w:shd w:val="clear" w:color="auto" w:fill="auto"/>
            <w:vAlign w:val="center"/>
          </w:tcPr>
          <w:p w14:paraId="0BE16FA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62846A3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18%</w:t>
            </w:r>
          </w:p>
        </w:tc>
        <w:tc>
          <w:tcPr>
            <w:tcW w:w="222" w:type="pct"/>
            <w:shd w:val="clear" w:color="auto" w:fill="auto"/>
            <w:vAlign w:val="center"/>
          </w:tcPr>
          <w:p w14:paraId="0CECEF4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26%</w:t>
            </w:r>
          </w:p>
        </w:tc>
        <w:tc>
          <w:tcPr>
            <w:tcW w:w="223" w:type="pct"/>
            <w:shd w:val="clear" w:color="auto" w:fill="auto"/>
            <w:vAlign w:val="center"/>
          </w:tcPr>
          <w:p w14:paraId="78A3F19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36%</w:t>
            </w:r>
          </w:p>
        </w:tc>
        <w:tc>
          <w:tcPr>
            <w:tcW w:w="222" w:type="pct"/>
            <w:shd w:val="clear" w:color="auto" w:fill="auto"/>
            <w:vAlign w:val="center"/>
          </w:tcPr>
          <w:p w14:paraId="44794C8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46%</w:t>
            </w:r>
          </w:p>
        </w:tc>
        <w:tc>
          <w:tcPr>
            <w:tcW w:w="223" w:type="pct"/>
            <w:shd w:val="clear" w:color="auto" w:fill="auto"/>
            <w:vAlign w:val="center"/>
          </w:tcPr>
          <w:p w14:paraId="7C78F8D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57%</w:t>
            </w:r>
          </w:p>
        </w:tc>
        <w:tc>
          <w:tcPr>
            <w:tcW w:w="222" w:type="pct"/>
            <w:shd w:val="clear" w:color="auto" w:fill="auto"/>
            <w:vAlign w:val="center"/>
          </w:tcPr>
          <w:p w14:paraId="47EFDD6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67%</w:t>
            </w:r>
          </w:p>
        </w:tc>
        <w:tc>
          <w:tcPr>
            <w:tcW w:w="223" w:type="pct"/>
            <w:shd w:val="clear" w:color="auto" w:fill="auto"/>
            <w:vAlign w:val="center"/>
          </w:tcPr>
          <w:p w14:paraId="580D650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76%</w:t>
            </w:r>
          </w:p>
        </w:tc>
        <w:tc>
          <w:tcPr>
            <w:tcW w:w="222" w:type="pct"/>
            <w:shd w:val="clear" w:color="auto" w:fill="auto"/>
            <w:vAlign w:val="center"/>
          </w:tcPr>
          <w:p w14:paraId="14E88DC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83%</w:t>
            </w:r>
          </w:p>
        </w:tc>
        <w:tc>
          <w:tcPr>
            <w:tcW w:w="223" w:type="pct"/>
            <w:shd w:val="clear" w:color="auto" w:fill="auto"/>
            <w:vAlign w:val="center"/>
          </w:tcPr>
          <w:p w14:paraId="389346B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88%</w:t>
            </w:r>
          </w:p>
        </w:tc>
        <w:tc>
          <w:tcPr>
            <w:tcW w:w="222" w:type="pct"/>
            <w:shd w:val="clear" w:color="auto" w:fill="auto"/>
            <w:vAlign w:val="center"/>
          </w:tcPr>
          <w:p w14:paraId="050D6C6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92%</w:t>
            </w:r>
          </w:p>
        </w:tc>
        <w:tc>
          <w:tcPr>
            <w:tcW w:w="223" w:type="pct"/>
            <w:shd w:val="clear" w:color="auto" w:fill="auto"/>
            <w:vAlign w:val="center"/>
          </w:tcPr>
          <w:p w14:paraId="6F0521B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95%</w:t>
            </w:r>
          </w:p>
        </w:tc>
        <w:tc>
          <w:tcPr>
            <w:tcW w:w="222" w:type="pct"/>
            <w:shd w:val="clear" w:color="auto" w:fill="auto"/>
            <w:vAlign w:val="center"/>
          </w:tcPr>
          <w:p w14:paraId="32EAF89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97%</w:t>
            </w:r>
          </w:p>
        </w:tc>
        <w:tc>
          <w:tcPr>
            <w:tcW w:w="223" w:type="pct"/>
            <w:shd w:val="clear" w:color="auto" w:fill="auto"/>
            <w:vAlign w:val="center"/>
          </w:tcPr>
          <w:p w14:paraId="7B50938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98%</w:t>
            </w:r>
          </w:p>
        </w:tc>
        <w:tc>
          <w:tcPr>
            <w:tcW w:w="222" w:type="pct"/>
            <w:shd w:val="clear" w:color="auto" w:fill="auto"/>
            <w:vAlign w:val="center"/>
          </w:tcPr>
          <w:p w14:paraId="5D394D0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1" w:type="pct"/>
            <w:shd w:val="clear" w:color="auto" w:fill="auto"/>
            <w:vAlign w:val="center"/>
          </w:tcPr>
          <w:p w14:paraId="7A4C15F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54245A" w:rsidRPr="00F51155" w14:paraId="0AF8C4FF" w14:textId="77777777" w:rsidTr="00EE1F30">
        <w:tc>
          <w:tcPr>
            <w:tcW w:w="552" w:type="pct"/>
            <w:shd w:val="clear" w:color="auto" w:fill="F2F2F2"/>
            <w:vAlign w:val="center"/>
          </w:tcPr>
          <w:p w14:paraId="4DE170DE"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LO80Fast</w:t>
            </w:r>
          </w:p>
        </w:tc>
        <w:tc>
          <w:tcPr>
            <w:tcW w:w="222" w:type="pct"/>
            <w:shd w:val="clear" w:color="auto" w:fill="F2F2F2"/>
            <w:vAlign w:val="center"/>
          </w:tcPr>
          <w:p w14:paraId="5CB3C73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76%</w:t>
            </w:r>
          </w:p>
        </w:tc>
        <w:tc>
          <w:tcPr>
            <w:tcW w:w="223" w:type="pct"/>
            <w:shd w:val="clear" w:color="auto" w:fill="F2F2F2"/>
            <w:vAlign w:val="center"/>
          </w:tcPr>
          <w:p w14:paraId="77EE8FA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83%</w:t>
            </w:r>
          </w:p>
        </w:tc>
        <w:tc>
          <w:tcPr>
            <w:tcW w:w="222" w:type="pct"/>
            <w:shd w:val="clear" w:color="auto" w:fill="F2F2F2"/>
            <w:vAlign w:val="center"/>
          </w:tcPr>
          <w:p w14:paraId="1608D6A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88%</w:t>
            </w:r>
          </w:p>
        </w:tc>
        <w:tc>
          <w:tcPr>
            <w:tcW w:w="223" w:type="pct"/>
            <w:shd w:val="clear" w:color="auto" w:fill="F2F2F2"/>
            <w:vAlign w:val="center"/>
          </w:tcPr>
          <w:p w14:paraId="6C1E885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92%</w:t>
            </w:r>
          </w:p>
        </w:tc>
        <w:tc>
          <w:tcPr>
            <w:tcW w:w="222" w:type="pct"/>
            <w:shd w:val="clear" w:color="auto" w:fill="F2F2F2"/>
            <w:vAlign w:val="center"/>
          </w:tcPr>
          <w:p w14:paraId="6A6292F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95%</w:t>
            </w:r>
          </w:p>
        </w:tc>
        <w:tc>
          <w:tcPr>
            <w:tcW w:w="223" w:type="pct"/>
            <w:shd w:val="clear" w:color="auto" w:fill="F2F2F2"/>
            <w:vAlign w:val="center"/>
          </w:tcPr>
          <w:p w14:paraId="62AC90F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97%</w:t>
            </w:r>
          </w:p>
        </w:tc>
        <w:tc>
          <w:tcPr>
            <w:tcW w:w="222" w:type="pct"/>
            <w:shd w:val="clear" w:color="auto" w:fill="F2F2F2"/>
            <w:vAlign w:val="center"/>
          </w:tcPr>
          <w:p w14:paraId="1141B33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98%</w:t>
            </w:r>
          </w:p>
        </w:tc>
        <w:tc>
          <w:tcPr>
            <w:tcW w:w="223" w:type="pct"/>
            <w:shd w:val="clear" w:color="auto" w:fill="F2F2F2"/>
            <w:vAlign w:val="center"/>
          </w:tcPr>
          <w:p w14:paraId="2084FEE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2" w:type="pct"/>
            <w:shd w:val="clear" w:color="auto" w:fill="F2F2F2"/>
            <w:vAlign w:val="center"/>
          </w:tcPr>
          <w:p w14:paraId="2933A70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99%</w:t>
            </w:r>
          </w:p>
        </w:tc>
        <w:tc>
          <w:tcPr>
            <w:tcW w:w="223" w:type="pct"/>
            <w:shd w:val="clear" w:color="auto" w:fill="F2F2F2"/>
            <w:vAlign w:val="center"/>
          </w:tcPr>
          <w:p w14:paraId="3D9C945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3AF36F5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280292F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05CC5F4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0C6FE8F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3C48C16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4E2FF09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202ECEB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3" w:type="pct"/>
            <w:shd w:val="clear" w:color="auto" w:fill="F2F2F2"/>
            <w:vAlign w:val="center"/>
          </w:tcPr>
          <w:p w14:paraId="3EBC285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2" w:type="pct"/>
            <w:shd w:val="clear" w:color="auto" w:fill="F2F2F2"/>
            <w:vAlign w:val="center"/>
          </w:tcPr>
          <w:p w14:paraId="5364EC8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c>
          <w:tcPr>
            <w:tcW w:w="221" w:type="pct"/>
            <w:shd w:val="clear" w:color="auto" w:fill="F2F2F2"/>
            <w:vAlign w:val="center"/>
          </w:tcPr>
          <w:p w14:paraId="61D3874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100%</w:t>
            </w:r>
          </w:p>
        </w:tc>
      </w:tr>
      <w:tr w:rsidR="00313D96" w:rsidRPr="00F51155" w14:paraId="52273802" w14:textId="77777777" w:rsidTr="00EE1F30">
        <w:tc>
          <w:tcPr>
            <w:tcW w:w="552" w:type="pct"/>
            <w:shd w:val="clear" w:color="auto" w:fill="auto"/>
            <w:vAlign w:val="center"/>
          </w:tcPr>
          <w:p w14:paraId="04AA3232"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Retro12Med</w:t>
            </w:r>
          </w:p>
        </w:tc>
        <w:tc>
          <w:tcPr>
            <w:tcW w:w="222" w:type="pct"/>
            <w:shd w:val="clear" w:color="auto" w:fill="auto"/>
            <w:vAlign w:val="center"/>
          </w:tcPr>
          <w:p w14:paraId="10546D8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11FB755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2" w:type="pct"/>
            <w:shd w:val="clear" w:color="auto" w:fill="auto"/>
            <w:vAlign w:val="center"/>
          </w:tcPr>
          <w:p w14:paraId="76D1708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5BD6064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2" w:type="pct"/>
            <w:shd w:val="clear" w:color="auto" w:fill="auto"/>
            <w:vAlign w:val="center"/>
          </w:tcPr>
          <w:p w14:paraId="3CBB2CD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73B4925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2" w:type="pct"/>
            <w:shd w:val="clear" w:color="auto" w:fill="auto"/>
            <w:vAlign w:val="center"/>
          </w:tcPr>
          <w:p w14:paraId="715F0A1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w:t>
            </w:r>
          </w:p>
        </w:tc>
        <w:tc>
          <w:tcPr>
            <w:tcW w:w="223" w:type="pct"/>
            <w:shd w:val="clear" w:color="auto" w:fill="auto"/>
            <w:vAlign w:val="center"/>
          </w:tcPr>
          <w:p w14:paraId="66120EC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2" w:type="pct"/>
            <w:shd w:val="clear" w:color="auto" w:fill="auto"/>
            <w:vAlign w:val="center"/>
          </w:tcPr>
          <w:p w14:paraId="5DCD078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auto"/>
            <w:vAlign w:val="center"/>
          </w:tcPr>
          <w:p w14:paraId="1DA7E60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2" w:type="pct"/>
            <w:shd w:val="clear" w:color="auto" w:fill="auto"/>
            <w:vAlign w:val="center"/>
          </w:tcPr>
          <w:p w14:paraId="4D311FD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3" w:type="pct"/>
            <w:shd w:val="clear" w:color="auto" w:fill="auto"/>
            <w:vAlign w:val="center"/>
          </w:tcPr>
          <w:p w14:paraId="709E7D6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auto"/>
            <w:vAlign w:val="center"/>
          </w:tcPr>
          <w:p w14:paraId="0B3CADA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3" w:type="pct"/>
            <w:shd w:val="clear" w:color="auto" w:fill="auto"/>
            <w:vAlign w:val="center"/>
          </w:tcPr>
          <w:p w14:paraId="31DEE18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2" w:type="pct"/>
            <w:shd w:val="clear" w:color="auto" w:fill="auto"/>
            <w:vAlign w:val="center"/>
          </w:tcPr>
          <w:p w14:paraId="4E7E7CD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65880F8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2FC9B76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auto"/>
            <w:vAlign w:val="center"/>
          </w:tcPr>
          <w:p w14:paraId="688E4ED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auto"/>
            <w:vAlign w:val="center"/>
          </w:tcPr>
          <w:p w14:paraId="3674BA6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1" w:type="pct"/>
            <w:shd w:val="clear" w:color="auto" w:fill="auto"/>
            <w:vAlign w:val="center"/>
          </w:tcPr>
          <w:p w14:paraId="371F986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r>
      <w:tr w:rsidR="0054245A" w:rsidRPr="00F51155" w14:paraId="18F5A759" w14:textId="77777777" w:rsidTr="00EE1F30">
        <w:tc>
          <w:tcPr>
            <w:tcW w:w="552" w:type="pct"/>
            <w:shd w:val="clear" w:color="auto" w:fill="F2F2F2"/>
            <w:vAlign w:val="center"/>
          </w:tcPr>
          <w:p w14:paraId="459C7739"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Retro5Med</w:t>
            </w:r>
          </w:p>
        </w:tc>
        <w:tc>
          <w:tcPr>
            <w:tcW w:w="222" w:type="pct"/>
            <w:shd w:val="clear" w:color="auto" w:fill="F2F2F2"/>
            <w:vAlign w:val="center"/>
          </w:tcPr>
          <w:p w14:paraId="1E969F0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3" w:type="pct"/>
            <w:shd w:val="clear" w:color="auto" w:fill="F2F2F2"/>
            <w:vAlign w:val="center"/>
          </w:tcPr>
          <w:p w14:paraId="135F707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4F69488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3" w:type="pct"/>
            <w:shd w:val="clear" w:color="auto" w:fill="F2F2F2"/>
            <w:vAlign w:val="center"/>
          </w:tcPr>
          <w:p w14:paraId="151187E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w:t>
            </w:r>
          </w:p>
        </w:tc>
        <w:tc>
          <w:tcPr>
            <w:tcW w:w="222" w:type="pct"/>
            <w:shd w:val="clear" w:color="auto" w:fill="F2F2F2"/>
            <w:vAlign w:val="center"/>
          </w:tcPr>
          <w:p w14:paraId="5C98006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3" w:type="pct"/>
            <w:shd w:val="clear" w:color="auto" w:fill="F2F2F2"/>
            <w:vAlign w:val="center"/>
          </w:tcPr>
          <w:p w14:paraId="4E54A54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2" w:type="pct"/>
            <w:shd w:val="clear" w:color="auto" w:fill="F2F2F2"/>
            <w:vAlign w:val="center"/>
          </w:tcPr>
          <w:p w14:paraId="20551BD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F2F2F2"/>
            <w:vAlign w:val="center"/>
          </w:tcPr>
          <w:p w14:paraId="7C19BD6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2" w:type="pct"/>
            <w:shd w:val="clear" w:color="auto" w:fill="F2F2F2"/>
            <w:vAlign w:val="center"/>
          </w:tcPr>
          <w:p w14:paraId="0284F2E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F2F2F2"/>
            <w:vAlign w:val="center"/>
          </w:tcPr>
          <w:p w14:paraId="4166C4B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2" w:type="pct"/>
            <w:shd w:val="clear" w:color="auto" w:fill="F2F2F2"/>
            <w:vAlign w:val="center"/>
          </w:tcPr>
          <w:p w14:paraId="1E95303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w:t>
            </w:r>
          </w:p>
        </w:tc>
        <w:tc>
          <w:tcPr>
            <w:tcW w:w="223" w:type="pct"/>
            <w:shd w:val="clear" w:color="auto" w:fill="F2F2F2"/>
            <w:vAlign w:val="center"/>
          </w:tcPr>
          <w:p w14:paraId="5C67A45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0F1983B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3" w:type="pct"/>
            <w:shd w:val="clear" w:color="auto" w:fill="F2F2F2"/>
            <w:vAlign w:val="center"/>
          </w:tcPr>
          <w:p w14:paraId="60DDD31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F2F2F2"/>
            <w:vAlign w:val="center"/>
          </w:tcPr>
          <w:p w14:paraId="38F84FF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F2F2F2"/>
            <w:vAlign w:val="center"/>
          </w:tcPr>
          <w:p w14:paraId="292036B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53E07DC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F2F2F2"/>
            <w:vAlign w:val="center"/>
          </w:tcPr>
          <w:p w14:paraId="6645E69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22AC7B5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1" w:type="pct"/>
            <w:shd w:val="clear" w:color="auto" w:fill="F2F2F2"/>
            <w:vAlign w:val="center"/>
          </w:tcPr>
          <w:p w14:paraId="4E04607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r>
      <w:tr w:rsidR="00313D96" w:rsidRPr="00F51155" w14:paraId="39212465" w14:textId="77777777" w:rsidTr="00EE1F30">
        <w:tc>
          <w:tcPr>
            <w:tcW w:w="552" w:type="pct"/>
            <w:shd w:val="clear" w:color="auto" w:fill="auto"/>
            <w:vAlign w:val="center"/>
          </w:tcPr>
          <w:p w14:paraId="2321CD50"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Retro1Slow</w:t>
            </w:r>
          </w:p>
        </w:tc>
        <w:tc>
          <w:tcPr>
            <w:tcW w:w="222" w:type="pct"/>
            <w:shd w:val="clear" w:color="auto" w:fill="auto"/>
            <w:vAlign w:val="center"/>
          </w:tcPr>
          <w:p w14:paraId="62CE309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auto"/>
            <w:vAlign w:val="center"/>
          </w:tcPr>
          <w:p w14:paraId="1B2A98A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4C2EEDF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3F6B4E5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12A9D30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3" w:type="pct"/>
            <w:shd w:val="clear" w:color="auto" w:fill="auto"/>
            <w:vAlign w:val="center"/>
          </w:tcPr>
          <w:p w14:paraId="181252F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auto"/>
            <w:vAlign w:val="center"/>
          </w:tcPr>
          <w:p w14:paraId="1205C53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3" w:type="pct"/>
            <w:shd w:val="clear" w:color="auto" w:fill="auto"/>
            <w:vAlign w:val="center"/>
          </w:tcPr>
          <w:p w14:paraId="026CAA8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2" w:type="pct"/>
            <w:shd w:val="clear" w:color="auto" w:fill="auto"/>
            <w:vAlign w:val="center"/>
          </w:tcPr>
          <w:p w14:paraId="1DD5B53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w:t>
            </w:r>
          </w:p>
        </w:tc>
        <w:tc>
          <w:tcPr>
            <w:tcW w:w="223" w:type="pct"/>
            <w:shd w:val="clear" w:color="auto" w:fill="auto"/>
            <w:vAlign w:val="center"/>
          </w:tcPr>
          <w:p w14:paraId="2A95A1C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w:t>
            </w:r>
          </w:p>
        </w:tc>
        <w:tc>
          <w:tcPr>
            <w:tcW w:w="222" w:type="pct"/>
            <w:shd w:val="clear" w:color="auto" w:fill="auto"/>
            <w:vAlign w:val="center"/>
          </w:tcPr>
          <w:p w14:paraId="496B180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3" w:type="pct"/>
            <w:shd w:val="clear" w:color="auto" w:fill="auto"/>
            <w:vAlign w:val="center"/>
          </w:tcPr>
          <w:p w14:paraId="2C85466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2" w:type="pct"/>
            <w:shd w:val="clear" w:color="auto" w:fill="auto"/>
            <w:vAlign w:val="center"/>
          </w:tcPr>
          <w:p w14:paraId="0FEB3F1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3" w:type="pct"/>
            <w:shd w:val="clear" w:color="auto" w:fill="auto"/>
            <w:vAlign w:val="center"/>
          </w:tcPr>
          <w:p w14:paraId="4EE0A62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2" w:type="pct"/>
            <w:shd w:val="clear" w:color="auto" w:fill="auto"/>
            <w:vAlign w:val="center"/>
          </w:tcPr>
          <w:p w14:paraId="1B54157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w:t>
            </w:r>
          </w:p>
        </w:tc>
        <w:tc>
          <w:tcPr>
            <w:tcW w:w="223" w:type="pct"/>
            <w:shd w:val="clear" w:color="auto" w:fill="auto"/>
            <w:vAlign w:val="center"/>
          </w:tcPr>
          <w:p w14:paraId="03C85F8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w:t>
            </w:r>
          </w:p>
        </w:tc>
        <w:tc>
          <w:tcPr>
            <w:tcW w:w="222" w:type="pct"/>
            <w:shd w:val="clear" w:color="auto" w:fill="auto"/>
            <w:vAlign w:val="center"/>
          </w:tcPr>
          <w:p w14:paraId="3904B99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auto"/>
            <w:vAlign w:val="center"/>
          </w:tcPr>
          <w:p w14:paraId="054FEA7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2" w:type="pct"/>
            <w:shd w:val="clear" w:color="auto" w:fill="auto"/>
            <w:vAlign w:val="center"/>
          </w:tcPr>
          <w:p w14:paraId="65E365B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1" w:type="pct"/>
            <w:shd w:val="clear" w:color="auto" w:fill="auto"/>
            <w:vAlign w:val="center"/>
          </w:tcPr>
          <w:p w14:paraId="5FC2396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r>
      <w:tr w:rsidR="0054245A" w:rsidRPr="00F51155" w14:paraId="20FF2693" w14:textId="77777777" w:rsidTr="00EE1F30">
        <w:tc>
          <w:tcPr>
            <w:tcW w:w="552" w:type="pct"/>
            <w:shd w:val="clear" w:color="auto" w:fill="F2F2F2"/>
            <w:vAlign w:val="center"/>
          </w:tcPr>
          <w:p w14:paraId="477E19D2"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Retro50Fast</w:t>
            </w:r>
          </w:p>
        </w:tc>
        <w:tc>
          <w:tcPr>
            <w:tcW w:w="222" w:type="pct"/>
            <w:shd w:val="clear" w:color="auto" w:fill="F2F2F2"/>
            <w:vAlign w:val="center"/>
          </w:tcPr>
          <w:p w14:paraId="4BB1730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45%</w:t>
            </w:r>
          </w:p>
        </w:tc>
        <w:tc>
          <w:tcPr>
            <w:tcW w:w="223" w:type="pct"/>
            <w:shd w:val="clear" w:color="auto" w:fill="F2F2F2"/>
            <w:vAlign w:val="center"/>
          </w:tcPr>
          <w:p w14:paraId="71973A1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21%</w:t>
            </w:r>
          </w:p>
        </w:tc>
        <w:tc>
          <w:tcPr>
            <w:tcW w:w="222" w:type="pct"/>
            <w:shd w:val="clear" w:color="auto" w:fill="F2F2F2"/>
            <w:vAlign w:val="center"/>
          </w:tcPr>
          <w:p w14:paraId="519CA76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14%</w:t>
            </w:r>
          </w:p>
        </w:tc>
        <w:tc>
          <w:tcPr>
            <w:tcW w:w="223" w:type="pct"/>
            <w:shd w:val="clear" w:color="auto" w:fill="F2F2F2"/>
            <w:vAlign w:val="center"/>
          </w:tcPr>
          <w:p w14:paraId="01CED77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2" w:type="pct"/>
            <w:shd w:val="clear" w:color="auto" w:fill="F2F2F2"/>
            <w:vAlign w:val="center"/>
          </w:tcPr>
          <w:p w14:paraId="772D8B4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3" w:type="pct"/>
            <w:shd w:val="clear" w:color="auto" w:fill="F2F2F2"/>
            <w:vAlign w:val="center"/>
          </w:tcPr>
          <w:p w14:paraId="294638A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F2F2F2"/>
            <w:vAlign w:val="center"/>
          </w:tcPr>
          <w:p w14:paraId="05F95A0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F2F2F2"/>
            <w:vAlign w:val="center"/>
          </w:tcPr>
          <w:p w14:paraId="49FFB12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F2F2F2"/>
            <w:vAlign w:val="center"/>
          </w:tcPr>
          <w:p w14:paraId="713D2E7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F2F2F2"/>
            <w:vAlign w:val="center"/>
          </w:tcPr>
          <w:p w14:paraId="532C75A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6BA978A1"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F2F2F2"/>
            <w:vAlign w:val="center"/>
          </w:tcPr>
          <w:p w14:paraId="5F859BD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23B881E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F2F2F2"/>
            <w:vAlign w:val="center"/>
          </w:tcPr>
          <w:p w14:paraId="785CBCA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18BF54C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F2F2F2"/>
            <w:vAlign w:val="center"/>
          </w:tcPr>
          <w:p w14:paraId="7F24099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2491DC8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3" w:type="pct"/>
            <w:shd w:val="clear" w:color="auto" w:fill="F2F2F2"/>
            <w:vAlign w:val="center"/>
          </w:tcPr>
          <w:p w14:paraId="0AC4D5C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2" w:type="pct"/>
            <w:shd w:val="clear" w:color="auto" w:fill="F2F2F2"/>
            <w:vAlign w:val="center"/>
          </w:tcPr>
          <w:p w14:paraId="3C49B40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c>
          <w:tcPr>
            <w:tcW w:w="221" w:type="pct"/>
            <w:shd w:val="clear" w:color="auto" w:fill="F2F2F2"/>
            <w:vAlign w:val="center"/>
          </w:tcPr>
          <w:p w14:paraId="728CDCC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r>
      <w:tr w:rsidR="00313D96" w:rsidRPr="00F51155" w14:paraId="19AF2FA5" w14:textId="77777777" w:rsidTr="00EE1F30">
        <w:tc>
          <w:tcPr>
            <w:tcW w:w="552" w:type="pct"/>
            <w:shd w:val="clear" w:color="auto" w:fill="auto"/>
            <w:vAlign w:val="center"/>
          </w:tcPr>
          <w:p w14:paraId="77778C2C"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Retro20Fast</w:t>
            </w:r>
          </w:p>
        </w:tc>
        <w:tc>
          <w:tcPr>
            <w:tcW w:w="222" w:type="pct"/>
            <w:shd w:val="clear" w:color="auto" w:fill="auto"/>
            <w:vAlign w:val="center"/>
          </w:tcPr>
          <w:p w14:paraId="40496BB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22%</w:t>
            </w:r>
          </w:p>
        </w:tc>
        <w:tc>
          <w:tcPr>
            <w:tcW w:w="223" w:type="pct"/>
            <w:shd w:val="clear" w:color="auto" w:fill="auto"/>
            <w:vAlign w:val="center"/>
          </w:tcPr>
          <w:p w14:paraId="5BB655D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16%</w:t>
            </w:r>
          </w:p>
        </w:tc>
        <w:tc>
          <w:tcPr>
            <w:tcW w:w="222" w:type="pct"/>
            <w:shd w:val="clear" w:color="auto" w:fill="auto"/>
            <w:vAlign w:val="center"/>
          </w:tcPr>
          <w:p w14:paraId="7D0938A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65CF6D68"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w:t>
            </w:r>
          </w:p>
        </w:tc>
        <w:tc>
          <w:tcPr>
            <w:tcW w:w="222" w:type="pct"/>
            <w:shd w:val="clear" w:color="auto" w:fill="auto"/>
            <w:vAlign w:val="center"/>
          </w:tcPr>
          <w:p w14:paraId="61A509A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w:t>
            </w:r>
          </w:p>
        </w:tc>
        <w:tc>
          <w:tcPr>
            <w:tcW w:w="223" w:type="pct"/>
            <w:shd w:val="clear" w:color="auto" w:fill="auto"/>
            <w:vAlign w:val="center"/>
          </w:tcPr>
          <w:p w14:paraId="1370CBA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2" w:type="pct"/>
            <w:shd w:val="clear" w:color="auto" w:fill="auto"/>
            <w:vAlign w:val="center"/>
          </w:tcPr>
          <w:p w14:paraId="69407F2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auto"/>
            <w:vAlign w:val="center"/>
          </w:tcPr>
          <w:p w14:paraId="6A5C018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auto"/>
            <w:vAlign w:val="center"/>
          </w:tcPr>
          <w:p w14:paraId="66B418A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3" w:type="pct"/>
            <w:shd w:val="clear" w:color="auto" w:fill="auto"/>
            <w:vAlign w:val="center"/>
          </w:tcPr>
          <w:p w14:paraId="26235CE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auto"/>
            <w:vAlign w:val="center"/>
          </w:tcPr>
          <w:p w14:paraId="35AF91F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3" w:type="pct"/>
            <w:shd w:val="clear" w:color="auto" w:fill="auto"/>
            <w:vAlign w:val="center"/>
          </w:tcPr>
          <w:p w14:paraId="2B7E686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2" w:type="pct"/>
            <w:shd w:val="clear" w:color="auto" w:fill="auto"/>
            <w:vAlign w:val="center"/>
          </w:tcPr>
          <w:p w14:paraId="2B76E99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3" w:type="pct"/>
            <w:shd w:val="clear" w:color="auto" w:fill="auto"/>
            <w:vAlign w:val="center"/>
          </w:tcPr>
          <w:p w14:paraId="0BEC20F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7CB99F2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781AE1C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3A543DA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4CCEDA1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369229DB"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1" w:type="pct"/>
            <w:shd w:val="clear" w:color="auto" w:fill="auto"/>
            <w:vAlign w:val="center"/>
          </w:tcPr>
          <w:p w14:paraId="205C8D8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0%</w:t>
            </w:r>
          </w:p>
        </w:tc>
      </w:tr>
      <w:tr w:rsidR="0054245A" w:rsidRPr="00F51155" w14:paraId="1399CAE0" w14:textId="77777777" w:rsidTr="00EE1F30">
        <w:tc>
          <w:tcPr>
            <w:tcW w:w="552" w:type="pct"/>
            <w:shd w:val="clear" w:color="auto" w:fill="F2F2F2"/>
            <w:vAlign w:val="center"/>
          </w:tcPr>
          <w:p w14:paraId="70C3831D"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RetroEven20</w:t>
            </w:r>
          </w:p>
        </w:tc>
        <w:tc>
          <w:tcPr>
            <w:tcW w:w="222" w:type="pct"/>
            <w:shd w:val="clear" w:color="auto" w:fill="F2F2F2"/>
            <w:vAlign w:val="center"/>
          </w:tcPr>
          <w:p w14:paraId="1789D5E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1DDF441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19445CB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6EA6501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7D5C751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5F0536F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661B924D"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4AC8809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08FB15C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237F27B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6024838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73D7CF2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3931F81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4D072867"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26A5CB0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416B0D6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42ED3EC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F2F2F2"/>
            <w:vAlign w:val="center"/>
          </w:tcPr>
          <w:p w14:paraId="228DE11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2" w:type="pct"/>
            <w:shd w:val="clear" w:color="auto" w:fill="F2F2F2"/>
            <w:vAlign w:val="center"/>
          </w:tcPr>
          <w:p w14:paraId="37FFDFF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1" w:type="pct"/>
            <w:shd w:val="clear" w:color="auto" w:fill="F2F2F2"/>
            <w:vAlign w:val="center"/>
          </w:tcPr>
          <w:p w14:paraId="6E3F75D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r>
      <w:tr w:rsidR="00313D96" w:rsidRPr="00F51155" w14:paraId="5D65ED97" w14:textId="77777777" w:rsidTr="00EE1F30">
        <w:tc>
          <w:tcPr>
            <w:tcW w:w="552" w:type="pct"/>
            <w:shd w:val="clear" w:color="auto" w:fill="auto"/>
            <w:vAlign w:val="center"/>
          </w:tcPr>
          <w:p w14:paraId="0E08A55B" w14:textId="77777777" w:rsidR="00D16B70" w:rsidRPr="00984846" w:rsidRDefault="00D16B70">
            <w:pPr>
              <w:pStyle w:val="TableText"/>
              <w:jc w:val="left"/>
              <w:rPr>
                <w:rFonts w:asciiTheme="majorHAnsi" w:hAnsiTheme="majorHAnsi" w:cs="Calibri"/>
                <w:bCs/>
                <w:sz w:val="14"/>
                <w:szCs w:val="14"/>
              </w:rPr>
            </w:pPr>
            <w:r w:rsidRPr="00984846">
              <w:rPr>
                <w:rFonts w:asciiTheme="majorHAnsi" w:hAnsiTheme="majorHAnsi" w:cs="Calibri"/>
                <w:bCs/>
                <w:sz w:val="14"/>
                <w:szCs w:val="14"/>
              </w:rPr>
              <w:t>Retro3Slow</w:t>
            </w:r>
          </w:p>
        </w:tc>
        <w:tc>
          <w:tcPr>
            <w:tcW w:w="222" w:type="pct"/>
            <w:shd w:val="clear" w:color="auto" w:fill="auto"/>
            <w:vAlign w:val="center"/>
          </w:tcPr>
          <w:p w14:paraId="7CBC4D73"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3" w:type="pct"/>
            <w:shd w:val="clear" w:color="auto" w:fill="auto"/>
            <w:vAlign w:val="center"/>
          </w:tcPr>
          <w:p w14:paraId="5EF43A39"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5A6A89E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3" w:type="pct"/>
            <w:shd w:val="clear" w:color="auto" w:fill="auto"/>
            <w:vAlign w:val="center"/>
          </w:tcPr>
          <w:p w14:paraId="4438492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auto"/>
            <w:vAlign w:val="center"/>
          </w:tcPr>
          <w:p w14:paraId="3E5BB49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5%</w:t>
            </w:r>
          </w:p>
        </w:tc>
        <w:tc>
          <w:tcPr>
            <w:tcW w:w="223" w:type="pct"/>
            <w:shd w:val="clear" w:color="auto" w:fill="auto"/>
            <w:vAlign w:val="center"/>
          </w:tcPr>
          <w:p w14:paraId="5F2BC0A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w:t>
            </w:r>
          </w:p>
        </w:tc>
        <w:tc>
          <w:tcPr>
            <w:tcW w:w="222" w:type="pct"/>
            <w:shd w:val="clear" w:color="auto" w:fill="auto"/>
            <w:vAlign w:val="center"/>
          </w:tcPr>
          <w:p w14:paraId="2C8A783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8%</w:t>
            </w:r>
          </w:p>
        </w:tc>
        <w:tc>
          <w:tcPr>
            <w:tcW w:w="223" w:type="pct"/>
            <w:shd w:val="clear" w:color="auto" w:fill="auto"/>
            <w:vAlign w:val="center"/>
          </w:tcPr>
          <w:p w14:paraId="5731F27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2" w:type="pct"/>
            <w:shd w:val="clear" w:color="auto" w:fill="auto"/>
            <w:vAlign w:val="center"/>
          </w:tcPr>
          <w:p w14:paraId="323003C5"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3" w:type="pct"/>
            <w:shd w:val="clear" w:color="auto" w:fill="auto"/>
            <w:vAlign w:val="center"/>
          </w:tcPr>
          <w:p w14:paraId="770D610C"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11%</w:t>
            </w:r>
          </w:p>
        </w:tc>
        <w:tc>
          <w:tcPr>
            <w:tcW w:w="222" w:type="pct"/>
            <w:shd w:val="clear" w:color="auto" w:fill="auto"/>
            <w:vAlign w:val="center"/>
          </w:tcPr>
          <w:p w14:paraId="57510A4F"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10%</w:t>
            </w:r>
          </w:p>
        </w:tc>
        <w:tc>
          <w:tcPr>
            <w:tcW w:w="223" w:type="pct"/>
            <w:shd w:val="clear" w:color="auto" w:fill="auto"/>
            <w:vAlign w:val="center"/>
          </w:tcPr>
          <w:p w14:paraId="5B0569C4"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9%</w:t>
            </w:r>
          </w:p>
        </w:tc>
        <w:tc>
          <w:tcPr>
            <w:tcW w:w="222" w:type="pct"/>
            <w:shd w:val="clear" w:color="auto" w:fill="auto"/>
            <w:vAlign w:val="center"/>
          </w:tcPr>
          <w:p w14:paraId="79B761B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7%</w:t>
            </w:r>
          </w:p>
        </w:tc>
        <w:tc>
          <w:tcPr>
            <w:tcW w:w="223" w:type="pct"/>
            <w:shd w:val="clear" w:color="auto" w:fill="auto"/>
            <w:vAlign w:val="center"/>
          </w:tcPr>
          <w:p w14:paraId="0B2C775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6%</w:t>
            </w:r>
          </w:p>
        </w:tc>
        <w:tc>
          <w:tcPr>
            <w:tcW w:w="222" w:type="pct"/>
            <w:shd w:val="clear" w:color="auto" w:fill="auto"/>
            <w:vAlign w:val="center"/>
          </w:tcPr>
          <w:p w14:paraId="43EAC73A"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4%</w:t>
            </w:r>
          </w:p>
        </w:tc>
        <w:tc>
          <w:tcPr>
            <w:tcW w:w="223" w:type="pct"/>
            <w:shd w:val="clear" w:color="auto" w:fill="auto"/>
            <w:vAlign w:val="center"/>
          </w:tcPr>
          <w:p w14:paraId="20E9E3A0"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3%</w:t>
            </w:r>
          </w:p>
        </w:tc>
        <w:tc>
          <w:tcPr>
            <w:tcW w:w="222" w:type="pct"/>
            <w:shd w:val="clear" w:color="auto" w:fill="auto"/>
            <w:vAlign w:val="center"/>
          </w:tcPr>
          <w:p w14:paraId="47CE25A6"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2%</w:t>
            </w:r>
          </w:p>
        </w:tc>
        <w:tc>
          <w:tcPr>
            <w:tcW w:w="223" w:type="pct"/>
            <w:shd w:val="clear" w:color="auto" w:fill="auto"/>
            <w:vAlign w:val="center"/>
          </w:tcPr>
          <w:p w14:paraId="4A8737CE"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2" w:type="pct"/>
            <w:shd w:val="clear" w:color="auto" w:fill="auto"/>
            <w:vAlign w:val="center"/>
          </w:tcPr>
          <w:p w14:paraId="4074C64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c>
          <w:tcPr>
            <w:tcW w:w="221" w:type="pct"/>
            <w:shd w:val="clear" w:color="auto" w:fill="auto"/>
            <w:vAlign w:val="center"/>
          </w:tcPr>
          <w:p w14:paraId="5AE6A572" w14:textId="77777777" w:rsidR="00D16B70" w:rsidRPr="00984846" w:rsidRDefault="00D16B70" w:rsidP="00984846">
            <w:pPr>
              <w:pStyle w:val="TableText"/>
              <w:jc w:val="right"/>
              <w:rPr>
                <w:rFonts w:asciiTheme="minorHAnsi" w:hAnsiTheme="minorHAnsi" w:cs="Calibri"/>
                <w:sz w:val="14"/>
                <w:szCs w:val="14"/>
              </w:rPr>
            </w:pPr>
            <w:r w:rsidRPr="00984846">
              <w:rPr>
                <w:rFonts w:asciiTheme="minorHAnsi" w:hAnsiTheme="minorHAnsi" w:cs="Calibri"/>
                <w:sz w:val="14"/>
                <w:szCs w:val="14"/>
              </w:rPr>
              <w:t>1%</w:t>
            </w:r>
          </w:p>
        </w:tc>
      </w:tr>
    </w:tbl>
    <w:p w14:paraId="2A589844" w14:textId="77777777" w:rsidR="00D16B70" w:rsidRDefault="00D16B70" w:rsidP="00D16B70">
      <w:pPr>
        <w:pStyle w:val="BodyText"/>
      </w:pPr>
    </w:p>
    <w:p w14:paraId="23D63D73" w14:textId="77777777" w:rsidR="00D16B70" w:rsidRDefault="00D16B70" w:rsidP="00D16B70">
      <w:pPr>
        <w:pStyle w:val="BodyText"/>
        <w:sectPr w:rsidR="00D16B70" w:rsidSect="00D16B70">
          <w:headerReference w:type="default" r:id="rId97"/>
          <w:footerReference w:type="first" r:id="rId98"/>
          <w:type w:val="oddPage"/>
          <w:pgSz w:w="15840" w:h="12240" w:orient="landscape" w:code="1"/>
          <w:pgMar w:top="1440" w:right="1440" w:bottom="1440" w:left="1440" w:header="720" w:footer="720" w:gutter="0"/>
          <w:pgNumType w:start="1" w:chapStyle="6"/>
          <w:cols w:space="720"/>
          <w:titlePg/>
          <w:docGrid w:linePitch="272"/>
        </w:sectPr>
      </w:pPr>
    </w:p>
    <w:p w14:paraId="6D0028F6" w14:textId="77777777" w:rsidR="00D16B70" w:rsidRDefault="00D16B70" w:rsidP="00D16B70">
      <w:pPr>
        <w:pStyle w:val="Heading6"/>
      </w:pPr>
      <w:bookmarkStart w:id="243" w:name="_Toc423097501"/>
      <w:bookmarkStart w:id="244" w:name="_Toc488070923"/>
      <w:bookmarkStart w:id="245" w:name="_Toc329701190"/>
    </w:p>
    <w:p w14:paraId="3A304A72" w14:textId="77777777" w:rsidR="00D16B70" w:rsidRPr="001B53DA" w:rsidRDefault="00D16B70" w:rsidP="00D16B70">
      <w:pPr>
        <w:pStyle w:val="AppendixTitle"/>
      </w:pPr>
      <w:bookmarkStart w:id="246" w:name="_Toc55829986"/>
      <w:r w:rsidRPr="001B53DA">
        <w:t>Measure Data</w:t>
      </w:r>
      <w:bookmarkEnd w:id="243"/>
      <w:bookmarkEnd w:id="244"/>
      <w:bookmarkEnd w:id="246"/>
      <w:r w:rsidRPr="001B53DA">
        <w:t xml:space="preserve"> </w:t>
      </w:r>
      <w:bookmarkEnd w:id="245"/>
    </w:p>
    <w:p w14:paraId="69A4D299" w14:textId="0F717431" w:rsidR="00D16B70" w:rsidRDefault="00D16B70" w:rsidP="00D16B70">
      <w:pPr>
        <w:pStyle w:val="BodyText"/>
      </w:pPr>
      <w:r>
        <w:t>Measure level assumptions and data are available in the “Avista 20</w:t>
      </w:r>
      <w:r w:rsidR="00D67C92">
        <w:t>24</w:t>
      </w:r>
      <w:r>
        <w:t xml:space="preserve"> DSM Potential Study Measure Assumptions” workbook provided to Avista alongside this file. </w:t>
      </w:r>
    </w:p>
    <w:p w14:paraId="733039F4" w14:textId="77777777" w:rsidR="00D16B70" w:rsidRDefault="00D16B70" w:rsidP="00D16B70">
      <w:pPr>
        <w:pStyle w:val="BodyText"/>
        <w:rPr>
          <w:highlight w:val="yellow"/>
        </w:rPr>
        <w:sectPr w:rsidR="00D16B70" w:rsidSect="00D16B70">
          <w:headerReference w:type="default" r:id="rId99"/>
          <w:headerReference w:type="first" r:id="rId100"/>
          <w:footerReference w:type="first" r:id="rId101"/>
          <w:pgSz w:w="12240" w:h="15840" w:code="1"/>
          <w:pgMar w:top="1440" w:right="1440" w:bottom="1440" w:left="1440" w:header="720" w:footer="1080" w:gutter="0"/>
          <w:pgNumType w:start="1" w:chapStyle="6"/>
          <w:cols w:space="720"/>
          <w:titlePg/>
          <w:docGrid w:linePitch="272"/>
        </w:sectPr>
      </w:pPr>
    </w:p>
    <w:p w14:paraId="08065048" w14:textId="77777777" w:rsidR="00D16B70" w:rsidRDefault="00D16B70" w:rsidP="00D16B70">
      <w:pPr>
        <w:rPr>
          <w:spacing w:val="4"/>
          <w:kern w:val="18"/>
          <w:szCs w:val="18"/>
          <w14:ligatures w14:val="standardContextual"/>
        </w:rPr>
      </w:pPr>
      <w:bookmarkStart w:id="247" w:name="_Toc319670878"/>
      <w:bookmarkStart w:id="248" w:name="_Toc319670934"/>
      <w:bookmarkStart w:id="249" w:name="_Toc319671881"/>
      <w:bookmarkStart w:id="250" w:name="_Toc319671981"/>
      <w:bookmarkStart w:id="251" w:name="_Toc319673039"/>
      <w:bookmarkStart w:id="252" w:name="_Toc319674547"/>
      <w:bookmarkStart w:id="253" w:name="_Toc329701187"/>
      <w:bookmarkStart w:id="254" w:name="_Toc332368354"/>
      <w:bookmarkEnd w:id="247"/>
      <w:bookmarkEnd w:id="248"/>
      <w:bookmarkEnd w:id="249"/>
      <w:bookmarkEnd w:id="250"/>
      <w:bookmarkEnd w:id="251"/>
      <w:bookmarkEnd w:id="252"/>
      <w:bookmarkEnd w:id="253"/>
      <w:bookmarkEnd w:id="254"/>
    </w:p>
    <w:p w14:paraId="75428862" w14:textId="77777777" w:rsidR="00D16B70" w:rsidRDefault="00D16B70" w:rsidP="00D16B70">
      <w:pPr>
        <w:pStyle w:val="BodyText"/>
      </w:pPr>
    </w:p>
    <w:p w14:paraId="14771A94" w14:textId="77777777" w:rsidR="00D16B70" w:rsidRDefault="00D16B70" w:rsidP="00D16B70">
      <w:pPr>
        <w:pStyle w:val="BodyText"/>
      </w:pPr>
    </w:p>
    <w:tbl>
      <w:tblPr>
        <w:tblpPr w:leftFromText="187" w:rightFromText="187" w:vertAnchor="page" w:horzAnchor="margin" w:tblpXSpec="right" w:tblpY="12772"/>
        <w:tblOverlap w:val="never"/>
        <w:tblW w:w="8642" w:type="dxa"/>
        <w:tblBorders>
          <w:left w:val="single" w:sz="4" w:space="0" w:color="999999"/>
          <w:insideH w:val="single" w:sz="4" w:space="0" w:color="999999"/>
          <w:insideV w:val="single" w:sz="4" w:space="0" w:color="999999"/>
        </w:tblBorders>
        <w:tblCellMar>
          <w:left w:w="86" w:type="dxa"/>
          <w:right w:w="86" w:type="dxa"/>
        </w:tblCellMar>
        <w:tblLook w:val="0000" w:firstRow="0" w:lastRow="0" w:firstColumn="0" w:lastColumn="0" w:noHBand="0" w:noVBand="0"/>
      </w:tblPr>
      <w:tblGrid>
        <w:gridCol w:w="3056"/>
        <w:gridCol w:w="5586"/>
      </w:tblGrid>
      <w:tr w:rsidR="00D16B70" w:rsidRPr="001E54DC" w14:paraId="37E3F241" w14:textId="77777777">
        <w:trPr>
          <w:trHeight w:val="747"/>
        </w:trPr>
        <w:tc>
          <w:tcPr>
            <w:tcW w:w="3056" w:type="dxa"/>
            <w:vAlign w:val="center"/>
          </w:tcPr>
          <w:p w14:paraId="384366B9" w14:textId="77777777" w:rsidR="00D16B70" w:rsidRDefault="00D16B70">
            <w:pPr>
              <w:pStyle w:val="CompanyInformationBold"/>
            </w:pPr>
            <w:r w:rsidRPr="0077696C">
              <w:t>Applied Energy Group, Inc.</w:t>
            </w:r>
          </w:p>
          <w:p w14:paraId="0CC8A193" w14:textId="77777777" w:rsidR="00D16B70" w:rsidRDefault="00D16B70">
            <w:pPr>
              <w:pStyle w:val="CompanyInformation"/>
            </w:pPr>
            <w:r>
              <w:t>500 Ygnacio Valley Rd, Suite 250</w:t>
            </w:r>
          </w:p>
          <w:p w14:paraId="07EB3A21" w14:textId="77777777" w:rsidR="00D16B70" w:rsidRPr="00ED3E55" w:rsidRDefault="00D16B70">
            <w:pPr>
              <w:pStyle w:val="CompanyInformation"/>
              <w:rPr>
                <w:rFonts w:asciiTheme="minorHAnsi" w:hAnsiTheme="minorHAnsi" w:cstheme="minorHAnsi"/>
                <w:szCs w:val="15"/>
              </w:rPr>
            </w:pPr>
            <w:r>
              <w:t>Walnut Creek, CA 94596</w:t>
            </w:r>
          </w:p>
        </w:tc>
        <w:tc>
          <w:tcPr>
            <w:tcW w:w="5586" w:type="dxa"/>
            <w:tcBorders>
              <w:right w:val="nil"/>
            </w:tcBorders>
            <w:vAlign w:val="center"/>
          </w:tcPr>
          <w:p w14:paraId="6621C087" w14:textId="77777777" w:rsidR="00D16B70" w:rsidRPr="00ED3E55" w:rsidRDefault="00D16B70">
            <w:pPr>
              <w:pStyle w:val="CompanyInformation"/>
              <w:tabs>
                <w:tab w:val="left" w:pos="214"/>
              </w:tabs>
              <w:rPr>
                <w:rFonts w:asciiTheme="minorHAnsi" w:hAnsiTheme="minorHAnsi" w:cstheme="minorHAnsi"/>
                <w:szCs w:val="15"/>
              </w:rPr>
            </w:pPr>
            <w:r w:rsidRPr="0077696C">
              <w:t>P:</w:t>
            </w:r>
            <w:r w:rsidRPr="0077696C">
              <w:tab/>
              <w:t>510.982.3525</w:t>
            </w:r>
          </w:p>
        </w:tc>
      </w:tr>
    </w:tbl>
    <w:p w14:paraId="3ED18114" w14:textId="77777777" w:rsidR="00D16B70" w:rsidRPr="00E804CC" w:rsidRDefault="00D16B70" w:rsidP="00D16B70">
      <w:pPr>
        <w:pStyle w:val="BodyText"/>
      </w:pPr>
    </w:p>
    <w:p w14:paraId="29E47FEB" w14:textId="6E0765F1" w:rsidR="00A72C34" w:rsidRPr="00E27C92" w:rsidRDefault="0095574A" w:rsidP="002C63BC">
      <w:pPr>
        <w:pStyle w:val="AEGBody"/>
        <w:rPr>
          <w:lang w:eastAsia="ja-JP"/>
        </w:rPr>
      </w:pPr>
      <w:r>
        <w:rPr>
          <w:noProof/>
        </w:rPr>
        <w:drawing>
          <wp:anchor distT="0" distB="0" distL="114300" distR="114300" simplePos="0" relativeHeight="251658243" behindDoc="0" locked="0" layoutInCell="1" allowOverlap="1" wp14:anchorId="5B482FDA" wp14:editId="7B60B268">
            <wp:simplePos x="0" y="0"/>
            <wp:positionH relativeFrom="column">
              <wp:posOffset>442595</wp:posOffset>
            </wp:positionH>
            <wp:positionV relativeFrom="paragraph">
              <wp:posOffset>4114800</wp:posOffset>
            </wp:positionV>
            <wp:extent cx="1808917" cy="703580"/>
            <wp:effectExtent l="0" t="0" r="1270" b="1270"/>
            <wp:wrapNone/>
            <wp:docPr id="2086431908" name="Picture 208643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31908" name="Picture 2086431908"/>
                    <pic:cNvPicPr>
                      <a:picLocks noChangeAspect="1" noChangeArrowheads="1"/>
                    </pic:cNvPicPr>
                  </pic:nvPicPr>
                  <pic:blipFill>
                    <a:blip r:embed="rId102" cstate="print">
                      <a:alphaModFix amt="85000"/>
                      <a:extLst>
                        <a:ext uri="{BEBA8EAE-BF5A-486C-A8C5-ECC9F3942E4B}">
                          <a14:imgProps xmlns:a14="http://schemas.microsoft.com/office/drawing/2010/main">
                            <a14:imgLayer r:embed="rId103">
                              <a14:imgEffect>
                                <a14:saturation sat="66000"/>
                              </a14:imgEffect>
                            </a14:imgLayer>
                          </a14:imgProps>
                        </a:ext>
                        <a:ext uri="{28A0092B-C50C-407E-A947-70E740481C1C}">
                          <a14:useLocalDpi xmlns:a14="http://schemas.microsoft.com/office/drawing/2010/main" val="0"/>
                        </a:ext>
                      </a:extLst>
                    </a:blip>
                    <a:stretch>
                      <a:fillRect/>
                    </a:stretch>
                  </pic:blipFill>
                  <pic:spPr bwMode="auto">
                    <a:xfrm>
                      <a:off x="0" y="0"/>
                      <a:ext cx="1808917" cy="70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157AC0">
        <w:rPr>
          <w:noProof/>
        </w:rPr>
        <mc:AlternateContent>
          <mc:Choice Requires="wpg">
            <w:drawing>
              <wp:anchor distT="0" distB="0" distL="114300" distR="114300" simplePos="0" relativeHeight="251658247" behindDoc="0" locked="0" layoutInCell="1" allowOverlap="1" wp14:anchorId="1E1F4D33" wp14:editId="198DBFE5">
                <wp:simplePos x="0" y="0"/>
                <wp:positionH relativeFrom="column">
                  <wp:posOffset>47625</wp:posOffset>
                </wp:positionH>
                <wp:positionV relativeFrom="paragraph">
                  <wp:posOffset>3685540</wp:posOffset>
                </wp:positionV>
                <wp:extent cx="6276340" cy="4639310"/>
                <wp:effectExtent l="0" t="0" r="0" b="0"/>
                <wp:wrapNone/>
                <wp:docPr id="11448341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6340" cy="4639310"/>
                          <a:chOff x="0" y="0"/>
                          <a:chExt cx="6276340" cy="4639734"/>
                        </a:xfrm>
                      </wpg:grpSpPr>
                      <wps:wsp>
                        <wps:cNvPr id="1078950922" name="Rectangle 55"/>
                        <wps:cNvSpPr/>
                        <wps:spPr>
                          <a:xfrm>
                            <a:off x="0" y="0"/>
                            <a:ext cx="3965825" cy="4639734"/>
                          </a:xfrm>
                          <a:prstGeom prst="rect">
                            <a:avLst/>
                          </a:prstGeom>
                          <a:solidFill>
                            <a:srgbClr val="F6F6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088328" name="Text Box 57"/>
                        <wps:cNvSpPr txBox="1"/>
                        <wps:spPr>
                          <a:xfrm>
                            <a:off x="395111" y="3318934"/>
                            <a:ext cx="2879725" cy="1070610"/>
                          </a:xfrm>
                          <a:prstGeom prst="rect">
                            <a:avLst/>
                          </a:prstGeom>
                          <a:noFill/>
                          <a:ln w="6350">
                            <a:noFill/>
                          </a:ln>
                        </wps:spPr>
                        <wps:txbx>
                          <w:txbxContent>
                            <w:p w14:paraId="09C99181" w14:textId="77777777" w:rsidR="001E7650" w:rsidRPr="008C1546" w:rsidRDefault="001E7650" w:rsidP="008C1546">
                              <w:pPr>
                                <w:pStyle w:val="BackCover"/>
                                <w:rPr>
                                  <w:rFonts w:asciiTheme="majorHAnsi" w:hAnsiTheme="majorHAnsi"/>
                                </w:rPr>
                              </w:pPr>
                              <w:r w:rsidRPr="008C1546">
                                <w:rPr>
                                  <w:rFonts w:asciiTheme="majorHAnsi" w:hAnsiTheme="majorHAnsi"/>
                                </w:rPr>
                                <w:t>Applied Energy Group, Inc.</w:t>
                              </w:r>
                            </w:p>
                            <w:p w14:paraId="14DFAF0C" w14:textId="77777777" w:rsidR="001E7650" w:rsidRPr="008C1546" w:rsidRDefault="001E7650" w:rsidP="008C1546">
                              <w:pPr>
                                <w:pStyle w:val="BackCover"/>
                              </w:pPr>
                              <w:r w:rsidRPr="008C1546">
                                <w:t>2300 Clayton Road</w:t>
                              </w:r>
                            </w:p>
                            <w:p w14:paraId="644B2724" w14:textId="77777777" w:rsidR="001E7650" w:rsidRPr="008C1546" w:rsidRDefault="001E7650" w:rsidP="008C1546">
                              <w:pPr>
                                <w:pStyle w:val="BackCover"/>
                              </w:pPr>
                              <w:r w:rsidRPr="008C1546">
                                <w:t>Suite 1370</w:t>
                              </w:r>
                              <w:r w:rsidRPr="008C1546">
                                <w:br/>
                                <w:t>Concord, CA 94520</w:t>
                              </w:r>
                            </w:p>
                            <w:p w14:paraId="32296A5E" w14:textId="77777777" w:rsidR="001E7650" w:rsidRPr="008C1546" w:rsidRDefault="001E7650" w:rsidP="008C1546">
                              <w:pPr>
                                <w:pStyle w:val="BackCover"/>
                              </w:pPr>
                              <w:r w:rsidRPr="008C1546">
                                <w:t>P: 510-982-3526</w:t>
                              </w:r>
                            </w:p>
                            <w:p w14:paraId="79E26D44" w14:textId="77777777" w:rsidR="001E7650" w:rsidRPr="00994B9D" w:rsidRDefault="001E7650" w:rsidP="002C63BC">
                              <w:pPr>
                                <w:pStyle w:val="Subtitl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19725904" name="Picture 25"/>
                          <pic:cNvPicPr>
                            <a:picLocks noChangeAspect="1"/>
                          </pic:cNvPicPr>
                        </pic:nvPicPr>
                        <pic:blipFill>
                          <a:blip r:embed="rId104" cstate="print"/>
                          <a:stretch>
                            <a:fillRect/>
                          </a:stretch>
                        </pic:blipFill>
                        <pic:spPr bwMode="auto">
                          <a:xfrm>
                            <a:off x="0" y="2065867"/>
                            <a:ext cx="6276340" cy="914400"/>
                          </a:xfrm>
                          <a:prstGeom prst="rect">
                            <a:avLst/>
                          </a:prstGeom>
                          <a:ln>
                            <a:noFill/>
                          </a:ln>
                        </pic:spPr>
                      </pic:pic>
                    </wpg:wgp>
                  </a:graphicData>
                </a:graphic>
                <wp14:sizeRelH relativeFrom="margin">
                  <wp14:pctWidth>0</wp14:pctWidth>
                </wp14:sizeRelH>
                <wp14:sizeRelV relativeFrom="page">
                  <wp14:pctHeight>0</wp14:pctHeight>
                </wp14:sizeRelV>
              </wp:anchor>
            </w:drawing>
          </mc:Choice>
          <mc:Fallback>
            <w:pict>
              <v:group w14:anchorId="1E1F4D33" id="Group 2" o:spid="_x0000_s1052" style="position:absolute;left:0;text-align:left;margin-left:3.75pt;margin-top:290.2pt;width:494.2pt;height:365.3pt;z-index:251658247;mso-position-horizontal-relative:text;mso-position-vertical-relative:text;mso-width-relative:margin" coordsize="62763,46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">
                <v:rect id="Rectangle 55" o:spid="_x0000_s1053" style="position:absolute;width:39658;height:46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" fillcolor="#f6f6f7" stroked="f" strokeweight="1pt"/>
                <v:shape id="Text Box 57" o:spid="_x0000_s1054" type="#_x0000_t202" style="position:absolute;left:3951;top:33189;width:28797;height:10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" filled="f" stroked="f" strokeweight=".5pt">
                  <v:textbox inset="0,0,0,0">
                    <w:txbxContent>
                      <w:p w14:paraId="09C99181" w14:textId="77777777" w:rsidR="001E7650" w:rsidRPr="008C1546" w:rsidRDefault="001E7650" w:rsidP="008C1546">
                        <w:pPr>
                          <w:pStyle w:val="BackCover"/>
                          <w:rPr>
                            <w:rFonts w:asciiTheme="majorHAnsi" w:hAnsiTheme="majorHAnsi"/>
                          </w:rPr>
                        </w:pPr>
                        <w:r w:rsidRPr="008C1546">
                          <w:rPr>
                            <w:rFonts w:asciiTheme="majorHAnsi" w:hAnsiTheme="majorHAnsi"/>
                          </w:rPr>
                          <w:t>Applied Energy Group, Inc.</w:t>
                        </w:r>
                      </w:p>
                      <w:p w14:paraId="14DFAF0C" w14:textId="77777777" w:rsidR="001E7650" w:rsidRPr="008C1546" w:rsidRDefault="001E7650" w:rsidP="008C1546">
                        <w:pPr>
                          <w:pStyle w:val="BackCover"/>
                        </w:pPr>
                        <w:r w:rsidRPr="008C1546">
                          <w:t>2300 Clayton Road</w:t>
                        </w:r>
                      </w:p>
                      <w:p w14:paraId="644B2724" w14:textId="77777777" w:rsidR="001E7650" w:rsidRPr="008C1546" w:rsidRDefault="001E7650" w:rsidP="008C1546">
                        <w:pPr>
                          <w:pStyle w:val="BackCover"/>
                        </w:pPr>
                        <w:r w:rsidRPr="008C1546">
                          <w:t>Suite 1370</w:t>
                        </w:r>
                        <w:r w:rsidRPr="008C1546">
                          <w:br/>
                          <w:t>Concord, CA 94520</w:t>
                        </w:r>
                      </w:p>
                      <w:p w14:paraId="32296A5E" w14:textId="77777777" w:rsidR="001E7650" w:rsidRPr="008C1546" w:rsidRDefault="001E7650" w:rsidP="008C1546">
                        <w:pPr>
                          <w:pStyle w:val="BackCover"/>
                        </w:pPr>
                        <w:r w:rsidRPr="008C1546">
                          <w:t>P: 510-982-3526</w:t>
                        </w:r>
                      </w:p>
                      <w:p w14:paraId="79E26D44" w14:textId="77777777" w:rsidR="001E7650" w:rsidRPr="00994B9D" w:rsidRDefault="001E7650" w:rsidP="002C63BC">
                        <w:pPr>
                          <w:pStyle w:val="Subtitle"/>
                        </w:pPr>
                      </w:p>
                    </w:txbxContent>
                  </v:textbox>
                </v:shape>
                <v:shape id="Picture 25" o:spid="_x0000_s1055" type="#_x0000_t75" style="position:absolute;top:20658;width:6276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">
                  <v:imagedata r:id="rId105" o:title=""/>
                </v:shape>
              </v:group>
            </w:pict>
          </mc:Fallback>
        </mc:AlternateContent>
      </w:r>
    </w:p>
    <w:sectPr w:rsidR="00A72C34" w:rsidRPr="00E27C92" w:rsidSect="002A1BED">
      <w:headerReference w:type="default" r:id="rId106"/>
      <w:footerReference w:type="default" r:id="rId107"/>
      <w:pgSz w:w="12240" w:h="15840"/>
      <w:pgMar w:top="1152" w:right="1152" w:bottom="1152" w:left="1152"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FCF483" w14:textId="77777777" w:rsidR="00AF5CF3" w:rsidRDefault="00AF5CF3" w:rsidP="002C63BC">
      <w:r>
        <w:separator/>
      </w:r>
    </w:p>
  </w:endnote>
  <w:endnote w:type="continuationSeparator" w:id="0">
    <w:p w14:paraId="64162C29" w14:textId="77777777" w:rsidR="00AF5CF3" w:rsidRDefault="00AF5CF3" w:rsidP="002C63BC">
      <w:r>
        <w:continuationSeparator/>
      </w:r>
    </w:p>
  </w:endnote>
  <w:endnote w:type="continuationNotice" w:id="1">
    <w:p w14:paraId="0EA721EF" w14:textId="77777777" w:rsidR="00AF5CF3" w:rsidRDefault="00AF5C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GT Eesti Display Light">
    <w:altName w:val="Calibri"/>
    <w:panose1 w:val="00000000000000000000"/>
    <w:charset w:val="00"/>
    <w:family w:val="modern"/>
    <w:notTrueType/>
    <w:pitch w:val="variable"/>
    <w:sig w:usb0="00000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GT Eesti Display Bold">
    <w:altName w:val="Calibri"/>
    <w:panose1 w:val="00000000000000000000"/>
    <w:charset w:val="00"/>
    <w:family w:val="modern"/>
    <w:notTrueType/>
    <w:pitch w:val="variable"/>
    <w:sig w:usb0="00000007" w:usb1="00000000" w:usb2="00000000" w:usb3="00000000" w:csb0="00000093" w:csb1="00000000"/>
  </w:font>
  <w:font w:name="Aptos SemiBold">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Variable Display">
    <w:charset w:val="00"/>
    <w:family w:val="auto"/>
    <w:pitch w:val="variable"/>
    <w:sig w:usb0="A00002FF" w:usb1="0000000B" w:usb2="00000000" w:usb3="00000000" w:csb0="0000019F" w:csb1="00000000"/>
  </w:font>
  <w:font w:name="Calibri">
    <w:panose1 w:val="020F05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Jost">
    <w:altName w:val="Calibri"/>
    <w:charset w:val="00"/>
    <w:family w:val="auto"/>
    <w:pitch w:val="variable"/>
    <w:sig w:usb0="A00002EF" w:usb1="0000205B" w:usb2="00000010" w:usb3="00000000" w:csb0="000000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Variable Text">
    <w:charset w:val="00"/>
    <w:family w:val="auto"/>
    <w:pitch w:val="variable"/>
    <w:sig w:usb0="A00002FF" w:usb1="0000000B" w:usb2="00000000" w:usb3="00000000" w:csb0="0000019F" w:csb1="00000000"/>
  </w:font>
  <w:font w:name="GT Eesti Display">
    <w:altName w:val="Calibri"/>
    <w:panose1 w:val="00000000000000000000"/>
    <w:charset w:val="00"/>
    <w:family w:val="modern"/>
    <w:notTrueType/>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9DFFF6" w14:textId="6B8A4722" w:rsidR="00093622" w:rsidRPr="00E227D4" w:rsidRDefault="00157AC0" w:rsidP="00093622">
    <w:pPr>
      <w:pStyle w:val="Footer"/>
      <w:tabs>
        <w:tab w:val="clear" w:pos="4680"/>
        <w:tab w:val="clear" w:pos="9360"/>
        <w:tab w:val="right" w:pos="9900"/>
      </w:tabs>
      <w:rPr>
        <w:color w:val="444C5E"/>
      </w:rPr>
    </w:pPr>
    <w:r>
      <w:rPr>
        <w:noProof/>
      </w:rPr>
      <mc:AlternateContent>
        <mc:Choice Requires="wps">
          <w:drawing>
            <wp:anchor distT="4294967295" distB="4294967295" distL="114300" distR="114300" simplePos="0" relativeHeight="251658240" behindDoc="0" locked="0" layoutInCell="1" allowOverlap="1" wp14:anchorId="120576B8" wp14:editId="7F3691F4">
              <wp:simplePos x="0" y="0"/>
              <wp:positionH relativeFrom="column">
                <wp:posOffset>-74930</wp:posOffset>
              </wp:positionH>
              <wp:positionV relativeFrom="paragraph">
                <wp:posOffset>-92711</wp:posOffset>
              </wp:positionV>
              <wp:extent cx="6400800" cy="0"/>
              <wp:effectExtent l="0" t="0" r="0" b="0"/>
              <wp:wrapNone/>
              <wp:docPr id="229023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8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A334E8"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9pt,-7.3pt" to="498.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" strokecolor="#1e13a6 [3205]" strokeweight=".5pt">
              <v:stroke joinstyle="miter"/>
              <o:lock v:ext="edit" shapetype="f"/>
            </v:line>
          </w:pict>
        </mc:Fallback>
      </mc:AlternateContent>
    </w:r>
    <w:sdt>
      <w:sdtPr>
        <w:id w:val="-346094289"/>
        <w:docPartObj>
          <w:docPartGallery w:val="Page Numbers (Bottom of Page)"/>
          <w:docPartUnique/>
        </w:docPartObj>
      </w:sdtPr>
      <w:sdtEndPr>
        <w:rPr>
          <w:noProof/>
        </w:rPr>
      </w:sdtEndPr>
      <w:sdtContent>
        <w:r w:rsidR="009A1EF1" w:rsidRPr="00E20569">
          <w:rPr>
            <w:color w:val="444C5E"/>
          </w:rPr>
          <w:t>Applied Energy Group, Inc</w:t>
        </w:r>
        <w:r w:rsidR="009A1EF1">
          <w:t xml:space="preserve">. | </w:t>
        </w:r>
        <w:r w:rsidR="009A1EF1" w:rsidRPr="009A1EF1">
          <w:rPr>
            <w:i/>
            <w:iCs/>
          </w:rPr>
          <w:t>appliedenergygroup.com</w:t>
        </w:r>
        <w:r w:rsidR="00093622">
          <w:tab/>
        </w:r>
      </w:sdtContent>
    </w:sdt>
    <w:r w:rsidR="00093622" w:rsidRPr="00E227D4">
      <w:rPr>
        <w:noProof/>
        <w:color w:val="444C5E"/>
      </w:rPr>
      <w:fldChar w:fldCharType="begin"/>
    </w:r>
    <w:r w:rsidR="00093622" w:rsidRPr="00E227D4">
      <w:rPr>
        <w:noProof/>
        <w:color w:val="444C5E"/>
      </w:rPr>
      <w:instrText xml:space="preserve"> PAGE  \* Arabic  \* MERGEFORMAT </w:instrText>
    </w:r>
    <w:r w:rsidR="00093622" w:rsidRPr="00E227D4">
      <w:rPr>
        <w:noProof/>
        <w:color w:val="444C5E"/>
      </w:rPr>
      <w:fldChar w:fldCharType="separate"/>
    </w:r>
    <w:r w:rsidR="00093622">
      <w:rPr>
        <w:noProof/>
        <w:color w:val="444C5E"/>
      </w:rPr>
      <w:t>7</w:t>
    </w:r>
    <w:r w:rsidR="00093622" w:rsidRPr="00E227D4">
      <w:rPr>
        <w:noProof/>
        <w:color w:val="444C5E"/>
      </w:rPr>
      <w:fldChar w:fldCharType="end"/>
    </w:r>
    <w:r w:rsidR="00093622" w:rsidRPr="00E227D4">
      <w:rPr>
        <w:noProof/>
        <w:color w:val="444C5E"/>
      </w:rPr>
      <w:t xml:space="preserve"> of </w:t>
    </w:r>
    <w:r w:rsidR="00093622" w:rsidRPr="00E227D4">
      <w:rPr>
        <w:noProof/>
        <w:color w:val="444C5E"/>
      </w:rPr>
      <w:fldChar w:fldCharType="begin"/>
    </w:r>
    <w:r w:rsidR="00093622" w:rsidRPr="00E227D4">
      <w:rPr>
        <w:noProof/>
        <w:color w:val="444C5E"/>
      </w:rPr>
      <w:instrText xml:space="preserve"> NUMPAGES  \* Arabic  \* MERGEFORMAT </w:instrText>
    </w:r>
    <w:r w:rsidR="00093622" w:rsidRPr="00E227D4">
      <w:rPr>
        <w:noProof/>
        <w:color w:val="444C5E"/>
      </w:rPr>
      <w:fldChar w:fldCharType="separate"/>
    </w:r>
    <w:r w:rsidR="00093622">
      <w:rPr>
        <w:noProof/>
        <w:color w:val="444C5E"/>
      </w:rPr>
      <w:t>12</w:t>
    </w:r>
    <w:r w:rsidR="00093622" w:rsidRPr="00E227D4">
      <w:rPr>
        <w:noProof/>
        <w:color w:val="444C5E"/>
      </w:rPr>
      <w:fldChar w:fldCharType="end"/>
    </w:r>
  </w:p>
  <w:p w14:paraId="6371666B" w14:textId="77777777" w:rsidR="00220229" w:rsidRDefault="00220229" w:rsidP="00C94F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9FD01D" w14:textId="53F22E1C" w:rsidR="00B547C2" w:rsidRPr="00E227D4" w:rsidRDefault="005A13CE" w:rsidP="00B547C2">
    <w:pPr>
      <w:pStyle w:val="Footer"/>
      <w:tabs>
        <w:tab w:val="clear" w:pos="4680"/>
        <w:tab w:val="clear" w:pos="9360"/>
        <w:tab w:val="right" w:pos="9900"/>
      </w:tabs>
      <w:rPr>
        <w:color w:val="444C5E"/>
      </w:rPr>
    </w:pPr>
    <w:r>
      <w:rPr>
        <w:noProof/>
      </w:rPr>
      <mc:AlternateContent>
        <mc:Choice Requires="wps">
          <w:drawing>
            <wp:anchor distT="4294967295" distB="4294967295" distL="114300" distR="114300" simplePos="0" relativeHeight="251658241" behindDoc="0" locked="0" layoutInCell="1" allowOverlap="1" wp14:anchorId="44356B66" wp14:editId="26E81A88">
              <wp:simplePos x="0" y="0"/>
              <wp:positionH relativeFrom="column">
                <wp:posOffset>0</wp:posOffset>
              </wp:positionH>
              <wp:positionV relativeFrom="paragraph">
                <wp:posOffset>-153035</wp:posOffset>
              </wp:positionV>
              <wp:extent cx="8229600" cy="0"/>
              <wp:effectExtent l="0" t="0" r="0" b="0"/>
              <wp:wrapNone/>
              <wp:docPr id="78472333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296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6E909F" id="Straight Connector 1" o:spid="_x0000_s1026" style="position:absolute;z-index:25165824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12.05pt" to="9in,-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" strokecolor="#1e13a6 [3205]" strokeweight=".5pt">
              <v:stroke joinstyle="miter"/>
              <o:lock v:ext="edit" shapetype="f"/>
            </v:line>
          </w:pict>
        </mc:Fallback>
      </mc:AlternateContent>
    </w:r>
    <w:sdt>
      <w:sdtPr>
        <w:id w:val="-925799715"/>
        <w:docPartObj>
          <w:docPartGallery w:val="Page Numbers (Bottom of Page)"/>
          <w:docPartUnique/>
        </w:docPartObj>
      </w:sdtPr>
      <w:sdtEndPr>
        <w:rPr>
          <w:noProof/>
        </w:rPr>
      </w:sdtEndPr>
      <w:sdtContent>
        <w:r w:rsidR="00B547C2" w:rsidRPr="00E20569">
          <w:rPr>
            <w:color w:val="444C5E"/>
          </w:rPr>
          <w:t>Applied Energy Group, Inc</w:t>
        </w:r>
        <w:r w:rsidR="00B547C2">
          <w:t xml:space="preserve">. | </w:t>
        </w:r>
        <w:r w:rsidR="00B547C2" w:rsidRPr="009A1EF1">
          <w:rPr>
            <w:i/>
            <w:iCs/>
          </w:rPr>
          <w:t>appliedenergygroup.com</w:t>
        </w:r>
        <w:r w:rsidR="00B547C2">
          <w:tab/>
        </w:r>
        <w:r w:rsidR="00FC1F90">
          <w:tab/>
          <w:t xml:space="preserve">                    </w:t>
        </w:r>
        <w:r w:rsidR="006E41B2">
          <w:tab/>
          <w:t xml:space="preserve">                             </w:t>
        </w:r>
        <w:r w:rsidR="00FC1F90">
          <w:tab/>
        </w:r>
        <w:r w:rsidR="00FC1F90">
          <w:tab/>
        </w:r>
        <w:r w:rsidR="00FC1F90">
          <w:tab/>
        </w:r>
        <w:r w:rsidR="00FC1F90">
          <w:tab/>
        </w:r>
      </w:sdtContent>
    </w:sdt>
    <w:r w:rsidR="00B547C2" w:rsidRPr="00E227D4">
      <w:rPr>
        <w:noProof/>
        <w:color w:val="444C5E"/>
      </w:rPr>
      <w:fldChar w:fldCharType="begin"/>
    </w:r>
    <w:r w:rsidR="00B547C2" w:rsidRPr="00E227D4">
      <w:rPr>
        <w:noProof/>
        <w:color w:val="444C5E"/>
      </w:rPr>
      <w:instrText xml:space="preserve"> PAGE  \* Arabic  \* MERGEFORMAT </w:instrText>
    </w:r>
    <w:r w:rsidR="00B547C2" w:rsidRPr="00E227D4">
      <w:rPr>
        <w:noProof/>
        <w:color w:val="444C5E"/>
      </w:rPr>
      <w:fldChar w:fldCharType="separate"/>
    </w:r>
    <w:r w:rsidR="00B547C2">
      <w:rPr>
        <w:noProof/>
        <w:color w:val="444C5E"/>
      </w:rPr>
      <w:t>23</w:t>
    </w:r>
    <w:r w:rsidR="00B547C2" w:rsidRPr="00E227D4">
      <w:rPr>
        <w:noProof/>
        <w:color w:val="444C5E"/>
      </w:rPr>
      <w:fldChar w:fldCharType="end"/>
    </w:r>
    <w:r w:rsidR="00B547C2" w:rsidRPr="00E227D4">
      <w:rPr>
        <w:noProof/>
        <w:color w:val="444C5E"/>
      </w:rPr>
      <w:t xml:space="preserve"> of </w:t>
    </w:r>
    <w:r w:rsidR="00B547C2" w:rsidRPr="00E227D4">
      <w:rPr>
        <w:noProof/>
        <w:color w:val="444C5E"/>
      </w:rPr>
      <w:fldChar w:fldCharType="begin"/>
    </w:r>
    <w:r w:rsidR="00B547C2" w:rsidRPr="00E227D4">
      <w:rPr>
        <w:noProof/>
        <w:color w:val="444C5E"/>
      </w:rPr>
      <w:instrText xml:space="preserve"> NUMPAGES  \* Arabic  \* MERGEFORMAT </w:instrText>
    </w:r>
    <w:r w:rsidR="00B547C2" w:rsidRPr="00E227D4">
      <w:rPr>
        <w:noProof/>
        <w:color w:val="444C5E"/>
      </w:rPr>
      <w:fldChar w:fldCharType="separate"/>
    </w:r>
    <w:r w:rsidR="00B547C2">
      <w:rPr>
        <w:noProof/>
        <w:color w:val="444C5E"/>
      </w:rPr>
      <w:t>89</w:t>
    </w:r>
    <w:r w:rsidR="00B547C2" w:rsidRPr="00E227D4">
      <w:rPr>
        <w:noProof/>
        <w:color w:val="444C5E"/>
      </w:rPr>
      <w:fldChar w:fldCharType="end"/>
    </w:r>
  </w:p>
  <w:p w14:paraId="5A6E0618" w14:textId="77777777" w:rsidR="00F3297B" w:rsidRDefault="00F329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C4374D" w14:textId="77777777" w:rsidR="00D16B70" w:rsidRPr="00B1096C" w:rsidRDefault="00D16B7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27E250" w14:textId="3465B63D" w:rsidR="00D16B70" w:rsidRPr="007B11AA" w:rsidRDefault="00D16B70">
    <w:pPr>
      <w:pStyle w:val="Footer"/>
      <w:rPr>
        <w:rStyle w:val="PageNumber"/>
        <w:rFonts w:ascii="Calibri" w:hAnsi="Calibri"/>
      </w:rPr>
    </w:pPr>
    <w:r w:rsidRPr="007B11AA">
      <w:rPr>
        <w:rStyle w:val="PageNumber"/>
        <w:rFonts w:ascii="Calibri" w:hAnsi="Calibri"/>
        <w:color w:val="0C1033"/>
      </w:rPr>
      <w:t xml:space="preserve"> </w:t>
    </w:r>
  </w:p>
  <w:bookmarkStart w:id="241" w:name="_Hlk6313400"/>
  <w:bookmarkStart w:id="242" w:name="_Hlk6313401"/>
  <w:p w14:paraId="4821E4FD" w14:textId="2C186F96" w:rsidR="00D16B70" w:rsidRPr="00B1096C" w:rsidRDefault="000F0642" w:rsidP="00633680">
    <w:pPr>
      <w:pStyle w:val="Footer"/>
      <w:jc w:val="right"/>
    </w:pPr>
    <w:r w:rsidRPr="00E227D4">
      <w:rPr>
        <w:noProof/>
        <w:color w:val="444C5E"/>
      </w:rPr>
      <w:fldChar w:fldCharType="begin"/>
    </w:r>
    <w:r w:rsidRPr="00E227D4">
      <w:rPr>
        <w:noProof/>
        <w:color w:val="444C5E"/>
      </w:rPr>
      <w:instrText xml:space="preserve"> PAGE  \* Arabic  \* MERGEFORMAT </w:instrText>
    </w:r>
    <w:r w:rsidRPr="00E227D4">
      <w:rPr>
        <w:noProof/>
        <w:color w:val="444C5E"/>
      </w:rPr>
      <w:fldChar w:fldCharType="separate"/>
    </w:r>
    <w:r>
      <w:rPr>
        <w:noProof/>
        <w:color w:val="444C5E"/>
      </w:rPr>
      <w:t>A-1</w:t>
    </w:r>
    <w:r w:rsidRPr="00E227D4">
      <w:rPr>
        <w:noProof/>
        <w:color w:val="444C5E"/>
      </w:rPr>
      <w:fldChar w:fldCharType="end"/>
    </w:r>
    <w:r w:rsidRPr="00E227D4">
      <w:rPr>
        <w:noProof/>
        <w:color w:val="444C5E"/>
      </w:rPr>
      <w:t xml:space="preserve"> of </w:t>
    </w:r>
    <w:r w:rsidRPr="00E227D4">
      <w:rPr>
        <w:noProof/>
        <w:color w:val="444C5E"/>
      </w:rPr>
      <w:fldChar w:fldCharType="begin"/>
    </w:r>
    <w:r w:rsidRPr="00E227D4">
      <w:rPr>
        <w:noProof/>
        <w:color w:val="444C5E"/>
      </w:rPr>
      <w:instrText xml:space="preserve"> NUMPAGES  \* Arabic  \* MERGEFORMAT </w:instrText>
    </w:r>
    <w:r w:rsidRPr="00E227D4">
      <w:rPr>
        <w:noProof/>
        <w:color w:val="444C5E"/>
      </w:rPr>
      <w:fldChar w:fldCharType="separate"/>
    </w:r>
    <w:r>
      <w:rPr>
        <w:noProof/>
        <w:color w:val="444C5E"/>
      </w:rPr>
      <w:t>90</w:t>
    </w:r>
    <w:r w:rsidRPr="00E227D4">
      <w:rPr>
        <w:noProof/>
        <w:color w:val="444C5E"/>
      </w:rPr>
      <w:fldChar w:fldCharType="end"/>
    </w:r>
    <w:r w:rsidR="00D16B70" w:rsidRPr="009B6A97">
      <w:rPr>
        <w:noProof/>
      </w:rPr>
      <mc:AlternateContent>
        <mc:Choice Requires="wps">
          <w:drawing>
            <wp:anchor distT="0" distB="0" distL="114300" distR="114300" simplePos="0" relativeHeight="251658243" behindDoc="0" locked="0" layoutInCell="1" allowOverlap="1" wp14:anchorId="0216B704" wp14:editId="2D91A91C">
              <wp:simplePos x="0" y="0"/>
              <wp:positionH relativeFrom="margin">
                <wp:posOffset>0</wp:posOffset>
              </wp:positionH>
              <wp:positionV relativeFrom="page">
                <wp:posOffset>7040880</wp:posOffset>
              </wp:positionV>
              <wp:extent cx="8229600" cy="0"/>
              <wp:effectExtent l="0" t="0" r="0" b="0"/>
              <wp:wrapTight wrapText="bothSides">
                <wp:wrapPolygon edited="0">
                  <wp:start x="0" y="0"/>
                  <wp:lineTo x="0" y="21600"/>
                  <wp:lineTo x="21600" y="21600"/>
                  <wp:lineTo x="21600" y="0"/>
                </wp:wrapPolygon>
              </wp:wrapTight>
              <wp:docPr id="38"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0" cy="0"/>
                      </a:xfrm>
                      <a:prstGeom prst="line">
                        <a:avLst/>
                      </a:prstGeom>
                      <a:ln>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F3C5F8" id="Line 1" o:spid="_x0000_s1026" style="position:absolute;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0,554.4pt" to="9in,5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" strokecolor="#1e13a6 [3205]" strokeweight=".5pt">
              <v:stroke joinstyle="miter"/>
              <w10:wrap type="tight" anchorx="margin" anchory="page"/>
            </v:line>
          </w:pict>
        </mc:Fallback>
      </mc:AlternateContent>
    </w:r>
    <w:bookmarkEnd w:id="241"/>
    <w:bookmarkEnd w:id="242"/>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483398" w14:textId="4BB01387" w:rsidR="00D16B70" w:rsidRPr="007B306B" w:rsidRDefault="00CB1E08" w:rsidP="00404FEE">
    <w:pPr>
      <w:pStyle w:val="BodyText"/>
      <w:jc w:val="right"/>
    </w:pPr>
    <w:r w:rsidRPr="007B306B">
      <w:rPr>
        <w:noProof/>
        <w:color w:val="444C5E"/>
        <w:sz w:val="20"/>
        <w:szCs w:val="20"/>
      </w:rPr>
      <w:fldChar w:fldCharType="begin"/>
    </w:r>
    <w:r w:rsidRPr="007B306B">
      <w:rPr>
        <w:noProof/>
        <w:color w:val="444C5E"/>
        <w:sz w:val="20"/>
        <w:szCs w:val="20"/>
      </w:rPr>
      <w:instrText xml:space="preserve"> PAGE  \* Arabic  \* MERGEFORMAT </w:instrText>
    </w:r>
    <w:r w:rsidRPr="007B306B">
      <w:rPr>
        <w:noProof/>
        <w:color w:val="444C5E"/>
        <w:sz w:val="20"/>
        <w:szCs w:val="20"/>
      </w:rPr>
      <w:fldChar w:fldCharType="separate"/>
    </w:r>
    <w:r w:rsidRPr="007B306B">
      <w:rPr>
        <w:noProof/>
        <w:color w:val="444C5E"/>
        <w:sz w:val="20"/>
        <w:szCs w:val="20"/>
      </w:rPr>
      <w:t>A-1</w:t>
    </w:r>
    <w:r w:rsidRPr="007B306B">
      <w:rPr>
        <w:noProof/>
        <w:color w:val="444C5E"/>
        <w:sz w:val="20"/>
        <w:szCs w:val="20"/>
      </w:rPr>
      <w:fldChar w:fldCharType="end"/>
    </w:r>
    <w:r w:rsidRPr="007B306B">
      <w:rPr>
        <w:noProof/>
        <w:color w:val="444C5E"/>
        <w:sz w:val="20"/>
        <w:szCs w:val="20"/>
      </w:rPr>
      <w:t xml:space="preserve"> of </w:t>
    </w:r>
    <w:r w:rsidRPr="007B306B">
      <w:rPr>
        <w:noProof/>
        <w:color w:val="444C5E"/>
        <w:sz w:val="20"/>
        <w:szCs w:val="20"/>
      </w:rPr>
      <w:fldChar w:fldCharType="begin"/>
    </w:r>
    <w:r w:rsidRPr="007B306B">
      <w:rPr>
        <w:noProof/>
        <w:color w:val="444C5E"/>
        <w:sz w:val="20"/>
        <w:szCs w:val="20"/>
      </w:rPr>
      <w:instrText xml:space="preserve"> NUMPAGES  \* Arabic  \* MERGEFORMAT </w:instrText>
    </w:r>
    <w:r w:rsidRPr="007B306B">
      <w:rPr>
        <w:noProof/>
        <w:color w:val="444C5E"/>
        <w:sz w:val="20"/>
        <w:szCs w:val="20"/>
      </w:rPr>
      <w:fldChar w:fldCharType="separate"/>
    </w:r>
    <w:r w:rsidRPr="007B306B">
      <w:rPr>
        <w:noProof/>
        <w:color w:val="444C5E"/>
        <w:sz w:val="20"/>
        <w:szCs w:val="20"/>
      </w:rPr>
      <w:t>90</w:t>
    </w:r>
    <w:r w:rsidRPr="007B306B">
      <w:rPr>
        <w:noProof/>
        <w:color w:val="444C5E"/>
        <w:sz w:val="20"/>
        <w:szCs w:val="20"/>
      </w:rPr>
      <w:fldChar w:fldCharType="end"/>
    </w:r>
    <w:r w:rsidR="00D16B70" w:rsidRPr="007B306B">
      <w:rPr>
        <w:noProof/>
      </w:rPr>
      <mc:AlternateContent>
        <mc:Choice Requires="wps">
          <w:drawing>
            <wp:anchor distT="0" distB="0" distL="114300" distR="114300" simplePos="0" relativeHeight="251658246" behindDoc="0" locked="0" layoutInCell="1" allowOverlap="1" wp14:anchorId="308FDFB7" wp14:editId="4DB547D6">
              <wp:simplePos x="0" y="0"/>
              <wp:positionH relativeFrom="margin">
                <wp:posOffset>0</wp:posOffset>
              </wp:positionH>
              <wp:positionV relativeFrom="page">
                <wp:posOffset>9203055</wp:posOffset>
              </wp:positionV>
              <wp:extent cx="5943600" cy="0"/>
              <wp:effectExtent l="0" t="0" r="0" b="0"/>
              <wp:wrapTight wrapText="bothSides">
                <wp:wrapPolygon edited="0">
                  <wp:start x="0" y="0"/>
                  <wp:lineTo x="0" y="21600"/>
                  <wp:lineTo x="21600" y="21600"/>
                  <wp:lineTo x="21600" y="0"/>
                </wp:wrapPolygon>
              </wp:wrapTight>
              <wp:docPr id="58"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ln>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CAEA6C" id="Line 1" o:spid="_x0000_s1026" style="position:absolute;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0,724.65pt" to="468pt,7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" strokecolor="#1e13a6 [3205]" strokeweight=".5pt">
              <v:stroke joinstyle="miter"/>
              <w10:wrap type="tight" anchorx="margin" anchory="page"/>
            </v:line>
          </w:pict>
        </mc:Fallback>
      </mc:AlternateContent>
    </w:r>
    <w:r w:rsidR="00D16B70" w:rsidRPr="007B306B">
      <w:rPr>
        <w:noProof/>
      </w:rPr>
      <mc:AlternateContent>
        <mc:Choice Requires="wps">
          <w:drawing>
            <wp:anchor distT="0" distB="0" distL="114300" distR="114300" simplePos="0" relativeHeight="251658247" behindDoc="0" locked="0" layoutInCell="1" allowOverlap="1" wp14:anchorId="295C2722" wp14:editId="4F55FAF3">
              <wp:simplePos x="0" y="0"/>
              <wp:positionH relativeFrom="margin">
                <wp:posOffset>0</wp:posOffset>
              </wp:positionH>
              <wp:positionV relativeFrom="page">
                <wp:posOffset>9203055</wp:posOffset>
              </wp:positionV>
              <wp:extent cx="3236976" cy="228600"/>
              <wp:effectExtent l="0" t="0" r="1905"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6976" cy="22860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BD0758E" w14:textId="77777777" w:rsidR="00D16B70" w:rsidRPr="00984846" w:rsidRDefault="00D16B70">
                          <w:pPr>
                            <w:pStyle w:val="Footer"/>
                            <w:rPr>
                              <w:rStyle w:val="SmallHeaderCopy"/>
                              <w:rFonts w:asciiTheme="minorHAnsi" w:hAnsiTheme="minorHAnsi"/>
                              <w:b w:val="0"/>
                              <w:color w:val="858FA7" w:themeColor="text2" w:themeTint="99"/>
                            </w:rPr>
                          </w:pPr>
                          <w:r w:rsidRPr="00984846">
                            <w:rPr>
                              <w:rStyle w:val="SmallHeaderCopy"/>
                              <w:rFonts w:asciiTheme="minorHAnsi" w:hAnsiTheme="minorHAnsi"/>
                              <w:b w:val="0"/>
                              <w:color w:val="858FA7" w:themeColor="text2" w:themeTint="99"/>
                            </w:rPr>
                            <w:t>Applied Energy Group • www.appliedenergygroup.com</w:t>
                          </w:r>
                        </w:p>
                        <w:p w14:paraId="673AAEDC" w14:textId="77777777" w:rsidR="00D16B70" w:rsidRPr="00984846" w:rsidRDefault="00D16B70">
                          <w:pPr>
                            <w:pStyle w:val="Footer"/>
                            <w:rPr>
                              <w:rStyle w:val="SmallHeaderCopy"/>
                              <w:rFonts w:asciiTheme="minorHAnsi" w:hAnsiTheme="minorHAnsi"/>
                              <w:b w:val="0"/>
                              <w:color w:val="858FA7" w:themeColor="text2" w:themeTint="9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5C2722" id="_x0000_t202" coordsize="21600,21600" o:spt="202" path="m,l,21600r21600,l21600,xe">
              <v:stroke joinstyle="miter"/>
              <v:path gradientshapeok="t" o:connecttype="rect"/>
            </v:shapetype>
            <v:shape id="Text Box 59" o:spid="_x0000_s1056" type="#_x0000_t202" style="position:absolute;left:0;text-align:left;margin-left:0;margin-top:724.65pt;width:254.9pt;height:18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" filled="f" stroked="f">
              <v:textbox inset="0,0,0,0">
                <w:txbxContent>
                  <w:p w14:paraId="5BD0758E" w14:textId="77777777" w:rsidR="00D16B70" w:rsidRPr="00984846" w:rsidRDefault="00D16B70">
                    <w:pPr>
                      <w:pStyle w:val="Footer"/>
                      <w:rPr>
                        <w:rStyle w:val="SmallHeaderCopy"/>
                        <w:rFonts w:asciiTheme="minorHAnsi" w:hAnsiTheme="minorHAnsi"/>
                        <w:b w:val="0"/>
                        <w:color w:val="858FA7" w:themeColor="text2" w:themeTint="99"/>
                      </w:rPr>
                    </w:pPr>
                    <w:r w:rsidRPr="00984846">
                      <w:rPr>
                        <w:rStyle w:val="SmallHeaderCopy"/>
                        <w:rFonts w:asciiTheme="minorHAnsi" w:hAnsiTheme="minorHAnsi"/>
                        <w:b w:val="0"/>
                        <w:color w:val="858FA7" w:themeColor="text2" w:themeTint="99"/>
                      </w:rPr>
                      <w:t>Applied Energy Group • www.appliedenergygroup.com</w:t>
                    </w:r>
                  </w:p>
                  <w:p w14:paraId="673AAEDC" w14:textId="77777777" w:rsidR="00D16B70" w:rsidRPr="00984846" w:rsidRDefault="00D16B70">
                    <w:pPr>
                      <w:pStyle w:val="Footer"/>
                      <w:rPr>
                        <w:rStyle w:val="SmallHeaderCopy"/>
                        <w:rFonts w:asciiTheme="minorHAnsi" w:hAnsiTheme="minorHAnsi"/>
                        <w:b w:val="0"/>
                        <w:color w:val="858FA7" w:themeColor="text2" w:themeTint="99"/>
                      </w:rPr>
                    </w:pPr>
                  </w:p>
                </w:txbxContent>
              </v:textbox>
              <w10:wrap anchorx="margin"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B3681C" w14:textId="77777777" w:rsidR="009A1EF1" w:rsidRDefault="009A1EF1" w:rsidP="00C94F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8057DE" w14:textId="77777777" w:rsidR="00AF5CF3" w:rsidRDefault="00AF5CF3" w:rsidP="002C63BC">
      <w:r>
        <w:separator/>
      </w:r>
    </w:p>
  </w:footnote>
  <w:footnote w:type="continuationSeparator" w:id="0">
    <w:p w14:paraId="6A3785E7" w14:textId="77777777" w:rsidR="00AF5CF3" w:rsidRDefault="00AF5CF3" w:rsidP="002C63BC">
      <w:r>
        <w:continuationSeparator/>
      </w:r>
    </w:p>
  </w:footnote>
  <w:footnote w:type="continuationNotice" w:id="1">
    <w:p w14:paraId="2921BAE1" w14:textId="77777777" w:rsidR="00AF5CF3" w:rsidRDefault="00AF5CF3"/>
  </w:footnote>
  <w:footnote w:id="2">
    <w:p w14:paraId="7AE921D7" w14:textId="24E177D8" w:rsidR="00E57E32" w:rsidRDefault="00E57E32">
      <w:pPr>
        <w:pStyle w:val="FootnoteText"/>
      </w:pPr>
      <w:r>
        <w:rPr>
          <w:rStyle w:val="FootnoteReference"/>
        </w:rPr>
        <w:footnoteRef/>
      </w:r>
      <w:r>
        <w:t xml:space="preserve"> The April 2024 federal heat pump water heater standard was also included as an exception to this cutoff point</w:t>
      </w:r>
    </w:p>
  </w:footnote>
  <w:footnote w:id="3">
    <w:p w14:paraId="0E5E78EB" w14:textId="77777777" w:rsidR="00CD01A7" w:rsidRDefault="00CD01A7"/>
    <w:p w14:paraId="588CDC4C" w14:textId="26537B78" w:rsidR="00A412CD" w:rsidRDefault="00A412CD" w:rsidP="00A412CD">
      <w:pPr>
        <w:pStyle w:val="FootnoteText"/>
      </w:pPr>
    </w:p>
  </w:footnote>
  <w:footnote w:id="4">
    <w:p w14:paraId="2FEA3EEF" w14:textId="0607CA3B" w:rsidR="00DB673B" w:rsidRDefault="00DB673B">
      <w:pPr>
        <w:pStyle w:val="FootnoteText"/>
      </w:pPr>
      <w:r>
        <w:rPr>
          <w:rStyle w:val="FootnoteReference"/>
        </w:rPr>
        <w:footnoteRef/>
      </w:r>
      <w:r>
        <w:t xml:space="preserve"> There are some circumstances where it is possible under the code credit system to reach compliance with high efficiency gas systems, particularly as backup units, however this baseline assumes </w:t>
      </w:r>
      <w:r w:rsidR="003E142E">
        <w:t>&gt;9</w:t>
      </w:r>
      <w:r w:rsidR="00EF695A">
        <w:t>0</w:t>
      </w:r>
      <w:r w:rsidR="003E142E">
        <w:t>% of new construction will be all-electric as the simplest path to compliance</w:t>
      </w:r>
    </w:p>
  </w:footnote>
  <w:footnote w:id="5">
    <w:p w14:paraId="3F820B10" w14:textId="4545C73D" w:rsidR="00330AC8" w:rsidRDefault="00330AC8">
      <w:pPr>
        <w:pStyle w:val="FootnoteText"/>
      </w:pPr>
      <w:r>
        <w:rPr>
          <w:rStyle w:val="FootnoteReference"/>
        </w:rPr>
        <w:footnoteRef/>
      </w:r>
      <w:r>
        <w:t xml:space="preserve"> </w:t>
      </w:r>
      <w:r w:rsidR="002170D8">
        <w:t xml:space="preserve">See </w:t>
      </w:r>
      <w:r w:rsidR="002170D8" w:rsidRPr="00984846">
        <w:rPr>
          <w:i/>
          <w:iCs/>
        </w:rPr>
        <w:t>Distributed Energy Resources Potential Study</w:t>
      </w:r>
      <w:r w:rsidR="00A85967">
        <w:t>, Prepared for Avista Utilities by Applied Energy Group, Inc., Cadeo Group, and Verdant Associates. June 17, 2024</w:t>
      </w:r>
    </w:p>
  </w:footnote>
  <w:footnote w:id="6">
    <w:p w14:paraId="3052C3FF" w14:textId="32F1A8A9" w:rsidR="00605FC5" w:rsidRDefault="00605FC5">
      <w:pPr>
        <w:pStyle w:val="FootnoteText"/>
      </w:pPr>
      <w:r>
        <w:rPr>
          <w:rStyle w:val="FootnoteReference"/>
        </w:rPr>
        <w:footnoteRef/>
      </w:r>
      <w:r>
        <w:t xml:space="preserve"> General Service customers were removed from this program in this study as their</w:t>
      </w:r>
      <w:r w:rsidRPr="00605FC5">
        <w:t xml:space="preserve"> loads are too small to justify the metering and admin</w:t>
      </w:r>
      <w:r>
        <w:t>istrative</w:t>
      </w:r>
      <w:r w:rsidRPr="00605FC5">
        <w:t xml:space="preserve"> expense by </w:t>
      </w:r>
      <w:r>
        <w:t>third</w:t>
      </w:r>
      <w:r w:rsidRPr="00605FC5">
        <w:t xml:space="preserve"> party aggregator</w:t>
      </w:r>
      <w:r>
        <w:t>.</w:t>
      </w:r>
    </w:p>
  </w:footnote>
  <w:footnote w:id="7">
    <w:p w14:paraId="1E322CCF" w14:textId="5C6D1E2B" w:rsidR="00312A5A" w:rsidRDefault="00312A5A" w:rsidP="00312A5A">
      <w:pPr>
        <w:pStyle w:val="FootnoteText"/>
      </w:pPr>
      <w:r>
        <w:rPr>
          <w:rStyle w:val="FootnoteReference"/>
        </w:rPr>
        <w:footnoteRef/>
      </w:r>
      <w:r>
        <w:t xml:space="preserve"> NWP</w:t>
      </w:r>
      <w:r w:rsidR="00E948E3">
        <w:t>C</w:t>
      </w:r>
      <w:r>
        <w:t>C assumption of 30% participation for a space cooling DR program.</w:t>
      </w:r>
    </w:p>
  </w:footnote>
  <w:footnote w:id="8">
    <w:p w14:paraId="6C1F3CF7" w14:textId="77777777" w:rsidR="00106CF8" w:rsidRDefault="00106CF8" w:rsidP="00106CF8">
      <w:pPr>
        <w:pStyle w:val="FootnoteText"/>
      </w:pPr>
      <w:r>
        <w:rPr>
          <w:rStyle w:val="FootnoteReference"/>
        </w:rPr>
        <w:footnoteRef/>
      </w:r>
      <w:r>
        <w:t xml:space="preserve"> The PTR Program is modeled to target residential and general service customers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444C5E" w:themeColor="text2"/>
        <w:sz w:val="20"/>
        <w:szCs w:val="20"/>
      </w:rPr>
      <w:alias w:val="Title"/>
      <w:tag w:val=""/>
      <w:id w:val="-1800593793"/>
      <w:dataBinding w:prefixMappings="xmlns:ns0='http://purl.org/dc/elements/1.1/' xmlns:ns1='http://schemas.openxmlformats.org/package/2006/metadata/core-properties' " w:xpath="/ns1:coreProperties[1]/ns0:title[1]" w:storeItemID="{6C3C8BC8-F283-45AE-878A-BAB7291924A1}"/>
      <w:text/>
    </w:sdtPr>
    <w:sdtEndPr/>
    <w:sdtContent>
      <w:p w14:paraId="24356645" w14:textId="3BF79C3E" w:rsidR="00220229" w:rsidRPr="00093622" w:rsidRDefault="008A59D2" w:rsidP="00D466A3">
        <w:pPr>
          <w:jc w:val="right"/>
          <w:rPr>
            <w:color w:val="444C5E" w:themeColor="text2"/>
            <w:sz w:val="20"/>
            <w:szCs w:val="20"/>
          </w:rPr>
        </w:pPr>
        <w:r>
          <w:rPr>
            <w:color w:val="444C5E" w:themeColor="text2"/>
            <w:sz w:val="20"/>
            <w:szCs w:val="20"/>
          </w:rPr>
          <w:t>Avista Electric Conservation Potential Assessment for 2026-2045</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D99795" w14:textId="77777777" w:rsidR="00F3297B" w:rsidRDefault="00AF5CF3">
    <w:pPr>
      <w:pStyle w:val="Header"/>
    </w:pPr>
    <w:fldSimple w:instr=" TITLE   \* MERGEFORMAT ">
      <w:r w:rsidR="005D212E">
        <w:t>Report Title Here</w:t>
      </w:r>
    </w:fldSimple>
  </w:p>
  <w:p w14:paraId="108A4A4E" w14:textId="4CA9E56B" w:rsidR="00900B20" w:rsidRDefault="00900B20" w:rsidP="005D212E">
    <w:pPr>
      <w:pStyle w:val="Header"/>
      <w:jc w:val="right"/>
    </w:pPr>
  </w:p>
  <w:p w14:paraId="00ED20FF" w14:textId="225DB10F" w:rsidR="0051388B" w:rsidRDefault="005138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F86C18" w14:textId="77777777" w:rsidR="00D16B70" w:rsidRPr="00581FAE" w:rsidRDefault="00D16B70">
    <w:pPr>
      <w:pStyle w:val="Header"/>
    </w:pPr>
    <w:r>
      <w:t>Market Adoption (Ramp) Rates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278A1" w14:textId="7C18714F" w:rsidR="00D16B70" w:rsidRDefault="00D16B70">
    <w:pPr>
      <w:pStyle w:val="Header"/>
    </w:pPr>
    <w:r>
      <w:rPr>
        <w:noProof/>
      </w:rPr>
      <mc:AlternateContent>
        <mc:Choice Requires="wps">
          <w:drawing>
            <wp:anchor distT="0" distB="0" distL="114300" distR="114300" simplePos="0" relativeHeight="251658245" behindDoc="0" locked="0" layoutInCell="1" allowOverlap="1" wp14:anchorId="65BEC91C" wp14:editId="63362E02">
              <wp:simplePos x="0" y="0"/>
              <wp:positionH relativeFrom="margin">
                <wp:posOffset>0</wp:posOffset>
              </wp:positionH>
              <wp:positionV relativeFrom="page">
                <wp:posOffset>669956</wp:posOffset>
              </wp:positionV>
              <wp:extent cx="5943600" cy="0"/>
              <wp:effectExtent l="0" t="0" r="0" b="0"/>
              <wp:wrapNone/>
              <wp:docPr id="1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0">
                        <a:solidFill>
                          <a:srgbClr val="F18A21"/>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ffectLst>
                              <a:outerShdw blurRad="38100" dist="25400" dir="5400000" algn="ctr" rotWithShape="0">
                                <a:srgbClr val="000000">
                                  <a:alpha val="35001"/>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403A4AB9" id="Line 2" o:spid="_x0000_s1026"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52.75pt" to="468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" strokecolor="#f18a21" strokeweight="0">
              <w10:wrap anchorx="margin" anchory="page"/>
            </v:line>
          </w:pict>
        </mc:Fallback>
      </mc:AlternateContent>
    </w:r>
    <w:sdt>
      <w:sdtPr>
        <w:rPr>
          <w:rStyle w:val="SmallHeaderCopy"/>
          <w:rFonts w:ascii="Century Gothic" w:hAnsi="Century Gothic"/>
          <w:b w:val="0"/>
          <w:szCs w:val="18"/>
        </w:rPr>
        <w:alias w:val="Title"/>
        <w:tag w:val=""/>
        <w:id w:val="527677961"/>
        <w:dataBinding w:prefixMappings="xmlns:ns0='http://purl.org/dc/elements/1.1/' xmlns:ns1='http://schemas.openxmlformats.org/package/2006/metadata/core-properties' " w:xpath="/ns1:coreProperties[1]/ns0:title[1]" w:storeItemID="{6C3C8BC8-F283-45AE-878A-BAB7291924A1}"/>
        <w:text/>
      </w:sdtPr>
      <w:sdtEndPr>
        <w:rPr>
          <w:rStyle w:val="SmallHeaderCopy"/>
        </w:rPr>
      </w:sdtEndPr>
      <w:sdtContent>
        <w:r>
          <w:rPr>
            <w:rStyle w:val="SmallHeaderCopy"/>
            <w:rFonts w:ascii="Century Gothic" w:hAnsi="Century Gothic"/>
            <w:b w:val="0"/>
            <w:szCs w:val="18"/>
          </w:rPr>
          <w:t>Avista Electric Conservation Potential Assessment for 2026-2045</w:t>
        </w:r>
      </w:sdtContent>
    </w:sdt>
    <w:r w:rsidRPr="00B44114">
      <w:rPr>
        <w:rStyle w:val="SmallHeaderCopy"/>
        <w:rFonts w:ascii="Century Gothic" w:hAnsi="Century Gothic"/>
        <w:szCs w:val="18"/>
      </w:rPr>
      <w:t>|</w:t>
    </w:r>
    <w:r>
      <w:rPr>
        <w:rStyle w:val="SmallHeaderCopy"/>
        <w:rFonts w:ascii="Century Gothic" w:hAnsi="Century Gothic"/>
        <w:szCs w:val="18"/>
      </w:rPr>
      <w:t xml:space="preserve"> </w:t>
    </w:r>
    <w:r w:rsidRPr="00645425">
      <w:rPr>
        <w:rStyle w:val="SmallHeaderCopy"/>
        <w:rFonts w:ascii="Century Gothic" w:hAnsi="Century Gothic"/>
        <w:b w:val="0"/>
        <w:szCs w:val="18"/>
      </w:rPr>
      <w:fldChar w:fldCharType="begin"/>
    </w:r>
    <w:r w:rsidRPr="00645425">
      <w:rPr>
        <w:rStyle w:val="SmallHeaderCopy"/>
        <w:rFonts w:ascii="Century Gothic" w:hAnsi="Century Gothic"/>
        <w:szCs w:val="18"/>
      </w:rPr>
      <w:instrText xml:space="preserve"> STYLEREF  "Chapter Title"  \* MERGEFORMAT </w:instrText>
    </w:r>
    <w:r w:rsidRPr="00645425">
      <w:rPr>
        <w:rStyle w:val="SmallHeaderCopy"/>
        <w:rFonts w:ascii="Century Gothic" w:hAnsi="Century Gothic"/>
        <w:b w:val="0"/>
        <w:szCs w:val="18"/>
      </w:rPr>
      <w:fldChar w:fldCharType="separate"/>
    </w:r>
    <w:r>
      <w:rPr>
        <w:rStyle w:val="SmallHeaderCopy"/>
        <w:rFonts w:ascii="Century Gothic" w:hAnsi="Century Gothic"/>
        <w:szCs w:val="18"/>
      </w:rPr>
      <w:t>Demand Response Potential</w:t>
    </w:r>
    <w:r w:rsidRPr="00645425">
      <w:rPr>
        <w:rStyle w:val="SmallHeaderCopy"/>
        <w:rFonts w:ascii="Century Gothic" w:hAnsi="Century Gothic"/>
        <w:b w:val="0"/>
        <w:szCs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1289E" w14:textId="77777777" w:rsidR="00D16B70" w:rsidRPr="00454B76" w:rsidRDefault="00D16B7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DEDAB" w14:textId="2BB28045" w:rsidR="009A1EF1" w:rsidRPr="00093622" w:rsidRDefault="009A1EF1" w:rsidP="00093622">
    <w:pPr>
      <w:jc w:val="left"/>
      <w:rPr>
        <w:color w:val="444C5E" w:themeColor="text2"/>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84C26530"/>
    <w:lvl w:ilvl="0">
      <w:start w:val="1"/>
      <w:numFmt w:val="decimal"/>
      <w:pStyle w:val="ListNumber"/>
      <w:lvlText w:val="%1."/>
      <w:lvlJc w:val="left"/>
      <w:pPr>
        <w:tabs>
          <w:tab w:val="num" w:pos="360"/>
        </w:tabs>
        <w:ind w:left="360" w:hanging="360"/>
      </w:pPr>
    </w:lvl>
  </w:abstractNum>
  <w:abstractNum w:abstractNumId="1" w15:restartNumberingAfterBreak="0">
    <w:nsid w:val="0A092E62"/>
    <w:multiLevelType w:val="multilevel"/>
    <w:tmpl w:val="EFAACEDE"/>
    <w:styleLink w:val="Style1"/>
    <w:lvl w:ilvl="0">
      <w:start w:val="1"/>
      <w:numFmt w:val="bullet"/>
      <w:lvlText w:val=""/>
      <w:lvlJc w:val="left"/>
      <w:pPr>
        <w:ind w:left="360" w:hanging="360"/>
      </w:pPr>
      <w:rPr>
        <w:rFonts w:ascii="Symbol" w:hAnsi="Symbol" w:hint="default"/>
        <w:color w:val="F26549" w:themeColor="accent1"/>
      </w:rPr>
    </w:lvl>
    <w:lvl w:ilvl="1">
      <w:start w:val="1"/>
      <w:numFmt w:val="bullet"/>
      <w:lvlText w:val=""/>
      <w:lvlJc w:val="left"/>
      <w:pPr>
        <w:ind w:left="720" w:hanging="360"/>
      </w:pPr>
      <w:rPr>
        <w:rFonts w:ascii="Symbol" w:hAnsi="Symbol" w:hint="default"/>
        <w:color w:val="19172B" w:themeColor="text1"/>
      </w:rPr>
    </w:lvl>
    <w:lvl w:ilvl="2">
      <w:start w:val="1"/>
      <w:numFmt w:val="bullet"/>
      <w:lvlText w:val="▪"/>
      <w:lvlJc w:val="left"/>
      <w:pPr>
        <w:ind w:left="1080" w:hanging="360"/>
      </w:pPr>
      <w:rPr>
        <w:rFonts w:ascii="Sylfaen" w:hAnsi="Sylfaen" w:hint="default"/>
        <w:color w:val="auto"/>
      </w:rPr>
    </w:lvl>
    <w:lvl w:ilvl="3">
      <w:start w:val="1"/>
      <w:numFmt w:val="bullet"/>
      <w:lvlText w:val="-"/>
      <w:lvlJc w:val="left"/>
      <w:pPr>
        <w:ind w:left="1440" w:hanging="360"/>
      </w:pPr>
      <w:rPr>
        <w:rFonts w:ascii="GT Eesti Display Light" w:hAnsi="GT Eesti Display Light" w:hint="default"/>
        <w:color w:val="19172B" w:themeColor="tex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61D0217"/>
    <w:multiLevelType w:val="hybridMultilevel"/>
    <w:tmpl w:val="6EA42832"/>
    <w:lvl w:ilvl="0" w:tplc="AEC2DF00">
      <w:start w:val="1"/>
      <w:numFmt w:val="decimal"/>
      <w:pStyle w:val="Heading1"/>
      <w:lvlText w:val="%1 |  "/>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 w15:restartNumberingAfterBreak="0">
    <w:nsid w:val="16BE2E18"/>
    <w:multiLevelType w:val="hybridMultilevel"/>
    <w:tmpl w:val="E98E9A1E"/>
    <w:lvl w:ilvl="0" w:tplc="FD90301C">
      <w:start w:val="1"/>
      <w:numFmt w:val="bullet"/>
      <w:pStyle w:val="BulletedListLvl1"/>
      <w:lvlText w:val=""/>
      <w:lvlJc w:val="left"/>
      <w:pPr>
        <w:ind w:left="1440" w:hanging="360"/>
      </w:pPr>
      <w:rPr>
        <w:rFonts w:ascii="Symbol" w:hAnsi="Symbol" w:hint="default"/>
        <w:color w:val="F18A21"/>
        <w:u w:color="F18A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20C5B5D"/>
    <w:multiLevelType w:val="hybridMultilevel"/>
    <w:tmpl w:val="6FE41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1058BB"/>
    <w:multiLevelType w:val="multilevel"/>
    <w:tmpl w:val="0BC2861C"/>
    <w:lvl w:ilvl="0">
      <w:start w:val="1"/>
      <w:numFmt w:val="decimal"/>
      <w:lvlText w:val="%1)"/>
      <w:lvlJc w:val="left"/>
      <w:pPr>
        <w:ind w:left="360" w:hanging="360"/>
      </w:pPr>
      <w:rPr>
        <w:b w:val="0"/>
        <w:bCs w:val="0"/>
      </w:rPr>
    </w:lvl>
    <w:lvl w:ilvl="1">
      <w:start w:val="1"/>
      <w:numFmt w:val="lowerLetter"/>
      <w:lvlText w:val="%2)"/>
      <w:lvlJc w:val="left"/>
      <w:pPr>
        <w:ind w:left="720" w:hanging="360"/>
      </w:pPr>
      <w:rPr>
        <w:b w:val="0"/>
        <w:bCs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5E2074B"/>
    <w:multiLevelType w:val="hybridMultilevel"/>
    <w:tmpl w:val="0A024524"/>
    <w:lvl w:ilvl="0" w:tplc="A210D420">
      <w:start w:val="1"/>
      <w:numFmt w:val="bullet"/>
      <w:pStyle w:val="ListBullet"/>
      <w:lvlText w:val=""/>
      <w:lvlJc w:val="left"/>
      <w:pPr>
        <w:ind w:left="720" w:hanging="360"/>
      </w:pPr>
      <w:rPr>
        <w:rFonts w:ascii="Symbol" w:hAnsi="Symbol" w:hint="default"/>
        <w:color w:val="FFA35B" w:themeColor="accent5"/>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AA35B4"/>
    <w:multiLevelType w:val="multilevel"/>
    <w:tmpl w:val="0F2A163C"/>
    <w:lvl w:ilvl="0">
      <w:start w:val="1"/>
      <w:numFmt w:val="bullet"/>
      <w:pStyle w:val="AEG-BulletList"/>
      <w:lvlText w:val=""/>
      <w:lvlJc w:val="left"/>
      <w:pPr>
        <w:ind w:left="360" w:hanging="360"/>
      </w:pPr>
      <w:rPr>
        <w:rFonts w:ascii="Symbol" w:hAnsi="Symbol" w:hint="default"/>
        <w:color w:val="F26549" w:themeColor="accent1"/>
      </w:rPr>
    </w:lvl>
    <w:lvl w:ilvl="1">
      <w:start w:val="1"/>
      <w:numFmt w:val="bullet"/>
      <w:lvlText w:val=""/>
      <w:lvlJc w:val="left"/>
      <w:pPr>
        <w:tabs>
          <w:tab w:val="num" w:pos="720"/>
        </w:tabs>
        <w:ind w:left="720" w:hanging="360"/>
      </w:pPr>
      <w:rPr>
        <w:rFonts w:ascii="Symbol" w:hAnsi="Symbol" w:hint="default"/>
        <w:color w:val="19172B" w:themeColor="text1"/>
      </w:rPr>
    </w:lvl>
    <w:lvl w:ilvl="2">
      <w:start w:val="1"/>
      <w:numFmt w:val="bullet"/>
      <w:lvlText w:val=""/>
      <w:lvlJc w:val="left"/>
      <w:pPr>
        <w:ind w:left="1080" w:hanging="360"/>
      </w:pPr>
      <w:rPr>
        <w:rFonts w:ascii="Wingdings" w:hAnsi="Wingdings" w:hint="default"/>
        <w:color w:val="1E13A6" w:themeColor="accent2"/>
      </w:rPr>
    </w:lvl>
    <w:lvl w:ilvl="3">
      <w:start w:val="1"/>
      <w:numFmt w:val="bullet"/>
      <w:lvlText w:val="-"/>
      <w:lvlJc w:val="left"/>
      <w:pPr>
        <w:ind w:left="1440" w:hanging="360"/>
      </w:pPr>
      <w:rPr>
        <w:rFonts w:ascii="GT Eesti Display Light" w:hAnsi="GT Eesti Display Light" w:hint="default"/>
        <w:color w:val="19172B" w:themeColor="tex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3C00170"/>
    <w:multiLevelType w:val="hybridMultilevel"/>
    <w:tmpl w:val="B0F070BA"/>
    <w:lvl w:ilvl="0" w:tplc="32987118">
      <w:start w:val="1"/>
      <w:numFmt w:val="bullet"/>
      <w:pStyle w:val="Calloutbox-bullets"/>
      <w:lvlText w:val="•"/>
      <w:lvlJc w:val="left"/>
      <w:pPr>
        <w:ind w:left="360" w:hanging="288"/>
      </w:pPr>
      <w:rPr>
        <w:rFonts w:ascii="Aptos" w:hAnsi="Aptos" w:hint="default"/>
        <w:color w:val="1E13A6" w:themeColor="accent2"/>
      </w:rPr>
    </w:lvl>
    <w:lvl w:ilvl="1" w:tplc="FFFFFFFF" w:tentative="1">
      <w:start w:val="1"/>
      <w:numFmt w:val="bullet"/>
      <w:lvlText w:val="o"/>
      <w:lvlJc w:val="left"/>
      <w:pPr>
        <w:ind w:left="1439" w:hanging="360"/>
      </w:pPr>
      <w:rPr>
        <w:rFonts w:ascii="Courier New" w:hAnsi="Courier New" w:cs="Courier New" w:hint="default"/>
      </w:rPr>
    </w:lvl>
    <w:lvl w:ilvl="2" w:tplc="FFFFFFFF" w:tentative="1">
      <w:start w:val="1"/>
      <w:numFmt w:val="bullet"/>
      <w:lvlText w:val=""/>
      <w:lvlJc w:val="left"/>
      <w:pPr>
        <w:ind w:left="2159" w:hanging="360"/>
      </w:pPr>
      <w:rPr>
        <w:rFonts w:ascii="Wingdings" w:hAnsi="Wingdings" w:hint="default"/>
      </w:rPr>
    </w:lvl>
    <w:lvl w:ilvl="3" w:tplc="FFFFFFFF" w:tentative="1">
      <w:start w:val="1"/>
      <w:numFmt w:val="bullet"/>
      <w:lvlText w:val=""/>
      <w:lvlJc w:val="left"/>
      <w:pPr>
        <w:ind w:left="2879" w:hanging="360"/>
      </w:pPr>
      <w:rPr>
        <w:rFonts w:ascii="Symbol" w:hAnsi="Symbol" w:hint="default"/>
      </w:rPr>
    </w:lvl>
    <w:lvl w:ilvl="4" w:tplc="FFFFFFFF" w:tentative="1">
      <w:start w:val="1"/>
      <w:numFmt w:val="bullet"/>
      <w:lvlText w:val="o"/>
      <w:lvlJc w:val="left"/>
      <w:pPr>
        <w:ind w:left="3599" w:hanging="360"/>
      </w:pPr>
      <w:rPr>
        <w:rFonts w:ascii="Courier New" w:hAnsi="Courier New" w:cs="Courier New" w:hint="default"/>
      </w:rPr>
    </w:lvl>
    <w:lvl w:ilvl="5" w:tplc="FFFFFFFF" w:tentative="1">
      <w:start w:val="1"/>
      <w:numFmt w:val="bullet"/>
      <w:lvlText w:val=""/>
      <w:lvlJc w:val="left"/>
      <w:pPr>
        <w:ind w:left="4319" w:hanging="360"/>
      </w:pPr>
      <w:rPr>
        <w:rFonts w:ascii="Wingdings" w:hAnsi="Wingdings" w:hint="default"/>
      </w:rPr>
    </w:lvl>
    <w:lvl w:ilvl="6" w:tplc="FFFFFFFF" w:tentative="1">
      <w:start w:val="1"/>
      <w:numFmt w:val="bullet"/>
      <w:lvlText w:val=""/>
      <w:lvlJc w:val="left"/>
      <w:pPr>
        <w:ind w:left="5039" w:hanging="360"/>
      </w:pPr>
      <w:rPr>
        <w:rFonts w:ascii="Symbol" w:hAnsi="Symbol" w:hint="default"/>
      </w:rPr>
    </w:lvl>
    <w:lvl w:ilvl="7" w:tplc="FFFFFFFF" w:tentative="1">
      <w:start w:val="1"/>
      <w:numFmt w:val="bullet"/>
      <w:lvlText w:val="o"/>
      <w:lvlJc w:val="left"/>
      <w:pPr>
        <w:ind w:left="5759" w:hanging="360"/>
      </w:pPr>
      <w:rPr>
        <w:rFonts w:ascii="Courier New" w:hAnsi="Courier New" w:cs="Courier New" w:hint="default"/>
      </w:rPr>
    </w:lvl>
    <w:lvl w:ilvl="8" w:tplc="FFFFFFFF" w:tentative="1">
      <w:start w:val="1"/>
      <w:numFmt w:val="bullet"/>
      <w:lvlText w:val=""/>
      <w:lvlJc w:val="left"/>
      <w:pPr>
        <w:ind w:left="6479" w:hanging="360"/>
      </w:pPr>
      <w:rPr>
        <w:rFonts w:ascii="Wingdings" w:hAnsi="Wingdings" w:hint="default"/>
      </w:rPr>
    </w:lvl>
  </w:abstractNum>
  <w:abstractNum w:abstractNumId="9" w15:restartNumberingAfterBreak="0">
    <w:nsid w:val="43723887"/>
    <w:multiLevelType w:val="multilevel"/>
    <w:tmpl w:val="DEBA0926"/>
    <w:styleLink w:val="StyleNumberedBodySegoeUISemilight8ptLeft075Han"/>
    <w:lvl w:ilvl="0">
      <w:start w:val="1"/>
      <w:numFmt w:val="decimal"/>
      <w:lvlText w:val="%1."/>
      <w:lvlJc w:val="left"/>
      <w:pPr>
        <w:ind w:left="360" w:hanging="360"/>
      </w:pPr>
      <w:rPr>
        <w:rFonts w:ascii="GT Eesti Display Bold" w:hAnsi="GT Eesti Display Bold" w:hint="default"/>
        <w:b/>
        <w:i w:val="0"/>
        <w:color w:val="F26549"/>
        <w:sz w:val="20"/>
        <w:szCs w:val="16"/>
      </w:rPr>
    </w:lvl>
    <w:lvl w:ilvl="1">
      <w:start w:val="1"/>
      <w:numFmt w:val="lowerLetter"/>
      <w:lvlText w:val="%2."/>
      <w:lvlJc w:val="left"/>
      <w:pPr>
        <w:tabs>
          <w:tab w:val="num" w:pos="1440"/>
        </w:tabs>
        <w:ind w:left="1080" w:hanging="360"/>
      </w:pPr>
      <w:rPr>
        <w:rFonts w:ascii="GT Eesti Display Bold" w:hAnsi="GT Eesti Display Bold"/>
        <w:b/>
        <w:i w:val="0"/>
        <w:color w:val="F26549"/>
        <w:spacing w:val="4"/>
        <w:kern w:val="18"/>
        <w:sz w:val="20"/>
      </w:rPr>
    </w:lvl>
    <w:lvl w:ilvl="2">
      <w:start w:val="1"/>
      <w:numFmt w:val="lowerRoman"/>
      <w:lvlText w:val="%3."/>
      <w:lvlJc w:val="right"/>
      <w:pPr>
        <w:tabs>
          <w:tab w:val="num" w:pos="2160"/>
        </w:tabs>
        <w:ind w:left="1620" w:hanging="180"/>
      </w:pPr>
    </w:lvl>
    <w:lvl w:ilvl="3">
      <w:start w:val="1"/>
      <w:numFmt w:val="bullet"/>
      <w:lvlText w:val=""/>
      <w:lvlJc w:val="left"/>
      <w:pPr>
        <w:tabs>
          <w:tab w:val="num" w:pos="2880"/>
        </w:tabs>
        <w:ind w:left="2520" w:hanging="360"/>
      </w:pPr>
      <w:rPr>
        <w:rFonts w:ascii="Symbol" w:hAnsi="Symbol" w:hint="default"/>
        <w:color w:val="1E13A6" w:themeColor="accent2"/>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4EF972F5"/>
    <w:multiLevelType w:val="multilevel"/>
    <w:tmpl w:val="1F186560"/>
    <w:lvl w:ilvl="0">
      <w:start w:val="1"/>
      <w:numFmt w:val="decimal"/>
      <w:pStyle w:val="AEG-NumberListopt2"/>
      <w:lvlText w:val="%1."/>
      <w:lvlJc w:val="left"/>
      <w:pPr>
        <w:ind w:left="630" w:hanging="360"/>
      </w:pPr>
      <w:rPr>
        <w:rFonts w:hint="default"/>
        <w:sz w:val="21"/>
      </w:rPr>
    </w:lvl>
    <w:lvl w:ilvl="1">
      <w:start w:val="1"/>
      <w:numFmt w:val="lowerLetter"/>
      <w:lvlText w:val="%2."/>
      <w:lvlJc w:val="left"/>
      <w:pPr>
        <w:ind w:left="1079" w:hanging="360"/>
      </w:pPr>
    </w:lvl>
    <w:lvl w:ilvl="2">
      <w:start w:val="1"/>
      <w:numFmt w:val="decimal"/>
      <w:lvlText w:val="%1.%2.%3"/>
      <w:lvlJc w:val="left"/>
      <w:pPr>
        <w:ind w:left="2087" w:hanging="792"/>
      </w:pPr>
      <w:rPr>
        <w:rFonts w:hint="default"/>
      </w:rPr>
    </w:lvl>
    <w:lvl w:ilvl="3">
      <w:start w:val="1"/>
      <w:numFmt w:val="lowerRoman"/>
      <w:lvlText w:val="%1.%2.%3.%4"/>
      <w:lvlJc w:val="left"/>
      <w:pPr>
        <w:ind w:left="3095" w:hanging="1008"/>
      </w:pPr>
      <w:rPr>
        <w:rFonts w:hint="default"/>
      </w:rPr>
    </w:lvl>
    <w:lvl w:ilvl="4">
      <w:start w:val="1"/>
      <w:numFmt w:val="lowerLetter"/>
      <w:lvlText w:val="%1.%2.%3.%4.%5"/>
      <w:lvlJc w:val="left"/>
      <w:pPr>
        <w:ind w:left="4247" w:hanging="1152"/>
      </w:pPr>
      <w:rPr>
        <w:rFonts w:hint="default"/>
      </w:rPr>
    </w:lvl>
    <w:lvl w:ilvl="5">
      <w:start w:val="1"/>
      <w:numFmt w:val="none"/>
      <w:lvlText w:val=""/>
      <w:lvlJc w:val="left"/>
      <w:pPr>
        <w:ind w:left="2519" w:hanging="360"/>
      </w:pPr>
      <w:rPr>
        <w:rFonts w:hint="default"/>
      </w:rPr>
    </w:lvl>
    <w:lvl w:ilvl="6">
      <w:start w:val="1"/>
      <w:numFmt w:val="none"/>
      <w:lvlText w:val="%7"/>
      <w:lvlJc w:val="left"/>
      <w:pPr>
        <w:ind w:left="2879" w:hanging="360"/>
      </w:pPr>
      <w:rPr>
        <w:rFonts w:hint="default"/>
      </w:rPr>
    </w:lvl>
    <w:lvl w:ilvl="7">
      <w:start w:val="1"/>
      <w:numFmt w:val="none"/>
      <w:lvlText w:val="%8"/>
      <w:lvlJc w:val="left"/>
      <w:pPr>
        <w:ind w:left="3239" w:hanging="360"/>
      </w:pPr>
      <w:rPr>
        <w:rFonts w:hint="default"/>
      </w:rPr>
    </w:lvl>
    <w:lvl w:ilvl="8">
      <w:start w:val="1"/>
      <w:numFmt w:val="none"/>
      <w:lvlText w:val=""/>
      <w:lvlJc w:val="left"/>
      <w:pPr>
        <w:ind w:left="3599" w:hanging="360"/>
      </w:pPr>
      <w:rPr>
        <w:rFonts w:hint="default"/>
      </w:rPr>
    </w:lvl>
  </w:abstractNum>
  <w:abstractNum w:abstractNumId="11" w15:restartNumberingAfterBreak="0">
    <w:nsid w:val="599871B3"/>
    <w:multiLevelType w:val="hybridMultilevel"/>
    <w:tmpl w:val="999C979A"/>
    <w:name w:val="Figure 2"/>
    <w:lvl w:ilvl="0" w:tplc="5DD659F2">
      <w:start w:val="1"/>
      <w:numFmt w:val="bullet"/>
      <w:lvlText w:val="•"/>
      <w:lvlJc w:val="left"/>
      <w:pPr>
        <w:ind w:left="719" w:hanging="360"/>
      </w:pPr>
      <w:rPr>
        <w:rFonts w:ascii="Aptos" w:hAnsi="Aptos" w:hint="default"/>
        <w:color w:val="00B3FF" w:themeColor="accent3"/>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12" w15:restartNumberingAfterBreak="0">
    <w:nsid w:val="5D22300A"/>
    <w:multiLevelType w:val="hybridMultilevel"/>
    <w:tmpl w:val="EEDC1D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AFD43C5"/>
    <w:multiLevelType w:val="hybridMultilevel"/>
    <w:tmpl w:val="A306A966"/>
    <w:lvl w:ilvl="0" w:tplc="57B299F2">
      <w:start w:val="1"/>
      <w:numFmt w:val="upperLetter"/>
      <w:pStyle w:val="Heading6"/>
      <w:lvlText w:val="%1 | "/>
      <w:lvlJc w:val="left"/>
      <w:pPr>
        <w:ind w:left="360" w:hanging="360"/>
      </w:pPr>
      <w:rPr>
        <w:rFonts w:ascii="Aptos SemiBold" w:hAnsi="Aptos SemiBold" w:hint="default"/>
        <w:b w:val="0"/>
        <w:i w:val="0"/>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5D70BB"/>
    <w:multiLevelType w:val="hybridMultilevel"/>
    <w:tmpl w:val="9EA808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7AA9671F"/>
    <w:multiLevelType w:val="multilevel"/>
    <w:tmpl w:val="C5583E04"/>
    <w:lvl w:ilvl="0">
      <w:start w:val="1"/>
      <w:numFmt w:val="decimal"/>
      <w:lvlText w:val="%1."/>
      <w:lvlJc w:val="left"/>
      <w:pPr>
        <w:ind w:left="360" w:hanging="360"/>
      </w:pPr>
      <w:rPr>
        <w:rFonts w:hint="default"/>
        <w:sz w:val="20"/>
        <w:szCs w:val="16"/>
      </w:rPr>
    </w:lvl>
    <w:lvl w:ilvl="1">
      <w:start w:val="1"/>
      <w:numFmt w:val="lowerLetter"/>
      <w:lvlText w:val="%2."/>
      <w:lvlJc w:val="left"/>
      <w:pPr>
        <w:ind w:left="720" w:hanging="360"/>
      </w:pPr>
      <w:rPr>
        <w:rFonts w:asciiTheme="minorHAnsi" w:hAnsiTheme="minorHAnsi" w:hint="default"/>
        <w:spacing w:val="4"/>
        <w:kern w:val="18"/>
        <w:sz w:val="16"/>
        <w:szCs w:val="1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color w:val="1E13A6" w:themeColor="accent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7B5E1B60"/>
    <w:multiLevelType w:val="hybridMultilevel"/>
    <w:tmpl w:val="5D8C4888"/>
    <w:lvl w:ilvl="0" w:tplc="28883E34">
      <w:start w:val="1"/>
      <w:numFmt w:val="bullet"/>
      <w:pStyle w:val="Bulletlistindent1"/>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E52EAFF4">
      <w:numFmt w:val="bullet"/>
      <w:lvlText w:val="•"/>
      <w:lvlJc w:val="left"/>
      <w:pPr>
        <w:ind w:left="2880" w:hanging="720"/>
      </w:pPr>
      <w:rPr>
        <w:rFonts w:ascii="Tahoma" w:eastAsia="Times New Roman" w:hAnsi="Tahoma" w:cs="Tahoma"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B8023EB"/>
    <w:multiLevelType w:val="multilevel"/>
    <w:tmpl w:val="EC483C1C"/>
    <w:lvl w:ilvl="0">
      <w:start w:val="1"/>
      <w:numFmt w:val="upperRoman"/>
      <w:pStyle w:val="AEG-NumberListopt1"/>
      <w:lvlText w:val="%1."/>
      <w:lvlJc w:val="right"/>
      <w:pPr>
        <w:ind w:left="432" w:hanging="144"/>
      </w:pPr>
      <w:rPr>
        <w:rFonts w:hint="default"/>
      </w:rPr>
    </w:lvl>
    <w:lvl w:ilvl="1">
      <w:start w:val="1"/>
      <w:numFmt w:val="lowerRoman"/>
      <w:lvlText w:val="%2."/>
      <w:lvlJc w:val="right"/>
      <w:pPr>
        <w:ind w:left="864" w:hanging="144"/>
      </w:pPr>
      <w:rPr>
        <w:rFonts w:hint="default"/>
      </w:rPr>
    </w:lvl>
    <w:lvl w:ilvl="2">
      <w:start w:val="1"/>
      <w:numFmt w:val="lowerLetter"/>
      <w:lvlText w:val="%3."/>
      <w:lvlJc w:val="left"/>
      <w:pPr>
        <w:ind w:left="1152" w:hanging="288"/>
      </w:pPr>
      <w:rPr>
        <w:rFonts w:hint="default"/>
      </w:rPr>
    </w:lvl>
    <w:lvl w:ilvl="3">
      <w:start w:val="1"/>
      <w:numFmt w:val="lowerRoman"/>
      <w:lvlText w:val="(%4)"/>
      <w:lvlJc w:val="left"/>
      <w:pPr>
        <w:ind w:left="1440" w:hanging="288"/>
      </w:pPr>
      <w:rPr>
        <w:rFonts w:hint="default"/>
      </w:rPr>
    </w:lvl>
    <w:lvl w:ilvl="4">
      <w:start w:val="1"/>
      <w:numFmt w:val="lowerLetter"/>
      <w:lvlText w:val="(%5)"/>
      <w:lvlJc w:val="left"/>
      <w:pPr>
        <w:ind w:left="1728" w:hanging="288"/>
      </w:pPr>
      <w:rPr>
        <w:rFonts w:hint="default"/>
      </w:rPr>
    </w:lvl>
    <w:lvl w:ilvl="5">
      <w:start w:val="1"/>
      <w:numFmt w:val="decimal"/>
      <w:lvlText w:val="%6."/>
      <w:lvlJc w:val="left"/>
      <w:pPr>
        <w:ind w:left="2016" w:hanging="288"/>
      </w:pPr>
      <w:rPr>
        <w:rFonts w:hint="default"/>
      </w:rPr>
    </w:lvl>
    <w:lvl w:ilvl="6">
      <w:start w:val="1"/>
      <w:numFmt w:val="bullet"/>
      <w:lvlText w:val=""/>
      <w:lvlJc w:val="left"/>
      <w:pPr>
        <w:ind w:left="2304" w:hanging="288"/>
      </w:pPr>
      <w:rPr>
        <w:rFonts w:ascii="Symbol" w:hAnsi="Symbol" w:hint="default"/>
      </w:rPr>
    </w:lvl>
    <w:lvl w:ilvl="7">
      <w:start w:val="1"/>
      <w:numFmt w:val="bullet"/>
      <w:lvlText w:val=""/>
      <w:lvlJc w:val="left"/>
      <w:pPr>
        <w:ind w:left="2592" w:hanging="288"/>
      </w:pPr>
      <w:rPr>
        <w:rFonts w:ascii="Wingdings" w:hAnsi="Wingdings" w:hint="default"/>
        <w:color w:val="19172B" w:themeColor="text1"/>
        <w:sz w:val="18"/>
      </w:rPr>
    </w:lvl>
    <w:lvl w:ilvl="8">
      <w:start w:val="1"/>
      <w:numFmt w:val="bullet"/>
      <w:lvlText w:val=""/>
      <w:lvlJc w:val="left"/>
      <w:pPr>
        <w:ind w:left="2880" w:hanging="288"/>
      </w:pPr>
      <w:rPr>
        <w:rFonts w:ascii="Symbol" w:hAnsi="Symbol" w:hint="default"/>
        <w:color w:val="FFA35B" w:themeColor="accent5"/>
      </w:rPr>
    </w:lvl>
  </w:abstractNum>
  <w:abstractNum w:abstractNumId="18" w15:restartNumberingAfterBreak="0">
    <w:nsid w:val="7BC456CA"/>
    <w:multiLevelType w:val="multilevel"/>
    <w:tmpl w:val="0409001D"/>
    <w:styleLink w:val="AEG-NumberLIst2"/>
    <w:lvl w:ilvl="0">
      <w:start w:val="1"/>
      <w:numFmt w:val="decimal"/>
      <w:lvlText w:val="%1)"/>
      <w:lvlJc w:val="left"/>
      <w:pPr>
        <w:ind w:left="360" w:hanging="360"/>
      </w:pPr>
      <w:rPr>
        <w:rFonts w:ascii="Segoe UI Variable Display" w:hAnsi="Segoe UI Variable Display"/>
        <w:sz w:val="2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792507585">
    <w:abstractNumId w:val="6"/>
  </w:num>
  <w:num w:numId="2" w16cid:durableId="1941063702">
    <w:abstractNumId w:val="7"/>
  </w:num>
  <w:num w:numId="3" w16cid:durableId="1294679623">
    <w:abstractNumId w:val="17"/>
  </w:num>
  <w:num w:numId="4" w16cid:durableId="1056125450">
    <w:abstractNumId w:val="18"/>
  </w:num>
  <w:num w:numId="5" w16cid:durableId="1383364420">
    <w:abstractNumId w:val="10"/>
  </w:num>
  <w:num w:numId="6" w16cid:durableId="873931561">
    <w:abstractNumId w:val="9"/>
  </w:num>
  <w:num w:numId="7" w16cid:durableId="209613040">
    <w:abstractNumId w:val="13"/>
  </w:num>
  <w:num w:numId="8" w16cid:durableId="1229920532">
    <w:abstractNumId w:val="8"/>
  </w:num>
  <w:num w:numId="9" w16cid:durableId="1803619298">
    <w:abstractNumId w:val="2"/>
  </w:num>
  <w:num w:numId="10" w16cid:durableId="845169788">
    <w:abstractNumId w:val="1"/>
  </w:num>
  <w:num w:numId="11" w16cid:durableId="324673931">
    <w:abstractNumId w:val="12"/>
  </w:num>
  <w:num w:numId="12" w16cid:durableId="1383020624">
    <w:abstractNumId w:val="3"/>
  </w:num>
  <w:num w:numId="13" w16cid:durableId="463159449">
    <w:abstractNumId w:val="16"/>
  </w:num>
  <w:num w:numId="14" w16cid:durableId="1530144528">
    <w:abstractNumId w:val="15"/>
    <w:lvlOverride w:ilvl="0">
      <w:startOverride w:val="1"/>
    </w:lvlOverride>
  </w:num>
  <w:num w:numId="15" w16cid:durableId="1090085246">
    <w:abstractNumId w:val="15"/>
  </w:num>
  <w:num w:numId="16" w16cid:durableId="776757779">
    <w:abstractNumId w:val="5"/>
  </w:num>
  <w:num w:numId="17" w16cid:durableId="117907548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73811842">
    <w:abstractNumId w:val="7"/>
  </w:num>
  <w:num w:numId="19" w16cid:durableId="1133599073">
    <w:abstractNumId w:val="4"/>
  </w:num>
  <w:num w:numId="20" w16cid:durableId="4652047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2895168">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attachedTemplate r:id="rId1"/>
  <w:stylePaneFormatFilter w:val="8021" w:allStyles="1" w:customStyles="0" w:latentStyles="0" w:stylesInUse="0" w:headingStyles="1" w:numberingStyles="0" w:tableStyles="0" w:directFormattingOnRuns="0" w:directFormattingOnParagraphs="0" w:directFormattingOnNumbering="0" w:directFormattingOnTables="0" w:clearFormatting="0" w:top3HeadingStyles="0" w:visibleStyles="0" w:alternateStyleNames="1"/>
  <w:stylePaneSortMethod w:val="0000"/>
  <w:defaultTabStop w:val="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C62"/>
    <w:rsid w:val="000006D8"/>
    <w:rsid w:val="000014C5"/>
    <w:rsid w:val="00001C50"/>
    <w:rsid w:val="00001D53"/>
    <w:rsid w:val="000024C0"/>
    <w:rsid w:val="000025B9"/>
    <w:rsid w:val="000030C7"/>
    <w:rsid w:val="00003814"/>
    <w:rsid w:val="00006B04"/>
    <w:rsid w:val="000077C0"/>
    <w:rsid w:val="00007FAB"/>
    <w:rsid w:val="000107B0"/>
    <w:rsid w:val="00011A60"/>
    <w:rsid w:val="00011C69"/>
    <w:rsid w:val="000122F4"/>
    <w:rsid w:val="00012A8C"/>
    <w:rsid w:val="00012E61"/>
    <w:rsid w:val="00013B3F"/>
    <w:rsid w:val="000140B3"/>
    <w:rsid w:val="0001450E"/>
    <w:rsid w:val="00015121"/>
    <w:rsid w:val="000157EA"/>
    <w:rsid w:val="00015E26"/>
    <w:rsid w:val="0001667E"/>
    <w:rsid w:val="00016836"/>
    <w:rsid w:val="00023821"/>
    <w:rsid w:val="000265A8"/>
    <w:rsid w:val="00027416"/>
    <w:rsid w:val="00030646"/>
    <w:rsid w:val="0003104C"/>
    <w:rsid w:val="00031142"/>
    <w:rsid w:val="0003143A"/>
    <w:rsid w:val="0003296A"/>
    <w:rsid w:val="00033141"/>
    <w:rsid w:val="00033C10"/>
    <w:rsid w:val="00034A3B"/>
    <w:rsid w:val="000359C0"/>
    <w:rsid w:val="000370D2"/>
    <w:rsid w:val="00037599"/>
    <w:rsid w:val="000419E5"/>
    <w:rsid w:val="00041D2C"/>
    <w:rsid w:val="00042C2B"/>
    <w:rsid w:val="000436BA"/>
    <w:rsid w:val="00044300"/>
    <w:rsid w:val="00044F5E"/>
    <w:rsid w:val="000454E0"/>
    <w:rsid w:val="00045F2B"/>
    <w:rsid w:val="00047663"/>
    <w:rsid w:val="00047A09"/>
    <w:rsid w:val="00047B90"/>
    <w:rsid w:val="00052175"/>
    <w:rsid w:val="00052B9E"/>
    <w:rsid w:val="000546BE"/>
    <w:rsid w:val="00054AFD"/>
    <w:rsid w:val="000554A2"/>
    <w:rsid w:val="00056026"/>
    <w:rsid w:val="00057CDF"/>
    <w:rsid w:val="00057F72"/>
    <w:rsid w:val="00060500"/>
    <w:rsid w:val="00061FFA"/>
    <w:rsid w:val="00062A68"/>
    <w:rsid w:val="00064586"/>
    <w:rsid w:val="0006676A"/>
    <w:rsid w:val="00066AAC"/>
    <w:rsid w:val="00067FC1"/>
    <w:rsid w:val="000701D4"/>
    <w:rsid w:val="00070425"/>
    <w:rsid w:val="00070903"/>
    <w:rsid w:val="00070FF4"/>
    <w:rsid w:val="00071A34"/>
    <w:rsid w:val="00071C38"/>
    <w:rsid w:val="00072FB7"/>
    <w:rsid w:val="00073912"/>
    <w:rsid w:val="00073AE1"/>
    <w:rsid w:val="00075AA4"/>
    <w:rsid w:val="000763FB"/>
    <w:rsid w:val="00076E64"/>
    <w:rsid w:val="00077696"/>
    <w:rsid w:val="00077DEB"/>
    <w:rsid w:val="000800D6"/>
    <w:rsid w:val="00080263"/>
    <w:rsid w:val="000810FD"/>
    <w:rsid w:val="00082969"/>
    <w:rsid w:val="00082F90"/>
    <w:rsid w:val="000832A2"/>
    <w:rsid w:val="00084836"/>
    <w:rsid w:val="00084EC7"/>
    <w:rsid w:val="00084ECC"/>
    <w:rsid w:val="00084F92"/>
    <w:rsid w:val="000871EA"/>
    <w:rsid w:val="00090E6E"/>
    <w:rsid w:val="00093622"/>
    <w:rsid w:val="0009432F"/>
    <w:rsid w:val="000951B9"/>
    <w:rsid w:val="00095798"/>
    <w:rsid w:val="0009654B"/>
    <w:rsid w:val="00096E20"/>
    <w:rsid w:val="00097BE2"/>
    <w:rsid w:val="000A01AE"/>
    <w:rsid w:val="000A14B0"/>
    <w:rsid w:val="000A1A0A"/>
    <w:rsid w:val="000A23D7"/>
    <w:rsid w:val="000A28B0"/>
    <w:rsid w:val="000A3059"/>
    <w:rsid w:val="000A3090"/>
    <w:rsid w:val="000A4A22"/>
    <w:rsid w:val="000A4A7E"/>
    <w:rsid w:val="000A7BAA"/>
    <w:rsid w:val="000B12C7"/>
    <w:rsid w:val="000B1881"/>
    <w:rsid w:val="000B3594"/>
    <w:rsid w:val="000B38C1"/>
    <w:rsid w:val="000B3B61"/>
    <w:rsid w:val="000B444A"/>
    <w:rsid w:val="000B44F8"/>
    <w:rsid w:val="000B48B3"/>
    <w:rsid w:val="000B4958"/>
    <w:rsid w:val="000B5606"/>
    <w:rsid w:val="000B63B2"/>
    <w:rsid w:val="000B6C39"/>
    <w:rsid w:val="000B717C"/>
    <w:rsid w:val="000B720A"/>
    <w:rsid w:val="000C0271"/>
    <w:rsid w:val="000C127E"/>
    <w:rsid w:val="000C12BC"/>
    <w:rsid w:val="000C174E"/>
    <w:rsid w:val="000C193D"/>
    <w:rsid w:val="000C232D"/>
    <w:rsid w:val="000C3473"/>
    <w:rsid w:val="000C4E91"/>
    <w:rsid w:val="000C5310"/>
    <w:rsid w:val="000C6A8B"/>
    <w:rsid w:val="000C6AA0"/>
    <w:rsid w:val="000D04DB"/>
    <w:rsid w:val="000D149F"/>
    <w:rsid w:val="000D1784"/>
    <w:rsid w:val="000D30AB"/>
    <w:rsid w:val="000D4A0B"/>
    <w:rsid w:val="000D56BD"/>
    <w:rsid w:val="000D5A7F"/>
    <w:rsid w:val="000D5CD8"/>
    <w:rsid w:val="000D6C94"/>
    <w:rsid w:val="000E04C6"/>
    <w:rsid w:val="000E056C"/>
    <w:rsid w:val="000E1251"/>
    <w:rsid w:val="000E162B"/>
    <w:rsid w:val="000E2AA7"/>
    <w:rsid w:val="000E3449"/>
    <w:rsid w:val="000E34CB"/>
    <w:rsid w:val="000E4417"/>
    <w:rsid w:val="000E57C1"/>
    <w:rsid w:val="000E6FDC"/>
    <w:rsid w:val="000E7F0E"/>
    <w:rsid w:val="000F0642"/>
    <w:rsid w:val="000F083C"/>
    <w:rsid w:val="000F16F7"/>
    <w:rsid w:val="000F2D54"/>
    <w:rsid w:val="000F47D0"/>
    <w:rsid w:val="000F598E"/>
    <w:rsid w:val="000F5BBF"/>
    <w:rsid w:val="000F5F8E"/>
    <w:rsid w:val="000F6A70"/>
    <w:rsid w:val="0010104A"/>
    <w:rsid w:val="0010124B"/>
    <w:rsid w:val="001020F0"/>
    <w:rsid w:val="001021E1"/>
    <w:rsid w:val="00103587"/>
    <w:rsid w:val="001041EE"/>
    <w:rsid w:val="001049FF"/>
    <w:rsid w:val="00105E79"/>
    <w:rsid w:val="00106CF8"/>
    <w:rsid w:val="00107078"/>
    <w:rsid w:val="00107F65"/>
    <w:rsid w:val="00110BC1"/>
    <w:rsid w:val="00110C97"/>
    <w:rsid w:val="001112A6"/>
    <w:rsid w:val="001113E0"/>
    <w:rsid w:val="00111B23"/>
    <w:rsid w:val="00112189"/>
    <w:rsid w:val="001122E8"/>
    <w:rsid w:val="001129D3"/>
    <w:rsid w:val="001134D2"/>
    <w:rsid w:val="0011360D"/>
    <w:rsid w:val="00114296"/>
    <w:rsid w:val="00115055"/>
    <w:rsid w:val="001161FF"/>
    <w:rsid w:val="001174A7"/>
    <w:rsid w:val="001175BF"/>
    <w:rsid w:val="001217D9"/>
    <w:rsid w:val="00121B54"/>
    <w:rsid w:val="00122817"/>
    <w:rsid w:val="00124685"/>
    <w:rsid w:val="00125A2D"/>
    <w:rsid w:val="00127078"/>
    <w:rsid w:val="0012721F"/>
    <w:rsid w:val="00130994"/>
    <w:rsid w:val="00130E8D"/>
    <w:rsid w:val="00132624"/>
    <w:rsid w:val="001330C1"/>
    <w:rsid w:val="00135AB2"/>
    <w:rsid w:val="00136629"/>
    <w:rsid w:val="001367D7"/>
    <w:rsid w:val="00136AC4"/>
    <w:rsid w:val="00136AD5"/>
    <w:rsid w:val="00137CC9"/>
    <w:rsid w:val="001409AF"/>
    <w:rsid w:val="00141C47"/>
    <w:rsid w:val="001427ED"/>
    <w:rsid w:val="001447F5"/>
    <w:rsid w:val="00145819"/>
    <w:rsid w:val="00145BC4"/>
    <w:rsid w:val="0014620B"/>
    <w:rsid w:val="00146CA9"/>
    <w:rsid w:val="00152601"/>
    <w:rsid w:val="0015284F"/>
    <w:rsid w:val="00153F96"/>
    <w:rsid w:val="00154889"/>
    <w:rsid w:val="001551CB"/>
    <w:rsid w:val="00155A2F"/>
    <w:rsid w:val="00157AC0"/>
    <w:rsid w:val="001606D7"/>
    <w:rsid w:val="001623C8"/>
    <w:rsid w:val="00162431"/>
    <w:rsid w:val="00163B44"/>
    <w:rsid w:val="00164201"/>
    <w:rsid w:val="001651B1"/>
    <w:rsid w:val="00165C17"/>
    <w:rsid w:val="001670BE"/>
    <w:rsid w:val="00170E16"/>
    <w:rsid w:val="00171557"/>
    <w:rsid w:val="00171BAC"/>
    <w:rsid w:val="001728D5"/>
    <w:rsid w:val="00173A6A"/>
    <w:rsid w:val="00173B1C"/>
    <w:rsid w:val="00173F76"/>
    <w:rsid w:val="00174E56"/>
    <w:rsid w:val="0017564F"/>
    <w:rsid w:val="001769B0"/>
    <w:rsid w:val="0017730A"/>
    <w:rsid w:val="001815F5"/>
    <w:rsid w:val="00181C60"/>
    <w:rsid w:val="001820B6"/>
    <w:rsid w:val="0018372C"/>
    <w:rsid w:val="00184578"/>
    <w:rsid w:val="001845A5"/>
    <w:rsid w:val="00185683"/>
    <w:rsid w:val="00185F2F"/>
    <w:rsid w:val="00186C76"/>
    <w:rsid w:val="00186D53"/>
    <w:rsid w:val="00186E0D"/>
    <w:rsid w:val="0018762C"/>
    <w:rsid w:val="00190598"/>
    <w:rsid w:val="00190C10"/>
    <w:rsid w:val="0019283F"/>
    <w:rsid w:val="00192C04"/>
    <w:rsid w:val="0019311C"/>
    <w:rsid w:val="0019342E"/>
    <w:rsid w:val="001953D6"/>
    <w:rsid w:val="001954A8"/>
    <w:rsid w:val="00195923"/>
    <w:rsid w:val="00195927"/>
    <w:rsid w:val="0019656E"/>
    <w:rsid w:val="001974DA"/>
    <w:rsid w:val="00197749"/>
    <w:rsid w:val="001A03F1"/>
    <w:rsid w:val="001A0A08"/>
    <w:rsid w:val="001A157B"/>
    <w:rsid w:val="001A1F2F"/>
    <w:rsid w:val="001A249E"/>
    <w:rsid w:val="001A28A6"/>
    <w:rsid w:val="001A4AE8"/>
    <w:rsid w:val="001A58F3"/>
    <w:rsid w:val="001A5DF3"/>
    <w:rsid w:val="001A6021"/>
    <w:rsid w:val="001A6D14"/>
    <w:rsid w:val="001B03DC"/>
    <w:rsid w:val="001B0B21"/>
    <w:rsid w:val="001B1587"/>
    <w:rsid w:val="001B1887"/>
    <w:rsid w:val="001B1D37"/>
    <w:rsid w:val="001B3DD4"/>
    <w:rsid w:val="001B476E"/>
    <w:rsid w:val="001B515B"/>
    <w:rsid w:val="001B53E4"/>
    <w:rsid w:val="001B550E"/>
    <w:rsid w:val="001B5BB9"/>
    <w:rsid w:val="001B6650"/>
    <w:rsid w:val="001B6AA4"/>
    <w:rsid w:val="001B6C53"/>
    <w:rsid w:val="001B7735"/>
    <w:rsid w:val="001C0023"/>
    <w:rsid w:val="001C1418"/>
    <w:rsid w:val="001C171D"/>
    <w:rsid w:val="001C2652"/>
    <w:rsid w:val="001C3662"/>
    <w:rsid w:val="001C423E"/>
    <w:rsid w:val="001C43F3"/>
    <w:rsid w:val="001C5F68"/>
    <w:rsid w:val="001C6CF5"/>
    <w:rsid w:val="001C7AFE"/>
    <w:rsid w:val="001D003F"/>
    <w:rsid w:val="001D00F0"/>
    <w:rsid w:val="001D01D1"/>
    <w:rsid w:val="001D038F"/>
    <w:rsid w:val="001D1E14"/>
    <w:rsid w:val="001D2C50"/>
    <w:rsid w:val="001D5EBD"/>
    <w:rsid w:val="001D7242"/>
    <w:rsid w:val="001D736B"/>
    <w:rsid w:val="001D73BD"/>
    <w:rsid w:val="001E118C"/>
    <w:rsid w:val="001E2142"/>
    <w:rsid w:val="001E255C"/>
    <w:rsid w:val="001E2E81"/>
    <w:rsid w:val="001E2FCC"/>
    <w:rsid w:val="001E32EA"/>
    <w:rsid w:val="001E6C6C"/>
    <w:rsid w:val="001E7650"/>
    <w:rsid w:val="001F1A58"/>
    <w:rsid w:val="001F1FAF"/>
    <w:rsid w:val="001F2CEA"/>
    <w:rsid w:val="001F2FBC"/>
    <w:rsid w:val="001F3020"/>
    <w:rsid w:val="001F35BB"/>
    <w:rsid w:val="001F4BD0"/>
    <w:rsid w:val="001F5215"/>
    <w:rsid w:val="001F5C00"/>
    <w:rsid w:val="001F6EFF"/>
    <w:rsid w:val="001F70D2"/>
    <w:rsid w:val="001F725B"/>
    <w:rsid w:val="002007F3"/>
    <w:rsid w:val="00200C42"/>
    <w:rsid w:val="002045D4"/>
    <w:rsid w:val="0020462B"/>
    <w:rsid w:val="002063AE"/>
    <w:rsid w:val="002072D5"/>
    <w:rsid w:val="00211111"/>
    <w:rsid w:val="00211207"/>
    <w:rsid w:val="002113A0"/>
    <w:rsid w:val="00211476"/>
    <w:rsid w:val="002121A5"/>
    <w:rsid w:val="0021321A"/>
    <w:rsid w:val="002135E1"/>
    <w:rsid w:val="00214972"/>
    <w:rsid w:val="002156A9"/>
    <w:rsid w:val="002159B6"/>
    <w:rsid w:val="00215B34"/>
    <w:rsid w:val="00215ED9"/>
    <w:rsid w:val="002166F1"/>
    <w:rsid w:val="002170D8"/>
    <w:rsid w:val="00220229"/>
    <w:rsid w:val="002204D3"/>
    <w:rsid w:val="002217D8"/>
    <w:rsid w:val="002230A8"/>
    <w:rsid w:val="002237B3"/>
    <w:rsid w:val="00224C05"/>
    <w:rsid w:val="0022512C"/>
    <w:rsid w:val="0023081E"/>
    <w:rsid w:val="00231696"/>
    <w:rsid w:val="00231D9C"/>
    <w:rsid w:val="00231DA6"/>
    <w:rsid w:val="002331E2"/>
    <w:rsid w:val="0023321B"/>
    <w:rsid w:val="002336B9"/>
    <w:rsid w:val="0023437D"/>
    <w:rsid w:val="002356DE"/>
    <w:rsid w:val="002357DE"/>
    <w:rsid w:val="00235CAC"/>
    <w:rsid w:val="002374AC"/>
    <w:rsid w:val="002408D9"/>
    <w:rsid w:val="00240BC3"/>
    <w:rsid w:val="00240E92"/>
    <w:rsid w:val="00241CDA"/>
    <w:rsid w:val="00242309"/>
    <w:rsid w:val="00243A55"/>
    <w:rsid w:val="00244323"/>
    <w:rsid w:val="00246D38"/>
    <w:rsid w:val="00250655"/>
    <w:rsid w:val="00252909"/>
    <w:rsid w:val="00252AAC"/>
    <w:rsid w:val="00252F6F"/>
    <w:rsid w:val="00254356"/>
    <w:rsid w:val="0025543C"/>
    <w:rsid w:val="00255C11"/>
    <w:rsid w:val="00255E89"/>
    <w:rsid w:val="00256BAF"/>
    <w:rsid w:val="0025713B"/>
    <w:rsid w:val="00257EA3"/>
    <w:rsid w:val="002610F1"/>
    <w:rsid w:val="00261322"/>
    <w:rsid w:val="00261AA4"/>
    <w:rsid w:val="00262961"/>
    <w:rsid w:val="00262C37"/>
    <w:rsid w:val="00263314"/>
    <w:rsid w:val="0026362F"/>
    <w:rsid w:val="0026548D"/>
    <w:rsid w:val="00265893"/>
    <w:rsid w:val="0026634E"/>
    <w:rsid w:val="00267C0F"/>
    <w:rsid w:val="0027015F"/>
    <w:rsid w:val="002702CB"/>
    <w:rsid w:val="002704E2"/>
    <w:rsid w:val="00270ABE"/>
    <w:rsid w:val="00271394"/>
    <w:rsid w:val="0027148F"/>
    <w:rsid w:val="00271528"/>
    <w:rsid w:val="00272626"/>
    <w:rsid w:val="0027489C"/>
    <w:rsid w:val="002760BE"/>
    <w:rsid w:val="002762FF"/>
    <w:rsid w:val="00281363"/>
    <w:rsid w:val="00281B29"/>
    <w:rsid w:val="00282CBF"/>
    <w:rsid w:val="00283479"/>
    <w:rsid w:val="00283BB2"/>
    <w:rsid w:val="00283CD3"/>
    <w:rsid w:val="00284F00"/>
    <w:rsid w:val="002853BE"/>
    <w:rsid w:val="002869CE"/>
    <w:rsid w:val="00286A4B"/>
    <w:rsid w:val="002877A9"/>
    <w:rsid w:val="00290001"/>
    <w:rsid w:val="00291F8A"/>
    <w:rsid w:val="0029202A"/>
    <w:rsid w:val="00292052"/>
    <w:rsid w:val="00293AF8"/>
    <w:rsid w:val="0029549C"/>
    <w:rsid w:val="00297589"/>
    <w:rsid w:val="00297655"/>
    <w:rsid w:val="002A0B2B"/>
    <w:rsid w:val="002A0C24"/>
    <w:rsid w:val="002A1BED"/>
    <w:rsid w:val="002A2BC7"/>
    <w:rsid w:val="002A2E11"/>
    <w:rsid w:val="002A3F10"/>
    <w:rsid w:val="002A41C9"/>
    <w:rsid w:val="002A44F8"/>
    <w:rsid w:val="002A52F4"/>
    <w:rsid w:val="002A6A6C"/>
    <w:rsid w:val="002A718E"/>
    <w:rsid w:val="002B000A"/>
    <w:rsid w:val="002B0052"/>
    <w:rsid w:val="002B0BC0"/>
    <w:rsid w:val="002B18E5"/>
    <w:rsid w:val="002B2259"/>
    <w:rsid w:val="002B285C"/>
    <w:rsid w:val="002B3611"/>
    <w:rsid w:val="002B55D3"/>
    <w:rsid w:val="002B5A9B"/>
    <w:rsid w:val="002B66AF"/>
    <w:rsid w:val="002B79CD"/>
    <w:rsid w:val="002C0170"/>
    <w:rsid w:val="002C0EAC"/>
    <w:rsid w:val="002C1511"/>
    <w:rsid w:val="002C17E7"/>
    <w:rsid w:val="002C2B6C"/>
    <w:rsid w:val="002C31B7"/>
    <w:rsid w:val="002C346F"/>
    <w:rsid w:val="002C558B"/>
    <w:rsid w:val="002C5847"/>
    <w:rsid w:val="002C5ADE"/>
    <w:rsid w:val="002C5D6C"/>
    <w:rsid w:val="002C6309"/>
    <w:rsid w:val="002C63BC"/>
    <w:rsid w:val="002C7F4D"/>
    <w:rsid w:val="002D08A8"/>
    <w:rsid w:val="002D1455"/>
    <w:rsid w:val="002D17BF"/>
    <w:rsid w:val="002D1B61"/>
    <w:rsid w:val="002D2ECA"/>
    <w:rsid w:val="002D33DD"/>
    <w:rsid w:val="002D3662"/>
    <w:rsid w:val="002D4A15"/>
    <w:rsid w:val="002D5CED"/>
    <w:rsid w:val="002D6148"/>
    <w:rsid w:val="002D6165"/>
    <w:rsid w:val="002D6BDF"/>
    <w:rsid w:val="002E1458"/>
    <w:rsid w:val="002E1B7C"/>
    <w:rsid w:val="002E441A"/>
    <w:rsid w:val="002E4B36"/>
    <w:rsid w:val="002E5F56"/>
    <w:rsid w:val="002E61AE"/>
    <w:rsid w:val="002E63C9"/>
    <w:rsid w:val="002E7920"/>
    <w:rsid w:val="002E7E7D"/>
    <w:rsid w:val="002F1096"/>
    <w:rsid w:val="002F2400"/>
    <w:rsid w:val="002F3DF5"/>
    <w:rsid w:val="002F4636"/>
    <w:rsid w:val="002F59CB"/>
    <w:rsid w:val="002F5A43"/>
    <w:rsid w:val="002F627A"/>
    <w:rsid w:val="002F71BD"/>
    <w:rsid w:val="002F73C0"/>
    <w:rsid w:val="00300FB2"/>
    <w:rsid w:val="00301527"/>
    <w:rsid w:val="0030209B"/>
    <w:rsid w:val="003048A5"/>
    <w:rsid w:val="00305239"/>
    <w:rsid w:val="00305594"/>
    <w:rsid w:val="00307092"/>
    <w:rsid w:val="003071D5"/>
    <w:rsid w:val="0030791B"/>
    <w:rsid w:val="00307E0A"/>
    <w:rsid w:val="00307E22"/>
    <w:rsid w:val="00307E4B"/>
    <w:rsid w:val="003115CD"/>
    <w:rsid w:val="00312A5A"/>
    <w:rsid w:val="00312AB2"/>
    <w:rsid w:val="003133F2"/>
    <w:rsid w:val="00313A36"/>
    <w:rsid w:val="00313D96"/>
    <w:rsid w:val="003161D3"/>
    <w:rsid w:val="00316445"/>
    <w:rsid w:val="0031645E"/>
    <w:rsid w:val="00317E3D"/>
    <w:rsid w:val="00322540"/>
    <w:rsid w:val="003230E4"/>
    <w:rsid w:val="0032447A"/>
    <w:rsid w:val="00324C3A"/>
    <w:rsid w:val="00324CE5"/>
    <w:rsid w:val="00324FD9"/>
    <w:rsid w:val="003256DF"/>
    <w:rsid w:val="00325935"/>
    <w:rsid w:val="00325F2F"/>
    <w:rsid w:val="00325FDC"/>
    <w:rsid w:val="00330386"/>
    <w:rsid w:val="00330649"/>
    <w:rsid w:val="00330AC8"/>
    <w:rsid w:val="003310CA"/>
    <w:rsid w:val="00332C0F"/>
    <w:rsid w:val="0033411A"/>
    <w:rsid w:val="003347D2"/>
    <w:rsid w:val="00336482"/>
    <w:rsid w:val="00337BE0"/>
    <w:rsid w:val="00340A8D"/>
    <w:rsid w:val="00341387"/>
    <w:rsid w:val="003430D1"/>
    <w:rsid w:val="00343270"/>
    <w:rsid w:val="00343405"/>
    <w:rsid w:val="00343F5F"/>
    <w:rsid w:val="0034430C"/>
    <w:rsid w:val="00344BBB"/>
    <w:rsid w:val="003462B0"/>
    <w:rsid w:val="00346309"/>
    <w:rsid w:val="003474B1"/>
    <w:rsid w:val="00350BCB"/>
    <w:rsid w:val="00351C89"/>
    <w:rsid w:val="00352210"/>
    <w:rsid w:val="00352954"/>
    <w:rsid w:val="00352D03"/>
    <w:rsid w:val="00353776"/>
    <w:rsid w:val="0035381B"/>
    <w:rsid w:val="00353FD9"/>
    <w:rsid w:val="003540E9"/>
    <w:rsid w:val="0035520A"/>
    <w:rsid w:val="0035566D"/>
    <w:rsid w:val="00355DC6"/>
    <w:rsid w:val="00356BA4"/>
    <w:rsid w:val="003575E7"/>
    <w:rsid w:val="0035773A"/>
    <w:rsid w:val="003577F5"/>
    <w:rsid w:val="0036034D"/>
    <w:rsid w:val="003612FD"/>
    <w:rsid w:val="00362152"/>
    <w:rsid w:val="00362D2C"/>
    <w:rsid w:val="003631BE"/>
    <w:rsid w:val="00364AC2"/>
    <w:rsid w:val="00364B90"/>
    <w:rsid w:val="00364DB9"/>
    <w:rsid w:val="00364DCF"/>
    <w:rsid w:val="00364E86"/>
    <w:rsid w:val="003658A3"/>
    <w:rsid w:val="00365952"/>
    <w:rsid w:val="0036599F"/>
    <w:rsid w:val="00365A01"/>
    <w:rsid w:val="00366D8E"/>
    <w:rsid w:val="00367AFB"/>
    <w:rsid w:val="003701FC"/>
    <w:rsid w:val="0037035A"/>
    <w:rsid w:val="003713E1"/>
    <w:rsid w:val="003719EF"/>
    <w:rsid w:val="00372290"/>
    <w:rsid w:val="0037307C"/>
    <w:rsid w:val="00374601"/>
    <w:rsid w:val="003770FE"/>
    <w:rsid w:val="0037769B"/>
    <w:rsid w:val="003776B0"/>
    <w:rsid w:val="0038053B"/>
    <w:rsid w:val="00381A01"/>
    <w:rsid w:val="00382B8D"/>
    <w:rsid w:val="00382FD0"/>
    <w:rsid w:val="003833BA"/>
    <w:rsid w:val="00383652"/>
    <w:rsid w:val="00383ED9"/>
    <w:rsid w:val="003843B8"/>
    <w:rsid w:val="00384EEF"/>
    <w:rsid w:val="00385079"/>
    <w:rsid w:val="003865B0"/>
    <w:rsid w:val="0039011C"/>
    <w:rsid w:val="003914A9"/>
    <w:rsid w:val="00391967"/>
    <w:rsid w:val="00392992"/>
    <w:rsid w:val="0039367A"/>
    <w:rsid w:val="003957DD"/>
    <w:rsid w:val="003966C3"/>
    <w:rsid w:val="00396DCB"/>
    <w:rsid w:val="003A01A8"/>
    <w:rsid w:val="003A1012"/>
    <w:rsid w:val="003A304C"/>
    <w:rsid w:val="003A3968"/>
    <w:rsid w:val="003A4D75"/>
    <w:rsid w:val="003A4E83"/>
    <w:rsid w:val="003A630B"/>
    <w:rsid w:val="003B1784"/>
    <w:rsid w:val="003B2D06"/>
    <w:rsid w:val="003B31B5"/>
    <w:rsid w:val="003B32B0"/>
    <w:rsid w:val="003B38E2"/>
    <w:rsid w:val="003B39F0"/>
    <w:rsid w:val="003B4792"/>
    <w:rsid w:val="003B618B"/>
    <w:rsid w:val="003B6224"/>
    <w:rsid w:val="003C019C"/>
    <w:rsid w:val="003C0A21"/>
    <w:rsid w:val="003C1267"/>
    <w:rsid w:val="003C1BB8"/>
    <w:rsid w:val="003C1EEC"/>
    <w:rsid w:val="003C3DE0"/>
    <w:rsid w:val="003C4934"/>
    <w:rsid w:val="003C535C"/>
    <w:rsid w:val="003C73F7"/>
    <w:rsid w:val="003C7722"/>
    <w:rsid w:val="003D04FF"/>
    <w:rsid w:val="003D0767"/>
    <w:rsid w:val="003D1E50"/>
    <w:rsid w:val="003D2265"/>
    <w:rsid w:val="003D27C5"/>
    <w:rsid w:val="003D455E"/>
    <w:rsid w:val="003D4B94"/>
    <w:rsid w:val="003D57AA"/>
    <w:rsid w:val="003D5F5D"/>
    <w:rsid w:val="003D71A1"/>
    <w:rsid w:val="003E0852"/>
    <w:rsid w:val="003E0957"/>
    <w:rsid w:val="003E142E"/>
    <w:rsid w:val="003E1F7D"/>
    <w:rsid w:val="003E3D7F"/>
    <w:rsid w:val="003E5466"/>
    <w:rsid w:val="003E5767"/>
    <w:rsid w:val="003E5C60"/>
    <w:rsid w:val="003E6586"/>
    <w:rsid w:val="003E6B63"/>
    <w:rsid w:val="003E7156"/>
    <w:rsid w:val="003E73E3"/>
    <w:rsid w:val="003E7E76"/>
    <w:rsid w:val="003F04FA"/>
    <w:rsid w:val="003F0CA8"/>
    <w:rsid w:val="003F0F0E"/>
    <w:rsid w:val="003F13FA"/>
    <w:rsid w:val="003F14B9"/>
    <w:rsid w:val="003F2121"/>
    <w:rsid w:val="003F3250"/>
    <w:rsid w:val="003F3960"/>
    <w:rsid w:val="003F3A1D"/>
    <w:rsid w:val="003F5432"/>
    <w:rsid w:val="00400DD3"/>
    <w:rsid w:val="004013FC"/>
    <w:rsid w:val="00401F90"/>
    <w:rsid w:val="004024F1"/>
    <w:rsid w:val="004025FB"/>
    <w:rsid w:val="00402B5D"/>
    <w:rsid w:val="00402FA7"/>
    <w:rsid w:val="0040469D"/>
    <w:rsid w:val="00404FEE"/>
    <w:rsid w:val="0040665A"/>
    <w:rsid w:val="00406CD0"/>
    <w:rsid w:val="00410258"/>
    <w:rsid w:val="00411B58"/>
    <w:rsid w:val="00411EDB"/>
    <w:rsid w:val="00412C40"/>
    <w:rsid w:val="0041386E"/>
    <w:rsid w:val="00413CCD"/>
    <w:rsid w:val="0041421A"/>
    <w:rsid w:val="00414BD8"/>
    <w:rsid w:val="00414D28"/>
    <w:rsid w:val="0041509B"/>
    <w:rsid w:val="00415CDA"/>
    <w:rsid w:val="004165A0"/>
    <w:rsid w:val="00416E7D"/>
    <w:rsid w:val="00417FE3"/>
    <w:rsid w:val="004200A5"/>
    <w:rsid w:val="00421282"/>
    <w:rsid w:val="004217ED"/>
    <w:rsid w:val="00422949"/>
    <w:rsid w:val="00423204"/>
    <w:rsid w:val="00424157"/>
    <w:rsid w:val="004241F1"/>
    <w:rsid w:val="00424440"/>
    <w:rsid w:val="00424D12"/>
    <w:rsid w:val="00425351"/>
    <w:rsid w:val="00425813"/>
    <w:rsid w:val="00425D05"/>
    <w:rsid w:val="004261B9"/>
    <w:rsid w:val="00426A3E"/>
    <w:rsid w:val="004272E4"/>
    <w:rsid w:val="0042748F"/>
    <w:rsid w:val="00427B47"/>
    <w:rsid w:val="00430D33"/>
    <w:rsid w:val="0043181C"/>
    <w:rsid w:val="004318E5"/>
    <w:rsid w:val="00433CD0"/>
    <w:rsid w:val="00434268"/>
    <w:rsid w:val="00434EC5"/>
    <w:rsid w:val="0043507B"/>
    <w:rsid w:val="00435D65"/>
    <w:rsid w:val="00436890"/>
    <w:rsid w:val="0043703C"/>
    <w:rsid w:val="00437774"/>
    <w:rsid w:val="00437CDE"/>
    <w:rsid w:val="004401AF"/>
    <w:rsid w:val="0044147B"/>
    <w:rsid w:val="00441FCC"/>
    <w:rsid w:val="00443320"/>
    <w:rsid w:val="00445B00"/>
    <w:rsid w:val="0045094F"/>
    <w:rsid w:val="00450B30"/>
    <w:rsid w:val="00451962"/>
    <w:rsid w:val="00451E66"/>
    <w:rsid w:val="0045232A"/>
    <w:rsid w:val="0045244A"/>
    <w:rsid w:val="004526B2"/>
    <w:rsid w:val="00452976"/>
    <w:rsid w:val="00453FC9"/>
    <w:rsid w:val="00454138"/>
    <w:rsid w:val="00455098"/>
    <w:rsid w:val="00455301"/>
    <w:rsid w:val="0045582D"/>
    <w:rsid w:val="00456388"/>
    <w:rsid w:val="00457298"/>
    <w:rsid w:val="004579AB"/>
    <w:rsid w:val="004606F1"/>
    <w:rsid w:val="00460A00"/>
    <w:rsid w:val="00461B22"/>
    <w:rsid w:val="00462B37"/>
    <w:rsid w:val="00462C27"/>
    <w:rsid w:val="00462D08"/>
    <w:rsid w:val="004631C7"/>
    <w:rsid w:val="00463499"/>
    <w:rsid w:val="00464E4C"/>
    <w:rsid w:val="0046577F"/>
    <w:rsid w:val="00465C14"/>
    <w:rsid w:val="00472B8A"/>
    <w:rsid w:val="0047789F"/>
    <w:rsid w:val="0048014A"/>
    <w:rsid w:val="0048044B"/>
    <w:rsid w:val="00480A1D"/>
    <w:rsid w:val="00481D22"/>
    <w:rsid w:val="00482475"/>
    <w:rsid w:val="00483B80"/>
    <w:rsid w:val="00484092"/>
    <w:rsid w:val="004848AC"/>
    <w:rsid w:val="00484EC8"/>
    <w:rsid w:val="00485DCE"/>
    <w:rsid w:val="004869DA"/>
    <w:rsid w:val="004878C8"/>
    <w:rsid w:val="00490265"/>
    <w:rsid w:val="00490A96"/>
    <w:rsid w:val="00491550"/>
    <w:rsid w:val="004920AC"/>
    <w:rsid w:val="00492829"/>
    <w:rsid w:val="0049353A"/>
    <w:rsid w:val="00493B73"/>
    <w:rsid w:val="0049435B"/>
    <w:rsid w:val="00494983"/>
    <w:rsid w:val="004950B2"/>
    <w:rsid w:val="0049596C"/>
    <w:rsid w:val="00495F4A"/>
    <w:rsid w:val="00496CFA"/>
    <w:rsid w:val="004975F8"/>
    <w:rsid w:val="00497D75"/>
    <w:rsid w:val="004A00C6"/>
    <w:rsid w:val="004A108E"/>
    <w:rsid w:val="004A19E3"/>
    <w:rsid w:val="004A2F3C"/>
    <w:rsid w:val="004A3062"/>
    <w:rsid w:val="004A3FB4"/>
    <w:rsid w:val="004A5B6A"/>
    <w:rsid w:val="004A6A76"/>
    <w:rsid w:val="004A6B0E"/>
    <w:rsid w:val="004B17D6"/>
    <w:rsid w:val="004B301A"/>
    <w:rsid w:val="004B357F"/>
    <w:rsid w:val="004B379C"/>
    <w:rsid w:val="004B3807"/>
    <w:rsid w:val="004B452E"/>
    <w:rsid w:val="004B493A"/>
    <w:rsid w:val="004B5353"/>
    <w:rsid w:val="004B5714"/>
    <w:rsid w:val="004B6058"/>
    <w:rsid w:val="004B673D"/>
    <w:rsid w:val="004B6BFB"/>
    <w:rsid w:val="004B755A"/>
    <w:rsid w:val="004C00B5"/>
    <w:rsid w:val="004C124A"/>
    <w:rsid w:val="004C3234"/>
    <w:rsid w:val="004C32F6"/>
    <w:rsid w:val="004C3FDE"/>
    <w:rsid w:val="004C42B5"/>
    <w:rsid w:val="004C4F4A"/>
    <w:rsid w:val="004C6A10"/>
    <w:rsid w:val="004D00B2"/>
    <w:rsid w:val="004D1840"/>
    <w:rsid w:val="004D26BA"/>
    <w:rsid w:val="004D32BA"/>
    <w:rsid w:val="004D3E43"/>
    <w:rsid w:val="004D40E2"/>
    <w:rsid w:val="004D47F9"/>
    <w:rsid w:val="004D4B05"/>
    <w:rsid w:val="004D67B3"/>
    <w:rsid w:val="004D67E9"/>
    <w:rsid w:val="004D6B8E"/>
    <w:rsid w:val="004D7568"/>
    <w:rsid w:val="004D7905"/>
    <w:rsid w:val="004D79D9"/>
    <w:rsid w:val="004E223C"/>
    <w:rsid w:val="004E26A9"/>
    <w:rsid w:val="004E42E4"/>
    <w:rsid w:val="004E5CEF"/>
    <w:rsid w:val="004E6405"/>
    <w:rsid w:val="004E7544"/>
    <w:rsid w:val="004E77DD"/>
    <w:rsid w:val="004E7E9D"/>
    <w:rsid w:val="004F1C82"/>
    <w:rsid w:val="004F352B"/>
    <w:rsid w:val="004F54C1"/>
    <w:rsid w:val="004F595A"/>
    <w:rsid w:val="004F715C"/>
    <w:rsid w:val="004F763A"/>
    <w:rsid w:val="005005C3"/>
    <w:rsid w:val="00500AD6"/>
    <w:rsid w:val="00501DBA"/>
    <w:rsid w:val="00502176"/>
    <w:rsid w:val="005032ED"/>
    <w:rsid w:val="00504391"/>
    <w:rsid w:val="00504670"/>
    <w:rsid w:val="0050724E"/>
    <w:rsid w:val="00507655"/>
    <w:rsid w:val="005100AC"/>
    <w:rsid w:val="00510913"/>
    <w:rsid w:val="00512AE0"/>
    <w:rsid w:val="0051388B"/>
    <w:rsid w:val="00514B7E"/>
    <w:rsid w:val="00515272"/>
    <w:rsid w:val="0051573B"/>
    <w:rsid w:val="00516812"/>
    <w:rsid w:val="00517DBF"/>
    <w:rsid w:val="00520343"/>
    <w:rsid w:val="005216C3"/>
    <w:rsid w:val="00521B22"/>
    <w:rsid w:val="00521EDA"/>
    <w:rsid w:val="0052250A"/>
    <w:rsid w:val="005226C8"/>
    <w:rsid w:val="00522ABC"/>
    <w:rsid w:val="0052342F"/>
    <w:rsid w:val="00525583"/>
    <w:rsid w:val="00525A9D"/>
    <w:rsid w:val="00526239"/>
    <w:rsid w:val="00527178"/>
    <w:rsid w:val="00530656"/>
    <w:rsid w:val="005314D2"/>
    <w:rsid w:val="00531942"/>
    <w:rsid w:val="00531D55"/>
    <w:rsid w:val="00532956"/>
    <w:rsid w:val="005329F4"/>
    <w:rsid w:val="00532D9D"/>
    <w:rsid w:val="005337AD"/>
    <w:rsid w:val="00533B3A"/>
    <w:rsid w:val="00534D8F"/>
    <w:rsid w:val="005367EA"/>
    <w:rsid w:val="00536CCD"/>
    <w:rsid w:val="00540648"/>
    <w:rsid w:val="005414A9"/>
    <w:rsid w:val="00542325"/>
    <w:rsid w:val="005423E4"/>
    <w:rsid w:val="0054245A"/>
    <w:rsid w:val="0054281D"/>
    <w:rsid w:val="0054341B"/>
    <w:rsid w:val="005437DC"/>
    <w:rsid w:val="00544BA1"/>
    <w:rsid w:val="00544BEC"/>
    <w:rsid w:val="00544C84"/>
    <w:rsid w:val="00545447"/>
    <w:rsid w:val="00547CA2"/>
    <w:rsid w:val="0055004C"/>
    <w:rsid w:val="0055132E"/>
    <w:rsid w:val="00552B6C"/>
    <w:rsid w:val="00553532"/>
    <w:rsid w:val="005536C1"/>
    <w:rsid w:val="00554679"/>
    <w:rsid w:val="00560B80"/>
    <w:rsid w:val="0056287C"/>
    <w:rsid w:val="00563081"/>
    <w:rsid w:val="00563087"/>
    <w:rsid w:val="00563A54"/>
    <w:rsid w:val="005645F2"/>
    <w:rsid w:val="00564CB8"/>
    <w:rsid w:val="00565641"/>
    <w:rsid w:val="005658FB"/>
    <w:rsid w:val="00570521"/>
    <w:rsid w:val="005705C3"/>
    <w:rsid w:val="00570BAC"/>
    <w:rsid w:val="00570D03"/>
    <w:rsid w:val="00571276"/>
    <w:rsid w:val="0057380B"/>
    <w:rsid w:val="00574CB1"/>
    <w:rsid w:val="005756DD"/>
    <w:rsid w:val="005757B3"/>
    <w:rsid w:val="00576FED"/>
    <w:rsid w:val="0057737B"/>
    <w:rsid w:val="0058203B"/>
    <w:rsid w:val="00582EBB"/>
    <w:rsid w:val="005832BD"/>
    <w:rsid w:val="00583D85"/>
    <w:rsid w:val="005842A6"/>
    <w:rsid w:val="005843AE"/>
    <w:rsid w:val="00584D6B"/>
    <w:rsid w:val="00585BC4"/>
    <w:rsid w:val="00585D11"/>
    <w:rsid w:val="00586C14"/>
    <w:rsid w:val="0058704D"/>
    <w:rsid w:val="00587110"/>
    <w:rsid w:val="005902F7"/>
    <w:rsid w:val="00590DC9"/>
    <w:rsid w:val="00592CBB"/>
    <w:rsid w:val="00593D93"/>
    <w:rsid w:val="00593E6F"/>
    <w:rsid w:val="005952A6"/>
    <w:rsid w:val="00595C6C"/>
    <w:rsid w:val="00595FEC"/>
    <w:rsid w:val="00595FF3"/>
    <w:rsid w:val="0059695E"/>
    <w:rsid w:val="00596A1C"/>
    <w:rsid w:val="00596C81"/>
    <w:rsid w:val="00597C90"/>
    <w:rsid w:val="005A0B6A"/>
    <w:rsid w:val="005A0EFF"/>
    <w:rsid w:val="005A1378"/>
    <w:rsid w:val="005A13CE"/>
    <w:rsid w:val="005A1FAF"/>
    <w:rsid w:val="005A3107"/>
    <w:rsid w:val="005A3469"/>
    <w:rsid w:val="005A3B76"/>
    <w:rsid w:val="005A4006"/>
    <w:rsid w:val="005A423C"/>
    <w:rsid w:val="005A5038"/>
    <w:rsid w:val="005A594F"/>
    <w:rsid w:val="005A6719"/>
    <w:rsid w:val="005A7ADF"/>
    <w:rsid w:val="005A7AFA"/>
    <w:rsid w:val="005A7BD9"/>
    <w:rsid w:val="005B096A"/>
    <w:rsid w:val="005B2038"/>
    <w:rsid w:val="005B2A87"/>
    <w:rsid w:val="005B55C1"/>
    <w:rsid w:val="005B5925"/>
    <w:rsid w:val="005B6273"/>
    <w:rsid w:val="005B6CF7"/>
    <w:rsid w:val="005B7F69"/>
    <w:rsid w:val="005C0727"/>
    <w:rsid w:val="005C12CB"/>
    <w:rsid w:val="005C130A"/>
    <w:rsid w:val="005C283D"/>
    <w:rsid w:val="005C2900"/>
    <w:rsid w:val="005C2FD6"/>
    <w:rsid w:val="005C3424"/>
    <w:rsid w:val="005C3607"/>
    <w:rsid w:val="005C404E"/>
    <w:rsid w:val="005C4942"/>
    <w:rsid w:val="005C4D15"/>
    <w:rsid w:val="005C5567"/>
    <w:rsid w:val="005C5844"/>
    <w:rsid w:val="005C6A0D"/>
    <w:rsid w:val="005D212E"/>
    <w:rsid w:val="005D36B0"/>
    <w:rsid w:val="005D3ACE"/>
    <w:rsid w:val="005D42F9"/>
    <w:rsid w:val="005D6047"/>
    <w:rsid w:val="005D67B2"/>
    <w:rsid w:val="005D7C7E"/>
    <w:rsid w:val="005E0001"/>
    <w:rsid w:val="005E1597"/>
    <w:rsid w:val="005E1BF4"/>
    <w:rsid w:val="005E2335"/>
    <w:rsid w:val="005E5116"/>
    <w:rsid w:val="005E52F1"/>
    <w:rsid w:val="005E59C5"/>
    <w:rsid w:val="005E5AD9"/>
    <w:rsid w:val="005E736A"/>
    <w:rsid w:val="005F128B"/>
    <w:rsid w:val="005F1327"/>
    <w:rsid w:val="005F3E8B"/>
    <w:rsid w:val="005F40ED"/>
    <w:rsid w:val="005F4357"/>
    <w:rsid w:val="005F47E6"/>
    <w:rsid w:val="005F5D29"/>
    <w:rsid w:val="005F6EE0"/>
    <w:rsid w:val="005F6F27"/>
    <w:rsid w:val="00600608"/>
    <w:rsid w:val="00602832"/>
    <w:rsid w:val="00602922"/>
    <w:rsid w:val="00605C1B"/>
    <w:rsid w:val="00605FC5"/>
    <w:rsid w:val="006065F6"/>
    <w:rsid w:val="0060704E"/>
    <w:rsid w:val="0061094B"/>
    <w:rsid w:val="00610EA2"/>
    <w:rsid w:val="00611157"/>
    <w:rsid w:val="006125BE"/>
    <w:rsid w:val="00612B81"/>
    <w:rsid w:val="00612DE3"/>
    <w:rsid w:val="00613188"/>
    <w:rsid w:val="0061363B"/>
    <w:rsid w:val="00614089"/>
    <w:rsid w:val="00614DF3"/>
    <w:rsid w:val="00614EA4"/>
    <w:rsid w:val="00614F15"/>
    <w:rsid w:val="00615588"/>
    <w:rsid w:val="00615782"/>
    <w:rsid w:val="0061617E"/>
    <w:rsid w:val="006161BE"/>
    <w:rsid w:val="006166D8"/>
    <w:rsid w:val="006168E3"/>
    <w:rsid w:val="00620306"/>
    <w:rsid w:val="00620C2E"/>
    <w:rsid w:val="00621013"/>
    <w:rsid w:val="0062321F"/>
    <w:rsid w:val="00623E0E"/>
    <w:rsid w:val="00624092"/>
    <w:rsid w:val="0062428D"/>
    <w:rsid w:val="0062502E"/>
    <w:rsid w:val="006265FB"/>
    <w:rsid w:val="00626D21"/>
    <w:rsid w:val="00627EFE"/>
    <w:rsid w:val="00627F6E"/>
    <w:rsid w:val="00630BD2"/>
    <w:rsid w:val="00631031"/>
    <w:rsid w:val="00631EA0"/>
    <w:rsid w:val="00632B12"/>
    <w:rsid w:val="00632C33"/>
    <w:rsid w:val="00633680"/>
    <w:rsid w:val="00634069"/>
    <w:rsid w:val="00635DB2"/>
    <w:rsid w:val="00635ECF"/>
    <w:rsid w:val="0064070C"/>
    <w:rsid w:val="00641A52"/>
    <w:rsid w:val="00642165"/>
    <w:rsid w:val="0064220C"/>
    <w:rsid w:val="0064226F"/>
    <w:rsid w:val="00642DB3"/>
    <w:rsid w:val="00643DAB"/>
    <w:rsid w:val="00643EC9"/>
    <w:rsid w:val="006450DE"/>
    <w:rsid w:val="006456F2"/>
    <w:rsid w:val="006477EA"/>
    <w:rsid w:val="00650334"/>
    <w:rsid w:val="00651838"/>
    <w:rsid w:val="00652036"/>
    <w:rsid w:val="0065305D"/>
    <w:rsid w:val="006531C0"/>
    <w:rsid w:val="00653FD2"/>
    <w:rsid w:val="00654EE4"/>
    <w:rsid w:val="006609D4"/>
    <w:rsid w:val="00660F70"/>
    <w:rsid w:val="00660FBD"/>
    <w:rsid w:val="00661259"/>
    <w:rsid w:val="00661F63"/>
    <w:rsid w:val="00662D30"/>
    <w:rsid w:val="00663E72"/>
    <w:rsid w:val="00664082"/>
    <w:rsid w:val="006667DE"/>
    <w:rsid w:val="006677A6"/>
    <w:rsid w:val="00670E1B"/>
    <w:rsid w:val="0067307F"/>
    <w:rsid w:val="006735C9"/>
    <w:rsid w:val="00673C87"/>
    <w:rsid w:val="006741FD"/>
    <w:rsid w:val="00675258"/>
    <w:rsid w:val="00675672"/>
    <w:rsid w:val="00676549"/>
    <w:rsid w:val="006821E6"/>
    <w:rsid w:val="00683B68"/>
    <w:rsid w:val="00684512"/>
    <w:rsid w:val="0068704A"/>
    <w:rsid w:val="00690765"/>
    <w:rsid w:val="006911C8"/>
    <w:rsid w:val="00691362"/>
    <w:rsid w:val="0069212E"/>
    <w:rsid w:val="00695025"/>
    <w:rsid w:val="00695CF6"/>
    <w:rsid w:val="00696065"/>
    <w:rsid w:val="006969E7"/>
    <w:rsid w:val="00696BA6"/>
    <w:rsid w:val="0069743E"/>
    <w:rsid w:val="00697849"/>
    <w:rsid w:val="006A1DD6"/>
    <w:rsid w:val="006A2DFD"/>
    <w:rsid w:val="006A3977"/>
    <w:rsid w:val="006A3E3B"/>
    <w:rsid w:val="006A3F3E"/>
    <w:rsid w:val="006A4383"/>
    <w:rsid w:val="006A48B9"/>
    <w:rsid w:val="006A51A4"/>
    <w:rsid w:val="006A53F1"/>
    <w:rsid w:val="006A5B28"/>
    <w:rsid w:val="006B020D"/>
    <w:rsid w:val="006B27E8"/>
    <w:rsid w:val="006B4A5A"/>
    <w:rsid w:val="006B4C0D"/>
    <w:rsid w:val="006B515E"/>
    <w:rsid w:val="006B5C4C"/>
    <w:rsid w:val="006B6D6C"/>
    <w:rsid w:val="006B7CC4"/>
    <w:rsid w:val="006C21B7"/>
    <w:rsid w:val="006C2B54"/>
    <w:rsid w:val="006C467C"/>
    <w:rsid w:val="006C58B6"/>
    <w:rsid w:val="006C6C0B"/>
    <w:rsid w:val="006C7C9C"/>
    <w:rsid w:val="006D026A"/>
    <w:rsid w:val="006D0C7B"/>
    <w:rsid w:val="006D0F7D"/>
    <w:rsid w:val="006D1412"/>
    <w:rsid w:val="006D3877"/>
    <w:rsid w:val="006D3D1C"/>
    <w:rsid w:val="006D578C"/>
    <w:rsid w:val="006D5798"/>
    <w:rsid w:val="006D5B13"/>
    <w:rsid w:val="006D5B3F"/>
    <w:rsid w:val="006D6048"/>
    <w:rsid w:val="006D6AA8"/>
    <w:rsid w:val="006D6ADF"/>
    <w:rsid w:val="006E04AA"/>
    <w:rsid w:val="006E0FEE"/>
    <w:rsid w:val="006E1599"/>
    <w:rsid w:val="006E1B8A"/>
    <w:rsid w:val="006E1D2F"/>
    <w:rsid w:val="006E23DB"/>
    <w:rsid w:val="006E41B2"/>
    <w:rsid w:val="006E4EC0"/>
    <w:rsid w:val="006E5601"/>
    <w:rsid w:val="006E6C18"/>
    <w:rsid w:val="006E6E0E"/>
    <w:rsid w:val="006E7F8C"/>
    <w:rsid w:val="006F17E9"/>
    <w:rsid w:val="006F1E4E"/>
    <w:rsid w:val="006F2117"/>
    <w:rsid w:val="006F3BB1"/>
    <w:rsid w:val="006F5223"/>
    <w:rsid w:val="006F5877"/>
    <w:rsid w:val="006F63D9"/>
    <w:rsid w:val="006F761A"/>
    <w:rsid w:val="006F7713"/>
    <w:rsid w:val="006F772E"/>
    <w:rsid w:val="00702292"/>
    <w:rsid w:val="007023AA"/>
    <w:rsid w:val="007028D7"/>
    <w:rsid w:val="00705E32"/>
    <w:rsid w:val="00705EC3"/>
    <w:rsid w:val="007063B2"/>
    <w:rsid w:val="00711594"/>
    <w:rsid w:val="00712276"/>
    <w:rsid w:val="00713ED2"/>
    <w:rsid w:val="00716DC6"/>
    <w:rsid w:val="00716EA0"/>
    <w:rsid w:val="00717F6F"/>
    <w:rsid w:val="0072059D"/>
    <w:rsid w:val="00720BBE"/>
    <w:rsid w:val="0072122B"/>
    <w:rsid w:val="00721320"/>
    <w:rsid w:val="00721597"/>
    <w:rsid w:val="00721FC7"/>
    <w:rsid w:val="00722E90"/>
    <w:rsid w:val="007237BC"/>
    <w:rsid w:val="0072479A"/>
    <w:rsid w:val="00724904"/>
    <w:rsid w:val="00725C3B"/>
    <w:rsid w:val="007266B4"/>
    <w:rsid w:val="0072742F"/>
    <w:rsid w:val="0072789B"/>
    <w:rsid w:val="007302D1"/>
    <w:rsid w:val="0073054B"/>
    <w:rsid w:val="0073185A"/>
    <w:rsid w:val="00731950"/>
    <w:rsid w:val="00731967"/>
    <w:rsid w:val="007341ED"/>
    <w:rsid w:val="007350DE"/>
    <w:rsid w:val="00736F91"/>
    <w:rsid w:val="0074032C"/>
    <w:rsid w:val="00740640"/>
    <w:rsid w:val="0074134E"/>
    <w:rsid w:val="00742ED9"/>
    <w:rsid w:val="00742EE4"/>
    <w:rsid w:val="007437AB"/>
    <w:rsid w:val="0074464B"/>
    <w:rsid w:val="00745657"/>
    <w:rsid w:val="00746956"/>
    <w:rsid w:val="0074753B"/>
    <w:rsid w:val="00751A16"/>
    <w:rsid w:val="00751C14"/>
    <w:rsid w:val="00752814"/>
    <w:rsid w:val="00752894"/>
    <w:rsid w:val="007535D6"/>
    <w:rsid w:val="0075427B"/>
    <w:rsid w:val="00754819"/>
    <w:rsid w:val="007555EC"/>
    <w:rsid w:val="007563CF"/>
    <w:rsid w:val="00762283"/>
    <w:rsid w:val="007631AF"/>
    <w:rsid w:val="007639AD"/>
    <w:rsid w:val="00763CC0"/>
    <w:rsid w:val="007646A4"/>
    <w:rsid w:val="00764707"/>
    <w:rsid w:val="00764D59"/>
    <w:rsid w:val="007671A2"/>
    <w:rsid w:val="0076763E"/>
    <w:rsid w:val="00767A4D"/>
    <w:rsid w:val="0077055F"/>
    <w:rsid w:val="007713FC"/>
    <w:rsid w:val="00772258"/>
    <w:rsid w:val="00772A17"/>
    <w:rsid w:val="00772D26"/>
    <w:rsid w:val="00773532"/>
    <w:rsid w:val="0077378F"/>
    <w:rsid w:val="007737A2"/>
    <w:rsid w:val="007753E8"/>
    <w:rsid w:val="00775490"/>
    <w:rsid w:val="0077599C"/>
    <w:rsid w:val="00776758"/>
    <w:rsid w:val="0077697D"/>
    <w:rsid w:val="007772EA"/>
    <w:rsid w:val="00777354"/>
    <w:rsid w:val="00777D80"/>
    <w:rsid w:val="00777E1B"/>
    <w:rsid w:val="007800C7"/>
    <w:rsid w:val="00780455"/>
    <w:rsid w:val="00781521"/>
    <w:rsid w:val="0078152D"/>
    <w:rsid w:val="00781D46"/>
    <w:rsid w:val="007821F7"/>
    <w:rsid w:val="00783727"/>
    <w:rsid w:val="00783BD8"/>
    <w:rsid w:val="00784C28"/>
    <w:rsid w:val="007850CB"/>
    <w:rsid w:val="00791B97"/>
    <w:rsid w:val="00792643"/>
    <w:rsid w:val="00793B4D"/>
    <w:rsid w:val="00793FF2"/>
    <w:rsid w:val="007947B1"/>
    <w:rsid w:val="00794E00"/>
    <w:rsid w:val="00795830"/>
    <w:rsid w:val="00795AFF"/>
    <w:rsid w:val="007969F0"/>
    <w:rsid w:val="00796D88"/>
    <w:rsid w:val="007A144C"/>
    <w:rsid w:val="007A1B3C"/>
    <w:rsid w:val="007A20E7"/>
    <w:rsid w:val="007A2BF7"/>
    <w:rsid w:val="007A4499"/>
    <w:rsid w:val="007A5079"/>
    <w:rsid w:val="007A5AC1"/>
    <w:rsid w:val="007A5C3D"/>
    <w:rsid w:val="007A5E34"/>
    <w:rsid w:val="007A5E63"/>
    <w:rsid w:val="007A60D5"/>
    <w:rsid w:val="007A63C7"/>
    <w:rsid w:val="007A733A"/>
    <w:rsid w:val="007B0AE2"/>
    <w:rsid w:val="007B0BE9"/>
    <w:rsid w:val="007B142B"/>
    <w:rsid w:val="007B2B36"/>
    <w:rsid w:val="007B306B"/>
    <w:rsid w:val="007B3262"/>
    <w:rsid w:val="007B3DF5"/>
    <w:rsid w:val="007B3E7F"/>
    <w:rsid w:val="007B5C45"/>
    <w:rsid w:val="007B5DD2"/>
    <w:rsid w:val="007B6635"/>
    <w:rsid w:val="007B69FC"/>
    <w:rsid w:val="007C0708"/>
    <w:rsid w:val="007C3208"/>
    <w:rsid w:val="007C5B0D"/>
    <w:rsid w:val="007C5CB7"/>
    <w:rsid w:val="007C6882"/>
    <w:rsid w:val="007C6CC4"/>
    <w:rsid w:val="007C71ED"/>
    <w:rsid w:val="007C750E"/>
    <w:rsid w:val="007C76B7"/>
    <w:rsid w:val="007C7DFA"/>
    <w:rsid w:val="007D0705"/>
    <w:rsid w:val="007D1763"/>
    <w:rsid w:val="007D26FC"/>
    <w:rsid w:val="007D2B56"/>
    <w:rsid w:val="007D4F20"/>
    <w:rsid w:val="007D59F6"/>
    <w:rsid w:val="007D66B1"/>
    <w:rsid w:val="007D7035"/>
    <w:rsid w:val="007D7919"/>
    <w:rsid w:val="007E0D52"/>
    <w:rsid w:val="007E0E99"/>
    <w:rsid w:val="007E1386"/>
    <w:rsid w:val="007E151E"/>
    <w:rsid w:val="007E1C80"/>
    <w:rsid w:val="007E1D8E"/>
    <w:rsid w:val="007E3089"/>
    <w:rsid w:val="007E50CB"/>
    <w:rsid w:val="007E53AA"/>
    <w:rsid w:val="007E5987"/>
    <w:rsid w:val="007E6907"/>
    <w:rsid w:val="007E6DC2"/>
    <w:rsid w:val="007E7293"/>
    <w:rsid w:val="007F048E"/>
    <w:rsid w:val="007F0802"/>
    <w:rsid w:val="007F1646"/>
    <w:rsid w:val="007F2A8C"/>
    <w:rsid w:val="007F3F47"/>
    <w:rsid w:val="007F4E02"/>
    <w:rsid w:val="007F68D7"/>
    <w:rsid w:val="007F7653"/>
    <w:rsid w:val="008000FA"/>
    <w:rsid w:val="0080265F"/>
    <w:rsid w:val="008027C6"/>
    <w:rsid w:val="0080317A"/>
    <w:rsid w:val="00803ECD"/>
    <w:rsid w:val="008040FA"/>
    <w:rsid w:val="0080419E"/>
    <w:rsid w:val="0080542D"/>
    <w:rsid w:val="008063F5"/>
    <w:rsid w:val="0080694C"/>
    <w:rsid w:val="00806E52"/>
    <w:rsid w:val="00807336"/>
    <w:rsid w:val="00810673"/>
    <w:rsid w:val="00811B3A"/>
    <w:rsid w:val="00813ACD"/>
    <w:rsid w:val="00814D75"/>
    <w:rsid w:val="008150C0"/>
    <w:rsid w:val="00815966"/>
    <w:rsid w:val="00816E5B"/>
    <w:rsid w:val="0081725C"/>
    <w:rsid w:val="00817A66"/>
    <w:rsid w:val="0082014D"/>
    <w:rsid w:val="00823182"/>
    <w:rsid w:val="00825051"/>
    <w:rsid w:val="00826209"/>
    <w:rsid w:val="008264C6"/>
    <w:rsid w:val="00826EC4"/>
    <w:rsid w:val="00830781"/>
    <w:rsid w:val="00832177"/>
    <w:rsid w:val="0083269E"/>
    <w:rsid w:val="00833A56"/>
    <w:rsid w:val="00833DC4"/>
    <w:rsid w:val="00834CE7"/>
    <w:rsid w:val="00834E6E"/>
    <w:rsid w:val="00837B1B"/>
    <w:rsid w:val="0084194A"/>
    <w:rsid w:val="008424B8"/>
    <w:rsid w:val="008434D0"/>
    <w:rsid w:val="00843672"/>
    <w:rsid w:val="00844391"/>
    <w:rsid w:val="00844662"/>
    <w:rsid w:val="00844A41"/>
    <w:rsid w:val="0084621A"/>
    <w:rsid w:val="00847B57"/>
    <w:rsid w:val="00850760"/>
    <w:rsid w:val="00851485"/>
    <w:rsid w:val="008515DF"/>
    <w:rsid w:val="008519D7"/>
    <w:rsid w:val="00851A1F"/>
    <w:rsid w:val="00851B9C"/>
    <w:rsid w:val="00851DCE"/>
    <w:rsid w:val="008525A7"/>
    <w:rsid w:val="00852E62"/>
    <w:rsid w:val="00857338"/>
    <w:rsid w:val="00860025"/>
    <w:rsid w:val="00861A45"/>
    <w:rsid w:val="00862064"/>
    <w:rsid w:val="00862107"/>
    <w:rsid w:val="00862AE7"/>
    <w:rsid w:val="0086315A"/>
    <w:rsid w:val="008647B9"/>
    <w:rsid w:val="00864E0C"/>
    <w:rsid w:val="00865254"/>
    <w:rsid w:val="008658B7"/>
    <w:rsid w:val="00865C34"/>
    <w:rsid w:val="008667EC"/>
    <w:rsid w:val="0087234A"/>
    <w:rsid w:val="00872BDD"/>
    <w:rsid w:val="0087469F"/>
    <w:rsid w:val="00874A4B"/>
    <w:rsid w:val="00874E03"/>
    <w:rsid w:val="0087586E"/>
    <w:rsid w:val="00875C35"/>
    <w:rsid w:val="00877FF2"/>
    <w:rsid w:val="0088060C"/>
    <w:rsid w:val="0088080B"/>
    <w:rsid w:val="00882865"/>
    <w:rsid w:val="00883C0D"/>
    <w:rsid w:val="008844F5"/>
    <w:rsid w:val="00885523"/>
    <w:rsid w:val="00886BC9"/>
    <w:rsid w:val="00887C9B"/>
    <w:rsid w:val="00891131"/>
    <w:rsid w:val="008912CD"/>
    <w:rsid w:val="00891B62"/>
    <w:rsid w:val="00891F07"/>
    <w:rsid w:val="00892FC2"/>
    <w:rsid w:val="00893126"/>
    <w:rsid w:val="008933E8"/>
    <w:rsid w:val="00893850"/>
    <w:rsid w:val="00895E68"/>
    <w:rsid w:val="008967DF"/>
    <w:rsid w:val="00896921"/>
    <w:rsid w:val="008974C6"/>
    <w:rsid w:val="008A036D"/>
    <w:rsid w:val="008A0556"/>
    <w:rsid w:val="008A1AEB"/>
    <w:rsid w:val="008A1D5E"/>
    <w:rsid w:val="008A38B3"/>
    <w:rsid w:val="008A4093"/>
    <w:rsid w:val="008A52E2"/>
    <w:rsid w:val="008A59D2"/>
    <w:rsid w:val="008A67D6"/>
    <w:rsid w:val="008A6853"/>
    <w:rsid w:val="008A68CD"/>
    <w:rsid w:val="008A6B77"/>
    <w:rsid w:val="008A75F9"/>
    <w:rsid w:val="008A7E23"/>
    <w:rsid w:val="008B2015"/>
    <w:rsid w:val="008B298F"/>
    <w:rsid w:val="008B32B6"/>
    <w:rsid w:val="008B354F"/>
    <w:rsid w:val="008B38E6"/>
    <w:rsid w:val="008B3E3E"/>
    <w:rsid w:val="008B4186"/>
    <w:rsid w:val="008B45A0"/>
    <w:rsid w:val="008B574D"/>
    <w:rsid w:val="008B5CFB"/>
    <w:rsid w:val="008B6CD8"/>
    <w:rsid w:val="008C1546"/>
    <w:rsid w:val="008C4D60"/>
    <w:rsid w:val="008C5302"/>
    <w:rsid w:val="008C5415"/>
    <w:rsid w:val="008C7E36"/>
    <w:rsid w:val="008D04AF"/>
    <w:rsid w:val="008D1B82"/>
    <w:rsid w:val="008D1B97"/>
    <w:rsid w:val="008D4F43"/>
    <w:rsid w:val="008D5631"/>
    <w:rsid w:val="008D591C"/>
    <w:rsid w:val="008D5BB3"/>
    <w:rsid w:val="008E0971"/>
    <w:rsid w:val="008E1D2B"/>
    <w:rsid w:val="008E6874"/>
    <w:rsid w:val="008F05BA"/>
    <w:rsid w:val="008F106F"/>
    <w:rsid w:val="008F1616"/>
    <w:rsid w:val="008F231E"/>
    <w:rsid w:val="008F291B"/>
    <w:rsid w:val="008F3085"/>
    <w:rsid w:val="008F46CC"/>
    <w:rsid w:val="008F635F"/>
    <w:rsid w:val="008F6E2A"/>
    <w:rsid w:val="00900147"/>
    <w:rsid w:val="00900A7D"/>
    <w:rsid w:val="00900B20"/>
    <w:rsid w:val="00900C30"/>
    <w:rsid w:val="00900C89"/>
    <w:rsid w:val="00900CA3"/>
    <w:rsid w:val="00902DF8"/>
    <w:rsid w:val="0090389C"/>
    <w:rsid w:val="009043BD"/>
    <w:rsid w:val="00904AD4"/>
    <w:rsid w:val="0090762C"/>
    <w:rsid w:val="00907AF1"/>
    <w:rsid w:val="00910790"/>
    <w:rsid w:val="009108D3"/>
    <w:rsid w:val="009111B6"/>
    <w:rsid w:val="00911212"/>
    <w:rsid w:val="0091305F"/>
    <w:rsid w:val="00913633"/>
    <w:rsid w:val="00915192"/>
    <w:rsid w:val="00915F6D"/>
    <w:rsid w:val="00916C6F"/>
    <w:rsid w:val="009178E1"/>
    <w:rsid w:val="00917CCE"/>
    <w:rsid w:val="00917F63"/>
    <w:rsid w:val="009208AE"/>
    <w:rsid w:val="0092101B"/>
    <w:rsid w:val="009237C6"/>
    <w:rsid w:val="0092394D"/>
    <w:rsid w:val="009239DE"/>
    <w:rsid w:val="00923B40"/>
    <w:rsid w:val="00924432"/>
    <w:rsid w:val="00924504"/>
    <w:rsid w:val="00924697"/>
    <w:rsid w:val="009246C7"/>
    <w:rsid w:val="0092586F"/>
    <w:rsid w:val="009259E8"/>
    <w:rsid w:val="00925F00"/>
    <w:rsid w:val="00926B3A"/>
    <w:rsid w:val="00930224"/>
    <w:rsid w:val="009307BD"/>
    <w:rsid w:val="00931931"/>
    <w:rsid w:val="00932511"/>
    <w:rsid w:val="009336C2"/>
    <w:rsid w:val="00933827"/>
    <w:rsid w:val="00935907"/>
    <w:rsid w:val="0093605B"/>
    <w:rsid w:val="009360A8"/>
    <w:rsid w:val="009360C4"/>
    <w:rsid w:val="009365CE"/>
    <w:rsid w:val="00937FFB"/>
    <w:rsid w:val="009411E8"/>
    <w:rsid w:val="0094174E"/>
    <w:rsid w:val="009423E5"/>
    <w:rsid w:val="00942F61"/>
    <w:rsid w:val="00943C8D"/>
    <w:rsid w:val="00944D5D"/>
    <w:rsid w:val="00946231"/>
    <w:rsid w:val="009468B2"/>
    <w:rsid w:val="00947A2E"/>
    <w:rsid w:val="00947DC1"/>
    <w:rsid w:val="00950236"/>
    <w:rsid w:val="00951323"/>
    <w:rsid w:val="00951952"/>
    <w:rsid w:val="009520B0"/>
    <w:rsid w:val="00953323"/>
    <w:rsid w:val="00953A8C"/>
    <w:rsid w:val="00954113"/>
    <w:rsid w:val="009555B3"/>
    <w:rsid w:val="0095574A"/>
    <w:rsid w:val="00955EE0"/>
    <w:rsid w:val="00956B13"/>
    <w:rsid w:val="00960308"/>
    <w:rsid w:val="009623EB"/>
    <w:rsid w:val="0096286F"/>
    <w:rsid w:val="00962EB5"/>
    <w:rsid w:val="009634BF"/>
    <w:rsid w:val="00964027"/>
    <w:rsid w:val="009642AC"/>
    <w:rsid w:val="009660E3"/>
    <w:rsid w:val="00967B5F"/>
    <w:rsid w:val="009717BC"/>
    <w:rsid w:val="009729AF"/>
    <w:rsid w:val="00973360"/>
    <w:rsid w:val="00974E76"/>
    <w:rsid w:val="00975579"/>
    <w:rsid w:val="009758CA"/>
    <w:rsid w:val="00975B4F"/>
    <w:rsid w:val="009760A2"/>
    <w:rsid w:val="00981156"/>
    <w:rsid w:val="00981DC1"/>
    <w:rsid w:val="0098227B"/>
    <w:rsid w:val="00982926"/>
    <w:rsid w:val="00982A77"/>
    <w:rsid w:val="009834F6"/>
    <w:rsid w:val="00983B6D"/>
    <w:rsid w:val="00984734"/>
    <w:rsid w:val="00984846"/>
    <w:rsid w:val="009859AB"/>
    <w:rsid w:val="009861DC"/>
    <w:rsid w:val="00986A61"/>
    <w:rsid w:val="009875ED"/>
    <w:rsid w:val="00990588"/>
    <w:rsid w:val="00990D65"/>
    <w:rsid w:val="0099114E"/>
    <w:rsid w:val="0099220E"/>
    <w:rsid w:val="0099254A"/>
    <w:rsid w:val="00994EDA"/>
    <w:rsid w:val="00994F93"/>
    <w:rsid w:val="009953C7"/>
    <w:rsid w:val="00995DE1"/>
    <w:rsid w:val="00997B9C"/>
    <w:rsid w:val="009A162B"/>
    <w:rsid w:val="009A1EF1"/>
    <w:rsid w:val="009A1F16"/>
    <w:rsid w:val="009A2156"/>
    <w:rsid w:val="009A3489"/>
    <w:rsid w:val="009A3D94"/>
    <w:rsid w:val="009A3DA5"/>
    <w:rsid w:val="009A4CEF"/>
    <w:rsid w:val="009A4D65"/>
    <w:rsid w:val="009A4E12"/>
    <w:rsid w:val="009A64E1"/>
    <w:rsid w:val="009A67D8"/>
    <w:rsid w:val="009A7B38"/>
    <w:rsid w:val="009B2DF3"/>
    <w:rsid w:val="009B359E"/>
    <w:rsid w:val="009B3B70"/>
    <w:rsid w:val="009B3CB4"/>
    <w:rsid w:val="009B5B28"/>
    <w:rsid w:val="009B7043"/>
    <w:rsid w:val="009B7C5C"/>
    <w:rsid w:val="009B7CE4"/>
    <w:rsid w:val="009B7E6D"/>
    <w:rsid w:val="009C068F"/>
    <w:rsid w:val="009C084F"/>
    <w:rsid w:val="009C0AE5"/>
    <w:rsid w:val="009C0EC5"/>
    <w:rsid w:val="009C1D6B"/>
    <w:rsid w:val="009C21FC"/>
    <w:rsid w:val="009C2A87"/>
    <w:rsid w:val="009C3639"/>
    <w:rsid w:val="009C4AF0"/>
    <w:rsid w:val="009C4BB1"/>
    <w:rsid w:val="009C4E1E"/>
    <w:rsid w:val="009C5DB0"/>
    <w:rsid w:val="009C69E4"/>
    <w:rsid w:val="009C7217"/>
    <w:rsid w:val="009C74F7"/>
    <w:rsid w:val="009D0C31"/>
    <w:rsid w:val="009D2467"/>
    <w:rsid w:val="009D42F8"/>
    <w:rsid w:val="009D430B"/>
    <w:rsid w:val="009D449B"/>
    <w:rsid w:val="009D4815"/>
    <w:rsid w:val="009D5259"/>
    <w:rsid w:val="009D68E7"/>
    <w:rsid w:val="009D6A10"/>
    <w:rsid w:val="009D6F6C"/>
    <w:rsid w:val="009D77D5"/>
    <w:rsid w:val="009E053E"/>
    <w:rsid w:val="009E20BD"/>
    <w:rsid w:val="009E4C1A"/>
    <w:rsid w:val="009E5699"/>
    <w:rsid w:val="009E618B"/>
    <w:rsid w:val="009E6887"/>
    <w:rsid w:val="009E7676"/>
    <w:rsid w:val="009E77F3"/>
    <w:rsid w:val="009E793F"/>
    <w:rsid w:val="009F07C9"/>
    <w:rsid w:val="009F1C1B"/>
    <w:rsid w:val="009F28F8"/>
    <w:rsid w:val="009F2EFE"/>
    <w:rsid w:val="009F39C4"/>
    <w:rsid w:val="009F3D47"/>
    <w:rsid w:val="009F411C"/>
    <w:rsid w:val="009F4738"/>
    <w:rsid w:val="009F62B7"/>
    <w:rsid w:val="00A00567"/>
    <w:rsid w:val="00A00DEA"/>
    <w:rsid w:val="00A02041"/>
    <w:rsid w:val="00A02F77"/>
    <w:rsid w:val="00A03179"/>
    <w:rsid w:val="00A03599"/>
    <w:rsid w:val="00A0393C"/>
    <w:rsid w:val="00A03DB4"/>
    <w:rsid w:val="00A040A9"/>
    <w:rsid w:val="00A06309"/>
    <w:rsid w:val="00A07262"/>
    <w:rsid w:val="00A07D79"/>
    <w:rsid w:val="00A10953"/>
    <w:rsid w:val="00A111FC"/>
    <w:rsid w:val="00A11799"/>
    <w:rsid w:val="00A11972"/>
    <w:rsid w:val="00A12C90"/>
    <w:rsid w:val="00A135E4"/>
    <w:rsid w:val="00A1488E"/>
    <w:rsid w:val="00A15E53"/>
    <w:rsid w:val="00A16B2D"/>
    <w:rsid w:val="00A16B4D"/>
    <w:rsid w:val="00A16F50"/>
    <w:rsid w:val="00A1722F"/>
    <w:rsid w:val="00A17AD1"/>
    <w:rsid w:val="00A22B78"/>
    <w:rsid w:val="00A23756"/>
    <w:rsid w:val="00A23DEB"/>
    <w:rsid w:val="00A252D4"/>
    <w:rsid w:val="00A271B4"/>
    <w:rsid w:val="00A30944"/>
    <w:rsid w:val="00A30A64"/>
    <w:rsid w:val="00A332BB"/>
    <w:rsid w:val="00A3369D"/>
    <w:rsid w:val="00A342A1"/>
    <w:rsid w:val="00A3455A"/>
    <w:rsid w:val="00A34D8E"/>
    <w:rsid w:val="00A35DA0"/>
    <w:rsid w:val="00A35E11"/>
    <w:rsid w:val="00A3664F"/>
    <w:rsid w:val="00A36DC6"/>
    <w:rsid w:val="00A371FF"/>
    <w:rsid w:val="00A37541"/>
    <w:rsid w:val="00A40236"/>
    <w:rsid w:val="00A412CD"/>
    <w:rsid w:val="00A442C0"/>
    <w:rsid w:val="00A44852"/>
    <w:rsid w:val="00A45340"/>
    <w:rsid w:val="00A4562C"/>
    <w:rsid w:val="00A469DF"/>
    <w:rsid w:val="00A47A94"/>
    <w:rsid w:val="00A47F9C"/>
    <w:rsid w:val="00A50303"/>
    <w:rsid w:val="00A50F6A"/>
    <w:rsid w:val="00A51CFF"/>
    <w:rsid w:val="00A51FFE"/>
    <w:rsid w:val="00A531C6"/>
    <w:rsid w:val="00A5399B"/>
    <w:rsid w:val="00A54817"/>
    <w:rsid w:val="00A5489B"/>
    <w:rsid w:val="00A54FDA"/>
    <w:rsid w:val="00A552D1"/>
    <w:rsid w:val="00A56877"/>
    <w:rsid w:val="00A56E2A"/>
    <w:rsid w:val="00A56F5E"/>
    <w:rsid w:val="00A5736F"/>
    <w:rsid w:val="00A5792A"/>
    <w:rsid w:val="00A60106"/>
    <w:rsid w:val="00A619FF"/>
    <w:rsid w:val="00A62D75"/>
    <w:rsid w:val="00A6366C"/>
    <w:rsid w:val="00A63EFD"/>
    <w:rsid w:val="00A64163"/>
    <w:rsid w:val="00A64263"/>
    <w:rsid w:val="00A64D93"/>
    <w:rsid w:val="00A666C9"/>
    <w:rsid w:val="00A6685C"/>
    <w:rsid w:val="00A7018E"/>
    <w:rsid w:val="00A71873"/>
    <w:rsid w:val="00A72C34"/>
    <w:rsid w:val="00A72D78"/>
    <w:rsid w:val="00A72FAA"/>
    <w:rsid w:val="00A74C23"/>
    <w:rsid w:val="00A75558"/>
    <w:rsid w:val="00A77E3D"/>
    <w:rsid w:val="00A8036D"/>
    <w:rsid w:val="00A8079A"/>
    <w:rsid w:val="00A81696"/>
    <w:rsid w:val="00A8257F"/>
    <w:rsid w:val="00A839C5"/>
    <w:rsid w:val="00A8506D"/>
    <w:rsid w:val="00A856C8"/>
    <w:rsid w:val="00A85897"/>
    <w:rsid w:val="00A85967"/>
    <w:rsid w:val="00A870ED"/>
    <w:rsid w:val="00A87A37"/>
    <w:rsid w:val="00A87B9B"/>
    <w:rsid w:val="00A87CD1"/>
    <w:rsid w:val="00A90CCE"/>
    <w:rsid w:val="00A91F54"/>
    <w:rsid w:val="00A92060"/>
    <w:rsid w:val="00A92DD9"/>
    <w:rsid w:val="00A9380C"/>
    <w:rsid w:val="00A940A0"/>
    <w:rsid w:val="00A95075"/>
    <w:rsid w:val="00A95E63"/>
    <w:rsid w:val="00A96F60"/>
    <w:rsid w:val="00AA0106"/>
    <w:rsid w:val="00AA146B"/>
    <w:rsid w:val="00AA1930"/>
    <w:rsid w:val="00AA3A35"/>
    <w:rsid w:val="00AA47C8"/>
    <w:rsid w:val="00AA481E"/>
    <w:rsid w:val="00AA5CB9"/>
    <w:rsid w:val="00AA6A00"/>
    <w:rsid w:val="00AA759F"/>
    <w:rsid w:val="00AA76D3"/>
    <w:rsid w:val="00AB0F74"/>
    <w:rsid w:val="00AB25A7"/>
    <w:rsid w:val="00AB36DA"/>
    <w:rsid w:val="00AB3892"/>
    <w:rsid w:val="00AB50E4"/>
    <w:rsid w:val="00AB5C2A"/>
    <w:rsid w:val="00AB608D"/>
    <w:rsid w:val="00AB7A60"/>
    <w:rsid w:val="00AC0C0B"/>
    <w:rsid w:val="00AC20AC"/>
    <w:rsid w:val="00AC446F"/>
    <w:rsid w:val="00AC493D"/>
    <w:rsid w:val="00AC5B13"/>
    <w:rsid w:val="00AC7A25"/>
    <w:rsid w:val="00AD049B"/>
    <w:rsid w:val="00AD240F"/>
    <w:rsid w:val="00AD355C"/>
    <w:rsid w:val="00AD5F83"/>
    <w:rsid w:val="00AE0C4D"/>
    <w:rsid w:val="00AE247A"/>
    <w:rsid w:val="00AE2CF5"/>
    <w:rsid w:val="00AE3008"/>
    <w:rsid w:val="00AE3404"/>
    <w:rsid w:val="00AE46A9"/>
    <w:rsid w:val="00AE4F57"/>
    <w:rsid w:val="00AE6626"/>
    <w:rsid w:val="00AF082E"/>
    <w:rsid w:val="00AF0A06"/>
    <w:rsid w:val="00AF20FD"/>
    <w:rsid w:val="00AF4050"/>
    <w:rsid w:val="00AF479B"/>
    <w:rsid w:val="00AF5CF3"/>
    <w:rsid w:val="00AF625F"/>
    <w:rsid w:val="00AF750D"/>
    <w:rsid w:val="00B00998"/>
    <w:rsid w:val="00B01491"/>
    <w:rsid w:val="00B0186E"/>
    <w:rsid w:val="00B0367E"/>
    <w:rsid w:val="00B04C2F"/>
    <w:rsid w:val="00B04D0F"/>
    <w:rsid w:val="00B05322"/>
    <w:rsid w:val="00B05859"/>
    <w:rsid w:val="00B06B05"/>
    <w:rsid w:val="00B0774B"/>
    <w:rsid w:val="00B1134A"/>
    <w:rsid w:val="00B11712"/>
    <w:rsid w:val="00B11A51"/>
    <w:rsid w:val="00B11EB2"/>
    <w:rsid w:val="00B130D2"/>
    <w:rsid w:val="00B13475"/>
    <w:rsid w:val="00B138D9"/>
    <w:rsid w:val="00B15989"/>
    <w:rsid w:val="00B15E70"/>
    <w:rsid w:val="00B17185"/>
    <w:rsid w:val="00B17AAB"/>
    <w:rsid w:val="00B17CC2"/>
    <w:rsid w:val="00B2193B"/>
    <w:rsid w:val="00B220FC"/>
    <w:rsid w:val="00B2265D"/>
    <w:rsid w:val="00B23817"/>
    <w:rsid w:val="00B24F80"/>
    <w:rsid w:val="00B2673C"/>
    <w:rsid w:val="00B26836"/>
    <w:rsid w:val="00B26E37"/>
    <w:rsid w:val="00B2739A"/>
    <w:rsid w:val="00B27BB0"/>
    <w:rsid w:val="00B30123"/>
    <w:rsid w:val="00B30B6E"/>
    <w:rsid w:val="00B30E51"/>
    <w:rsid w:val="00B32D11"/>
    <w:rsid w:val="00B33879"/>
    <w:rsid w:val="00B3498C"/>
    <w:rsid w:val="00B34D43"/>
    <w:rsid w:val="00B350B2"/>
    <w:rsid w:val="00B35B84"/>
    <w:rsid w:val="00B35F3E"/>
    <w:rsid w:val="00B379C7"/>
    <w:rsid w:val="00B37A88"/>
    <w:rsid w:val="00B40B07"/>
    <w:rsid w:val="00B41152"/>
    <w:rsid w:val="00B41664"/>
    <w:rsid w:val="00B41726"/>
    <w:rsid w:val="00B42E8C"/>
    <w:rsid w:val="00B43283"/>
    <w:rsid w:val="00B437E0"/>
    <w:rsid w:val="00B43B62"/>
    <w:rsid w:val="00B4477E"/>
    <w:rsid w:val="00B448FD"/>
    <w:rsid w:val="00B45189"/>
    <w:rsid w:val="00B458C5"/>
    <w:rsid w:val="00B46A99"/>
    <w:rsid w:val="00B47036"/>
    <w:rsid w:val="00B50CA6"/>
    <w:rsid w:val="00B52F85"/>
    <w:rsid w:val="00B53D65"/>
    <w:rsid w:val="00B547C2"/>
    <w:rsid w:val="00B55F37"/>
    <w:rsid w:val="00B5734B"/>
    <w:rsid w:val="00B57987"/>
    <w:rsid w:val="00B62020"/>
    <w:rsid w:val="00B62E7B"/>
    <w:rsid w:val="00B6391E"/>
    <w:rsid w:val="00B64D86"/>
    <w:rsid w:val="00B6598E"/>
    <w:rsid w:val="00B71023"/>
    <w:rsid w:val="00B71059"/>
    <w:rsid w:val="00B71072"/>
    <w:rsid w:val="00B71101"/>
    <w:rsid w:val="00B72502"/>
    <w:rsid w:val="00B7261A"/>
    <w:rsid w:val="00B72856"/>
    <w:rsid w:val="00B76382"/>
    <w:rsid w:val="00B763C5"/>
    <w:rsid w:val="00B77C15"/>
    <w:rsid w:val="00B77D14"/>
    <w:rsid w:val="00B805C0"/>
    <w:rsid w:val="00B81E24"/>
    <w:rsid w:val="00B82456"/>
    <w:rsid w:val="00B8335A"/>
    <w:rsid w:val="00B83B3E"/>
    <w:rsid w:val="00B83F53"/>
    <w:rsid w:val="00B857C3"/>
    <w:rsid w:val="00B86190"/>
    <w:rsid w:val="00B8694A"/>
    <w:rsid w:val="00B94938"/>
    <w:rsid w:val="00B95476"/>
    <w:rsid w:val="00B96232"/>
    <w:rsid w:val="00B969ED"/>
    <w:rsid w:val="00B978AA"/>
    <w:rsid w:val="00BA2215"/>
    <w:rsid w:val="00BA4842"/>
    <w:rsid w:val="00BA484A"/>
    <w:rsid w:val="00BA4BBE"/>
    <w:rsid w:val="00BA4D3E"/>
    <w:rsid w:val="00BA5B62"/>
    <w:rsid w:val="00BA5F81"/>
    <w:rsid w:val="00BB29FC"/>
    <w:rsid w:val="00BB2FD0"/>
    <w:rsid w:val="00BB3042"/>
    <w:rsid w:val="00BB442E"/>
    <w:rsid w:val="00BB6AC5"/>
    <w:rsid w:val="00BC0906"/>
    <w:rsid w:val="00BC0A05"/>
    <w:rsid w:val="00BC135F"/>
    <w:rsid w:val="00BC192E"/>
    <w:rsid w:val="00BC2874"/>
    <w:rsid w:val="00BC34D7"/>
    <w:rsid w:val="00BC3B4B"/>
    <w:rsid w:val="00BC4B10"/>
    <w:rsid w:val="00BC54D8"/>
    <w:rsid w:val="00BC6E9D"/>
    <w:rsid w:val="00BC7C0D"/>
    <w:rsid w:val="00BD0D6D"/>
    <w:rsid w:val="00BD148F"/>
    <w:rsid w:val="00BD1B18"/>
    <w:rsid w:val="00BD1E23"/>
    <w:rsid w:val="00BD1E6B"/>
    <w:rsid w:val="00BD2130"/>
    <w:rsid w:val="00BD22FA"/>
    <w:rsid w:val="00BD2C65"/>
    <w:rsid w:val="00BD352F"/>
    <w:rsid w:val="00BD4059"/>
    <w:rsid w:val="00BD43EF"/>
    <w:rsid w:val="00BD4426"/>
    <w:rsid w:val="00BD4B47"/>
    <w:rsid w:val="00BD55BB"/>
    <w:rsid w:val="00BD69FF"/>
    <w:rsid w:val="00BD712D"/>
    <w:rsid w:val="00BD7FF6"/>
    <w:rsid w:val="00BE0A36"/>
    <w:rsid w:val="00BE2307"/>
    <w:rsid w:val="00BE2FB6"/>
    <w:rsid w:val="00BE32EF"/>
    <w:rsid w:val="00BE441D"/>
    <w:rsid w:val="00BE4672"/>
    <w:rsid w:val="00BE48BA"/>
    <w:rsid w:val="00BE4AF9"/>
    <w:rsid w:val="00BE5023"/>
    <w:rsid w:val="00BE502D"/>
    <w:rsid w:val="00BE51B2"/>
    <w:rsid w:val="00BE6411"/>
    <w:rsid w:val="00BE66A6"/>
    <w:rsid w:val="00BE6877"/>
    <w:rsid w:val="00BE6EF7"/>
    <w:rsid w:val="00BE7C2A"/>
    <w:rsid w:val="00BF00D3"/>
    <w:rsid w:val="00BF00F5"/>
    <w:rsid w:val="00BF07DF"/>
    <w:rsid w:val="00BF0B26"/>
    <w:rsid w:val="00BF0B9E"/>
    <w:rsid w:val="00BF0C21"/>
    <w:rsid w:val="00BF0E50"/>
    <w:rsid w:val="00BF10D6"/>
    <w:rsid w:val="00BF17F5"/>
    <w:rsid w:val="00BF36F5"/>
    <w:rsid w:val="00BF459D"/>
    <w:rsid w:val="00BF7089"/>
    <w:rsid w:val="00BF7FE8"/>
    <w:rsid w:val="00C003EE"/>
    <w:rsid w:val="00C008BF"/>
    <w:rsid w:val="00C01CE8"/>
    <w:rsid w:val="00C03C1B"/>
    <w:rsid w:val="00C058C1"/>
    <w:rsid w:val="00C05953"/>
    <w:rsid w:val="00C05ECA"/>
    <w:rsid w:val="00C064EF"/>
    <w:rsid w:val="00C0672C"/>
    <w:rsid w:val="00C06AEB"/>
    <w:rsid w:val="00C10FEF"/>
    <w:rsid w:val="00C111F6"/>
    <w:rsid w:val="00C11554"/>
    <w:rsid w:val="00C13033"/>
    <w:rsid w:val="00C13262"/>
    <w:rsid w:val="00C13999"/>
    <w:rsid w:val="00C14C7A"/>
    <w:rsid w:val="00C15728"/>
    <w:rsid w:val="00C15DD9"/>
    <w:rsid w:val="00C162D1"/>
    <w:rsid w:val="00C17802"/>
    <w:rsid w:val="00C17C31"/>
    <w:rsid w:val="00C200EB"/>
    <w:rsid w:val="00C20A3F"/>
    <w:rsid w:val="00C20CBE"/>
    <w:rsid w:val="00C21921"/>
    <w:rsid w:val="00C21D6E"/>
    <w:rsid w:val="00C23CF2"/>
    <w:rsid w:val="00C2480C"/>
    <w:rsid w:val="00C24E4C"/>
    <w:rsid w:val="00C25A18"/>
    <w:rsid w:val="00C25D14"/>
    <w:rsid w:val="00C270D8"/>
    <w:rsid w:val="00C27B15"/>
    <w:rsid w:val="00C30141"/>
    <w:rsid w:val="00C32A6E"/>
    <w:rsid w:val="00C33818"/>
    <w:rsid w:val="00C3510D"/>
    <w:rsid w:val="00C36F77"/>
    <w:rsid w:val="00C370AB"/>
    <w:rsid w:val="00C37BBE"/>
    <w:rsid w:val="00C37ED3"/>
    <w:rsid w:val="00C41CE6"/>
    <w:rsid w:val="00C438C3"/>
    <w:rsid w:val="00C44C64"/>
    <w:rsid w:val="00C458C4"/>
    <w:rsid w:val="00C4644B"/>
    <w:rsid w:val="00C46495"/>
    <w:rsid w:val="00C501E6"/>
    <w:rsid w:val="00C50273"/>
    <w:rsid w:val="00C503A3"/>
    <w:rsid w:val="00C521CD"/>
    <w:rsid w:val="00C52EDA"/>
    <w:rsid w:val="00C53A6B"/>
    <w:rsid w:val="00C54192"/>
    <w:rsid w:val="00C54C72"/>
    <w:rsid w:val="00C55AB5"/>
    <w:rsid w:val="00C560A4"/>
    <w:rsid w:val="00C5645D"/>
    <w:rsid w:val="00C56EE5"/>
    <w:rsid w:val="00C620A2"/>
    <w:rsid w:val="00C622DF"/>
    <w:rsid w:val="00C62C4B"/>
    <w:rsid w:val="00C635A0"/>
    <w:rsid w:val="00C635C9"/>
    <w:rsid w:val="00C64400"/>
    <w:rsid w:val="00C6546B"/>
    <w:rsid w:val="00C66291"/>
    <w:rsid w:val="00C70C49"/>
    <w:rsid w:val="00C70D12"/>
    <w:rsid w:val="00C71B44"/>
    <w:rsid w:val="00C72956"/>
    <w:rsid w:val="00C735FB"/>
    <w:rsid w:val="00C737D3"/>
    <w:rsid w:val="00C74DF2"/>
    <w:rsid w:val="00C7548F"/>
    <w:rsid w:val="00C758B1"/>
    <w:rsid w:val="00C76878"/>
    <w:rsid w:val="00C76CA1"/>
    <w:rsid w:val="00C7727D"/>
    <w:rsid w:val="00C77592"/>
    <w:rsid w:val="00C77A53"/>
    <w:rsid w:val="00C809B1"/>
    <w:rsid w:val="00C80DF9"/>
    <w:rsid w:val="00C81B5A"/>
    <w:rsid w:val="00C82CC5"/>
    <w:rsid w:val="00C82EF5"/>
    <w:rsid w:val="00C832F8"/>
    <w:rsid w:val="00C83443"/>
    <w:rsid w:val="00C838AE"/>
    <w:rsid w:val="00C840E2"/>
    <w:rsid w:val="00C848AF"/>
    <w:rsid w:val="00C84FD7"/>
    <w:rsid w:val="00C851B7"/>
    <w:rsid w:val="00C85204"/>
    <w:rsid w:val="00C85C11"/>
    <w:rsid w:val="00C8636E"/>
    <w:rsid w:val="00C86F85"/>
    <w:rsid w:val="00C90280"/>
    <w:rsid w:val="00C920C4"/>
    <w:rsid w:val="00C928DF"/>
    <w:rsid w:val="00C929E9"/>
    <w:rsid w:val="00C92BF2"/>
    <w:rsid w:val="00C933B0"/>
    <w:rsid w:val="00C937E8"/>
    <w:rsid w:val="00C94071"/>
    <w:rsid w:val="00C94810"/>
    <w:rsid w:val="00C94F0B"/>
    <w:rsid w:val="00C96797"/>
    <w:rsid w:val="00C96D88"/>
    <w:rsid w:val="00C972B8"/>
    <w:rsid w:val="00C9743B"/>
    <w:rsid w:val="00CA02A5"/>
    <w:rsid w:val="00CA0B9B"/>
    <w:rsid w:val="00CA0EDF"/>
    <w:rsid w:val="00CA164D"/>
    <w:rsid w:val="00CA2388"/>
    <w:rsid w:val="00CA28A9"/>
    <w:rsid w:val="00CA37D6"/>
    <w:rsid w:val="00CA3B55"/>
    <w:rsid w:val="00CA436B"/>
    <w:rsid w:val="00CA4DEB"/>
    <w:rsid w:val="00CA4F64"/>
    <w:rsid w:val="00CA596E"/>
    <w:rsid w:val="00CA60E6"/>
    <w:rsid w:val="00CB01CB"/>
    <w:rsid w:val="00CB0D40"/>
    <w:rsid w:val="00CB11E5"/>
    <w:rsid w:val="00CB1E08"/>
    <w:rsid w:val="00CB2C62"/>
    <w:rsid w:val="00CB4CF6"/>
    <w:rsid w:val="00CB4E7F"/>
    <w:rsid w:val="00CB5273"/>
    <w:rsid w:val="00CB5C08"/>
    <w:rsid w:val="00CB5CFE"/>
    <w:rsid w:val="00CB649F"/>
    <w:rsid w:val="00CB670D"/>
    <w:rsid w:val="00CB67A7"/>
    <w:rsid w:val="00CB6B3E"/>
    <w:rsid w:val="00CC016E"/>
    <w:rsid w:val="00CC094B"/>
    <w:rsid w:val="00CC0B2E"/>
    <w:rsid w:val="00CC26C1"/>
    <w:rsid w:val="00CC2830"/>
    <w:rsid w:val="00CC283A"/>
    <w:rsid w:val="00CC3F8A"/>
    <w:rsid w:val="00CC417F"/>
    <w:rsid w:val="00CC46C8"/>
    <w:rsid w:val="00CC48F9"/>
    <w:rsid w:val="00CC5B94"/>
    <w:rsid w:val="00CC6154"/>
    <w:rsid w:val="00CC6A72"/>
    <w:rsid w:val="00CC70F3"/>
    <w:rsid w:val="00CC78E4"/>
    <w:rsid w:val="00CD01A7"/>
    <w:rsid w:val="00CD0EA1"/>
    <w:rsid w:val="00CD10A4"/>
    <w:rsid w:val="00CD1A99"/>
    <w:rsid w:val="00CD1CBA"/>
    <w:rsid w:val="00CD4238"/>
    <w:rsid w:val="00CD4B24"/>
    <w:rsid w:val="00CD5099"/>
    <w:rsid w:val="00CD5441"/>
    <w:rsid w:val="00CD60BC"/>
    <w:rsid w:val="00CD6AEF"/>
    <w:rsid w:val="00CD725D"/>
    <w:rsid w:val="00CD7A69"/>
    <w:rsid w:val="00CD7C38"/>
    <w:rsid w:val="00CD7F57"/>
    <w:rsid w:val="00CE0E3A"/>
    <w:rsid w:val="00CE11E2"/>
    <w:rsid w:val="00CE27DA"/>
    <w:rsid w:val="00CE27E4"/>
    <w:rsid w:val="00CE345C"/>
    <w:rsid w:val="00CE390C"/>
    <w:rsid w:val="00CE3B67"/>
    <w:rsid w:val="00CE4C4C"/>
    <w:rsid w:val="00CE4D9A"/>
    <w:rsid w:val="00CE786D"/>
    <w:rsid w:val="00CF0337"/>
    <w:rsid w:val="00CF1AB0"/>
    <w:rsid w:val="00CF2380"/>
    <w:rsid w:val="00CF2FE4"/>
    <w:rsid w:val="00CF3588"/>
    <w:rsid w:val="00CF3C02"/>
    <w:rsid w:val="00CF4056"/>
    <w:rsid w:val="00CF46E3"/>
    <w:rsid w:val="00CF5A0F"/>
    <w:rsid w:val="00CF6485"/>
    <w:rsid w:val="00CF69EB"/>
    <w:rsid w:val="00CF6B1A"/>
    <w:rsid w:val="00CF6CDD"/>
    <w:rsid w:val="00CF6E15"/>
    <w:rsid w:val="00CF7B4F"/>
    <w:rsid w:val="00D00E4E"/>
    <w:rsid w:val="00D01543"/>
    <w:rsid w:val="00D01F42"/>
    <w:rsid w:val="00D02176"/>
    <w:rsid w:val="00D02245"/>
    <w:rsid w:val="00D02C79"/>
    <w:rsid w:val="00D03967"/>
    <w:rsid w:val="00D03C15"/>
    <w:rsid w:val="00D04F34"/>
    <w:rsid w:val="00D0544C"/>
    <w:rsid w:val="00D0652E"/>
    <w:rsid w:val="00D06A22"/>
    <w:rsid w:val="00D07DB0"/>
    <w:rsid w:val="00D102FF"/>
    <w:rsid w:val="00D103CA"/>
    <w:rsid w:val="00D105CE"/>
    <w:rsid w:val="00D10BB2"/>
    <w:rsid w:val="00D11D1A"/>
    <w:rsid w:val="00D11E70"/>
    <w:rsid w:val="00D12A0D"/>
    <w:rsid w:val="00D12E74"/>
    <w:rsid w:val="00D135F1"/>
    <w:rsid w:val="00D13DEC"/>
    <w:rsid w:val="00D1580F"/>
    <w:rsid w:val="00D15C09"/>
    <w:rsid w:val="00D16242"/>
    <w:rsid w:val="00D16B70"/>
    <w:rsid w:val="00D16E12"/>
    <w:rsid w:val="00D17632"/>
    <w:rsid w:val="00D20ACE"/>
    <w:rsid w:val="00D20B1F"/>
    <w:rsid w:val="00D22AC5"/>
    <w:rsid w:val="00D25BC9"/>
    <w:rsid w:val="00D25E4A"/>
    <w:rsid w:val="00D260CC"/>
    <w:rsid w:val="00D26D95"/>
    <w:rsid w:val="00D279A3"/>
    <w:rsid w:val="00D310F0"/>
    <w:rsid w:val="00D31B47"/>
    <w:rsid w:val="00D3302B"/>
    <w:rsid w:val="00D336B6"/>
    <w:rsid w:val="00D342F5"/>
    <w:rsid w:val="00D35CE8"/>
    <w:rsid w:val="00D370BD"/>
    <w:rsid w:val="00D37225"/>
    <w:rsid w:val="00D37383"/>
    <w:rsid w:val="00D3780A"/>
    <w:rsid w:val="00D40620"/>
    <w:rsid w:val="00D4136F"/>
    <w:rsid w:val="00D41A0D"/>
    <w:rsid w:val="00D41F18"/>
    <w:rsid w:val="00D42EEB"/>
    <w:rsid w:val="00D43164"/>
    <w:rsid w:val="00D43C43"/>
    <w:rsid w:val="00D45C05"/>
    <w:rsid w:val="00D46117"/>
    <w:rsid w:val="00D461B5"/>
    <w:rsid w:val="00D466A3"/>
    <w:rsid w:val="00D46B1D"/>
    <w:rsid w:val="00D46D5E"/>
    <w:rsid w:val="00D477E5"/>
    <w:rsid w:val="00D539CB"/>
    <w:rsid w:val="00D548FB"/>
    <w:rsid w:val="00D549CF"/>
    <w:rsid w:val="00D55AC7"/>
    <w:rsid w:val="00D55AF6"/>
    <w:rsid w:val="00D56C39"/>
    <w:rsid w:val="00D5759C"/>
    <w:rsid w:val="00D57B65"/>
    <w:rsid w:val="00D6000E"/>
    <w:rsid w:val="00D6177B"/>
    <w:rsid w:val="00D61806"/>
    <w:rsid w:val="00D61854"/>
    <w:rsid w:val="00D61E0F"/>
    <w:rsid w:val="00D62B99"/>
    <w:rsid w:val="00D62FB5"/>
    <w:rsid w:val="00D63BA3"/>
    <w:rsid w:val="00D642B5"/>
    <w:rsid w:val="00D64CB4"/>
    <w:rsid w:val="00D6586F"/>
    <w:rsid w:val="00D679AD"/>
    <w:rsid w:val="00D67C92"/>
    <w:rsid w:val="00D701A1"/>
    <w:rsid w:val="00D7075E"/>
    <w:rsid w:val="00D71E3B"/>
    <w:rsid w:val="00D71F44"/>
    <w:rsid w:val="00D726D4"/>
    <w:rsid w:val="00D7295F"/>
    <w:rsid w:val="00D72A0F"/>
    <w:rsid w:val="00D72D3F"/>
    <w:rsid w:val="00D72FE4"/>
    <w:rsid w:val="00D73F73"/>
    <w:rsid w:val="00D7422B"/>
    <w:rsid w:val="00D75114"/>
    <w:rsid w:val="00D7548E"/>
    <w:rsid w:val="00D76E6F"/>
    <w:rsid w:val="00D77CEB"/>
    <w:rsid w:val="00D803F3"/>
    <w:rsid w:val="00D812A5"/>
    <w:rsid w:val="00D81B0C"/>
    <w:rsid w:val="00D81D5F"/>
    <w:rsid w:val="00D82934"/>
    <w:rsid w:val="00D82A9C"/>
    <w:rsid w:val="00D86716"/>
    <w:rsid w:val="00D86837"/>
    <w:rsid w:val="00D876BC"/>
    <w:rsid w:val="00D90121"/>
    <w:rsid w:val="00D904EA"/>
    <w:rsid w:val="00D911F6"/>
    <w:rsid w:val="00D916EA"/>
    <w:rsid w:val="00D91A3F"/>
    <w:rsid w:val="00D9222A"/>
    <w:rsid w:val="00D92C34"/>
    <w:rsid w:val="00D94F64"/>
    <w:rsid w:val="00D95AAA"/>
    <w:rsid w:val="00D95ECE"/>
    <w:rsid w:val="00D97271"/>
    <w:rsid w:val="00D9784B"/>
    <w:rsid w:val="00DA08D2"/>
    <w:rsid w:val="00DA23B8"/>
    <w:rsid w:val="00DA2823"/>
    <w:rsid w:val="00DA4083"/>
    <w:rsid w:val="00DA422F"/>
    <w:rsid w:val="00DA4395"/>
    <w:rsid w:val="00DA5A93"/>
    <w:rsid w:val="00DA5BE8"/>
    <w:rsid w:val="00DA78E9"/>
    <w:rsid w:val="00DA7A44"/>
    <w:rsid w:val="00DB0FDD"/>
    <w:rsid w:val="00DB109E"/>
    <w:rsid w:val="00DB1D2F"/>
    <w:rsid w:val="00DB32F4"/>
    <w:rsid w:val="00DB369C"/>
    <w:rsid w:val="00DB4776"/>
    <w:rsid w:val="00DB4BB4"/>
    <w:rsid w:val="00DB4CF9"/>
    <w:rsid w:val="00DB64C0"/>
    <w:rsid w:val="00DB673B"/>
    <w:rsid w:val="00DB67CB"/>
    <w:rsid w:val="00DB6974"/>
    <w:rsid w:val="00DB6AE8"/>
    <w:rsid w:val="00DB728D"/>
    <w:rsid w:val="00DB7AD5"/>
    <w:rsid w:val="00DB7EBA"/>
    <w:rsid w:val="00DC0CF5"/>
    <w:rsid w:val="00DC1B06"/>
    <w:rsid w:val="00DC23F0"/>
    <w:rsid w:val="00DC28DD"/>
    <w:rsid w:val="00DC428E"/>
    <w:rsid w:val="00DC577A"/>
    <w:rsid w:val="00DC5E96"/>
    <w:rsid w:val="00DC6F30"/>
    <w:rsid w:val="00DC6FA6"/>
    <w:rsid w:val="00DC70F4"/>
    <w:rsid w:val="00DC7E02"/>
    <w:rsid w:val="00DD0E6B"/>
    <w:rsid w:val="00DD1399"/>
    <w:rsid w:val="00DD21EC"/>
    <w:rsid w:val="00DD3589"/>
    <w:rsid w:val="00DD5361"/>
    <w:rsid w:val="00DD5CAD"/>
    <w:rsid w:val="00DD68B3"/>
    <w:rsid w:val="00DD6CB1"/>
    <w:rsid w:val="00DE00D6"/>
    <w:rsid w:val="00DE0BE2"/>
    <w:rsid w:val="00DE1028"/>
    <w:rsid w:val="00DE130B"/>
    <w:rsid w:val="00DE13EC"/>
    <w:rsid w:val="00DE14F9"/>
    <w:rsid w:val="00DE1C12"/>
    <w:rsid w:val="00DE2840"/>
    <w:rsid w:val="00DE3A19"/>
    <w:rsid w:val="00DE5090"/>
    <w:rsid w:val="00DE5A46"/>
    <w:rsid w:val="00DE6B1D"/>
    <w:rsid w:val="00DF050F"/>
    <w:rsid w:val="00DF0D7D"/>
    <w:rsid w:val="00DF0E21"/>
    <w:rsid w:val="00DF10EA"/>
    <w:rsid w:val="00DF13B5"/>
    <w:rsid w:val="00DF15B8"/>
    <w:rsid w:val="00DF1E80"/>
    <w:rsid w:val="00DF351C"/>
    <w:rsid w:val="00DF37AC"/>
    <w:rsid w:val="00DF3811"/>
    <w:rsid w:val="00DF3D36"/>
    <w:rsid w:val="00DF3FA1"/>
    <w:rsid w:val="00DF4054"/>
    <w:rsid w:val="00DF4432"/>
    <w:rsid w:val="00DF44BB"/>
    <w:rsid w:val="00DF49E7"/>
    <w:rsid w:val="00DF5372"/>
    <w:rsid w:val="00DF64B8"/>
    <w:rsid w:val="00DF6574"/>
    <w:rsid w:val="00DF7AA1"/>
    <w:rsid w:val="00E00AAF"/>
    <w:rsid w:val="00E01AB6"/>
    <w:rsid w:val="00E01D97"/>
    <w:rsid w:val="00E01FFD"/>
    <w:rsid w:val="00E02613"/>
    <w:rsid w:val="00E03FF7"/>
    <w:rsid w:val="00E06802"/>
    <w:rsid w:val="00E07507"/>
    <w:rsid w:val="00E07747"/>
    <w:rsid w:val="00E106DB"/>
    <w:rsid w:val="00E10C10"/>
    <w:rsid w:val="00E115A5"/>
    <w:rsid w:val="00E11DDA"/>
    <w:rsid w:val="00E12761"/>
    <w:rsid w:val="00E12FE8"/>
    <w:rsid w:val="00E13815"/>
    <w:rsid w:val="00E14814"/>
    <w:rsid w:val="00E167F4"/>
    <w:rsid w:val="00E17990"/>
    <w:rsid w:val="00E20569"/>
    <w:rsid w:val="00E21346"/>
    <w:rsid w:val="00E216BC"/>
    <w:rsid w:val="00E227D4"/>
    <w:rsid w:val="00E2374E"/>
    <w:rsid w:val="00E239A5"/>
    <w:rsid w:val="00E23F7D"/>
    <w:rsid w:val="00E25F2C"/>
    <w:rsid w:val="00E276FC"/>
    <w:rsid w:val="00E278D8"/>
    <w:rsid w:val="00E27C92"/>
    <w:rsid w:val="00E27F62"/>
    <w:rsid w:val="00E31223"/>
    <w:rsid w:val="00E313AF"/>
    <w:rsid w:val="00E31450"/>
    <w:rsid w:val="00E3194B"/>
    <w:rsid w:val="00E32BFB"/>
    <w:rsid w:val="00E32EC3"/>
    <w:rsid w:val="00E3418F"/>
    <w:rsid w:val="00E34CDE"/>
    <w:rsid w:val="00E403E7"/>
    <w:rsid w:val="00E41064"/>
    <w:rsid w:val="00E43A1B"/>
    <w:rsid w:val="00E447E4"/>
    <w:rsid w:val="00E44B1D"/>
    <w:rsid w:val="00E44D63"/>
    <w:rsid w:val="00E45130"/>
    <w:rsid w:val="00E45235"/>
    <w:rsid w:val="00E45418"/>
    <w:rsid w:val="00E456F1"/>
    <w:rsid w:val="00E4654F"/>
    <w:rsid w:val="00E46E80"/>
    <w:rsid w:val="00E476B4"/>
    <w:rsid w:val="00E47822"/>
    <w:rsid w:val="00E507C3"/>
    <w:rsid w:val="00E508F3"/>
    <w:rsid w:val="00E51740"/>
    <w:rsid w:val="00E537D5"/>
    <w:rsid w:val="00E5546E"/>
    <w:rsid w:val="00E5607D"/>
    <w:rsid w:val="00E56455"/>
    <w:rsid w:val="00E57C2C"/>
    <w:rsid w:val="00E57E32"/>
    <w:rsid w:val="00E6073D"/>
    <w:rsid w:val="00E60902"/>
    <w:rsid w:val="00E610AA"/>
    <w:rsid w:val="00E61A82"/>
    <w:rsid w:val="00E6204B"/>
    <w:rsid w:val="00E64ED0"/>
    <w:rsid w:val="00E651A4"/>
    <w:rsid w:val="00E66EBF"/>
    <w:rsid w:val="00E6793B"/>
    <w:rsid w:val="00E67C75"/>
    <w:rsid w:val="00E67E16"/>
    <w:rsid w:val="00E70708"/>
    <w:rsid w:val="00E72314"/>
    <w:rsid w:val="00E73295"/>
    <w:rsid w:val="00E7523A"/>
    <w:rsid w:val="00E75DEF"/>
    <w:rsid w:val="00E77CB9"/>
    <w:rsid w:val="00E77D43"/>
    <w:rsid w:val="00E80741"/>
    <w:rsid w:val="00E82710"/>
    <w:rsid w:val="00E84DDE"/>
    <w:rsid w:val="00E85202"/>
    <w:rsid w:val="00E85489"/>
    <w:rsid w:val="00E8586E"/>
    <w:rsid w:val="00E8593A"/>
    <w:rsid w:val="00E86AD2"/>
    <w:rsid w:val="00E86E3F"/>
    <w:rsid w:val="00E874FF"/>
    <w:rsid w:val="00E87C78"/>
    <w:rsid w:val="00E9093D"/>
    <w:rsid w:val="00E90DED"/>
    <w:rsid w:val="00E91464"/>
    <w:rsid w:val="00E92EDB"/>
    <w:rsid w:val="00E92FFC"/>
    <w:rsid w:val="00E93C69"/>
    <w:rsid w:val="00E9441D"/>
    <w:rsid w:val="00E9482C"/>
    <w:rsid w:val="00E948E3"/>
    <w:rsid w:val="00E949C3"/>
    <w:rsid w:val="00E95D1E"/>
    <w:rsid w:val="00E97469"/>
    <w:rsid w:val="00E97D3F"/>
    <w:rsid w:val="00EA04B0"/>
    <w:rsid w:val="00EA09F7"/>
    <w:rsid w:val="00EA0C8E"/>
    <w:rsid w:val="00EA1255"/>
    <w:rsid w:val="00EA1D30"/>
    <w:rsid w:val="00EA2263"/>
    <w:rsid w:val="00EA29E1"/>
    <w:rsid w:val="00EA2B80"/>
    <w:rsid w:val="00EA2E31"/>
    <w:rsid w:val="00EA59E8"/>
    <w:rsid w:val="00EA75EC"/>
    <w:rsid w:val="00EA769F"/>
    <w:rsid w:val="00EB0C68"/>
    <w:rsid w:val="00EB1177"/>
    <w:rsid w:val="00EB19ED"/>
    <w:rsid w:val="00EB3C6F"/>
    <w:rsid w:val="00EB4249"/>
    <w:rsid w:val="00EB4AEE"/>
    <w:rsid w:val="00EB65B4"/>
    <w:rsid w:val="00EB6C7A"/>
    <w:rsid w:val="00EB7F33"/>
    <w:rsid w:val="00EC0C23"/>
    <w:rsid w:val="00EC1296"/>
    <w:rsid w:val="00EC3779"/>
    <w:rsid w:val="00EC44D8"/>
    <w:rsid w:val="00EC454E"/>
    <w:rsid w:val="00EC493D"/>
    <w:rsid w:val="00EC52EF"/>
    <w:rsid w:val="00EC5533"/>
    <w:rsid w:val="00EC5F6F"/>
    <w:rsid w:val="00EC6E95"/>
    <w:rsid w:val="00EC7EA5"/>
    <w:rsid w:val="00EC7F39"/>
    <w:rsid w:val="00ED0192"/>
    <w:rsid w:val="00ED026F"/>
    <w:rsid w:val="00ED1520"/>
    <w:rsid w:val="00ED29FF"/>
    <w:rsid w:val="00ED338F"/>
    <w:rsid w:val="00ED49F6"/>
    <w:rsid w:val="00ED5979"/>
    <w:rsid w:val="00ED5AD7"/>
    <w:rsid w:val="00EE0232"/>
    <w:rsid w:val="00EE04E4"/>
    <w:rsid w:val="00EE117F"/>
    <w:rsid w:val="00EE12A1"/>
    <w:rsid w:val="00EE168D"/>
    <w:rsid w:val="00EE1F30"/>
    <w:rsid w:val="00EE2FBC"/>
    <w:rsid w:val="00EE3989"/>
    <w:rsid w:val="00EE3BE7"/>
    <w:rsid w:val="00EE43B4"/>
    <w:rsid w:val="00EE4707"/>
    <w:rsid w:val="00EE4C5D"/>
    <w:rsid w:val="00EE5947"/>
    <w:rsid w:val="00EE5A5C"/>
    <w:rsid w:val="00EE6DC9"/>
    <w:rsid w:val="00EE7F25"/>
    <w:rsid w:val="00EF17D5"/>
    <w:rsid w:val="00EF18A2"/>
    <w:rsid w:val="00EF2D16"/>
    <w:rsid w:val="00EF3110"/>
    <w:rsid w:val="00EF37C2"/>
    <w:rsid w:val="00EF3A5B"/>
    <w:rsid w:val="00EF47BE"/>
    <w:rsid w:val="00EF4881"/>
    <w:rsid w:val="00EF48C3"/>
    <w:rsid w:val="00EF5430"/>
    <w:rsid w:val="00EF5F77"/>
    <w:rsid w:val="00EF60FB"/>
    <w:rsid w:val="00EF695A"/>
    <w:rsid w:val="00EF7178"/>
    <w:rsid w:val="00EF7F54"/>
    <w:rsid w:val="00F0075F"/>
    <w:rsid w:val="00F0216C"/>
    <w:rsid w:val="00F02606"/>
    <w:rsid w:val="00F02796"/>
    <w:rsid w:val="00F02F9E"/>
    <w:rsid w:val="00F0313D"/>
    <w:rsid w:val="00F03278"/>
    <w:rsid w:val="00F049AE"/>
    <w:rsid w:val="00F04E62"/>
    <w:rsid w:val="00F04FE8"/>
    <w:rsid w:val="00F07CC6"/>
    <w:rsid w:val="00F11F4D"/>
    <w:rsid w:val="00F13208"/>
    <w:rsid w:val="00F140D3"/>
    <w:rsid w:val="00F149D0"/>
    <w:rsid w:val="00F14C71"/>
    <w:rsid w:val="00F15FCB"/>
    <w:rsid w:val="00F16A28"/>
    <w:rsid w:val="00F16DD3"/>
    <w:rsid w:val="00F2129C"/>
    <w:rsid w:val="00F21C35"/>
    <w:rsid w:val="00F2331B"/>
    <w:rsid w:val="00F23DBD"/>
    <w:rsid w:val="00F26406"/>
    <w:rsid w:val="00F27289"/>
    <w:rsid w:val="00F27C2E"/>
    <w:rsid w:val="00F30049"/>
    <w:rsid w:val="00F3037F"/>
    <w:rsid w:val="00F30898"/>
    <w:rsid w:val="00F31329"/>
    <w:rsid w:val="00F317D3"/>
    <w:rsid w:val="00F3297B"/>
    <w:rsid w:val="00F32D05"/>
    <w:rsid w:val="00F356B1"/>
    <w:rsid w:val="00F3570A"/>
    <w:rsid w:val="00F35935"/>
    <w:rsid w:val="00F36282"/>
    <w:rsid w:val="00F407B2"/>
    <w:rsid w:val="00F40E0D"/>
    <w:rsid w:val="00F420C0"/>
    <w:rsid w:val="00F42A31"/>
    <w:rsid w:val="00F45E00"/>
    <w:rsid w:val="00F47F2D"/>
    <w:rsid w:val="00F50FBA"/>
    <w:rsid w:val="00F513CA"/>
    <w:rsid w:val="00F531EE"/>
    <w:rsid w:val="00F5396A"/>
    <w:rsid w:val="00F53AA1"/>
    <w:rsid w:val="00F53E7A"/>
    <w:rsid w:val="00F5407C"/>
    <w:rsid w:val="00F541EC"/>
    <w:rsid w:val="00F54379"/>
    <w:rsid w:val="00F54CBA"/>
    <w:rsid w:val="00F54D03"/>
    <w:rsid w:val="00F5585E"/>
    <w:rsid w:val="00F55B59"/>
    <w:rsid w:val="00F57927"/>
    <w:rsid w:val="00F57EFE"/>
    <w:rsid w:val="00F6064A"/>
    <w:rsid w:val="00F61801"/>
    <w:rsid w:val="00F61EBF"/>
    <w:rsid w:val="00F61EE9"/>
    <w:rsid w:val="00F626C9"/>
    <w:rsid w:val="00F62EE7"/>
    <w:rsid w:val="00F6305C"/>
    <w:rsid w:val="00F63273"/>
    <w:rsid w:val="00F6341A"/>
    <w:rsid w:val="00F66D44"/>
    <w:rsid w:val="00F67098"/>
    <w:rsid w:val="00F67122"/>
    <w:rsid w:val="00F6729E"/>
    <w:rsid w:val="00F67B6D"/>
    <w:rsid w:val="00F70A01"/>
    <w:rsid w:val="00F70EA8"/>
    <w:rsid w:val="00F70EA9"/>
    <w:rsid w:val="00F7175B"/>
    <w:rsid w:val="00F71769"/>
    <w:rsid w:val="00F717D5"/>
    <w:rsid w:val="00F71DDF"/>
    <w:rsid w:val="00F73A3C"/>
    <w:rsid w:val="00F73EDA"/>
    <w:rsid w:val="00F74A5F"/>
    <w:rsid w:val="00F75D75"/>
    <w:rsid w:val="00F76582"/>
    <w:rsid w:val="00F768FB"/>
    <w:rsid w:val="00F77B08"/>
    <w:rsid w:val="00F77B96"/>
    <w:rsid w:val="00F811A7"/>
    <w:rsid w:val="00F817F7"/>
    <w:rsid w:val="00F818B1"/>
    <w:rsid w:val="00F826B1"/>
    <w:rsid w:val="00F82D5B"/>
    <w:rsid w:val="00F838CC"/>
    <w:rsid w:val="00F83B30"/>
    <w:rsid w:val="00F83C41"/>
    <w:rsid w:val="00F84204"/>
    <w:rsid w:val="00F8466E"/>
    <w:rsid w:val="00F8495A"/>
    <w:rsid w:val="00F85DC5"/>
    <w:rsid w:val="00F86A68"/>
    <w:rsid w:val="00F86EA1"/>
    <w:rsid w:val="00F8756C"/>
    <w:rsid w:val="00F87ADB"/>
    <w:rsid w:val="00F87B93"/>
    <w:rsid w:val="00F87DD0"/>
    <w:rsid w:val="00F87E5B"/>
    <w:rsid w:val="00F90823"/>
    <w:rsid w:val="00F90F96"/>
    <w:rsid w:val="00F91BB2"/>
    <w:rsid w:val="00F92FEE"/>
    <w:rsid w:val="00F94445"/>
    <w:rsid w:val="00F94B9A"/>
    <w:rsid w:val="00F94DD6"/>
    <w:rsid w:val="00F95181"/>
    <w:rsid w:val="00F96724"/>
    <w:rsid w:val="00F96C73"/>
    <w:rsid w:val="00FA0D4A"/>
    <w:rsid w:val="00FA15E6"/>
    <w:rsid w:val="00FA2B83"/>
    <w:rsid w:val="00FA367D"/>
    <w:rsid w:val="00FA3D9A"/>
    <w:rsid w:val="00FA5075"/>
    <w:rsid w:val="00FA7D0F"/>
    <w:rsid w:val="00FB082E"/>
    <w:rsid w:val="00FB0AA3"/>
    <w:rsid w:val="00FB256C"/>
    <w:rsid w:val="00FB6460"/>
    <w:rsid w:val="00FB65E8"/>
    <w:rsid w:val="00FB7994"/>
    <w:rsid w:val="00FC033C"/>
    <w:rsid w:val="00FC036F"/>
    <w:rsid w:val="00FC0C01"/>
    <w:rsid w:val="00FC0E85"/>
    <w:rsid w:val="00FC0ED1"/>
    <w:rsid w:val="00FC0FD3"/>
    <w:rsid w:val="00FC1918"/>
    <w:rsid w:val="00FC19D7"/>
    <w:rsid w:val="00FC1F90"/>
    <w:rsid w:val="00FC3476"/>
    <w:rsid w:val="00FC3D0D"/>
    <w:rsid w:val="00FC4999"/>
    <w:rsid w:val="00FC590F"/>
    <w:rsid w:val="00FC5ECC"/>
    <w:rsid w:val="00FC67C2"/>
    <w:rsid w:val="00FC7F48"/>
    <w:rsid w:val="00FC7FCC"/>
    <w:rsid w:val="00FD0F5D"/>
    <w:rsid w:val="00FD1C35"/>
    <w:rsid w:val="00FD2B03"/>
    <w:rsid w:val="00FD2E97"/>
    <w:rsid w:val="00FD3AD4"/>
    <w:rsid w:val="00FD3F6E"/>
    <w:rsid w:val="00FD4478"/>
    <w:rsid w:val="00FD5D13"/>
    <w:rsid w:val="00FD6AF5"/>
    <w:rsid w:val="00FD7786"/>
    <w:rsid w:val="00FD7ADD"/>
    <w:rsid w:val="00FE10AD"/>
    <w:rsid w:val="00FE18F3"/>
    <w:rsid w:val="00FE252C"/>
    <w:rsid w:val="00FE35ED"/>
    <w:rsid w:val="00FE3D8E"/>
    <w:rsid w:val="00FE405C"/>
    <w:rsid w:val="00FE6F55"/>
    <w:rsid w:val="00FE7463"/>
    <w:rsid w:val="00FE7957"/>
    <w:rsid w:val="00FE7FE2"/>
    <w:rsid w:val="00FF01E0"/>
    <w:rsid w:val="00FF075F"/>
    <w:rsid w:val="00FF1D2F"/>
    <w:rsid w:val="00FF1E20"/>
    <w:rsid w:val="00FF4586"/>
    <w:rsid w:val="00FF52AF"/>
    <w:rsid w:val="00FF53C7"/>
    <w:rsid w:val="00FF601D"/>
    <w:rsid w:val="00FF732E"/>
    <w:rsid w:val="00FF74C3"/>
    <w:rsid w:val="00FF7C17"/>
    <w:rsid w:val="00FF7C59"/>
    <w:rsid w:val="00FF7EC1"/>
    <w:rsid w:val="1BA32E04"/>
    <w:rsid w:val="20B528E9"/>
    <w:rsid w:val="3ACC19BE"/>
    <w:rsid w:val="40902F20"/>
    <w:rsid w:val="49A18BEC"/>
    <w:rsid w:val="4CEFAF6A"/>
    <w:rsid w:val="4E9D4974"/>
    <w:rsid w:val="5AF57D13"/>
    <w:rsid w:val="5EDE6E11"/>
    <w:rsid w:val="61409E77"/>
    <w:rsid w:val="6DCD415C"/>
    <w:rsid w:val="76347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992D319"/>
  <w15:docId w15:val="{CB919A3B-F679-47B7-A6FB-995F3B1E5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before="40" w:after="80"/>
        <w:ind w:left="576"/>
      </w:pPr>
    </w:pPrDefault>
  </w:docDefaults>
  <w:latentStyles w:defLockedState="1" w:defUIPriority="99" w:defSemiHidden="0" w:defUnhideWhenUsed="0" w:defQFormat="0" w:count="376">
    <w:lsdException w:name="Normal" w:locked="0" w:uiPriority="0"/>
    <w:lsdException w:name="heading 1" w:locked="0" w:uiPriority="9"/>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lsdException w:name="toc 3" w:locked="0" w:semiHidden="1" w:uiPriority="39" w:unhideWhenUsed="1"/>
    <w:lsdException w:name="toc 4" w:locked="0" w:semiHidden="1" w:uiPriority="39" w:unhideWhenUsed="1" w:qFormat="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locked="0" w:semiHidden="1" w:unhideWhenUsed="1" w:qFormat="1"/>
    <w:lsdException w:name="footer" w:locked="0" w:semiHidden="1" w:unhideWhenUsed="1" w:qFormat="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locked="0"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qFormat="1"/>
    <w:lsdException w:name="Intense Quote" w:locked="0"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qFormat="1"/>
    <w:lsdException w:name="Subtle Reference" w:locked="0" w:uiPriority="31" w:qFormat="1"/>
    <w:lsdException w:name="Intense Reference" w:locked="0" w:uiPriority="32" w:qFormat="1"/>
    <w:lsdException w:name="Book Title" w:locked="0" w:uiPriority="33"/>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semiHidden="1" w:unhideWhenUsed="1"/>
    <w:lsdException w:name="Smart Hyperlink" w:locked="0" w:semiHidden="1" w:unhideWhenUsed="1"/>
    <w:lsdException w:name="Hashtag" w:semiHidden="1" w:unhideWhenUsed="1"/>
    <w:lsdException w:name="Unresolved Mention" w:locked="0" w:semiHidden="1" w:unhideWhenUsed="1"/>
    <w:lsdException w:name="Smart Link" w:locked="0" w:semiHidden="1" w:unhideWhenUsed="1"/>
  </w:latentStyles>
  <w:style w:type="paragraph" w:default="1" w:styleId="Normal">
    <w:name w:val="Normal"/>
    <w:rsid w:val="00A342A1"/>
    <w:pPr>
      <w:spacing w:before="0" w:after="0"/>
      <w:ind w:left="0"/>
      <w:jc w:val="both"/>
    </w:pPr>
    <w:rPr>
      <w:rFonts w:cs="Calibri"/>
    </w:rPr>
  </w:style>
  <w:style w:type="paragraph" w:styleId="Heading1">
    <w:name w:val="heading 1"/>
    <w:aliases w:val="Header 1 AEG Section"/>
    <w:basedOn w:val="AEGBody"/>
    <w:next w:val="AEGBody"/>
    <w:link w:val="Heading1Char"/>
    <w:uiPriority w:val="9"/>
    <w:rsid w:val="0087586E"/>
    <w:pPr>
      <w:keepNext/>
      <w:pageBreakBefore/>
      <w:numPr>
        <w:numId w:val="9"/>
      </w:numPr>
      <w:pBdr>
        <w:bottom w:val="single" w:sz="8" w:space="1" w:color="auto"/>
      </w:pBdr>
      <w:spacing w:before="240"/>
      <w:jc w:val="left"/>
      <w:outlineLvl w:val="0"/>
    </w:pPr>
    <w:rPr>
      <w:rFonts w:ascii="Aptos SemiBold" w:hAnsi="Aptos SemiBold"/>
      <w:sz w:val="36"/>
    </w:rPr>
  </w:style>
  <w:style w:type="paragraph" w:styleId="Heading2">
    <w:name w:val="heading 2"/>
    <w:aliases w:val="Header 2 AEG Section"/>
    <w:basedOn w:val="BodyText"/>
    <w:next w:val="AEGBody"/>
    <w:link w:val="Heading2Char"/>
    <w:uiPriority w:val="9"/>
    <w:unhideWhenUsed/>
    <w:qFormat/>
    <w:rsid w:val="003B618B"/>
    <w:pPr>
      <w:keepNext/>
      <w:spacing w:before="160" w:after="80"/>
      <w:outlineLvl w:val="1"/>
    </w:pPr>
    <w:rPr>
      <w:rFonts w:ascii="Aptos SemiBold" w:hAnsi="Aptos SemiBold" w:cs="Segoe UI Semilight"/>
      <w:color w:val="1E13A6" w:themeColor="accent2"/>
      <w:sz w:val="28"/>
      <w:shd w:val="clear" w:color="auto" w:fill="FFFFFF"/>
    </w:rPr>
  </w:style>
  <w:style w:type="paragraph" w:styleId="Heading3">
    <w:name w:val="heading 3"/>
    <w:aliases w:val="Header 3 AEG Section"/>
    <w:basedOn w:val="Normal"/>
    <w:next w:val="AEGBody"/>
    <w:link w:val="Heading3Char"/>
    <w:uiPriority w:val="9"/>
    <w:unhideWhenUsed/>
    <w:qFormat/>
    <w:rsid w:val="003B618B"/>
    <w:pPr>
      <w:keepNext/>
      <w:spacing w:before="120" w:after="40"/>
      <w:outlineLvl w:val="2"/>
    </w:pPr>
    <w:rPr>
      <w:rFonts w:ascii="Aptos SemiBold" w:eastAsiaTheme="majorEastAsia" w:hAnsi="Aptos SemiBold" w:cs="Segoe UI Semilight"/>
      <w:color w:val="F26549" w:themeColor="accent1"/>
      <w:sz w:val="24"/>
      <w:szCs w:val="24"/>
      <w:shd w:val="clear" w:color="auto" w:fill="FFFFFF"/>
    </w:rPr>
  </w:style>
  <w:style w:type="paragraph" w:styleId="Heading4">
    <w:name w:val="heading 4"/>
    <w:aliases w:val="Header 4 AEG Section"/>
    <w:basedOn w:val="Normal"/>
    <w:next w:val="AEGBody"/>
    <w:link w:val="Heading4Char"/>
    <w:uiPriority w:val="9"/>
    <w:unhideWhenUsed/>
    <w:qFormat/>
    <w:rsid w:val="003B618B"/>
    <w:pPr>
      <w:keepNext/>
      <w:spacing w:before="40" w:after="120"/>
      <w:outlineLvl w:val="3"/>
    </w:pPr>
    <w:rPr>
      <w:rFonts w:ascii="Aptos SemiBold" w:eastAsiaTheme="majorEastAsia" w:hAnsi="Aptos SemiBold" w:cstheme="majorBidi"/>
      <w:iCs/>
      <w:color w:val="00B3FF" w:themeColor="accent3"/>
    </w:rPr>
  </w:style>
  <w:style w:type="paragraph" w:styleId="Heading5">
    <w:name w:val="heading 5"/>
    <w:aliases w:val="Header 5 AEG Section"/>
    <w:basedOn w:val="Normal"/>
    <w:next w:val="AEGBody"/>
    <w:link w:val="Heading5Char"/>
    <w:uiPriority w:val="9"/>
    <w:unhideWhenUsed/>
    <w:qFormat/>
    <w:rsid w:val="003B618B"/>
    <w:pPr>
      <w:keepNext/>
      <w:spacing w:before="40" w:after="120"/>
      <w:outlineLvl w:val="4"/>
    </w:pPr>
    <w:rPr>
      <w:rFonts w:eastAsiaTheme="majorEastAsia" w:cstheme="majorBidi"/>
      <w:i/>
      <w:shd w:val="clear" w:color="auto" w:fill="FFFFFF"/>
    </w:rPr>
  </w:style>
  <w:style w:type="paragraph" w:styleId="Heading6">
    <w:name w:val="heading 6"/>
    <w:aliases w:val="AEG Appendix Lvl 1"/>
    <w:basedOn w:val="AEGBody"/>
    <w:next w:val="AEGBody"/>
    <w:link w:val="Heading6Char"/>
    <w:uiPriority w:val="9"/>
    <w:unhideWhenUsed/>
    <w:qFormat/>
    <w:rsid w:val="006E6E0E"/>
    <w:pPr>
      <w:pageBreakBefore/>
      <w:numPr>
        <w:numId w:val="7"/>
      </w:numPr>
      <w:pBdr>
        <w:bottom w:val="single" w:sz="4" w:space="1" w:color="auto"/>
      </w:pBdr>
      <w:spacing w:before="360" w:after="240"/>
      <w:outlineLvl w:val="5"/>
    </w:pPr>
    <w:rPr>
      <w:rFonts w:ascii="Aptos SemiBold" w:hAnsi="Aptos SemiBold"/>
      <w:sz w:val="36"/>
    </w:rPr>
  </w:style>
  <w:style w:type="paragraph" w:styleId="Heading7">
    <w:name w:val="heading 7"/>
    <w:aliases w:val="1st Lvl Sub-header in Appendices"/>
    <w:basedOn w:val="Normal"/>
    <w:next w:val="AEGBody"/>
    <w:link w:val="Heading7Char"/>
    <w:uiPriority w:val="9"/>
    <w:unhideWhenUsed/>
    <w:qFormat/>
    <w:rsid w:val="00033C10"/>
    <w:pPr>
      <w:outlineLvl w:val="6"/>
    </w:pPr>
    <w:rPr>
      <w:rFonts w:ascii="Aptos SemiBold" w:eastAsiaTheme="majorEastAsia" w:hAnsi="Aptos SemiBold" w:cstheme="majorBidi"/>
      <w:iCs/>
      <w:color w:val="1E13A6" w:themeColor="accent2"/>
      <w:sz w:val="24"/>
      <w:lang w:eastAsia="ja-JP"/>
    </w:rPr>
  </w:style>
  <w:style w:type="paragraph" w:styleId="Heading8">
    <w:name w:val="heading 8"/>
    <w:aliases w:val="2nd Lvl Sub-header for Appendices"/>
    <w:basedOn w:val="Normal"/>
    <w:next w:val="AEGBody"/>
    <w:link w:val="Heading8Char"/>
    <w:uiPriority w:val="9"/>
    <w:unhideWhenUsed/>
    <w:qFormat/>
    <w:rsid w:val="002C63BC"/>
    <w:pPr>
      <w:outlineLvl w:val="7"/>
    </w:pPr>
    <w:rPr>
      <w:rFonts w:ascii="Aptos SemiBold" w:eastAsiaTheme="majorEastAsia" w:hAnsi="Aptos SemiBold" w:cstheme="majorBidi"/>
      <w:color w:val="F26549" w:themeColor="accent1"/>
      <w:sz w:val="24"/>
      <w:lang w:eastAsia="ja-JP"/>
    </w:rPr>
  </w:style>
  <w:style w:type="paragraph" w:styleId="Heading9">
    <w:name w:val="heading 9"/>
    <w:aliases w:val="3rd Lvl Sub-header for Appendices"/>
    <w:basedOn w:val="Normal"/>
    <w:next w:val="Normal"/>
    <w:link w:val="Heading9Char"/>
    <w:uiPriority w:val="9"/>
    <w:unhideWhenUsed/>
    <w:qFormat/>
    <w:rsid w:val="002C63BC"/>
    <w:pPr>
      <w:outlineLvl w:val="8"/>
    </w:pPr>
    <w:rPr>
      <w:rFonts w:ascii="Aptos SemiBold" w:eastAsiaTheme="majorEastAsia" w:hAnsi="Aptos SemiBold" w:cstheme="majorBidi"/>
      <w:bCs/>
      <w:iCs/>
      <w:color w:val="7140D1" w:themeColor="accent4"/>
      <w:sz w:val="24"/>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er 2 AEG Section Char"/>
    <w:basedOn w:val="DefaultParagraphFont"/>
    <w:link w:val="Heading2"/>
    <w:uiPriority w:val="9"/>
    <w:rsid w:val="003B618B"/>
    <w:rPr>
      <w:rFonts w:ascii="Aptos SemiBold" w:hAnsi="Aptos SemiBold" w:cs="Segoe UI Semilight"/>
      <w:color w:val="1E13A6" w:themeColor="accent2"/>
      <w:sz w:val="28"/>
    </w:rPr>
  </w:style>
  <w:style w:type="paragraph" w:customStyle="1" w:styleId="AEGBody">
    <w:name w:val="AEG Body"/>
    <w:basedOn w:val="Normal"/>
    <w:link w:val="AEGBodyChar"/>
    <w:qFormat/>
    <w:rsid w:val="005E736A"/>
    <w:pPr>
      <w:spacing w:before="40" w:after="120"/>
    </w:pPr>
  </w:style>
  <w:style w:type="character" w:styleId="Emphasis">
    <w:name w:val="Emphasis"/>
    <w:aliases w:val="Body text bold-inline"/>
    <w:basedOn w:val="AEGBodyChar"/>
    <w:uiPriority w:val="20"/>
    <w:qFormat/>
    <w:rsid w:val="000F083C"/>
    <w:rPr>
      <w:rFonts w:ascii="Aptos" w:hAnsi="Aptos" w:cs="Calibri"/>
      <w:i/>
      <w:iCs/>
      <w:sz w:val="22"/>
      <w:szCs w:val="20"/>
    </w:rPr>
  </w:style>
  <w:style w:type="paragraph" w:styleId="TableofFigures">
    <w:name w:val="table of figures"/>
    <w:basedOn w:val="Normal"/>
    <w:next w:val="Normal"/>
    <w:uiPriority w:val="99"/>
    <w:unhideWhenUsed/>
    <w:locked/>
    <w:rsid w:val="001447F5"/>
    <w:rPr>
      <w:sz w:val="20"/>
    </w:rPr>
  </w:style>
  <w:style w:type="paragraph" w:styleId="Title">
    <w:name w:val="Title"/>
    <w:basedOn w:val="AEGBody"/>
    <w:next w:val="Normal"/>
    <w:link w:val="TitleChar"/>
    <w:uiPriority w:val="10"/>
    <w:rsid w:val="00401F90"/>
    <w:rPr>
      <w:rFonts w:ascii="Aptos SemiBold" w:hAnsi="Aptos SemiBold"/>
      <w:noProof/>
      <w:sz w:val="60"/>
      <w:szCs w:val="60"/>
    </w:rPr>
  </w:style>
  <w:style w:type="character" w:customStyle="1" w:styleId="TitleChar">
    <w:name w:val="Title Char"/>
    <w:basedOn w:val="DefaultParagraphFont"/>
    <w:link w:val="Title"/>
    <w:uiPriority w:val="10"/>
    <w:rsid w:val="00401F90"/>
    <w:rPr>
      <w:rFonts w:ascii="Aptos SemiBold" w:hAnsi="Aptos SemiBold" w:cs="Calibri"/>
      <w:noProof/>
      <w:sz w:val="60"/>
      <w:szCs w:val="60"/>
    </w:rPr>
  </w:style>
  <w:style w:type="numbering" w:customStyle="1" w:styleId="AEG-NumberLIst2">
    <w:name w:val="AEG - Number LIst (2)"/>
    <w:uiPriority w:val="99"/>
    <w:rsid w:val="00947A2E"/>
    <w:pPr>
      <w:numPr>
        <w:numId w:val="4"/>
      </w:numPr>
    </w:pPr>
  </w:style>
  <w:style w:type="table" w:styleId="GridTable7Colorful-Accent6">
    <w:name w:val="Grid Table 7 Colorful Accent 6"/>
    <w:basedOn w:val="TableNormal"/>
    <w:uiPriority w:val="52"/>
    <w:rsid w:val="00DD5CAD"/>
    <w:rPr>
      <w:color w:val="25A576" w:themeColor="accent6" w:themeShade="BF"/>
    </w:rPr>
    <w:tblPr>
      <w:tblStyleRowBandSize w:val="1"/>
      <w:tblStyleColBandSize w:val="1"/>
      <w:tblBorders>
        <w:top w:val="single" w:sz="4" w:space="0" w:color="89E4C3" w:themeColor="accent6" w:themeTint="99"/>
        <w:left w:val="single" w:sz="4" w:space="0" w:color="89E4C3" w:themeColor="accent6" w:themeTint="99"/>
        <w:bottom w:val="single" w:sz="4" w:space="0" w:color="89E4C3" w:themeColor="accent6" w:themeTint="99"/>
        <w:right w:val="single" w:sz="4" w:space="0" w:color="89E4C3" w:themeColor="accent6" w:themeTint="99"/>
        <w:insideH w:val="single" w:sz="4" w:space="0" w:color="89E4C3" w:themeColor="accent6" w:themeTint="99"/>
        <w:insideV w:val="single" w:sz="4" w:space="0" w:color="89E4C3" w:themeColor="accent6" w:themeTint="99"/>
      </w:tblBorders>
    </w:tblPr>
    <w:tblStylePr w:type="firstRow">
      <w:rPr>
        <w:b/>
        <w:bCs/>
      </w:rPr>
      <w:tblPr/>
      <w:tcPr>
        <w:tcBorders>
          <w:top w:val="nil"/>
          <w:left w:val="nil"/>
          <w:right w:val="nil"/>
          <w:insideH w:val="nil"/>
          <w:insideV w:val="nil"/>
        </w:tcBorders>
        <w:shd w:val="clear" w:color="auto" w:fill="F6F6F7" w:themeFill="background1"/>
      </w:tcPr>
    </w:tblStylePr>
    <w:tblStylePr w:type="lastRow">
      <w:rPr>
        <w:b/>
        <w:bCs/>
      </w:rPr>
      <w:tblPr/>
      <w:tcPr>
        <w:tcBorders>
          <w:left w:val="nil"/>
          <w:bottom w:val="nil"/>
          <w:right w:val="nil"/>
          <w:insideH w:val="nil"/>
          <w:insideV w:val="nil"/>
        </w:tcBorders>
        <w:shd w:val="clear" w:color="auto" w:fill="F6F6F7" w:themeFill="background1"/>
      </w:tcPr>
    </w:tblStylePr>
    <w:tblStylePr w:type="firstCol">
      <w:pPr>
        <w:jc w:val="right"/>
      </w:pPr>
      <w:rPr>
        <w:i/>
        <w:iCs/>
      </w:rPr>
      <w:tblPr/>
      <w:tcPr>
        <w:tcBorders>
          <w:top w:val="nil"/>
          <w:left w:val="nil"/>
          <w:bottom w:val="nil"/>
          <w:insideH w:val="nil"/>
          <w:insideV w:val="nil"/>
        </w:tcBorders>
        <w:shd w:val="clear" w:color="auto" w:fill="F6F6F7" w:themeFill="background1"/>
      </w:tcPr>
    </w:tblStylePr>
    <w:tblStylePr w:type="lastCol">
      <w:rPr>
        <w:i/>
        <w:iCs/>
      </w:rPr>
      <w:tblPr/>
      <w:tcPr>
        <w:tcBorders>
          <w:top w:val="nil"/>
          <w:bottom w:val="nil"/>
          <w:right w:val="nil"/>
          <w:insideH w:val="nil"/>
          <w:insideV w:val="nil"/>
        </w:tcBorders>
        <w:shd w:val="clear" w:color="auto" w:fill="F6F6F7" w:themeFill="background1"/>
      </w:tcPr>
    </w:tblStylePr>
    <w:tblStylePr w:type="band1Vert">
      <w:tblPr/>
      <w:tcPr>
        <w:shd w:val="clear" w:color="auto" w:fill="D7F6EB" w:themeFill="accent6" w:themeFillTint="33"/>
      </w:tcPr>
    </w:tblStylePr>
    <w:tblStylePr w:type="band1Horz">
      <w:tblPr/>
      <w:tcPr>
        <w:shd w:val="clear" w:color="auto" w:fill="D7F6EB" w:themeFill="accent6" w:themeFillTint="33"/>
      </w:tcPr>
    </w:tblStylePr>
    <w:tblStylePr w:type="neCell">
      <w:tblPr/>
      <w:tcPr>
        <w:tcBorders>
          <w:bottom w:val="single" w:sz="4" w:space="0" w:color="89E4C3" w:themeColor="accent6" w:themeTint="99"/>
        </w:tcBorders>
      </w:tcPr>
    </w:tblStylePr>
    <w:tblStylePr w:type="nwCell">
      <w:tblPr/>
      <w:tcPr>
        <w:tcBorders>
          <w:bottom w:val="single" w:sz="4" w:space="0" w:color="89E4C3" w:themeColor="accent6" w:themeTint="99"/>
        </w:tcBorders>
      </w:tcPr>
    </w:tblStylePr>
    <w:tblStylePr w:type="seCell">
      <w:tblPr/>
      <w:tcPr>
        <w:tcBorders>
          <w:top w:val="single" w:sz="4" w:space="0" w:color="89E4C3" w:themeColor="accent6" w:themeTint="99"/>
        </w:tcBorders>
      </w:tcPr>
    </w:tblStylePr>
    <w:tblStylePr w:type="swCell">
      <w:tblPr/>
      <w:tcPr>
        <w:tcBorders>
          <w:top w:val="single" w:sz="4" w:space="0" w:color="89E4C3" w:themeColor="accent6" w:themeTint="99"/>
        </w:tcBorders>
      </w:tcPr>
    </w:tblStylePr>
  </w:style>
  <w:style w:type="paragraph" w:styleId="TOC3">
    <w:name w:val="toc 3"/>
    <w:basedOn w:val="TOC2"/>
    <w:next w:val="AEGBody"/>
    <w:autoRedefine/>
    <w:uiPriority w:val="39"/>
    <w:unhideWhenUsed/>
    <w:rsid w:val="00033C10"/>
    <w:pPr>
      <w:ind w:left="450"/>
    </w:pPr>
    <w:rPr>
      <w:sz w:val="18"/>
      <w:szCs w:val="20"/>
    </w:rPr>
  </w:style>
  <w:style w:type="paragraph" w:styleId="IntenseQuote">
    <w:name w:val="Intense Quote"/>
    <w:aliases w:val="AEG Intense Quote"/>
    <w:basedOn w:val="Normal"/>
    <w:next w:val="Normal"/>
    <w:link w:val="IntenseQuoteChar"/>
    <w:uiPriority w:val="30"/>
    <w:qFormat/>
    <w:rsid w:val="00825051"/>
    <w:pPr>
      <w:pBdr>
        <w:top w:val="single" w:sz="4" w:space="6" w:color="F26549"/>
        <w:bottom w:val="single" w:sz="4" w:space="6" w:color="F26549"/>
      </w:pBdr>
      <w:spacing w:before="360" w:after="360"/>
      <w:ind w:left="864" w:right="864"/>
      <w:jc w:val="center"/>
    </w:pPr>
    <w:rPr>
      <w:i/>
      <w:iCs/>
      <w:color w:val="1E13A6" w:themeColor="accent2"/>
      <w:sz w:val="18"/>
    </w:rPr>
  </w:style>
  <w:style w:type="character" w:customStyle="1" w:styleId="IntenseQuoteChar">
    <w:name w:val="Intense Quote Char"/>
    <w:aliases w:val="AEG Intense Quote Char"/>
    <w:basedOn w:val="DefaultParagraphFont"/>
    <w:link w:val="IntenseQuote"/>
    <w:uiPriority w:val="30"/>
    <w:rsid w:val="00825051"/>
    <w:rPr>
      <w:rFonts w:ascii="Segoe UI Variable Display" w:hAnsi="Segoe UI Variable Display" w:cs="Calibri"/>
      <w:i/>
      <w:iCs/>
      <w:color w:val="1E13A6" w:themeColor="accent2"/>
      <w:sz w:val="18"/>
      <w:szCs w:val="20"/>
    </w:rPr>
  </w:style>
  <w:style w:type="character" w:customStyle="1" w:styleId="BodyTextChar1">
    <w:name w:val="Body Text Char1"/>
    <w:basedOn w:val="DefaultParagraphFont"/>
    <w:uiPriority w:val="99"/>
    <w:semiHidden/>
    <w:locked/>
    <w:rsid w:val="00742EE4"/>
    <w:rPr>
      <w:rFonts w:ascii="Jost" w:hAnsi="Jost" w:cs="Calibri"/>
      <w:lang w:eastAsia="en-US"/>
    </w:rPr>
  </w:style>
  <w:style w:type="character" w:customStyle="1" w:styleId="SmallHeaderCopy">
    <w:name w:val="Small Header Copy"/>
    <w:basedOn w:val="DefaultParagraphFont"/>
    <w:rsid w:val="00742EE4"/>
    <w:rPr>
      <w:rFonts w:ascii="GT Eesti Display Light" w:hAnsi="GT Eesti Display Light"/>
      <w:b/>
      <w:color w:val="1E13A6" w:themeColor="accent2"/>
      <w:sz w:val="18"/>
    </w:rPr>
  </w:style>
  <w:style w:type="paragraph" w:customStyle="1" w:styleId="AEG-NumberListopt1">
    <w:name w:val="AEG - Number List (opt 1)"/>
    <w:basedOn w:val="Normal"/>
    <w:link w:val="AEG-NumberListopt1Char"/>
    <w:qFormat/>
    <w:rsid w:val="00D9222A"/>
    <w:pPr>
      <w:keepNext/>
      <w:keepLines/>
      <w:numPr>
        <w:numId w:val="3"/>
      </w:numPr>
      <w:tabs>
        <w:tab w:val="left" w:pos="540"/>
      </w:tabs>
      <w:outlineLvl w:val="1"/>
    </w:pPr>
    <w:rPr>
      <w:rFonts w:cs="Segoe UI Semilight"/>
      <w:szCs w:val="28"/>
    </w:rPr>
  </w:style>
  <w:style w:type="character" w:customStyle="1" w:styleId="AEG-NumberListopt1Char">
    <w:name w:val="AEG - Number List (opt 1) Char"/>
    <w:basedOn w:val="Heading1Char"/>
    <w:link w:val="AEG-NumberListopt1"/>
    <w:rsid w:val="00D9222A"/>
    <w:rPr>
      <w:rFonts w:ascii="Aptos SemiBold" w:hAnsi="Aptos SemiBold" w:cs="Segoe UI Semilight"/>
      <w:sz w:val="36"/>
      <w:szCs w:val="28"/>
    </w:rPr>
  </w:style>
  <w:style w:type="paragraph" w:customStyle="1" w:styleId="AEG-NumberListopt2">
    <w:name w:val="AEG - Number List (opt 2)"/>
    <w:basedOn w:val="AEGBody"/>
    <w:link w:val="AEG-NumberListopt2Char"/>
    <w:qFormat/>
    <w:rsid w:val="00C94F0B"/>
    <w:pPr>
      <w:numPr>
        <w:numId w:val="5"/>
      </w:numPr>
      <w:spacing w:before="80"/>
      <w:contextualSpacing/>
    </w:pPr>
  </w:style>
  <w:style w:type="paragraph" w:customStyle="1" w:styleId="TOCMainHeading">
    <w:name w:val="TOC Main Heading"/>
    <w:basedOn w:val="Normal"/>
    <w:next w:val="AEGBody"/>
    <w:link w:val="TOCMainHeadingChar"/>
    <w:rsid w:val="00C20CBE"/>
    <w:rPr>
      <w:rFonts w:ascii="Aptos SemiBold" w:hAnsi="Aptos SemiBold"/>
      <w:sz w:val="36"/>
      <w:szCs w:val="48"/>
    </w:rPr>
  </w:style>
  <w:style w:type="paragraph" w:customStyle="1" w:styleId="AEG-Figure">
    <w:name w:val="AEG - Figure"/>
    <w:basedOn w:val="Caption"/>
    <w:link w:val="AEG-FigureChar"/>
    <w:rsid w:val="00317E3D"/>
    <w:pPr>
      <w:tabs>
        <w:tab w:val="left" w:pos="900"/>
      </w:tabs>
      <w:ind w:left="900" w:hanging="900"/>
    </w:pPr>
    <w:rPr>
      <w:rFonts w:cs="Calibri Light"/>
      <w:i w:val="0"/>
      <w:iCs w:val="0"/>
      <w:kern w:val="20"/>
      <w:sz w:val="20"/>
      <w:szCs w:val="20"/>
      <w:lang w:eastAsia="ja-JP"/>
    </w:rPr>
  </w:style>
  <w:style w:type="character" w:customStyle="1" w:styleId="AEG-FigureChar">
    <w:name w:val="AEG - Figure Char"/>
    <w:basedOn w:val="DefaultParagraphFont"/>
    <w:link w:val="AEG-Figure"/>
    <w:rsid w:val="00A50303"/>
    <w:rPr>
      <w:rFonts w:ascii="Aptos" w:hAnsi="Aptos" w:cs="Calibri Light"/>
      <w:color w:val="444C5E" w:themeColor="text2"/>
      <w:kern w:val="20"/>
      <w:sz w:val="20"/>
      <w:szCs w:val="20"/>
      <w:lang w:eastAsia="ja-JP"/>
    </w:rPr>
  </w:style>
  <w:style w:type="character" w:customStyle="1" w:styleId="AEGBodyChar">
    <w:name w:val="AEG Body Char"/>
    <w:basedOn w:val="DefaultParagraphFont"/>
    <w:link w:val="AEGBody"/>
    <w:rsid w:val="005E736A"/>
    <w:rPr>
      <w:rFonts w:cs="Calibri"/>
    </w:rPr>
  </w:style>
  <w:style w:type="character" w:customStyle="1" w:styleId="AEG-NumberListopt2Char">
    <w:name w:val="AEG - Number List (opt 2) Char"/>
    <w:basedOn w:val="DefaultParagraphFont"/>
    <w:link w:val="AEG-NumberListopt2"/>
    <w:rsid w:val="00C94F0B"/>
    <w:rPr>
      <w:rFonts w:cs="Calibri"/>
    </w:rPr>
  </w:style>
  <w:style w:type="paragraph" w:styleId="ListBullet">
    <w:name w:val="List Bullet"/>
    <w:basedOn w:val="Normal"/>
    <w:uiPriority w:val="99"/>
    <w:semiHidden/>
    <w:unhideWhenUsed/>
    <w:locked/>
    <w:rsid w:val="00742EE4"/>
    <w:pPr>
      <w:numPr>
        <w:numId w:val="1"/>
      </w:numPr>
      <w:contextualSpacing/>
    </w:pPr>
  </w:style>
  <w:style w:type="character" w:customStyle="1" w:styleId="TOCMainHeadingChar">
    <w:name w:val="TOC Main Heading Char"/>
    <w:basedOn w:val="AEGBodyChar"/>
    <w:link w:val="TOCMainHeading"/>
    <w:rsid w:val="00C20CBE"/>
    <w:rPr>
      <w:rFonts w:ascii="Aptos SemiBold" w:hAnsi="Aptos SemiBold" w:cs="Calibri"/>
      <w:sz w:val="36"/>
      <w:szCs w:val="48"/>
    </w:rPr>
  </w:style>
  <w:style w:type="character" w:customStyle="1" w:styleId="Heading1Char">
    <w:name w:val="Heading 1 Char"/>
    <w:aliases w:val="Header 1 AEG Section Char"/>
    <w:basedOn w:val="DefaultParagraphFont"/>
    <w:link w:val="Heading1"/>
    <w:uiPriority w:val="9"/>
    <w:rsid w:val="0087586E"/>
    <w:rPr>
      <w:rFonts w:ascii="Aptos SemiBold" w:hAnsi="Aptos SemiBold" w:cs="Calibri"/>
      <w:sz w:val="36"/>
    </w:rPr>
  </w:style>
  <w:style w:type="character" w:customStyle="1" w:styleId="Heading3Char">
    <w:name w:val="Heading 3 Char"/>
    <w:aliases w:val="Header 3 AEG Section Char"/>
    <w:basedOn w:val="DefaultParagraphFont"/>
    <w:link w:val="Heading3"/>
    <w:uiPriority w:val="9"/>
    <w:rsid w:val="003B618B"/>
    <w:rPr>
      <w:rFonts w:ascii="Aptos SemiBold" w:eastAsiaTheme="majorEastAsia" w:hAnsi="Aptos SemiBold" w:cs="Segoe UI Semilight"/>
      <w:color w:val="F26549" w:themeColor="accent1"/>
      <w:sz w:val="24"/>
      <w:szCs w:val="24"/>
    </w:rPr>
  </w:style>
  <w:style w:type="character" w:customStyle="1" w:styleId="Heading4Char">
    <w:name w:val="Heading 4 Char"/>
    <w:aliases w:val="Header 4 AEG Section Char"/>
    <w:basedOn w:val="DefaultParagraphFont"/>
    <w:link w:val="Heading4"/>
    <w:uiPriority w:val="9"/>
    <w:rsid w:val="003B618B"/>
    <w:rPr>
      <w:rFonts w:ascii="Aptos SemiBold" w:eastAsiaTheme="majorEastAsia" w:hAnsi="Aptos SemiBold" w:cstheme="majorBidi"/>
      <w:iCs/>
      <w:color w:val="00B3FF" w:themeColor="accent3"/>
    </w:rPr>
  </w:style>
  <w:style w:type="character" w:customStyle="1" w:styleId="Heading5Char">
    <w:name w:val="Heading 5 Char"/>
    <w:aliases w:val="Header 5 AEG Section Char"/>
    <w:basedOn w:val="DefaultParagraphFont"/>
    <w:link w:val="Heading5"/>
    <w:uiPriority w:val="9"/>
    <w:rsid w:val="003B618B"/>
    <w:rPr>
      <w:rFonts w:eastAsiaTheme="majorEastAsia" w:cstheme="majorBidi"/>
      <w:i/>
    </w:rPr>
  </w:style>
  <w:style w:type="character" w:customStyle="1" w:styleId="Heading6Char">
    <w:name w:val="Heading 6 Char"/>
    <w:aliases w:val="AEG Appendix Lvl 1 Char"/>
    <w:basedOn w:val="DefaultParagraphFont"/>
    <w:link w:val="Heading6"/>
    <w:uiPriority w:val="9"/>
    <w:rsid w:val="006E6E0E"/>
    <w:rPr>
      <w:rFonts w:ascii="Aptos SemiBold" w:hAnsi="Aptos SemiBold" w:cs="Calibri"/>
      <w:sz w:val="36"/>
    </w:rPr>
  </w:style>
  <w:style w:type="character" w:customStyle="1" w:styleId="Heading7Char">
    <w:name w:val="Heading 7 Char"/>
    <w:aliases w:val="1st Lvl Sub-header in Appendices Char"/>
    <w:basedOn w:val="DefaultParagraphFont"/>
    <w:link w:val="Heading7"/>
    <w:uiPriority w:val="9"/>
    <w:rsid w:val="00033C10"/>
    <w:rPr>
      <w:rFonts w:ascii="Aptos SemiBold" w:eastAsiaTheme="majorEastAsia" w:hAnsi="Aptos SemiBold" w:cstheme="majorBidi"/>
      <w:iCs/>
      <w:color w:val="1E13A6" w:themeColor="accent2"/>
      <w:sz w:val="24"/>
      <w:lang w:eastAsia="ja-JP"/>
    </w:rPr>
  </w:style>
  <w:style w:type="character" w:customStyle="1" w:styleId="Heading8Char">
    <w:name w:val="Heading 8 Char"/>
    <w:aliases w:val="2nd Lvl Sub-header for Appendices Char"/>
    <w:basedOn w:val="DefaultParagraphFont"/>
    <w:link w:val="Heading8"/>
    <w:uiPriority w:val="9"/>
    <w:rsid w:val="002C63BC"/>
    <w:rPr>
      <w:rFonts w:ascii="Aptos SemiBold" w:eastAsiaTheme="majorEastAsia" w:hAnsi="Aptos SemiBold" w:cstheme="majorBidi"/>
      <w:color w:val="F26549" w:themeColor="accent1"/>
      <w:sz w:val="24"/>
      <w:szCs w:val="20"/>
      <w:lang w:eastAsia="ja-JP"/>
    </w:rPr>
  </w:style>
  <w:style w:type="character" w:customStyle="1" w:styleId="Heading9Char">
    <w:name w:val="Heading 9 Char"/>
    <w:aliases w:val="3rd Lvl Sub-header for Appendices Char"/>
    <w:basedOn w:val="DefaultParagraphFont"/>
    <w:link w:val="Heading9"/>
    <w:uiPriority w:val="9"/>
    <w:rsid w:val="002C63BC"/>
    <w:rPr>
      <w:rFonts w:ascii="Aptos SemiBold" w:eastAsiaTheme="majorEastAsia" w:hAnsi="Aptos SemiBold" w:cstheme="majorBidi"/>
      <w:bCs/>
      <w:iCs/>
      <w:color w:val="7140D1" w:themeColor="accent4"/>
      <w:sz w:val="24"/>
      <w:szCs w:val="21"/>
      <w:lang w:eastAsia="ja-JP"/>
    </w:rPr>
  </w:style>
  <w:style w:type="paragraph" w:styleId="TOC1">
    <w:name w:val="toc 1"/>
    <w:basedOn w:val="Normal"/>
    <w:next w:val="AEGBody"/>
    <w:uiPriority w:val="39"/>
    <w:unhideWhenUsed/>
    <w:qFormat/>
    <w:rsid w:val="00BF17F5"/>
    <w:pPr>
      <w:tabs>
        <w:tab w:val="left" w:leader="dot" w:pos="270"/>
        <w:tab w:val="left" w:leader="dot" w:pos="8910"/>
        <w:tab w:val="left" w:leader="dot" w:pos="9180"/>
      </w:tabs>
      <w:spacing w:before="120" w:after="40"/>
      <w:jc w:val="right"/>
    </w:pPr>
    <w:rPr>
      <w:rFonts w:eastAsiaTheme="minorEastAsia" w:cstheme="minorBidi"/>
      <w:b/>
      <w:iCs/>
      <w:noProof/>
      <w:kern w:val="2"/>
    </w:rPr>
  </w:style>
  <w:style w:type="paragraph" w:styleId="TOC2">
    <w:name w:val="toc 2"/>
    <w:basedOn w:val="Normal"/>
    <w:next w:val="AEGBody"/>
    <w:uiPriority w:val="39"/>
    <w:unhideWhenUsed/>
    <w:rsid w:val="00BF17F5"/>
    <w:pPr>
      <w:tabs>
        <w:tab w:val="right" w:leader="dot" w:pos="9090"/>
      </w:tabs>
      <w:spacing w:after="40"/>
      <w:ind w:left="270"/>
      <w:jc w:val="right"/>
    </w:pPr>
    <w:rPr>
      <w:iCs/>
      <w:noProof/>
      <w:sz w:val="20"/>
    </w:rPr>
  </w:style>
  <w:style w:type="paragraph" w:styleId="Header">
    <w:name w:val="header"/>
    <w:basedOn w:val="Normal"/>
    <w:link w:val="HeaderChar"/>
    <w:uiPriority w:val="99"/>
    <w:unhideWhenUsed/>
    <w:qFormat/>
    <w:rsid w:val="00084ECC"/>
    <w:pPr>
      <w:keepNext/>
      <w:tabs>
        <w:tab w:val="center" w:pos="4680"/>
        <w:tab w:val="right" w:pos="9360"/>
      </w:tabs>
    </w:pPr>
    <w:rPr>
      <w:color w:val="444C5E" w:themeColor="text2"/>
      <w:sz w:val="20"/>
      <w:szCs w:val="20"/>
    </w:rPr>
  </w:style>
  <w:style w:type="character" w:customStyle="1" w:styleId="HeaderChar">
    <w:name w:val="Header Char"/>
    <w:basedOn w:val="DefaultParagraphFont"/>
    <w:link w:val="Header"/>
    <w:uiPriority w:val="99"/>
    <w:rsid w:val="00084ECC"/>
    <w:rPr>
      <w:rFonts w:cs="Calibri"/>
      <w:color w:val="444C5E" w:themeColor="text2"/>
      <w:sz w:val="20"/>
      <w:szCs w:val="20"/>
    </w:rPr>
  </w:style>
  <w:style w:type="paragraph" w:styleId="Footer">
    <w:name w:val="footer"/>
    <w:basedOn w:val="Normal"/>
    <w:link w:val="FooterChar"/>
    <w:uiPriority w:val="99"/>
    <w:unhideWhenUsed/>
    <w:qFormat/>
    <w:rsid w:val="00C94F0B"/>
    <w:pPr>
      <w:tabs>
        <w:tab w:val="center" w:pos="4680"/>
        <w:tab w:val="right" w:pos="9360"/>
      </w:tabs>
    </w:pPr>
    <w:rPr>
      <w:color w:val="444C5E" w:themeColor="text2"/>
      <w:sz w:val="18"/>
      <w:szCs w:val="10"/>
    </w:rPr>
  </w:style>
  <w:style w:type="character" w:customStyle="1" w:styleId="FooterChar">
    <w:name w:val="Footer Char"/>
    <w:basedOn w:val="DefaultParagraphFont"/>
    <w:link w:val="Footer"/>
    <w:uiPriority w:val="99"/>
    <w:rsid w:val="00C94F0B"/>
    <w:rPr>
      <w:rFonts w:cs="Calibri"/>
      <w:color w:val="444C5E" w:themeColor="text2"/>
      <w:sz w:val="18"/>
      <w:szCs w:val="10"/>
    </w:rPr>
  </w:style>
  <w:style w:type="paragraph" w:styleId="Caption">
    <w:name w:val="caption"/>
    <w:basedOn w:val="Normal"/>
    <w:next w:val="Normal"/>
    <w:unhideWhenUsed/>
    <w:rsid w:val="009E5699"/>
    <w:pPr>
      <w:keepNext/>
      <w:spacing w:before="160" w:after="80"/>
    </w:pPr>
    <w:rPr>
      <w:rFonts w:ascii="Aptos" w:hAnsi="Aptos"/>
      <w:i/>
      <w:iCs/>
      <w:color w:val="444C5E" w:themeColor="text2"/>
      <w:sz w:val="18"/>
      <w:szCs w:val="18"/>
    </w:rPr>
  </w:style>
  <w:style w:type="character" w:styleId="CommentReference">
    <w:name w:val="annotation reference"/>
    <w:basedOn w:val="DefaultParagraphFont"/>
    <w:semiHidden/>
    <w:unhideWhenUsed/>
    <w:locked/>
    <w:rsid w:val="00742EE4"/>
    <w:rPr>
      <w:sz w:val="16"/>
      <w:szCs w:val="16"/>
    </w:rPr>
  </w:style>
  <w:style w:type="paragraph" w:styleId="Subtitle">
    <w:name w:val="Subtitle"/>
    <w:aliases w:val="Cover Page Subtitle"/>
    <w:basedOn w:val="Normal"/>
    <w:next w:val="AEGBody"/>
    <w:link w:val="SubtitleChar"/>
    <w:uiPriority w:val="11"/>
    <w:qFormat/>
    <w:rsid w:val="00EA2263"/>
    <w:pPr>
      <w:numPr>
        <w:ilvl w:val="1"/>
      </w:numPr>
      <w:spacing w:after="160"/>
    </w:pPr>
    <w:rPr>
      <w:rFonts w:eastAsiaTheme="minorEastAsia" w:cstheme="minorBidi"/>
      <w:spacing w:val="15"/>
      <w:sz w:val="32"/>
      <w:szCs w:val="28"/>
    </w:rPr>
  </w:style>
  <w:style w:type="character" w:customStyle="1" w:styleId="SubtitleChar">
    <w:name w:val="Subtitle Char"/>
    <w:aliases w:val="Cover Page Subtitle Char"/>
    <w:basedOn w:val="DefaultParagraphFont"/>
    <w:link w:val="Subtitle"/>
    <w:uiPriority w:val="11"/>
    <w:rsid w:val="00EA2263"/>
    <w:rPr>
      <w:rFonts w:ascii="Aptos" w:eastAsiaTheme="minorEastAsia" w:hAnsi="Aptos"/>
      <w:spacing w:val="15"/>
      <w:sz w:val="32"/>
      <w:szCs w:val="28"/>
    </w:rPr>
  </w:style>
  <w:style w:type="character" w:styleId="Hyperlink">
    <w:name w:val="Hyperlink"/>
    <w:basedOn w:val="DefaultParagraphFont"/>
    <w:uiPriority w:val="99"/>
    <w:unhideWhenUsed/>
    <w:rsid w:val="00F27289"/>
    <w:rPr>
      <w:rFonts w:ascii="Aptos" w:hAnsi="Aptos"/>
      <w:color w:val="2B21E2" w:themeColor="hyperlink"/>
      <w:sz w:val="22"/>
      <w:u w:val="single"/>
    </w:rPr>
  </w:style>
  <w:style w:type="character" w:styleId="FollowedHyperlink">
    <w:name w:val="FollowedHyperlink"/>
    <w:basedOn w:val="DefaultParagraphFont"/>
    <w:uiPriority w:val="99"/>
    <w:semiHidden/>
    <w:unhideWhenUsed/>
    <w:locked/>
    <w:rsid w:val="00742EE4"/>
    <w:rPr>
      <w:color w:val="E36E53" w:themeColor="followedHyperlink"/>
      <w:u w:val="single"/>
    </w:rPr>
  </w:style>
  <w:style w:type="character" w:styleId="Strong">
    <w:name w:val="Strong"/>
    <w:basedOn w:val="AEGBodyChar"/>
    <w:uiPriority w:val="22"/>
    <w:qFormat/>
    <w:rsid w:val="00383ED9"/>
    <w:rPr>
      <w:rFonts w:asciiTheme="majorHAnsi" w:hAnsiTheme="majorHAnsi" w:cs="Calibri"/>
      <w:sz w:val="22"/>
      <w:szCs w:val="22"/>
    </w:rPr>
  </w:style>
  <w:style w:type="paragraph" w:styleId="CommentSubject">
    <w:name w:val="annotation subject"/>
    <w:basedOn w:val="Normal"/>
    <w:next w:val="Normal"/>
    <w:link w:val="CommentSubjectChar"/>
    <w:uiPriority w:val="99"/>
    <w:semiHidden/>
    <w:unhideWhenUsed/>
    <w:locked/>
    <w:rsid w:val="00C37ED3"/>
    <w:rPr>
      <w:b/>
      <w:bCs/>
    </w:rPr>
  </w:style>
  <w:style w:type="character" w:customStyle="1" w:styleId="CommentSubjectChar">
    <w:name w:val="Comment Subject Char"/>
    <w:basedOn w:val="DefaultParagraphFont"/>
    <w:link w:val="CommentSubject"/>
    <w:uiPriority w:val="99"/>
    <w:semiHidden/>
    <w:rsid w:val="00C37ED3"/>
    <w:rPr>
      <w:rFonts w:cs="Calibri"/>
      <w:b/>
      <w:bCs/>
      <w:sz w:val="20"/>
      <w:szCs w:val="20"/>
    </w:rPr>
  </w:style>
  <w:style w:type="paragraph" w:styleId="BalloonText">
    <w:name w:val="Balloon Text"/>
    <w:basedOn w:val="Normal"/>
    <w:link w:val="BalloonTextChar"/>
    <w:uiPriority w:val="99"/>
    <w:semiHidden/>
    <w:unhideWhenUsed/>
    <w:locked/>
    <w:rsid w:val="00742EE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EE4"/>
    <w:rPr>
      <w:rFonts w:ascii="Segoe UI" w:hAnsi="Segoe UI" w:cs="Segoe UI"/>
      <w:sz w:val="18"/>
      <w:szCs w:val="18"/>
    </w:rPr>
  </w:style>
  <w:style w:type="character" w:styleId="PlaceholderText">
    <w:name w:val="Placeholder Text"/>
    <w:basedOn w:val="DefaultParagraphFont"/>
    <w:uiPriority w:val="99"/>
    <w:semiHidden/>
    <w:locked/>
    <w:rsid w:val="00742EE4"/>
    <w:rPr>
      <w:color w:val="808080"/>
    </w:rPr>
  </w:style>
  <w:style w:type="paragraph" w:styleId="NoSpacing">
    <w:name w:val="No Spacing"/>
    <w:basedOn w:val="Normal"/>
    <w:uiPriority w:val="1"/>
    <w:rsid w:val="000F16F7"/>
    <w:rPr>
      <w:rFonts w:ascii="Aptos" w:hAnsi="Aptos" w:cs="Calibri Light"/>
      <w:kern w:val="20"/>
      <w:sz w:val="20"/>
      <w:szCs w:val="18"/>
    </w:rPr>
  </w:style>
  <w:style w:type="paragraph" w:styleId="Quote">
    <w:name w:val="Quote"/>
    <w:basedOn w:val="Normal"/>
    <w:next w:val="Normal"/>
    <w:link w:val="QuoteChar"/>
    <w:uiPriority w:val="29"/>
    <w:rsid w:val="000F083C"/>
    <w:pPr>
      <w:spacing w:before="200" w:after="160"/>
      <w:ind w:left="864" w:right="864"/>
      <w:jc w:val="center"/>
    </w:pPr>
    <w:rPr>
      <w:i/>
      <w:iCs/>
      <w:color w:val="747482" w:themeColor="background1" w:themeShade="80"/>
    </w:rPr>
  </w:style>
  <w:style w:type="character" w:customStyle="1" w:styleId="QuoteChar">
    <w:name w:val="Quote Char"/>
    <w:basedOn w:val="DefaultParagraphFont"/>
    <w:link w:val="Quote"/>
    <w:uiPriority w:val="29"/>
    <w:rsid w:val="000F083C"/>
    <w:rPr>
      <w:rFonts w:cs="Calibri"/>
      <w:i/>
      <w:iCs/>
      <w:color w:val="747482" w:themeColor="background1" w:themeShade="80"/>
    </w:rPr>
  </w:style>
  <w:style w:type="character" w:styleId="SubtleEmphasis">
    <w:name w:val="Subtle Emphasis"/>
    <w:basedOn w:val="DefaultParagraphFont"/>
    <w:uiPriority w:val="19"/>
    <w:rsid w:val="000F083C"/>
    <w:rPr>
      <w:rFonts w:ascii="Aptos" w:hAnsi="Aptos"/>
      <w:i/>
      <w:iCs/>
      <w:color w:val="433E73" w:themeColor="text1" w:themeTint="BF"/>
    </w:rPr>
  </w:style>
  <w:style w:type="character" w:styleId="IntenseEmphasis">
    <w:name w:val="Intense Emphasis"/>
    <w:basedOn w:val="DefaultParagraphFont"/>
    <w:uiPriority w:val="21"/>
    <w:qFormat/>
    <w:rsid w:val="000F083C"/>
    <w:rPr>
      <w:rFonts w:ascii="Aptos" w:hAnsi="Aptos"/>
      <w:i/>
      <w:iCs/>
      <w:color w:val="F26549" w:themeColor="accent1"/>
    </w:rPr>
  </w:style>
  <w:style w:type="character" w:styleId="SubtleReference">
    <w:name w:val="Subtle Reference"/>
    <w:basedOn w:val="DefaultParagraphFont"/>
    <w:uiPriority w:val="31"/>
    <w:rsid w:val="000F083C"/>
    <w:rPr>
      <w:rFonts w:ascii="Aptos" w:hAnsi="Aptos"/>
      <w:smallCaps/>
      <w:color w:val="544D91" w:themeColor="text1" w:themeTint="A5"/>
    </w:rPr>
  </w:style>
  <w:style w:type="character" w:styleId="IntenseReference">
    <w:name w:val="Intense Reference"/>
    <w:basedOn w:val="DefaultParagraphFont"/>
    <w:uiPriority w:val="32"/>
    <w:rsid w:val="00286A4B"/>
    <w:rPr>
      <w:rFonts w:ascii="Aptos" w:hAnsi="Aptos"/>
      <w:b w:val="0"/>
      <w:bCs/>
      <w:smallCaps/>
      <w:color w:val="F26549" w:themeColor="accent1"/>
      <w:spacing w:val="5"/>
    </w:rPr>
  </w:style>
  <w:style w:type="paragraph" w:styleId="TOCHeading">
    <w:name w:val="TOC Heading"/>
    <w:basedOn w:val="Heading1"/>
    <w:next w:val="Normal"/>
    <w:uiPriority w:val="39"/>
    <w:unhideWhenUsed/>
    <w:qFormat/>
    <w:rsid w:val="00C37BBE"/>
    <w:pPr>
      <w:keepLines/>
      <w:spacing w:line="259" w:lineRule="auto"/>
      <w:outlineLvl w:val="9"/>
    </w:pPr>
    <w:rPr>
      <w:rFonts w:cstheme="majorBidi"/>
      <w:color w:val="1E13A6" w:themeColor="accent2"/>
    </w:rPr>
  </w:style>
  <w:style w:type="table" w:styleId="ListTable3">
    <w:name w:val="List Table 3"/>
    <w:basedOn w:val="TableNormal"/>
    <w:uiPriority w:val="48"/>
    <w:rsid w:val="00742EE4"/>
    <w:rPr>
      <w:rFonts w:ascii="Jost" w:hAnsi="Jost"/>
      <w:lang w:eastAsia="ja-JP"/>
    </w:rPr>
    <w:tblPr>
      <w:tblStyleRowBandSize w:val="1"/>
      <w:tblStyleColBandSize w:val="1"/>
      <w:tblBorders>
        <w:top w:val="single" w:sz="4" w:space="0" w:color="292647" w:themeColor="text1" w:themeTint="E6"/>
        <w:left w:val="single" w:sz="4" w:space="0" w:color="292647" w:themeColor="text1" w:themeTint="E6"/>
        <w:bottom w:val="single" w:sz="4" w:space="0" w:color="292647" w:themeColor="text1" w:themeTint="E6"/>
        <w:right w:val="single" w:sz="4" w:space="0" w:color="292647" w:themeColor="text1" w:themeTint="E6"/>
        <w:insideH w:val="single" w:sz="4" w:space="0" w:color="292647" w:themeColor="text1" w:themeTint="E6"/>
        <w:insideV w:val="single" w:sz="4" w:space="0" w:color="292647" w:themeColor="text1" w:themeTint="E6"/>
      </w:tblBorders>
    </w:tblPr>
    <w:tcPr>
      <w:shd w:val="clear" w:color="auto" w:fill="auto"/>
    </w:tcPr>
    <w:tblStylePr w:type="firstRow">
      <w:rPr>
        <w:b/>
        <w:bCs/>
        <w:color w:val="F6F6F7" w:themeColor="background1"/>
      </w:rPr>
      <w:tblPr/>
      <w:tcPr>
        <w:shd w:val="clear" w:color="auto" w:fill="292647" w:themeFill="text1" w:themeFillTint="E6"/>
      </w:tcPr>
    </w:tblStylePr>
    <w:tblStylePr w:type="lastRow">
      <w:rPr>
        <w:b/>
        <w:bCs/>
      </w:rPr>
      <w:tblPr/>
      <w:tcPr>
        <w:tcBorders>
          <w:top w:val="double" w:sz="4" w:space="0" w:color="19172B" w:themeColor="text1"/>
        </w:tcBorders>
        <w:shd w:val="clear" w:color="auto" w:fill="F6F6F7" w:themeFill="background1"/>
      </w:tcPr>
    </w:tblStylePr>
    <w:tblStylePr w:type="firstCol">
      <w:rPr>
        <w:b/>
        <w:bCs/>
      </w:rPr>
      <w:tblPr/>
      <w:tcPr>
        <w:tcBorders>
          <w:right w:val="nil"/>
        </w:tcBorders>
        <w:shd w:val="clear" w:color="auto" w:fill="F6F6F7" w:themeFill="background1"/>
      </w:tcPr>
    </w:tblStylePr>
    <w:tblStylePr w:type="lastCol">
      <w:rPr>
        <w:b/>
        <w:bCs/>
      </w:rPr>
      <w:tblPr/>
      <w:tcPr>
        <w:tcBorders>
          <w:left w:val="nil"/>
        </w:tcBorders>
        <w:shd w:val="clear" w:color="auto" w:fill="F6F6F7" w:themeFill="background1"/>
      </w:tcPr>
    </w:tblStylePr>
    <w:tblStylePr w:type="band1Vert">
      <w:tblPr/>
      <w:tcPr>
        <w:tcBorders>
          <w:left w:val="single" w:sz="4" w:space="0" w:color="19172B" w:themeColor="text1"/>
          <w:right w:val="single" w:sz="4" w:space="0" w:color="19172B" w:themeColor="text1"/>
        </w:tcBorders>
      </w:tcPr>
    </w:tblStylePr>
    <w:tblStylePr w:type="band1Horz">
      <w:tblPr/>
      <w:tcPr>
        <w:tcBorders>
          <w:top w:val="single" w:sz="4" w:space="0" w:color="19172B" w:themeColor="text1"/>
          <w:bottom w:val="single" w:sz="4" w:space="0" w:color="19172B"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172B" w:themeColor="text1"/>
          <w:left w:val="nil"/>
        </w:tcBorders>
      </w:tcPr>
    </w:tblStylePr>
    <w:tblStylePr w:type="swCell">
      <w:tblPr/>
      <w:tcPr>
        <w:tcBorders>
          <w:top w:val="double" w:sz="4" w:space="0" w:color="19172B" w:themeColor="text1"/>
          <w:right w:val="nil"/>
        </w:tcBorders>
      </w:tcPr>
    </w:tblStylePr>
  </w:style>
  <w:style w:type="table" w:styleId="ListTable4-Accent1">
    <w:name w:val="List Table 4 Accent 1"/>
    <w:basedOn w:val="TableNormal"/>
    <w:uiPriority w:val="49"/>
    <w:rsid w:val="00742EE4"/>
    <w:rPr>
      <w:lang w:eastAsia="ja-JP"/>
    </w:rPr>
    <w:tblPr>
      <w:tblStyleRowBandSize w:val="1"/>
      <w:tblStyleColBandSize w:val="1"/>
      <w:tblBorders>
        <w:top w:val="single" w:sz="4" w:space="0" w:color="F7A291" w:themeColor="accent1" w:themeTint="99"/>
        <w:left w:val="single" w:sz="4" w:space="0" w:color="F7A291" w:themeColor="accent1" w:themeTint="99"/>
        <w:bottom w:val="single" w:sz="4" w:space="0" w:color="F7A291" w:themeColor="accent1" w:themeTint="99"/>
        <w:right w:val="single" w:sz="4" w:space="0" w:color="F7A291" w:themeColor="accent1" w:themeTint="99"/>
        <w:insideH w:val="single" w:sz="4" w:space="0" w:color="F7A291" w:themeColor="accent1" w:themeTint="99"/>
      </w:tblBorders>
    </w:tblPr>
    <w:tblStylePr w:type="firstRow">
      <w:rPr>
        <w:b/>
        <w:bCs/>
        <w:color w:val="F6F6F7" w:themeColor="background1"/>
      </w:rPr>
      <w:tblPr/>
      <w:tcPr>
        <w:tcBorders>
          <w:top w:val="single" w:sz="4" w:space="0" w:color="F26549" w:themeColor="accent1"/>
          <w:left w:val="single" w:sz="4" w:space="0" w:color="F26549" w:themeColor="accent1"/>
          <w:bottom w:val="single" w:sz="4" w:space="0" w:color="F26549" w:themeColor="accent1"/>
          <w:right w:val="single" w:sz="4" w:space="0" w:color="F26549" w:themeColor="accent1"/>
          <w:insideH w:val="nil"/>
        </w:tcBorders>
        <w:shd w:val="clear" w:color="auto" w:fill="F26549" w:themeFill="accent1"/>
      </w:tcPr>
    </w:tblStylePr>
    <w:tblStylePr w:type="lastRow">
      <w:rPr>
        <w:b/>
        <w:bCs/>
      </w:rPr>
      <w:tblPr/>
      <w:tcPr>
        <w:tcBorders>
          <w:top w:val="double" w:sz="4" w:space="0" w:color="F7A291" w:themeColor="accent1" w:themeTint="99"/>
        </w:tcBorders>
      </w:tcPr>
    </w:tblStylePr>
    <w:tblStylePr w:type="firstCol">
      <w:rPr>
        <w:b/>
        <w:bCs/>
      </w:rPr>
    </w:tblStylePr>
    <w:tblStylePr w:type="lastCol">
      <w:rPr>
        <w:b/>
        <w:bCs/>
      </w:rPr>
    </w:tblStylePr>
    <w:tblStylePr w:type="band1Vert">
      <w:tblPr/>
      <w:tcPr>
        <w:shd w:val="clear" w:color="auto" w:fill="FCE0DA" w:themeFill="accent1" w:themeFillTint="33"/>
      </w:tcPr>
    </w:tblStylePr>
    <w:tblStylePr w:type="band1Horz">
      <w:tblPr/>
      <w:tcPr>
        <w:shd w:val="clear" w:color="auto" w:fill="FCE0DA" w:themeFill="accent1" w:themeFillTint="33"/>
      </w:tcPr>
    </w:tblStylePr>
  </w:style>
  <w:style w:type="table" w:styleId="ListTable3-Accent2">
    <w:name w:val="List Table 3 Accent 2"/>
    <w:basedOn w:val="TableNormal"/>
    <w:uiPriority w:val="48"/>
    <w:rsid w:val="00742EE4"/>
    <w:rPr>
      <w:lang w:eastAsia="ja-JP"/>
    </w:rPr>
    <w:tblPr>
      <w:tblStyleRowBandSize w:val="1"/>
      <w:tblStyleColBandSize w:val="1"/>
      <w:tblBorders>
        <w:top w:val="single" w:sz="4" w:space="0" w:color="1E13A6" w:themeColor="accent2"/>
        <w:left w:val="single" w:sz="4" w:space="0" w:color="1E13A6" w:themeColor="accent2"/>
        <w:bottom w:val="single" w:sz="4" w:space="0" w:color="1E13A6" w:themeColor="accent2"/>
        <w:right w:val="single" w:sz="4" w:space="0" w:color="1E13A6" w:themeColor="accent2"/>
      </w:tblBorders>
    </w:tblPr>
    <w:tblStylePr w:type="firstRow">
      <w:rPr>
        <w:b/>
        <w:bCs/>
        <w:color w:val="F6F6F7" w:themeColor="background1"/>
      </w:rPr>
      <w:tblPr/>
      <w:tcPr>
        <w:shd w:val="clear" w:color="auto" w:fill="1E13A6" w:themeFill="accent2"/>
      </w:tcPr>
    </w:tblStylePr>
    <w:tblStylePr w:type="lastRow">
      <w:rPr>
        <w:b/>
        <w:bCs/>
      </w:rPr>
      <w:tblPr/>
      <w:tcPr>
        <w:tcBorders>
          <w:top w:val="double" w:sz="4" w:space="0" w:color="1E13A6" w:themeColor="accent2"/>
        </w:tcBorders>
        <w:shd w:val="clear" w:color="auto" w:fill="F6F6F7" w:themeFill="background1"/>
      </w:tcPr>
    </w:tblStylePr>
    <w:tblStylePr w:type="firstCol">
      <w:rPr>
        <w:b/>
        <w:bCs/>
      </w:rPr>
      <w:tblPr/>
      <w:tcPr>
        <w:tcBorders>
          <w:right w:val="nil"/>
        </w:tcBorders>
        <w:shd w:val="clear" w:color="auto" w:fill="F6F6F7" w:themeFill="background1"/>
      </w:tcPr>
    </w:tblStylePr>
    <w:tblStylePr w:type="lastCol">
      <w:rPr>
        <w:b/>
        <w:bCs/>
      </w:rPr>
      <w:tblPr/>
      <w:tcPr>
        <w:tcBorders>
          <w:left w:val="nil"/>
        </w:tcBorders>
        <w:shd w:val="clear" w:color="auto" w:fill="F6F6F7" w:themeFill="background1"/>
      </w:tcPr>
    </w:tblStylePr>
    <w:tblStylePr w:type="band1Vert">
      <w:tblPr/>
      <w:tcPr>
        <w:tcBorders>
          <w:left w:val="single" w:sz="4" w:space="0" w:color="1E13A6" w:themeColor="accent2"/>
          <w:right w:val="single" w:sz="4" w:space="0" w:color="1E13A6" w:themeColor="accent2"/>
        </w:tcBorders>
      </w:tcPr>
    </w:tblStylePr>
    <w:tblStylePr w:type="band1Horz">
      <w:tblPr/>
      <w:tcPr>
        <w:tcBorders>
          <w:top w:val="single" w:sz="4" w:space="0" w:color="1E13A6" w:themeColor="accent2"/>
          <w:bottom w:val="single" w:sz="4" w:space="0" w:color="1E13A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E13A6" w:themeColor="accent2"/>
          <w:left w:val="nil"/>
        </w:tcBorders>
      </w:tcPr>
    </w:tblStylePr>
    <w:tblStylePr w:type="swCell">
      <w:tblPr/>
      <w:tcPr>
        <w:tcBorders>
          <w:top w:val="double" w:sz="4" w:space="0" w:color="1E13A6" w:themeColor="accent2"/>
          <w:right w:val="nil"/>
        </w:tcBorders>
      </w:tcPr>
    </w:tblStylePr>
  </w:style>
  <w:style w:type="table" w:styleId="ListTable6Colorful-Accent2">
    <w:name w:val="List Table 6 Colorful Accent 2"/>
    <w:basedOn w:val="TableNormal"/>
    <w:uiPriority w:val="51"/>
    <w:rsid w:val="00742EE4"/>
    <w:rPr>
      <w:color w:val="160E7C" w:themeColor="accent2" w:themeShade="BF"/>
      <w:lang w:eastAsia="ja-JP"/>
    </w:rPr>
    <w:tblPr>
      <w:tblStyleRowBandSize w:val="1"/>
      <w:tblStyleColBandSize w:val="1"/>
      <w:tblBorders>
        <w:top w:val="single" w:sz="4" w:space="0" w:color="1E13A6" w:themeColor="accent2"/>
        <w:bottom w:val="single" w:sz="4" w:space="0" w:color="1E13A6" w:themeColor="accent2"/>
      </w:tblBorders>
    </w:tblPr>
    <w:tblStylePr w:type="firstRow">
      <w:rPr>
        <w:b/>
        <w:bCs/>
      </w:rPr>
      <w:tblPr/>
      <w:tcPr>
        <w:tcBorders>
          <w:bottom w:val="single" w:sz="4" w:space="0" w:color="1E13A6" w:themeColor="accent2"/>
        </w:tcBorders>
      </w:tcPr>
    </w:tblStylePr>
    <w:tblStylePr w:type="lastRow">
      <w:rPr>
        <w:b/>
        <w:bCs/>
      </w:rPr>
      <w:tblPr/>
      <w:tcPr>
        <w:tcBorders>
          <w:top w:val="double" w:sz="4" w:space="0" w:color="1E13A6" w:themeColor="accent2"/>
        </w:tcBorders>
      </w:tcPr>
    </w:tblStylePr>
    <w:tblStylePr w:type="firstCol">
      <w:rPr>
        <w:b/>
        <w:bCs/>
      </w:rPr>
    </w:tblStylePr>
    <w:tblStylePr w:type="lastCol">
      <w:rPr>
        <w:b/>
        <w:bCs/>
      </w:rPr>
    </w:tblStylePr>
    <w:tblStylePr w:type="band1Vert">
      <w:tblPr/>
      <w:tcPr>
        <w:shd w:val="clear" w:color="auto" w:fill="C8C4F8" w:themeFill="accent2" w:themeFillTint="33"/>
      </w:tcPr>
    </w:tblStylePr>
    <w:tblStylePr w:type="band1Horz">
      <w:tblPr/>
      <w:tcPr>
        <w:shd w:val="clear" w:color="auto" w:fill="C8C4F8" w:themeFill="accent2" w:themeFillTint="33"/>
      </w:tcPr>
    </w:tblStylePr>
  </w:style>
  <w:style w:type="table" w:styleId="ListTable3-Accent5">
    <w:name w:val="List Table 3 Accent 5"/>
    <w:basedOn w:val="TableNormal"/>
    <w:uiPriority w:val="48"/>
    <w:rsid w:val="00742EE4"/>
    <w:rPr>
      <w:lang w:eastAsia="ja-JP"/>
    </w:rPr>
    <w:tblPr>
      <w:tblStyleRowBandSize w:val="1"/>
      <w:tblStyleColBandSize w:val="1"/>
      <w:tblBorders>
        <w:top w:val="single" w:sz="4" w:space="0" w:color="FFA35B" w:themeColor="accent5"/>
        <w:left w:val="single" w:sz="4" w:space="0" w:color="FFA35B" w:themeColor="accent5"/>
        <w:bottom w:val="single" w:sz="4" w:space="0" w:color="FFA35B" w:themeColor="accent5"/>
        <w:right w:val="single" w:sz="4" w:space="0" w:color="FFA35B" w:themeColor="accent5"/>
      </w:tblBorders>
    </w:tblPr>
    <w:tblStylePr w:type="firstRow">
      <w:rPr>
        <w:b/>
        <w:bCs/>
        <w:color w:val="F6F6F7" w:themeColor="background1"/>
      </w:rPr>
      <w:tblPr/>
      <w:tcPr>
        <w:shd w:val="clear" w:color="auto" w:fill="FFA35B" w:themeFill="accent5"/>
      </w:tcPr>
    </w:tblStylePr>
    <w:tblStylePr w:type="lastRow">
      <w:rPr>
        <w:b/>
        <w:bCs/>
      </w:rPr>
      <w:tblPr/>
      <w:tcPr>
        <w:tcBorders>
          <w:top w:val="double" w:sz="4" w:space="0" w:color="FFA35B" w:themeColor="accent5"/>
        </w:tcBorders>
        <w:shd w:val="clear" w:color="auto" w:fill="F6F6F7" w:themeFill="background1"/>
      </w:tcPr>
    </w:tblStylePr>
    <w:tblStylePr w:type="firstCol">
      <w:rPr>
        <w:b/>
        <w:bCs/>
      </w:rPr>
      <w:tblPr/>
      <w:tcPr>
        <w:tcBorders>
          <w:right w:val="nil"/>
        </w:tcBorders>
        <w:shd w:val="clear" w:color="auto" w:fill="F6F6F7" w:themeFill="background1"/>
      </w:tcPr>
    </w:tblStylePr>
    <w:tblStylePr w:type="lastCol">
      <w:rPr>
        <w:b/>
        <w:bCs/>
      </w:rPr>
      <w:tblPr/>
      <w:tcPr>
        <w:tcBorders>
          <w:left w:val="nil"/>
        </w:tcBorders>
        <w:shd w:val="clear" w:color="auto" w:fill="F6F6F7" w:themeFill="background1"/>
      </w:tcPr>
    </w:tblStylePr>
    <w:tblStylePr w:type="band1Vert">
      <w:tblPr/>
      <w:tcPr>
        <w:tcBorders>
          <w:left w:val="single" w:sz="4" w:space="0" w:color="FFA35B" w:themeColor="accent5"/>
          <w:right w:val="single" w:sz="4" w:space="0" w:color="FFA35B" w:themeColor="accent5"/>
        </w:tcBorders>
      </w:tcPr>
    </w:tblStylePr>
    <w:tblStylePr w:type="band1Horz">
      <w:tblPr/>
      <w:tcPr>
        <w:tcBorders>
          <w:top w:val="single" w:sz="4" w:space="0" w:color="FFA35B" w:themeColor="accent5"/>
          <w:bottom w:val="single" w:sz="4" w:space="0" w:color="FFA35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35B" w:themeColor="accent5"/>
          <w:left w:val="nil"/>
        </w:tcBorders>
      </w:tcPr>
    </w:tblStylePr>
    <w:tblStylePr w:type="swCell">
      <w:tblPr/>
      <w:tcPr>
        <w:tcBorders>
          <w:top w:val="double" w:sz="4" w:space="0" w:color="FFA35B" w:themeColor="accent5"/>
          <w:right w:val="nil"/>
        </w:tcBorders>
      </w:tcPr>
    </w:tblStylePr>
  </w:style>
  <w:style w:type="table" w:styleId="ListTable4-Accent5">
    <w:name w:val="List Table 4 Accent 5"/>
    <w:basedOn w:val="TableNormal"/>
    <w:uiPriority w:val="49"/>
    <w:rsid w:val="00742EE4"/>
    <w:rPr>
      <w:lang w:eastAsia="ja-JP"/>
    </w:rPr>
    <w:tblPr>
      <w:tblStyleRowBandSize w:val="1"/>
      <w:tblStyleColBandSize w:val="1"/>
      <w:tblBorders>
        <w:top w:val="single" w:sz="4" w:space="0" w:color="FFC79C" w:themeColor="accent5" w:themeTint="99"/>
        <w:left w:val="single" w:sz="4" w:space="0" w:color="FFC79C" w:themeColor="accent5" w:themeTint="99"/>
        <w:bottom w:val="single" w:sz="4" w:space="0" w:color="FFC79C" w:themeColor="accent5" w:themeTint="99"/>
        <w:right w:val="single" w:sz="4" w:space="0" w:color="FFC79C" w:themeColor="accent5" w:themeTint="99"/>
        <w:insideH w:val="single" w:sz="4" w:space="0" w:color="FFC79C" w:themeColor="accent5" w:themeTint="99"/>
      </w:tblBorders>
    </w:tblPr>
    <w:tblStylePr w:type="firstRow">
      <w:rPr>
        <w:b/>
        <w:bCs/>
        <w:color w:val="F6F6F7" w:themeColor="background1"/>
      </w:rPr>
      <w:tblPr/>
      <w:tcPr>
        <w:tcBorders>
          <w:top w:val="single" w:sz="4" w:space="0" w:color="FFA35B" w:themeColor="accent5"/>
          <w:left w:val="single" w:sz="4" w:space="0" w:color="FFA35B" w:themeColor="accent5"/>
          <w:bottom w:val="single" w:sz="4" w:space="0" w:color="FFA35B" w:themeColor="accent5"/>
          <w:right w:val="single" w:sz="4" w:space="0" w:color="FFA35B" w:themeColor="accent5"/>
          <w:insideH w:val="nil"/>
        </w:tcBorders>
        <w:shd w:val="clear" w:color="auto" w:fill="FFA35B" w:themeFill="accent5"/>
      </w:tcPr>
    </w:tblStylePr>
    <w:tblStylePr w:type="lastRow">
      <w:rPr>
        <w:b/>
        <w:bCs/>
      </w:rPr>
      <w:tblPr/>
      <w:tcPr>
        <w:tcBorders>
          <w:top w:val="double" w:sz="4" w:space="0" w:color="FFC79C" w:themeColor="accent5" w:themeTint="99"/>
        </w:tcBorders>
      </w:tcPr>
    </w:tblStylePr>
    <w:tblStylePr w:type="firstCol">
      <w:rPr>
        <w:b/>
        <w:bCs/>
      </w:rPr>
    </w:tblStylePr>
    <w:tblStylePr w:type="lastCol">
      <w:rPr>
        <w:b/>
        <w:bCs/>
      </w:rPr>
    </w:tblStylePr>
    <w:tblStylePr w:type="band1Vert">
      <w:tblPr/>
      <w:tcPr>
        <w:shd w:val="clear" w:color="auto" w:fill="FFECDE" w:themeFill="accent5" w:themeFillTint="33"/>
      </w:tcPr>
    </w:tblStylePr>
    <w:tblStylePr w:type="band1Horz">
      <w:tblPr/>
      <w:tcPr>
        <w:shd w:val="clear" w:color="auto" w:fill="FFECDE" w:themeFill="accent5" w:themeFillTint="33"/>
      </w:tcPr>
    </w:tblStylePr>
  </w:style>
  <w:style w:type="character" w:styleId="UnresolvedMention">
    <w:name w:val="Unresolved Mention"/>
    <w:basedOn w:val="DefaultParagraphFont"/>
    <w:uiPriority w:val="99"/>
    <w:semiHidden/>
    <w:unhideWhenUsed/>
    <w:rsid w:val="00742EE4"/>
    <w:rPr>
      <w:color w:val="605E5C"/>
      <w:shd w:val="clear" w:color="auto" w:fill="E1DFDD"/>
    </w:rPr>
  </w:style>
  <w:style w:type="paragraph" w:customStyle="1" w:styleId="AEG-BulletList">
    <w:name w:val="AEG - Bullet List"/>
    <w:basedOn w:val="Normal"/>
    <w:link w:val="AEG-BulletListChar"/>
    <w:qFormat/>
    <w:rsid w:val="00F84204"/>
    <w:pPr>
      <w:numPr>
        <w:numId w:val="2"/>
      </w:numPr>
    </w:pPr>
    <w:rPr>
      <w:rFonts w:cs="Calibri Light"/>
      <w:kern w:val="20"/>
      <w:szCs w:val="18"/>
    </w:rPr>
  </w:style>
  <w:style w:type="character" w:customStyle="1" w:styleId="AEG-BulletListChar">
    <w:name w:val="AEG - Bullet List Char"/>
    <w:basedOn w:val="DefaultParagraphFont"/>
    <w:link w:val="AEG-BulletList"/>
    <w:rsid w:val="00F84204"/>
    <w:rPr>
      <w:rFonts w:cs="Calibri Light"/>
      <w:kern w:val="20"/>
      <w:szCs w:val="18"/>
    </w:rPr>
  </w:style>
  <w:style w:type="table" w:styleId="GridTable4-Accent4">
    <w:name w:val="Grid Table 4 Accent 4"/>
    <w:basedOn w:val="TableNormal"/>
    <w:uiPriority w:val="49"/>
    <w:rsid w:val="00416E7D"/>
    <w:pPr>
      <w:spacing w:after="0"/>
    </w:pPr>
    <w:tblPr>
      <w:tblStyleRowBandSize w:val="1"/>
      <w:tblStyleColBandSize w:val="1"/>
      <w:tblBorders>
        <w:top w:val="single" w:sz="4" w:space="0" w:color="A98CE3" w:themeColor="accent4" w:themeTint="99"/>
        <w:left w:val="single" w:sz="4" w:space="0" w:color="A98CE3" w:themeColor="accent4" w:themeTint="99"/>
        <w:bottom w:val="single" w:sz="4" w:space="0" w:color="A98CE3" w:themeColor="accent4" w:themeTint="99"/>
        <w:right w:val="single" w:sz="4" w:space="0" w:color="A98CE3" w:themeColor="accent4" w:themeTint="99"/>
        <w:insideH w:val="single" w:sz="4" w:space="0" w:color="A98CE3" w:themeColor="accent4" w:themeTint="99"/>
        <w:insideV w:val="single" w:sz="4" w:space="0" w:color="A98CE3" w:themeColor="accent4" w:themeTint="99"/>
      </w:tblBorders>
    </w:tblPr>
    <w:tblStylePr w:type="firstRow">
      <w:rPr>
        <w:b/>
        <w:bCs/>
        <w:color w:val="F6F6F7" w:themeColor="background1"/>
      </w:rPr>
      <w:tblPr/>
      <w:tcPr>
        <w:tcBorders>
          <w:top w:val="single" w:sz="4" w:space="0" w:color="7140D1" w:themeColor="accent4"/>
          <w:left w:val="single" w:sz="4" w:space="0" w:color="7140D1" w:themeColor="accent4"/>
          <w:bottom w:val="single" w:sz="4" w:space="0" w:color="7140D1" w:themeColor="accent4"/>
          <w:right w:val="single" w:sz="4" w:space="0" w:color="7140D1" w:themeColor="accent4"/>
          <w:insideH w:val="nil"/>
          <w:insideV w:val="nil"/>
        </w:tcBorders>
        <w:shd w:val="clear" w:color="auto" w:fill="7140D1" w:themeFill="accent4"/>
      </w:tcPr>
    </w:tblStylePr>
    <w:tblStylePr w:type="lastRow">
      <w:rPr>
        <w:b/>
        <w:bCs/>
      </w:rPr>
      <w:tblPr/>
      <w:tcPr>
        <w:tcBorders>
          <w:top w:val="double" w:sz="4" w:space="0" w:color="7140D1" w:themeColor="accent4"/>
        </w:tcBorders>
      </w:tcPr>
    </w:tblStylePr>
    <w:tblStylePr w:type="firstCol">
      <w:rPr>
        <w:b/>
        <w:bCs/>
      </w:rPr>
    </w:tblStylePr>
    <w:tblStylePr w:type="lastCol">
      <w:rPr>
        <w:b/>
        <w:bCs/>
      </w:rPr>
    </w:tblStylePr>
    <w:tblStylePr w:type="band1Vert">
      <w:tblPr/>
      <w:tcPr>
        <w:shd w:val="clear" w:color="auto" w:fill="E2D8F5" w:themeFill="accent4" w:themeFillTint="33"/>
      </w:tcPr>
    </w:tblStylePr>
    <w:tblStylePr w:type="band1Horz">
      <w:tblPr/>
      <w:tcPr>
        <w:shd w:val="clear" w:color="auto" w:fill="E2D8F5" w:themeFill="accent4" w:themeFillTint="33"/>
      </w:tcPr>
    </w:tblStylePr>
  </w:style>
  <w:style w:type="table" w:styleId="PlainTable4">
    <w:name w:val="Plain Table 4"/>
    <w:basedOn w:val="TableNormal"/>
    <w:uiPriority w:val="44"/>
    <w:rsid w:val="00A72D78"/>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8EB" w:themeFill="background1" w:themeFillShade="F2"/>
      </w:tcPr>
    </w:tblStylePr>
    <w:tblStylePr w:type="band1Horz">
      <w:tblPr/>
      <w:tcPr>
        <w:shd w:val="clear" w:color="auto" w:fill="E8E8EB" w:themeFill="background1" w:themeFillShade="F2"/>
      </w:tcPr>
    </w:tblStylePr>
  </w:style>
  <w:style w:type="table" w:styleId="GridTable1Light-Accent3">
    <w:name w:val="Grid Table 1 Light Accent 3"/>
    <w:basedOn w:val="TableNormal"/>
    <w:uiPriority w:val="46"/>
    <w:rsid w:val="00A72D78"/>
    <w:pPr>
      <w:spacing w:after="0"/>
    </w:pPr>
    <w:tblPr>
      <w:tblStyleRowBandSize w:val="1"/>
      <w:tblStyleColBandSize w:val="1"/>
      <w:tblBorders>
        <w:top w:val="single" w:sz="4" w:space="0" w:color="99E0FF" w:themeColor="accent3" w:themeTint="66"/>
        <w:left w:val="single" w:sz="4" w:space="0" w:color="99E0FF" w:themeColor="accent3" w:themeTint="66"/>
        <w:bottom w:val="single" w:sz="4" w:space="0" w:color="99E0FF" w:themeColor="accent3" w:themeTint="66"/>
        <w:right w:val="single" w:sz="4" w:space="0" w:color="99E0FF" w:themeColor="accent3" w:themeTint="66"/>
        <w:insideH w:val="single" w:sz="4" w:space="0" w:color="99E0FF" w:themeColor="accent3" w:themeTint="66"/>
        <w:insideV w:val="single" w:sz="4" w:space="0" w:color="99E0FF" w:themeColor="accent3" w:themeTint="66"/>
      </w:tblBorders>
    </w:tblPr>
    <w:tblStylePr w:type="firstRow">
      <w:rPr>
        <w:b/>
        <w:bCs/>
      </w:rPr>
      <w:tblPr/>
      <w:tcPr>
        <w:tcBorders>
          <w:bottom w:val="single" w:sz="12" w:space="0" w:color="66D1FF" w:themeColor="accent3" w:themeTint="99"/>
        </w:tcBorders>
      </w:tcPr>
    </w:tblStylePr>
    <w:tblStylePr w:type="lastRow">
      <w:rPr>
        <w:b/>
        <w:bCs/>
      </w:rPr>
      <w:tblPr/>
      <w:tcPr>
        <w:tcBorders>
          <w:top w:val="double" w:sz="2" w:space="0" w:color="66D1FF" w:themeColor="accent3" w:themeTint="99"/>
        </w:tcBorders>
      </w:tcPr>
    </w:tblStylePr>
    <w:tblStylePr w:type="firstCol">
      <w:rPr>
        <w:b/>
        <w:bCs/>
      </w:rPr>
    </w:tblStylePr>
    <w:tblStylePr w:type="lastCol">
      <w:rPr>
        <w:b/>
        <w:bCs/>
      </w:rPr>
    </w:tblStylePr>
  </w:style>
  <w:style w:type="paragraph" w:styleId="ListParagraph">
    <w:name w:val="List Paragraph"/>
    <w:basedOn w:val="Normal"/>
    <w:uiPriority w:val="34"/>
    <w:qFormat/>
    <w:rsid w:val="005E736A"/>
    <w:pPr>
      <w:spacing w:before="40" w:after="120"/>
      <w:ind w:left="720"/>
      <w:contextualSpacing/>
    </w:pPr>
  </w:style>
  <w:style w:type="table" w:customStyle="1" w:styleId="AEGDarknon-banded">
    <w:name w:val="AEG Dark (non-banded)"/>
    <w:basedOn w:val="TableNormal"/>
    <w:uiPriority w:val="99"/>
    <w:rsid w:val="008C1546"/>
    <w:pPr>
      <w:spacing w:after="0"/>
      <w:jc w:val="right"/>
    </w:pPr>
    <w:rPr>
      <w:kern w:val="2"/>
      <w:sz w:val="20"/>
    </w:rPr>
    <w:tblPr>
      <w:tblStyleRowBandSize w:val="1"/>
      <w:tblBorders>
        <w:bottom w:val="single" w:sz="4" w:space="0" w:color="A98CE3"/>
        <w:insideH w:val="single" w:sz="4" w:space="0" w:color="A98CE3"/>
      </w:tblBorders>
    </w:tblPr>
    <w:tcPr>
      <w:shd w:val="clear" w:color="auto" w:fill="auto"/>
      <w:vAlign w:val="center"/>
    </w:tcPr>
    <w:tblStylePr w:type="firstRow">
      <w:pPr>
        <w:jc w:val="center"/>
      </w:pPr>
      <w:rPr>
        <w:rFonts w:ascii="Jost" w:hAnsi="Jost"/>
        <w:color w:val="FFFFFF"/>
      </w:rPr>
      <w:tblPr/>
      <w:tcPr>
        <w:tcBorders>
          <w:top w:val="nil"/>
          <w:left w:val="nil"/>
          <w:bottom w:val="nil"/>
          <w:right w:val="nil"/>
          <w:insideH w:val="nil"/>
          <w:insideV w:val="nil"/>
          <w:tl2br w:val="nil"/>
          <w:tr2bl w:val="nil"/>
        </w:tcBorders>
        <w:shd w:val="clear" w:color="auto" w:fill="444C5E"/>
      </w:tcPr>
    </w:tblStylePr>
    <w:tblStylePr w:type="lastRow">
      <w:rPr>
        <w:rFonts w:ascii="Century Gothic" w:hAnsi="Century Gothic"/>
      </w:rPr>
    </w:tblStylePr>
    <w:tblStylePr w:type="firstCol">
      <w:pPr>
        <w:jc w:val="left"/>
      </w:pPr>
    </w:tblStylePr>
    <w:tblStylePr w:type="band2Horz">
      <w:tblPr/>
      <w:tcPr>
        <w:tcBorders>
          <w:top w:val="nil"/>
          <w:left w:val="nil"/>
          <w:bottom w:val="nil"/>
          <w:right w:val="nil"/>
          <w:insideH w:val="nil"/>
          <w:insideV w:val="nil"/>
          <w:tl2br w:val="nil"/>
          <w:tr2bl w:val="nil"/>
        </w:tcBorders>
        <w:shd w:val="clear" w:color="auto" w:fill="auto"/>
      </w:tcPr>
    </w:tblStylePr>
  </w:style>
  <w:style w:type="table" w:customStyle="1" w:styleId="AEG-DarkBanded">
    <w:name w:val="AEG - Dark Banded"/>
    <w:basedOn w:val="TableNormal"/>
    <w:uiPriority w:val="99"/>
    <w:rsid w:val="000763FB"/>
    <w:pPr>
      <w:spacing w:after="0"/>
      <w:jc w:val="right"/>
    </w:pPr>
    <w:rPr>
      <w:rFonts w:ascii="Aptos" w:hAnsi="Aptos"/>
      <w:kern w:val="2"/>
      <w:sz w:val="20"/>
    </w:rPr>
    <w:tblPr>
      <w:tblStyleRowBandSize w:val="1"/>
      <w:tblStyleColBandSize w:val="1"/>
      <w:tblBorders>
        <w:bottom w:val="single" w:sz="4" w:space="0" w:color="816BF6"/>
        <w:insideH w:val="single" w:sz="4" w:space="0" w:color="A98CE3"/>
      </w:tblBorders>
    </w:tblPr>
    <w:tcPr>
      <w:vAlign w:val="center"/>
    </w:tcPr>
    <w:tblStylePr w:type="firstRow">
      <w:pPr>
        <w:jc w:val="center"/>
      </w:pPr>
      <w:rPr>
        <w:rFonts w:ascii="Jost" w:hAnsi="Jost"/>
        <w:b/>
        <w:color w:val="FFFFFF"/>
        <w:sz w:val="20"/>
      </w:rPr>
      <w:tblPr/>
      <w:tcPr>
        <w:tcBorders>
          <w:top w:val="nil"/>
          <w:left w:val="nil"/>
          <w:bottom w:val="nil"/>
          <w:right w:val="nil"/>
          <w:insideH w:val="nil"/>
          <w:insideV w:val="nil"/>
          <w:tl2br w:val="nil"/>
          <w:tr2bl w:val="nil"/>
        </w:tcBorders>
        <w:shd w:val="clear" w:color="auto" w:fill="444C5E"/>
      </w:tcPr>
    </w:tblStylePr>
    <w:tblStylePr w:type="lastRow">
      <w:rPr>
        <w:rFonts w:ascii="Jost" w:hAnsi="Jost"/>
        <w:b/>
      </w:rPr>
    </w:tblStylePr>
    <w:tblStylePr w:type="firstCol">
      <w:pPr>
        <w:jc w:val="left"/>
      </w:pPr>
    </w:tblStylePr>
    <w:tblStylePr w:type="band2Horz">
      <w:tblPr/>
      <w:tcPr>
        <w:tcBorders>
          <w:top w:val="nil"/>
          <w:left w:val="nil"/>
          <w:bottom w:val="nil"/>
          <w:right w:val="nil"/>
          <w:insideH w:val="nil"/>
          <w:insideV w:val="nil"/>
          <w:tl2br w:val="nil"/>
          <w:tr2bl w:val="nil"/>
        </w:tcBorders>
        <w:shd w:val="clear" w:color="auto" w:fill="F1F1F3"/>
      </w:tcPr>
    </w:tblStylePr>
  </w:style>
  <w:style w:type="table" w:customStyle="1" w:styleId="AEGLight1">
    <w:name w:val="AEG Light 1"/>
    <w:basedOn w:val="TableNormal"/>
    <w:uiPriority w:val="99"/>
    <w:rsid w:val="006D6048"/>
    <w:pPr>
      <w:spacing w:after="0"/>
      <w:jc w:val="right"/>
    </w:pPr>
    <w:rPr>
      <w:kern w:val="2"/>
      <w:sz w:val="20"/>
    </w:rPr>
    <w:tblPr>
      <w:tblStyleRowBandSize w:val="1"/>
      <w:tblBorders>
        <w:bottom w:val="single" w:sz="4" w:space="0" w:color="816BF6"/>
        <w:insideH w:val="single" w:sz="4" w:space="0" w:color="816BF6"/>
      </w:tblBorders>
    </w:tblPr>
    <w:tcPr>
      <w:vAlign w:val="center"/>
    </w:tcPr>
    <w:tblStylePr w:type="firstRow">
      <w:pPr>
        <w:jc w:val="center"/>
      </w:pPr>
      <w:tblPr/>
      <w:tcPr>
        <w:tcBorders>
          <w:top w:val="nil"/>
          <w:left w:val="nil"/>
          <w:bottom w:val="nil"/>
          <w:right w:val="nil"/>
          <w:insideH w:val="nil"/>
          <w:insideV w:val="nil"/>
          <w:tl2br w:val="nil"/>
          <w:tr2bl w:val="nil"/>
        </w:tcBorders>
        <w:shd w:val="clear" w:color="auto" w:fill="BEBEC6"/>
      </w:tcPr>
    </w:tblStylePr>
    <w:tblStylePr w:type="lastRow">
      <w:rPr>
        <w:rFonts w:ascii="Century Gothic" w:hAnsi="Century Gothic"/>
      </w:rPr>
    </w:tblStylePr>
    <w:tblStylePr w:type="firstCol">
      <w:pPr>
        <w:jc w:val="left"/>
      </w:pPr>
    </w:tblStylePr>
    <w:tblStylePr w:type="band2Horz">
      <w:tblPr/>
      <w:tcPr>
        <w:tcBorders>
          <w:top w:val="nil"/>
          <w:left w:val="nil"/>
          <w:bottom w:val="nil"/>
          <w:right w:val="nil"/>
          <w:insideH w:val="nil"/>
          <w:insideV w:val="nil"/>
          <w:tl2br w:val="nil"/>
          <w:tr2bl w:val="nil"/>
        </w:tcBorders>
      </w:tcPr>
    </w:tblStylePr>
  </w:style>
  <w:style w:type="table" w:customStyle="1" w:styleId="Style21">
    <w:name w:val="Style21"/>
    <w:basedOn w:val="TableNormal"/>
    <w:uiPriority w:val="99"/>
    <w:rsid w:val="00660FBD"/>
    <w:pPr>
      <w:spacing w:after="0"/>
      <w:jc w:val="right"/>
    </w:pPr>
    <w:rPr>
      <w:kern w:val="2"/>
      <w:sz w:val="20"/>
    </w:rPr>
    <w:tblPr>
      <w:tblStyleRowBandSize w:val="1"/>
      <w:tblBorders>
        <w:bottom w:val="single" w:sz="4" w:space="0" w:color="816BF6"/>
        <w:insideH w:val="single" w:sz="4" w:space="0" w:color="A98CE3"/>
      </w:tblBorders>
    </w:tblPr>
    <w:tcPr>
      <w:vAlign w:val="center"/>
    </w:tcPr>
    <w:tblStylePr w:type="firstRow">
      <w:pPr>
        <w:jc w:val="center"/>
      </w:pPr>
      <w:rPr>
        <w:rFonts w:ascii="Century Gothic" w:hAnsi="Century Gothic"/>
        <w:color w:val="auto"/>
      </w:rPr>
      <w:tblPr/>
      <w:tcPr>
        <w:tcBorders>
          <w:top w:val="nil"/>
          <w:left w:val="nil"/>
          <w:bottom w:val="nil"/>
          <w:right w:val="nil"/>
          <w:insideH w:val="nil"/>
          <w:insideV w:val="nil"/>
        </w:tcBorders>
        <w:shd w:val="clear" w:color="auto" w:fill="BEBEC6"/>
      </w:tcPr>
    </w:tblStylePr>
    <w:tblStylePr w:type="lastRow">
      <w:rPr>
        <w:rFonts w:ascii="Century Gothic" w:hAnsi="Century Gothic"/>
      </w:rPr>
    </w:tblStylePr>
    <w:tblStylePr w:type="firstCol">
      <w:pPr>
        <w:jc w:val="left"/>
      </w:pPr>
    </w:tblStylePr>
    <w:tblStylePr w:type="band2Horz">
      <w:tblPr/>
      <w:tcPr>
        <w:tcBorders>
          <w:top w:val="nil"/>
          <w:left w:val="nil"/>
          <w:bottom w:val="nil"/>
          <w:right w:val="nil"/>
          <w:insideH w:val="nil"/>
          <w:insideV w:val="nil"/>
        </w:tcBorders>
        <w:shd w:val="clear" w:color="auto" w:fill="F1F1F3"/>
      </w:tcPr>
    </w:tblStylePr>
  </w:style>
  <w:style w:type="table" w:customStyle="1" w:styleId="AEGBlue1">
    <w:name w:val="AEG Blue 1"/>
    <w:basedOn w:val="TableNormal"/>
    <w:uiPriority w:val="99"/>
    <w:rsid w:val="000F16F7"/>
    <w:pPr>
      <w:spacing w:after="0"/>
      <w:jc w:val="right"/>
    </w:pPr>
    <w:rPr>
      <w:kern w:val="2"/>
      <w:sz w:val="20"/>
    </w:rPr>
    <w:tblPr>
      <w:tblStyleRowBandSize w:val="1"/>
      <w:tblBorders>
        <w:bottom w:val="single" w:sz="4" w:space="0" w:color="BEBEC6"/>
        <w:insideH w:val="single" w:sz="4" w:space="0" w:color="BEBEC6"/>
      </w:tblBorders>
    </w:tblPr>
    <w:tcPr>
      <w:vAlign w:val="center"/>
    </w:tcPr>
    <w:tblStylePr w:type="firstRow">
      <w:pPr>
        <w:jc w:val="center"/>
      </w:pPr>
      <w:rPr>
        <w:rFonts w:ascii="Jost" w:hAnsi="Jost"/>
        <w:color w:val="FFFFFF"/>
      </w:rPr>
      <w:tblPr/>
      <w:tcPr>
        <w:tcBorders>
          <w:top w:val="nil"/>
          <w:left w:val="nil"/>
          <w:bottom w:val="nil"/>
          <w:right w:val="nil"/>
          <w:insideH w:val="nil"/>
          <w:insideV w:val="nil"/>
        </w:tcBorders>
        <w:shd w:val="clear" w:color="auto" w:fill="1E13A6"/>
      </w:tcPr>
    </w:tblStylePr>
    <w:tblStylePr w:type="lastRow">
      <w:rPr>
        <w:rFonts w:ascii="Century Gothic" w:hAnsi="Century Gothic"/>
      </w:rPr>
    </w:tblStylePr>
    <w:tblStylePr w:type="firstCol">
      <w:pPr>
        <w:jc w:val="left"/>
      </w:pPr>
    </w:tblStylePr>
    <w:tblStylePr w:type="band2Horz">
      <w:tblPr/>
      <w:tcPr>
        <w:tcBorders>
          <w:top w:val="nil"/>
          <w:left w:val="nil"/>
          <w:bottom w:val="nil"/>
          <w:right w:val="nil"/>
          <w:insideH w:val="nil"/>
          <w:insideV w:val="nil"/>
        </w:tcBorders>
      </w:tcPr>
    </w:tblStylePr>
  </w:style>
  <w:style w:type="table" w:customStyle="1" w:styleId="AEGBlue2">
    <w:name w:val="AEG Blue 2"/>
    <w:basedOn w:val="TableNormal"/>
    <w:uiPriority w:val="99"/>
    <w:rsid w:val="000F16F7"/>
    <w:pPr>
      <w:spacing w:before="0" w:after="0"/>
      <w:jc w:val="right"/>
    </w:pPr>
    <w:rPr>
      <w:kern w:val="2"/>
      <w:sz w:val="20"/>
    </w:rPr>
    <w:tblPr>
      <w:tblStyleRowBandSize w:val="1"/>
      <w:tblBorders>
        <w:bottom w:val="single" w:sz="4" w:space="0" w:color="BEBEC6"/>
        <w:insideH w:val="single" w:sz="4" w:space="0" w:color="BEBEC6"/>
      </w:tblBorders>
    </w:tblPr>
    <w:tcPr>
      <w:vAlign w:val="center"/>
    </w:tcPr>
    <w:tblStylePr w:type="firstRow">
      <w:pPr>
        <w:jc w:val="center"/>
      </w:pPr>
      <w:rPr>
        <w:rFonts w:ascii="Segoe UI Variable Text" w:hAnsi="Segoe UI Variable Text"/>
        <w:color w:val="FFFFFF"/>
      </w:rPr>
      <w:tblPr/>
      <w:tcPr>
        <w:tcBorders>
          <w:top w:val="nil"/>
          <w:left w:val="nil"/>
          <w:bottom w:val="nil"/>
          <w:right w:val="nil"/>
          <w:insideH w:val="nil"/>
          <w:insideV w:val="nil"/>
        </w:tcBorders>
        <w:shd w:val="clear" w:color="auto" w:fill="1E13A6"/>
      </w:tcPr>
    </w:tblStylePr>
    <w:tblStylePr w:type="lastRow">
      <w:rPr>
        <w:rFonts w:ascii="Segoe UI Variable Text" w:hAnsi="Segoe UI Variable Text"/>
      </w:rPr>
    </w:tblStylePr>
    <w:tblStylePr w:type="firstCol">
      <w:pPr>
        <w:jc w:val="left"/>
      </w:pPr>
    </w:tblStylePr>
    <w:tblStylePr w:type="band2Horz">
      <w:tblPr/>
      <w:tcPr>
        <w:tcBorders>
          <w:top w:val="nil"/>
          <w:left w:val="nil"/>
          <w:bottom w:val="nil"/>
          <w:right w:val="nil"/>
          <w:insideH w:val="nil"/>
          <w:insideV w:val="nil"/>
        </w:tcBorders>
        <w:shd w:val="clear" w:color="auto" w:fill="F1F1F3"/>
      </w:tcPr>
    </w:tblStylePr>
  </w:style>
  <w:style w:type="paragraph" w:styleId="NormalWeb">
    <w:name w:val="Normal (Web)"/>
    <w:basedOn w:val="Normal"/>
    <w:uiPriority w:val="99"/>
    <w:unhideWhenUsed/>
    <w:locked/>
    <w:rsid w:val="00BD2130"/>
    <w:pPr>
      <w:spacing w:before="100" w:beforeAutospacing="1" w:after="100" w:afterAutospacing="1"/>
    </w:pPr>
    <w:rPr>
      <w:rFonts w:ascii="Times New Roman" w:eastAsia="Times New Roman" w:hAnsi="Times New Roman" w:cs="Times New Roman"/>
      <w:sz w:val="24"/>
      <w:szCs w:val="24"/>
    </w:rPr>
  </w:style>
  <w:style w:type="table" w:customStyle="1" w:styleId="AEGOrange1">
    <w:name w:val="AEG Orange 1"/>
    <w:basedOn w:val="TableNormal"/>
    <w:uiPriority w:val="99"/>
    <w:rsid w:val="006D6048"/>
    <w:pPr>
      <w:spacing w:after="0"/>
      <w:jc w:val="right"/>
    </w:pPr>
    <w:rPr>
      <w:kern w:val="2"/>
      <w:sz w:val="20"/>
    </w:rPr>
    <w:tblPr>
      <w:tblStyleRowBandSize w:val="1"/>
      <w:tblBorders>
        <w:bottom w:val="single" w:sz="4" w:space="0" w:color="BEBEC6"/>
        <w:insideH w:val="single" w:sz="4" w:space="0" w:color="BEBEC6"/>
      </w:tblBorders>
    </w:tblPr>
    <w:tcPr>
      <w:vAlign w:val="center"/>
    </w:tcPr>
    <w:tblStylePr w:type="firstRow">
      <w:pPr>
        <w:jc w:val="center"/>
      </w:pPr>
      <w:rPr>
        <w:rFonts w:ascii="Segoe UI Variable Text" w:hAnsi="Segoe UI Variable Text"/>
        <w:color w:val="FFFFFF"/>
      </w:rPr>
      <w:tblPr/>
      <w:tcPr>
        <w:tcBorders>
          <w:top w:val="nil"/>
          <w:left w:val="nil"/>
          <w:bottom w:val="nil"/>
          <w:right w:val="nil"/>
          <w:insideH w:val="nil"/>
          <w:insideV w:val="nil"/>
          <w:tl2br w:val="nil"/>
          <w:tr2bl w:val="nil"/>
        </w:tcBorders>
        <w:shd w:val="clear" w:color="auto" w:fill="F26549"/>
      </w:tcPr>
    </w:tblStylePr>
    <w:tblStylePr w:type="lastRow">
      <w:rPr>
        <w:rFonts w:ascii="Segoe UI Variable Text" w:hAnsi="Segoe UI Variable Text"/>
      </w:rPr>
    </w:tblStylePr>
    <w:tblStylePr w:type="firstCol">
      <w:pPr>
        <w:jc w:val="left"/>
      </w:pPr>
    </w:tblStylePr>
    <w:tblStylePr w:type="band2Horz">
      <w:tblPr/>
      <w:tcPr>
        <w:tcBorders>
          <w:top w:val="nil"/>
          <w:left w:val="nil"/>
          <w:bottom w:val="nil"/>
          <w:right w:val="nil"/>
          <w:insideH w:val="nil"/>
          <w:insideV w:val="nil"/>
          <w:tl2br w:val="nil"/>
          <w:tr2bl w:val="nil"/>
        </w:tcBorders>
      </w:tcPr>
    </w:tblStylePr>
  </w:style>
  <w:style w:type="table" w:customStyle="1" w:styleId="AEGPurple2">
    <w:name w:val="AEG Purple 2"/>
    <w:basedOn w:val="TableNormal"/>
    <w:uiPriority w:val="99"/>
    <w:rsid w:val="00660FBD"/>
    <w:pPr>
      <w:spacing w:after="0"/>
      <w:jc w:val="right"/>
    </w:pPr>
    <w:rPr>
      <w:kern w:val="2"/>
      <w:sz w:val="20"/>
    </w:rPr>
    <w:tblPr>
      <w:tblStyleRowBandSize w:val="1"/>
      <w:tblBorders>
        <w:bottom w:val="single" w:sz="4" w:space="0" w:color="BEBEC6"/>
        <w:insideH w:val="single" w:sz="4" w:space="0" w:color="BEBEC6"/>
      </w:tblBorders>
    </w:tblPr>
    <w:tcPr>
      <w:vAlign w:val="center"/>
    </w:tcPr>
    <w:tblStylePr w:type="firstRow">
      <w:pPr>
        <w:jc w:val="center"/>
      </w:pPr>
      <w:rPr>
        <w:rFonts w:ascii="Segoe UI Variable Text" w:hAnsi="Segoe UI Variable Text"/>
        <w:color w:val="FFFFFF"/>
      </w:rPr>
      <w:tblPr/>
      <w:tcPr>
        <w:tcBorders>
          <w:top w:val="nil"/>
          <w:left w:val="nil"/>
          <w:bottom w:val="nil"/>
          <w:right w:val="nil"/>
          <w:insideH w:val="nil"/>
          <w:insideV w:val="nil"/>
          <w:tl2br w:val="nil"/>
          <w:tr2bl w:val="nil"/>
        </w:tcBorders>
        <w:shd w:val="clear" w:color="auto" w:fill="7140D1"/>
      </w:tcPr>
    </w:tblStylePr>
    <w:tblStylePr w:type="lastRow">
      <w:rPr>
        <w:rFonts w:ascii="Segoe UI Variable Text" w:hAnsi="Segoe UI Variable Text"/>
      </w:rPr>
    </w:tblStylePr>
    <w:tblStylePr w:type="firstCol">
      <w:pPr>
        <w:jc w:val="left"/>
      </w:pPr>
      <w:rPr>
        <w:rFonts w:ascii="Segoe UI Variable Display" w:hAnsi="Segoe UI Variable Display"/>
      </w:rPr>
    </w:tblStylePr>
    <w:tblStylePr w:type="band2Horz">
      <w:tblPr/>
      <w:tcPr>
        <w:tcBorders>
          <w:top w:val="nil"/>
          <w:left w:val="nil"/>
          <w:bottom w:val="nil"/>
          <w:right w:val="nil"/>
          <w:insideH w:val="nil"/>
          <w:insideV w:val="nil"/>
          <w:tl2br w:val="nil"/>
          <w:tr2bl w:val="nil"/>
        </w:tcBorders>
        <w:shd w:val="clear" w:color="auto" w:fill="F1F1F3"/>
      </w:tcPr>
    </w:tblStylePr>
  </w:style>
  <w:style w:type="table" w:customStyle="1" w:styleId="AEGGreen2">
    <w:name w:val="AEG Green 2"/>
    <w:basedOn w:val="TableNormal"/>
    <w:uiPriority w:val="99"/>
    <w:rsid w:val="00C003EE"/>
    <w:pPr>
      <w:spacing w:after="0"/>
      <w:jc w:val="right"/>
    </w:pPr>
    <w:rPr>
      <w:kern w:val="2"/>
      <w:sz w:val="20"/>
    </w:rPr>
    <w:tblPr>
      <w:tblStyleRowBandSize w:val="1"/>
      <w:tblBorders>
        <w:bottom w:val="single" w:sz="4" w:space="0" w:color="BEBEC6"/>
        <w:insideH w:val="single" w:sz="4" w:space="0" w:color="BEBEC6"/>
      </w:tblBorders>
    </w:tblPr>
    <w:tcPr>
      <w:vAlign w:val="center"/>
    </w:tcPr>
    <w:tblStylePr w:type="firstRow">
      <w:pPr>
        <w:jc w:val="center"/>
      </w:pPr>
      <w:rPr>
        <w:rFonts w:ascii="Segoe UI Variable Text" w:hAnsi="Segoe UI Variable Text"/>
      </w:rPr>
      <w:tblPr/>
      <w:tcPr>
        <w:tcBorders>
          <w:top w:val="nil"/>
          <w:left w:val="nil"/>
          <w:bottom w:val="nil"/>
          <w:right w:val="nil"/>
          <w:insideH w:val="nil"/>
          <w:insideV w:val="nil"/>
          <w:tl2br w:val="nil"/>
          <w:tr2bl w:val="nil"/>
        </w:tcBorders>
        <w:shd w:val="clear" w:color="auto" w:fill="3CD39C"/>
      </w:tcPr>
    </w:tblStylePr>
    <w:tblStylePr w:type="lastRow">
      <w:rPr>
        <w:rFonts w:ascii="Segoe UI Variable Text" w:hAnsi="Segoe UI Variable Text"/>
      </w:rPr>
    </w:tblStylePr>
    <w:tblStylePr w:type="firstCol">
      <w:pPr>
        <w:jc w:val="left"/>
      </w:pPr>
    </w:tblStylePr>
    <w:tblStylePr w:type="band2Horz">
      <w:tblPr/>
      <w:tcPr>
        <w:tcBorders>
          <w:top w:val="nil"/>
          <w:left w:val="nil"/>
          <w:bottom w:val="nil"/>
          <w:right w:val="nil"/>
          <w:insideH w:val="nil"/>
          <w:insideV w:val="nil"/>
          <w:tl2br w:val="nil"/>
          <w:tr2bl w:val="nil"/>
        </w:tcBorders>
        <w:shd w:val="clear" w:color="auto" w:fill="F1F1F3"/>
      </w:tcPr>
    </w:tblStylePr>
  </w:style>
  <w:style w:type="table" w:customStyle="1" w:styleId="AEGBrightBlue2">
    <w:name w:val="AEG Bright Blue 2"/>
    <w:basedOn w:val="TableNormal"/>
    <w:uiPriority w:val="99"/>
    <w:rsid w:val="00620C2E"/>
    <w:pPr>
      <w:spacing w:after="0"/>
      <w:jc w:val="right"/>
    </w:pPr>
    <w:rPr>
      <w:kern w:val="2"/>
      <w:sz w:val="20"/>
    </w:rPr>
    <w:tblPr>
      <w:tblStyleRowBandSize w:val="1"/>
      <w:tblBorders>
        <w:bottom w:val="single" w:sz="4" w:space="0" w:color="BEBEC6"/>
        <w:insideH w:val="single" w:sz="4" w:space="0" w:color="BEBEC6"/>
      </w:tblBorders>
    </w:tblPr>
    <w:tcPr>
      <w:vAlign w:val="center"/>
    </w:tcPr>
    <w:tblStylePr w:type="firstRow">
      <w:pPr>
        <w:jc w:val="center"/>
      </w:pPr>
      <w:rPr>
        <w:rFonts w:ascii="Segoe UI Variable Text" w:hAnsi="Segoe UI Variable Text"/>
        <w:color w:val="FFFFFF"/>
      </w:rPr>
      <w:tblPr/>
      <w:tcPr>
        <w:tcBorders>
          <w:top w:val="nil"/>
          <w:left w:val="nil"/>
          <w:bottom w:val="nil"/>
          <w:right w:val="nil"/>
          <w:insideH w:val="nil"/>
          <w:insideV w:val="nil"/>
          <w:tl2br w:val="nil"/>
          <w:tr2bl w:val="nil"/>
        </w:tcBorders>
        <w:shd w:val="clear" w:color="auto" w:fill="00B3FF"/>
      </w:tcPr>
    </w:tblStylePr>
    <w:tblStylePr w:type="lastRow">
      <w:rPr>
        <w:rFonts w:ascii="Segoe UI Variable Text" w:hAnsi="Segoe UI Variable Text"/>
      </w:rPr>
    </w:tblStylePr>
    <w:tblStylePr w:type="firstCol">
      <w:pPr>
        <w:jc w:val="left"/>
      </w:pPr>
    </w:tblStylePr>
    <w:tblStylePr w:type="band2Horz">
      <w:tblPr/>
      <w:tcPr>
        <w:tcBorders>
          <w:top w:val="nil"/>
          <w:left w:val="nil"/>
          <w:bottom w:val="nil"/>
          <w:right w:val="nil"/>
          <w:insideH w:val="nil"/>
          <w:insideV w:val="nil"/>
          <w:tl2br w:val="nil"/>
          <w:tr2bl w:val="nil"/>
        </w:tcBorders>
        <w:shd w:val="clear" w:color="auto" w:fill="F1F1F3"/>
      </w:tcPr>
    </w:tblStylePr>
  </w:style>
  <w:style w:type="table" w:customStyle="1" w:styleId="AEGOrange2">
    <w:name w:val="AEG Orange 2"/>
    <w:basedOn w:val="TableNormal"/>
    <w:uiPriority w:val="99"/>
    <w:rsid w:val="0041386E"/>
    <w:pPr>
      <w:spacing w:after="0"/>
      <w:jc w:val="right"/>
    </w:pPr>
    <w:rPr>
      <w:kern w:val="2"/>
      <w:sz w:val="20"/>
    </w:rPr>
    <w:tblPr>
      <w:tblStyleRowBandSize w:val="1"/>
      <w:tblStyleColBandSize w:val="1"/>
      <w:tblBorders>
        <w:bottom w:val="single" w:sz="4" w:space="0" w:color="BEBEC6"/>
        <w:insideH w:val="single" w:sz="4" w:space="0" w:color="BEBEC6"/>
      </w:tblBorders>
    </w:tblPr>
    <w:tcPr>
      <w:vAlign w:val="center"/>
    </w:tcPr>
    <w:tblStylePr w:type="firstRow">
      <w:pPr>
        <w:jc w:val="center"/>
      </w:pPr>
      <w:rPr>
        <w:rFonts w:ascii="Segoe UI Variable Text" w:hAnsi="Segoe UI Variable Text"/>
        <w:color w:val="FFFFFF"/>
      </w:rPr>
      <w:tblPr/>
      <w:tcPr>
        <w:tcBorders>
          <w:top w:val="nil"/>
          <w:left w:val="nil"/>
          <w:bottom w:val="nil"/>
          <w:right w:val="nil"/>
          <w:insideH w:val="nil"/>
          <w:insideV w:val="nil"/>
          <w:tl2br w:val="nil"/>
          <w:tr2bl w:val="nil"/>
        </w:tcBorders>
        <w:shd w:val="clear" w:color="auto" w:fill="F26549"/>
      </w:tcPr>
    </w:tblStylePr>
    <w:tblStylePr w:type="lastRow">
      <w:rPr>
        <w:rFonts w:ascii="Segoe UI Variable Text" w:hAnsi="Segoe UI Variable Text"/>
      </w:rPr>
    </w:tblStylePr>
    <w:tblStylePr w:type="firstCol">
      <w:pPr>
        <w:jc w:val="left"/>
      </w:pPr>
      <w:rPr>
        <w:rFonts w:ascii="Segoe UI Variable Display" w:hAnsi="Segoe UI Variable Display"/>
      </w:rPr>
    </w:tblStylePr>
    <w:tblStylePr w:type="band2Horz">
      <w:tblPr/>
      <w:tcPr>
        <w:tcBorders>
          <w:top w:val="nil"/>
          <w:left w:val="nil"/>
          <w:bottom w:val="nil"/>
          <w:right w:val="nil"/>
          <w:insideH w:val="nil"/>
          <w:insideV w:val="nil"/>
          <w:tl2br w:val="nil"/>
          <w:tr2bl w:val="nil"/>
        </w:tcBorders>
        <w:shd w:val="clear" w:color="auto" w:fill="F1F1F3"/>
      </w:tcPr>
    </w:tblStylePr>
  </w:style>
  <w:style w:type="character" w:styleId="BookTitle">
    <w:name w:val="Book Title"/>
    <w:uiPriority w:val="33"/>
    <w:rsid w:val="00401F90"/>
    <w:rPr>
      <w:rFonts w:ascii="Aptos SemiBold" w:hAnsi="Aptos SemiBold"/>
      <w:sz w:val="28"/>
      <w:szCs w:val="28"/>
    </w:rPr>
  </w:style>
  <w:style w:type="paragraph" w:customStyle="1" w:styleId="AEGSectionHeaderNoNumber">
    <w:name w:val="AEG Section Header (No Number)"/>
    <w:basedOn w:val="Normal"/>
    <w:rsid w:val="00FF7EC1"/>
    <w:pPr>
      <w:pBdr>
        <w:bottom w:val="single" w:sz="4" w:space="1" w:color="auto"/>
      </w:pBdr>
      <w:spacing w:before="360" w:after="240"/>
      <w:outlineLvl w:val="0"/>
    </w:pPr>
    <w:rPr>
      <w:rFonts w:ascii="Aptos SemiBold" w:hAnsi="Aptos SemiBold"/>
      <w:sz w:val="36"/>
    </w:rPr>
  </w:style>
  <w:style w:type="paragraph" w:customStyle="1" w:styleId="TitlePageInfo">
    <w:name w:val="Title Page Info"/>
    <w:basedOn w:val="Normal"/>
    <w:qFormat/>
    <w:rsid w:val="00401F90"/>
    <w:pPr>
      <w:spacing w:before="60" w:after="60"/>
    </w:pPr>
  </w:style>
  <w:style w:type="table" w:styleId="TableGrid">
    <w:name w:val="Table Grid"/>
    <w:basedOn w:val="TableNormal"/>
    <w:uiPriority w:val="39"/>
    <w:rsid w:val="000763F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ckCover">
    <w:name w:val="Back Cover"/>
    <w:basedOn w:val="Normal"/>
    <w:link w:val="BackCoverChar"/>
    <w:qFormat/>
    <w:rsid w:val="008C1546"/>
    <w:pPr>
      <w:spacing w:after="40" w:line="240" w:lineRule="atLeast"/>
      <w:jc w:val="left"/>
    </w:pPr>
    <w:rPr>
      <w:rFonts w:eastAsia="Times New Roman" w:cs="Tahoma"/>
      <w:color w:val="19172B" w:themeColor="text1"/>
      <w:kern w:val="20"/>
    </w:rPr>
  </w:style>
  <w:style w:type="character" w:customStyle="1" w:styleId="BackCoverChar">
    <w:name w:val="Back Cover Char"/>
    <w:basedOn w:val="DefaultParagraphFont"/>
    <w:link w:val="BackCover"/>
    <w:rsid w:val="008C1546"/>
    <w:rPr>
      <w:rFonts w:eastAsia="Times New Roman" w:cs="Tahoma"/>
      <w:color w:val="19172B" w:themeColor="text1"/>
      <w:kern w:val="20"/>
    </w:rPr>
  </w:style>
  <w:style w:type="paragraph" w:customStyle="1" w:styleId="CoverPageTitle">
    <w:name w:val="Cover Page Title"/>
    <w:basedOn w:val="Title"/>
    <w:link w:val="CoverPageTitleChar"/>
    <w:qFormat/>
    <w:rsid w:val="00095798"/>
  </w:style>
  <w:style w:type="character" w:customStyle="1" w:styleId="CoverPageTitleChar">
    <w:name w:val="Cover Page Title Char"/>
    <w:basedOn w:val="TitleChar"/>
    <w:link w:val="CoverPageTitle"/>
    <w:rsid w:val="00095798"/>
    <w:rPr>
      <w:rFonts w:ascii="Aptos SemiBold" w:hAnsi="Aptos SemiBold" w:cs="Calibri"/>
      <w:noProof/>
      <w:sz w:val="60"/>
      <w:szCs w:val="60"/>
    </w:rPr>
  </w:style>
  <w:style w:type="paragraph" w:customStyle="1" w:styleId="NumberedList">
    <w:name w:val="*Numbered List"/>
    <w:basedOn w:val="Normal"/>
    <w:link w:val="NumberedListChar"/>
    <w:qFormat/>
    <w:rsid w:val="002762FF"/>
    <w:pPr>
      <w:autoSpaceDE w:val="0"/>
      <w:autoSpaceDN w:val="0"/>
      <w:adjustRightInd w:val="0"/>
      <w:spacing w:after="240" w:line="252" w:lineRule="auto"/>
      <w:contextualSpacing/>
      <w:textAlignment w:val="center"/>
    </w:pPr>
    <w:rPr>
      <w:rFonts w:cs="GT Eesti Display"/>
      <w:color w:val="000000"/>
      <w:spacing w:val="2"/>
      <w:sz w:val="21"/>
    </w:rPr>
  </w:style>
  <w:style w:type="paragraph" w:styleId="TOC5">
    <w:name w:val="toc 5"/>
    <w:basedOn w:val="Normal"/>
    <w:next w:val="Normal"/>
    <w:autoRedefine/>
    <w:uiPriority w:val="39"/>
    <w:unhideWhenUsed/>
    <w:rsid w:val="00B53D65"/>
    <w:pPr>
      <w:ind w:left="880"/>
    </w:pPr>
    <w:rPr>
      <w:sz w:val="20"/>
    </w:rPr>
  </w:style>
  <w:style w:type="paragraph" w:styleId="TOC6">
    <w:name w:val="toc 6"/>
    <w:basedOn w:val="Normal"/>
    <w:next w:val="Normal"/>
    <w:uiPriority w:val="39"/>
    <w:unhideWhenUsed/>
    <w:rsid w:val="00033C10"/>
    <w:pPr>
      <w:tabs>
        <w:tab w:val="left" w:leader="dot" w:pos="9000"/>
      </w:tabs>
      <w:spacing w:before="120" w:after="40"/>
      <w:ind w:left="274" w:hanging="274"/>
    </w:pPr>
    <w:rPr>
      <w:b/>
      <w:noProof/>
    </w:rPr>
  </w:style>
  <w:style w:type="paragraph" w:styleId="FootnoteText">
    <w:name w:val="footnote text"/>
    <w:aliases w:val="TBG Style,Footnote Text1 Char,Footnote Text Char Ch,ALTS FOOTNOTE,Footnote Text 2,fn,Footnote text,FOOTNOTE,Footnote Text Char1 Char,Footnote Text Char Char Char,Footnote Text Char1 Char Char Char"/>
    <w:basedOn w:val="Normal"/>
    <w:link w:val="FootnoteTextChar"/>
    <w:uiPriority w:val="99"/>
    <w:unhideWhenUsed/>
    <w:qFormat/>
    <w:locked/>
    <w:rsid w:val="00B350B2"/>
    <w:rPr>
      <w:sz w:val="20"/>
    </w:rPr>
  </w:style>
  <w:style w:type="character" w:customStyle="1" w:styleId="FootnoteTextChar">
    <w:name w:val="Footnote Text Char"/>
    <w:aliases w:val="TBG Style Char,Footnote Text1 Char Char,Footnote Text Char Ch Char,ALTS FOOTNOTE Char,Footnote Text 2 Char,fn Char,Footnote text Char,FOOTNOTE Char,Footnote Text Char1 Char Char,Footnote Text Char Char Char Char"/>
    <w:basedOn w:val="DefaultParagraphFont"/>
    <w:link w:val="FootnoteText"/>
    <w:uiPriority w:val="99"/>
    <w:rsid w:val="00B350B2"/>
    <w:rPr>
      <w:rFonts w:ascii="Aptos" w:hAnsi="Aptos" w:cs="Calibri"/>
      <w:sz w:val="20"/>
      <w:szCs w:val="20"/>
    </w:rPr>
  </w:style>
  <w:style w:type="character" w:styleId="FootnoteReference">
    <w:name w:val="footnote reference"/>
    <w:basedOn w:val="DefaultParagraphFont"/>
    <w:unhideWhenUsed/>
    <w:locked/>
    <w:rsid w:val="00B350B2"/>
    <w:rPr>
      <w:vertAlign w:val="superscript"/>
    </w:rPr>
  </w:style>
  <w:style w:type="paragraph" w:customStyle="1" w:styleId="Footnote">
    <w:name w:val="Footnote"/>
    <w:basedOn w:val="FootnoteText"/>
    <w:link w:val="FootnoteChar"/>
    <w:qFormat/>
    <w:rsid w:val="00725C3B"/>
  </w:style>
  <w:style w:type="character" w:customStyle="1" w:styleId="FootnoteChar">
    <w:name w:val="Footnote Char"/>
    <w:basedOn w:val="FootnoteTextChar"/>
    <w:link w:val="Footnote"/>
    <w:rsid w:val="00725C3B"/>
    <w:rPr>
      <w:rFonts w:ascii="Aptos" w:hAnsi="Aptos" w:cs="Calibri"/>
      <w:sz w:val="20"/>
      <w:szCs w:val="20"/>
    </w:rPr>
  </w:style>
  <w:style w:type="paragraph" w:customStyle="1" w:styleId="TableandFigureCaptions">
    <w:name w:val="Table and Figure Captions"/>
    <w:basedOn w:val="AEGBody"/>
    <w:link w:val="TableandFigureCaptionsChar"/>
    <w:qFormat/>
    <w:rsid w:val="003A4E83"/>
    <w:pPr>
      <w:jc w:val="left"/>
    </w:pPr>
    <w:rPr>
      <w:rFonts w:ascii="Aptos SemiBold" w:hAnsi="Aptos SemiBold"/>
      <w:i/>
      <w:color w:val="444C5E" w:themeColor="text2"/>
      <w:sz w:val="20"/>
    </w:rPr>
  </w:style>
  <w:style w:type="character" w:customStyle="1" w:styleId="TableandFigureCaptionsChar">
    <w:name w:val="Table and Figure Captions Char"/>
    <w:basedOn w:val="AEGBodyChar"/>
    <w:link w:val="TableandFigureCaptions"/>
    <w:rsid w:val="003A4E83"/>
    <w:rPr>
      <w:rFonts w:ascii="Aptos SemiBold" w:hAnsi="Aptos SemiBold" w:cs="Calibri"/>
      <w:i/>
      <w:color w:val="444C5E" w:themeColor="text2"/>
      <w:sz w:val="20"/>
      <w:szCs w:val="20"/>
    </w:rPr>
  </w:style>
  <w:style w:type="character" w:customStyle="1" w:styleId="NumberedListChar">
    <w:name w:val="*Numbered List Char"/>
    <w:basedOn w:val="DefaultParagraphFont"/>
    <w:link w:val="NumberedList"/>
    <w:rsid w:val="00324FD9"/>
    <w:rPr>
      <w:rFonts w:ascii="Aptos" w:hAnsi="Aptos" w:cs="GT Eesti Display"/>
      <w:color w:val="000000"/>
      <w:spacing w:val="2"/>
      <w:sz w:val="21"/>
      <w:szCs w:val="20"/>
    </w:rPr>
  </w:style>
  <w:style w:type="numbering" w:customStyle="1" w:styleId="StyleNumberedBodySegoeUISemilight8ptLeft075Han">
    <w:name w:val="Style Numbered +Body (Segoe UI Semilight) 8 pt Left:  0.75&quot; Han..."/>
    <w:basedOn w:val="NoList"/>
    <w:rsid w:val="00C80DF9"/>
    <w:pPr>
      <w:numPr>
        <w:numId w:val="6"/>
      </w:numPr>
    </w:pPr>
  </w:style>
  <w:style w:type="paragraph" w:styleId="TOC7">
    <w:name w:val="toc 7"/>
    <w:basedOn w:val="TOC8"/>
    <w:next w:val="Normal"/>
    <w:autoRedefine/>
    <w:uiPriority w:val="39"/>
    <w:unhideWhenUsed/>
    <w:rsid w:val="00E227D4"/>
  </w:style>
  <w:style w:type="paragraph" w:styleId="TOC8">
    <w:name w:val="toc 8"/>
    <w:basedOn w:val="Normal"/>
    <w:next w:val="Normal"/>
    <w:autoRedefine/>
    <w:uiPriority w:val="39"/>
    <w:unhideWhenUsed/>
    <w:rsid w:val="00033C10"/>
    <w:pPr>
      <w:tabs>
        <w:tab w:val="right" w:leader="dot" w:pos="9090"/>
      </w:tabs>
      <w:spacing w:after="40"/>
      <w:ind w:left="270"/>
    </w:pPr>
    <w:rPr>
      <w:noProof/>
      <w:sz w:val="20"/>
      <w:lang w:eastAsia="ja-JP"/>
    </w:rPr>
  </w:style>
  <w:style w:type="paragraph" w:styleId="TOC9">
    <w:name w:val="toc 9"/>
    <w:basedOn w:val="Normal"/>
    <w:next w:val="Normal"/>
    <w:autoRedefine/>
    <w:uiPriority w:val="39"/>
    <w:unhideWhenUsed/>
    <w:rsid w:val="00033C10"/>
    <w:pPr>
      <w:tabs>
        <w:tab w:val="right" w:leader="dot" w:pos="8910"/>
      </w:tabs>
      <w:ind w:left="450"/>
    </w:pPr>
    <w:rPr>
      <w:noProof/>
      <w:sz w:val="18"/>
      <w:szCs w:val="18"/>
    </w:rPr>
  </w:style>
  <w:style w:type="paragraph" w:styleId="TOC4">
    <w:name w:val="toc 4"/>
    <w:basedOn w:val="Normal"/>
    <w:next w:val="Normal"/>
    <w:autoRedefine/>
    <w:uiPriority w:val="39"/>
    <w:unhideWhenUsed/>
    <w:qFormat/>
    <w:rsid w:val="00BF07DF"/>
    <w:pPr>
      <w:tabs>
        <w:tab w:val="right" w:leader="dot" w:pos="9350"/>
      </w:tabs>
      <w:spacing w:after="100"/>
      <w:ind w:left="660"/>
    </w:pPr>
    <w:rPr>
      <w:noProof/>
    </w:rPr>
  </w:style>
  <w:style w:type="paragraph" w:styleId="BodyText">
    <w:name w:val="Body Text"/>
    <w:basedOn w:val="Normal"/>
    <w:link w:val="BodyTextChar"/>
    <w:unhideWhenUsed/>
    <w:qFormat/>
    <w:locked/>
    <w:rsid w:val="00424157"/>
  </w:style>
  <w:style w:type="character" w:customStyle="1" w:styleId="BodyTextChar">
    <w:name w:val="Body Text Char"/>
    <w:basedOn w:val="DefaultParagraphFont"/>
    <w:link w:val="BodyText"/>
    <w:rsid w:val="00424157"/>
    <w:rPr>
      <w:rFonts w:ascii="Aptos" w:hAnsi="Aptos" w:cs="Calibri"/>
      <w:szCs w:val="20"/>
    </w:rPr>
  </w:style>
  <w:style w:type="paragraph" w:customStyle="1" w:styleId="Calloutbox-bullets">
    <w:name w:val="Callout box-bullets"/>
    <w:basedOn w:val="Normal"/>
    <w:rsid w:val="00BD1E6B"/>
    <w:pPr>
      <w:numPr>
        <w:numId w:val="8"/>
      </w:numPr>
    </w:pPr>
  </w:style>
  <w:style w:type="numbering" w:customStyle="1" w:styleId="Style1">
    <w:name w:val="Style1"/>
    <w:uiPriority w:val="99"/>
    <w:rsid w:val="00851A1F"/>
    <w:pPr>
      <w:numPr>
        <w:numId w:val="10"/>
      </w:numPr>
    </w:pPr>
  </w:style>
  <w:style w:type="table" w:customStyle="1" w:styleId="GridTable7Colorful1">
    <w:name w:val="Grid Table 7 Colorful1"/>
    <w:basedOn w:val="TableNormal"/>
    <w:next w:val="GridTable7Colorful"/>
    <w:uiPriority w:val="52"/>
    <w:locked/>
    <w:rsid w:val="00FE7957"/>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styleId="GridTable7Colorful">
    <w:name w:val="Grid Table 7 Colorful"/>
    <w:basedOn w:val="TableNormal"/>
    <w:uiPriority w:val="52"/>
    <w:rsid w:val="00FE7957"/>
    <w:pPr>
      <w:spacing w:after="0"/>
    </w:pPr>
    <w:rPr>
      <w:color w:val="19172B" w:themeColor="text1"/>
    </w:rPr>
    <w:tblPr>
      <w:tblStyleRowBandSize w:val="1"/>
      <w:tblStyleColBandSize w:val="1"/>
      <w:tblBorders>
        <w:top w:val="single" w:sz="4" w:space="0" w:color="5C559E" w:themeColor="text1" w:themeTint="99"/>
        <w:left w:val="single" w:sz="4" w:space="0" w:color="5C559E" w:themeColor="text1" w:themeTint="99"/>
        <w:bottom w:val="single" w:sz="4" w:space="0" w:color="5C559E" w:themeColor="text1" w:themeTint="99"/>
        <w:right w:val="single" w:sz="4" w:space="0" w:color="5C559E" w:themeColor="text1" w:themeTint="99"/>
        <w:insideH w:val="single" w:sz="4" w:space="0" w:color="5C559E" w:themeColor="text1" w:themeTint="99"/>
        <w:insideV w:val="single" w:sz="4" w:space="0" w:color="5C559E" w:themeColor="text1" w:themeTint="99"/>
      </w:tblBorders>
    </w:tblPr>
    <w:tblStylePr w:type="firstRow">
      <w:rPr>
        <w:b/>
        <w:bCs/>
      </w:rPr>
      <w:tblPr/>
      <w:tcPr>
        <w:tcBorders>
          <w:top w:val="nil"/>
          <w:left w:val="nil"/>
          <w:right w:val="nil"/>
          <w:insideH w:val="nil"/>
          <w:insideV w:val="nil"/>
        </w:tcBorders>
        <w:shd w:val="clear" w:color="auto" w:fill="F6F6F7" w:themeFill="background1"/>
      </w:tcPr>
    </w:tblStylePr>
    <w:tblStylePr w:type="lastRow">
      <w:rPr>
        <w:b/>
        <w:bCs/>
      </w:rPr>
      <w:tblPr/>
      <w:tcPr>
        <w:tcBorders>
          <w:left w:val="nil"/>
          <w:bottom w:val="nil"/>
          <w:right w:val="nil"/>
          <w:insideH w:val="nil"/>
          <w:insideV w:val="nil"/>
        </w:tcBorders>
        <w:shd w:val="clear" w:color="auto" w:fill="F6F6F7" w:themeFill="background1"/>
      </w:tcPr>
    </w:tblStylePr>
    <w:tblStylePr w:type="firstCol">
      <w:pPr>
        <w:jc w:val="right"/>
      </w:pPr>
      <w:rPr>
        <w:i/>
        <w:iCs/>
      </w:rPr>
      <w:tblPr/>
      <w:tcPr>
        <w:tcBorders>
          <w:top w:val="nil"/>
          <w:left w:val="nil"/>
          <w:bottom w:val="nil"/>
          <w:insideH w:val="nil"/>
          <w:insideV w:val="nil"/>
        </w:tcBorders>
        <w:shd w:val="clear" w:color="auto" w:fill="F6F6F7" w:themeFill="background1"/>
      </w:tcPr>
    </w:tblStylePr>
    <w:tblStylePr w:type="lastCol">
      <w:rPr>
        <w:i/>
        <w:iCs/>
      </w:rPr>
      <w:tblPr/>
      <w:tcPr>
        <w:tcBorders>
          <w:top w:val="nil"/>
          <w:bottom w:val="nil"/>
          <w:right w:val="nil"/>
          <w:insideH w:val="nil"/>
          <w:insideV w:val="nil"/>
        </w:tcBorders>
        <w:shd w:val="clear" w:color="auto" w:fill="F6F6F7" w:themeFill="background1"/>
      </w:tcPr>
    </w:tblStylePr>
    <w:tblStylePr w:type="band1Vert">
      <w:tblPr/>
      <w:tcPr>
        <w:shd w:val="clear" w:color="auto" w:fill="C7C5E0" w:themeFill="text1" w:themeFillTint="33"/>
      </w:tcPr>
    </w:tblStylePr>
    <w:tblStylePr w:type="band1Horz">
      <w:tblPr/>
      <w:tcPr>
        <w:shd w:val="clear" w:color="auto" w:fill="C7C5E0" w:themeFill="text1" w:themeFillTint="33"/>
      </w:tcPr>
    </w:tblStylePr>
    <w:tblStylePr w:type="neCell">
      <w:tblPr/>
      <w:tcPr>
        <w:tcBorders>
          <w:bottom w:val="single" w:sz="4" w:space="0" w:color="5C559E" w:themeColor="text1" w:themeTint="99"/>
        </w:tcBorders>
      </w:tcPr>
    </w:tblStylePr>
    <w:tblStylePr w:type="nwCell">
      <w:tblPr/>
      <w:tcPr>
        <w:tcBorders>
          <w:bottom w:val="single" w:sz="4" w:space="0" w:color="5C559E" w:themeColor="text1" w:themeTint="99"/>
        </w:tcBorders>
      </w:tcPr>
    </w:tblStylePr>
    <w:tblStylePr w:type="seCell">
      <w:tblPr/>
      <w:tcPr>
        <w:tcBorders>
          <w:top w:val="single" w:sz="4" w:space="0" w:color="5C559E" w:themeColor="text1" w:themeTint="99"/>
        </w:tcBorders>
      </w:tcPr>
    </w:tblStylePr>
    <w:tblStylePr w:type="swCell">
      <w:tblPr/>
      <w:tcPr>
        <w:tcBorders>
          <w:top w:val="single" w:sz="4" w:space="0" w:color="5C559E" w:themeColor="text1" w:themeTint="99"/>
        </w:tcBorders>
      </w:tcPr>
    </w:tblStylePr>
  </w:style>
  <w:style w:type="table" w:customStyle="1" w:styleId="ListTable21">
    <w:name w:val="List Table 21"/>
    <w:basedOn w:val="TableNormal"/>
    <w:next w:val="ListTable2"/>
    <w:uiPriority w:val="47"/>
    <w:locked/>
    <w:rsid w:val="00316445"/>
    <w:pPr>
      <w:spacing w:before="0" w:after="0"/>
      <w:ind w:left="0"/>
    </w:pPr>
    <w:rPr>
      <w:rFonts w:ascii="Tahoma" w:eastAsia="Times New Roman" w:hAnsi="Tahoma" w:cs="Times New Roman"/>
      <w:sz w:val="20"/>
      <w:szCs w:val="20"/>
    </w:rPr>
    <w:tblPr>
      <w:tblStyleRowBandSize w:val="1"/>
      <w:tblStyleColBandSize w:val="1"/>
      <w:tblBorders>
        <w:top w:val="single" w:sz="4" w:space="0" w:color="5C559E"/>
        <w:bottom w:val="single" w:sz="4" w:space="0" w:color="5C559E"/>
        <w:insideH w:val="single" w:sz="4" w:space="0" w:color="5C559E"/>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C5E0"/>
      </w:tcPr>
    </w:tblStylePr>
    <w:tblStylePr w:type="band1Horz">
      <w:tblPr/>
      <w:tcPr>
        <w:shd w:val="clear" w:color="auto" w:fill="C7C5E0"/>
      </w:tcPr>
    </w:tblStylePr>
  </w:style>
  <w:style w:type="table" w:styleId="ListTable2">
    <w:name w:val="List Table 2"/>
    <w:basedOn w:val="TableNormal"/>
    <w:uiPriority w:val="47"/>
    <w:rsid w:val="00316445"/>
    <w:pPr>
      <w:spacing w:after="0"/>
    </w:pPr>
    <w:tblPr>
      <w:tblStyleRowBandSize w:val="1"/>
      <w:tblStyleColBandSize w:val="1"/>
      <w:tblBorders>
        <w:top w:val="single" w:sz="4" w:space="0" w:color="5C559E" w:themeColor="text1" w:themeTint="99"/>
        <w:bottom w:val="single" w:sz="4" w:space="0" w:color="5C559E" w:themeColor="text1" w:themeTint="99"/>
        <w:insideH w:val="single" w:sz="4" w:space="0" w:color="5C559E"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C5E0" w:themeFill="text1" w:themeFillTint="33"/>
      </w:tcPr>
    </w:tblStylePr>
    <w:tblStylePr w:type="band1Horz">
      <w:tblPr/>
      <w:tcPr>
        <w:shd w:val="clear" w:color="auto" w:fill="C7C5E0" w:themeFill="text1" w:themeFillTint="33"/>
      </w:tcPr>
    </w:tblStylePr>
  </w:style>
  <w:style w:type="table" w:customStyle="1" w:styleId="GridTable7Colorful2">
    <w:name w:val="Grid Table 7 Colorful2"/>
    <w:basedOn w:val="TableNormal"/>
    <w:next w:val="GridTable7Colorful"/>
    <w:uiPriority w:val="52"/>
    <w:locked/>
    <w:rsid w:val="000D56B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
    <w:name w:val="Grid Table 7 Colorful3"/>
    <w:basedOn w:val="TableNormal"/>
    <w:next w:val="GridTable7Colorful"/>
    <w:uiPriority w:val="52"/>
    <w:locked/>
    <w:rsid w:val="00915F6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ListTable7Colorful1">
    <w:name w:val="List Table 7 Colorful1"/>
    <w:basedOn w:val="TableNormal"/>
    <w:next w:val="ListTable7Colorful"/>
    <w:uiPriority w:val="52"/>
    <w:locked/>
    <w:rsid w:val="00DC23F0"/>
    <w:pPr>
      <w:spacing w:before="0" w:after="0"/>
      <w:ind w:left="0"/>
    </w:pPr>
    <w:rPr>
      <w:rFonts w:ascii="Tahoma" w:eastAsia="Times New Roman" w:hAnsi="Tahoma" w:cs="Times New Roman"/>
      <w:color w:val="19172B"/>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9172B"/>
        </w:tcBorders>
        <w:shd w:val="clear" w:color="auto" w:fill="F6F6F7"/>
      </w:tcPr>
    </w:tblStylePr>
    <w:tblStylePr w:type="lastRow">
      <w:rPr>
        <w:rFonts w:ascii="Calibri Light" w:eastAsia="Times New Roman" w:hAnsi="Calibri Light" w:cs="Times New Roman"/>
        <w:i/>
        <w:iCs/>
        <w:sz w:val="26"/>
      </w:rPr>
      <w:tblPr/>
      <w:tcPr>
        <w:tcBorders>
          <w:top w:val="single" w:sz="4" w:space="0" w:color="19172B"/>
        </w:tcBorders>
        <w:shd w:val="clear" w:color="auto" w:fill="F6F6F7"/>
      </w:tcPr>
    </w:tblStylePr>
    <w:tblStylePr w:type="firstCol">
      <w:pPr>
        <w:jc w:val="right"/>
      </w:pPr>
      <w:rPr>
        <w:rFonts w:ascii="Calibri Light" w:eastAsia="Times New Roman" w:hAnsi="Calibri Light" w:cs="Times New Roman"/>
        <w:i/>
        <w:iCs/>
        <w:sz w:val="26"/>
      </w:rPr>
      <w:tblPr/>
      <w:tcPr>
        <w:tcBorders>
          <w:right w:val="single" w:sz="4" w:space="0" w:color="19172B"/>
        </w:tcBorders>
        <w:shd w:val="clear" w:color="auto" w:fill="F6F6F7"/>
      </w:tcPr>
    </w:tblStylePr>
    <w:tblStylePr w:type="lastCol">
      <w:rPr>
        <w:rFonts w:ascii="Calibri Light" w:eastAsia="Times New Roman" w:hAnsi="Calibri Light" w:cs="Times New Roman"/>
        <w:i/>
        <w:iCs/>
        <w:sz w:val="26"/>
      </w:rPr>
      <w:tblPr/>
      <w:tcPr>
        <w:tcBorders>
          <w:left w:val="single" w:sz="4" w:space="0" w:color="19172B"/>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
    <w:name w:val="List Table 7 Colorful"/>
    <w:basedOn w:val="TableNormal"/>
    <w:uiPriority w:val="52"/>
    <w:rsid w:val="00DC23F0"/>
    <w:pPr>
      <w:spacing w:after="0"/>
    </w:pPr>
    <w:rPr>
      <w:color w:val="19172B"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172B" w:themeColor="text1"/>
        </w:tcBorders>
        <w:shd w:val="clear" w:color="auto" w:fill="F6F6F7" w:themeFill="background1"/>
      </w:tcPr>
    </w:tblStylePr>
    <w:tblStylePr w:type="lastRow">
      <w:rPr>
        <w:rFonts w:asciiTheme="majorHAnsi" w:eastAsiaTheme="majorEastAsia" w:hAnsiTheme="majorHAnsi" w:cstheme="majorBidi"/>
        <w:i/>
        <w:iCs/>
        <w:sz w:val="26"/>
      </w:rPr>
      <w:tblPr/>
      <w:tcPr>
        <w:tcBorders>
          <w:top w:val="single" w:sz="4" w:space="0" w:color="19172B" w:themeColor="text1"/>
        </w:tcBorders>
        <w:shd w:val="clear" w:color="auto" w:fill="F6F6F7"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172B" w:themeColor="text1"/>
        </w:tcBorders>
        <w:shd w:val="clear" w:color="auto" w:fill="F6F6F7" w:themeFill="background1"/>
      </w:tcPr>
    </w:tblStylePr>
    <w:tblStylePr w:type="lastCol">
      <w:rPr>
        <w:rFonts w:asciiTheme="majorHAnsi" w:eastAsiaTheme="majorEastAsia" w:hAnsiTheme="majorHAnsi" w:cstheme="majorBidi"/>
        <w:i/>
        <w:iCs/>
        <w:sz w:val="26"/>
      </w:rPr>
      <w:tblPr/>
      <w:tcPr>
        <w:tcBorders>
          <w:left w:val="single" w:sz="4" w:space="0" w:color="19172B" w:themeColor="text1"/>
        </w:tcBorders>
        <w:shd w:val="clear" w:color="auto" w:fill="F6F6F7" w:themeFill="background1"/>
      </w:tcPr>
    </w:tblStylePr>
    <w:tblStylePr w:type="band1Vert">
      <w:tblPr/>
      <w:tcPr>
        <w:shd w:val="clear" w:color="auto" w:fill="C7C5E0" w:themeFill="text1" w:themeFillTint="33"/>
      </w:tcPr>
    </w:tblStylePr>
    <w:tblStylePr w:type="band1Horz">
      <w:tblPr/>
      <w:tcPr>
        <w:shd w:val="clear" w:color="auto" w:fill="C7C5E0"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2">
    <w:name w:val="List Table 7 Colorful2"/>
    <w:basedOn w:val="TableNormal"/>
    <w:next w:val="ListTable7Colorful"/>
    <w:uiPriority w:val="52"/>
    <w:locked/>
    <w:rsid w:val="003577F5"/>
    <w:pPr>
      <w:spacing w:before="0" w:after="0"/>
      <w:ind w:left="0"/>
    </w:pPr>
    <w:rPr>
      <w:rFonts w:ascii="Tahoma" w:eastAsia="Times New Roman" w:hAnsi="Tahoma" w:cs="Times New Roman"/>
      <w:color w:val="19172B"/>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9172B"/>
        </w:tcBorders>
        <w:shd w:val="clear" w:color="auto" w:fill="F6F6F7"/>
      </w:tcPr>
    </w:tblStylePr>
    <w:tblStylePr w:type="lastRow">
      <w:rPr>
        <w:rFonts w:ascii="Calibri Light" w:eastAsia="Times New Roman" w:hAnsi="Calibri Light" w:cs="Times New Roman"/>
        <w:i/>
        <w:iCs/>
        <w:sz w:val="26"/>
      </w:rPr>
      <w:tblPr/>
      <w:tcPr>
        <w:tcBorders>
          <w:top w:val="single" w:sz="4" w:space="0" w:color="19172B"/>
        </w:tcBorders>
        <w:shd w:val="clear" w:color="auto" w:fill="F6F6F7"/>
      </w:tcPr>
    </w:tblStylePr>
    <w:tblStylePr w:type="firstCol">
      <w:pPr>
        <w:jc w:val="right"/>
      </w:pPr>
      <w:rPr>
        <w:rFonts w:ascii="Calibri Light" w:eastAsia="Times New Roman" w:hAnsi="Calibri Light" w:cs="Times New Roman"/>
        <w:i/>
        <w:iCs/>
        <w:sz w:val="26"/>
      </w:rPr>
      <w:tblPr/>
      <w:tcPr>
        <w:tcBorders>
          <w:right w:val="single" w:sz="4" w:space="0" w:color="19172B"/>
        </w:tcBorders>
        <w:shd w:val="clear" w:color="auto" w:fill="F6F6F7"/>
      </w:tcPr>
    </w:tblStylePr>
    <w:tblStylePr w:type="lastCol">
      <w:rPr>
        <w:rFonts w:ascii="Calibri Light" w:eastAsia="Times New Roman" w:hAnsi="Calibri Light" w:cs="Times New Roman"/>
        <w:i/>
        <w:iCs/>
        <w:sz w:val="26"/>
      </w:rPr>
      <w:tblPr/>
      <w:tcPr>
        <w:tcBorders>
          <w:left w:val="single" w:sz="4" w:space="0" w:color="19172B"/>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1">
    <w:name w:val="Grid Table 31"/>
    <w:basedOn w:val="TableNormal"/>
    <w:next w:val="GridTable3"/>
    <w:uiPriority w:val="48"/>
    <w:locked/>
    <w:rsid w:val="009A3D94"/>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styleId="GridTable3">
    <w:name w:val="Grid Table 3"/>
    <w:basedOn w:val="TableNormal"/>
    <w:uiPriority w:val="48"/>
    <w:rsid w:val="009A3D94"/>
    <w:pPr>
      <w:spacing w:after="0"/>
    </w:pPr>
    <w:tblPr>
      <w:tblStyleRowBandSize w:val="1"/>
      <w:tblStyleColBandSize w:val="1"/>
      <w:tblBorders>
        <w:top w:val="single" w:sz="4" w:space="0" w:color="5C559E" w:themeColor="text1" w:themeTint="99"/>
        <w:left w:val="single" w:sz="4" w:space="0" w:color="5C559E" w:themeColor="text1" w:themeTint="99"/>
        <w:bottom w:val="single" w:sz="4" w:space="0" w:color="5C559E" w:themeColor="text1" w:themeTint="99"/>
        <w:right w:val="single" w:sz="4" w:space="0" w:color="5C559E" w:themeColor="text1" w:themeTint="99"/>
        <w:insideH w:val="single" w:sz="4" w:space="0" w:color="5C559E" w:themeColor="text1" w:themeTint="99"/>
        <w:insideV w:val="single" w:sz="4" w:space="0" w:color="5C559E" w:themeColor="text1" w:themeTint="99"/>
      </w:tblBorders>
    </w:tblPr>
    <w:tblStylePr w:type="firstRow">
      <w:rPr>
        <w:b/>
        <w:bCs/>
      </w:rPr>
      <w:tblPr/>
      <w:tcPr>
        <w:tcBorders>
          <w:top w:val="nil"/>
          <w:left w:val="nil"/>
          <w:right w:val="nil"/>
          <w:insideH w:val="nil"/>
          <w:insideV w:val="nil"/>
        </w:tcBorders>
        <w:shd w:val="clear" w:color="auto" w:fill="F6F6F7" w:themeFill="background1"/>
      </w:tcPr>
    </w:tblStylePr>
    <w:tblStylePr w:type="lastRow">
      <w:rPr>
        <w:b/>
        <w:bCs/>
      </w:rPr>
      <w:tblPr/>
      <w:tcPr>
        <w:tcBorders>
          <w:left w:val="nil"/>
          <w:bottom w:val="nil"/>
          <w:right w:val="nil"/>
          <w:insideH w:val="nil"/>
          <w:insideV w:val="nil"/>
        </w:tcBorders>
        <w:shd w:val="clear" w:color="auto" w:fill="F6F6F7" w:themeFill="background1"/>
      </w:tcPr>
    </w:tblStylePr>
    <w:tblStylePr w:type="firstCol">
      <w:pPr>
        <w:jc w:val="right"/>
      </w:pPr>
      <w:rPr>
        <w:i/>
        <w:iCs/>
      </w:rPr>
      <w:tblPr/>
      <w:tcPr>
        <w:tcBorders>
          <w:top w:val="nil"/>
          <w:left w:val="nil"/>
          <w:bottom w:val="nil"/>
          <w:insideH w:val="nil"/>
          <w:insideV w:val="nil"/>
        </w:tcBorders>
        <w:shd w:val="clear" w:color="auto" w:fill="F6F6F7" w:themeFill="background1"/>
      </w:tcPr>
    </w:tblStylePr>
    <w:tblStylePr w:type="lastCol">
      <w:rPr>
        <w:i/>
        <w:iCs/>
      </w:rPr>
      <w:tblPr/>
      <w:tcPr>
        <w:tcBorders>
          <w:top w:val="nil"/>
          <w:bottom w:val="nil"/>
          <w:right w:val="nil"/>
          <w:insideH w:val="nil"/>
          <w:insideV w:val="nil"/>
        </w:tcBorders>
        <w:shd w:val="clear" w:color="auto" w:fill="F6F6F7" w:themeFill="background1"/>
      </w:tcPr>
    </w:tblStylePr>
    <w:tblStylePr w:type="band1Vert">
      <w:tblPr/>
      <w:tcPr>
        <w:shd w:val="clear" w:color="auto" w:fill="C7C5E0" w:themeFill="text1" w:themeFillTint="33"/>
      </w:tcPr>
    </w:tblStylePr>
    <w:tblStylePr w:type="band1Horz">
      <w:tblPr/>
      <w:tcPr>
        <w:shd w:val="clear" w:color="auto" w:fill="C7C5E0" w:themeFill="text1" w:themeFillTint="33"/>
      </w:tcPr>
    </w:tblStylePr>
    <w:tblStylePr w:type="neCell">
      <w:tblPr/>
      <w:tcPr>
        <w:tcBorders>
          <w:bottom w:val="single" w:sz="4" w:space="0" w:color="5C559E" w:themeColor="text1" w:themeTint="99"/>
        </w:tcBorders>
      </w:tcPr>
    </w:tblStylePr>
    <w:tblStylePr w:type="nwCell">
      <w:tblPr/>
      <w:tcPr>
        <w:tcBorders>
          <w:bottom w:val="single" w:sz="4" w:space="0" w:color="5C559E" w:themeColor="text1" w:themeTint="99"/>
        </w:tcBorders>
      </w:tcPr>
    </w:tblStylePr>
    <w:tblStylePr w:type="seCell">
      <w:tblPr/>
      <w:tcPr>
        <w:tcBorders>
          <w:top w:val="single" w:sz="4" w:space="0" w:color="5C559E" w:themeColor="text1" w:themeTint="99"/>
        </w:tcBorders>
      </w:tcPr>
    </w:tblStylePr>
    <w:tblStylePr w:type="swCell">
      <w:tblPr/>
      <w:tcPr>
        <w:tcBorders>
          <w:top w:val="single" w:sz="4" w:space="0" w:color="5C559E" w:themeColor="text1" w:themeTint="99"/>
        </w:tcBorders>
      </w:tcPr>
    </w:tblStylePr>
  </w:style>
  <w:style w:type="table" w:customStyle="1" w:styleId="GridTable32">
    <w:name w:val="Grid Table 32"/>
    <w:basedOn w:val="TableNormal"/>
    <w:next w:val="GridTable3"/>
    <w:uiPriority w:val="48"/>
    <w:locked/>
    <w:rsid w:val="008B298F"/>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ListTable22">
    <w:name w:val="List Table 22"/>
    <w:basedOn w:val="TableNormal"/>
    <w:next w:val="ListTable2"/>
    <w:uiPriority w:val="47"/>
    <w:locked/>
    <w:rsid w:val="0068704A"/>
    <w:pPr>
      <w:spacing w:before="0" w:after="0"/>
      <w:ind w:left="0"/>
    </w:pPr>
    <w:rPr>
      <w:rFonts w:ascii="Tahoma" w:eastAsia="Times New Roman" w:hAnsi="Tahoma" w:cs="Times New Roman"/>
      <w:sz w:val="20"/>
      <w:szCs w:val="20"/>
    </w:rPr>
    <w:tblPr>
      <w:tblStyleRowBandSize w:val="1"/>
      <w:tblStyleColBandSize w:val="1"/>
      <w:tblBorders>
        <w:top w:val="single" w:sz="4" w:space="0" w:color="5C559E"/>
        <w:bottom w:val="single" w:sz="4" w:space="0" w:color="5C559E"/>
        <w:insideH w:val="single" w:sz="4" w:space="0" w:color="5C559E"/>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C5E0"/>
      </w:tcPr>
    </w:tblStylePr>
    <w:tblStylePr w:type="band1Horz">
      <w:tblPr/>
      <w:tcPr>
        <w:shd w:val="clear" w:color="auto" w:fill="C7C5E0"/>
      </w:tcPr>
    </w:tblStylePr>
  </w:style>
  <w:style w:type="table" w:customStyle="1" w:styleId="GridTable7Colorful4">
    <w:name w:val="Grid Table 7 Colorful4"/>
    <w:basedOn w:val="TableNormal"/>
    <w:next w:val="GridTable7Colorful"/>
    <w:uiPriority w:val="52"/>
    <w:locked/>
    <w:rsid w:val="006D0F7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
    <w:name w:val="Grid Table 7 Colorful5"/>
    <w:basedOn w:val="TableNormal"/>
    <w:next w:val="GridTable7Colorful"/>
    <w:uiPriority w:val="52"/>
    <w:locked/>
    <w:rsid w:val="00F9518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
    <w:name w:val="Grid Table 7 Colorful6"/>
    <w:basedOn w:val="TableNormal"/>
    <w:next w:val="GridTable7Colorful"/>
    <w:uiPriority w:val="52"/>
    <w:locked/>
    <w:rsid w:val="00EC5F6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
    <w:name w:val="Grid Table 7 Colorful7"/>
    <w:basedOn w:val="TableNormal"/>
    <w:next w:val="GridTable7Colorful"/>
    <w:uiPriority w:val="52"/>
    <w:locked/>
    <w:rsid w:val="00112189"/>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ListTable7Colorful3">
    <w:name w:val="List Table 7 Colorful3"/>
    <w:basedOn w:val="TableNormal"/>
    <w:next w:val="ListTable7Colorful"/>
    <w:uiPriority w:val="52"/>
    <w:locked/>
    <w:rsid w:val="00507655"/>
    <w:pPr>
      <w:spacing w:before="0" w:after="0"/>
      <w:ind w:left="0"/>
    </w:pPr>
    <w:rPr>
      <w:rFonts w:ascii="Tahoma" w:eastAsia="Times New Roman" w:hAnsi="Tahoma" w:cs="Times New Roman"/>
      <w:color w:val="19172B"/>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9172B"/>
        </w:tcBorders>
        <w:shd w:val="clear" w:color="auto" w:fill="F6F6F7"/>
      </w:tcPr>
    </w:tblStylePr>
    <w:tblStylePr w:type="lastRow">
      <w:rPr>
        <w:rFonts w:ascii="Calibri Light" w:eastAsia="Times New Roman" w:hAnsi="Calibri Light" w:cs="Times New Roman"/>
        <w:i/>
        <w:iCs/>
        <w:sz w:val="26"/>
      </w:rPr>
      <w:tblPr/>
      <w:tcPr>
        <w:tcBorders>
          <w:top w:val="single" w:sz="4" w:space="0" w:color="19172B"/>
        </w:tcBorders>
        <w:shd w:val="clear" w:color="auto" w:fill="F6F6F7"/>
      </w:tcPr>
    </w:tblStylePr>
    <w:tblStylePr w:type="firstCol">
      <w:pPr>
        <w:jc w:val="right"/>
      </w:pPr>
      <w:rPr>
        <w:rFonts w:ascii="Calibri Light" w:eastAsia="Times New Roman" w:hAnsi="Calibri Light" w:cs="Times New Roman"/>
        <w:i/>
        <w:iCs/>
        <w:sz w:val="26"/>
      </w:rPr>
      <w:tblPr/>
      <w:tcPr>
        <w:tcBorders>
          <w:right w:val="single" w:sz="4" w:space="0" w:color="19172B"/>
        </w:tcBorders>
        <w:shd w:val="clear" w:color="auto" w:fill="F6F6F7"/>
      </w:tcPr>
    </w:tblStylePr>
    <w:tblStylePr w:type="lastCol">
      <w:rPr>
        <w:rFonts w:ascii="Calibri Light" w:eastAsia="Times New Roman" w:hAnsi="Calibri Light" w:cs="Times New Roman"/>
        <w:i/>
        <w:iCs/>
        <w:sz w:val="26"/>
      </w:rPr>
      <w:tblPr/>
      <w:tcPr>
        <w:tcBorders>
          <w:left w:val="single" w:sz="4" w:space="0" w:color="19172B"/>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4">
    <w:name w:val="List Table 7 Colorful4"/>
    <w:basedOn w:val="TableNormal"/>
    <w:next w:val="ListTable7Colorful"/>
    <w:uiPriority w:val="52"/>
    <w:locked/>
    <w:rsid w:val="0003143A"/>
    <w:pPr>
      <w:spacing w:before="0" w:after="0"/>
      <w:ind w:left="0"/>
    </w:pPr>
    <w:rPr>
      <w:rFonts w:ascii="Tahoma" w:eastAsia="Times New Roman" w:hAnsi="Tahoma" w:cs="Times New Roman"/>
      <w:color w:val="19172B"/>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9172B"/>
        </w:tcBorders>
        <w:shd w:val="clear" w:color="auto" w:fill="F6F6F7"/>
      </w:tcPr>
    </w:tblStylePr>
    <w:tblStylePr w:type="lastRow">
      <w:rPr>
        <w:rFonts w:ascii="Calibri Light" w:eastAsia="Times New Roman" w:hAnsi="Calibri Light" w:cs="Times New Roman"/>
        <w:i/>
        <w:iCs/>
        <w:sz w:val="26"/>
      </w:rPr>
      <w:tblPr/>
      <w:tcPr>
        <w:tcBorders>
          <w:top w:val="single" w:sz="4" w:space="0" w:color="19172B"/>
        </w:tcBorders>
        <w:shd w:val="clear" w:color="auto" w:fill="F6F6F7"/>
      </w:tcPr>
    </w:tblStylePr>
    <w:tblStylePr w:type="firstCol">
      <w:pPr>
        <w:jc w:val="right"/>
      </w:pPr>
      <w:rPr>
        <w:rFonts w:ascii="Calibri Light" w:eastAsia="Times New Roman" w:hAnsi="Calibri Light" w:cs="Times New Roman"/>
        <w:i/>
        <w:iCs/>
        <w:sz w:val="26"/>
      </w:rPr>
      <w:tblPr/>
      <w:tcPr>
        <w:tcBorders>
          <w:right w:val="single" w:sz="4" w:space="0" w:color="19172B"/>
        </w:tcBorders>
        <w:shd w:val="clear" w:color="auto" w:fill="F6F6F7"/>
      </w:tcPr>
    </w:tblStylePr>
    <w:tblStylePr w:type="lastCol">
      <w:rPr>
        <w:rFonts w:ascii="Calibri Light" w:eastAsia="Times New Roman" w:hAnsi="Calibri Light" w:cs="Times New Roman"/>
        <w:i/>
        <w:iCs/>
        <w:sz w:val="26"/>
      </w:rPr>
      <w:tblPr/>
      <w:tcPr>
        <w:tcBorders>
          <w:left w:val="single" w:sz="4" w:space="0" w:color="19172B"/>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7Colorful8">
    <w:name w:val="Grid Table 7 Colorful8"/>
    <w:basedOn w:val="TableNormal"/>
    <w:next w:val="GridTable7Colorful"/>
    <w:uiPriority w:val="52"/>
    <w:locked/>
    <w:rsid w:val="00953A8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9">
    <w:name w:val="Grid Table 7 Colorful9"/>
    <w:basedOn w:val="TableNormal"/>
    <w:next w:val="GridTable7Colorful"/>
    <w:uiPriority w:val="52"/>
    <w:locked/>
    <w:rsid w:val="00BA484A"/>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0">
    <w:name w:val="Grid Table 7 Colorful10"/>
    <w:basedOn w:val="TableNormal"/>
    <w:next w:val="GridTable7Colorful"/>
    <w:uiPriority w:val="52"/>
    <w:locked/>
    <w:rsid w:val="001C171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1">
    <w:name w:val="Grid Table 7 Colorful11"/>
    <w:basedOn w:val="TableNormal"/>
    <w:next w:val="GridTable7Colorful"/>
    <w:uiPriority w:val="52"/>
    <w:locked/>
    <w:rsid w:val="00DC5E96"/>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2">
    <w:name w:val="Grid Table 7 Colorful12"/>
    <w:basedOn w:val="TableNormal"/>
    <w:next w:val="GridTable7Colorful"/>
    <w:uiPriority w:val="52"/>
    <w:locked/>
    <w:rsid w:val="00F513CA"/>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3">
    <w:name w:val="Grid Table 33"/>
    <w:basedOn w:val="TableNormal"/>
    <w:next w:val="GridTable3"/>
    <w:uiPriority w:val="48"/>
    <w:locked/>
    <w:rsid w:val="00EE04E4"/>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4">
    <w:name w:val="Grid Table 34"/>
    <w:basedOn w:val="TableNormal"/>
    <w:next w:val="GridTable3"/>
    <w:uiPriority w:val="48"/>
    <w:locked/>
    <w:rsid w:val="00673C87"/>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3">
    <w:name w:val="Grid Table 7 Colorful13"/>
    <w:basedOn w:val="TableNormal"/>
    <w:next w:val="GridTable7Colorful"/>
    <w:uiPriority w:val="52"/>
    <w:locked/>
    <w:rsid w:val="0062428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paragraph" w:customStyle="1" w:styleId="TableText">
    <w:name w:val="Table Text"/>
    <w:basedOn w:val="BodyText"/>
    <w:link w:val="TableTextChar"/>
    <w:qFormat/>
    <w:rsid w:val="00EC52EF"/>
    <w:pPr>
      <w:spacing w:before="40" w:after="40"/>
      <w:jc w:val="center"/>
    </w:pPr>
    <w:rPr>
      <w:rFonts w:ascii="Calibri" w:eastAsia="Times New Roman" w:hAnsi="Calibri" w:cs="Tahoma"/>
      <w:spacing w:val="4"/>
      <w:kern w:val="18"/>
      <w:sz w:val="18"/>
      <w:szCs w:val="18"/>
    </w:rPr>
  </w:style>
  <w:style w:type="character" w:customStyle="1" w:styleId="TableTextChar">
    <w:name w:val="Table Text Char"/>
    <w:basedOn w:val="DefaultParagraphFont"/>
    <w:link w:val="TableText"/>
    <w:locked/>
    <w:rsid w:val="00EC52EF"/>
    <w:rPr>
      <w:rFonts w:ascii="Calibri" w:eastAsia="Times New Roman" w:hAnsi="Calibri" w:cs="Tahoma"/>
      <w:spacing w:val="4"/>
      <w:kern w:val="18"/>
      <w:sz w:val="18"/>
      <w:szCs w:val="18"/>
    </w:rPr>
  </w:style>
  <w:style w:type="paragraph" w:customStyle="1" w:styleId="FigureorTableCaption">
    <w:name w:val="Figure or Table Caption"/>
    <w:basedOn w:val="Caption"/>
    <w:next w:val="BodyText"/>
    <w:qFormat/>
    <w:rsid w:val="009E5699"/>
    <w:pPr>
      <w:jc w:val="left"/>
    </w:pPr>
    <w:rPr>
      <w:rFonts w:eastAsia="Times New Roman" w:cs="Times New Roman"/>
      <w:bCs/>
      <w:iCs w:val="0"/>
      <w:spacing w:val="4"/>
      <w:kern w:val="18"/>
      <w:szCs w:val="16"/>
    </w:rPr>
  </w:style>
  <w:style w:type="table" w:customStyle="1" w:styleId="GridTable7Colorful14">
    <w:name w:val="Grid Table 7 Colorful14"/>
    <w:basedOn w:val="TableNormal"/>
    <w:next w:val="GridTable7Colorful"/>
    <w:uiPriority w:val="52"/>
    <w:rsid w:val="00EC52E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5">
    <w:name w:val="Grid Table 7 Colorful15"/>
    <w:basedOn w:val="TableNormal"/>
    <w:next w:val="GridTable7Colorful"/>
    <w:uiPriority w:val="52"/>
    <w:locked/>
    <w:rsid w:val="0088080B"/>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6">
    <w:name w:val="Grid Table 7 Colorful16"/>
    <w:basedOn w:val="TableNormal"/>
    <w:next w:val="GridTable7Colorful"/>
    <w:uiPriority w:val="52"/>
    <w:locked/>
    <w:rsid w:val="00C6546B"/>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7">
    <w:name w:val="Grid Table 7 Colorful17"/>
    <w:basedOn w:val="TableNormal"/>
    <w:next w:val="GridTable7Colorful"/>
    <w:uiPriority w:val="52"/>
    <w:locked/>
    <w:rsid w:val="008424B8"/>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5">
    <w:name w:val="Grid Table 35"/>
    <w:basedOn w:val="TableNormal"/>
    <w:next w:val="GridTable3"/>
    <w:uiPriority w:val="48"/>
    <w:locked/>
    <w:rsid w:val="009F39C4"/>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paragraph" w:customStyle="1" w:styleId="CalloutBoxTitle">
    <w:name w:val="Callout Box Title"/>
    <w:basedOn w:val="Normal"/>
    <w:qFormat/>
    <w:rsid w:val="00E61A82"/>
    <w:pPr>
      <w:jc w:val="left"/>
    </w:pPr>
    <w:rPr>
      <w:rFonts w:cstheme="minorBidi"/>
      <w:color w:val="17171A" w:themeColor="background1" w:themeShade="1A"/>
      <w:sz w:val="20"/>
      <w:szCs w:val="24"/>
      <w:u w:val="single" w:color="17171A" w:themeColor="background1" w:themeShade="1A"/>
    </w:rPr>
  </w:style>
  <w:style w:type="paragraph" w:customStyle="1" w:styleId="CalloutBox">
    <w:name w:val="Callout Box"/>
    <w:next w:val="Normal"/>
    <w:qFormat/>
    <w:rsid w:val="00E61A82"/>
    <w:pPr>
      <w:spacing w:before="160" w:after="0"/>
      <w:ind w:left="0"/>
    </w:pPr>
    <w:rPr>
      <w:rFonts w:ascii="GT Eesti Display Light" w:eastAsia="Calibri" w:hAnsi="GT Eesti Display Light" w:cs="GT Eesti Display"/>
      <w:color w:val="000000"/>
      <w:sz w:val="18"/>
      <w:szCs w:val="18"/>
    </w:rPr>
  </w:style>
  <w:style w:type="table" w:customStyle="1" w:styleId="GridTable7Colorful18">
    <w:name w:val="Grid Table 7 Colorful18"/>
    <w:basedOn w:val="TableNormal"/>
    <w:next w:val="GridTable7Colorful"/>
    <w:uiPriority w:val="52"/>
    <w:rsid w:val="007B0AE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19">
    <w:name w:val="Grid Table 7 Colorful19"/>
    <w:basedOn w:val="TableNormal"/>
    <w:next w:val="GridTable7Colorful"/>
    <w:uiPriority w:val="52"/>
    <w:locked/>
    <w:rsid w:val="00D1763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0">
    <w:name w:val="Grid Table 7 Colorful20"/>
    <w:basedOn w:val="TableNormal"/>
    <w:next w:val="GridTable7Colorful"/>
    <w:uiPriority w:val="52"/>
    <w:locked/>
    <w:rsid w:val="001134D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1">
    <w:name w:val="Grid Table 7 Colorful21"/>
    <w:basedOn w:val="TableNormal"/>
    <w:next w:val="GridTable7Colorful"/>
    <w:uiPriority w:val="52"/>
    <w:locked/>
    <w:rsid w:val="002E5F56"/>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2">
    <w:name w:val="Grid Table 7 Colorful22"/>
    <w:basedOn w:val="TableNormal"/>
    <w:next w:val="GridTable7Colorful"/>
    <w:uiPriority w:val="52"/>
    <w:locked/>
    <w:rsid w:val="005C5567"/>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3">
    <w:name w:val="Grid Table 7 Colorful23"/>
    <w:basedOn w:val="TableNormal"/>
    <w:next w:val="GridTable7Colorful"/>
    <w:uiPriority w:val="52"/>
    <w:locked/>
    <w:rsid w:val="00D61E0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4">
    <w:name w:val="Grid Table 7 Colorful24"/>
    <w:basedOn w:val="TableNormal"/>
    <w:next w:val="GridTable7Colorful"/>
    <w:uiPriority w:val="52"/>
    <w:locked/>
    <w:rsid w:val="000E57C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5">
    <w:name w:val="Grid Table 7 Colorful25"/>
    <w:basedOn w:val="TableNormal"/>
    <w:next w:val="GridTable7Colorful"/>
    <w:uiPriority w:val="52"/>
    <w:locked/>
    <w:rsid w:val="00D477E5"/>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6">
    <w:name w:val="Grid Table 7 Colorful26"/>
    <w:basedOn w:val="TableNormal"/>
    <w:next w:val="GridTable7Colorful"/>
    <w:uiPriority w:val="52"/>
    <w:locked/>
    <w:rsid w:val="00173F76"/>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7">
    <w:name w:val="Grid Table 7 Colorful27"/>
    <w:basedOn w:val="TableNormal"/>
    <w:next w:val="GridTable7Colorful"/>
    <w:uiPriority w:val="52"/>
    <w:locked/>
    <w:rsid w:val="00D7075E"/>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6">
    <w:name w:val="Grid Table 36"/>
    <w:basedOn w:val="TableNormal"/>
    <w:next w:val="GridTable3"/>
    <w:uiPriority w:val="48"/>
    <w:locked/>
    <w:rsid w:val="00E276FC"/>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8">
    <w:name w:val="Grid Table 7 Colorful28"/>
    <w:basedOn w:val="TableNormal"/>
    <w:next w:val="GridTable7Colorful"/>
    <w:uiPriority w:val="52"/>
    <w:locked/>
    <w:rsid w:val="00492829"/>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29">
    <w:name w:val="Grid Table 7 Colorful29"/>
    <w:basedOn w:val="TableNormal"/>
    <w:next w:val="GridTable7Colorful"/>
    <w:uiPriority w:val="52"/>
    <w:locked/>
    <w:rsid w:val="00DA4395"/>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7">
    <w:name w:val="Grid Table 37"/>
    <w:basedOn w:val="TableNormal"/>
    <w:next w:val="GridTable3"/>
    <w:uiPriority w:val="48"/>
    <w:locked/>
    <w:rsid w:val="00F90823"/>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8">
    <w:name w:val="Grid Table 38"/>
    <w:basedOn w:val="TableNormal"/>
    <w:next w:val="GridTable3"/>
    <w:uiPriority w:val="48"/>
    <w:locked/>
    <w:rsid w:val="00FA367D"/>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9">
    <w:name w:val="Grid Table 39"/>
    <w:basedOn w:val="TableNormal"/>
    <w:next w:val="GridTable3"/>
    <w:uiPriority w:val="48"/>
    <w:locked/>
    <w:rsid w:val="00184578"/>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0">
    <w:name w:val="Grid Table 7 Colorful30"/>
    <w:basedOn w:val="TableNormal"/>
    <w:next w:val="GridTable7Colorful"/>
    <w:uiPriority w:val="52"/>
    <w:rsid w:val="001B515B"/>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1">
    <w:name w:val="Grid Table 7 Colorful31"/>
    <w:basedOn w:val="TableNormal"/>
    <w:next w:val="GridTable7Colorful"/>
    <w:uiPriority w:val="52"/>
    <w:locked/>
    <w:rsid w:val="000D149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2">
    <w:name w:val="Grid Table 7 Colorful32"/>
    <w:basedOn w:val="TableNormal"/>
    <w:next w:val="GridTable7Colorful"/>
    <w:uiPriority w:val="52"/>
    <w:locked/>
    <w:rsid w:val="0017730A"/>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3">
    <w:name w:val="Grid Table 7 Colorful33"/>
    <w:basedOn w:val="TableNormal"/>
    <w:next w:val="GridTable7Colorful"/>
    <w:uiPriority w:val="52"/>
    <w:locked/>
    <w:rsid w:val="0056564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4">
    <w:name w:val="Grid Table 7 Colorful34"/>
    <w:basedOn w:val="TableNormal"/>
    <w:next w:val="GridTable7Colorful"/>
    <w:uiPriority w:val="52"/>
    <w:locked/>
    <w:rsid w:val="00534D8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5">
    <w:name w:val="Grid Table 7 Colorful35"/>
    <w:basedOn w:val="TableNormal"/>
    <w:next w:val="GridTable7Colorful"/>
    <w:uiPriority w:val="52"/>
    <w:locked/>
    <w:rsid w:val="008B45A0"/>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6">
    <w:name w:val="Grid Table 7 Colorful36"/>
    <w:basedOn w:val="TableNormal"/>
    <w:next w:val="GridTable7Colorful"/>
    <w:uiPriority w:val="52"/>
    <w:locked/>
    <w:rsid w:val="00FC3476"/>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0">
    <w:name w:val="Grid Table 310"/>
    <w:basedOn w:val="TableNormal"/>
    <w:next w:val="GridTable3"/>
    <w:uiPriority w:val="48"/>
    <w:locked/>
    <w:rsid w:val="00C0672C"/>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7">
    <w:name w:val="Grid Table 7 Colorful37"/>
    <w:basedOn w:val="TableNormal"/>
    <w:next w:val="GridTable7Colorful"/>
    <w:uiPriority w:val="52"/>
    <w:locked/>
    <w:rsid w:val="000359C0"/>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8">
    <w:name w:val="Grid Table 7 Colorful38"/>
    <w:basedOn w:val="TableNormal"/>
    <w:next w:val="GridTable7Colorful"/>
    <w:uiPriority w:val="52"/>
    <w:rsid w:val="002C31B7"/>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39">
    <w:name w:val="Grid Table 7 Colorful39"/>
    <w:basedOn w:val="TableNormal"/>
    <w:next w:val="GridTable7Colorful"/>
    <w:uiPriority w:val="52"/>
    <w:locked/>
    <w:rsid w:val="002C31B7"/>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1">
    <w:name w:val="Grid Table 311"/>
    <w:basedOn w:val="TableNormal"/>
    <w:next w:val="GridTable3"/>
    <w:uiPriority w:val="48"/>
    <w:rsid w:val="002C31B7"/>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0">
    <w:name w:val="Grid Table 7 Colorful40"/>
    <w:basedOn w:val="TableNormal"/>
    <w:next w:val="GridTable7Colorful"/>
    <w:uiPriority w:val="52"/>
    <w:rsid w:val="009642A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1">
    <w:name w:val="Grid Table 7 Colorful41"/>
    <w:basedOn w:val="TableNormal"/>
    <w:next w:val="GridTable7Colorful"/>
    <w:uiPriority w:val="52"/>
    <w:rsid w:val="009642A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2">
    <w:name w:val="Grid Table 7 Colorful42"/>
    <w:basedOn w:val="TableNormal"/>
    <w:next w:val="GridTable7Colorful"/>
    <w:uiPriority w:val="52"/>
    <w:locked/>
    <w:rsid w:val="009642A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3">
    <w:name w:val="Grid Table 7 Colorful43"/>
    <w:basedOn w:val="TableNormal"/>
    <w:next w:val="GridTable7Colorful"/>
    <w:uiPriority w:val="52"/>
    <w:locked/>
    <w:rsid w:val="009642A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4">
    <w:name w:val="Grid Table 7 Colorful44"/>
    <w:basedOn w:val="TableNormal"/>
    <w:next w:val="GridTable7Colorful"/>
    <w:uiPriority w:val="52"/>
    <w:locked/>
    <w:rsid w:val="009642A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2">
    <w:name w:val="Grid Table 312"/>
    <w:basedOn w:val="TableNormal"/>
    <w:next w:val="GridTable3"/>
    <w:uiPriority w:val="48"/>
    <w:locked/>
    <w:rsid w:val="009642AC"/>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3">
    <w:name w:val="Grid Table 313"/>
    <w:basedOn w:val="TableNormal"/>
    <w:next w:val="GridTable3"/>
    <w:uiPriority w:val="48"/>
    <w:locked/>
    <w:rsid w:val="009642AC"/>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4">
    <w:name w:val="Grid Table 314"/>
    <w:basedOn w:val="TableNormal"/>
    <w:next w:val="GridTable3"/>
    <w:uiPriority w:val="48"/>
    <w:locked/>
    <w:rsid w:val="009642AC"/>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5">
    <w:name w:val="Grid Table 7 Colorful45"/>
    <w:basedOn w:val="TableNormal"/>
    <w:next w:val="GridTable7Colorful"/>
    <w:uiPriority w:val="52"/>
    <w:locked/>
    <w:rsid w:val="001D038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6">
    <w:name w:val="Grid Table 7 Colorful46"/>
    <w:basedOn w:val="TableNormal"/>
    <w:next w:val="GridTable7Colorful"/>
    <w:uiPriority w:val="52"/>
    <w:locked/>
    <w:rsid w:val="001D038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7">
    <w:name w:val="Grid Table 7 Colorful47"/>
    <w:basedOn w:val="TableNormal"/>
    <w:next w:val="GridTable7Colorful"/>
    <w:uiPriority w:val="52"/>
    <w:locked/>
    <w:rsid w:val="001D038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5">
    <w:name w:val="Grid Table 315"/>
    <w:basedOn w:val="TableNormal"/>
    <w:next w:val="GridTable3"/>
    <w:uiPriority w:val="48"/>
    <w:locked/>
    <w:rsid w:val="003B32B0"/>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6">
    <w:name w:val="Grid Table 316"/>
    <w:basedOn w:val="TableNormal"/>
    <w:next w:val="GridTable3"/>
    <w:uiPriority w:val="48"/>
    <w:locked/>
    <w:rsid w:val="003B32B0"/>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8">
    <w:name w:val="Grid Table 7 Colorful48"/>
    <w:basedOn w:val="TableNormal"/>
    <w:next w:val="GridTable7Colorful"/>
    <w:uiPriority w:val="52"/>
    <w:locked/>
    <w:rsid w:val="003B32B0"/>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49">
    <w:name w:val="Grid Table 7 Colorful49"/>
    <w:basedOn w:val="TableNormal"/>
    <w:next w:val="GridTable7Colorful"/>
    <w:uiPriority w:val="52"/>
    <w:locked/>
    <w:rsid w:val="0072479A"/>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0">
    <w:name w:val="Grid Table 7 Colorful50"/>
    <w:basedOn w:val="TableNormal"/>
    <w:next w:val="GridTable7Colorful"/>
    <w:uiPriority w:val="52"/>
    <w:locked/>
    <w:rsid w:val="004165A0"/>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1">
    <w:name w:val="Grid Table 7 Colorful51"/>
    <w:basedOn w:val="TableNormal"/>
    <w:next w:val="GridTable7Colorful"/>
    <w:uiPriority w:val="52"/>
    <w:locked/>
    <w:rsid w:val="004165A0"/>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2">
    <w:name w:val="Grid Table 7 Colorful52"/>
    <w:basedOn w:val="TableNormal"/>
    <w:next w:val="GridTable7Colorful"/>
    <w:uiPriority w:val="52"/>
    <w:locked/>
    <w:rsid w:val="00367AFB"/>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7">
    <w:name w:val="Grid Table 317"/>
    <w:basedOn w:val="TableNormal"/>
    <w:next w:val="GridTable3"/>
    <w:uiPriority w:val="48"/>
    <w:locked/>
    <w:rsid w:val="00367AFB"/>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3">
    <w:name w:val="Grid Table 7 Colorful53"/>
    <w:basedOn w:val="TableNormal"/>
    <w:next w:val="GridTable7Colorful"/>
    <w:uiPriority w:val="52"/>
    <w:locked/>
    <w:rsid w:val="00367AFB"/>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4">
    <w:name w:val="Grid Table 7 Colorful54"/>
    <w:basedOn w:val="TableNormal"/>
    <w:next w:val="GridTable7Colorful"/>
    <w:uiPriority w:val="52"/>
    <w:locked/>
    <w:rsid w:val="0061578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5">
    <w:name w:val="Grid Table 7 Colorful55"/>
    <w:basedOn w:val="TableNormal"/>
    <w:next w:val="GridTable7Colorful"/>
    <w:uiPriority w:val="52"/>
    <w:locked/>
    <w:rsid w:val="0061578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6">
    <w:name w:val="Grid Table 7 Colorful56"/>
    <w:basedOn w:val="TableNormal"/>
    <w:next w:val="GridTable7Colorful"/>
    <w:uiPriority w:val="52"/>
    <w:locked/>
    <w:rsid w:val="0061578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7">
    <w:name w:val="Grid Table 7 Colorful57"/>
    <w:basedOn w:val="TableNormal"/>
    <w:next w:val="GridTable7Colorful"/>
    <w:uiPriority w:val="52"/>
    <w:locked/>
    <w:rsid w:val="0061578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8">
    <w:name w:val="Grid Table 7 Colorful58"/>
    <w:basedOn w:val="TableNormal"/>
    <w:next w:val="GridTable7Colorful"/>
    <w:uiPriority w:val="52"/>
    <w:locked/>
    <w:rsid w:val="00615782"/>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59">
    <w:name w:val="Grid Table 7 Colorful59"/>
    <w:basedOn w:val="TableNormal"/>
    <w:next w:val="GridTable7Colorful"/>
    <w:uiPriority w:val="52"/>
    <w:locked/>
    <w:rsid w:val="00D35CE8"/>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0">
    <w:name w:val="Grid Table 7 Colorful60"/>
    <w:basedOn w:val="TableNormal"/>
    <w:next w:val="GridTable7Colorful"/>
    <w:uiPriority w:val="52"/>
    <w:locked/>
    <w:rsid w:val="00A87CD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1">
    <w:name w:val="Grid Table 7 Colorful61"/>
    <w:basedOn w:val="TableNormal"/>
    <w:next w:val="GridTable7Colorful"/>
    <w:uiPriority w:val="52"/>
    <w:locked/>
    <w:rsid w:val="00A87CD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2">
    <w:name w:val="Grid Table 7 Colorful62"/>
    <w:basedOn w:val="TableNormal"/>
    <w:next w:val="GridTable7Colorful"/>
    <w:uiPriority w:val="52"/>
    <w:locked/>
    <w:rsid w:val="00A87CD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3">
    <w:name w:val="Grid Table 7 Colorful63"/>
    <w:basedOn w:val="TableNormal"/>
    <w:next w:val="GridTable7Colorful"/>
    <w:uiPriority w:val="52"/>
    <w:locked/>
    <w:rsid w:val="00A87CD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4">
    <w:name w:val="Grid Table 7 Colorful64"/>
    <w:basedOn w:val="TableNormal"/>
    <w:next w:val="GridTable7Colorful"/>
    <w:uiPriority w:val="52"/>
    <w:locked/>
    <w:rsid w:val="00A87CD1"/>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5">
    <w:name w:val="Grid Table 7 Colorful65"/>
    <w:basedOn w:val="TableNormal"/>
    <w:next w:val="GridTable7Colorful"/>
    <w:uiPriority w:val="52"/>
    <w:locked/>
    <w:rsid w:val="004E7E9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6">
    <w:name w:val="Grid Table 7 Colorful66"/>
    <w:basedOn w:val="TableNormal"/>
    <w:next w:val="GridTable7Colorful"/>
    <w:uiPriority w:val="52"/>
    <w:locked/>
    <w:rsid w:val="004E7E9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7">
    <w:name w:val="Grid Table 7 Colorful67"/>
    <w:basedOn w:val="TableNormal"/>
    <w:next w:val="GridTable7Colorful"/>
    <w:uiPriority w:val="52"/>
    <w:locked/>
    <w:rsid w:val="004E7E9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8">
    <w:name w:val="Grid Table 7 Colorful68"/>
    <w:basedOn w:val="TableNormal"/>
    <w:next w:val="GridTable7Colorful"/>
    <w:uiPriority w:val="52"/>
    <w:locked/>
    <w:rsid w:val="004E7E9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69">
    <w:name w:val="Grid Table 7 Colorful69"/>
    <w:basedOn w:val="TableNormal"/>
    <w:next w:val="GridTable7Colorful"/>
    <w:uiPriority w:val="52"/>
    <w:locked/>
    <w:rsid w:val="0003104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0">
    <w:name w:val="Grid Table 7 Colorful70"/>
    <w:basedOn w:val="TableNormal"/>
    <w:next w:val="GridTable7Colorful"/>
    <w:uiPriority w:val="52"/>
    <w:locked/>
    <w:rsid w:val="0003104C"/>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1">
    <w:name w:val="Grid Table 7 Colorful71"/>
    <w:basedOn w:val="TableNormal"/>
    <w:next w:val="GridTable7Colorful"/>
    <w:uiPriority w:val="52"/>
    <w:locked/>
    <w:rsid w:val="00F0075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2">
    <w:name w:val="Grid Table 7 Colorful72"/>
    <w:basedOn w:val="TableNormal"/>
    <w:next w:val="GridTable7Colorful"/>
    <w:uiPriority w:val="52"/>
    <w:locked/>
    <w:rsid w:val="00F0075F"/>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3">
    <w:name w:val="Grid Table 7 Colorful73"/>
    <w:basedOn w:val="TableNormal"/>
    <w:next w:val="GridTable7Colorful"/>
    <w:uiPriority w:val="52"/>
    <w:locked/>
    <w:rsid w:val="005423E4"/>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4">
    <w:name w:val="Grid Table 7 Colorful74"/>
    <w:basedOn w:val="TableNormal"/>
    <w:next w:val="GridTable7Colorful"/>
    <w:uiPriority w:val="52"/>
    <w:locked/>
    <w:rsid w:val="005423E4"/>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5">
    <w:name w:val="Grid Table 7 Colorful75"/>
    <w:basedOn w:val="TableNormal"/>
    <w:next w:val="GridTable7Colorful"/>
    <w:uiPriority w:val="52"/>
    <w:locked/>
    <w:rsid w:val="005423E4"/>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6">
    <w:name w:val="Grid Table 7 Colorful76"/>
    <w:basedOn w:val="TableNormal"/>
    <w:next w:val="GridTable7Colorful"/>
    <w:uiPriority w:val="52"/>
    <w:locked/>
    <w:rsid w:val="00F5585E"/>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7">
    <w:name w:val="Grid Table 7 Colorful77"/>
    <w:basedOn w:val="TableNormal"/>
    <w:next w:val="GridTable7Colorful"/>
    <w:uiPriority w:val="52"/>
    <w:locked/>
    <w:rsid w:val="00F5585E"/>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8">
    <w:name w:val="Grid Table 7 Colorful78"/>
    <w:basedOn w:val="TableNormal"/>
    <w:next w:val="GridTable7Colorful"/>
    <w:uiPriority w:val="52"/>
    <w:locked/>
    <w:rsid w:val="00F5585E"/>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8">
    <w:name w:val="Grid Table 318"/>
    <w:basedOn w:val="TableNormal"/>
    <w:next w:val="GridTable3"/>
    <w:uiPriority w:val="48"/>
    <w:locked/>
    <w:rsid w:val="00F5585E"/>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19">
    <w:name w:val="Grid Table 319"/>
    <w:basedOn w:val="TableNormal"/>
    <w:next w:val="GridTable3"/>
    <w:uiPriority w:val="48"/>
    <w:locked/>
    <w:rsid w:val="00F5585E"/>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79">
    <w:name w:val="Grid Table 7 Colorful79"/>
    <w:basedOn w:val="TableNormal"/>
    <w:next w:val="GridTable7Colorful"/>
    <w:uiPriority w:val="52"/>
    <w:locked/>
    <w:rsid w:val="00F5585E"/>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20">
    <w:name w:val="Grid Table 320"/>
    <w:basedOn w:val="TableNormal"/>
    <w:next w:val="GridTable3"/>
    <w:uiPriority w:val="48"/>
    <w:locked/>
    <w:rsid w:val="00663E72"/>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21">
    <w:name w:val="Grid Table 321"/>
    <w:basedOn w:val="TableNormal"/>
    <w:next w:val="GridTable3"/>
    <w:uiPriority w:val="48"/>
    <w:rsid w:val="00663E72"/>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322">
    <w:name w:val="Grid Table 322"/>
    <w:basedOn w:val="TableNormal"/>
    <w:next w:val="GridTable3"/>
    <w:uiPriority w:val="48"/>
    <w:locked/>
    <w:rsid w:val="00536CCD"/>
    <w:pPr>
      <w:spacing w:before="0" w:after="0"/>
      <w:ind w:left="0"/>
    </w:pPr>
    <w:rPr>
      <w:sz w:val="24"/>
      <w:szCs w:val="24"/>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blStylePr w:type="firstRow">
      <w:rPr>
        <w:b/>
        <w:bCs/>
      </w:rPr>
      <w:tblPr/>
      <w:tcPr>
        <w:tcBorders>
          <w:top w:val="nil"/>
          <w:left w:val="nil"/>
          <w:right w:val="nil"/>
          <w:insideH w:val="nil"/>
          <w:insideV w:val="nil"/>
        </w:tcBorders>
        <w:shd w:val="clear" w:color="auto" w:fill="F6F6F7"/>
      </w:tcPr>
    </w:tblStylePr>
    <w:tblStylePr w:type="lastRow">
      <w:rPr>
        <w:b/>
        <w:bCs/>
      </w:rPr>
      <w:tblPr/>
      <w:tcPr>
        <w:tcBorders>
          <w:left w:val="nil"/>
          <w:bottom w:val="nil"/>
          <w:right w:val="nil"/>
          <w:insideH w:val="nil"/>
          <w:insideV w:val="nil"/>
        </w:tcBorders>
        <w:shd w:val="clear" w:color="auto" w:fill="F6F6F7"/>
      </w:tcPr>
    </w:tblStylePr>
    <w:tblStylePr w:type="firstCol">
      <w:pPr>
        <w:jc w:val="right"/>
      </w:pPr>
      <w:rPr>
        <w:i/>
        <w:iCs/>
      </w:rPr>
      <w:tblPr/>
      <w:tcPr>
        <w:tcBorders>
          <w:top w:val="nil"/>
          <w:left w:val="nil"/>
          <w:bottom w:val="nil"/>
          <w:insideH w:val="nil"/>
          <w:insideV w:val="nil"/>
        </w:tcBorders>
        <w:shd w:val="clear" w:color="auto" w:fill="F6F6F7"/>
      </w:tcPr>
    </w:tblStylePr>
    <w:tblStylePr w:type="lastCol">
      <w:rPr>
        <w:i/>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0">
    <w:name w:val="Grid Table 7 Colorful80"/>
    <w:basedOn w:val="TableNormal"/>
    <w:next w:val="GridTable7Colorful"/>
    <w:uiPriority w:val="52"/>
    <w:locked/>
    <w:rsid w:val="00536CC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1">
    <w:name w:val="Grid Table 7 Colorful81"/>
    <w:basedOn w:val="TableNormal"/>
    <w:next w:val="GridTable7Colorful"/>
    <w:uiPriority w:val="52"/>
    <w:locked/>
    <w:rsid w:val="00536CC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2">
    <w:name w:val="Grid Table 7 Colorful82"/>
    <w:basedOn w:val="TableNormal"/>
    <w:next w:val="GridTable7Colorful"/>
    <w:uiPriority w:val="52"/>
    <w:locked/>
    <w:rsid w:val="00536CCD"/>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3">
    <w:name w:val="Grid Table 7 Colorful83"/>
    <w:basedOn w:val="TableNormal"/>
    <w:next w:val="GridTable7Colorful"/>
    <w:uiPriority w:val="52"/>
    <w:locked/>
    <w:rsid w:val="005B2A87"/>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4">
    <w:name w:val="Grid Table 7 Colorful84"/>
    <w:basedOn w:val="TableNormal"/>
    <w:next w:val="GridTable7Colorful"/>
    <w:uiPriority w:val="52"/>
    <w:rsid w:val="005B2A87"/>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5">
    <w:name w:val="Grid Table 7 Colorful85"/>
    <w:basedOn w:val="TableNormal"/>
    <w:next w:val="GridTable7Colorful"/>
    <w:uiPriority w:val="52"/>
    <w:locked/>
    <w:rsid w:val="003E6B63"/>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table" w:customStyle="1" w:styleId="GridTable7Colorful86">
    <w:name w:val="Grid Table 7 Colorful86"/>
    <w:basedOn w:val="TableNormal"/>
    <w:next w:val="GridTable7Colorful"/>
    <w:uiPriority w:val="52"/>
    <w:locked/>
    <w:rsid w:val="003E6B63"/>
    <w:pPr>
      <w:keepNext/>
      <w:spacing w:before="0" w:after="0"/>
      <w:ind w:left="0"/>
      <w:jc w:val="right"/>
    </w:pPr>
    <w:rPr>
      <w:rFonts w:eastAsia="Times New Roman" w:cs="Times New Roman"/>
      <w:color w:val="19172B"/>
      <w:sz w:val="18"/>
      <w:szCs w:val="20"/>
    </w:rPr>
    <w:tblPr>
      <w:tblStyleRowBandSize w:val="1"/>
      <w:tblStyleColBandSize w:val="1"/>
      <w:tblBorders>
        <w:top w:val="single" w:sz="4" w:space="0" w:color="5C559E"/>
        <w:left w:val="single" w:sz="4" w:space="0" w:color="5C559E"/>
        <w:bottom w:val="single" w:sz="4" w:space="0" w:color="5C559E"/>
        <w:right w:val="single" w:sz="4" w:space="0" w:color="5C559E"/>
        <w:insideH w:val="single" w:sz="4" w:space="0" w:color="5C559E"/>
        <w:insideV w:val="single" w:sz="4" w:space="0" w:color="5C559E"/>
      </w:tblBorders>
    </w:tblPr>
    <w:tcPr>
      <w:vAlign w:val="center"/>
    </w:tcPr>
    <w:tblStylePr w:type="firstRow">
      <w:pPr>
        <w:jc w:val="center"/>
      </w:pPr>
      <w:rPr>
        <w:b/>
        <w:bCs/>
      </w:rPr>
      <w:tblPr/>
      <w:tcPr>
        <w:tcBorders>
          <w:top w:val="nil"/>
          <w:left w:val="nil"/>
          <w:right w:val="nil"/>
          <w:insideH w:val="nil"/>
          <w:insideV w:val="nil"/>
        </w:tcBorders>
        <w:shd w:val="clear" w:color="auto" w:fill="F6F6F7"/>
        <w:vAlign w:val="bottom"/>
      </w:tcPr>
    </w:tblStylePr>
    <w:tblStylePr w:type="lastRow">
      <w:rPr>
        <w:b/>
        <w:bCs/>
      </w:rPr>
      <w:tblPr/>
      <w:tcPr>
        <w:tcBorders>
          <w:left w:val="nil"/>
          <w:bottom w:val="nil"/>
          <w:right w:val="nil"/>
          <w:insideH w:val="nil"/>
          <w:insideV w:val="nil"/>
        </w:tcBorders>
        <w:shd w:val="clear" w:color="auto" w:fill="F6F6F7"/>
      </w:tcPr>
    </w:tblStylePr>
    <w:tblStylePr w:type="firstCol">
      <w:pPr>
        <w:jc w:val="left"/>
      </w:pPr>
      <w:rPr>
        <w:i w:val="0"/>
        <w:iCs/>
      </w:rPr>
      <w:tblPr/>
      <w:tcPr>
        <w:tcBorders>
          <w:top w:val="nil"/>
          <w:left w:val="nil"/>
          <w:bottom w:val="nil"/>
          <w:insideH w:val="nil"/>
          <w:insideV w:val="nil"/>
        </w:tcBorders>
        <w:shd w:val="clear" w:color="auto" w:fill="F6F6F7"/>
      </w:tcPr>
    </w:tblStylePr>
    <w:tblStylePr w:type="lastCol">
      <w:rPr>
        <w:i w:val="0"/>
        <w:iCs/>
      </w:rPr>
      <w:tblPr/>
      <w:tcPr>
        <w:tcBorders>
          <w:top w:val="nil"/>
          <w:bottom w:val="nil"/>
          <w:right w:val="nil"/>
          <w:insideH w:val="nil"/>
          <w:insideV w:val="nil"/>
        </w:tcBorders>
        <w:shd w:val="clear" w:color="auto" w:fill="F6F6F7"/>
      </w:tcPr>
    </w:tblStylePr>
    <w:tblStylePr w:type="band1Vert">
      <w:tblPr/>
      <w:tcPr>
        <w:shd w:val="clear" w:color="auto" w:fill="C7C5E0"/>
      </w:tcPr>
    </w:tblStylePr>
    <w:tblStylePr w:type="band1Horz">
      <w:tblPr/>
      <w:tcPr>
        <w:shd w:val="clear" w:color="auto" w:fill="C7C5E0"/>
      </w:tcPr>
    </w:tblStylePr>
    <w:tblStylePr w:type="neCell">
      <w:tblPr/>
      <w:tcPr>
        <w:tcBorders>
          <w:bottom w:val="single" w:sz="4" w:space="0" w:color="5C559E"/>
        </w:tcBorders>
      </w:tcPr>
    </w:tblStylePr>
    <w:tblStylePr w:type="nwCell">
      <w:tblPr/>
      <w:tcPr>
        <w:tcBorders>
          <w:bottom w:val="single" w:sz="4" w:space="0" w:color="5C559E"/>
        </w:tcBorders>
      </w:tcPr>
    </w:tblStylePr>
    <w:tblStylePr w:type="seCell">
      <w:tblPr/>
      <w:tcPr>
        <w:tcBorders>
          <w:top w:val="single" w:sz="4" w:space="0" w:color="5C559E"/>
        </w:tcBorders>
      </w:tcPr>
    </w:tblStylePr>
    <w:tblStylePr w:type="swCell">
      <w:tblPr/>
      <w:tcPr>
        <w:tcBorders>
          <w:top w:val="single" w:sz="4" w:space="0" w:color="5C559E"/>
        </w:tcBorders>
      </w:tcPr>
    </w:tblStylePr>
  </w:style>
  <w:style w:type="paragraph" w:customStyle="1" w:styleId="ExecutiveSummaryHeader">
    <w:name w:val="Executive Summary Header"/>
    <w:basedOn w:val="AEGSectionHeaderNoNumber"/>
    <w:rsid w:val="000D5A7F"/>
    <w:rPr>
      <w:lang w:eastAsia="ja-JP"/>
    </w:rPr>
  </w:style>
  <w:style w:type="paragraph" w:customStyle="1" w:styleId="ExecutiveSummaryCaptioning">
    <w:name w:val="Executive Summary Captioning"/>
    <w:basedOn w:val="FigureorTableCaption"/>
    <w:rsid w:val="000D5A7F"/>
    <w:rPr>
      <w:szCs w:val="12"/>
    </w:rPr>
  </w:style>
  <w:style w:type="numbering" w:customStyle="1" w:styleId="Style11">
    <w:name w:val="Style11"/>
    <w:uiPriority w:val="99"/>
    <w:rsid w:val="00122817"/>
  </w:style>
  <w:style w:type="table" w:customStyle="1" w:styleId="Style3">
    <w:name w:val="Style3"/>
    <w:basedOn w:val="TableNormal"/>
    <w:uiPriority w:val="99"/>
    <w:rsid w:val="00E97469"/>
    <w:pPr>
      <w:spacing w:before="0" w:after="0"/>
      <w:ind w:left="0"/>
      <w:jc w:val="center"/>
    </w:pPr>
    <w:rPr>
      <w:rFonts w:ascii="GT Eesti Display Light" w:eastAsia="Times New Roman" w:hAnsi="GT Eesti Display Light" w:cs="Times New Roman"/>
      <w:sz w:val="18"/>
      <w:szCs w:val="20"/>
    </w:rPr>
    <w:tblPr>
      <w:tblStyleRowBandSize w:val="1"/>
      <w:tblStyleColBandSize w:val="1"/>
      <w:tblBorders>
        <w:bottom w:val="single" w:sz="4" w:space="0" w:color="00B3FF" w:themeColor="accent3"/>
        <w:insideH w:val="single" w:sz="4" w:space="0" w:color="00B3FF" w:themeColor="accent3"/>
      </w:tblBorders>
    </w:tblPr>
    <w:tcPr>
      <w:tcMar>
        <w:top w:w="29" w:type="dxa"/>
        <w:left w:w="115" w:type="dxa"/>
        <w:bottom w:w="29" w:type="dxa"/>
        <w:right w:w="115" w:type="dxa"/>
      </w:tcMar>
      <w:vAlign w:val="center"/>
    </w:tcPr>
    <w:tblStylePr w:type="firstRow">
      <w:pPr>
        <w:wordWrap/>
        <w:ind w:leftChars="0" w:left="0" w:rightChars="0" w:right="0"/>
        <w:jc w:val="center"/>
      </w:pPr>
      <w:rPr>
        <w:rFonts w:ascii="Segoe UI Variable Text" w:hAnsi="Segoe UI Variable Text"/>
        <w:color w:val="F6F6F7" w:themeColor="background1"/>
        <w:sz w:val="18"/>
      </w:rPr>
      <w:tblPr/>
      <w:tcPr>
        <w:shd w:val="clear" w:color="auto" w:fill="19172B" w:themeFill="text1"/>
      </w:tcPr>
    </w:tblStylePr>
    <w:tblStylePr w:type="firstCol">
      <w:pPr>
        <w:wordWrap/>
        <w:ind w:leftChars="0" w:left="0"/>
        <w:jc w:val="left"/>
      </w:pPr>
      <w:rPr>
        <w:rFonts w:ascii="Segoe UI Variable Text" w:hAnsi="Segoe UI Variable Text"/>
        <w:sz w:val="18"/>
      </w:rPr>
    </w:tblStylePr>
    <w:tblStylePr w:type="band1Vert">
      <w:pPr>
        <w:wordWrap/>
        <w:ind w:leftChars="0" w:left="0" w:rightChars="0" w:right="0"/>
        <w:jc w:val="center"/>
      </w:pPr>
    </w:tblStylePr>
    <w:tblStylePr w:type="band2Vert">
      <w:pPr>
        <w:wordWrap/>
        <w:ind w:leftChars="0" w:left="0" w:rightChars="0" w:right="0"/>
        <w:jc w:val="center"/>
      </w:pPr>
    </w:tblStylePr>
    <w:tblStylePr w:type="band1Horz">
      <w:pPr>
        <w:wordWrap/>
        <w:ind w:leftChars="0" w:left="0" w:rightChars="0" w:right="0"/>
        <w:jc w:val="center"/>
      </w:pPr>
    </w:tblStylePr>
    <w:tblStylePr w:type="band2Horz">
      <w:pPr>
        <w:wordWrap/>
        <w:ind w:leftChars="0" w:left="0" w:rightChars="0" w:right="0"/>
        <w:jc w:val="center"/>
      </w:pPr>
      <w:tblPr/>
      <w:tcPr>
        <w:shd w:val="clear" w:color="auto" w:fill="D7F6EB" w:themeFill="accent6" w:themeFillTint="33"/>
      </w:tcPr>
    </w:tblStylePr>
  </w:style>
  <w:style w:type="paragraph" w:customStyle="1" w:styleId="BulletedListLvl1">
    <w:name w:val="Bulleted List Lvl 1"/>
    <w:basedOn w:val="Normal"/>
    <w:autoRedefine/>
    <w:qFormat/>
    <w:rsid w:val="00DA2823"/>
    <w:pPr>
      <w:numPr>
        <w:numId w:val="12"/>
      </w:numPr>
      <w:spacing w:before="120" w:after="120" w:line="240" w:lineRule="atLeast"/>
      <w:ind w:left="360"/>
    </w:pPr>
    <w:rPr>
      <w:rFonts w:ascii="GT Eesti Display Light" w:eastAsia="Times New Roman" w:hAnsi="GT Eesti Display Light" w:cs="Tahoma"/>
      <w:spacing w:val="4"/>
      <w:kern w:val="18"/>
      <w:sz w:val="20"/>
      <w:szCs w:val="18"/>
    </w:rPr>
  </w:style>
  <w:style w:type="paragraph" w:customStyle="1" w:styleId="Bulletlistindent1">
    <w:name w:val="Bullet list indent 1"/>
    <w:basedOn w:val="Normal"/>
    <w:qFormat/>
    <w:rsid w:val="00454138"/>
    <w:pPr>
      <w:numPr>
        <w:numId w:val="13"/>
      </w:numPr>
      <w:tabs>
        <w:tab w:val="left" w:pos="360"/>
      </w:tabs>
      <w:spacing w:before="80" w:after="80" w:line="240" w:lineRule="atLeast"/>
      <w:ind w:left="720"/>
    </w:pPr>
    <w:rPr>
      <w:rFonts w:ascii="GT Eesti Display Light" w:eastAsia="Times New Roman" w:hAnsi="GT Eesti Display Light" w:cs="Tahoma"/>
      <w:spacing w:val="4"/>
      <w:kern w:val="18"/>
      <w:sz w:val="20"/>
      <w:szCs w:val="18"/>
    </w:rPr>
  </w:style>
  <w:style w:type="paragraph" w:customStyle="1" w:styleId="NumberedList0">
    <w:name w:val="Numbered List"/>
    <w:basedOn w:val="BodyText"/>
    <w:link w:val="NumberedListChar0"/>
    <w:qFormat/>
    <w:rsid w:val="00C9743B"/>
    <w:pPr>
      <w:spacing w:before="120" w:after="120" w:line="240" w:lineRule="atLeast"/>
    </w:pPr>
    <w:rPr>
      <w:rFonts w:ascii="GT Eesti Display Light" w:eastAsia="Times New Roman" w:hAnsi="GT Eesti Display Light" w:cs="Tahoma"/>
      <w:spacing w:val="4"/>
      <w:kern w:val="18"/>
      <w:sz w:val="20"/>
      <w:szCs w:val="18"/>
    </w:rPr>
  </w:style>
  <w:style w:type="character" w:customStyle="1" w:styleId="NumberedListChar0">
    <w:name w:val="Numbered List Char"/>
    <w:basedOn w:val="DefaultParagraphFont"/>
    <w:link w:val="NumberedList0"/>
    <w:rsid w:val="00C9743B"/>
    <w:rPr>
      <w:rFonts w:ascii="GT Eesti Display Light" w:eastAsia="Times New Roman" w:hAnsi="GT Eesti Display Light" w:cs="Tahoma"/>
      <w:spacing w:val="4"/>
      <w:kern w:val="18"/>
      <w:sz w:val="20"/>
      <w:szCs w:val="18"/>
    </w:rPr>
  </w:style>
  <w:style w:type="character" w:customStyle="1" w:styleId="BulletedListChar">
    <w:name w:val="Bulleted List Char"/>
    <w:basedOn w:val="DefaultParagraphFont"/>
    <w:semiHidden/>
    <w:rsid w:val="00CA02A5"/>
    <w:rPr>
      <w:rFonts w:ascii="Tahoma" w:hAnsi="Tahoma" w:cs="Tahoma"/>
      <w:spacing w:val="4"/>
      <w:sz w:val="18"/>
      <w:szCs w:val="18"/>
    </w:rPr>
  </w:style>
  <w:style w:type="paragraph" w:styleId="CommentText">
    <w:name w:val="annotation text"/>
    <w:basedOn w:val="Normal"/>
    <w:link w:val="CommentTextChar"/>
    <w:unhideWhenUsed/>
    <w:locked/>
    <w:rsid w:val="00426A3E"/>
    <w:rPr>
      <w:sz w:val="20"/>
      <w:szCs w:val="20"/>
    </w:rPr>
  </w:style>
  <w:style w:type="character" w:customStyle="1" w:styleId="CommentTextChar">
    <w:name w:val="Comment Text Char"/>
    <w:basedOn w:val="DefaultParagraphFont"/>
    <w:link w:val="CommentText"/>
    <w:rsid w:val="00426A3E"/>
    <w:rPr>
      <w:rFonts w:cs="Calibri"/>
      <w:sz w:val="20"/>
      <w:szCs w:val="20"/>
    </w:rPr>
  </w:style>
  <w:style w:type="paragraph" w:styleId="Revision">
    <w:name w:val="Revision"/>
    <w:hidden/>
    <w:uiPriority w:val="99"/>
    <w:semiHidden/>
    <w:rsid w:val="002357DE"/>
    <w:pPr>
      <w:spacing w:before="0" w:after="0"/>
      <w:ind w:left="0"/>
    </w:pPr>
    <w:rPr>
      <w:rFonts w:cs="Calibri"/>
    </w:rPr>
  </w:style>
  <w:style w:type="paragraph" w:customStyle="1" w:styleId="ReportAuthors">
    <w:name w:val="Report Authors"/>
    <w:basedOn w:val="BodyText"/>
    <w:autoRedefine/>
    <w:rsid w:val="00CD1A99"/>
    <w:pPr>
      <w:tabs>
        <w:tab w:val="left" w:pos="1710"/>
      </w:tabs>
      <w:spacing w:before="40" w:after="40"/>
      <w:ind w:left="1714" w:hanging="1714"/>
      <w:jc w:val="left"/>
    </w:pPr>
    <w:rPr>
      <w:rFonts w:ascii="GT Eesti Display Light" w:eastAsia="Times New Roman" w:hAnsi="GT Eesti Display Light" w:cs="Times New Roman"/>
      <w:spacing w:val="4"/>
      <w:kern w:val="18"/>
      <w:sz w:val="20"/>
      <w:szCs w:val="18"/>
    </w:rPr>
  </w:style>
  <w:style w:type="character" w:styleId="Mention">
    <w:name w:val="Mention"/>
    <w:basedOn w:val="DefaultParagraphFont"/>
    <w:uiPriority w:val="99"/>
    <w:unhideWhenUsed/>
    <w:locked/>
    <w:rsid w:val="009E7676"/>
    <w:rPr>
      <w:color w:val="2B579A"/>
      <w:shd w:val="clear" w:color="auto" w:fill="E1DFDD"/>
    </w:rPr>
  </w:style>
  <w:style w:type="paragraph" w:customStyle="1" w:styleId="CompanyInformation">
    <w:name w:val="Company Information"/>
    <w:basedOn w:val="Normal"/>
    <w:link w:val="CompanyInformationChar"/>
    <w:semiHidden/>
    <w:rsid w:val="00307E22"/>
    <w:pPr>
      <w:jc w:val="left"/>
    </w:pPr>
    <w:rPr>
      <w:rFonts w:ascii="Verdana" w:eastAsia="Times New Roman" w:hAnsi="Verdana" w:cs="Times New Roman"/>
      <w:color w:val="808080"/>
      <w:sz w:val="15"/>
      <w:szCs w:val="20"/>
    </w:rPr>
  </w:style>
  <w:style w:type="character" w:customStyle="1" w:styleId="CompanyInformationChar">
    <w:name w:val="Company Information Char"/>
    <w:basedOn w:val="DefaultParagraphFont"/>
    <w:link w:val="CompanyInformation"/>
    <w:semiHidden/>
    <w:rsid w:val="00307E22"/>
    <w:rPr>
      <w:rFonts w:ascii="Verdana" w:eastAsia="Times New Roman" w:hAnsi="Verdana" w:cs="Times New Roman"/>
      <w:color w:val="808080"/>
      <w:sz w:val="15"/>
      <w:szCs w:val="20"/>
    </w:rPr>
  </w:style>
  <w:style w:type="paragraph" w:customStyle="1" w:styleId="CompanyInformationBold">
    <w:name w:val="Company Information Bold"/>
    <w:basedOn w:val="CompanyInformation"/>
    <w:semiHidden/>
    <w:rsid w:val="00307E22"/>
    <w:rPr>
      <w:b/>
    </w:rPr>
  </w:style>
  <w:style w:type="character" w:styleId="PageNumber">
    <w:name w:val="page number"/>
    <w:basedOn w:val="BodyTextChar"/>
    <w:locked/>
    <w:rsid w:val="00307E22"/>
    <w:rPr>
      <w:rFonts w:asciiTheme="majorHAnsi" w:hAnsiTheme="majorHAnsi" w:cs="Calibri"/>
      <w:caps w:val="0"/>
      <w:smallCaps w:val="0"/>
      <w:strike w:val="0"/>
      <w:dstrike w:val="0"/>
      <w:noProof/>
      <w:vanish w:val="0"/>
      <w:color w:val="747482" w:themeColor="background1" w:themeShade="80"/>
      <w:spacing w:val="4"/>
      <w:kern w:val="18"/>
      <w:sz w:val="18"/>
      <w:szCs w:val="18"/>
      <w:vertAlign w:val="baseline"/>
      <w14:ligatures w14:val="standardContextual"/>
    </w:rPr>
  </w:style>
  <w:style w:type="paragraph" w:styleId="ListNumber">
    <w:name w:val="List Number"/>
    <w:basedOn w:val="Normal"/>
    <w:semiHidden/>
    <w:locked/>
    <w:rsid w:val="00D16B70"/>
    <w:pPr>
      <w:numPr>
        <w:numId w:val="21"/>
      </w:numPr>
      <w:jc w:val="left"/>
    </w:pPr>
    <w:rPr>
      <w:rFonts w:ascii="Tahoma" w:eastAsia="Times New Roman" w:hAnsi="Tahoma" w:cs="Times New Roman"/>
      <w:sz w:val="20"/>
      <w:szCs w:val="20"/>
    </w:rPr>
  </w:style>
  <w:style w:type="paragraph" w:customStyle="1" w:styleId="AppendixTitle">
    <w:name w:val="Appendix Title"/>
    <w:basedOn w:val="Normal"/>
    <w:next w:val="BodyText"/>
    <w:link w:val="AppendixTitleChar"/>
    <w:rsid w:val="00307E22"/>
    <w:pPr>
      <w:spacing w:before="240" w:after="120" w:line="240" w:lineRule="atLeast"/>
      <w:jc w:val="left"/>
      <w:outlineLvl w:val="0"/>
    </w:pPr>
    <w:rPr>
      <w:rFonts w:asciiTheme="majorHAnsi" w:eastAsia="Times New Roman" w:hAnsiTheme="majorHAnsi" w:cs="Times New Roman"/>
      <w:caps/>
      <w:color w:val="444C5E" w:themeColor="text2"/>
      <w:spacing w:val="8"/>
      <w:sz w:val="36"/>
      <w:szCs w:val="28"/>
    </w:rPr>
  </w:style>
  <w:style w:type="character" w:customStyle="1" w:styleId="AppendixTitleChar">
    <w:name w:val="Appendix Title Char"/>
    <w:basedOn w:val="DefaultParagraphFont"/>
    <w:link w:val="AppendixTitle"/>
    <w:rsid w:val="00307E22"/>
    <w:rPr>
      <w:rFonts w:asciiTheme="majorHAnsi" w:eastAsia="Times New Roman" w:hAnsiTheme="majorHAnsi" w:cs="Times New Roman"/>
      <w:caps/>
      <w:color w:val="444C5E" w:themeColor="text2"/>
      <w:spacing w:val="8"/>
      <w:sz w:val="36"/>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29743">
      <w:bodyDiv w:val="1"/>
      <w:marLeft w:val="0"/>
      <w:marRight w:val="0"/>
      <w:marTop w:val="0"/>
      <w:marBottom w:val="0"/>
      <w:divBdr>
        <w:top w:val="none" w:sz="0" w:space="0" w:color="auto"/>
        <w:left w:val="none" w:sz="0" w:space="0" w:color="auto"/>
        <w:bottom w:val="none" w:sz="0" w:space="0" w:color="auto"/>
        <w:right w:val="none" w:sz="0" w:space="0" w:color="auto"/>
      </w:divBdr>
    </w:div>
    <w:div w:id="26368916">
      <w:bodyDiv w:val="1"/>
      <w:marLeft w:val="0"/>
      <w:marRight w:val="0"/>
      <w:marTop w:val="0"/>
      <w:marBottom w:val="0"/>
      <w:divBdr>
        <w:top w:val="none" w:sz="0" w:space="0" w:color="auto"/>
        <w:left w:val="none" w:sz="0" w:space="0" w:color="auto"/>
        <w:bottom w:val="none" w:sz="0" w:space="0" w:color="auto"/>
        <w:right w:val="none" w:sz="0" w:space="0" w:color="auto"/>
      </w:divBdr>
    </w:div>
    <w:div w:id="31923202">
      <w:bodyDiv w:val="1"/>
      <w:marLeft w:val="0"/>
      <w:marRight w:val="0"/>
      <w:marTop w:val="0"/>
      <w:marBottom w:val="0"/>
      <w:divBdr>
        <w:top w:val="none" w:sz="0" w:space="0" w:color="auto"/>
        <w:left w:val="none" w:sz="0" w:space="0" w:color="auto"/>
        <w:bottom w:val="none" w:sz="0" w:space="0" w:color="auto"/>
        <w:right w:val="none" w:sz="0" w:space="0" w:color="auto"/>
      </w:divBdr>
    </w:div>
    <w:div w:id="44180121">
      <w:bodyDiv w:val="1"/>
      <w:marLeft w:val="0"/>
      <w:marRight w:val="0"/>
      <w:marTop w:val="0"/>
      <w:marBottom w:val="0"/>
      <w:divBdr>
        <w:top w:val="none" w:sz="0" w:space="0" w:color="auto"/>
        <w:left w:val="none" w:sz="0" w:space="0" w:color="auto"/>
        <w:bottom w:val="none" w:sz="0" w:space="0" w:color="auto"/>
        <w:right w:val="none" w:sz="0" w:space="0" w:color="auto"/>
      </w:divBdr>
    </w:div>
    <w:div w:id="52392789">
      <w:bodyDiv w:val="1"/>
      <w:marLeft w:val="0"/>
      <w:marRight w:val="0"/>
      <w:marTop w:val="0"/>
      <w:marBottom w:val="0"/>
      <w:divBdr>
        <w:top w:val="none" w:sz="0" w:space="0" w:color="auto"/>
        <w:left w:val="none" w:sz="0" w:space="0" w:color="auto"/>
        <w:bottom w:val="none" w:sz="0" w:space="0" w:color="auto"/>
        <w:right w:val="none" w:sz="0" w:space="0" w:color="auto"/>
      </w:divBdr>
    </w:div>
    <w:div w:id="67584334">
      <w:bodyDiv w:val="1"/>
      <w:marLeft w:val="0"/>
      <w:marRight w:val="0"/>
      <w:marTop w:val="0"/>
      <w:marBottom w:val="0"/>
      <w:divBdr>
        <w:top w:val="none" w:sz="0" w:space="0" w:color="auto"/>
        <w:left w:val="none" w:sz="0" w:space="0" w:color="auto"/>
        <w:bottom w:val="none" w:sz="0" w:space="0" w:color="auto"/>
        <w:right w:val="none" w:sz="0" w:space="0" w:color="auto"/>
      </w:divBdr>
    </w:div>
    <w:div w:id="72355246">
      <w:bodyDiv w:val="1"/>
      <w:marLeft w:val="0"/>
      <w:marRight w:val="0"/>
      <w:marTop w:val="0"/>
      <w:marBottom w:val="0"/>
      <w:divBdr>
        <w:top w:val="none" w:sz="0" w:space="0" w:color="auto"/>
        <w:left w:val="none" w:sz="0" w:space="0" w:color="auto"/>
        <w:bottom w:val="none" w:sz="0" w:space="0" w:color="auto"/>
        <w:right w:val="none" w:sz="0" w:space="0" w:color="auto"/>
      </w:divBdr>
    </w:div>
    <w:div w:id="75589001">
      <w:bodyDiv w:val="1"/>
      <w:marLeft w:val="0"/>
      <w:marRight w:val="0"/>
      <w:marTop w:val="0"/>
      <w:marBottom w:val="0"/>
      <w:divBdr>
        <w:top w:val="none" w:sz="0" w:space="0" w:color="auto"/>
        <w:left w:val="none" w:sz="0" w:space="0" w:color="auto"/>
        <w:bottom w:val="none" w:sz="0" w:space="0" w:color="auto"/>
        <w:right w:val="none" w:sz="0" w:space="0" w:color="auto"/>
      </w:divBdr>
    </w:div>
    <w:div w:id="156313779">
      <w:bodyDiv w:val="1"/>
      <w:marLeft w:val="0"/>
      <w:marRight w:val="0"/>
      <w:marTop w:val="0"/>
      <w:marBottom w:val="0"/>
      <w:divBdr>
        <w:top w:val="none" w:sz="0" w:space="0" w:color="auto"/>
        <w:left w:val="none" w:sz="0" w:space="0" w:color="auto"/>
        <w:bottom w:val="none" w:sz="0" w:space="0" w:color="auto"/>
        <w:right w:val="none" w:sz="0" w:space="0" w:color="auto"/>
      </w:divBdr>
    </w:div>
    <w:div w:id="166215759">
      <w:bodyDiv w:val="1"/>
      <w:marLeft w:val="0"/>
      <w:marRight w:val="0"/>
      <w:marTop w:val="0"/>
      <w:marBottom w:val="0"/>
      <w:divBdr>
        <w:top w:val="none" w:sz="0" w:space="0" w:color="auto"/>
        <w:left w:val="none" w:sz="0" w:space="0" w:color="auto"/>
        <w:bottom w:val="none" w:sz="0" w:space="0" w:color="auto"/>
        <w:right w:val="none" w:sz="0" w:space="0" w:color="auto"/>
      </w:divBdr>
    </w:div>
    <w:div w:id="170529806">
      <w:bodyDiv w:val="1"/>
      <w:marLeft w:val="0"/>
      <w:marRight w:val="0"/>
      <w:marTop w:val="0"/>
      <w:marBottom w:val="0"/>
      <w:divBdr>
        <w:top w:val="none" w:sz="0" w:space="0" w:color="auto"/>
        <w:left w:val="none" w:sz="0" w:space="0" w:color="auto"/>
        <w:bottom w:val="none" w:sz="0" w:space="0" w:color="auto"/>
        <w:right w:val="none" w:sz="0" w:space="0" w:color="auto"/>
      </w:divBdr>
    </w:div>
    <w:div w:id="207422372">
      <w:bodyDiv w:val="1"/>
      <w:marLeft w:val="0"/>
      <w:marRight w:val="0"/>
      <w:marTop w:val="0"/>
      <w:marBottom w:val="0"/>
      <w:divBdr>
        <w:top w:val="none" w:sz="0" w:space="0" w:color="auto"/>
        <w:left w:val="none" w:sz="0" w:space="0" w:color="auto"/>
        <w:bottom w:val="none" w:sz="0" w:space="0" w:color="auto"/>
        <w:right w:val="none" w:sz="0" w:space="0" w:color="auto"/>
      </w:divBdr>
    </w:div>
    <w:div w:id="208617135">
      <w:bodyDiv w:val="1"/>
      <w:marLeft w:val="0"/>
      <w:marRight w:val="0"/>
      <w:marTop w:val="0"/>
      <w:marBottom w:val="0"/>
      <w:divBdr>
        <w:top w:val="none" w:sz="0" w:space="0" w:color="auto"/>
        <w:left w:val="none" w:sz="0" w:space="0" w:color="auto"/>
        <w:bottom w:val="none" w:sz="0" w:space="0" w:color="auto"/>
        <w:right w:val="none" w:sz="0" w:space="0" w:color="auto"/>
      </w:divBdr>
    </w:div>
    <w:div w:id="213002499">
      <w:bodyDiv w:val="1"/>
      <w:marLeft w:val="0"/>
      <w:marRight w:val="0"/>
      <w:marTop w:val="0"/>
      <w:marBottom w:val="0"/>
      <w:divBdr>
        <w:top w:val="none" w:sz="0" w:space="0" w:color="auto"/>
        <w:left w:val="none" w:sz="0" w:space="0" w:color="auto"/>
        <w:bottom w:val="none" w:sz="0" w:space="0" w:color="auto"/>
        <w:right w:val="none" w:sz="0" w:space="0" w:color="auto"/>
      </w:divBdr>
    </w:div>
    <w:div w:id="223219797">
      <w:bodyDiv w:val="1"/>
      <w:marLeft w:val="0"/>
      <w:marRight w:val="0"/>
      <w:marTop w:val="0"/>
      <w:marBottom w:val="0"/>
      <w:divBdr>
        <w:top w:val="none" w:sz="0" w:space="0" w:color="auto"/>
        <w:left w:val="none" w:sz="0" w:space="0" w:color="auto"/>
        <w:bottom w:val="none" w:sz="0" w:space="0" w:color="auto"/>
        <w:right w:val="none" w:sz="0" w:space="0" w:color="auto"/>
      </w:divBdr>
    </w:div>
    <w:div w:id="242842488">
      <w:bodyDiv w:val="1"/>
      <w:marLeft w:val="0"/>
      <w:marRight w:val="0"/>
      <w:marTop w:val="0"/>
      <w:marBottom w:val="0"/>
      <w:divBdr>
        <w:top w:val="none" w:sz="0" w:space="0" w:color="auto"/>
        <w:left w:val="none" w:sz="0" w:space="0" w:color="auto"/>
        <w:bottom w:val="none" w:sz="0" w:space="0" w:color="auto"/>
        <w:right w:val="none" w:sz="0" w:space="0" w:color="auto"/>
      </w:divBdr>
    </w:div>
    <w:div w:id="247924826">
      <w:bodyDiv w:val="1"/>
      <w:marLeft w:val="0"/>
      <w:marRight w:val="0"/>
      <w:marTop w:val="0"/>
      <w:marBottom w:val="0"/>
      <w:divBdr>
        <w:top w:val="none" w:sz="0" w:space="0" w:color="auto"/>
        <w:left w:val="none" w:sz="0" w:space="0" w:color="auto"/>
        <w:bottom w:val="none" w:sz="0" w:space="0" w:color="auto"/>
        <w:right w:val="none" w:sz="0" w:space="0" w:color="auto"/>
      </w:divBdr>
    </w:div>
    <w:div w:id="288051918">
      <w:bodyDiv w:val="1"/>
      <w:marLeft w:val="0"/>
      <w:marRight w:val="0"/>
      <w:marTop w:val="0"/>
      <w:marBottom w:val="0"/>
      <w:divBdr>
        <w:top w:val="none" w:sz="0" w:space="0" w:color="auto"/>
        <w:left w:val="none" w:sz="0" w:space="0" w:color="auto"/>
        <w:bottom w:val="none" w:sz="0" w:space="0" w:color="auto"/>
        <w:right w:val="none" w:sz="0" w:space="0" w:color="auto"/>
      </w:divBdr>
    </w:div>
    <w:div w:id="336616282">
      <w:bodyDiv w:val="1"/>
      <w:marLeft w:val="0"/>
      <w:marRight w:val="0"/>
      <w:marTop w:val="0"/>
      <w:marBottom w:val="0"/>
      <w:divBdr>
        <w:top w:val="none" w:sz="0" w:space="0" w:color="auto"/>
        <w:left w:val="none" w:sz="0" w:space="0" w:color="auto"/>
        <w:bottom w:val="none" w:sz="0" w:space="0" w:color="auto"/>
        <w:right w:val="none" w:sz="0" w:space="0" w:color="auto"/>
      </w:divBdr>
    </w:div>
    <w:div w:id="363334527">
      <w:bodyDiv w:val="1"/>
      <w:marLeft w:val="0"/>
      <w:marRight w:val="0"/>
      <w:marTop w:val="0"/>
      <w:marBottom w:val="0"/>
      <w:divBdr>
        <w:top w:val="none" w:sz="0" w:space="0" w:color="auto"/>
        <w:left w:val="none" w:sz="0" w:space="0" w:color="auto"/>
        <w:bottom w:val="none" w:sz="0" w:space="0" w:color="auto"/>
        <w:right w:val="none" w:sz="0" w:space="0" w:color="auto"/>
      </w:divBdr>
    </w:div>
    <w:div w:id="378944088">
      <w:bodyDiv w:val="1"/>
      <w:marLeft w:val="0"/>
      <w:marRight w:val="0"/>
      <w:marTop w:val="0"/>
      <w:marBottom w:val="0"/>
      <w:divBdr>
        <w:top w:val="none" w:sz="0" w:space="0" w:color="auto"/>
        <w:left w:val="none" w:sz="0" w:space="0" w:color="auto"/>
        <w:bottom w:val="none" w:sz="0" w:space="0" w:color="auto"/>
        <w:right w:val="none" w:sz="0" w:space="0" w:color="auto"/>
      </w:divBdr>
    </w:div>
    <w:div w:id="383143490">
      <w:bodyDiv w:val="1"/>
      <w:marLeft w:val="0"/>
      <w:marRight w:val="0"/>
      <w:marTop w:val="0"/>
      <w:marBottom w:val="0"/>
      <w:divBdr>
        <w:top w:val="none" w:sz="0" w:space="0" w:color="auto"/>
        <w:left w:val="none" w:sz="0" w:space="0" w:color="auto"/>
        <w:bottom w:val="none" w:sz="0" w:space="0" w:color="auto"/>
        <w:right w:val="none" w:sz="0" w:space="0" w:color="auto"/>
      </w:divBdr>
    </w:div>
    <w:div w:id="402459070">
      <w:bodyDiv w:val="1"/>
      <w:marLeft w:val="0"/>
      <w:marRight w:val="0"/>
      <w:marTop w:val="0"/>
      <w:marBottom w:val="0"/>
      <w:divBdr>
        <w:top w:val="none" w:sz="0" w:space="0" w:color="auto"/>
        <w:left w:val="none" w:sz="0" w:space="0" w:color="auto"/>
        <w:bottom w:val="none" w:sz="0" w:space="0" w:color="auto"/>
        <w:right w:val="none" w:sz="0" w:space="0" w:color="auto"/>
      </w:divBdr>
    </w:div>
    <w:div w:id="418793084">
      <w:bodyDiv w:val="1"/>
      <w:marLeft w:val="0"/>
      <w:marRight w:val="0"/>
      <w:marTop w:val="0"/>
      <w:marBottom w:val="0"/>
      <w:divBdr>
        <w:top w:val="none" w:sz="0" w:space="0" w:color="auto"/>
        <w:left w:val="none" w:sz="0" w:space="0" w:color="auto"/>
        <w:bottom w:val="none" w:sz="0" w:space="0" w:color="auto"/>
        <w:right w:val="none" w:sz="0" w:space="0" w:color="auto"/>
      </w:divBdr>
    </w:div>
    <w:div w:id="442696637">
      <w:bodyDiv w:val="1"/>
      <w:marLeft w:val="0"/>
      <w:marRight w:val="0"/>
      <w:marTop w:val="0"/>
      <w:marBottom w:val="0"/>
      <w:divBdr>
        <w:top w:val="none" w:sz="0" w:space="0" w:color="auto"/>
        <w:left w:val="none" w:sz="0" w:space="0" w:color="auto"/>
        <w:bottom w:val="none" w:sz="0" w:space="0" w:color="auto"/>
        <w:right w:val="none" w:sz="0" w:space="0" w:color="auto"/>
      </w:divBdr>
    </w:div>
    <w:div w:id="451634873">
      <w:bodyDiv w:val="1"/>
      <w:marLeft w:val="0"/>
      <w:marRight w:val="0"/>
      <w:marTop w:val="0"/>
      <w:marBottom w:val="0"/>
      <w:divBdr>
        <w:top w:val="none" w:sz="0" w:space="0" w:color="auto"/>
        <w:left w:val="none" w:sz="0" w:space="0" w:color="auto"/>
        <w:bottom w:val="none" w:sz="0" w:space="0" w:color="auto"/>
        <w:right w:val="none" w:sz="0" w:space="0" w:color="auto"/>
      </w:divBdr>
    </w:div>
    <w:div w:id="488669013">
      <w:bodyDiv w:val="1"/>
      <w:marLeft w:val="0"/>
      <w:marRight w:val="0"/>
      <w:marTop w:val="0"/>
      <w:marBottom w:val="0"/>
      <w:divBdr>
        <w:top w:val="none" w:sz="0" w:space="0" w:color="auto"/>
        <w:left w:val="none" w:sz="0" w:space="0" w:color="auto"/>
        <w:bottom w:val="none" w:sz="0" w:space="0" w:color="auto"/>
        <w:right w:val="none" w:sz="0" w:space="0" w:color="auto"/>
      </w:divBdr>
    </w:div>
    <w:div w:id="604508603">
      <w:bodyDiv w:val="1"/>
      <w:marLeft w:val="0"/>
      <w:marRight w:val="0"/>
      <w:marTop w:val="0"/>
      <w:marBottom w:val="0"/>
      <w:divBdr>
        <w:top w:val="none" w:sz="0" w:space="0" w:color="auto"/>
        <w:left w:val="none" w:sz="0" w:space="0" w:color="auto"/>
        <w:bottom w:val="none" w:sz="0" w:space="0" w:color="auto"/>
        <w:right w:val="none" w:sz="0" w:space="0" w:color="auto"/>
      </w:divBdr>
    </w:div>
    <w:div w:id="615602170">
      <w:bodyDiv w:val="1"/>
      <w:marLeft w:val="0"/>
      <w:marRight w:val="0"/>
      <w:marTop w:val="0"/>
      <w:marBottom w:val="0"/>
      <w:divBdr>
        <w:top w:val="none" w:sz="0" w:space="0" w:color="auto"/>
        <w:left w:val="none" w:sz="0" w:space="0" w:color="auto"/>
        <w:bottom w:val="none" w:sz="0" w:space="0" w:color="auto"/>
        <w:right w:val="none" w:sz="0" w:space="0" w:color="auto"/>
      </w:divBdr>
    </w:div>
    <w:div w:id="622924872">
      <w:bodyDiv w:val="1"/>
      <w:marLeft w:val="0"/>
      <w:marRight w:val="0"/>
      <w:marTop w:val="0"/>
      <w:marBottom w:val="0"/>
      <w:divBdr>
        <w:top w:val="none" w:sz="0" w:space="0" w:color="auto"/>
        <w:left w:val="none" w:sz="0" w:space="0" w:color="auto"/>
        <w:bottom w:val="none" w:sz="0" w:space="0" w:color="auto"/>
        <w:right w:val="none" w:sz="0" w:space="0" w:color="auto"/>
      </w:divBdr>
    </w:div>
    <w:div w:id="648437582">
      <w:bodyDiv w:val="1"/>
      <w:marLeft w:val="0"/>
      <w:marRight w:val="0"/>
      <w:marTop w:val="0"/>
      <w:marBottom w:val="0"/>
      <w:divBdr>
        <w:top w:val="none" w:sz="0" w:space="0" w:color="auto"/>
        <w:left w:val="none" w:sz="0" w:space="0" w:color="auto"/>
        <w:bottom w:val="none" w:sz="0" w:space="0" w:color="auto"/>
        <w:right w:val="none" w:sz="0" w:space="0" w:color="auto"/>
      </w:divBdr>
    </w:div>
    <w:div w:id="672995019">
      <w:bodyDiv w:val="1"/>
      <w:marLeft w:val="0"/>
      <w:marRight w:val="0"/>
      <w:marTop w:val="0"/>
      <w:marBottom w:val="0"/>
      <w:divBdr>
        <w:top w:val="none" w:sz="0" w:space="0" w:color="auto"/>
        <w:left w:val="none" w:sz="0" w:space="0" w:color="auto"/>
        <w:bottom w:val="none" w:sz="0" w:space="0" w:color="auto"/>
        <w:right w:val="none" w:sz="0" w:space="0" w:color="auto"/>
      </w:divBdr>
    </w:div>
    <w:div w:id="678779671">
      <w:bodyDiv w:val="1"/>
      <w:marLeft w:val="0"/>
      <w:marRight w:val="0"/>
      <w:marTop w:val="0"/>
      <w:marBottom w:val="0"/>
      <w:divBdr>
        <w:top w:val="none" w:sz="0" w:space="0" w:color="auto"/>
        <w:left w:val="none" w:sz="0" w:space="0" w:color="auto"/>
        <w:bottom w:val="none" w:sz="0" w:space="0" w:color="auto"/>
        <w:right w:val="none" w:sz="0" w:space="0" w:color="auto"/>
      </w:divBdr>
    </w:div>
    <w:div w:id="689601767">
      <w:bodyDiv w:val="1"/>
      <w:marLeft w:val="0"/>
      <w:marRight w:val="0"/>
      <w:marTop w:val="0"/>
      <w:marBottom w:val="0"/>
      <w:divBdr>
        <w:top w:val="none" w:sz="0" w:space="0" w:color="auto"/>
        <w:left w:val="none" w:sz="0" w:space="0" w:color="auto"/>
        <w:bottom w:val="none" w:sz="0" w:space="0" w:color="auto"/>
        <w:right w:val="none" w:sz="0" w:space="0" w:color="auto"/>
      </w:divBdr>
    </w:div>
    <w:div w:id="754782463">
      <w:bodyDiv w:val="1"/>
      <w:marLeft w:val="0"/>
      <w:marRight w:val="0"/>
      <w:marTop w:val="0"/>
      <w:marBottom w:val="0"/>
      <w:divBdr>
        <w:top w:val="none" w:sz="0" w:space="0" w:color="auto"/>
        <w:left w:val="none" w:sz="0" w:space="0" w:color="auto"/>
        <w:bottom w:val="none" w:sz="0" w:space="0" w:color="auto"/>
        <w:right w:val="none" w:sz="0" w:space="0" w:color="auto"/>
      </w:divBdr>
    </w:div>
    <w:div w:id="758526007">
      <w:bodyDiv w:val="1"/>
      <w:marLeft w:val="0"/>
      <w:marRight w:val="0"/>
      <w:marTop w:val="0"/>
      <w:marBottom w:val="0"/>
      <w:divBdr>
        <w:top w:val="none" w:sz="0" w:space="0" w:color="auto"/>
        <w:left w:val="none" w:sz="0" w:space="0" w:color="auto"/>
        <w:bottom w:val="none" w:sz="0" w:space="0" w:color="auto"/>
        <w:right w:val="none" w:sz="0" w:space="0" w:color="auto"/>
      </w:divBdr>
    </w:div>
    <w:div w:id="805901338">
      <w:bodyDiv w:val="1"/>
      <w:marLeft w:val="0"/>
      <w:marRight w:val="0"/>
      <w:marTop w:val="0"/>
      <w:marBottom w:val="0"/>
      <w:divBdr>
        <w:top w:val="none" w:sz="0" w:space="0" w:color="auto"/>
        <w:left w:val="none" w:sz="0" w:space="0" w:color="auto"/>
        <w:bottom w:val="none" w:sz="0" w:space="0" w:color="auto"/>
        <w:right w:val="none" w:sz="0" w:space="0" w:color="auto"/>
      </w:divBdr>
    </w:div>
    <w:div w:id="840583360">
      <w:bodyDiv w:val="1"/>
      <w:marLeft w:val="0"/>
      <w:marRight w:val="0"/>
      <w:marTop w:val="0"/>
      <w:marBottom w:val="0"/>
      <w:divBdr>
        <w:top w:val="none" w:sz="0" w:space="0" w:color="auto"/>
        <w:left w:val="none" w:sz="0" w:space="0" w:color="auto"/>
        <w:bottom w:val="none" w:sz="0" w:space="0" w:color="auto"/>
        <w:right w:val="none" w:sz="0" w:space="0" w:color="auto"/>
      </w:divBdr>
    </w:div>
    <w:div w:id="844904195">
      <w:bodyDiv w:val="1"/>
      <w:marLeft w:val="0"/>
      <w:marRight w:val="0"/>
      <w:marTop w:val="0"/>
      <w:marBottom w:val="0"/>
      <w:divBdr>
        <w:top w:val="none" w:sz="0" w:space="0" w:color="auto"/>
        <w:left w:val="none" w:sz="0" w:space="0" w:color="auto"/>
        <w:bottom w:val="none" w:sz="0" w:space="0" w:color="auto"/>
        <w:right w:val="none" w:sz="0" w:space="0" w:color="auto"/>
      </w:divBdr>
    </w:div>
    <w:div w:id="868104764">
      <w:bodyDiv w:val="1"/>
      <w:marLeft w:val="0"/>
      <w:marRight w:val="0"/>
      <w:marTop w:val="0"/>
      <w:marBottom w:val="0"/>
      <w:divBdr>
        <w:top w:val="none" w:sz="0" w:space="0" w:color="auto"/>
        <w:left w:val="none" w:sz="0" w:space="0" w:color="auto"/>
        <w:bottom w:val="none" w:sz="0" w:space="0" w:color="auto"/>
        <w:right w:val="none" w:sz="0" w:space="0" w:color="auto"/>
      </w:divBdr>
    </w:div>
    <w:div w:id="870219721">
      <w:bodyDiv w:val="1"/>
      <w:marLeft w:val="0"/>
      <w:marRight w:val="0"/>
      <w:marTop w:val="0"/>
      <w:marBottom w:val="0"/>
      <w:divBdr>
        <w:top w:val="none" w:sz="0" w:space="0" w:color="auto"/>
        <w:left w:val="none" w:sz="0" w:space="0" w:color="auto"/>
        <w:bottom w:val="none" w:sz="0" w:space="0" w:color="auto"/>
        <w:right w:val="none" w:sz="0" w:space="0" w:color="auto"/>
      </w:divBdr>
    </w:div>
    <w:div w:id="887112358">
      <w:bodyDiv w:val="1"/>
      <w:marLeft w:val="0"/>
      <w:marRight w:val="0"/>
      <w:marTop w:val="0"/>
      <w:marBottom w:val="0"/>
      <w:divBdr>
        <w:top w:val="none" w:sz="0" w:space="0" w:color="auto"/>
        <w:left w:val="none" w:sz="0" w:space="0" w:color="auto"/>
        <w:bottom w:val="none" w:sz="0" w:space="0" w:color="auto"/>
        <w:right w:val="none" w:sz="0" w:space="0" w:color="auto"/>
      </w:divBdr>
    </w:div>
    <w:div w:id="902183841">
      <w:bodyDiv w:val="1"/>
      <w:marLeft w:val="0"/>
      <w:marRight w:val="0"/>
      <w:marTop w:val="0"/>
      <w:marBottom w:val="0"/>
      <w:divBdr>
        <w:top w:val="none" w:sz="0" w:space="0" w:color="auto"/>
        <w:left w:val="none" w:sz="0" w:space="0" w:color="auto"/>
        <w:bottom w:val="none" w:sz="0" w:space="0" w:color="auto"/>
        <w:right w:val="none" w:sz="0" w:space="0" w:color="auto"/>
      </w:divBdr>
    </w:div>
    <w:div w:id="922833994">
      <w:bodyDiv w:val="1"/>
      <w:marLeft w:val="0"/>
      <w:marRight w:val="0"/>
      <w:marTop w:val="0"/>
      <w:marBottom w:val="0"/>
      <w:divBdr>
        <w:top w:val="none" w:sz="0" w:space="0" w:color="auto"/>
        <w:left w:val="none" w:sz="0" w:space="0" w:color="auto"/>
        <w:bottom w:val="none" w:sz="0" w:space="0" w:color="auto"/>
        <w:right w:val="none" w:sz="0" w:space="0" w:color="auto"/>
      </w:divBdr>
    </w:div>
    <w:div w:id="933442597">
      <w:bodyDiv w:val="1"/>
      <w:marLeft w:val="0"/>
      <w:marRight w:val="0"/>
      <w:marTop w:val="0"/>
      <w:marBottom w:val="0"/>
      <w:divBdr>
        <w:top w:val="none" w:sz="0" w:space="0" w:color="auto"/>
        <w:left w:val="none" w:sz="0" w:space="0" w:color="auto"/>
        <w:bottom w:val="none" w:sz="0" w:space="0" w:color="auto"/>
        <w:right w:val="none" w:sz="0" w:space="0" w:color="auto"/>
      </w:divBdr>
    </w:div>
    <w:div w:id="946615454">
      <w:bodyDiv w:val="1"/>
      <w:marLeft w:val="0"/>
      <w:marRight w:val="0"/>
      <w:marTop w:val="0"/>
      <w:marBottom w:val="0"/>
      <w:divBdr>
        <w:top w:val="none" w:sz="0" w:space="0" w:color="auto"/>
        <w:left w:val="none" w:sz="0" w:space="0" w:color="auto"/>
        <w:bottom w:val="none" w:sz="0" w:space="0" w:color="auto"/>
        <w:right w:val="none" w:sz="0" w:space="0" w:color="auto"/>
      </w:divBdr>
    </w:div>
    <w:div w:id="949169918">
      <w:bodyDiv w:val="1"/>
      <w:marLeft w:val="0"/>
      <w:marRight w:val="0"/>
      <w:marTop w:val="0"/>
      <w:marBottom w:val="0"/>
      <w:divBdr>
        <w:top w:val="none" w:sz="0" w:space="0" w:color="auto"/>
        <w:left w:val="none" w:sz="0" w:space="0" w:color="auto"/>
        <w:bottom w:val="none" w:sz="0" w:space="0" w:color="auto"/>
        <w:right w:val="none" w:sz="0" w:space="0" w:color="auto"/>
      </w:divBdr>
    </w:div>
    <w:div w:id="950824047">
      <w:bodyDiv w:val="1"/>
      <w:marLeft w:val="0"/>
      <w:marRight w:val="0"/>
      <w:marTop w:val="0"/>
      <w:marBottom w:val="0"/>
      <w:divBdr>
        <w:top w:val="none" w:sz="0" w:space="0" w:color="auto"/>
        <w:left w:val="none" w:sz="0" w:space="0" w:color="auto"/>
        <w:bottom w:val="none" w:sz="0" w:space="0" w:color="auto"/>
        <w:right w:val="none" w:sz="0" w:space="0" w:color="auto"/>
      </w:divBdr>
    </w:div>
    <w:div w:id="953950416">
      <w:bodyDiv w:val="1"/>
      <w:marLeft w:val="0"/>
      <w:marRight w:val="0"/>
      <w:marTop w:val="0"/>
      <w:marBottom w:val="0"/>
      <w:divBdr>
        <w:top w:val="none" w:sz="0" w:space="0" w:color="auto"/>
        <w:left w:val="none" w:sz="0" w:space="0" w:color="auto"/>
        <w:bottom w:val="none" w:sz="0" w:space="0" w:color="auto"/>
        <w:right w:val="none" w:sz="0" w:space="0" w:color="auto"/>
      </w:divBdr>
    </w:div>
    <w:div w:id="967010499">
      <w:bodyDiv w:val="1"/>
      <w:marLeft w:val="0"/>
      <w:marRight w:val="0"/>
      <w:marTop w:val="0"/>
      <w:marBottom w:val="0"/>
      <w:divBdr>
        <w:top w:val="none" w:sz="0" w:space="0" w:color="auto"/>
        <w:left w:val="none" w:sz="0" w:space="0" w:color="auto"/>
        <w:bottom w:val="none" w:sz="0" w:space="0" w:color="auto"/>
        <w:right w:val="none" w:sz="0" w:space="0" w:color="auto"/>
      </w:divBdr>
    </w:div>
    <w:div w:id="1002514463">
      <w:bodyDiv w:val="1"/>
      <w:marLeft w:val="0"/>
      <w:marRight w:val="0"/>
      <w:marTop w:val="0"/>
      <w:marBottom w:val="0"/>
      <w:divBdr>
        <w:top w:val="none" w:sz="0" w:space="0" w:color="auto"/>
        <w:left w:val="none" w:sz="0" w:space="0" w:color="auto"/>
        <w:bottom w:val="none" w:sz="0" w:space="0" w:color="auto"/>
        <w:right w:val="none" w:sz="0" w:space="0" w:color="auto"/>
      </w:divBdr>
    </w:div>
    <w:div w:id="1005208467">
      <w:bodyDiv w:val="1"/>
      <w:marLeft w:val="0"/>
      <w:marRight w:val="0"/>
      <w:marTop w:val="0"/>
      <w:marBottom w:val="0"/>
      <w:divBdr>
        <w:top w:val="none" w:sz="0" w:space="0" w:color="auto"/>
        <w:left w:val="none" w:sz="0" w:space="0" w:color="auto"/>
        <w:bottom w:val="none" w:sz="0" w:space="0" w:color="auto"/>
        <w:right w:val="none" w:sz="0" w:space="0" w:color="auto"/>
      </w:divBdr>
    </w:div>
    <w:div w:id="1026835196">
      <w:bodyDiv w:val="1"/>
      <w:marLeft w:val="0"/>
      <w:marRight w:val="0"/>
      <w:marTop w:val="0"/>
      <w:marBottom w:val="0"/>
      <w:divBdr>
        <w:top w:val="none" w:sz="0" w:space="0" w:color="auto"/>
        <w:left w:val="none" w:sz="0" w:space="0" w:color="auto"/>
        <w:bottom w:val="none" w:sz="0" w:space="0" w:color="auto"/>
        <w:right w:val="none" w:sz="0" w:space="0" w:color="auto"/>
      </w:divBdr>
    </w:div>
    <w:div w:id="1036811271">
      <w:bodyDiv w:val="1"/>
      <w:marLeft w:val="0"/>
      <w:marRight w:val="0"/>
      <w:marTop w:val="0"/>
      <w:marBottom w:val="0"/>
      <w:divBdr>
        <w:top w:val="none" w:sz="0" w:space="0" w:color="auto"/>
        <w:left w:val="none" w:sz="0" w:space="0" w:color="auto"/>
        <w:bottom w:val="none" w:sz="0" w:space="0" w:color="auto"/>
        <w:right w:val="none" w:sz="0" w:space="0" w:color="auto"/>
      </w:divBdr>
    </w:div>
    <w:div w:id="1059594359">
      <w:bodyDiv w:val="1"/>
      <w:marLeft w:val="0"/>
      <w:marRight w:val="0"/>
      <w:marTop w:val="0"/>
      <w:marBottom w:val="0"/>
      <w:divBdr>
        <w:top w:val="none" w:sz="0" w:space="0" w:color="auto"/>
        <w:left w:val="none" w:sz="0" w:space="0" w:color="auto"/>
        <w:bottom w:val="none" w:sz="0" w:space="0" w:color="auto"/>
        <w:right w:val="none" w:sz="0" w:space="0" w:color="auto"/>
      </w:divBdr>
    </w:div>
    <w:div w:id="1060132620">
      <w:bodyDiv w:val="1"/>
      <w:marLeft w:val="0"/>
      <w:marRight w:val="0"/>
      <w:marTop w:val="0"/>
      <w:marBottom w:val="0"/>
      <w:divBdr>
        <w:top w:val="none" w:sz="0" w:space="0" w:color="auto"/>
        <w:left w:val="none" w:sz="0" w:space="0" w:color="auto"/>
        <w:bottom w:val="none" w:sz="0" w:space="0" w:color="auto"/>
        <w:right w:val="none" w:sz="0" w:space="0" w:color="auto"/>
      </w:divBdr>
    </w:div>
    <w:div w:id="1092386772">
      <w:bodyDiv w:val="1"/>
      <w:marLeft w:val="0"/>
      <w:marRight w:val="0"/>
      <w:marTop w:val="0"/>
      <w:marBottom w:val="0"/>
      <w:divBdr>
        <w:top w:val="none" w:sz="0" w:space="0" w:color="auto"/>
        <w:left w:val="none" w:sz="0" w:space="0" w:color="auto"/>
        <w:bottom w:val="none" w:sz="0" w:space="0" w:color="auto"/>
        <w:right w:val="none" w:sz="0" w:space="0" w:color="auto"/>
      </w:divBdr>
    </w:div>
    <w:div w:id="1113523088">
      <w:bodyDiv w:val="1"/>
      <w:marLeft w:val="0"/>
      <w:marRight w:val="0"/>
      <w:marTop w:val="0"/>
      <w:marBottom w:val="0"/>
      <w:divBdr>
        <w:top w:val="none" w:sz="0" w:space="0" w:color="auto"/>
        <w:left w:val="none" w:sz="0" w:space="0" w:color="auto"/>
        <w:bottom w:val="none" w:sz="0" w:space="0" w:color="auto"/>
        <w:right w:val="none" w:sz="0" w:space="0" w:color="auto"/>
      </w:divBdr>
    </w:div>
    <w:div w:id="1129937229">
      <w:bodyDiv w:val="1"/>
      <w:marLeft w:val="0"/>
      <w:marRight w:val="0"/>
      <w:marTop w:val="0"/>
      <w:marBottom w:val="0"/>
      <w:divBdr>
        <w:top w:val="none" w:sz="0" w:space="0" w:color="auto"/>
        <w:left w:val="none" w:sz="0" w:space="0" w:color="auto"/>
        <w:bottom w:val="none" w:sz="0" w:space="0" w:color="auto"/>
        <w:right w:val="none" w:sz="0" w:space="0" w:color="auto"/>
      </w:divBdr>
    </w:div>
    <w:div w:id="1139225740">
      <w:bodyDiv w:val="1"/>
      <w:marLeft w:val="0"/>
      <w:marRight w:val="0"/>
      <w:marTop w:val="0"/>
      <w:marBottom w:val="0"/>
      <w:divBdr>
        <w:top w:val="none" w:sz="0" w:space="0" w:color="auto"/>
        <w:left w:val="none" w:sz="0" w:space="0" w:color="auto"/>
        <w:bottom w:val="none" w:sz="0" w:space="0" w:color="auto"/>
        <w:right w:val="none" w:sz="0" w:space="0" w:color="auto"/>
      </w:divBdr>
    </w:div>
    <w:div w:id="1142773253">
      <w:bodyDiv w:val="1"/>
      <w:marLeft w:val="0"/>
      <w:marRight w:val="0"/>
      <w:marTop w:val="0"/>
      <w:marBottom w:val="0"/>
      <w:divBdr>
        <w:top w:val="none" w:sz="0" w:space="0" w:color="auto"/>
        <w:left w:val="none" w:sz="0" w:space="0" w:color="auto"/>
        <w:bottom w:val="none" w:sz="0" w:space="0" w:color="auto"/>
        <w:right w:val="none" w:sz="0" w:space="0" w:color="auto"/>
      </w:divBdr>
    </w:div>
    <w:div w:id="1149788687">
      <w:bodyDiv w:val="1"/>
      <w:marLeft w:val="0"/>
      <w:marRight w:val="0"/>
      <w:marTop w:val="0"/>
      <w:marBottom w:val="0"/>
      <w:divBdr>
        <w:top w:val="none" w:sz="0" w:space="0" w:color="auto"/>
        <w:left w:val="none" w:sz="0" w:space="0" w:color="auto"/>
        <w:bottom w:val="none" w:sz="0" w:space="0" w:color="auto"/>
        <w:right w:val="none" w:sz="0" w:space="0" w:color="auto"/>
      </w:divBdr>
    </w:div>
    <w:div w:id="1156721104">
      <w:bodyDiv w:val="1"/>
      <w:marLeft w:val="0"/>
      <w:marRight w:val="0"/>
      <w:marTop w:val="0"/>
      <w:marBottom w:val="0"/>
      <w:divBdr>
        <w:top w:val="none" w:sz="0" w:space="0" w:color="auto"/>
        <w:left w:val="none" w:sz="0" w:space="0" w:color="auto"/>
        <w:bottom w:val="none" w:sz="0" w:space="0" w:color="auto"/>
        <w:right w:val="none" w:sz="0" w:space="0" w:color="auto"/>
      </w:divBdr>
    </w:div>
    <w:div w:id="1158378247">
      <w:bodyDiv w:val="1"/>
      <w:marLeft w:val="0"/>
      <w:marRight w:val="0"/>
      <w:marTop w:val="0"/>
      <w:marBottom w:val="0"/>
      <w:divBdr>
        <w:top w:val="none" w:sz="0" w:space="0" w:color="auto"/>
        <w:left w:val="none" w:sz="0" w:space="0" w:color="auto"/>
        <w:bottom w:val="none" w:sz="0" w:space="0" w:color="auto"/>
        <w:right w:val="none" w:sz="0" w:space="0" w:color="auto"/>
      </w:divBdr>
    </w:div>
    <w:div w:id="1158808774">
      <w:bodyDiv w:val="1"/>
      <w:marLeft w:val="0"/>
      <w:marRight w:val="0"/>
      <w:marTop w:val="0"/>
      <w:marBottom w:val="0"/>
      <w:divBdr>
        <w:top w:val="none" w:sz="0" w:space="0" w:color="auto"/>
        <w:left w:val="none" w:sz="0" w:space="0" w:color="auto"/>
        <w:bottom w:val="none" w:sz="0" w:space="0" w:color="auto"/>
        <w:right w:val="none" w:sz="0" w:space="0" w:color="auto"/>
      </w:divBdr>
    </w:div>
    <w:div w:id="1185945824">
      <w:bodyDiv w:val="1"/>
      <w:marLeft w:val="0"/>
      <w:marRight w:val="0"/>
      <w:marTop w:val="0"/>
      <w:marBottom w:val="0"/>
      <w:divBdr>
        <w:top w:val="none" w:sz="0" w:space="0" w:color="auto"/>
        <w:left w:val="none" w:sz="0" w:space="0" w:color="auto"/>
        <w:bottom w:val="none" w:sz="0" w:space="0" w:color="auto"/>
        <w:right w:val="none" w:sz="0" w:space="0" w:color="auto"/>
      </w:divBdr>
    </w:div>
    <w:div w:id="1186334722">
      <w:bodyDiv w:val="1"/>
      <w:marLeft w:val="0"/>
      <w:marRight w:val="0"/>
      <w:marTop w:val="0"/>
      <w:marBottom w:val="0"/>
      <w:divBdr>
        <w:top w:val="none" w:sz="0" w:space="0" w:color="auto"/>
        <w:left w:val="none" w:sz="0" w:space="0" w:color="auto"/>
        <w:bottom w:val="none" w:sz="0" w:space="0" w:color="auto"/>
        <w:right w:val="none" w:sz="0" w:space="0" w:color="auto"/>
      </w:divBdr>
    </w:div>
    <w:div w:id="1239823598">
      <w:bodyDiv w:val="1"/>
      <w:marLeft w:val="0"/>
      <w:marRight w:val="0"/>
      <w:marTop w:val="0"/>
      <w:marBottom w:val="0"/>
      <w:divBdr>
        <w:top w:val="none" w:sz="0" w:space="0" w:color="auto"/>
        <w:left w:val="none" w:sz="0" w:space="0" w:color="auto"/>
        <w:bottom w:val="none" w:sz="0" w:space="0" w:color="auto"/>
        <w:right w:val="none" w:sz="0" w:space="0" w:color="auto"/>
      </w:divBdr>
    </w:div>
    <w:div w:id="1272589064">
      <w:bodyDiv w:val="1"/>
      <w:marLeft w:val="0"/>
      <w:marRight w:val="0"/>
      <w:marTop w:val="0"/>
      <w:marBottom w:val="0"/>
      <w:divBdr>
        <w:top w:val="none" w:sz="0" w:space="0" w:color="auto"/>
        <w:left w:val="none" w:sz="0" w:space="0" w:color="auto"/>
        <w:bottom w:val="none" w:sz="0" w:space="0" w:color="auto"/>
        <w:right w:val="none" w:sz="0" w:space="0" w:color="auto"/>
      </w:divBdr>
    </w:div>
    <w:div w:id="1284849268">
      <w:bodyDiv w:val="1"/>
      <w:marLeft w:val="0"/>
      <w:marRight w:val="0"/>
      <w:marTop w:val="0"/>
      <w:marBottom w:val="0"/>
      <w:divBdr>
        <w:top w:val="none" w:sz="0" w:space="0" w:color="auto"/>
        <w:left w:val="none" w:sz="0" w:space="0" w:color="auto"/>
        <w:bottom w:val="none" w:sz="0" w:space="0" w:color="auto"/>
        <w:right w:val="none" w:sz="0" w:space="0" w:color="auto"/>
      </w:divBdr>
    </w:div>
    <w:div w:id="1289357316">
      <w:bodyDiv w:val="1"/>
      <w:marLeft w:val="0"/>
      <w:marRight w:val="0"/>
      <w:marTop w:val="0"/>
      <w:marBottom w:val="0"/>
      <w:divBdr>
        <w:top w:val="none" w:sz="0" w:space="0" w:color="auto"/>
        <w:left w:val="none" w:sz="0" w:space="0" w:color="auto"/>
        <w:bottom w:val="none" w:sz="0" w:space="0" w:color="auto"/>
        <w:right w:val="none" w:sz="0" w:space="0" w:color="auto"/>
      </w:divBdr>
    </w:div>
    <w:div w:id="1307783987">
      <w:bodyDiv w:val="1"/>
      <w:marLeft w:val="0"/>
      <w:marRight w:val="0"/>
      <w:marTop w:val="0"/>
      <w:marBottom w:val="0"/>
      <w:divBdr>
        <w:top w:val="none" w:sz="0" w:space="0" w:color="auto"/>
        <w:left w:val="none" w:sz="0" w:space="0" w:color="auto"/>
        <w:bottom w:val="none" w:sz="0" w:space="0" w:color="auto"/>
        <w:right w:val="none" w:sz="0" w:space="0" w:color="auto"/>
      </w:divBdr>
    </w:div>
    <w:div w:id="1313829597">
      <w:bodyDiv w:val="1"/>
      <w:marLeft w:val="0"/>
      <w:marRight w:val="0"/>
      <w:marTop w:val="0"/>
      <w:marBottom w:val="0"/>
      <w:divBdr>
        <w:top w:val="none" w:sz="0" w:space="0" w:color="auto"/>
        <w:left w:val="none" w:sz="0" w:space="0" w:color="auto"/>
        <w:bottom w:val="none" w:sz="0" w:space="0" w:color="auto"/>
        <w:right w:val="none" w:sz="0" w:space="0" w:color="auto"/>
      </w:divBdr>
    </w:div>
    <w:div w:id="1370300742">
      <w:bodyDiv w:val="1"/>
      <w:marLeft w:val="0"/>
      <w:marRight w:val="0"/>
      <w:marTop w:val="0"/>
      <w:marBottom w:val="0"/>
      <w:divBdr>
        <w:top w:val="none" w:sz="0" w:space="0" w:color="auto"/>
        <w:left w:val="none" w:sz="0" w:space="0" w:color="auto"/>
        <w:bottom w:val="none" w:sz="0" w:space="0" w:color="auto"/>
        <w:right w:val="none" w:sz="0" w:space="0" w:color="auto"/>
      </w:divBdr>
    </w:div>
    <w:div w:id="1411460276">
      <w:bodyDiv w:val="1"/>
      <w:marLeft w:val="0"/>
      <w:marRight w:val="0"/>
      <w:marTop w:val="0"/>
      <w:marBottom w:val="0"/>
      <w:divBdr>
        <w:top w:val="none" w:sz="0" w:space="0" w:color="auto"/>
        <w:left w:val="none" w:sz="0" w:space="0" w:color="auto"/>
        <w:bottom w:val="none" w:sz="0" w:space="0" w:color="auto"/>
        <w:right w:val="none" w:sz="0" w:space="0" w:color="auto"/>
      </w:divBdr>
    </w:div>
    <w:div w:id="1412965504">
      <w:bodyDiv w:val="1"/>
      <w:marLeft w:val="0"/>
      <w:marRight w:val="0"/>
      <w:marTop w:val="0"/>
      <w:marBottom w:val="0"/>
      <w:divBdr>
        <w:top w:val="none" w:sz="0" w:space="0" w:color="auto"/>
        <w:left w:val="none" w:sz="0" w:space="0" w:color="auto"/>
        <w:bottom w:val="none" w:sz="0" w:space="0" w:color="auto"/>
        <w:right w:val="none" w:sz="0" w:space="0" w:color="auto"/>
      </w:divBdr>
    </w:div>
    <w:div w:id="1434671541">
      <w:bodyDiv w:val="1"/>
      <w:marLeft w:val="0"/>
      <w:marRight w:val="0"/>
      <w:marTop w:val="0"/>
      <w:marBottom w:val="0"/>
      <w:divBdr>
        <w:top w:val="none" w:sz="0" w:space="0" w:color="auto"/>
        <w:left w:val="none" w:sz="0" w:space="0" w:color="auto"/>
        <w:bottom w:val="none" w:sz="0" w:space="0" w:color="auto"/>
        <w:right w:val="none" w:sz="0" w:space="0" w:color="auto"/>
      </w:divBdr>
    </w:div>
    <w:div w:id="1453285022">
      <w:bodyDiv w:val="1"/>
      <w:marLeft w:val="0"/>
      <w:marRight w:val="0"/>
      <w:marTop w:val="0"/>
      <w:marBottom w:val="0"/>
      <w:divBdr>
        <w:top w:val="none" w:sz="0" w:space="0" w:color="auto"/>
        <w:left w:val="none" w:sz="0" w:space="0" w:color="auto"/>
        <w:bottom w:val="none" w:sz="0" w:space="0" w:color="auto"/>
        <w:right w:val="none" w:sz="0" w:space="0" w:color="auto"/>
      </w:divBdr>
    </w:div>
    <w:div w:id="1483816947">
      <w:bodyDiv w:val="1"/>
      <w:marLeft w:val="0"/>
      <w:marRight w:val="0"/>
      <w:marTop w:val="0"/>
      <w:marBottom w:val="0"/>
      <w:divBdr>
        <w:top w:val="none" w:sz="0" w:space="0" w:color="auto"/>
        <w:left w:val="none" w:sz="0" w:space="0" w:color="auto"/>
        <w:bottom w:val="none" w:sz="0" w:space="0" w:color="auto"/>
        <w:right w:val="none" w:sz="0" w:space="0" w:color="auto"/>
      </w:divBdr>
    </w:div>
    <w:div w:id="1495947607">
      <w:bodyDiv w:val="1"/>
      <w:marLeft w:val="0"/>
      <w:marRight w:val="0"/>
      <w:marTop w:val="0"/>
      <w:marBottom w:val="0"/>
      <w:divBdr>
        <w:top w:val="none" w:sz="0" w:space="0" w:color="auto"/>
        <w:left w:val="none" w:sz="0" w:space="0" w:color="auto"/>
        <w:bottom w:val="none" w:sz="0" w:space="0" w:color="auto"/>
        <w:right w:val="none" w:sz="0" w:space="0" w:color="auto"/>
      </w:divBdr>
    </w:div>
    <w:div w:id="1497724333">
      <w:bodyDiv w:val="1"/>
      <w:marLeft w:val="0"/>
      <w:marRight w:val="0"/>
      <w:marTop w:val="0"/>
      <w:marBottom w:val="0"/>
      <w:divBdr>
        <w:top w:val="none" w:sz="0" w:space="0" w:color="auto"/>
        <w:left w:val="none" w:sz="0" w:space="0" w:color="auto"/>
        <w:bottom w:val="none" w:sz="0" w:space="0" w:color="auto"/>
        <w:right w:val="none" w:sz="0" w:space="0" w:color="auto"/>
      </w:divBdr>
    </w:div>
    <w:div w:id="1501121809">
      <w:bodyDiv w:val="1"/>
      <w:marLeft w:val="0"/>
      <w:marRight w:val="0"/>
      <w:marTop w:val="0"/>
      <w:marBottom w:val="0"/>
      <w:divBdr>
        <w:top w:val="none" w:sz="0" w:space="0" w:color="auto"/>
        <w:left w:val="none" w:sz="0" w:space="0" w:color="auto"/>
        <w:bottom w:val="none" w:sz="0" w:space="0" w:color="auto"/>
        <w:right w:val="none" w:sz="0" w:space="0" w:color="auto"/>
      </w:divBdr>
    </w:div>
    <w:div w:id="1507818332">
      <w:bodyDiv w:val="1"/>
      <w:marLeft w:val="0"/>
      <w:marRight w:val="0"/>
      <w:marTop w:val="0"/>
      <w:marBottom w:val="0"/>
      <w:divBdr>
        <w:top w:val="none" w:sz="0" w:space="0" w:color="auto"/>
        <w:left w:val="none" w:sz="0" w:space="0" w:color="auto"/>
        <w:bottom w:val="none" w:sz="0" w:space="0" w:color="auto"/>
        <w:right w:val="none" w:sz="0" w:space="0" w:color="auto"/>
      </w:divBdr>
    </w:div>
    <w:div w:id="1525363263">
      <w:bodyDiv w:val="1"/>
      <w:marLeft w:val="0"/>
      <w:marRight w:val="0"/>
      <w:marTop w:val="0"/>
      <w:marBottom w:val="0"/>
      <w:divBdr>
        <w:top w:val="none" w:sz="0" w:space="0" w:color="auto"/>
        <w:left w:val="none" w:sz="0" w:space="0" w:color="auto"/>
        <w:bottom w:val="none" w:sz="0" w:space="0" w:color="auto"/>
        <w:right w:val="none" w:sz="0" w:space="0" w:color="auto"/>
      </w:divBdr>
    </w:div>
    <w:div w:id="1537497831">
      <w:bodyDiv w:val="1"/>
      <w:marLeft w:val="0"/>
      <w:marRight w:val="0"/>
      <w:marTop w:val="0"/>
      <w:marBottom w:val="0"/>
      <w:divBdr>
        <w:top w:val="none" w:sz="0" w:space="0" w:color="auto"/>
        <w:left w:val="none" w:sz="0" w:space="0" w:color="auto"/>
        <w:bottom w:val="none" w:sz="0" w:space="0" w:color="auto"/>
        <w:right w:val="none" w:sz="0" w:space="0" w:color="auto"/>
      </w:divBdr>
    </w:div>
    <w:div w:id="1546021771">
      <w:bodyDiv w:val="1"/>
      <w:marLeft w:val="0"/>
      <w:marRight w:val="0"/>
      <w:marTop w:val="0"/>
      <w:marBottom w:val="0"/>
      <w:divBdr>
        <w:top w:val="none" w:sz="0" w:space="0" w:color="auto"/>
        <w:left w:val="none" w:sz="0" w:space="0" w:color="auto"/>
        <w:bottom w:val="none" w:sz="0" w:space="0" w:color="auto"/>
        <w:right w:val="none" w:sz="0" w:space="0" w:color="auto"/>
      </w:divBdr>
    </w:div>
    <w:div w:id="1565097703">
      <w:bodyDiv w:val="1"/>
      <w:marLeft w:val="0"/>
      <w:marRight w:val="0"/>
      <w:marTop w:val="0"/>
      <w:marBottom w:val="0"/>
      <w:divBdr>
        <w:top w:val="none" w:sz="0" w:space="0" w:color="auto"/>
        <w:left w:val="none" w:sz="0" w:space="0" w:color="auto"/>
        <w:bottom w:val="none" w:sz="0" w:space="0" w:color="auto"/>
        <w:right w:val="none" w:sz="0" w:space="0" w:color="auto"/>
      </w:divBdr>
    </w:div>
    <w:div w:id="1565141895">
      <w:bodyDiv w:val="1"/>
      <w:marLeft w:val="0"/>
      <w:marRight w:val="0"/>
      <w:marTop w:val="0"/>
      <w:marBottom w:val="0"/>
      <w:divBdr>
        <w:top w:val="none" w:sz="0" w:space="0" w:color="auto"/>
        <w:left w:val="none" w:sz="0" w:space="0" w:color="auto"/>
        <w:bottom w:val="none" w:sz="0" w:space="0" w:color="auto"/>
        <w:right w:val="none" w:sz="0" w:space="0" w:color="auto"/>
      </w:divBdr>
    </w:div>
    <w:div w:id="1572422336">
      <w:bodyDiv w:val="1"/>
      <w:marLeft w:val="0"/>
      <w:marRight w:val="0"/>
      <w:marTop w:val="0"/>
      <w:marBottom w:val="0"/>
      <w:divBdr>
        <w:top w:val="none" w:sz="0" w:space="0" w:color="auto"/>
        <w:left w:val="none" w:sz="0" w:space="0" w:color="auto"/>
        <w:bottom w:val="none" w:sz="0" w:space="0" w:color="auto"/>
        <w:right w:val="none" w:sz="0" w:space="0" w:color="auto"/>
      </w:divBdr>
    </w:div>
    <w:div w:id="1575121772">
      <w:bodyDiv w:val="1"/>
      <w:marLeft w:val="0"/>
      <w:marRight w:val="0"/>
      <w:marTop w:val="0"/>
      <w:marBottom w:val="0"/>
      <w:divBdr>
        <w:top w:val="none" w:sz="0" w:space="0" w:color="auto"/>
        <w:left w:val="none" w:sz="0" w:space="0" w:color="auto"/>
        <w:bottom w:val="none" w:sz="0" w:space="0" w:color="auto"/>
        <w:right w:val="none" w:sz="0" w:space="0" w:color="auto"/>
      </w:divBdr>
    </w:div>
    <w:div w:id="1576864844">
      <w:bodyDiv w:val="1"/>
      <w:marLeft w:val="0"/>
      <w:marRight w:val="0"/>
      <w:marTop w:val="0"/>
      <w:marBottom w:val="0"/>
      <w:divBdr>
        <w:top w:val="none" w:sz="0" w:space="0" w:color="auto"/>
        <w:left w:val="none" w:sz="0" w:space="0" w:color="auto"/>
        <w:bottom w:val="none" w:sz="0" w:space="0" w:color="auto"/>
        <w:right w:val="none" w:sz="0" w:space="0" w:color="auto"/>
      </w:divBdr>
    </w:div>
    <w:div w:id="1577007328">
      <w:bodyDiv w:val="1"/>
      <w:marLeft w:val="0"/>
      <w:marRight w:val="0"/>
      <w:marTop w:val="0"/>
      <w:marBottom w:val="0"/>
      <w:divBdr>
        <w:top w:val="none" w:sz="0" w:space="0" w:color="auto"/>
        <w:left w:val="none" w:sz="0" w:space="0" w:color="auto"/>
        <w:bottom w:val="none" w:sz="0" w:space="0" w:color="auto"/>
        <w:right w:val="none" w:sz="0" w:space="0" w:color="auto"/>
      </w:divBdr>
    </w:div>
    <w:div w:id="1607421437">
      <w:bodyDiv w:val="1"/>
      <w:marLeft w:val="0"/>
      <w:marRight w:val="0"/>
      <w:marTop w:val="0"/>
      <w:marBottom w:val="0"/>
      <w:divBdr>
        <w:top w:val="none" w:sz="0" w:space="0" w:color="auto"/>
        <w:left w:val="none" w:sz="0" w:space="0" w:color="auto"/>
        <w:bottom w:val="none" w:sz="0" w:space="0" w:color="auto"/>
        <w:right w:val="none" w:sz="0" w:space="0" w:color="auto"/>
      </w:divBdr>
    </w:div>
    <w:div w:id="1616059446">
      <w:bodyDiv w:val="1"/>
      <w:marLeft w:val="0"/>
      <w:marRight w:val="0"/>
      <w:marTop w:val="0"/>
      <w:marBottom w:val="0"/>
      <w:divBdr>
        <w:top w:val="none" w:sz="0" w:space="0" w:color="auto"/>
        <w:left w:val="none" w:sz="0" w:space="0" w:color="auto"/>
        <w:bottom w:val="none" w:sz="0" w:space="0" w:color="auto"/>
        <w:right w:val="none" w:sz="0" w:space="0" w:color="auto"/>
      </w:divBdr>
    </w:div>
    <w:div w:id="1620066519">
      <w:bodyDiv w:val="1"/>
      <w:marLeft w:val="0"/>
      <w:marRight w:val="0"/>
      <w:marTop w:val="0"/>
      <w:marBottom w:val="0"/>
      <w:divBdr>
        <w:top w:val="none" w:sz="0" w:space="0" w:color="auto"/>
        <w:left w:val="none" w:sz="0" w:space="0" w:color="auto"/>
        <w:bottom w:val="none" w:sz="0" w:space="0" w:color="auto"/>
        <w:right w:val="none" w:sz="0" w:space="0" w:color="auto"/>
      </w:divBdr>
    </w:div>
    <w:div w:id="1622960164">
      <w:bodyDiv w:val="1"/>
      <w:marLeft w:val="0"/>
      <w:marRight w:val="0"/>
      <w:marTop w:val="0"/>
      <w:marBottom w:val="0"/>
      <w:divBdr>
        <w:top w:val="none" w:sz="0" w:space="0" w:color="auto"/>
        <w:left w:val="none" w:sz="0" w:space="0" w:color="auto"/>
        <w:bottom w:val="none" w:sz="0" w:space="0" w:color="auto"/>
        <w:right w:val="none" w:sz="0" w:space="0" w:color="auto"/>
      </w:divBdr>
    </w:div>
    <w:div w:id="1626496728">
      <w:bodyDiv w:val="1"/>
      <w:marLeft w:val="0"/>
      <w:marRight w:val="0"/>
      <w:marTop w:val="0"/>
      <w:marBottom w:val="0"/>
      <w:divBdr>
        <w:top w:val="none" w:sz="0" w:space="0" w:color="auto"/>
        <w:left w:val="none" w:sz="0" w:space="0" w:color="auto"/>
        <w:bottom w:val="none" w:sz="0" w:space="0" w:color="auto"/>
        <w:right w:val="none" w:sz="0" w:space="0" w:color="auto"/>
      </w:divBdr>
    </w:div>
    <w:div w:id="1637635988">
      <w:bodyDiv w:val="1"/>
      <w:marLeft w:val="0"/>
      <w:marRight w:val="0"/>
      <w:marTop w:val="0"/>
      <w:marBottom w:val="0"/>
      <w:divBdr>
        <w:top w:val="none" w:sz="0" w:space="0" w:color="auto"/>
        <w:left w:val="none" w:sz="0" w:space="0" w:color="auto"/>
        <w:bottom w:val="none" w:sz="0" w:space="0" w:color="auto"/>
        <w:right w:val="none" w:sz="0" w:space="0" w:color="auto"/>
      </w:divBdr>
    </w:div>
    <w:div w:id="1677154400">
      <w:bodyDiv w:val="1"/>
      <w:marLeft w:val="0"/>
      <w:marRight w:val="0"/>
      <w:marTop w:val="0"/>
      <w:marBottom w:val="0"/>
      <w:divBdr>
        <w:top w:val="none" w:sz="0" w:space="0" w:color="auto"/>
        <w:left w:val="none" w:sz="0" w:space="0" w:color="auto"/>
        <w:bottom w:val="none" w:sz="0" w:space="0" w:color="auto"/>
        <w:right w:val="none" w:sz="0" w:space="0" w:color="auto"/>
      </w:divBdr>
    </w:div>
    <w:div w:id="1694064962">
      <w:bodyDiv w:val="1"/>
      <w:marLeft w:val="0"/>
      <w:marRight w:val="0"/>
      <w:marTop w:val="0"/>
      <w:marBottom w:val="0"/>
      <w:divBdr>
        <w:top w:val="none" w:sz="0" w:space="0" w:color="auto"/>
        <w:left w:val="none" w:sz="0" w:space="0" w:color="auto"/>
        <w:bottom w:val="none" w:sz="0" w:space="0" w:color="auto"/>
        <w:right w:val="none" w:sz="0" w:space="0" w:color="auto"/>
      </w:divBdr>
    </w:div>
    <w:div w:id="1706172214">
      <w:bodyDiv w:val="1"/>
      <w:marLeft w:val="0"/>
      <w:marRight w:val="0"/>
      <w:marTop w:val="0"/>
      <w:marBottom w:val="0"/>
      <w:divBdr>
        <w:top w:val="none" w:sz="0" w:space="0" w:color="auto"/>
        <w:left w:val="none" w:sz="0" w:space="0" w:color="auto"/>
        <w:bottom w:val="none" w:sz="0" w:space="0" w:color="auto"/>
        <w:right w:val="none" w:sz="0" w:space="0" w:color="auto"/>
      </w:divBdr>
    </w:div>
    <w:div w:id="1732650818">
      <w:bodyDiv w:val="1"/>
      <w:marLeft w:val="0"/>
      <w:marRight w:val="0"/>
      <w:marTop w:val="0"/>
      <w:marBottom w:val="0"/>
      <w:divBdr>
        <w:top w:val="none" w:sz="0" w:space="0" w:color="auto"/>
        <w:left w:val="none" w:sz="0" w:space="0" w:color="auto"/>
        <w:bottom w:val="none" w:sz="0" w:space="0" w:color="auto"/>
        <w:right w:val="none" w:sz="0" w:space="0" w:color="auto"/>
      </w:divBdr>
    </w:div>
    <w:div w:id="1748574850">
      <w:bodyDiv w:val="1"/>
      <w:marLeft w:val="0"/>
      <w:marRight w:val="0"/>
      <w:marTop w:val="0"/>
      <w:marBottom w:val="0"/>
      <w:divBdr>
        <w:top w:val="none" w:sz="0" w:space="0" w:color="auto"/>
        <w:left w:val="none" w:sz="0" w:space="0" w:color="auto"/>
        <w:bottom w:val="none" w:sz="0" w:space="0" w:color="auto"/>
        <w:right w:val="none" w:sz="0" w:space="0" w:color="auto"/>
      </w:divBdr>
    </w:div>
    <w:div w:id="1785030672">
      <w:bodyDiv w:val="1"/>
      <w:marLeft w:val="0"/>
      <w:marRight w:val="0"/>
      <w:marTop w:val="0"/>
      <w:marBottom w:val="0"/>
      <w:divBdr>
        <w:top w:val="none" w:sz="0" w:space="0" w:color="auto"/>
        <w:left w:val="none" w:sz="0" w:space="0" w:color="auto"/>
        <w:bottom w:val="none" w:sz="0" w:space="0" w:color="auto"/>
        <w:right w:val="none" w:sz="0" w:space="0" w:color="auto"/>
      </w:divBdr>
    </w:div>
    <w:div w:id="1795516211">
      <w:bodyDiv w:val="1"/>
      <w:marLeft w:val="0"/>
      <w:marRight w:val="0"/>
      <w:marTop w:val="0"/>
      <w:marBottom w:val="0"/>
      <w:divBdr>
        <w:top w:val="none" w:sz="0" w:space="0" w:color="auto"/>
        <w:left w:val="none" w:sz="0" w:space="0" w:color="auto"/>
        <w:bottom w:val="none" w:sz="0" w:space="0" w:color="auto"/>
        <w:right w:val="none" w:sz="0" w:space="0" w:color="auto"/>
      </w:divBdr>
    </w:div>
    <w:div w:id="1801343660">
      <w:bodyDiv w:val="1"/>
      <w:marLeft w:val="0"/>
      <w:marRight w:val="0"/>
      <w:marTop w:val="0"/>
      <w:marBottom w:val="0"/>
      <w:divBdr>
        <w:top w:val="none" w:sz="0" w:space="0" w:color="auto"/>
        <w:left w:val="none" w:sz="0" w:space="0" w:color="auto"/>
        <w:bottom w:val="none" w:sz="0" w:space="0" w:color="auto"/>
        <w:right w:val="none" w:sz="0" w:space="0" w:color="auto"/>
      </w:divBdr>
    </w:div>
    <w:div w:id="1832870367">
      <w:bodyDiv w:val="1"/>
      <w:marLeft w:val="0"/>
      <w:marRight w:val="0"/>
      <w:marTop w:val="0"/>
      <w:marBottom w:val="0"/>
      <w:divBdr>
        <w:top w:val="none" w:sz="0" w:space="0" w:color="auto"/>
        <w:left w:val="none" w:sz="0" w:space="0" w:color="auto"/>
        <w:bottom w:val="none" w:sz="0" w:space="0" w:color="auto"/>
        <w:right w:val="none" w:sz="0" w:space="0" w:color="auto"/>
      </w:divBdr>
    </w:div>
    <w:div w:id="1852062282">
      <w:bodyDiv w:val="1"/>
      <w:marLeft w:val="0"/>
      <w:marRight w:val="0"/>
      <w:marTop w:val="0"/>
      <w:marBottom w:val="0"/>
      <w:divBdr>
        <w:top w:val="none" w:sz="0" w:space="0" w:color="auto"/>
        <w:left w:val="none" w:sz="0" w:space="0" w:color="auto"/>
        <w:bottom w:val="none" w:sz="0" w:space="0" w:color="auto"/>
        <w:right w:val="none" w:sz="0" w:space="0" w:color="auto"/>
      </w:divBdr>
    </w:div>
    <w:div w:id="1899320314">
      <w:bodyDiv w:val="1"/>
      <w:marLeft w:val="0"/>
      <w:marRight w:val="0"/>
      <w:marTop w:val="0"/>
      <w:marBottom w:val="0"/>
      <w:divBdr>
        <w:top w:val="none" w:sz="0" w:space="0" w:color="auto"/>
        <w:left w:val="none" w:sz="0" w:space="0" w:color="auto"/>
        <w:bottom w:val="none" w:sz="0" w:space="0" w:color="auto"/>
        <w:right w:val="none" w:sz="0" w:space="0" w:color="auto"/>
      </w:divBdr>
    </w:div>
    <w:div w:id="1914126027">
      <w:bodyDiv w:val="1"/>
      <w:marLeft w:val="0"/>
      <w:marRight w:val="0"/>
      <w:marTop w:val="0"/>
      <w:marBottom w:val="0"/>
      <w:divBdr>
        <w:top w:val="none" w:sz="0" w:space="0" w:color="auto"/>
        <w:left w:val="none" w:sz="0" w:space="0" w:color="auto"/>
        <w:bottom w:val="none" w:sz="0" w:space="0" w:color="auto"/>
        <w:right w:val="none" w:sz="0" w:space="0" w:color="auto"/>
      </w:divBdr>
    </w:div>
    <w:div w:id="1932932633">
      <w:bodyDiv w:val="1"/>
      <w:marLeft w:val="0"/>
      <w:marRight w:val="0"/>
      <w:marTop w:val="0"/>
      <w:marBottom w:val="0"/>
      <w:divBdr>
        <w:top w:val="none" w:sz="0" w:space="0" w:color="auto"/>
        <w:left w:val="none" w:sz="0" w:space="0" w:color="auto"/>
        <w:bottom w:val="none" w:sz="0" w:space="0" w:color="auto"/>
        <w:right w:val="none" w:sz="0" w:space="0" w:color="auto"/>
      </w:divBdr>
    </w:div>
    <w:div w:id="1936475557">
      <w:bodyDiv w:val="1"/>
      <w:marLeft w:val="0"/>
      <w:marRight w:val="0"/>
      <w:marTop w:val="0"/>
      <w:marBottom w:val="0"/>
      <w:divBdr>
        <w:top w:val="none" w:sz="0" w:space="0" w:color="auto"/>
        <w:left w:val="none" w:sz="0" w:space="0" w:color="auto"/>
        <w:bottom w:val="none" w:sz="0" w:space="0" w:color="auto"/>
        <w:right w:val="none" w:sz="0" w:space="0" w:color="auto"/>
      </w:divBdr>
    </w:div>
    <w:div w:id="1943872311">
      <w:bodyDiv w:val="1"/>
      <w:marLeft w:val="0"/>
      <w:marRight w:val="0"/>
      <w:marTop w:val="0"/>
      <w:marBottom w:val="0"/>
      <w:divBdr>
        <w:top w:val="none" w:sz="0" w:space="0" w:color="auto"/>
        <w:left w:val="none" w:sz="0" w:space="0" w:color="auto"/>
        <w:bottom w:val="none" w:sz="0" w:space="0" w:color="auto"/>
        <w:right w:val="none" w:sz="0" w:space="0" w:color="auto"/>
      </w:divBdr>
    </w:div>
    <w:div w:id="1945305492">
      <w:bodyDiv w:val="1"/>
      <w:marLeft w:val="0"/>
      <w:marRight w:val="0"/>
      <w:marTop w:val="0"/>
      <w:marBottom w:val="0"/>
      <w:divBdr>
        <w:top w:val="none" w:sz="0" w:space="0" w:color="auto"/>
        <w:left w:val="none" w:sz="0" w:space="0" w:color="auto"/>
        <w:bottom w:val="none" w:sz="0" w:space="0" w:color="auto"/>
        <w:right w:val="none" w:sz="0" w:space="0" w:color="auto"/>
      </w:divBdr>
    </w:div>
    <w:div w:id="1962686606">
      <w:bodyDiv w:val="1"/>
      <w:marLeft w:val="0"/>
      <w:marRight w:val="0"/>
      <w:marTop w:val="0"/>
      <w:marBottom w:val="0"/>
      <w:divBdr>
        <w:top w:val="none" w:sz="0" w:space="0" w:color="auto"/>
        <w:left w:val="none" w:sz="0" w:space="0" w:color="auto"/>
        <w:bottom w:val="none" w:sz="0" w:space="0" w:color="auto"/>
        <w:right w:val="none" w:sz="0" w:space="0" w:color="auto"/>
      </w:divBdr>
    </w:div>
    <w:div w:id="1963147968">
      <w:bodyDiv w:val="1"/>
      <w:marLeft w:val="0"/>
      <w:marRight w:val="0"/>
      <w:marTop w:val="0"/>
      <w:marBottom w:val="0"/>
      <w:divBdr>
        <w:top w:val="none" w:sz="0" w:space="0" w:color="auto"/>
        <w:left w:val="none" w:sz="0" w:space="0" w:color="auto"/>
        <w:bottom w:val="none" w:sz="0" w:space="0" w:color="auto"/>
        <w:right w:val="none" w:sz="0" w:space="0" w:color="auto"/>
      </w:divBdr>
    </w:div>
    <w:div w:id="1972437148">
      <w:bodyDiv w:val="1"/>
      <w:marLeft w:val="0"/>
      <w:marRight w:val="0"/>
      <w:marTop w:val="0"/>
      <w:marBottom w:val="0"/>
      <w:divBdr>
        <w:top w:val="none" w:sz="0" w:space="0" w:color="auto"/>
        <w:left w:val="none" w:sz="0" w:space="0" w:color="auto"/>
        <w:bottom w:val="none" w:sz="0" w:space="0" w:color="auto"/>
        <w:right w:val="none" w:sz="0" w:space="0" w:color="auto"/>
      </w:divBdr>
    </w:div>
    <w:div w:id="1978610347">
      <w:bodyDiv w:val="1"/>
      <w:marLeft w:val="0"/>
      <w:marRight w:val="0"/>
      <w:marTop w:val="0"/>
      <w:marBottom w:val="0"/>
      <w:divBdr>
        <w:top w:val="none" w:sz="0" w:space="0" w:color="auto"/>
        <w:left w:val="none" w:sz="0" w:space="0" w:color="auto"/>
        <w:bottom w:val="none" w:sz="0" w:space="0" w:color="auto"/>
        <w:right w:val="none" w:sz="0" w:space="0" w:color="auto"/>
      </w:divBdr>
    </w:div>
    <w:div w:id="2004359391">
      <w:bodyDiv w:val="1"/>
      <w:marLeft w:val="0"/>
      <w:marRight w:val="0"/>
      <w:marTop w:val="0"/>
      <w:marBottom w:val="0"/>
      <w:divBdr>
        <w:top w:val="none" w:sz="0" w:space="0" w:color="auto"/>
        <w:left w:val="none" w:sz="0" w:space="0" w:color="auto"/>
        <w:bottom w:val="none" w:sz="0" w:space="0" w:color="auto"/>
        <w:right w:val="none" w:sz="0" w:space="0" w:color="auto"/>
      </w:divBdr>
    </w:div>
    <w:div w:id="2005860945">
      <w:bodyDiv w:val="1"/>
      <w:marLeft w:val="0"/>
      <w:marRight w:val="0"/>
      <w:marTop w:val="0"/>
      <w:marBottom w:val="0"/>
      <w:divBdr>
        <w:top w:val="none" w:sz="0" w:space="0" w:color="auto"/>
        <w:left w:val="none" w:sz="0" w:space="0" w:color="auto"/>
        <w:bottom w:val="none" w:sz="0" w:space="0" w:color="auto"/>
        <w:right w:val="none" w:sz="0" w:space="0" w:color="auto"/>
      </w:divBdr>
    </w:div>
    <w:div w:id="2006398244">
      <w:bodyDiv w:val="1"/>
      <w:marLeft w:val="0"/>
      <w:marRight w:val="0"/>
      <w:marTop w:val="0"/>
      <w:marBottom w:val="0"/>
      <w:divBdr>
        <w:top w:val="none" w:sz="0" w:space="0" w:color="auto"/>
        <w:left w:val="none" w:sz="0" w:space="0" w:color="auto"/>
        <w:bottom w:val="none" w:sz="0" w:space="0" w:color="auto"/>
        <w:right w:val="none" w:sz="0" w:space="0" w:color="auto"/>
      </w:divBdr>
    </w:div>
    <w:div w:id="2039157175">
      <w:bodyDiv w:val="1"/>
      <w:marLeft w:val="0"/>
      <w:marRight w:val="0"/>
      <w:marTop w:val="0"/>
      <w:marBottom w:val="0"/>
      <w:divBdr>
        <w:top w:val="none" w:sz="0" w:space="0" w:color="auto"/>
        <w:left w:val="none" w:sz="0" w:space="0" w:color="auto"/>
        <w:bottom w:val="none" w:sz="0" w:space="0" w:color="auto"/>
        <w:right w:val="none" w:sz="0" w:space="0" w:color="auto"/>
      </w:divBdr>
    </w:div>
    <w:div w:id="2066681206">
      <w:bodyDiv w:val="1"/>
      <w:marLeft w:val="0"/>
      <w:marRight w:val="0"/>
      <w:marTop w:val="0"/>
      <w:marBottom w:val="0"/>
      <w:divBdr>
        <w:top w:val="none" w:sz="0" w:space="0" w:color="auto"/>
        <w:left w:val="none" w:sz="0" w:space="0" w:color="auto"/>
        <w:bottom w:val="none" w:sz="0" w:space="0" w:color="auto"/>
        <w:right w:val="none" w:sz="0" w:space="0" w:color="auto"/>
      </w:divBdr>
    </w:div>
    <w:div w:id="2096238845">
      <w:bodyDiv w:val="1"/>
      <w:marLeft w:val="0"/>
      <w:marRight w:val="0"/>
      <w:marTop w:val="0"/>
      <w:marBottom w:val="0"/>
      <w:divBdr>
        <w:top w:val="none" w:sz="0" w:space="0" w:color="auto"/>
        <w:left w:val="none" w:sz="0" w:space="0" w:color="auto"/>
        <w:bottom w:val="none" w:sz="0" w:space="0" w:color="auto"/>
        <w:right w:val="none" w:sz="0" w:space="0" w:color="auto"/>
      </w:divBdr>
    </w:div>
    <w:div w:id="20974361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nwcouncil.app.box.com/s/gacr21z8i89hh8ppk11rdzgm6fz4xlz3" TargetMode="External"/><Relationship Id="rId21" Type="http://schemas.openxmlformats.org/officeDocument/2006/relationships/hyperlink" Target="https://neea.org/img/documents/Residential-Building-Stock-Assessment-II-Multifamily-Homes-Report-2016-2017.pdf" TargetMode="External"/><Relationship Id="rId42" Type="http://schemas.openxmlformats.org/officeDocument/2006/relationships/chart" Target="charts/chart12.xml"/><Relationship Id="rId47" Type="http://schemas.openxmlformats.org/officeDocument/2006/relationships/chart" Target="charts/chart17.xml"/><Relationship Id="rId63" Type="http://schemas.openxmlformats.org/officeDocument/2006/relationships/chart" Target="charts/chart33.xml"/><Relationship Id="rId68" Type="http://schemas.openxmlformats.org/officeDocument/2006/relationships/chart" Target="charts/chart38.xml"/><Relationship Id="rId84" Type="http://schemas.openxmlformats.org/officeDocument/2006/relationships/chart" Target="charts/chart49.xml"/><Relationship Id="rId89" Type="http://schemas.openxmlformats.org/officeDocument/2006/relationships/chart" Target="charts/chart54.xml"/><Relationship Id="rId16" Type="http://schemas.openxmlformats.org/officeDocument/2006/relationships/diagramQuickStyle" Target="diagrams/quickStyle1.xml"/><Relationship Id="rId107" Type="http://schemas.openxmlformats.org/officeDocument/2006/relationships/footer" Target="footer6.xml"/><Relationship Id="rId11" Type="http://schemas.openxmlformats.org/officeDocument/2006/relationships/image" Target="media/image1.png"/><Relationship Id="rId32" Type="http://schemas.openxmlformats.org/officeDocument/2006/relationships/chart" Target="charts/chart2.xml"/><Relationship Id="rId37" Type="http://schemas.openxmlformats.org/officeDocument/2006/relationships/chart" Target="charts/chart7.xml"/><Relationship Id="rId53" Type="http://schemas.openxmlformats.org/officeDocument/2006/relationships/chart" Target="charts/chart23.xml"/><Relationship Id="rId58" Type="http://schemas.openxmlformats.org/officeDocument/2006/relationships/chart" Target="charts/chart28.xml"/><Relationship Id="rId74" Type="http://schemas.openxmlformats.org/officeDocument/2006/relationships/chart" Target="charts/chart44.xml"/><Relationship Id="rId79" Type="http://schemas.openxmlformats.org/officeDocument/2006/relationships/diagramData" Target="diagrams/data2.xml"/><Relationship Id="rId102" Type="http://schemas.openxmlformats.org/officeDocument/2006/relationships/image" Target="media/image5.png"/><Relationship Id="rId5" Type="http://schemas.openxmlformats.org/officeDocument/2006/relationships/numbering" Target="numbering.xml"/><Relationship Id="rId90" Type="http://schemas.openxmlformats.org/officeDocument/2006/relationships/chart" Target="charts/chart55.xml"/><Relationship Id="rId95" Type="http://schemas.openxmlformats.org/officeDocument/2006/relationships/image" Target="media/image4.emf"/><Relationship Id="rId22" Type="http://schemas.openxmlformats.org/officeDocument/2006/relationships/hyperlink" Target="https://neea.org/resources/cbsa-4-2019-final-report" TargetMode="External"/><Relationship Id="rId27" Type="http://schemas.openxmlformats.org/officeDocument/2006/relationships/header" Target="header1.xml"/><Relationship Id="rId43" Type="http://schemas.openxmlformats.org/officeDocument/2006/relationships/chart" Target="charts/chart13.xml"/><Relationship Id="rId48" Type="http://schemas.openxmlformats.org/officeDocument/2006/relationships/chart" Target="charts/chart18.xml"/><Relationship Id="rId64" Type="http://schemas.openxmlformats.org/officeDocument/2006/relationships/chart" Target="charts/chart34.xml"/><Relationship Id="rId69" Type="http://schemas.openxmlformats.org/officeDocument/2006/relationships/chart" Target="charts/chart39.xml"/><Relationship Id="rId80" Type="http://schemas.openxmlformats.org/officeDocument/2006/relationships/diagramLayout" Target="diagrams/layout2.xml"/><Relationship Id="rId85" Type="http://schemas.openxmlformats.org/officeDocument/2006/relationships/chart" Target="charts/chart50.xml"/><Relationship Id="rId12" Type="http://schemas.openxmlformats.org/officeDocument/2006/relationships/image" Target="media/image2.png"/><Relationship Id="rId17" Type="http://schemas.openxmlformats.org/officeDocument/2006/relationships/diagramColors" Target="diagrams/colors1.xml"/><Relationship Id="rId33" Type="http://schemas.openxmlformats.org/officeDocument/2006/relationships/chart" Target="charts/chart3.xml"/><Relationship Id="rId38" Type="http://schemas.openxmlformats.org/officeDocument/2006/relationships/chart" Target="charts/chart8.xml"/><Relationship Id="rId59" Type="http://schemas.openxmlformats.org/officeDocument/2006/relationships/chart" Target="charts/chart29.xml"/><Relationship Id="rId103" Type="http://schemas.microsoft.com/office/2007/relationships/hdphoto" Target="media/hdphoto1.wdp"/><Relationship Id="rId108" Type="http://schemas.openxmlformats.org/officeDocument/2006/relationships/fontTable" Target="fontTable.xml"/><Relationship Id="rId54" Type="http://schemas.openxmlformats.org/officeDocument/2006/relationships/chart" Target="charts/chart24.xml"/><Relationship Id="rId70" Type="http://schemas.openxmlformats.org/officeDocument/2006/relationships/chart" Target="charts/chart40.xml"/><Relationship Id="rId75" Type="http://schemas.openxmlformats.org/officeDocument/2006/relationships/chart" Target="charts/chart45.xml"/><Relationship Id="rId91" Type="http://schemas.openxmlformats.org/officeDocument/2006/relationships/chart" Target="charts/chart56.xml"/><Relationship Id="rId96" Type="http://schemas.openxmlformats.org/officeDocument/2006/relationships/package" Target="embeddings/Microsoft_Excel_Worksheet4.xls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Layout" Target="diagrams/layout1.xml"/><Relationship Id="rId23" Type="http://schemas.openxmlformats.org/officeDocument/2006/relationships/hyperlink" Target="http://neea.org/docs/default-source/reports/2014-industrial-facilities-stock-assessment-final-report.pdf?sfvrsn=6" TargetMode="External"/><Relationship Id="rId28" Type="http://schemas.openxmlformats.org/officeDocument/2006/relationships/footer" Target="footer1.xml"/><Relationship Id="rId36" Type="http://schemas.openxmlformats.org/officeDocument/2006/relationships/chart" Target="charts/chart6.xml"/><Relationship Id="rId49" Type="http://schemas.openxmlformats.org/officeDocument/2006/relationships/chart" Target="charts/chart19.xml"/><Relationship Id="rId57" Type="http://schemas.openxmlformats.org/officeDocument/2006/relationships/chart" Target="charts/chart27.xml"/><Relationship Id="rId106"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chart" Target="charts/chart14.xml"/><Relationship Id="rId52" Type="http://schemas.openxmlformats.org/officeDocument/2006/relationships/chart" Target="charts/chart22.xml"/><Relationship Id="rId60" Type="http://schemas.openxmlformats.org/officeDocument/2006/relationships/chart" Target="charts/chart30.xml"/><Relationship Id="rId65" Type="http://schemas.openxmlformats.org/officeDocument/2006/relationships/chart" Target="charts/chart35.xml"/><Relationship Id="rId73" Type="http://schemas.openxmlformats.org/officeDocument/2006/relationships/chart" Target="charts/chart43.xml"/><Relationship Id="rId78" Type="http://schemas.openxmlformats.org/officeDocument/2006/relationships/chart" Target="charts/chart48.xml"/><Relationship Id="rId81" Type="http://schemas.openxmlformats.org/officeDocument/2006/relationships/diagramQuickStyle" Target="diagrams/quickStyle2.xml"/><Relationship Id="rId86" Type="http://schemas.openxmlformats.org/officeDocument/2006/relationships/chart" Target="charts/chart51.xml"/><Relationship Id="rId94" Type="http://schemas.openxmlformats.org/officeDocument/2006/relationships/footer" Target="footer3.xml"/><Relationship Id="rId99" Type="http://schemas.openxmlformats.org/officeDocument/2006/relationships/header" Target="header4.xml"/><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microsoft.com/office/2007/relationships/diagramDrawing" Target="diagrams/drawing1.xml"/><Relationship Id="rId39" Type="http://schemas.openxmlformats.org/officeDocument/2006/relationships/chart" Target="charts/chart9.xml"/><Relationship Id="rId109" Type="http://schemas.openxmlformats.org/officeDocument/2006/relationships/theme" Target="theme/theme1.xml"/><Relationship Id="rId34" Type="http://schemas.openxmlformats.org/officeDocument/2006/relationships/chart" Target="charts/chart4.xml"/><Relationship Id="rId50" Type="http://schemas.openxmlformats.org/officeDocument/2006/relationships/chart" Target="charts/chart20.xml"/><Relationship Id="rId55" Type="http://schemas.openxmlformats.org/officeDocument/2006/relationships/chart" Target="charts/chart25.xml"/><Relationship Id="rId76" Type="http://schemas.openxmlformats.org/officeDocument/2006/relationships/chart" Target="charts/chart46.xml"/><Relationship Id="rId97" Type="http://schemas.openxmlformats.org/officeDocument/2006/relationships/header" Target="header3.xml"/><Relationship Id="rId104" Type="http://schemas.openxmlformats.org/officeDocument/2006/relationships/image" Target="media/image6.png"/><Relationship Id="rId7" Type="http://schemas.openxmlformats.org/officeDocument/2006/relationships/settings" Target="settings.xml"/><Relationship Id="rId71" Type="http://schemas.openxmlformats.org/officeDocument/2006/relationships/chart" Target="charts/chart41.xml"/><Relationship Id="rId92" Type="http://schemas.openxmlformats.org/officeDocument/2006/relationships/chart" Target="charts/chart57.xm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hyperlink" Target="http://www.nwcouncil.org/energy/rtf/measures/Default.asp" TargetMode="External"/><Relationship Id="rId40" Type="http://schemas.openxmlformats.org/officeDocument/2006/relationships/chart" Target="charts/chart10.xml"/><Relationship Id="rId45" Type="http://schemas.openxmlformats.org/officeDocument/2006/relationships/chart" Target="charts/chart15.xml"/><Relationship Id="rId66" Type="http://schemas.openxmlformats.org/officeDocument/2006/relationships/chart" Target="charts/chart36.xml"/><Relationship Id="rId87" Type="http://schemas.openxmlformats.org/officeDocument/2006/relationships/chart" Target="charts/chart52.xml"/><Relationship Id="rId110" Type="http://schemas.openxmlformats.org/officeDocument/2006/relationships/customXml" Target="../customXml/item5.xml"/><Relationship Id="rId61" Type="http://schemas.openxmlformats.org/officeDocument/2006/relationships/chart" Target="charts/chart31.xml"/><Relationship Id="rId82" Type="http://schemas.openxmlformats.org/officeDocument/2006/relationships/diagramColors" Target="diagrams/colors2.xml"/><Relationship Id="rId19" Type="http://schemas.openxmlformats.org/officeDocument/2006/relationships/hyperlink" Target="https://neea.org/img/uploads/Residential-Building-Stock-Assessment-II-Single-Family-Homes-Report-2016-2017.pdf" TargetMode="External"/><Relationship Id="rId14" Type="http://schemas.openxmlformats.org/officeDocument/2006/relationships/diagramData" Target="diagrams/data1.xml"/><Relationship Id="rId30" Type="http://schemas.openxmlformats.org/officeDocument/2006/relationships/footer" Target="footer2.xml"/><Relationship Id="rId35" Type="http://schemas.openxmlformats.org/officeDocument/2006/relationships/chart" Target="charts/chart5.xml"/><Relationship Id="rId56" Type="http://schemas.openxmlformats.org/officeDocument/2006/relationships/chart" Target="charts/chart26.xml"/><Relationship Id="rId77" Type="http://schemas.openxmlformats.org/officeDocument/2006/relationships/chart" Target="charts/chart47.xml"/><Relationship Id="rId100" Type="http://schemas.openxmlformats.org/officeDocument/2006/relationships/header" Target="header5.xml"/><Relationship Id="rId105" Type="http://schemas.openxmlformats.org/officeDocument/2006/relationships/image" Target="media/image7.png"/><Relationship Id="rId8" Type="http://schemas.openxmlformats.org/officeDocument/2006/relationships/webSettings" Target="webSettings.xml"/><Relationship Id="rId51" Type="http://schemas.openxmlformats.org/officeDocument/2006/relationships/chart" Target="charts/chart21.xml"/><Relationship Id="rId72" Type="http://schemas.openxmlformats.org/officeDocument/2006/relationships/chart" Target="charts/chart42.xml"/><Relationship Id="rId93" Type="http://schemas.openxmlformats.org/officeDocument/2006/relationships/chart" Target="charts/chart58.xml"/><Relationship Id="rId98" Type="http://schemas.openxmlformats.org/officeDocument/2006/relationships/footer" Target="footer4.xml"/><Relationship Id="rId3" Type="http://schemas.openxmlformats.org/officeDocument/2006/relationships/customXml" Target="../customXml/item3.xml"/><Relationship Id="rId25" Type="http://schemas.openxmlformats.org/officeDocument/2006/relationships/hyperlink" Target="https://nwcouncil.box.com/s/u0dgjxkoxoj2tttym81uka3wrjcy6bo6" TargetMode="External"/><Relationship Id="rId46" Type="http://schemas.openxmlformats.org/officeDocument/2006/relationships/chart" Target="charts/chart16.xml"/><Relationship Id="rId67" Type="http://schemas.openxmlformats.org/officeDocument/2006/relationships/chart" Target="charts/chart37.xml"/><Relationship Id="rId20" Type="http://schemas.openxmlformats.org/officeDocument/2006/relationships/hyperlink" Target="https://neea.org/img/uploads/Residential-Building-Stock-Assessment-II-Manufactured-Homes-Report-2016-2017.pdf" TargetMode="External"/><Relationship Id="rId41" Type="http://schemas.openxmlformats.org/officeDocument/2006/relationships/chart" Target="charts/chart11.xml"/><Relationship Id="rId62" Type="http://schemas.openxmlformats.org/officeDocument/2006/relationships/chart" Target="charts/chart32.xml"/><Relationship Id="rId83" Type="http://schemas.microsoft.com/office/2007/relationships/diagramDrawing" Target="diagrams/drawing2.xml"/><Relationship Id="rId88" Type="http://schemas.openxmlformats.org/officeDocument/2006/relationships/chart" Target="charts/chart5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iordan\AppData\Local\Temp\MicrosoftEdgeDownloads\616af58a-46a8-47e0-b9fb-c767f59771a7\Report%20Template%202024.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NULL"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NULL"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NULL"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NULL"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NULL"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NULL"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NULL"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1.xml"/><Relationship Id="rId1" Type="http://schemas.microsoft.com/office/2011/relationships/chartStyle" Target="style31.xml"/></Relationships>
</file>

<file path=word/charts/_rels/chart3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9.xml"/></Relationships>
</file>

<file path=word/charts/_rels/chart3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0.xml"/></Relationships>
</file>

<file path=word/charts/_rels/chart3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2.xml"/><Relationship Id="rId1" Type="http://schemas.microsoft.com/office/2011/relationships/chartStyle" Target="style32.xml"/></Relationships>
</file>

<file path=word/charts/_rels/chart3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1.xml"/></Relationships>
</file>

<file path=word/charts/_rels/chart38.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2.xml"/></Relationships>
</file>

<file path=word/charts/_rels/chart3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3.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4.xml"/></Relationships>
</file>

<file path=word/charts/_rels/chart4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5.xml"/></Relationships>
</file>

<file path=word/charts/_rels/chart4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6.xml"/></Relationships>
</file>

<file path=word/charts/_rels/chart4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7.xml"/></Relationships>
</file>

<file path=word/charts/_rels/chart4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8.xml"/></Relationships>
</file>

<file path=word/charts/_rels/chart4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9.xml"/></Relationships>
</file>

<file path=word/charts/_rels/chart4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0.xml"/></Relationships>
</file>

<file path=word/charts/_rels/chart4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1.xml"/></Relationships>
</file>

<file path=word/charts/_rels/chart48.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2.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NULL"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xlsx"/></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5.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6.xm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NULL"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NULL"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NULL"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NULL"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NULL"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Use (GWh)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924E-4C41-A088-167B3C93520F}"/>
              </c:ext>
            </c:extLst>
          </c:dPt>
          <c:dPt>
            <c:idx val="1"/>
            <c:bubble3D val="0"/>
            <c:spPr>
              <a:solidFill>
                <a:schemeClr val="accent2"/>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924E-4C41-A088-167B3C93520F}"/>
              </c:ext>
            </c:extLst>
          </c:dPt>
          <c:dPt>
            <c:idx val="2"/>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924E-4C41-A088-167B3C93520F}"/>
              </c:ext>
            </c:extLst>
          </c:dPt>
          <c:dLbls>
            <c:dLbl>
              <c:idx val="0"/>
              <c:layout>
                <c:manualLayout>
                  <c:x val="-0.23399558498896247"/>
                  <c:y val="-1.9393557623478882E-2"/>
                </c:manualLayout>
              </c:layout>
              <c:spPr>
                <a:noFill/>
                <a:ln>
                  <a:noFill/>
                </a:ln>
                <a:effectLst/>
              </c:spPr>
              <c:txPr>
                <a:bodyPr rot="0" spcFirstLastPara="1" vertOverflow="ellipsis" vert="horz" wrap="square" lIns="38100" tIns="19050" rIns="38100" bIns="19050" anchor="ctr" anchorCtr="0">
                  <a:spAutoFit/>
                </a:bodyPr>
                <a:lstStyle/>
                <a:p>
                  <a:pPr algn="ctr">
                    <a:defRPr lang="en-US"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3081677704194262"/>
                      <c:h val="0.17432746361250298"/>
                    </c:manualLayout>
                  </c15:layout>
                </c:ext>
                <c:ext xmlns:c16="http://schemas.microsoft.com/office/drawing/2014/chart" uri="{C3380CC4-5D6E-409C-BE32-E72D297353CC}">
                  <c16:uniqueId val="{00000001-924E-4C41-A088-167B3C93520F}"/>
                </c:ext>
              </c:extLst>
            </c:dLbl>
            <c:dLbl>
              <c:idx val="1"/>
              <c:layout>
                <c:manualLayout>
                  <c:x val="0.20750569258312909"/>
                  <c:y val="-7.7575757575757576E-2"/>
                </c:manualLayout>
              </c:layout>
              <c:tx>
                <c:rich>
                  <a:bodyPr/>
                  <a:lstStyle/>
                  <a:p>
                    <a:fld id="{60F30D0A-FE48-4BC0-B3F2-FB8D3A2CC4A9}" type="CATEGORYNAME">
                      <a:rPr lang="en-US">
                        <a:solidFill>
                          <a:schemeClr val="bg1"/>
                        </a:solidFill>
                      </a:rPr>
                      <a:pPr/>
                      <a:t>[CATEGORY NAME]</a:t>
                    </a:fld>
                    <a:r>
                      <a:rPr lang="en-US" baseline="0">
                        <a:solidFill>
                          <a:schemeClr val="bg1"/>
                        </a:solidFill>
                      </a:rPr>
                      <a:t>
</a:t>
                    </a:r>
                    <a:fld id="{C976ED35-4D09-4A04-8F45-2CB3CF4ABAE3}" type="PERCENTAGE">
                      <a:rPr lang="en-US" baseline="0">
                        <a:solidFill>
                          <a:schemeClr val="bg1"/>
                        </a:solidFill>
                      </a:rPr>
                      <a:pPr/>
                      <a:t>[PERCENTAGE]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6673306565156174"/>
                      <c:h val="0.17432746361250298"/>
                    </c:manualLayout>
                  </c15:layout>
                  <c15:dlblFieldTable/>
                  <c15:showDataLabelsRange val="0"/>
                </c:ext>
                <c:ext xmlns:c16="http://schemas.microsoft.com/office/drawing/2014/chart" uri="{C3380CC4-5D6E-409C-BE32-E72D297353CC}">
                  <c16:uniqueId val="{00000003-924E-4C41-A088-167B3C93520F}"/>
                </c:ext>
              </c:extLst>
            </c:dLbl>
            <c:dLbl>
              <c:idx val="2"/>
              <c:layout>
                <c:manualLayout>
                  <c:x val="-4.4150110375276346E-3"/>
                  <c:y val="2.424242424242424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24E-4C41-A088-167B3C9352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'Market Overview'!$N$9:$N$11</c:f>
              <c:strCache>
                <c:ptCount val="3"/>
                <c:pt idx="0">
                  <c:v>Residential</c:v>
                </c:pt>
                <c:pt idx="1">
                  <c:v>Commercial</c:v>
                </c:pt>
                <c:pt idx="2">
                  <c:v>Industrial</c:v>
                </c:pt>
              </c:strCache>
            </c:strRef>
          </c:cat>
          <c:val>
            <c:numRef>
              <c:f>'Market Overview'!$P$9:$P$11</c:f>
              <c:numCache>
                <c:formatCode>_(* #,##0_);_(* \(#,##0\);_(* "-"??_);_(@_)</c:formatCode>
                <c:ptCount val="3"/>
                <c:pt idx="0">
                  <c:v>2671.2092292699226</c:v>
                </c:pt>
                <c:pt idx="1">
                  <c:v>2075.4716798524501</c:v>
                </c:pt>
                <c:pt idx="2">
                  <c:v>559.35618382546636</c:v>
                </c:pt>
              </c:numCache>
            </c:numRef>
          </c:val>
          <c:extLst>
            <c:ext xmlns:c16="http://schemas.microsoft.com/office/drawing/2014/chart" uri="{C3380CC4-5D6E-409C-BE32-E72D297353CC}">
              <c16:uniqueId val="{00000006-924E-4C41-A088-167B3C93520F}"/>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526203832364091"/>
          <c:y val="5.1469920014938837E-2"/>
          <c:w val="0.60449831026023704"/>
          <c:h val="0.68543120351062836"/>
        </c:manualLayout>
      </c:layout>
      <c:barChart>
        <c:barDir val="col"/>
        <c:grouping val="stacked"/>
        <c:varyColors val="0"/>
        <c:ser>
          <c:idx val="1"/>
          <c:order val="1"/>
          <c:tx>
            <c:strRef>
              <c:f>'End Use Intensity - Base Year'!$B$13</c:f>
              <c:strCache>
                <c:ptCount val="1"/>
                <c:pt idx="0">
                  <c:v>Miscellaneous</c:v>
                </c:pt>
              </c:strCache>
            </c:strRef>
          </c:tx>
          <c:spPr>
            <a:solidFill>
              <a:schemeClr val="bg1">
                <a:lumMod val="50000"/>
              </a:schemeClr>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Year'!$C$13:$H$13</c:f>
              <c:numCache>
                <c:formatCode>_(* #,##0_);_(* \(#,##0\);_(* "-"??_);_(@_)</c:formatCode>
                <c:ptCount val="6"/>
                <c:pt idx="0">
                  <c:v>2705.1838076544768</c:v>
                </c:pt>
                <c:pt idx="1">
                  <c:v>494.49374100652034</c:v>
                </c:pt>
                <c:pt idx="2">
                  <c:v>1570.4448251636561</c:v>
                </c:pt>
                <c:pt idx="3">
                  <c:v>2283.4961860516337</c:v>
                </c:pt>
                <c:pt idx="4">
                  <c:v>1706.211598897851</c:v>
                </c:pt>
                <c:pt idx="5">
                  <c:v>1888.4038396510273</c:v>
                </c:pt>
              </c:numCache>
              <c:extLst/>
            </c:numRef>
          </c:val>
          <c:extLst>
            <c:ext xmlns:c16="http://schemas.microsoft.com/office/drawing/2014/chart" uri="{C3380CC4-5D6E-409C-BE32-E72D297353CC}">
              <c16:uniqueId val="{00000000-6380-49F2-9762-DA91220320E5}"/>
            </c:ext>
          </c:extLst>
        </c:ser>
        <c:ser>
          <c:idx val="2"/>
          <c:order val="2"/>
          <c:tx>
            <c:strRef>
              <c:f>'End Use Intensity - Base Year'!$B$12</c:f>
              <c:strCache>
                <c:ptCount val="1"/>
                <c:pt idx="0">
                  <c:v>Electronics</c:v>
                </c:pt>
              </c:strCache>
            </c:strRef>
          </c:tx>
          <c:spPr>
            <a:solidFill>
              <a:schemeClr val="tx2">
                <a:lumMod val="60000"/>
                <a:lumOff val="40000"/>
              </a:schemeClr>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Year'!$C$12:$H$12</c:f>
              <c:numCache>
                <c:formatCode>_(* #,##0_);_(* \(#,##0\);_(* "-"??_);_(@_)</c:formatCode>
                <c:ptCount val="6"/>
                <c:pt idx="0">
                  <c:v>993.48704798884251</c:v>
                </c:pt>
                <c:pt idx="1">
                  <c:v>793.60933375468278</c:v>
                </c:pt>
                <c:pt idx="2">
                  <c:v>967.02998013933234</c:v>
                </c:pt>
                <c:pt idx="3">
                  <c:v>993.48704798884251</c:v>
                </c:pt>
                <c:pt idx="4">
                  <c:v>793.60933375468267</c:v>
                </c:pt>
                <c:pt idx="5">
                  <c:v>967.02998013933245</c:v>
                </c:pt>
              </c:numCache>
              <c:extLst/>
            </c:numRef>
          </c:val>
          <c:extLst>
            <c:ext xmlns:c16="http://schemas.microsoft.com/office/drawing/2014/chart" uri="{C3380CC4-5D6E-409C-BE32-E72D297353CC}">
              <c16:uniqueId val="{00000001-6380-49F2-9762-DA91220320E5}"/>
            </c:ext>
          </c:extLst>
        </c:ser>
        <c:ser>
          <c:idx val="3"/>
          <c:order val="3"/>
          <c:tx>
            <c:strRef>
              <c:f>'End Use Intensity - Base Year'!$B$11</c:f>
              <c:strCache>
                <c:ptCount val="1"/>
                <c:pt idx="0">
                  <c:v>Appliances</c:v>
                </c:pt>
              </c:strCache>
            </c:strRef>
          </c:tx>
          <c:spPr>
            <a:solidFill>
              <a:srgbClr val="3CD39C"/>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Year'!$C$11:$H$11</c:f>
              <c:numCache>
                <c:formatCode>_(* #,##0_);_(* \(#,##0\);_(* "-"??_);_(@_)</c:formatCode>
                <c:ptCount val="6"/>
                <c:pt idx="0">
                  <c:v>2176.3999796948506</c:v>
                </c:pt>
                <c:pt idx="1">
                  <c:v>1150.3677757921078</c:v>
                </c:pt>
                <c:pt idx="2">
                  <c:v>1466.1173388332618</c:v>
                </c:pt>
                <c:pt idx="3">
                  <c:v>2176.3999796948501</c:v>
                </c:pt>
                <c:pt idx="4">
                  <c:v>1150.3677757921078</c:v>
                </c:pt>
                <c:pt idx="5">
                  <c:v>1466.1173388332622</c:v>
                </c:pt>
              </c:numCache>
              <c:extLst/>
            </c:numRef>
          </c:val>
          <c:extLst>
            <c:ext xmlns:c16="http://schemas.microsoft.com/office/drawing/2014/chart" uri="{C3380CC4-5D6E-409C-BE32-E72D297353CC}">
              <c16:uniqueId val="{00000002-6380-49F2-9762-DA91220320E5}"/>
            </c:ext>
          </c:extLst>
        </c:ser>
        <c:ser>
          <c:idx val="4"/>
          <c:order val="4"/>
          <c:tx>
            <c:strRef>
              <c:f>'End Use Intensity - Base Year'!$B$10</c:f>
              <c:strCache>
                <c:ptCount val="1"/>
                <c:pt idx="0">
                  <c:v>Exterior Lighting</c:v>
                </c:pt>
              </c:strCache>
            </c:strRef>
          </c:tx>
          <c:spPr>
            <a:solidFill>
              <a:schemeClr val="accent4">
                <a:lumMod val="50000"/>
              </a:schemeClr>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Year'!$C$10:$H$10</c:f>
              <c:numCache>
                <c:formatCode>_(* #,##0_);_(* \(#,##0\);_(* "-"??_);_(@_)</c:formatCode>
                <c:ptCount val="6"/>
                <c:pt idx="0">
                  <c:v>347.5318821837335</c:v>
                </c:pt>
                <c:pt idx="1">
                  <c:v>85.96605435660517</c:v>
                </c:pt>
                <c:pt idx="2">
                  <c:v>155.27277517582559</c:v>
                </c:pt>
                <c:pt idx="3">
                  <c:v>347.53188218373344</c:v>
                </c:pt>
                <c:pt idx="4">
                  <c:v>85.966054356605184</c:v>
                </c:pt>
                <c:pt idx="5">
                  <c:v>155.27277517582561</c:v>
                </c:pt>
              </c:numCache>
              <c:extLst/>
            </c:numRef>
          </c:val>
          <c:extLst>
            <c:ext xmlns:c16="http://schemas.microsoft.com/office/drawing/2014/chart" uri="{C3380CC4-5D6E-409C-BE32-E72D297353CC}">
              <c16:uniqueId val="{00000003-6380-49F2-9762-DA91220320E5}"/>
            </c:ext>
          </c:extLst>
        </c:ser>
        <c:ser>
          <c:idx val="5"/>
          <c:order val="5"/>
          <c:tx>
            <c:strRef>
              <c:f>'End Use Intensity - Base Year'!$B$9</c:f>
              <c:strCache>
                <c:ptCount val="1"/>
                <c:pt idx="0">
                  <c:v>Interior Lighting</c:v>
                </c:pt>
              </c:strCache>
            </c:strRef>
          </c:tx>
          <c:spPr>
            <a:solidFill>
              <a:schemeClr val="accent4"/>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Year'!$C$9:$H$9</c:f>
              <c:numCache>
                <c:formatCode>_(* #,##0_);_(* \(#,##0\);_(* "-"??_);_(@_)</c:formatCode>
                <c:ptCount val="6"/>
                <c:pt idx="0">
                  <c:v>1364.4793208478652</c:v>
                </c:pt>
                <c:pt idx="1">
                  <c:v>433.03752650738636</c:v>
                </c:pt>
                <c:pt idx="2">
                  <c:v>786.22167562432571</c:v>
                </c:pt>
                <c:pt idx="3">
                  <c:v>1364.479320847865</c:v>
                </c:pt>
                <c:pt idx="4">
                  <c:v>433.03752650738625</c:v>
                </c:pt>
                <c:pt idx="5">
                  <c:v>786.22167562432571</c:v>
                </c:pt>
              </c:numCache>
              <c:extLst/>
            </c:numRef>
          </c:val>
          <c:extLst>
            <c:ext xmlns:c16="http://schemas.microsoft.com/office/drawing/2014/chart" uri="{C3380CC4-5D6E-409C-BE32-E72D297353CC}">
              <c16:uniqueId val="{00000004-6380-49F2-9762-DA91220320E5}"/>
            </c:ext>
          </c:extLst>
        </c:ser>
        <c:ser>
          <c:idx val="6"/>
          <c:order val="6"/>
          <c:tx>
            <c:strRef>
              <c:f>'End Use Intensity - Base Year'!$B$8</c:f>
              <c:strCache>
                <c:ptCount val="1"/>
                <c:pt idx="0">
                  <c:v>Water Heating</c:v>
                </c:pt>
              </c:strCache>
            </c:strRef>
          </c:tx>
          <c:spPr>
            <a:solidFill>
              <a:schemeClr val="accent5"/>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Year'!$C$8:$H$8</c:f>
              <c:numCache>
                <c:formatCode>_(* #,##0_);_(* \(#,##0\);_(* "-"??_);_(@_)</c:formatCode>
                <c:ptCount val="6"/>
                <c:pt idx="0">
                  <c:v>994.56846456417691</c:v>
                </c:pt>
                <c:pt idx="1">
                  <c:v>1505.7569543089699</c:v>
                </c:pt>
                <c:pt idx="2">
                  <c:v>1524.3689932034674</c:v>
                </c:pt>
                <c:pt idx="3">
                  <c:v>1475.3189788234956</c:v>
                </c:pt>
                <c:pt idx="4">
                  <c:v>1324.7006851201356</c:v>
                </c:pt>
                <c:pt idx="5">
                  <c:v>1637.6175878041465</c:v>
                </c:pt>
              </c:numCache>
              <c:extLst/>
            </c:numRef>
          </c:val>
          <c:extLst>
            <c:ext xmlns:c16="http://schemas.microsoft.com/office/drawing/2014/chart" uri="{C3380CC4-5D6E-409C-BE32-E72D297353CC}">
              <c16:uniqueId val="{00000005-6380-49F2-9762-DA91220320E5}"/>
            </c:ext>
          </c:extLst>
        </c:ser>
        <c:ser>
          <c:idx val="7"/>
          <c:order val="7"/>
          <c:tx>
            <c:strRef>
              <c:f>'End Use Intensity - Base Year'!$B$7</c:f>
              <c:strCache>
                <c:ptCount val="1"/>
                <c:pt idx="0">
                  <c:v>Space Heating</c:v>
                </c:pt>
              </c:strCache>
            </c:strRef>
          </c:tx>
          <c:spPr>
            <a:solidFill>
              <a:schemeClr val="accent3"/>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Year'!$C$7:$H$7</c:f>
              <c:numCache>
                <c:formatCode>_(* #,##0_);_(* \(#,##0\);_(* "-"??_);_(@_)</c:formatCode>
                <c:ptCount val="6"/>
                <c:pt idx="0">
                  <c:v>2393.3271484863485</c:v>
                </c:pt>
                <c:pt idx="1">
                  <c:v>1225.9498082852213</c:v>
                </c:pt>
                <c:pt idx="2">
                  <c:v>6914.7439960663751</c:v>
                </c:pt>
                <c:pt idx="3">
                  <c:v>2689.4302561648137</c:v>
                </c:pt>
                <c:pt idx="4">
                  <c:v>1167.5693244978816</c:v>
                </c:pt>
                <c:pt idx="5">
                  <c:v>5927.0850276131468</c:v>
                </c:pt>
              </c:numCache>
              <c:extLst/>
            </c:numRef>
          </c:val>
          <c:extLst>
            <c:ext xmlns:c16="http://schemas.microsoft.com/office/drawing/2014/chart" uri="{C3380CC4-5D6E-409C-BE32-E72D297353CC}">
              <c16:uniqueId val="{00000006-6380-49F2-9762-DA91220320E5}"/>
            </c:ext>
          </c:extLst>
        </c:ser>
        <c:ser>
          <c:idx val="0"/>
          <c:order val="8"/>
          <c:tx>
            <c:strRef>
              <c:f>'End Use Intensity - Base Year'!$B$6</c:f>
              <c:strCache>
                <c:ptCount val="1"/>
                <c:pt idx="0">
                  <c:v>Cooling</c:v>
                </c:pt>
              </c:strCache>
            </c:strRef>
          </c:tx>
          <c:spPr>
            <a:solidFill>
              <a:schemeClr val="accent6"/>
            </a:solidFill>
            <a:ln>
              <a:solidFill>
                <a:schemeClr val="bg1"/>
              </a:solidFill>
            </a:ln>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Year'!$C$6:$H$6</c:f>
              <c:numCache>
                <c:formatCode>_(* #,##0_);_(* \(#,##0\);_(* "-"??_);_(@_)</c:formatCode>
                <c:ptCount val="6"/>
                <c:pt idx="0">
                  <c:v>732.4926775331968</c:v>
                </c:pt>
                <c:pt idx="1">
                  <c:v>169.94378481726025</c:v>
                </c:pt>
                <c:pt idx="2">
                  <c:v>521.97711449372252</c:v>
                </c:pt>
                <c:pt idx="3">
                  <c:v>625.37591809755259</c:v>
                </c:pt>
                <c:pt idx="4">
                  <c:v>187.28331009938103</c:v>
                </c:pt>
                <c:pt idx="5">
                  <c:v>437.0181400568668</c:v>
                </c:pt>
              </c:numCache>
              <c:extLst/>
            </c:numRef>
          </c:val>
          <c:extLst xmlns:c15="http://schemas.microsoft.com/office/drawing/2012/chart">
            <c:ext xmlns:c16="http://schemas.microsoft.com/office/drawing/2014/chart" uri="{C3380CC4-5D6E-409C-BE32-E72D297353CC}">
              <c16:uniqueId val="{00000007-6380-49F2-9762-DA91220320E5}"/>
            </c:ext>
          </c:extLst>
        </c:ser>
        <c:dLbls>
          <c:showLegendKey val="0"/>
          <c:showVal val="0"/>
          <c:showCatName val="0"/>
          <c:showSerName val="0"/>
          <c:showPercent val="0"/>
          <c:showBubbleSize val="0"/>
        </c:dLbls>
        <c:gapWidth val="70"/>
        <c:overlap val="100"/>
        <c:axId val="1802141535"/>
        <c:axId val="1802143199"/>
        <c:extLst>
          <c:ext xmlns:c15="http://schemas.microsoft.com/office/drawing/2012/chart" uri="{02D57815-91ED-43cb-92C2-25804820EDAC}">
            <c15:filteredBarSeries>
              <c15:ser>
                <c:idx val="8"/>
                <c:order val="0"/>
                <c:tx>
                  <c:strRef>
                    <c:extLst>
                      <c:ext uri="{02D57815-91ED-43cb-92C2-25804820EDAC}">
                        <c15:formulaRef>
                          <c15:sqref>'End Use Intensity - Base Year'!$B$14</c15:sqref>
                        </c15:formulaRef>
                      </c:ext>
                    </c:extLst>
                    <c:strCache>
                      <c:ptCount val="1"/>
                      <c:pt idx="0">
                        <c:v>Generation</c:v>
                      </c:pt>
                    </c:strCache>
                  </c:strRef>
                </c:tx>
                <c:spPr>
                  <a:pattFill prst="dkDnDiag">
                    <a:fgClr>
                      <a:srgbClr val="7F7F7F"/>
                    </a:fgClr>
                    <a:bgClr>
                      <a:schemeClr val="bg1"/>
                    </a:bgClr>
                  </a:pattFill>
                  <a:ln>
                    <a:noFill/>
                  </a:ln>
                  <a:effectLst/>
                </c:spPr>
                <c:invertIfNegative val="0"/>
                <c:cat>
                  <c:strRef>
                    <c:extLst>
                      <c:ext uri="{02D57815-91ED-43cb-92C2-25804820EDAC}">
                        <c15:formulaRef>
                          <c15:sqref>'End Use Intensity - Base Year'!$C$5:$H$5</c15:sqref>
                        </c15:formulaRef>
                      </c:ext>
                    </c:extLst>
                    <c:strCache>
                      <c:ptCount val="6"/>
                      <c:pt idx="0">
                        <c:v>Single Family</c:v>
                      </c:pt>
                      <c:pt idx="1">
                        <c:v>Multi-Family</c:v>
                      </c:pt>
                      <c:pt idx="2">
                        <c:v>Mobile Home</c:v>
                      </c:pt>
                      <c:pt idx="3">
                        <c:v>LI - Single Family</c:v>
                      </c:pt>
                      <c:pt idx="4">
                        <c:v>LI - Multi-Family</c:v>
                      </c:pt>
                      <c:pt idx="5">
                        <c:v>LI - Mobile Home</c:v>
                      </c:pt>
                    </c:strCache>
                  </c:strRef>
                </c:cat>
                <c:val>
                  <c:numRef>
                    <c:extLst>
                      <c:ext uri="{02D57815-91ED-43cb-92C2-25804820EDAC}">
                        <c15:formulaRef>
                          <c15:sqref>'End Use Intensity - Base Year'!$C$14:$H$14</c15:sqref>
                        </c15:formulaRef>
                      </c:ext>
                    </c:extLst>
                    <c:numCache>
                      <c:formatCode>_(* #,##0_);_(* \(#,##0\);_(* "-"??_);_(@_)</c:formatCode>
                      <c:ptCount val="6"/>
                      <c:pt idx="0">
                        <c:v>-9.7847642664684376</c:v>
                      </c:pt>
                      <c:pt idx="1">
                        <c:v>0</c:v>
                      </c:pt>
                      <c:pt idx="2">
                        <c:v>0</c:v>
                      </c:pt>
                      <c:pt idx="3">
                        <c:v>0</c:v>
                      </c:pt>
                      <c:pt idx="4">
                        <c:v>0</c:v>
                      </c:pt>
                      <c:pt idx="5">
                        <c:v>0</c:v>
                      </c:pt>
                    </c:numCache>
                  </c:numRef>
                </c:val>
                <c:extLst>
                  <c:ext xmlns:c16="http://schemas.microsoft.com/office/drawing/2014/chart" uri="{C3380CC4-5D6E-409C-BE32-E72D297353CC}">
                    <c16:uniqueId val="{00000008-6380-49F2-9762-DA91220320E5}"/>
                  </c:ext>
                </c:extLst>
              </c15:ser>
            </c15:filteredBarSeries>
          </c:ext>
        </c:extLst>
      </c:barChart>
      <c:catAx>
        <c:axId val="1802141535"/>
        <c:scaling>
          <c:orientation val="minMax"/>
        </c:scaling>
        <c:delete val="0"/>
        <c:axPos val="b"/>
        <c:numFmt formatCode="General" sourceLinked="1"/>
        <c:majorTickMark val="in"/>
        <c:minorTickMark val="none"/>
        <c:tickLblPos val="low"/>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3199"/>
        <c:crosses val="autoZero"/>
        <c:auto val="1"/>
        <c:lblAlgn val="ctr"/>
        <c:lblOffset val="100"/>
        <c:tickMarkSkip val="3"/>
        <c:noMultiLvlLbl val="0"/>
      </c:catAx>
      <c:valAx>
        <c:axId val="1802143199"/>
        <c:scaling>
          <c:orientation val="minMax"/>
        </c:scaling>
        <c:delete val="0"/>
        <c:axPos val="l"/>
        <c:majorGridlines>
          <c:spPr>
            <a:ln w="9525" cap="flat" cmpd="sng" algn="ctr">
              <a:solidFill>
                <a:schemeClr val="bg1">
                  <a:lumMod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kWh</a:t>
                </a:r>
                <a:r>
                  <a:rPr lang="en-US" baseline="0"/>
                  <a:t> per</a:t>
                </a:r>
                <a:br>
                  <a:rPr lang="en-US" baseline="0"/>
                </a:br>
                <a:r>
                  <a:rPr lang="en-US" baseline="0"/>
                  <a:t>Household</a:t>
                </a:r>
                <a:endParaRPr lang="en-US"/>
              </a:p>
            </c:rich>
          </c:tx>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1535"/>
        <c:crosses val="autoZero"/>
        <c:crossBetween val="between"/>
      </c:valAx>
      <c:spPr>
        <a:noFill/>
        <a:ln>
          <a:noFill/>
        </a:ln>
        <a:effectLst/>
      </c:spPr>
    </c:plotArea>
    <c:legend>
      <c:legendPos val="r"/>
      <c:layout>
        <c:manualLayout>
          <c:xMode val="edge"/>
          <c:yMode val="edge"/>
          <c:x val="0.79653406047496866"/>
          <c:y val="0.15961387604352673"/>
          <c:w val="0.18523129937007551"/>
          <c:h val="0.664809711286089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sz="900"/>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Annual Use by End Use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C279-4FBB-A6D5-6D9FC51DEA55}"/>
              </c:ext>
            </c:extLst>
          </c:dPt>
          <c:dPt>
            <c:idx val="1"/>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C279-4FBB-A6D5-6D9FC51DEA55}"/>
              </c:ext>
            </c:extLst>
          </c:dPt>
          <c:dPt>
            <c:idx val="2"/>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C279-4FBB-A6D5-6D9FC51DEA55}"/>
              </c:ext>
            </c:extLst>
          </c:dPt>
          <c:dPt>
            <c:idx val="3"/>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C279-4FBB-A6D5-6D9FC51DEA55}"/>
              </c:ext>
            </c:extLst>
          </c:dPt>
          <c:dPt>
            <c:idx val="4"/>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C279-4FBB-A6D5-6D9FC51DEA55}"/>
              </c:ext>
            </c:extLst>
          </c:dPt>
          <c:dPt>
            <c:idx val="5"/>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C279-4FBB-A6D5-6D9FC51DEA55}"/>
              </c:ext>
            </c:extLst>
          </c:dPt>
          <c:dPt>
            <c:idx val="6"/>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C279-4FBB-A6D5-6D9FC51DEA55}"/>
              </c:ext>
            </c:extLst>
          </c:dPt>
          <c:dPt>
            <c:idx val="7"/>
            <c:bubble3D val="0"/>
            <c:spPr>
              <a:solidFill>
                <a:schemeClr val="accent3">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C279-4FBB-A6D5-6D9FC51DEA55}"/>
              </c:ext>
            </c:extLst>
          </c:dPt>
          <c:dPt>
            <c:idx val="8"/>
            <c:bubble3D val="0"/>
            <c:spPr>
              <a:solidFill>
                <a:schemeClr val="tx2">
                  <a:lumMod val="40000"/>
                  <a:lumOff val="6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C279-4FBB-A6D5-6D9FC51DEA55}"/>
              </c:ext>
            </c:extLst>
          </c:dPt>
          <c:dPt>
            <c:idx val="9"/>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3-C279-4FBB-A6D5-6D9FC51DEA55}"/>
              </c:ext>
            </c:extLst>
          </c:dPt>
          <c:dLbls>
            <c:dLbl>
              <c:idx val="0"/>
              <c:layout>
                <c:manualLayout>
                  <c:x val="-3.2017714336969885E-2"/>
                  <c:y val="3.075950800267613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279-4FBB-A6D5-6D9FC51DEA55}"/>
                </c:ext>
              </c:extLst>
            </c:dLbl>
            <c:dLbl>
              <c:idx val="1"/>
              <c:layout>
                <c:manualLayout>
                  <c:x val="-2.4967506714107389E-3"/>
                  <c:y val="6.12176419124079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279-4FBB-A6D5-6D9FC51DEA55}"/>
                </c:ext>
              </c:extLst>
            </c:dLbl>
            <c:dLbl>
              <c:idx val="2"/>
              <c:layout>
                <c:manualLayout>
                  <c:x val="-0.21386126474675093"/>
                  <c:y val="2.265987339817816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3899932990842082"/>
                      <c:h val="0.16635644485807352"/>
                    </c:manualLayout>
                  </c15:layout>
                </c:ext>
                <c:ext xmlns:c16="http://schemas.microsoft.com/office/drawing/2014/chart" uri="{C3380CC4-5D6E-409C-BE32-E72D297353CC}">
                  <c16:uniqueId val="{00000005-C279-4FBB-A6D5-6D9FC51DEA55}"/>
                </c:ext>
              </c:extLst>
            </c:dLbl>
            <c:dLbl>
              <c:idx val="5"/>
              <c:layout>
                <c:manualLayout>
                  <c:x val="-7.5227550524776671E-2"/>
                  <c:y val="-1.8800170978743404E-7"/>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2438084080320406"/>
                      <c:h val="0.13722484689413822"/>
                    </c:manualLayout>
                  </c15:layout>
                </c:ext>
                <c:ext xmlns:c16="http://schemas.microsoft.com/office/drawing/2014/chart" uri="{C3380CC4-5D6E-409C-BE32-E72D297353CC}">
                  <c16:uniqueId val="{0000000B-C279-4FBB-A6D5-6D9FC51DEA55}"/>
                </c:ext>
              </c:extLst>
            </c:dLbl>
            <c:dLbl>
              <c:idx val="6"/>
              <c:layout>
                <c:manualLayout>
                  <c:x val="1.7028580769964308E-7"/>
                  <c:y val="-4.9157120065874214E-2"/>
                </c:manualLayout>
              </c:layout>
              <c:showLegendKey val="0"/>
              <c:showVal val="0"/>
              <c:showCatName val="1"/>
              <c:showSerName val="0"/>
              <c:showPercent val="1"/>
              <c:showBubbleSize val="0"/>
              <c:extLst>
                <c:ext xmlns:c15="http://schemas.microsoft.com/office/drawing/2012/chart" uri="{CE6537A1-D6FC-4f65-9D91-7224C49458BB}">
                  <c15:layout>
                    <c:manualLayout>
                      <c:w val="0.28925619834710742"/>
                      <c:h val="0.18367346938775511"/>
                    </c:manualLayout>
                  </c15:layout>
                </c:ext>
                <c:ext xmlns:c16="http://schemas.microsoft.com/office/drawing/2014/chart" uri="{C3380CC4-5D6E-409C-BE32-E72D297353CC}">
                  <c16:uniqueId val="{0000000D-C279-4FBB-A6D5-6D9FC51DEA55}"/>
                </c:ext>
              </c:extLst>
            </c:dLbl>
            <c:dLbl>
              <c:idx val="7"/>
              <c:layout>
                <c:manualLayout>
                  <c:x val="0"/>
                  <c:y val="-4.5480475654828857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4458342640160821"/>
                      <c:h val="0.2419730107026524"/>
                    </c:manualLayout>
                  </c15:layout>
                </c:ext>
                <c:ext xmlns:c16="http://schemas.microsoft.com/office/drawing/2014/chart" uri="{C3380CC4-5D6E-409C-BE32-E72D297353CC}">
                  <c16:uniqueId val="{0000000F-C279-4FBB-A6D5-6D9FC51DEA55}"/>
                </c:ext>
              </c:extLst>
            </c:dLbl>
            <c:dLbl>
              <c:idx val="8"/>
              <c:layout>
                <c:manualLayout>
                  <c:x val="4.4672771945499287E-3"/>
                  <c:y val="1.419050823283991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5798525798525801"/>
                      <c:h val="0.20935000771962325"/>
                    </c:manualLayout>
                  </c15:layout>
                </c:ext>
                <c:ext xmlns:c16="http://schemas.microsoft.com/office/drawing/2014/chart" uri="{C3380CC4-5D6E-409C-BE32-E72D297353CC}">
                  <c16:uniqueId val="{00000011-C279-4FBB-A6D5-6D9FC51DEA55}"/>
                </c:ext>
              </c:extLst>
            </c:dLbl>
            <c:dLbl>
              <c:idx val="9"/>
              <c:layout>
                <c:manualLayout>
                  <c:x val="8.0410989501898594E-2"/>
                  <c:y val="6.9684489764512331E-2"/>
                </c:manualLayout>
              </c:layout>
              <c:showLegendKey val="0"/>
              <c:showVal val="0"/>
              <c:showCatName val="1"/>
              <c:showSerName val="0"/>
              <c:showPercent val="1"/>
              <c:showBubbleSize val="0"/>
              <c:extLst>
                <c:ext xmlns:c15="http://schemas.microsoft.com/office/drawing/2012/chart" uri="{CE6537A1-D6FC-4f65-9D91-7224C49458BB}">
                  <c15:layout>
                    <c:manualLayout>
                      <c:w val="0.37301764574491847"/>
                      <c:h val="0.16751977664029782"/>
                    </c:manualLayout>
                  </c15:layout>
                </c:ext>
                <c:ext xmlns:c16="http://schemas.microsoft.com/office/drawing/2014/chart" uri="{C3380CC4-5D6E-409C-BE32-E72D297353CC}">
                  <c16:uniqueId val="{00000013-C279-4FBB-A6D5-6D9FC51DEA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Year'!$B$6:$B$15</c:f>
              <c:strCache>
                <c:ptCount val="10"/>
                <c:pt idx="0">
                  <c:v>Cooling</c:v>
                </c:pt>
                <c:pt idx="1">
                  <c:v>Space Heating</c:v>
                </c:pt>
                <c:pt idx="2">
                  <c:v>Ventilation</c:v>
                </c:pt>
                <c:pt idx="3">
                  <c:v>Water Heating</c:v>
                </c:pt>
                <c:pt idx="4">
                  <c:v>Interior Lighting</c:v>
                </c:pt>
                <c:pt idx="5">
                  <c:v>Exterior Lighting</c:v>
                </c:pt>
                <c:pt idx="6">
                  <c:v>Refrigeration</c:v>
                </c:pt>
                <c:pt idx="7">
                  <c:v>Food Preparation</c:v>
                </c:pt>
                <c:pt idx="8">
                  <c:v>Office Equipment</c:v>
                </c:pt>
                <c:pt idx="9">
                  <c:v>Miscellaneous</c:v>
                </c:pt>
              </c:strCache>
            </c:strRef>
          </c:cat>
          <c:val>
            <c:numRef>
              <c:f>'End Use Intensity - Base Year'!$N$6:$N$15</c:f>
              <c:numCache>
                <c:formatCode>_(* #,##0.00_);_(* \(#,##0.00\);_(* "-"??_);_(@_)</c:formatCode>
                <c:ptCount val="10"/>
                <c:pt idx="0">
                  <c:v>1.1634189392870482</c:v>
                </c:pt>
                <c:pt idx="1">
                  <c:v>1.0736554501014688</c:v>
                </c:pt>
                <c:pt idx="2">
                  <c:v>2.177136898008321</c:v>
                </c:pt>
                <c:pt idx="3">
                  <c:v>0.46176903915791401</c:v>
                </c:pt>
                <c:pt idx="4">
                  <c:v>2.6046164237497811</c:v>
                </c:pt>
                <c:pt idx="5">
                  <c:v>0.59637285555693975</c:v>
                </c:pt>
                <c:pt idx="6">
                  <c:v>1.5522687746086212</c:v>
                </c:pt>
                <c:pt idx="7">
                  <c:v>0.81874141071020823</c:v>
                </c:pt>
                <c:pt idx="8">
                  <c:v>1.489583650202239</c:v>
                </c:pt>
                <c:pt idx="9">
                  <c:v>1.8025634303626596</c:v>
                </c:pt>
              </c:numCache>
            </c:numRef>
          </c:val>
          <c:extLst>
            <c:ext xmlns:c16="http://schemas.microsoft.com/office/drawing/2014/chart" uri="{C3380CC4-5D6E-409C-BE32-E72D297353CC}">
              <c16:uniqueId val="{00000014-C279-4FBB-A6D5-6D9FC51DEA55}"/>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Winter</a:t>
            </a:r>
            <a:r>
              <a:rPr lang="en-US" sz="1200" baseline="0"/>
              <a:t> Peak Demand</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0CBB-402D-BE93-B26E3424A800}"/>
              </c:ext>
            </c:extLst>
          </c:dPt>
          <c:dPt>
            <c:idx val="1"/>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0CBB-402D-BE93-B26E3424A800}"/>
              </c:ext>
            </c:extLst>
          </c:dPt>
          <c:dPt>
            <c:idx val="2"/>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0CBB-402D-BE93-B26E3424A800}"/>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0CBB-402D-BE93-B26E3424A800}"/>
              </c:ext>
            </c:extLst>
          </c:dPt>
          <c:dPt>
            <c:idx val="4"/>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0CBB-402D-BE93-B26E3424A800}"/>
              </c:ext>
            </c:extLst>
          </c:dPt>
          <c:dPt>
            <c:idx val="5"/>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0CBB-402D-BE93-B26E3424A800}"/>
              </c:ext>
            </c:extLst>
          </c:dPt>
          <c:dPt>
            <c:idx val="6"/>
            <c:bubble3D val="0"/>
            <c:spPr>
              <a:solidFill>
                <a:schemeClr val="accent3">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0CBB-402D-BE93-B26E3424A800}"/>
              </c:ext>
            </c:extLst>
          </c:dPt>
          <c:dPt>
            <c:idx val="7"/>
            <c:bubble3D val="0"/>
            <c:spPr>
              <a:solidFill>
                <a:schemeClr val="tx2">
                  <a:lumMod val="40000"/>
                  <a:lumOff val="6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0CBB-402D-BE93-B26E3424A800}"/>
              </c:ext>
            </c:extLst>
          </c:dPt>
          <c:dPt>
            <c:idx val="8"/>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0CBB-402D-BE93-B26E3424A800}"/>
              </c:ext>
            </c:extLst>
          </c:dPt>
          <c:dLbls>
            <c:dLbl>
              <c:idx val="0"/>
              <c:layout>
                <c:manualLayout>
                  <c:x val="-0.19202406509135644"/>
                  <c:y val="0.17228654447015535"/>
                </c:manualLayout>
              </c:layout>
              <c:tx>
                <c:rich>
                  <a:bodyPr/>
                  <a:lstStyle/>
                  <a:p>
                    <a:fld id="{336550FD-8287-4832-88EE-D6518001A645}" type="CATEGORYNAME">
                      <a:rPr lang="en-US">
                        <a:solidFill>
                          <a:schemeClr val="bg1"/>
                        </a:solidFill>
                      </a:rPr>
                      <a:pPr/>
                      <a:t>[CATEGORY NAME]</a:t>
                    </a:fld>
                    <a:r>
                      <a:rPr lang="en-US" baseline="0">
                        <a:solidFill>
                          <a:schemeClr val="bg1"/>
                        </a:solidFill>
                      </a:rPr>
                      <a:t>
</a:t>
                    </a:r>
                    <a:fld id="{CE32C522-6F30-4013-B58A-53AA209C0920}" type="PERCENTAGE">
                      <a:rPr lang="en-US" baseline="0">
                        <a:solidFill>
                          <a:schemeClr val="bg1"/>
                        </a:solidFill>
                      </a:rPr>
                      <a:pPr/>
                      <a:t>[PERCENTAGE]</a:t>
                    </a:fld>
                    <a:endParaRPr lang="en-US" baseline="0">
                      <a:solidFill>
                        <a:schemeClr val="bg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CBB-402D-BE93-B26E3424A800}"/>
                </c:ext>
              </c:extLst>
            </c:dLbl>
            <c:dLbl>
              <c:idx val="1"/>
              <c:layout>
                <c:manualLayout>
                  <c:x val="-0.1923604665310876"/>
                  <c:y val="-0.14731659923725005"/>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9702970297029702"/>
                      <c:h val="0.19337016574585633"/>
                    </c:manualLayout>
                  </c15:layout>
                </c:ext>
                <c:ext xmlns:c16="http://schemas.microsoft.com/office/drawing/2014/chart" uri="{C3380CC4-5D6E-409C-BE32-E72D297353CC}">
                  <c16:uniqueId val="{00000003-0CBB-402D-BE93-B26E3424A800}"/>
                </c:ext>
              </c:extLst>
            </c:dLbl>
            <c:dLbl>
              <c:idx val="2"/>
              <c:layout>
                <c:manualLayout>
                  <c:x val="8.372373822748129E-2"/>
                  <c:y val="-3.1305479080307366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CBB-402D-BE93-B26E3424A800}"/>
                </c:ext>
              </c:extLst>
            </c:dLbl>
            <c:dLbl>
              <c:idx val="3"/>
              <c:layout>
                <c:manualLayout>
                  <c:x val="2.4148893639950594E-2"/>
                  <c:y val="-7.366482504604061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8254044916686788"/>
                      <c:h val="0.25388055774796109"/>
                    </c:manualLayout>
                  </c15:layout>
                </c:ext>
                <c:ext xmlns:c16="http://schemas.microsoft.com/office/drawing/2014/chart" uri="{C3380CC4-5D6E-409C-BE32-E72D297353CC}">
                  <c16:uniqueId val="{00000007-0CBB-402D-BE93-B26E3424A800}"/>
                </c:ext>
              </c:extLst>
            </c:dLbl>
            <c:dLbl>
              <c:idx val="4"/>
              <c:layout>
                <c:manualLayout>
                  <c:x val="9.4944923722255048E-2"/>
                  <c:y val="3.370269324069297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165177493359091"/>
                      <c:h val="0.13656953101856742"/>
                    </c:manualLayout>
                  </c15:layout>
                </c:ext>
                <c:ext xmlns:c16="http://schemas.microsoft.com/office/drawing/2014/chart" uri="{C3380CC4-5D6E-409C-BE32-E72D297353CC}">
                  <c16:uniqueId val="{00000009-0CBB-402D-BE93-B26E3424A800}"/>
                </c:ext>
              </c:extLst>
            </c:dLbl>
            <c:dLbl>
              <c:idx val="5"/>
              <c:layout>
                <c:manualLayout>
                  <c:x val="-1.7660089441358717E-2"/>
                  <c:y val="-3.3198888812931535E-3"/>
                </c:manualLayout>
              </c:layout>
              <c:showLegendKey val="0"/>
              <c:showVal val="0"/>
              <c:showCatName val="1"/>
              <c:showSerName val="0"/>
              <c:showPercent val="1"/>
              <c:showBubbleSize val="0"/>
              <c:extLst>
                <c:ext xmlns:c15="http://schemas.microsoft.com/office/drawing/2012/chart" uri="{CE6537A1-D6FC-4f65-9D91-7224C49458BB}">
                  <c15:layout>
                    <c:manualLayout>
                      <c:w val="0.25446489718586501"/>
                      <c:h val="0.18942383583267561"/>
                    </c:manualLayout>
                  </c15:layout>
                </c:ext>
                <c:ext xmlns:c16="http://schemas.microsoft.com/office/drawing/2014/chart" uri="{C3380CC4-5D6E-409C-BE32-E72D297353CC}">
                  <c16:uniqueId val="{0000000B-0CBB-402D-BE93-B26E3424A800}"/>
                </c:ext>
              </c:extLst>
            </c:dLbl>
            <c:dLbl>
              <c:idx val="6"/>
              <c:layout>
                <c:manualLayout>
                  <c:x val="4.6122223130705617E-3"/>
                  <c:y val="2.7242727255778112E-2"/>
                </c:manualLayout>
              </c:layout>
              <c:showLegendKey val="0"/>
              <c:showVal val="0"/>
              <c:showCatName val="1"/>
              <c:showSerName val="0"/>
              <c:showPercent val="1"/>
              <c:showBubbleSize val="0"/>
              <c:extLst>
                <c:ext xmlns:c15="http://schemas.microsoft.com/office/drawing/2012/chart" uri="{CE6537A1-D6FC-4f65-9D91-7224C49458BB}">
                  <c15:layout>
                    <c:manualLayout>
                      <c:w val="0.24071480318763583"/>
                      <c:h val="0.2469876348329387"/>
                    </c:manualLayout>
                  </c15:layout>
                </c:ext>
                <c:ext xmlns:c16="http://schemas.microsoft.com/office/drawing/2014/chart" uri="{C3380CC4-5D6E-409C-BE32-E72D297353CC}">
                  <c16:uniqueId val="{0000000D-0CBB-402D-BE93-B26E3424A800}"/>
                </c:ext>
              </c:extLst>
            </c:dLbl>
            <c:dLbl>
              <c:idx val="7"/>
              <c:layout>
                <c:manualLayout>
                  <c:x val="-1.5228311692826477E-3"/>
                  <c:y val="-3.066329416005319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4510987684134267"/>
                      <c:h val="0.21252021252021253"/>
                    </c:manualLayout>
                  </c15:layout>
                </c:ext>
                <c:ext xmlns:c16="http://schemas.microsoft.com/office/drawing/2014/chart" uri="{C3380CC4-5D6E-409C-BE32-E72D297353CC}">
                  <c16:uniqueId val="{0000000F-0CBB-402D-BE93-B26E3424A800}"/>
                </c:ext>
              </c:extLst>
            </c:dLbl>
            <c:dLbl>
              <c:idx val="8"/>
              <c:layout>
                <c:manualLayout>
                  <c:x val="4.2491526307555927E-2"/>
                  <c:y val="3.7514578633471921E-2"/>
                </c:manualLayout>
              </c:layout>
              <c:showLegendKey val="0"/>
              <c:showVal val="0"/>
              <c:showCatName val="1"/>
              <c:showSerName val="0"/>
              <c:showPercent val="1"/>
              <c:showBubbleSize val="0"/>
              <c:extLst>
                <c:ext xmlns:c15="http://schemas.microsoft.com/office/drawing/2012/chart" uri="{CE6537A1-D6FC-4f65-9D91-7224C49458BB}">
                  <c15:layout>
                    <c:manualLayout>
                      <c:w val="0.30782400690616402"/>
                      <c:h val="0.16611244800221178"/>
                    </c:manualLayout>
                  </c15:layout>
                </c:ext>
                <c:ext xmlns:c16="http://schemas.microsoft.com/office/drawing/2014/chart" uri="{C3380CC4-5D6E-409C-BE32-E72D297353CC}">
                  <c16:uniqueId val="{00000011-0CBB-402D-BE93-B26E3424A8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WINTER'!$B$7:$B$15</c:f>
              <c:strCache>
                <c:ptCount val="9"/>
                <c:pt idx="0">
                  <c:v>Space Heating</c:v>
                </c:pt>
                <c:pt idx="1">
                  <c:v>Ventilation</c:v>
                </c:pt>
                <c:pt idx="2">
                  <c:v>Water Heating</c:v>
                </c:pt>
                <c:pt idx="3">
                  <c:v>Interior Lighting</c:v>
                </c:pt>
                <c:pt idx="4">
                  <c:v>Exterior Lighting</c:v>
                </c:pt>
                <c:pt idx="5">
                  <c:v>Refrigeration</c:v>
                </c:pt>
                <c:pt idx="6">
                  <c:v>Food Preparation</c:v>
                </c:pt>
                <c:pt idx="7">
                  <c:v>Office Equipment</c:v>
                </c:pt>
                <c:pt idx="8">
                  <c:v>Miscellaneous</c:v>
                </c:pt>
              </c:strCache>
              <c:extLst/>
            </c:strRef>
          </c:cat>
          <c:val>
            <c:numRef>
              <c:f>'End Use Intensity - WINTER'!$N$7:$N$15</c:f>
              <c:numCache>
                <c:formatCode>_(* #,##0.00_);_(* \(#,##0.00\);_(* "-"??_);_(@_)</c:formatCode>
                <c:ptCount val="9"/>
                <c:pt idx="0">
                  <c:v>0.51524958468711146</c:v>
                </c:pt>
                <c:pt idx="1">
                  <c:v>0.25379986617095507</c:v>
                </c:pt>
                <c:pt idx="2">
                  <c:v>3.8682508471483981E-2</c:v>
                </c:pt>
                <c:pt idx="3">
                  <c:v>0.23683140049843929</c:v>
                </c:pt>
                <c:pt idx="4">
                  <c:v>0.12355703669324294</c:v>
                </c:pt>
                <c:pt idx="5">
                  <c:v>0.15364574389045052</c:v>
                </c:pt>
                <c:pt idx="6">
                  <c:v>0.12150698248005239</c:v>
                </c:pt>
                <c:pt idx="7">
                  <c:v>0.14506238366497978</c:v>
                </c:pt>
                <c:pt idx="8">
                  <c:v>0.23710944728659106</c:v>
                </c:pt>
              </c:numCache>
              <c:extLst/>
            </c:numRef>
          </c:val>
          <c:extLst>
            <c:ext xmlns:c16="http://schemas.microsoft.com/office/drawing/2014/chart" uri="{C3380CC4-5D6E-409C-BE32-E72D297353CC}">
              <c16:uniqueId val="{00000012-0CBB-402D-BE93-B26E3424A800}"/>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Annual Use by End Use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35EF-48AC-A443-98296F2ED551}"/>
              </c:ext>
            </c:extLst>
          </c:dPt>
          <c:dPt>
            <c:idx val="1"/>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35EF-48AC-A443-98296F2ED551}"/>
              </c:ext>
            </c:extLst>
          </c:dPt>
          <c:dPt>
            <c:idx val="2"/>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35EF-48AC-A443-98296F2ED551}"/>
              </c:ext>
            </c:extLst>
          </c:dPt>
          <c:dPt>
            <c:idx val="3"/>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35EF-48AC-A443-98296F2ED551}"/>
              </c:ext>
            </c:extLst>
          </c:dPt>
          <c:dPt>
            <c:idx val="4"/>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35EF-48AC-A443-98296F2ED551}"/>
              </c:ext>
            </c:extLst>
          </c:dPt>
          <c:dPt>
            <c:idx val="5"/>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35EF-48AC-A443-98296F2ED551}"/>
              </c:ext>
            </c:extLst>
          </c:dPt>
          <c:dPt>
            <c:idx val="6"/>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35EF-48AC-A443-98296F2ED551}"/>
              </c:ext>
            </c:extLst>
          </c:dPt>
          <c:dPt>
            <c:idx val="7"/>
            <c:bubble3D val="0"/>
            <c:spPr>
              <a:solidFill>
                <a:schemeClr val="accent3">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35EF-48AC-A443-98296F2ED551}"/>
              </c:ext>
            </c:extLst>
          </c:dPt>
          <c:dPt>
            <c:idx val="8"/>
            <c:bubble3D val="0"/>
            <c:spPr>
              <a:solidFill>
                <a:schemeClr val="tx2">
                  <a:lumMod val="40000"/>
                  <a:lumOff val="6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35EF-48AC-A443-98296F2ED551}"/>
              </c:ext>
            </c:extLst>
          </c:dPt>
          <c:dPt>
            <c:idx val="9"/>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3-35EF-48AC-A443-98296F2ED551}"/>
              </c:ext>
            </c:extLst>
          </c:dPt>
          <c:dLbls>
            <c:dLbl>
              <c:idx val="0"/>
              <c:layout>
                <c:manualLayout>
                  <c:x val="7.3567366579177602E-3"/>
                  <c:y val="1.707494896471274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5EF-48AC-A443-98296F2ED551}"/>
                </c:ext>
              </c:extLst>
            </c:dLbl>
            <c:dLbl>
              <c:idx val="2"/>
              <c:layout>
                <c:manualLayout>
                  <c:x val="-0.21145374449339208"/>
                  <c:y val="7.750337090216663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3237885462555066"/>
                      <c:h val="0.20784313725490197"/>
                    </c:manualLayout>
                  </c15:layout>
                </c:ext>
                <c:ext xmlns:c16="http://schemas.microsoft.com/office/drawing/2014/chart" uri="{C3380CC4-5D6E-409C-BE32-E72D297353CC}">
                  <c16:uniqueId val="{00000005-35EF-48AC-A443-98296F2ED551}"/>
                </c:ext>
              </c:extLst>
            </c:dLbl>
            <c:dLbl>
              <c:idx val="3"/>
              <c:layout>
                <c:manualLayout>
                  <c:x val="1.1158573928258968E-2"/>
                  <c:y val="1.9203849518810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5EF-48AC-A443-98296F2ED551}"/>
                </c:ext>
              </c:extLst>
            </c:dLbl>
            <c:dLbl>
              <c:idx val="4"/>
              <c:layout>
                <c:manualLayout>
                  <c:x val="-0.14211679211904679"/>
                  <c:y val="-0.1531762647316144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5EF-48AC-A443-98296F2ED551}"/>
                </c:ext>
              </c:extLst>
            </c:dLbl>
            <c:dLbl>
              <c:idx val="5"/>
              <c:layout>
                <c:manualLayout>
                  <c:x val="-0.13869194214159353"/>
                  <c:y val="-2.849467345993611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990308370044053"/>
                      <c:h val="0.14617014049714375"/>
                    </c:manualLayout>
                  </c15:layout>
                </c:ext>
                <c:ext xmlns:c16="http://schemas.microsoft.com/office/drawing/2014/chart" uri="{C3380CC4-5D6E-409C-BE32-E72D297353CC}">
                  <c16:uniqueId val="{0000000B-35EF-48AC-A443-98296F2ED551}"/>
                </c:ext>
              </c:extLst>
            </c:dLbl>
            <c:dLbl>
              <c:idx val="6"/>
              <c:layout>
                <c:manualLayout>
                  <c:x val="0"/>
                  <c:y val="-0.11606237455612166"/>
                </c:manualLayout>
              </c:layout>
              <c:showLegendKey val="0"/>
              <c:showVal val="0"/>
              <c:showCatName val="1"/>
              <c:showSerName val="0"/>
              <c:showPercent val="1"/>
              <c:showBubbleSize val="0"/>
              <c:extLst>
                <c:ext xmlns:c15="http://schemas.microsoft.com/office/drawing/2012/chart" uri="{CE6537A1-D6FC-4f65-9D91-7224C49458BB}">
                  <c15:layout>
                    <c:manualLayout>
                      <c:w val="0.30726872246696035"/>
                      <c:h val="0.18431372549019609"/>
                    </c:manualLayout>
                  </c15:layout>
                </c:ext>
                <c:ext xmlns:c16="http://schemas.microsoft.com/office/drawing/2014/chart" uri="{C3380CC4-5D6E-409C-BE32-E72D297353CC}">
                  <c16:uniqueId val="{0000000D-35EF-48AC-A443-98296F2ED551}"/>
                </c:ext>
              </c:extLst>
            </c:dLbl>
            <c:dLbl>
              <c:idx val="7"/>
              <c:layout>
                <c:manualLayout>
                  <c:x val="0"/>
                  <c:y val="-2.1976429416911122E-2"/>
                </c:manualLayout>
              </c:layout>
              <c:showLegendKey val="0"/>
              <c:showVal val="0"/>
              <c:showCatName val="1"/>
              <c:showSerName val="0"/>
              <c:showPercent val="1"/>
              <c:showBubbleSize val="0"/>
              <c:extLst>
                <c:ext xmlns:c15="http://schemas.microsoft.com/office/drawing/2012/chart" uri="{CE6537A1-D6FC-4f65-9D91-7224C49458BB}">
                  <c15:layout>
                    <c:manualLayout>
                      <c:w val="0.25770925110132159"/>
                      <c:h val="0.18823529411764706"/>
                    </c:manualLayout>
                  </c15:layout>
                </c:ext>
                <c:ext xmlns:c16="http://schemas.microsoft.com/office/drawing/2014/chart" uri="{C3380CC4-5D6E-409C-BE32-E72D297353CC}">
                  <c16:uniqueId val="{0000000F-35EF-48AC-A443-98296F2ED551}"/>
                </c:ext>
              </c:extLst>
            </c:dLbl>
            <c:dLbl>
              <c:idx val="8"/>
              <c:layout>
                <c:manualLayout>
                  <c:x val="1.7343647022095805E-7"/>
                  <c:y val="-1.871236683649850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5440528634361231"/>
                      <c:h val="0.2156862745098039"/>
                    </c:manualLayout>
                  </c15:layout>
                </c:ext>
                <c:ext xmlns:c16="http://schemas.microsoft.com/office/drawing/2014/chart" uri="{C3380CC4-5D6E-409C-BE32-E72D297353CC}">
                  <c16:uniqueId val="{00000011-35EF-48AC-A443-98296F2ED551}"/>
                </c:ext>
              </c:extLst>
            </c:dLbl>
            <c:dLbl>
              <c:idx val="9"/>
              <c:layout>
                <c:manualLayout>
                  <c:x val="-6.2860314266884043E-3"/>
                  <c:y val="4.0395244712058048E-2"/>
                </c:manualLayout>
              </c:layout>
              <c:showLegendKey val="0"/>
              <c:showVal val="0"/>
              <c:showCatName val="1"/>
              <c:showSerName val="0"/>
              <c:showPercent val="1"/>
              <c:showBubbleSize val="0"/>
              <c:extLst>
                <c:ext xmlns:c15="http://schemas.microsoft.com/office/drawing/2012/chart" uri="{CE6537A1-D6FC-4f65-9D91-7224C49458BB}">
                  <c15:layout>
                    <c:manualLayout>
                      <c:w val="0.37995594713656389"/>
                      <c:h val="0.18823529411764706"/>
                    </c:manualLayout>
                  </c15:layout>
                </c:ext>
                <c:ext xmlns:c16="http://schemas.microsoft.com/office/drawing/2014/chart" uri="{C3380CC4-5D6E-409C-BE32-E72D297353CC}">
                  <c16:uniqueId val="{00000013-35EF-48AC-A443-98296F2ED5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Year'!$B$6:$B$15</c:f>
              <c:strCache>
                <c:ptCount val="10"/>
                <c:pt idx="0">
                  <c:v>Cooling</c:v>
                </c:pt>
                <c:pt idx="1">
                  <c:v>Space Heating</c:v>
                </c:pt>
                <c:pt idx="2">
                  <c:v>Ventilation</c:v>
                </c:pt>
                <c:pt idx="3">
                  <c:v>Water Heating</c:v>
                </c:pt>
                <c:pt idx="4">
                  <c:v>Interior Lighting</c:v>
                </c:pt>
                <c:pt idx="5">
                  <c:v>Exterior Lighting</c:v>
                </c:pt>
                <c:pt idx="6">
                  <c:v>Refrigeration</c:v>
                </c:pt>
                <c:pt idx="7">
                  <c:v>Food Preparation</c:v>
                </c:pt>
                <c:pt idx="8">
                  <c:v>Office Equipment</c:v>
                </c:pt>
                <c:pt idx="9">
                  <c:v>Miscellaneous</c:v>
                </c:pt>
              </c:strCache>
            </c:strRef>
          </c:cat>
          <c:val>
            <c:numRef>
              <c:f>'End Use Intensity - Base Year'!$N$6:$N$15</c:f>
              <c:numCache>
                <c:formatCode>_(* #,##0.00_);_(* \(#,##0.00\);_(* "-"??_);_(@_)</c:formatCode>
                <c:ptCount val="10"/>
                <c:pt idx="0">
                  <c:v>1.1705717923498167</c:v>
                </c:pt>
                <c:pt idx="1">
                  <c:v>0.93170951591320939</c:v>
                </c:pt>
                <c:pt idx="2">
                  <c:v>2.43304635847525</c:v>
                </c:pt>
                <c:pt idx="3">
                  <c:v>0.55915409639208313</c:v>
                </c:pt>
                <c:pt idx="4">
                  <c:v>2.9949252133411308</c:v>
                </c:pt>
                <c:pt idx="5">
                  <c:v>0.6348064354845151</c:v>
                </c:pt>
                <c:pt idx="6">
                  <c:v>2.4434617786857213</c:v>
                </c:pt>
                <c:pt idx="7">
                  <c:v>1.102823644516119</c:v>
                </c:pt>
                <c:pt idx="8">
                  <c:v>1.6148489825057226</c:v>
                </c:pt>
                <c:pt idx="9">
                  <c:v>1.9739536822021606</c:v>
                </c:pt>
              </c:numCache>
            </c:numRef>
          </c:val>
          <c:extLst>
            <c:ext xmlns:c16="http://schemas.microsoft.com/office/drawing/2014/chart" uri="{C3380CC4-5D6E-409C-BE32-E72D297353CC}">
              <c16:uniqueId val="{00000014-35EF-48AC-A443-98296F2ED551}"/>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Winter</a:t>
            </a:r>
            <a:r>
              <a:rPr lang="en-US" sz="1200" baseline="0"/>
              <a:t> Peak Demand</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9892-4001-BA1B-E7AF0166DB98}"/>
              </c:ext>
            </c:extLst>
          </c:dPt>
          <c:dPt>
            <c:idx val="1"/>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9892-4001-BA1B-E7AF0166DB98}"/>
              </c:ext>
            </c:extLst>
          </c:dPt>
          <c:dPt>
            <c:idx val="2"/>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9892-4001-BA1B-E7AF0166DB98}"/>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9892-4001-BA1B-E7AF0166DB98}"/>
              </c:ext>
            </c:extLst>
          </c:dPt>
          <c:dPt>
            <c:idx val="4"/>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9892-4001-BA1B-E7AF0166DB98}"/>
              </c:ext>
            </c:extLst>
          </c:dPt>
          <c:dPt>
            <c:idx val="5"/>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9892-4001-BA1B-E7AF0166DB98}"/>
              </c:ext>
            </c:extLst>
          </c:dPt>
          <c:dPt>
            <c:idx val="6"/>
            <c:bubble3D val="0"/>
            <c:spPr>
              <a:solidFill>
                <a:schemeClr val="accent3">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9892-4001-BA1B-E7AF0166DB98}"/>
              </c:ext>
            </c:extLst>
          </c:dPt>
          <c:dPt>
            <c:idx val="7"/>
            <c:bubble3D val="0"/>
            <c:spPr>
              <a:solidFill>
                <a:schemeClr val="tx2">
                  <a:lumMod val="40000"/>
                  <a:lumOff val="6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9892-4001-BA1B-E7AF0166DB98}"/>
              </c:ext>
            </c:extLst>
          </c:dPt>
          <c:dPt>
            <c:idx val="8"/>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9892-4001-BA1B-E7AF0166DB98}"/>
              </c:ext>
            </c:extLst>
          </c:dPt>
          <c:dLbls>
            <c:dLbl>
              <c:idx val="0"/>
              <c:layout>
                <c:manualLayout>
                  <c:x val="-0.15902140152031169"/>
                  <c:y val="0.19295517472080692"/>
                </c:manualLayout>
              </c:layout>
              <c:tx>
                <c:rich>
                  <a:bodyPr/>
                  <a:lstStyle/>
                  <a:p>
                    <a:fld id="{8C0FC7A0-9E3D-4DCB-9086-E28A3902F8EC}" type="CATEGORYNAME">
                      <a:rPr lang="en-US">
                        <a:solidFill>
                          <a:schemeClr val="bg1"/>
                        </a:solidFill>
                      </a:rPr>
                      <a:pPr/>
                      <a:t>[CATEGORY NAME]</a:t>
                    </a:fld>
                    <a:r>
                      <a:rPr lang="en-US" baseline="0"/>
                      <a:t>
</a:t>
                    </a:r>
                    <a:fld id="{B410EE57-E585-4AF9-942E-621901463EDC}" type="PERCENTAGE">
                      <a:rPr lang="en-US" baseline="0">
                        <a:solidFill>
                          <a:schemeClr val="bg1"/>
                        </a:solidFill>
                      </a:rPr>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892-4001-BA1B-E7AF0166DB98}"/>
                </c:ext>
              </c:extLst>
            </c:dLbl>
            <c:dLbl>
              <c:idx val="1"/>
              <c:layout>
                <c:manualLayout>
                  <c:x val="-0.22058806500831002"/>
                  <c:y val="-5.782224280788431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5735294117647056"/>
                      <c:h val="0.16078431372549021"/>
                    </c:manualLayout>
                  </c15:layout>
                </c:ext>
                <c:ext xmlns:c16="http://schemas.microsoft.com/office/drawing/2014/chart" uri="{C3380CC4-5D6E-409C-BE32-E72D297353CC}">
                  <c16:uniqueId val="{00000003-9892-4001-BA1B-E7AF0166DB98}"/>
                </c:ext>
              </c:extLst>
            </c:dLbl>
            <c:dLbl>
              <c:idx val="2"/>
              <c:layout>
                <c:manualLayout>
                  <c:x val="2.5951557093425604E-2"/>
                  <c:y val="2.0814574648757141E-2"/>
                </c:manualLayout>
              </c:layout>
              <c:showLegendKey val="0"/>
              <c:showVal val="0"/>
              <c:showCatName val="1"/>
              <c:showSerName val="0"/>
              <c:showPercent val="1"/>
              <c:showBubbleSize val="0"/>
              <c:extLst>
                <c:ext xmlns:c15="http://schemas.microsoft.com/office/drawing/2012/chart" uri="{CE6537A1-D6FC-4f65-9D91-7224C49458BB}">
                  <c15:layout>
                    <c:manualLayout>
                      <c:w val="0.17949826989619377"/>
                      <c:h val="0.18823529411764706"/>
                    </c:manualLayout>
                  </c15:layout>
                </c:ext>
                <c:ext xmlns:c16="http://schemas.microsoft.com/office/drawing/2014/chart" uri="{C3380CC4-5D6E-409C-BE32-E72D297353CC}">
                  <c16:uniqueId val="{00000005-9892-4001-BA1B-E7AF0166DB98}"/>
                </c:ext>
              </c:extLst>
            </c:dLbl>
            <c:dLbl>
              <c:idx val="3"/>
              <c:layout>
                <c:manualLayout>
                  <c:x val="-0.10346088875568754"/>
                  <c:y val="-0.1231109052544902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892-4001-BA1B-E7AF0166DB98}"/>
                </c:ext>
              </c:extLst>
            </c:dLbl>
            <c:dLbl>
              <c:idx val="4"/>
              <c:layout>
                <c:manualLayout>
                  <c:x val="1.7554763915756205E-2"/>
                  <c:y val="-2.6143790849673201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548442906574397"/>
                      <c:h val="0.13725490196078433"/>
                    </c:manualLayout>
                  </c15:layout>
                </c:ext>
                <c:ext xmlns:c16="http://schemas.microsoft.com/office/drawing/2014/chart" uri="{C3380CC4-5D6E-409C-BE32-E72D297353CC}">
                  <c16:uniqueId val="{00000009-9892-4001-BA1B-E7AF0166DB98}"/>
                </c:ext>
              </c:extLst>
            </c:dLbl>
            <c:dLbl>
              <c:idx val="5"/>
              <c:layout>
                <c:manualLayout>
                  <c:x val="-3.2679379069830802E-2"/>
                  <c:y val="-5.7858473573156294E-2"/>
                </c:manualLayout>
              </c:layout>
              <c:showLegendKey val="0"/>
              <c:showVal val="0"/>
              <c:showCatName val="1"/>
              <c:showSerName val="0"/>
              <c:showPercent val="1"/>
              <c:showBubbleSize val="0"/>
              <c:extLst>
                <c:ext xmlns:c15="http://schemas.microsoft.com/office/drawing/2012/chart" uri="{CE6537A1-D6FC-4f65-9D91-7224C49458BB}">
                  <c15:layout>
                    <c:manualLayout>
                      <c:w val="0.23598615916955012"/>
                      <c:h val="0.18800020585662086"/>
                    </c:manualLayout>
                  </c15:layout>
                </c:ext>
                <c:ext xmlns:c16="http://schemas.microsoft.com/office/drawing/2014/chart" uri="{C3380CC4-5D6E-409C-BE32-E72D297353CC}">
                  <c16:uniqueId val="{0000000B-9892-4001-BA1B-E7AF0166DB98}"/>
                </c:ext>
              </c:extLst>
            </c:dLbl>
            <c:dLbl>
              <c:idx val="6"/>
              <c:layout>
                <c:manualLayout>
                  <c:x val="-1.5138408304498266E-2"/>
                  <c:y val="3.156049611445627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3248269896193771"/>
                      <c:h val="0.2156862745098039"/>
                    </c:manualLayout>
                  </c15:layout>
                </c:ext>
                <c:ext xmlns:c16="http://schemas.microsoft.com/office/drawing/2014/chart" uri="{C3380CC4-5D6E-409C-BE32-E72D297353CC}">
                  <c16:uniqueId val="{0000000D-9892-4001-BA1B-E7AF0166DB98}"/>
                </c:ext>
              </c:extLst>
            </c:dLbl>
            <c:dLbl>
              <c:idx val="7"/>
              <c:layout>
                <c:manualLayout>
                  <c:x val="-3.6835204206740593E-2"/>
                  <c:y val="4.158838968658329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065311418685121"/>
                      <c:h val="0.23137254901960785"/>
                    </c:manualLayout>
                  </c15:layout>
                </c:ext>
                <c:ext xmlns:c16="http://schemas.microsoft.com/office/drawing/2014/chart" uri="{C3380CC4-5D6E-409C-BE32-E72D297353CC}">
                  <c16:uniqueId val="{0000000F-9892-4001-BA1B-E7AF0166DB98}"/>
                </c:ext>
              </c:extLst>
            </c:dLbl>
            <c:dLbl>
              <c:idx val="8"/>
              <c:layout>
                <c:manualLayout>
                  <c:x val="-3.8948280794485465E-2"/>
                  <c:y val="5.6016880242910815E-2"/>
                </c:manualLayout>
              </c:layout>
              <c:showLegendKey val="0"/>
              <c:showVal val="0"/>
              <c:showCatName val="1"/>
              <c:showSerName val="0"/>
              <c:showPercent val="1"/>
              <c:showBubbleSize val="0"/>
              <c:extLst>
                <c:ext xmlns:c15="http://schemas.microsoft.com/office/drawing/2012/chart" uri="{CE6537A1-D6FC-4f65-9D91-7224C49458BB}">
                  <c15:layout>
                    <c:manualLayout>
                      <c:w val="0.3395328719723183"/>
                      <c:h val="0.18431372549019609"/>
                    </c:manualLayout>
                  </c15:layout>
                </c:ext>
                <c:ext xmlns:c16="http://schemas.microsoft.com/office/drawing/2014/chart" uri="{C3380CC4-5D6E-409C-BE32-E72D297353CC}">
                  <c16:uniqueId val="{00000011-9892-4001-BA1B-E7AF0166DB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WINTER'!$B$7:$B$15</c:f>
              <c:strCache>
                <c:ptCount val="9"/>
                <c:pt idx="0">
                  <c:v>Space Heating</c:v>
                </c:pt>
                <c:pt idx="1">
                  <c:v>Ventilation</c:v>
                </c:pt>
                <c:pt idx="2">
                  <c:v>Water Heating</c:v>
                </c:pt>
                <c:pt idx="3">
                  <c:v>Interior Lighting</c:v>
                </c:pt>
                <c:pt idx="4">
                  <c:v>Exterior Lighting</c:v>
                </c:pt>
                <c:pt idx="5">
                  <c:v>Refrigeration</c:v>
                </c:pt>
                <c:pt idx="6">
                  <c:v>Food Preparation</c:v>
                </c:pt>
                <c:pt idx="7">
                  <c:v>Office Equipment</c:v>
                </c:pt>
                <c:pt idx="8">
                  <c:v>Miscellaneous</c:v>
                </c:pt>
              </c:strCache>
              <c:extLst/>
            </c:strRef>
          </c:cat>
          <c:val>
            <c:numRef>
              <c:f>'End Use Intensity - WINTER'!$N$7:$N$15</c:f>
              <c:numCache>
                <c:formatCode>_(* #,##0.00_);_(* \(#,##0.00\);_(* "-"??_);_(@_)</c:formatCode>
                <c:ptCount val="9"/>
                <c:pt idx="0">
                  <c:v>0.18418875711260799</c:v>
                </c:pt>
                <c:pt idx="1">
                  <c:v>0.11209921951154056</c:v>
                </c:pt>
                <c:pt idx="2">
                  <c:v>2.1507885432275942E-2</c:v>
                </c:pt>
                <c:pt idx="3">
                  <c:v>0.11455021160654286</c:v>
                </c:pt>
                <c:pt idx="4">
                  <c:v>5.0070347065708252E-2</c:v>
                </c:pt>
                <c:pt idx="5">
                  <c:v>9.7085521175660508E-2</c:v>
                </c:pt>
                <c:pt idx="6">
                  <c:v>6.7102266411514941E-2</c:v>
                </c:pt>
                <c:pt idx="7">
                  <c:v>6.7551839697497257E-2</c:v>
                </c:pt>
                <c:pt idx="8">
                  <c:v>0.11329713612474571</c:v>
                </c:pt>
              </c:numCache>
              <c:extLst/>
            </c:numRef>
          </c:val>
          <c:extLst>
            <c:ext xmlns:c16="http://schemas.microsoft.com/office/drawing/2014/chart" uri="{C3380CC4-5D6E-409C-BE32-E72D297353CC}">
              <c16:uniqueId val="{00000012-9892-4001-BA1B-E7AF0166DB98}"/>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6771653543307"/>
          <c:y val="5.4594465330065102E-2"/>
          <c:w val="0.61844488188976376"/>
          <c:h val="0.7044870284470357"/>
        </c:manualLayout>
      </c:layout>
      <c:barChart>
        <c:barDir val="col"/>
        <c:grouping val="stacked"/>
        <c:varyColors val="0"/>
        <c:ser>
          <c:idx val="9"/>
          <c:order val="0"/>
          <c:tx>
            <c:strRef>
              <c:f>'Calilbration by End Use_Elect'!$C$71</c:f>
              <c:strCache>
                <c:ptCount val="1"/>
                <c:pt idx="0">
                  <c:v>Miscellaneous</c:v>
                </c:pt>
              </c:strCache>
            </c:strRef>
          </c:tx>
          <c:spPr>
            <a:solidFill>
              <a:schemeClr val="bg1">
                <a:lumMod val="5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Use_Elect'!$E$71:$O$71</c:f>
              <c:numCache>
                <c:formatCode>#,##0.00_);[Red]\(#,##0.00\)</c:formatCode>
                <c:ptCount val="11"/>
                <c:pt idx="0">
                  <c:v>2.8185290684285533</c:v>
                </c:pt>
                <c:pt idx="1">
                  <c:v>1.4463392700016904</c:v>
                </c:pt>
                <c:pt idx="2">
                  <c:v>1.5992649384542252</c:v>
                </c:pt>
                <c:pt idx="3">
                  <c:v>2.4648415079713386</c:v>
                </c:pt>
                <c:pt idx="4">
                  <c:v>1.4809841958303793</c:v>
                </c:pt>
                <c:pt idx="5">
                  <c:v>4.1499435794667408</c:v>
                </c:pt>
                <c:pt idx="6">
                  <c:v>2.2359059835133999</c:v>
                </c:pt>
                <c:pt idx="7">
                  <c:v>0.88797743863245304</c:v>
                </c:pt>
                <c:pt idx="8">
                  <c:v>3.6084144053419411</c:v>
                </c:pt>
                <c:pt idx="9">
                  <c:v>1.163568962227179</c:v>
                </c:pt>
                <c:pt idx="10">
                  <c:v>2.1830855203219404</c:v>
                </c:pt>
              </c:numCache>
            </c:numRef>
          </c:val>
          <c:extLst>
            <c:ext xmlns:c16="http://schemas.microsoft.com/office/drawing/2014/chart" uri="{C3380CC4-5D6E-409C-BE32-E72D297353CC}">
              <c16:uniqueId val="{00000000-AA31-4B80-A755-4E33BD08A670}"/>
            </c:ext>
          </c:extLst>
        </c:ser>
        <c:ser>
          <c:idx val="0"/>
          <c:order val="1"/>
          <c:tx>
            <c:strRef>
              <c:f>'Calilbration by End Use_Elect'!$C$70</c:f>
              <c:strCache>
                <c:ptCount val="1"/>
                <c:pt idx="0">
                  <c:v>Office Equipment</c:v>
                </c:pt>
              </c:strCache>
            </c:strRef>
          </c:tx>
          <c:spPr>
            <a:solidFill>
              <a:schemeClr val="tx2">
                <a:lumMod val="60000"/>
                <a:lumOff val="4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Use_Elect'!$E$70:$O$70</c:f>
              <c:numCache>
                <c:formatCode>#,##0.00_);\(#,##0.00\)</c:formatCode>
                <c:ptCount val="11"/>
                <c:pt idx="0">
                  <c:v>11.085279591836736</c:v>
                </c:pt>
                <c:pt idx="1">
                  <c:v>2.3657064935064933</c:v>
                </c:pt>
                <c:pt idx="2">
                  <c:v>1.0698285714285714</c:v>
                </c:pt>
                <c:pt idx="3">
                  <c:v>0.86753142857142862</c:v>
                </c:pt>
                <c:pt idx="4">
                  <c:v>0.1494409285714286</c:v>
                </c:pt>
                <c:pt idx="5">
                  <c:v>0.39739845938375346</c:v>
                </c:pt>
                <c:pt idx="6">
                  <c:v>2.1493642857142858</c:v>
                </c:pt>
                <c:pt idx="7">
                  <c:v>2.3186902857142857</c:v>
                </c:pt>
                <c:pt idx="8">
                  <c:v>0.54973185714285722</c:v>
                </c:pt>
                <c:pt idx="9">
                  <c:v>0.19093210714285716</c:v>
                </c:pt>
                <c:pt idx="10">
                  <c:v>0.21331517142857143</c:v>
                </c:pt>
              </c:numCache>
            </c:numRef>
          </c:val>
          <c:extLst xmlns:c15="http://schemas.microsoft.com/office/drawing/2012/chart">
            <c:ext xmlns:c16="http://schemas.microsoft.com/office/drawing/2014/chart" uri="{C3380CC4-5D6E-409C-BE32-E72D297353CC}">
              <c16:uniqueId val="{00000001-AA31-4B80-A755-4E33BD08A670}"/>
            </c:ext>
          </c:extLst>
        </c:ser>
        <c:ser>
          <c:idx val="7"/>
          <c:order val="2"/>
          <c:tx>
            <c:strRef>
              <c:f>'Calilbration by End Use_Elect'!$C$69</c:f>
              <c:strCache>
                <c:ptCount val="1"/>
                <c:pt idx="0">
                  <c:v>Food Preparation</c:v>
                </c:pt>
              </c:strCache>
            </c:strRef>
          </c:tx>
          <c:spPr>
            <a:solidFill>
              <a:schemeClr val="accent3">
                <a:lumMod val="5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Use_Elect'!$E$69:$O$69</c:f>
              <c:numCache>
                <c:formatCode>#,##0.00_);\(#,##0.00\)</c:formatCode>
                <c:ptCount val="11"/>
                <c:pt idx="0">
                  <c:v>0.51420697459496034</c:v>
                </c:pt>
                <c:pt idx="1">
                  <c:v>5.1987373925778825E-2</c:v>
                </c:pt>
                <c:pt idx="2">
                  <c:v>2.8593055659178353E-2</c:v>
                </c:pt>
                <c:pt idx="3">
                  <c:v>13.833371980865108</c:v>
                </c:pt>
                <c:pt idx="4">
                  <c:v>1.3533555928476395</c:v>
                </c:pt>
                <c:pt idx="5">
                  <c:v>0.19379907760570908</c:v>
                </c:pt>
                <c:pt idx="6">
                  <c:v>0.58793715451822048</c:v>
                </c:pt>
                <c:pt idx="7">
                  <c:v>0.36692159868599927</c:v>
                </c:pt>
                <c:pt idx="8">
                  <c:v>1.6344681879921674</c:v>
                </c:pt>
                <c:pt idx="9">
                  <c:v>1.7773425832901944E-2</c:v>
                </c:pt>
                <c:pt idx="10">
                  <c:v>0.18871416735057711</c:v>
                </c:pt>
              </c:numCache>
            </c:numRef>
          </c:val>
          <c:extLst>
            <c:ext xmlns:c16="http://schemas.microsoft.com/office/drawing/2014/chart" uri="{C3380CC4-5D6E-409C-BE32-E72D297353CC}">
              <c16:uniqueId val="{00000002-AA31-4B80-A755-4E33BD08A670}"/>
            </c:ext>
          </c:extLst>
        </c:ser>
        <c:ser>
          <c:idx val="6"/>
          <c:order val="3"/>
          <c:tx>
            <c:strRef>
              <c:f>'Calilbration by End Use_Elect'!$C$68</c:f>
              <c:strCache>
                <c:ptCount val="1"/>
                <c:pt idx="0">
                  <c:v>Refrigeration</c:v>
                </c:pt>
              </c:strCache>
            </c:strRef>
          </c:tx>
          <c:spPr>
            <a:solidFill>
              <a:schemeClr val="accent1"/>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Use_Elect'!$E$68:$O$68</c:f>
              <c:numCache>
                <c:formatCode>#,##0.00_);\(#,##0.00\)</c:formatCode>
                <c:ptCount val="11"/>
                <c:pt idx="0">
                  <c:v>1.3869900455428903</c:v>
                </c:pt>
                <c:pt idx="1">
                  <c:v>0.40017597357617873</c:v>
                </c:pt>
                <c:pt idx="2">
                  <c:v>0.63955457661015336</c:v>
                </c:pt>
                <c:pt idx="3">
                  <c:v>10.404705861955502</c:v>
                </c:pt>
                <c:pt idx="4">
                  <c:v>14.268406538845076</c:v>
                </c:pt>
                <c:pt idx="5">
                  <c:v>0.19636554199216993</c:v>
                </c:pt>
                <c:pt idx="6">
                  <c:v>0.80560521372601812</c:v>
                </c:pt>
                <c:pt idx="7">
                  <c:v>0.91087903789562841</c:v>
                </c:pt>
                <c:pt idx="8">
                  <c:v>2.1807221036362807</c:v>
                </c:pt>
                <c:pt idx="9">
                  <c:v>0.50187789454522103</c:v>
                </c:pt>
                <c:pt idx="10">
                  <c:v>0.69343984889224153</c:v>
                </c:pt>
              </c:numCache>
            </c:numRef>
          </c:val>
          <c:extLst>
            <c:ext xmlns:c16="http://schemas.microsoft.com/office/drawing/2014/chart" uri="{C3380CC4-5D6E-409C-BE32-E72D297353CC}">
              <c16:uniqueId val="{00000003-AA31-4B80-A755-4E33BD08A670}"/>
            </c:ext>
          </c:extLst>
        </c:ser>
        <c:ser>
          <c:idx val="5"/>
          <c:order val="4"/>
          <c:tx>
            <c:strRef>
              <c:f>'Calilbration by End Use_Elect'!$C$67</c:f>
              <c:strCache>
                <c:ptCount val="1"/>
                <c:pt idx="0">
                  <c:v>Exterior Lighting</c:v>
                </c:pt>
              </c:strCache>
            </c:strRef>
          </c:tx>
          <c:spPr>
            <a:solidFill>
              <a:schemeClr val="accent4">
                <a:lumMod val="5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Use_Elect'!$E$67:$O$67</c:f>
              <c:numCache>
                <c:formatCode>#,##0.00_);\(#,##0.00\)</c:formatCode>
                <c:ptCount val="11"/>
                <c:pt idx="0">
                  <c:v>0.43380072874988063</c:v>
                </c:pt>
                <c:pt idx="1">
                  <c:v>0.43380072874988063</c:v>
                </c:pt>
                <c:pt idx="2">
                  <c:v>0.83366540561334923</c:v>
                </c:pt>
                <c:pt idx="3">
                  <c:v>0.49166152298540516</c:v>
                </c:pt>
                <c:pt idx="4">
                  <c:v>0.95382628229854083</c:v>
                </c:pt>
                <c:pt idx="5">
                  <c:v>0.17539079776896593</c:v>
                </c:pt>
                <c:pt idx="6">
                  <c:v>0.16102064894820201</c:v>
                </c:pt>
                <c:pt idx="7">
                  <c:v>0.16102064894820201</c:v>
                </c:pt>
                <c:pt idx="8">
                  <c:v>0.21457703980926607</c:v>
                </c:pt>
                <c:pt idx="9">
                  <c:v>1.0811515165250698</c:v>
                </c:pt>
                <c:pt idx="10">
                  <c:v>0.51863636857347795</c:v>
                </c:pt>
              </c:numCache>
            </c:numRef>
          </c:val>
          <c:extLst>
            <c:ext xmlns:c16="http://schemas.microsoft.com/office/drawing/2014/chart" uri="{C3380CC4-5D6E-409C-BE32-E72D297353CC}">
              <c16:uniqueId val="{00000004-AA31-4B80-A755-4E33BD08A670}"/>
            </c:ext>
          </c:extLst>
        </c:ser>
        <c:ser>
          <c:idx val="4"/>
          <c:order val="5"/>
          <c:tx>
            <c:strRef>
              <c:f>'Calilbration by End Use_Elect'!$C$66</c:f>
              <c:strCache>
                <c:ptCount val="1"/>
                <c:pt idx="0">
                  <c:v>Interior Lighting</c:v>
                </c:pt>
              </c:strCache>
            </c:strRef>
          </c:tx>
          <c:spPr>
            <a:solidFill>
              <a:schemeClr val="accent4"/>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Use_Elect'!$E$66:$O$66</c:f>
              <c:numCache>
                <c:formatCode>#,##0.00_);\(#,##0.00\)</c:formatCode>
                <c:ptCount val="11"/>
                <c:pt idx="0">
                  <c:v>2.7935201995502394</c:v>
                </c:pt>
                <c:pt idx="1">
                  <c:v>2.2009553087365523</c:v>
                </c:pt>
                <c:pt idx="2">
                  <c:v>3.4893720454040049</c:v>
                </c:pt>
                <c:pt idx="3">
                  <c:v>3.89500487944703</c:v>
                </c:pt>
                <c:pt idx="4">
                  <c:v>5.8053723401409085</c:v>
                </c:pt>
                <c:pt idx="5">
                  <c:v>3.7162198224541534</c:v>
                </c:pt>
                <c:pt idx="6">
                  <c:v>1.5484249260225642</c:v>
                </c:pt>
                <c:pt idx="7">
                  <c:v>1.9675121106976445</c:v>
                </c:pt>
                <c:pt idx="8">
                  <c:v>2.2444619883974544</c:v>
                </c:pt>
                <c:pt idx="9">
                  <c:v>1.1823906834622515</c:v>
                </c:pt>
                <c:pt idx="10">
                  <c:v>2.787989365828361</c:v>
                </c:pt>
              </c:numCache>
            </c:numRef>
          </c:val>
          <c:extLst>
            <c:ext xmlns:c16="http://schemas.microsoft.com/office/drawing/2014/chart" uri="{C3380CC4-5D6E-409C-BE32-E72D297353CC}">
              <c16:uniqueId val="{00000005-AA31-4B80-A755-4E33BD08A670}"/>
            </c:ext>
          </c:extLst>
        </c:ser>
        <c:ser>
          <c:idx val="3"/>
          <c:order val="6"/>
          <c:tx>
            <c:strRef>
              <c:f>'Calilbration by End Use_Elect'!$C$65</c:f>
              <c:strCache>
                <c:ptCount val="1"/>
                <c:pt idx="0">
                  <c:v>Water Heating</c:v>
                </c:pt>
              </c:strCache>
            </c:strRef>
          </c:tx>
          <c:spPr>
            <a:solidFill>
              <a:schemeClr val="accent5"/>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Use_Elect'!$E$65:$O$65</c:f>
              <c:numCache>
                <c:formatCode>#,##0.00_);\(#,##0.00\)</c:formatCode>
                <c:ptCount val="11"/>
                <c:pt idx="0">
                  <c:v>0.43124123686905608</c:v>
                </c:pt>
                <c:pt idx="1">
                  <c:v>0.6444467519590662</c:v>
                </c:pt>
                <c:pt idx="2">
                  <c:v>0.42046608646948574</c:v>
                </c:pt>
                <c:pt idx="3">
                  <c:v>2.5852771926568487</c:v>
                </c:pt>
                <c:pt idx="4">
                  <c:v>0.60427511996404237</c:v>
                </c:pt>
                <c:pt idx="5">
                  <c:v>0.29826654494597327</c:v>
                </c:pt>
                <c:pt idx="6">
                  <c:v>0.8260902530151587</c:v>
                </c:pt>
                <c:pt idx="7">
                  <c:v>0.12645088260900517</c:v>
                </c:pt>
                <c:pt idx="8">
                  <c:v>0.16661350422486104</c:v>
                </c:pt>
                <c:pt idx="9">
                  <c:v>0.15546882294909004</c:v>
                </c:pt>
                <c:pt idx="10">
                  <c:v>0.53225675999381483</c:v>
                </c:pt>
              </c:numCache>
            </c:numRef>
          </c:val>
          <c:extLst>
            <c:ext xmlns:c16="http://schemas.microsoft.com/office/drawing/2014/chart" uri="{C3380CC4-5D6E-409C-BE32-E72D297353CC}">
              <c16:uniqueId val="{00000006-AA31-4B80-A755-4E33BD08A670}"/>
            </c:ext>
          </c:extLst>
        </c:ser>
        <c:ser>
          <c:idx val="2"/>
          <c:order val="7"/>
          <c:tx>
            <c:strRef>
              <c:f>'Calilbration by End Use_Elect'!$C$64</c:f>
              <c:strCache>
                <c:ptCount val="1"/>
                <c:pt idx="0">
                  <c:v>Ventilation</c:v>
                </c:pt>
              </c:strCache>
            </c:strRef>
          </c:tx>
          <c:spPr>
            <a:solidFill>
              <a:schemeClr val="accent6">
                <a:lumMod val="20000"/>
                <a:lumOff val="8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Use_Elect'!$E$64:$O$64</c:f>
              <c:numCache>
                <c:formatCode>#,##0.00_);\(#,##0.00\)</c:formatCode>
                <c:ptCount val="11"/>
                <c:pt idx="0">
                  <c:v>4.1819202620855798</c:v>
                </c:pt>
                <c:pt idx="1">
                  <c:v>3.1902896576416024</c:v>
                </c:pt>
                <c:pt idx="2">
                  <c:v>2.4043586166770741</c:v>
                </c:pt>
                <c:pt idx="3">
                  <c:v>5.7292322577682233</c:v>
                </c:pt>
                <c:pt idx="4">
                  <c:v>2.6741674048536694</c:v>
                </c:pt>
                <c:pt idx="5">
                  <c:v>4.5604438784667973</c:v>
                </c:pt>
                <c:pt idx="6">
                  <c:v>4.0134483362695388</c:v>
                </c:pt>
                <c:pt idx="7">
                  <c:v>1.0044307831605808</c:v>
                </c:pt>
                <c:pt idx="8">
                  <c:v>1.6963079852683691</c:v>
                </c:pt>
                <c:pt idx="9">
                  <c:v>0.64636194708982997</c:v>
                </c:pt>
                <c:pt idx="10">
                  <c:v>1.3556300514052528</c:v>
                </c:pt>
              </c:numCache>
            </c:numRef>
          </c:val>
          <c:extLst>
            <c:ext xmlns:c16="http://schemas.microsoft.com/office/drawing/2014/chart" uri="{C3380CC4-5D6E-409C-BE32-E72D297353CC}">
              <c16:uniqueId val="{00000007-AA31-4B80-A755-4E33BD08A670}"/>
            </c:ext>
          </c:extLst>
        </c:ser>
        <c:ser>
          <c:idx val="1"/>
          <c:order val="8"/>
          <c:tx>
            <c:strRef>
              <c:f>'Calilbration by End Use_Elect'!$C$63</c:f>
              <c:strCache>
                <c:ptCount val="1"/>
                <c:pt idx="0">
                  <c:v>Heating</c:v>
                </c:pt>
              </c:strCache>
            </c:strRef>
          </c:tx>
          <c:spPr>
            <a:solidFill>
              <a:schemeClr val="accent3"/>
            </a:solidFill>
            <a:ln>
              <a:solidFill>
                <a:schemeClr val="bg1"/>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Use_Elect'!$E$63:$O$63</c:f>
              <c:numCache>
                <c:formatCode>#,##0.00_);\(#,##0.00\)</c:formatCode>
                <c:ptCount val="11"/>
                <c:pt idx="0">
                  <c:v>0.6900300809301525</c:v>
                </c:pt>
                <c:pt idx="1">
                  <c:v>1.9979933669098788</c:v>
                </c:pt>
                <c:pt idx="2">
                  <c:v>0.40237461506188466</c:v>
                </c:pt>
                <c:pt idx="3">
                  <c:v>0.52623639868120253</c:v>
                </c:pt>
                <c:pt idx="4">
                  <c:v>0.33987606501413647</c:v>
                </c:pt>
                <c:pt idx="5">
                  <c:v>0.27788240154933408</c:v>
                </c:pt>
                <c:pt idx="6">
                  <c:v>1.0727123758184505</c:v>
                </c:pt>
                <c:pt idx="7">
                  <c:v>1.3936373271961706</c:v>
                </c:pt>
                <c:pt idx="8">
                  <c:v>5.2648619829372967</c:v>
                </c:pt>
                <c:pt idx="9">
                  <c:v>0.3701265542318849</c:v>
                </c:pt>
                <c:pt idx="10">
                  <c:v>0.46562049777065584</c:v>
                </c:pt>
              </c:numCache>
            </c:numRef>
          </c:val>
          <c:extLst>
            <c:ext xmlns:c16="http://schemas.microsoft.com/office/drawing/2014/chart" uri="{C3380CC4-5D6E-409C-BE32-E72D297353CC}">
              <c16:uniqueId val="{00000008-AA31-4B80-A755-4E33BD08A670}"/>
            </c:ext>
          </c:extLst>
        </c:ser>
        <c:ser>
          <c:idx val="8"/>
          <c:order val="9"/>
          <c:tx>
            <c:strRef>
              <c:f>'Calilbration by End Use_Elect'!$C$62</c:f>
              <c:strCache>
                <c:ptCount val="1"/>
                <c:pt idx="0">
                  <c:v>Cooling</c:v>
                </c:pt>
              </c:strCache>
            </c:strRef>
          </c:tx>
          <c:spPr>
            <a:solidFill>
              <a:schemeClr val="accent6"/>
            </a:solidFill>
            <a:ln>
              <a:solidFill>
                <a:srgbClr val="F6F6F7"/>
              </a:solidFill>
            </a:ln>
            <a:effectLst>
              <a:outerShdw blurRad="50800" dist="38100" dir="2700000" algn="tl" rotWithShape="0">
                <a:prstClr val="black">
                  <a:alpha val="40000"/>
                </a:prstClr>
              </a:outerShdw>
            </a:effectLst>
          </c:spPr>
          <c:invertIfNegative val="0"/>
          <c:cat>
            <c:strRef>
              <c:f>'Calilbration by End Use_Elect'!$E$61:$O$61</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Use_Elect'!$E$62:$O$62</c:f>
              <c:numCache>
                <c:formatCode>#,##0.00_);\(#,##0.00\)</c:formatCode>
                <c:ptCount val="11"/>
                <c:pt idx="0">
                  <c:v>1.54393438889153</c:v>
                </c:pt>
                <c:pt idx="1">
                  <c:v>1.2891179035606437</c:v>
                </c:pt>
                <c:pt idx="2">
                  <c:v>1.0305475454489015</c:v>
                </c:pt>
                <c:pt idx="3">
                  <c:v>5.2516940353262402</c:v>
                </c:pt>
                <c:pt idx="4">
                  <c:v>0.61565898529151075</c:v>
                </c:pt>
                <c:pt idx="5">
                  <c:v>3.7001931968017088</c:v>
                </c:pt>
                <c:pt idx="6">
                  <c:v>1.8741071385741683</c:v>
                </c:pt>
                <c:pt idx="7">
                  <c:v>0.81686300959051172</c:v>
                </c:pt>
                <c:pt idx="8">
                  <c:v>0.72917151693951876</c:v>
                </c:pt>
                <c:pt idx="9">
                  <c:v>0.78939126124901593</c:v>
                </c:pt>
                <c:pt idx="10">
                  <c:v>0.45267246452686466</c:v>
                </c:pt>
              </c:numCache>
            </c:numRef>
          </c:val>
          <c:extLst>
            <c:ext xmlns:c16="http://schemas.microsoft.com/office/drawing/2014/chart" uri="{C3380CC4-5D6E-409C-BE32-E72D297353CC}">
              <c16:uniqueId val="{00000009-AA31-4B80-A755-4E33BD08A670}"/>
            </c:ext>
          </c:extLst>
        </c:ser>
        <c:dLbls>
          <c:showLegendKey val="0"/>
          <c:showVal val="0"/>
          <c:showCatName val="0"/>
          <c:showSerName val="0"/>
          <c:showPercent val="0"/>
          <c:showBubbleSize val="0"/>
        </c:dLbls>
        <c:gapWidth val="70"/>
        <c:overlap val="100"/>
        <c:axId val="1802141535"/>
        <c:axId val="1802143199"/>
        <c:extLst/>
      </c:barChart>
      <c:catAx>
        <c:axId val="1802141535"/>
        <c:scaling>
          <c:orientation val="minMax"/>
        </c:scaling>
        <c:delete val="0"/>
        <c:axPos val="b"/>
        <c:numFmt formatCode="General" sourceLinked="1"/>
        <c:majorTickMark val="in"/>
        <c:minorTickMark val="none"/>
        <c:tickLblPos val="low"/>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3199"/>
        <c:crosses val="autoZero"/>
        <c:auto val="1"/>
        <c:lblAlgn val="ctr"/>
        <c:lblOffset val="100"/>
        <c:tickMarkSkip val="3"/>
        <c:noMultiLvlLbl val="0"/>
      </c:catAx>
      <c:valAx>
        <c:axId val="1802143199"/>
        <c:scaling>
          <c:orientation val="minMax"/>
        </c:scaling>
        <c:delete val="0"/>
        <c:axPos val="l"/>
        <c:majorGridlines>
          <c:spPr>
            <a:ln w="9525" cap="flat" cmpd="sng" algn="ctr">
              <a:solidFill>
                <a:schemeClr val="bg1">
                  <a:lumMod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kWh/sqft</a:t>
                </a:r>
              </a:p>
            </c:rich>
          </c:tx>
          <c:layout>
            <c:manualLayout>
              <c:xMode val="edge"/>
              <c:yMode val="edge"/>
              <c:x val="1.4715478273549142E-2"/>
              <c:y val="0.38617034584706894"/>
            </c:manualLayout>
          </c:layout>
          <c:overlay val="0"/>
          <c:spPr>
            <a:noFill/>
            <a:ln>
              <a:noFill/>
            </a:ln>
            <a:effectLst/>
          </c:spPr>
        </c:title>
        <c:numFmt formatCode="#,##0_);[Red]\(#,##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1535"/>
        <c:crosses val="autoZero"/>
        <c:crossBetween val="between"/>
        <c:majorUnit val="10"/>
        <c:minorUnit val="5"/>
      </c:valAx>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900"/>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603984397783608"/>
          <c:y val="5.4594465330065102E-2"/>
          <c:w val="0.62508220326625841"/>
          <c:h val="0.7044870284470357"/>
        </c:manualLayout>
      </c:layout>
      <c:barChart>
        <c:barDir val="col"/>
        <c:grouping val="stacked"/>
        <c:varyColors val="0"/>
        <c:ser>
          <c:idx val="9"/>
          <c:order val="0"/>
          <c:tx>
            <c:strRef>
              <c:f>'Calilbration by End Use_Elect'!$C$71</c:f>
              <c:strCache>
                <c:ptCount val="1"/>
                <c:pt idx="0">
                  <c:v>Miscellaneous</c:v>
                </c:pt>
              </c:strCache>
            </c:strRef>
          </c:tx>
          <c:spPr>
            <a:solidFill>
              <a:schemeClr val="bg1">
                <a:lumMod val="5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Use_Elect'!$E$85:$O$85</c:f>
              <c:numCache>
                <c:formatCode>#,##0.0_);\(#,##0.0\)</c:formatCode>
                <c:ptCount val="11"/>
                <c:pt idx="0">
                  <c:v>13.573452981244627</c:v>
                </c:pt>
                <c:pt idx="1">
                  <c:v>4.0526251079284723</c:v>
                </c:pt>
                <c:pt idx="2">
                  <c:v>29.2075984828865</c:v>
                </c:pt>
                <c:pt idx="3">
                  <c:v>7.7647199484873655</c:v>
                </c:pt>
                <c:pt idx="4">
                  <c:v>7.4951010455027305</c:v>
                </c:pt>
                <c:pt idx="5">
                  <c:v>0.84720008878398878</c:v>
                </c:pt>
                <c:pt idx="6">
                  <c:v>8.5273105137228438</c:v>
                </c:pt>
                <c:pt idx="7">
                  <c:v>1.0136008659774491</c:v>
                </c:pt>
                <c:pt idx="8">
                  <c:v>16.863738473497168</c:v>
                </c:pt>
                <c:pt idx="9">
                  <c:v>6.7286456675564441</c:v>
                </c:pt>
                <c:pt idx="10">
                  <c:v>26.778385046326836</c:v>
                </c:pt>
              </c:numCache>
            </c:numRef>
          </c:val>
          <c:extLst>
            <c:ext xmlns:c16="http://schemas.microsoft.com/office/drawing/2014/chart" uri="{C3380CC4-5D6E-409C-BE32-E72D297353CC}">
              <c16:uniqueId val="{00000000-6C41-4440-97AF-E730EEAD1AD1}"/>
            </c:ext>
          </c:extLst>
        </c:ser>
        <c:ser>
          <c:idx val="0"/>
          <c:order val="1"/>
          <c:tx>
            <c:strRef>
              <c:f>'Calilbration by End Use_Elect'!$C$70</c:f>
              <c:strCache>
                <c:ptCount val="1"/>
                <c:pt idx="0">
                  <c:v>Office Equipment</c:v>
                </c:pt>
              </c:strCache>
            </c:strRef>
          </c:tx>
          <c:spPr>
            <a:solidFill>
              <a:schemeClr val="tx2">
                <a:lumMod val="60000"/>
                <a:lumOff val="4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Use_Elect'!$E$84:$O$84</c:f>
              <c:numCache>
                <c:formatCode>#,##0.0_);\(#,##0.0\)</c:formatCode>
                <c:ptCount val="11"/>
                <c:pt idx="0">
                  <c:v>53.391867475509883</c:v>
                </c:pt>
                <c:pt idx="1">
                  <c:v>6.6401769786218034</c:v>
                </c:pt>
                <c:pt idx="2">
                  <c:v>19.605963435667242</c:v>
                </c:pt>
                <c:pt idx="3">
                  <c:v>2.8766160497657665</c:v>
                </c:pt>
                <c:pt idx="4">
                  <c:v>0.75700836429658669</c:v>
                </c:pt>
                <c:pt idx="5">
                  <c:v>8.1141052259285529E-2</c:v>
                </c:pt>
                <c:pt idx="6">
                  <c:v>8.2073680359373675</c:v>
                </c:pt>
                <c:pt idx="7">
                  <c:v>2.6487727555468066</c:v>
                </c:pt>
                <c:pt idx="8">
                  <c:v>2.5696338329269741</c:v>
                </c:pt>
                <c:pt idx="9">
                  <c:v>1.1044422814643491</c:v>
                </c:pt>
                <c:pt idx="10">
                  <c:v>2.6198937513427105</c:v>
                </c:pt>
              </c:numCache>
            </c:numRef>
          </c:val>
          <c:extLst xmlns:c15="http://schemas.microsoft.com/office/drawing/2012/chart">
            <c:ext xmlns:c16="http://schemas.microsoft.com/office/drawing/2014/chart" uri="{C3380CC4-5D6E-409C-BE32-E72D297353CC}">
              <c16:uniqueId val="{00000001-6C41-4440-97AF-E730EEAD1AD1}"/>
            </c:ext>
          </c:extLst>
        </c:ser>
        <c:ser>
          <c:idx val="7"/>
          <c:order val="2"/>
          <c:tx>
            <c:strRef>
              <c:f>'Calilbration by End Use_Elect'!$C$69</c:f>
              <c:strCache>
                <c:ptCount val="1"/>
                <c:pt idx="0">
                  <c:v>Food Preparation</c:v>
                </c:pt>
              </c:strCache>
            </c:strRef>
          </c:tx>
          <c:spPr>
            <a:solidFill>
              <a:schemeClr val="accent3">
                <a:lumMod val="5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Use_Elect'!$E$83:$O$83</c:f>
              <c:numCache>
                <c:formatCode>#,##0.0_);\(#,##0.0\)</c:formatCode>
                <c:ptCount val="11"/>
                <c:pt idx="0">
                  <c:v>2.4766601884155119</c:v>
                </c:pt>
                <c:pt idx="1">
                  <c:v>0.14592062221940738</c:v>
                </c:pt>
                <c:pt idx="2">
                  <c:v>0.52400395609108852</c:v>
                </c:pt>
                <c:pt idx="3">
                  <c:v>45.869577230261953</c:v>
                </c:pt>
                <c:pt idx="4">
                  <c:v>6.8555616821100367</c:v>
                </c:pt>
                <c:pt idx="5">
                  <c:v>3.9570010181194597E-2</c:v>
                </c:pt>
                <c:pt idx="6">
                  <c:v>2.2450436350900884</c:v>
                </c:pt>
                <c:pt idx="7">
                  <c:v>0.41915556381509445</c:v>
                </c:pt>
                <c:pt idx="8">
                  <c:v>7.6400606952929087</c:v>
                </c:pt>
                <c:pt idx="9">
                  <c:v>0.10280996355233478</c:v>
                </c:pt>
                <c:pt idx="10">
                  <c:v>2.3177491995555179</c:v>
                </c:pt>
              </c:numCache>
            </c:numRef>
          </c:val>
          <c:extLst>
            <c:ext xmlns:c16="http://schemas.microsoft.com/office/drawing/2014/chart" uri="{C3380CC4-5D6E-409C-BE32-E72D297353CC}">
              <c16:uniqueId val="{00000002-6C41-4440-97AF-E730EEAD1AD1}"/>
            </c:ext>
          </c:extLst>
        </c:ser>
        <c:ser>
          <c:idx val="6"/>
          <c:order val="3"/>
          <c:tx>
            <c:strRef>
              <c:f>'Calilbration by End Use_Elect'!$C$68</c:f>
              <c:strCache>
                <c:ptCount val="1"/>
                <c:pt idx="0">
                  <c:v>Refrigeration</c:v>
                </c:pt>
              </c:strCache>
            </c:strRef>
          </c:tx>
          <c:spPr>
            <a:solidFill>
              <a:schemeClr val="accent1"/>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Use_Elect'!$E$82:$O$82</c:f>
              <c:numCache>
                <c:formatCode>#,##0.0_);\(#,##0.0\)</c:formatCode>
                <c:ptCount val="11"/>
                <c:pt idx="0">
                  <c:v>6.6803897987391494</c:v>
                </c:pt>
                <c:pt idx="1">
                  <c:v>1.123232866981525</c:v>
                </c:pt>
                <c:pt idx="2">
                  <c:v>11.720647568225374</c:v>
                </c:pt>
                <c:pt idx="3">
                  <c:v>34.500587402210549</c:v>
                </c:pt>
                <c:pt idx="4">
                  <c:v>72.278078022829675</c:v>
                </c:pt>
                <c:pt idx="5">
                  <c:v>4.0094032396143148E-2</c:v>
                </c:pt>
                <c:pt idx="6">
                  <c:v>3.0762111963361849</c:v>
                </c:pt>
                <c:pt idx="7">
                  <c:v>1.0405493109802624</c:v>
                </c:pt>
                <c:pt idx="8">
                  <c:v>10.193437445738686</c:v>
                </c:pt>
                <c:pt idx="9">
                  <c:v>2.9031008726746999</c:v>
                </c:pt>
                <c:pt idx="10">
                  <c:v>8.5166878421169958</c:v>
                </c:pt>
              </c:numCache>
            </c:numRef>
          </c:val>
          <c:extLst>
            <c:ext xmlns:c16="http://schemas.microsoft.com/office/drawing/2014/chart" uri="{C3380CC4-5D6E-409C-BE32-E72D297353CC}">
              <c16:uniqueId val="{00000003-6C41-4440-97AF-E730EEAD1AD1}"/>
            </c:ext>
          </c:extLst>
        </c:ser>
        <c:ser>
          <c:idx val="5"/>
          <c:order val="4"/>
          <c:tx>
            <c:strRef>
              <c:f>'Calilbration by End Use_Elect'!$C$67</c:f>
              <c:strCache>
                <c:ptCount val="1"/>
                <c:pt idx="0">
                  <c:v>Exterior Lighting</c:v>
                </c:pt>
              </c:strCache>
            </c:strRef>
          </c:tx>
          <c:spPr>
            <a:solidFill>
              <a:schemeClr val="accent4">
                <a:lumMod val="5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Use_Elect'!$E$81:$O$81</c:f>
              <c:numCache>
                <c:formatCode>#,##0.0_);\(#,##0.0\)</c:formatCode>
                <c:ptCount val="11"/>
                <c:pt idx="0">
                  <c:v>2.0893862737796391</c:v>
                </c:pt>
                <c:pt idx="1">
                  <c:v>1.2176124216004365</c:v>
                </c:pt>
                <c:pt idx="2">
                  <c:v>15.277974337711273</c:v>
                </c:pt>
                <c:pt idx="3">
                  <c:v>1.6302826404814774</c:v>
                </c:pt>
                <c:pt idx="4">
                  <c:v>4.831704946485198</c:v>
                </c:pt>
                <c:pt idx="5">
                  <c:v>3.5811396726696157E-2</c:v>
                </c:pt>
                <c:pt idx="6">
                  <c:v>0.6148588845953491</c:v>
                </c:pt>
                <c:pt idx="7">
                  <c:v>0.18394311247268461</c:v>
                </c:pt>
                <c:pt idx="8">
                  <c:v>1.0030061276218192</c:v>
                </c:pt>
                <c:pt idx="9">
                  <c:v>6.2538955097068891</c:v>
                </c:pt>
                <c:pt idx="10">
                  <c:v>6.3697868845663166</c:v>
                </c:pt>
              </c:numCache>
            </c:numRef>
          </c:val>
          <c:extLst>
            <c:ext xmlns:c16="http://schemas.microsoft.com/office/drawing/2014/chart" uri="{C3380CC4-5D6E-409C-BE32-E72D297353CC}">
              <c16:uniqueId val="{00000004-6C41-4440-97AF-E730EEAD1AD1}"/>
            </c:ext>
          </c:extLst>
        </c:ser>
        <c:ser>
          <c:idx val="4"/>
          <c:order val="5"/>
          <c:tx>
            <c:strRef>
              <c:f>'Calilbration by End Use_Elect'!$C$66</c:f>
              <c:strCache>
                <c:ptCount val="1"/>
                <c:pt idx="0">
                  <c:v>Interior Lighting</c:v>
                </c:pt>
              </c:strCache>
            </c:strRef>
          </c:tx>
          <c:spPr>
            <a:solidFill>
              <a:schemeClr val="accent4"/>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Use_Elect'!$E$80:$O$80</c:f>
              <c:numCache>
                <c:formatCode>#,##0.0_);\(#,##0.0\)</c:formatCode>
                <c:ptCount val="11"/>
                <c:pt idx="0">
                  <c:v>13.454893857109582</c:v>
                </c:pt>
                <c:pt idx="1">
                  <c:v>6.1777455538813166</c:v>
                </c:pt>
                <c:pt idx="2">
                  <c:v>63.947161781515376</c:v>
                </c:pt>
                <c:pt idx="3">
                  <c:v>12.915305637495736</c:v>
                </c:pt>
                <c:pt idx="4">
                  <c:v>29.407709530138295</c:v>
                </c:pt>
                <c:pt idx="5">
                  <c:v>0.75877995925887776</c:v>
                </c:pt>
                <c:pt idx="6">
                  <c:v>5.912675356314919</c:v>
                </c:pt>
                <c:pt idx="7">
                  <c:v>2.2476018065598975</c:v>
                </c:pt>
                <c:pt idx="8">
                  <c:v>10.491379364623359</c:v>
                </c:pt>
                <c:pt idx="9">
                  <c:v>6.839511088871852</c:v>
                </c:pt>
                <c:pt idx="10">
                  <c:v>34.241520982437351</c:v>
                </c:pt>
              </c:numCache>
            </c:numRef>
          </c:val>
          <c:extLst>
            <c:ext xmlns:c16="http://schemas.microsoft.com/office/drawing/2014/chart" uri="{C3380CC4-5D6E-409C-BE32-E72D297353CC}">
              <c16:uniqueId val="{00000005-6C41-4440-97AF-E730EEAD1AD1}"/>
            </c:ext>
          </c:extLst>
        </c:ser>
        <c:ser>
          <c:idx val="3"/>
          <c:order val="6"/>
          <c:tx>
            <c:strRef>
              <c:f>'Calilbration by End Use_Elect'!$C$65</c:f>
              <c:strCache>
                <c:ptCount val="1"/>
                <c:pt idx="0">
                  <c:v>Water Heating</c:v>
                </c:pt>
              </c:strCache>
            </c:strRef>
          </c:tx>
          <c:spPr>
            <a:solidFill>
              <a:schemeClr val="accent5"/>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Use_Elect'!$E$79:$O$79</c:f>
              <c:numCache>
                <c:formatCode>#,##0.0_);\(#,##0.0\)</c:formatCode>
                <c:ptCount val="11"/>
                <c:pt idx="0">
                  <c:v>2.0770585692618151</c:v>
                </c:pt>
                <c:pt idx="1">
                  <c:v>1.808863651535833</c:v>
                </c:pt>
                <c:pt idx="2">
                  <c:v>7.7055735259069369</c:v>
                </c:pt>
                <c:pt idx="3">
                  <c:v>8.5724270274984722</c:v>
                </c:pt>
                <c:pt idx="4">
                  <c:v>3.0610176510677878</c:v>
                </c:pt>
                <c:pt idx="5">
                  <c:v>6.0900239392440811E-2</c:v>
                </c:pt>
                <c:pt idx="6">
                  <c:v>3.1544335143462474</c:v>
                </c:pt>
                <c:pt idx="7">
                  <c:v>0.14445208781577326</c:v>
                </c:pt>
                <c:pt idx="8">
                  <c:v>0.77880823517103526</c:v>
                </c:pt>
                <c:pt idx="9">
                  <c:v>0.89930574843547761</c:v>
                </c:pt>
                <c:pt idx="10">
                  <c:v>6.5370697746392867</c:v>
                </c:pt>
              </c:numCache>
            </c:numRef>
          </c:val>
          <c:extLst>
            <c:ext xmlns:c16="http://schemas.microsoft.com/office/drawing/2014/chart" uri="{C3380CC4-5D6E-409C-BE32-E72D297353CC}">
              <c16:uniqueId val="{00000006-6C41-4440-97AF-E730EEAD1AD1}"/>
            </c:ext>
          </c:extLst>
        </c:ser>
        <c:ser>
          <c:idx val="2"/>
          <c:order val="7"/>
          <c:tx>
            <c:strRef>
              <c:f>'Calilbration by End Use_Elect'!$C$64</c:f>
              <c:strCache>
                <c:ptCount val="1"/>
                <c:pt idx="0">
                  <c:v>Ventilation</c:v>
                </c:pt>
              </c:strCache>
            </c:strRef>
          </c:tx>
          <c:spPr>
            <a:solidFill>
              <a:schemeClr val="accent6">
                <a:lumMod val="20000"/>
                <a:lumOff val="80000"/>
              </a:schemeClr>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Use_Elect'!$E$78:$O$78</c:f>
              <c:numCache>
                <c:formatCode>#,##0.0_);\(#,##0.0\)</c:formatCode>
                <c:ptCount val="11"/>
                <c:pt idx="0">
                  <c:v>20.142074954144405</c:v>
                </c:pt>
                <c:pt idx="1">
                  <c:v>8.9546560395189019</c:v>
                </c:pt>
                <c:pt idx="2">
                  <c:v>44.062916605279256</c:v>
                </c:pt>
                <c:pt idx="3">
                  <c:v>18.997353781949901</c:v>
                </c:pt>
                <c:pt idx="4">
                  <c:v>13.546269501637454</c:v>
                </c:pt>
                <c:pt idx="5">
                  <c:v>0.93115412586660173</c:v>
                </c:pt>
                <c:pt idx="6">
                  <c:v>15.325390771549882</c:v>
                </c:pt>
                <c:pt idx="7">
                  <c:v>1.1474188293537892</c:v>
                </c:pt>
                <c:pt idx="8">
                  <c:v>7.9291209584695048</c:v>
                </c:pt>
                <c:pt idx="9">
                  <c:v>3.7388654751581778</c:v>
                </c:pt>
                <c:pt idx="10">
                  <c:v>16.649573853673481</c:v>
                </c:pt>
              </c:numCache>
            </c:numRef>
          </c:val>
          <c:extLst>
            <c:ext xmlns:c16="http://schemas.microsoft.com/office/drawing/2014/chart" uri="{C3380CC4-5D6E-409C-BE32-E72D297353CC}">
              <c16:uniqueId val="{00000007-6C41-4440-97AF-E730EEAD1AD1}"/>
            </c:ext>
          </c:extLst>
        </c:ser>
        <c:ser>
          <c:idx val="1"/>
          <c:order val="8"/>
          <c:tx>
            <c:strRef>
              <c:f>'Calilbration by End Use_Elect'!$C$63</c:f>
              <c:strCache>
                <c:ptCount val="1"/>
                <c:pt idx="0">
                  <c:v>Space Heating</c:v>
                </c:pt>
              </c:strCache>
            </c:strRef>
          </c:tx>
          <c:spPr>
            <a:solidFill>
              <a:schemeClr val="accent3"/>
            </a:solidFill>
            <a:ln>
              <a:solidFill>
                <a:schemeClr val="bg1"/>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Use_Elect'!$E$77:$O$77</c:f>
              <c:numCache>
                <c:formatCode>#,##0.0_);\(#,##0.0\)</c:formatCode>
                <c:ptCount val="11"/>
                <c:pt idx="0">
                  <c:v>3.3235061262928109</c:v>
                </c:pt>
                <c:pt idx="1">
                  <c:v>5.6080623673351004</c:v>
                </c:pt>
                <c:pt idx="2">
                  <c:v>7.3740244007595264</c:v>
                </c:pt>
                <c:pt idx="3">
                  <c:v>1.7449282188082089</c:v>
                </c:pt>
                <c:pt idx="4">
                  <c:v>1.7216770967595723</c:v>
                </c:pt>
                <c:pt idx="5">
                  <c:v>5.6738192948747206E-2</c:v>
                </c:pt>
                <c:pt idx="6">
                  <c:v>4.0961624437343591</c:v>
                </c:pt>
                <c:pt idx="7">
                  <c:v>1.592031762988614</c:v>
                </c:pt>
                <c:pt idx="8">
                  <c:v>24.609757104782439</c:v>
                </c:pt>
                <c:pt idx="9">
                  <c:v>2.140988344514239</c:v>
                </c:pt>
                <c:pt idx="10">
                  <c:v>5.7186566920529565</c:v>
                </c:pt>
              </c:numCache>
            </c:numRef>
          </c:val>
          <c:extLst>
            <c:ext xmlns:c16="http://schemas.microsoft.com/office/drawing/2014/chart" uri="{C3380CC4-5D6E-409C-BE32-E72D297353CC}">
              <c16:uniqueId val="{00000008-6C41-4440-97AF-E730EEAD1AD1}"/>
            </c:ext>
          </c:extLst>
        </c:ser>
        <c:ser>
          <c:idx val="8"/>
          <c:order val="9"/>
          <c:tx>
            <c:strRef>
              <c:f>'Calilbration by End Use_Elect'!$C$76</c:f>
              <c:strCache>
                <c:ptCount val="1"/>
                <c:pt idx="0">
                  <c:v>Cooling</c:v>
                </c:pt>
              </c:strCache>
            </c:strRef>
          </c:tx>
          <c:spPr>
            <a:solidFill>
              <a:schemeClr val="accent6"/>
            </a:solidFill>
            <a:ln>
              <a:solidFill>
                <a:srgbClr val="F6F6F7"/>
              </a:solidFill>
            </a:ln>
            <a:effectLst>
              <a:outerShdw blurRad="50800" dist="38100" dir="2700000" algn="tl" rotWithShape="0">
                <a:prstClr val="black">
                  <a:alpha val="40000"/>
                </a:prstClr>
              </a:outerShdw>
            </a:effectLst>
          </c:spPr>
          <c:invertIfNegative val="0"/>
          <c:cat>
            <c:strRef>
              <c:f>'Calilbration by End Use_Elect'!$E$4:$O$4</c:f>
              <c:strCache>
                <c:ptCount val="11"/>
                <c:pt idx="0">
                  <c:v>Large Office</c:v>
                </c:pt>
                <c:pt idx="1">
                  <c:v>Small Office</c:v>
                </c:pt>
                <c:pt idx="2">
                  <c:v>Retail</c:v>
                </c:pt>
                <c:pt idx="3">
                  <c:v>Restaurant</c:v>
                </c:pt>
                <c:pt idx="4">
                  <c:v>Grocery</c:v>
                </c:pt>
                <c:pt idx="5">
                  <c:v>Health</c:v>
                </c:pt>
                <c:pt idx="6">
                  <c:v>College</c:v>
                </c:pt>
                <c:pt idx="7">
                  <c:v>School</c:v>
                </c:pt>
                <c:pt idx="8">
                  <c:v>Lodging</c:v>
                </c:pt>
                <c:pt idx="9">
                  <c:v>Warehouse</c:v>
                </c:pt>
                <c:pt idx="10">
                  <c:v>Miscellaneous</c:v>
                </c:pt>
              </c:strCache>
            </c:strRef>
          </c:cat>
          <c:val>
            <c:numRef>
              <c:f>'Calilbration by End Use_Elect'!$E$76:$O$76</c:f>
              <c:numCache>
                <c:formatCode>#,##0.0_);\(#,##0.0\)</c:formatCode>
                <c:ptCount val="11"/>
                <c:pt idx="0">
                  <c:v>7.4363068247086384</c:v>
                </c:pt>
                <c:pt idx="1">
                  <c:v>3.6183571586113557</c:v>
                </c:pt>
                <c:pt idx="2">
                  <c:v>18.886088887874493</c:v>
                </c:pt>
                <c:pt idx="3">
                  <c:v>17.413902082320647</c:v>
                </c:pt>
                <c:pt idx="4">
                  <c:v>3.118683789476453</c:v>
                </c:pt>
                <c:pt idx="5">
                  <c:v>0.75550763336304627</c:v>
                </c:pt>
                <c:pt idx="6">
                  <c:v>7.1562959928609917</c:v>
                </c:pt>
                <c:pt idx="7">
                  <c:v>0.93314941549029784</c:v>
                </c:pt>
                <c:pt idx="8">
                  <c:v>3.408395885355354</c:v>
                </c:pt>
                <c:pt idx="9">
                  <c:v>4.5662151776786644</c:v>
                </c:pt>
                <c:pt idx="10">
                  <c:v>5.559631568990179</c:v>
                </c:pt>
              </c:numCache>
            </c:numRef>
          </c:val>
          <c:extLst>
            <c:ext xmlns:c16="http://schemas.microsoft.com/office/drawing/2014/chart" uri="{C3380CC4-5D6E-409C-BE32-E72D297353CC}">
              <c16:uniqueId val="{00000009-6C41-4440-97AF-E730EEAD1AD1}"/>
            </c:ext>
          </c:extLst>
        </c:ser>
        <c:dLbls>
          <c:showLegendKey val="0"/>
          <c:showVal val="0"/>
          <c:showCatName val="0"/>
          <c:showSerName val="0"/>
          <c:showPercent val="0"/>
          <c:showBubbleSize val="0"/>
        </c:dLbls>
        <c:gapWidth val="70"/>
        <c:overlap val="100"/>
        <c:axId val="1802141535"/>
        <c:axId val="1802143199"/>
        <c:extLst/>
      </c:barChart>
      <c:catAx>
        <c:axId val="1802141535"/>
        <c:scaling>
          <c:orientation val="minMax"/>
        </c:scaling>
        <c:delete val="0"/>
        <c:axPos val="b"/>
        <c:numFmt formatCode="General" sourceLinked="1"/>
        <c:majorTickMark val="in"/>
        <c:minorTickMark val="none"/>
        <c:tickLblPos val="low"/>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3199"/>
        <c:crosses val="autoZero"/>
        <c:auto val="1"/>
        <c:lblAlgn val="ctr"/>
        <c:lblOffset val="100"/>
        <c:tickMarkSkip val="3"/>
        <c:noMultiLvlLbl val="0"/>
      </c:catAx>
      <c:valAx>
        <c:axId val="1802143199"/>
        <c:scaling>
          <c:orientation val="minMax"/>
          <c:max val="250"/>
          <c:min val="0"/>
        </c:scaling>
        <c:delete val="0"/>
        <c:axPos val="l"/>
        <c:majorGridlines>
          <c:spPr>
            <a:ln w="9525" cap="flat" cmpd="sng" algn="ctr">
              <a:solidFill>
                <a:schemeClr val="bg1">
                  <a:lumMod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kWh/sqft</a:t>
                </a:r>
              </a:p>
            </c:rich>
          </c:tx>
          <c:layout>
            <c:manualLayout>
              <c:xMode val="edge"/>
              <c:yMode val="edge"/>
              <c:x val="0"/>
              <c:y val="0.37547418032714514"/>
            </c:manualLayout>
          </c:layout>
          <c:overlay val="0"/>
          <c:spPr>
            <a:noFill/>
            <a:ln>
              <a:noFill/>
            </a:ln>
            <a:effectLst/>
          </c:spPr>
        </c:title>
        <c:numFmt formatCode="#,##0_);\(#,##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1535"/>
        <c:crosses val="autoZero"/>
        <c:crossBetween val="between"/>
        <c:majorUnit val="50"/>
      </c:valAx>
      <c:spPr>
        <a:solidFill>
          <a:srgbClr val="F6F6F7"/>
        </a:solidFill>
      </c:spPr>
    </c:plotArea>
    <c:legend>
      <c:legendPos val="r"/>
      <c:layout>
        <c:manualLayout>
          <c:xMode val="edge"/>
          <c:yMode val="edge"/>
          <c:x val="0.80025517643627875"/>
          <c:y val="6.9972885814463023E-2"/>
          <c:w val="0.18892115048118985"/>
          <c:h val="0.838549267987325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rgbClr val="F6F6F7"/>
    </a:solidFill>
    <a:ln w="9525" cap="flat" cmpd="sng" algn="ctr">
      <a:noFill/>
      <a:round/>
    </a:ln>
    <a:effectLst/>
  </c:spPr>
  <c:txPr>
    <a:bodyPr/>
    <a:lstStyle/>
    <a:p>
      <a:pPr>
        <a:defRPr sz="900"/>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Use by</a:t>
            </a:r>
            <a:r>
              <a:rPr lang="en-US" baseline="0"/>
              <a:t> End Use</a:t>
            </a:r>
            <a:endParaRPr lang="en-US"/>
          </a:p>
        </c:rich>
      </c:tx>
      <c:layout>
        <c:manualLayout>
          <c:xMode val="edge"/>
          <c:yMode val="edge"/>
          <c:x val="0.20361924850421007"/>
          <c:y val="1.343183344526527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2"/>
          <c:order val="2"/>
          <c:tx>
            <c:strRef>
              <c:f>'End Use Intensity - Base Year'!$E$5</c:f>
              <c:strCache>
                <c:ptCount val="1"/>
                <c:pt idx="0">
                  <c:v>Grand Total</c:v>
                </c:pt>
              </c:strCache>
            </c:strRef>
          </c:tx>
          <c:spPr>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FB36-4E62-A00F-1DD27D850E3B}"/>
              </c:ext>
            </c:extLst>
          </c:dPt>
          <c:dPt>
            <c:idx val="1"/>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FB36-4E62-A00F-1DD27D850E3B}"/>
              </c:ext>
            </c:extLst>
          </c:dPt>
          <c:dPt>
            <c:idx val="2"/>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FB36-4E62-A00F-1DD27D850E3B}"/>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FB36-4E62-A00F-1DD27D850E3B}"/>
              </c:ext>
            </c:extLst>
          </c:dPt>
          <c:dPt>
            <c:idx val="4"/>
            <c:bubble3D val="0"/>
            <c:spPr>
              <a:solidFill>
                <a:srgbClr val="BFA30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FB36-4E62-A00F-1DD27D850E3B}"/>
              </c:ext>
            </c:extLst>
          </c:dPt>
          <c:dPt>
            <c:idx val="5"/>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FB36-4E62-A00F-1DD27D850E3B}"/>
              </c:ext>
            </c:extLst>
          </c:dPt>
          <c:dPt>
            <c:idx val="6"/>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FB36-4E62-A00F-1DD27D850E3B}"/>
              </c:ext>
            </c:extLst>
          </c:dPt>
          <c:dPt>
            <c:idx val="7"/>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FB36-4E62-A00F-1DD27D850E3B}"/>
              </c:ext>
            </c:extLst>
          </c:dPt>
          <c:dLbls>
            <c:dLbl>
              <c:idx val="0"/>
              <c:layout>
                <c:manualLayout>
                  <c:x val="-5.1763718091805577E-2"/>
                  <c:y val="1.999474713075237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B36-4E62-A00F-1DD27D850E3B}"/>
                </c:ext>
              </c:extLst>
            </c:dLbl>
            <c:dLbl>
              <c:idx val="1"/>
              <c:layout>
                <c:manualLayout>
                  <c:x val="-1.3528152934069277E-2"/>
                  <c:y val="2.17348922721127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B36-4E62-A00F-1DD27D850E3B}"/>
                </c:ext>
              </c:extLst>
            </c:dLbl>
            <c:dLbl>
              <c:idx val="2"/>
              <c:layout>
                <c:manualLayout>
                  <c:x val="5.4182921543129606E-2"/>
                  <c:y val="1.407204891866692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0676202860858259"/>
                      <c:h val="0.14103425117528542"/>
                    </c:manualLayout>
                  </c15:layout>
                </c:ext>
                <c:ext xmlns:c16="http://schemas.microsoft.com/office/drawing/2014/chart" uri="{C3380CC4-5D6E-409C-BE32-E72D297353CC}">
                  <c16:uniqueId val="{00000005-FB36-4E62-A00F-1DD27D850E3B}"/>
                </c:ext>
              </c:extLst>
            </c:dLbl>
            <c:dLbl>
              <c:idx val="3"/>
              <c:layout>
                <c:manualLayout>
                  <c:x val="3.5405083467297406E-2"/>
                  <c:y val="3.382354237285143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B36-4E62-A00F-1DD27D850E3B}"/>
                </c:ext>
              </c:extLst>
            </c:dLbl>
            <c:dLbl>
              <c:idx val="4"/>
              <c:layout>
                <c:manualLayout>
                  <c:x val="1.0249872862120944E-2"/>
                  <c:y val="9.801571982817124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B36-4E62-A00F-1DD27D850E3B}"/>
                </c:ext>
              </c:extLst>
            </c:dLbl>
            <c:dLbl>
              <c:idx val="5"/>
              <c:layout>
                <c:manualLayout>
                  <c:x val="-0.18833130254036834"/>
                  <c:y val="-0.100136257313034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B36-4E62-A00F-1DD27D850E3B}"/>
                </c:ext>
              </c:extLst>
            </c:dLbl>
            <c:dLbl>
              <c:idx val="6"/>
              <c:layout>
                <c:manualLayout>
                  <c:x val="0.21602039667018216"/>
                  <c:y val="-0.1277726953036176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B36-4E62-A00F-1DD27D850E3B}"/>
                </c:ext>
              </c:extLst>
            </c:dLbl>
            <c:dLbl>
              <c:idx val="7"/>
              <c:layout>
                <c:manualLayout>
                  <c:x val="-8.9171095160569175E-2"/>
                  <c:y val="6.0418572594476729E-2"/>
                </c:manualLayout>
              </c:layout>
              <c:showLegendKey val="0"/>
              <c:showVal val="0"/>
              <c:showCatName val="1"/>
              <c:showSerName val="0"/>
              <c:showPercent val="1"/>
              <c:showBubbleSize val="0"/>
              <c:extLst>
                <c:ext xmlns:c15="http://schemas.microsoft.com/office/drawing/2012/chart" uri="{CE6537A1-D6FC-4f65-9D91-7224C49458BB}">
                  <c15:layout>
                    <c:manualLayout>
                      <c:w val="0.27834867520623635"/>
                      <c:h val="0.16098070011228449"/>
                    </c:manualLayout>
                  </c15:layout>
                </c:ext>
                <c:ext xmlns:c16="http://schemas.microsoft.com/office/drawing/2014/chart" uri="{C3380CC4-5D6E-409C-BE32-E72D297353CC}">
                  <c16:uniqueId val="{0000000F-FB36-4E62-A00F-1DD27D850E3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Year'!$B$6:$B$13</c:f>
              <c:strCache>
                <c:ptCount val="8"/>
                <c:pt idx="0">
                  <c:v>Cooling</c:v>
                </c:pt>
                <c:pt idx="1">
                  <c:v>Space Heating</c:v>
                </c:pt>
                <c:pt idx="2">
                  <c:v>Ventilation</c:v>
                </c:pt>
                <c:pt idx="3">
                  <c:v>Interior Lighting</c:v>
                </c:pt>
                <c:pt idx="4">
                  <c:v>Exterior Lighting</c:v>
                </c:pt>
                <c:pt idx="5">
                  <c:v>Process</c:v>
                </c:pt>
                <c:pt idx="6">
                  <c:v>Motors</c:v>
                </c:pt>
                <c:pt idx="7">
                  <c:v>Miscellaneous</c:v>
                </c:pt>
              </c:strCache>
            </c:strRef>
          </c:cat>
          <c:val>
            <c:numRef>
              <c:f>'End Use Intensity - Base Year'!$E$6:$E$13</c:f>
              <c:numCache>
                <c:formatCode>_(* #,##0.00_);_(* \(#,##0.00\);_(* "-"??_);_(@_)</c:formatCode>
                <c:ptCount val="8"/>
                <c:pt idx="0">
                  <c:v>6451.4732353803074</c:v>
                </c:pt>
                <c:pt idx="1">
                  <c:v>3048.977276970445</c:v>
                </c:pt>
                <c:pt idx="2">
                  <c:v>5621.4478712965329</c:v>
                </c:pt>
                <c:pt idx="3">
                  <c:v>5049.7298125497764</c:v>
                </c:pt>
                <c:pt idx="4">
                  <c:v>4617.3596605933853</c:v>
                </c:pt>
                <c:pt idx="5">
                  <c:v>15949.568906578936</c:v>
                </c:pt>
                <c:pt idx="6">
                  <c:v>55953.94646704242</c:v>
                </c:pt>
                <c:pt idx="7">
                  <c:v>5334.0962595814026</c:v>
                </c:pt>
              </c:numCache>
            </c:numRef>
          </c:val>
          <c:extLst>
            <c:ext xmlns:c16="http://schemas.microsoft.com/office/drawing/2014/chart" uri="{C3380CC4-5D6E-409C-BE32-E72D297353CC}">
              <c16:uniqueId val="{00000010-FB36-4E62-A00F-1DD27D850E3B}"/>
            </c:ext>
          </c:extLst>
        </c:ser>
        <c:dLbls>
          <c:showLegendKey val="0"/>
          <c:showVal val="1"/>
          <c:showCatName val="1"/>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'End Use Intensity - Base Year'!$C$5</c15:sqref>
                        </c15:formulaRef>
                      </c:ext>
                    </c:extLst>
                    <c:strCache>
                      <c:ptCount val="1"/>
                      <c:pt idx="0">
                        <c:v>Industrial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FB36-4E62-A00F-1DD27D850E3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FB36-4E62-A00F-1DD27D850E3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FB36-4E62-A00F-1DD27D850E3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FB36-4E62-A00F-1DD27D850E3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FB36-4E62-A00F-1DD27D850E3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FB36-4E62-A00F-1DD27D850E3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FB36-4E62-A00F-1DD27D850E3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FB36-4E62-A00F-1DD27D850E3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'End Use Intensity - Base Year'!$B$6:$B$13</c15:sqref>
                        </c15:formulaRef>
                      </c:ext>
                    </c:extLst>
                    <c:strCache>
                      <c:ptCount val="8"/>
                      <c:pt idx="0">
                        <c:v>Cooling</c:v>
                      </c:pt>
                      <c:pt idx="1">
                        <c:v>Space Heating</c:v>
                      </c:pt>
                      <c:pt idx="2">
                        <c:v>Ventilation</c:v>
                      </c:pt>
                      <c:pt idx="3">
                        <c:v>Interior Lighting</c:v>
                      </c:pt>
                      <c:pt idx="4">
                        <c:v>Exterior Lighting</c:v>
                      </c:pt>
                      <c:pt idx="5">
                        <c:v>Process</c:v>
                      </c:pt>
                      <c:pt idx="6">
                        <c:v>Motors</c:v>
                      </c:pt>
                      <c:pt idx="7">
                        <c:v>Miscellaneous</c:v>
                      </c:pt>
                    </c:strCache>
                  </c:strRef>
                </c:cat>
                <c:val>
                  <c:numRef>
                    <c:extLst>
                      <c:ext uri="{02D57815-91ED-43cb-92C2-25804820EDAC}">
                        <c15:formulaRef>
                          <c15:sqref>'End Use Intensity - Base Year'!$C$6:$C$13</c15:sqref>
                        </c15:formulaRef>
                      </c:ext>
                    </c:extLst>
                    <c:numCache>
                      <c:formatCode>_(* #,##0.00_);_(* \(#,##0.00\);_(* "-"??_);_(@_)</c:formatCode>
                      <c:ptCount val="8"/>
                      <c:pt idx="0">
                        <c:v>7456.0695778647378</c:v>
                      </c:pt>
                      <c:pt idx="1">
                        <c:v>3523.7512253400969</c:v>
                      </c:pt>
                      <c:pt idx="2">
                        <c:v>6496.7961467882878</c:v>
                      </c:pt>
                      <c:pt idx="3">
                        <c:v>5907.0892791392334</c:v>
                      </c:pt>
                      <c:pt idx="4">
                        <c:v>5401.3099237974939</c:v>
                      </c:pt>
                      <c:pt idx="5">
                        <c:v>19934.544603775954</c:v>
                      </c:pt>
                      <c:pt idx="6">
                        <c:v>48317.705685275112</c:v>
                      </c:pt>
                      <c:pt idx="7">
                        <c:v>5766.3626756256917</c:v>
                      </c:pt>
                    </c:numCache>
                  </c:numRef>
                </c:val>
                <c:extLst>
                  <c:ext xmlns:c16="http://schemas.microsoft.com/office/drawing/2014/chart" uri="{C3380CC4-5D6E-409C-BE32-E72D297353CC}">
                    <c16:uniqueId val="{00000021-FB36-4E62-A00F-1DD27D850E3B}"/>
                  </c:ext>
                </c:extLst>
              </c15:ser>
            </c15:filteredPieSeries>
            <c15:filteredPieSeries>
              <c15:ser>
                <c:idx val="1"/>
                <c:order val="1"/>
                <c:tx>
                  <c:strRef>
                    <c:extLst xmlns:c15="http://schemas.microsoft.com/office/drawing/2012/chart">
                      <c:ext xmlns:c15="http://schemas.microsoft.com/office/drawing/2012/chart" uri="{02D57815-91ED-43cb-92C2-25804820EDAC}">
                        <c15:formulaRef>
                          <c15:sqref>'End Use Intensity - Base Year'!$D$5</c15:sqref>
                        </c15:formulaRef>
                      </c:ext>
                    </c:extLst>
                    <c:strCache>
                      <c:ptCount val="1"/>
                      <c:pt idx="0">
                        <c:v>Pumping</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23-FB36-4E62-A00F-1DD27D850E3B}"/>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25-FB36-4E62-A00F-1DD27D850E3B}"/>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27-FB36-4E62-A00F-1DD27D850E3B}"/>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9-FB36-4E62-A00F-1DD27D850E3B}"/>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2B-FB36-4E62-A00F-1DD27D850E3B}"/>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2D-FB36-4E62-A00F-1DD27D850E3B}"/>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2F-FB36-4E62-A00F-1DD27D850E3B}"/>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31-FB36-4E62-A00F-1DD27D850E3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'End Use Intensity - Base Year'!$B$6:$B$13</c15:sqref>
                        </c15:formulaRef>
                      </c:ext>
                    </c:extLst>
                    <c:strCache>
                      <c:ptCount val="8"/>
                      <c:pt idx="0">
                        <c:v>Cooling</c:v>
                      </c:pt>
                      <c:pt idx="1">
                        <c:v>Space Heating</c:v>
                      </c:pt>
                      <c:pt idx="2">
                        <c:v>Ventilation</c:v>
                      </c:pt>
                      <c:pt idx="3">
                        <c:v>Interior Lighting</c:v>
                      </c:pt>
                      <c:pt idx="4">
                        <c:v>Exterior Lighting</c:v>
                      </c:pt>
                      <c:pt idx="5">
                        <c:v>Process</c:v>
                      </c:pt>
                      <c:pt idx="6">
                        <c:v>Motors</c:v>
                      </c:pt>
                      <c:pt idx="7">
                        <c:v>Miscellaneous</c:v>
                      </c:pt>
                    </c:strCache>
                  </c:strRef>
                </c:cat>
                <c:val>
                  <c:numRef>
                    <c:extLst xmlns:c15="http://schemas.microsoft.com/office/drawing/2012/chart">
                      <c:ext xmlns:c15="http://schemas.microsoft.com/office/drawing/2012/chart" uri="{02D57815-91ED-43cb-92C2-25804820EDAC}">
                        <c15:formulaRef>
                          <c15:sqref>'End Use Intensity - Base Year'!$D$6:$D$13</c15:sqref>
                        </c15:formulaRef>
                      </c:ext>
                    </c:extLst>
                    <c:numCache>
                      <c:formatCode>_(* #,##0.00_);_(* \(#,##0.00\);_(* "-"??_);_(@_)</c:formatCode>
                      <c:ptCount val="8"/>
                      <c:pt idx="0">
                        <c:v>2966.4395124672342</c:v>
                      </c:pt>
                      <c:pt idx="1">
                        <c:v>1401.9443834035696</c:v>
                      </c:pt>
                      <c:pt idx="2">
                        <c:v>2584.787144622765</c:v>
                      </c:pt>
                      <c:pt idx="3">
                        <c:v>2075.4738578309884</c:v>
                      </c:pt>
                      <c:pt idx="4">
                        <c:v>1897.7667367367644</c:v>
                      </c:pt>
                      <c:pt idx="5">
                        <c:v>2125.3351298807897</c:v>
                      </c:pt>
                      <c:pt idx="6">
                        <c:v>82444.742337280855</c:v>
                      </c:pt>
                      <c:pt idx="7">
                        <c:v>3834.525761970845</c:v>
                      </c:pt>
                    </c:numCache>
                  </c:numRef>
                </c:val>
                <c:extLst xmlns:c15="http://schemas.microsoft.com/office/drawing/2012/chart">
                  <c:ext xmlns:c16="http://schemas.microsoft.com/office/drawing/2014/chart" uri="{C3380CC4-5D6E-409C-BE32-E72D297353CC}">
                    <c16:uniqueId val="{00000032-FB36-4E62-A00F-1DD27D850E3B}"/>
                  </c:ext>
                </c:extLst>
              </c15:ser>
            </c15:filteredPieSeries>
          </c:ext>
        </c:extLst>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Winter Peak Demand</a:t>
            </a:r>
          </a:p>
        </c:rich>
      </c:tx>
      <c:layout>
        <c:manualLayout>
          <c:xMode val="edge"/>
          <c:yMode val="edge"/>
          <c:x val="0.21683037889193943"/>
          <c:y val="9.1282519397535376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2"/>
          <c:order val="2"/>
          <c:tx>
            <c:strRef>
              <c:f>'End Use Intensity - Base Ye (2)'!$E$5</c:f>
              <c:strCache>
                <c:ptCount val="1"/>
                <c:pt idx="0">
                  <c:v>Grand Total</c:v>
                </c:pt>
              </c:strCache>
            </c:strRef>
          </c:tx>
          <c:spPr>
            <a:effectLst>
              <a:outerShdw blurRad="50800" dist="38100" dir="2700000" algn="tl" rotWithShape="0">
                <a:prstClr val="black">
                  <a:alpha val="40000"/>
                </a:prstClr>
              </a:outerShdw>
            </a:effectLst>
          </c:spPr>
          <c:dPt>
            <c:idx val="0"/>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5704-4FE8-A7EA-AEFDEB3331F6}"/>
              </c:ext>
            </c:extLst>
          </c:dPt>
          <c:dPt>
            <c:idx val="1"/>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5704-4FE8-A7EA-AEFDEB3331F6}"/>
              </c:ext>
            </c:extLst>
          </c:dPt>
          <c:dPt>
            <c:idx val="2"/>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5704-4FE8-A7EA-AEFDEB3331F6}"/>
              </c:ext>
            </c:extLst>
          </c:dPt>
          <c:dPt>
            <c:idx val="3"/>
            <c:bubble3D val="0"/>
            <c:spPr>
              <a:solidFill>
                <a:srgbClr val="BFA30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5704-4FE8-A7EA-AEFDEB3331F6}"/>
              </c:ext>
            </c:extLst>
          </c:dPt>
          <c:dPt>
            <c:idx val="4"/>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5704-4FE8-A7EA-AEFDEB3331F6}"/>
              </c:ext>
            </c:extLst>
          </c:dPt>
          <c:dPt>
            <c:idx val="5"/>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5704-4FE8-A7EA-AEFDEB3331F6}"/>
              </c:ext>
            </c:extLst>
          </c:dPt>
          <c:dPt>
            <c:idx val="6"/>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5704-4FE8-A7EA-AEFDEB3331F6}"/>
              </c:ext>
            </c:extLst>
          </c:dPt>
          <c:dLbls>
            <c:dLbl>
              <c:idx val="0"/>
              <c:layout>
                <c:manualLayout>
                  <c:x val="-0.13954015185224922"/>
                  <c:y val="0.188961819456897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704-4FE8-A7EA-AEFDEB3331F6}"/>
                </c:ext>
              </c:extLst>
            </c:dLbl>
            <c:dLbl>
              <c:idx val="1"/>
              <c:layout>
                <c:manualLayout>
                  <c:x val="-0.14631775004001202"/>
                  <c:y val="6.0964944207227763E-2"/>
                </c:manualLayout>
              </c:layout>
              <c:showLegendKey val="0"/>
              <c:showVal val="0"/>
              <c:showCatName val="1"/>
              <c:showSerName val="0"/>
              <c:showPercent val="1"/>
              <c:showBubbleSize val="0"/>
              <c:extLst>
                <c:ext xmlns:c15="http://schemas.microsoft.com/office/drawing/2012/chart" uri="{CE6537A1-D6FC-4f65-9D91-7224C49458BB}">
                  <c15:layout>
                    <c:manualLayout>
                      <c:w val="0.23495626817029824"/>
                      <c:h val="0.16214222940283535"/>
                    </c:manualLayout>
                  </c15:layout>
                </c:ext>
                <c:ext xmlns:c16="http://schemas.microsoft.com/office/drawing/2014/chart" uri="{C3380CC4-5D6E-409C-BE32-E72D297353CC}">
                  <c16:uniqueId val="{00000003-5704-4FE8-A7EA-AEFDEB3331F6}"/>
                </c:ext>
              </c:extLst>
            </c:dLbl>
            <c:dLbl>
              <c:idx val="2"/>
              <c:layout>
                <c:manualLayout>
                  <c:x val="9.3972003499562563E-3"/>
                  <c:y val="3.3823636628754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704-4FE8-A7EA-AEFDEB3331F6}"/>
                </c:ext>
              </c:extLst>
            </c:dLbl>
            <c:dLbl>
              <c:idx val="3"/>
              <c:layout>
                <c:manualLayout>
                  <c:x val="1.0645625516407289E-2"/>
                  <c:y val="4.8765779277590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704-4FE8-A7EA-AEFDEB3331F6}"/>
                </c:ext>
              </c:extLst>
            </c:dLbl>
            <c:dLbl>
              <c:idx val="4"/>
              <c:layout>
                <c:manualLayout>
                  <c:x val="-0.112812467572668"/>
                  <c:y val="-0.1725828014451970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704-4FE8-A7EA-AEFDEB3331F6}"/>
                </c:ext>
              </c:extLst>
            </c:dLbl>
            <c:dLbl>
              <c:idx val="5"/>
              <c:layout>
                <c:manualLayout>
                  <c:x val="0.22512333378475111"/>
                  <c:y val="-5.084892009693835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704-4FE8-A7EA-AEFDEB3331F6}"/>
                </c:ext>
              </c:extLst>
            </c:dLbl>
            <c:dLbl>
              <c:idx val="6"/>
              <c:layout>
                <c:manualLayout>
                  <c:x val="-4.0205494750949297E-2"/>
                  <c:y val="3.751600102974726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4621398257761893"/>
                      <c:h val="0.15518028297581013"/>
                    </c:manualLayout>
                  </c15:layout>
                </c:ext>
                <c:ext xmlns:c16="http://schemas.microsoft.com/office/drawing/2014/chart" uri="{C3380CC4-5D6E-409C-BE32-E72D297353CC}">
                  <c16:uniqueId val="{0000000D-5704-4FE8-A7EA-AEFDEB3331F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 (2)'!$B$7:$B$13</c:f>
              <c:strCache>
                <c:ptCount val="7"/>
                <c:pt idx="0">
                  <c:v>Space Heating</c:v>
                </c:pt>
                <c:pt idx="1">
                  <c:v>Ventilation</c:v>
                </c:pt>
                <c:pt idx="2">
                  <c:v>Interior Lighting</c:v>
                </c:pt>
                <c:pt idx="3">
                  <c:v>Exterior Lighting</c:v>
                </c:pt>
                <c:pt idx="4">
                  <c:v>Process</c:v>
                </c:pt>
                <c:pt idx="5">
                  <c:v>Motors</c:v>
                </c:pt>
                <c:pt idx="6">
                  <c:v>Miscellaneous</c:v>
                </c:pt>
              </c:strCache>
              <c:extLst/>
            </c:strRef>
          </c:cat>
          <c:val>
            <c:numRef>
              <c:f>'End Use Intensity - Base Ye (2)'!$E$7:$E$13</c:f>
              <c:numCache>
                <c:formatCode>_(* #,##0.00_);_(* \(#,##0.00\);_(* "-"??_);_(@_)</c:formatCode>
                <c:ptCount val="7"/>
                <c:pt idx="0">
                  <c:v>1714.6397507424438</c:v>
                </c:pt>
                <c:pt idx="1">
                  <c:v>903.71603325749459</c:v>
                </c:pt>
                <c:pt idx="2">
                  <c:v>172.84591943084965</c:v>
                </c:pt>
                <c:pt idx="3">
                  <c:v>1003.6267040173758</c:v>
                </c:pt>
                <c:pt idx="4">
                  <c:v>1556.7745387284649</c:v>
                </c:pt>
                <c:pt idx="5">
                  <c:v>4463.0508162837241</c:v>
                </c:pt>
                <c:pt idx="6">
                  <c:v>479.05089728330501</c:v>
                </c:pt>
              </c:numCache>
              <c:extLst/>
            </c:numRef>
          </c:val>
          <c:extLst>
            <c:ext xmlns:c16="http://schemas.microsoft.com/office/drawing/2014/chart" uri="{C3380CC4-5D6E-409C-BE32-E72D297353CC}">
              <c16:uniqueId val="{0000000E-5704-4FE8-A7EA-AEFDEB3331F6}"/>
            </c:ext>
          </c:extLst>
        </c:ser>
        <c:dLbls>
          <c:showLegendKey val="0"/>
          <c:showVal val="1"/>
          <c:showCatName val="1"/>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'End Use Intensity - Base Ye (2)'!$C$5</c15:sqref>
                        </c15:formulaRef>
                      </c:ext>
                    </c:extLst>
                    <c:strCache>
                      <c:ptCount val="1"/>
                      <c:pt idx="0">
                        <c:v>Industrial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0-5704-4FE8-A7EA-AEFDEB3331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2-5704-4FE8-A7EA-AEFDEB3331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4-5704-4FE8-A7EA-AEFDEB3331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6-5704-4FE8-A7EA-AEFDEB3331F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8-5704-4FE8-A7EA-AEFDEB3331F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A-5704-4FE8-A7EA-AEFDEB3331F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C-5704-4FE8-A7EA-AEFDEB3331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'End Use Intensity - Base Ye (2)'!$B$7:$B$13</c15:sqref>
                        </c15:formulaRef>
                      </c:ext>
                    </c:extLst>
                    <c:strCache>
                      <c:ptCount val="7"/>
                      <c:pt idx="0">
                        <c:v>Space Heating</c:v>
                      </c:pt>
                      <c:pt idx="1">
                        <c:v>Ventilation</c:v>
                      </c:pt>
                      <c:pt idx="2">
                        <c:v>Interior Lighting</c:v>
                      </c:pt>
                      <c:pt idx="3">
                        <c:v>Exterior Lighting</c:v>
                      </c:pt>
                      <c:pt idx="4">
                        <c:v>Process</c:v>
                      </c:pt>
                      <c:pt idx="5">
                        <c:v>Motors</c:v>
                      </c:pt>
                      <c:pt idx="6">
                        <c:v>Miscellaneous</c:v>
                      </c:pt>
                    </c:strCache>
                  </c:strRef>
                </c:cat>
                <c:val>
                  <c:numRef>
                    <c:extLst>
                      <c:ext uri="{02D57815-91ED-43cb-92C2-25804820EDAC}">
                        <c15:formulaRef>
                          <c15:sqref>'End Use Intensity - Base Ye (2)'!$C$7:$C$13</c15:sqref>
                        </c15:formulaRef>
                      </c:ext>
                    </c:extLst>
                    <c:numCache>
                      <c:formatCode>_(* #,##0.00_);_(* \(#,##0.00\);_(* "-"??_);_(@_)</c:formatCode>
                      <c:ptCount val="7"/>
                      <c:pt idx="0">
                        <c:v>1981.6362582731349</c:v>
                      </c:pt>
                      <c:pt idx="1">
                        <c:v>1044.438902055306</c:v>
                      </c:pt>
                      <c:pt idx="2">
                        <c:v>202.19225889580628</c:v>
                      </c:pt>
                      <c:pt idx="3">
                        <c:v>1174.0256931816677</c:v>
                      </c:pt>
                      <c:pt idx="4">
                        <c:v>1981.0986932639426</c:v>
                      </c:pt>
                      <c:pt idx="5">
                        <c:v>4801.8224392484408</c:v>
                      </c:pt>
                      <c:pt idx="6">
                        <c:v>573.06217867671648</c:v>
                      </c:pt>
                    </c:numCache>
                  </c:numRef>
                </c:val>
                <c:extLst>
                  <c:ext xmlns:c16="http://schemas.microsoft.com/office/drawing/2014/chart" uri="{C3380CC4-5D6E-409C-BE32-E72D297353CC}">
                    <c16:uniqueId val="{0000001D-5704-4FE8-A7EA-AEFDEB3331F6}"/>
                  </c:ext>
                </c:extLst>
              </c15:ser>
            </c15:filteredPieSeries>
            <c15:filteredPieSeries>
              <c15:ser>
                <c:idx val="1"/>
                <c:order val="1"/>
                <c:tx>
                  <c:strRef>
                    <c:extLst xmlns:c15="http://schemas.microsoft.com/office/drawing/2012/chart">
                      <c:ext xmlns:c15="http://schemas.microsoft.com/office/drawing/2012/chart" uri="{02D57815-91ED-43cb-92C2-25804820EDAC}">
                        <c15:formulaRef>
                          <c15:sqref>'End Use Intensity - Base Ye (2)'!$D$5</c15:sqref>
                        </c15:formulaRef>
                      </c:ext>
                    </c:extLst>
                    <c:strCache>
                      <c:ptCount val="1"/>
                      <c:pt idx="0">
                        <c:v>Pumping</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1F-5704-4FE8-A7EA-AEFDEB3331F6}"/>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21-5704-4FE8-A7EA-AEFDEB3331F6}"/>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23-5704-4FE8-A7EA-AEFDEB3331F6}"/>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5-5704-4FE8-A7EA-AEFDEB3331F6}"/>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27-5704-4FE8-A7EA-AEFDEB3331F6}"/>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29-5704-4FE8-A7EA-AEFDEB3331F6}"/>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2B-5704-4FE8-A7EA-AEFDEB3331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'End Use Intensity - Base Ye (2)'!$B$7:$B$13</c15:sqref>
                        </c15:formulaRef>
                      </c:ext>
                    </c:extLst>
                    <c:strCache>
                      <c:ptCount val="7"/>
                      <c:pt idx="0">
                        <c:v>Space Heating</c:v>
                      </c:pt>
                      <c:pt idx="1">
                        <c:v>Ventilation</c:v>
                      </c:pt>
                      <c:pt idx="2">
                        <c:v>Interior Lighting</c:v>
                      </c:pt>
                      <c:pt idx="3">
                        <c:v>Exterior Lighting</c:v>
                      </c:pt>
                      <c:pt idx="4">
                        <c:v>Process</c:v>
                      </c:pt>
                      <c:pt idx="5">
                        <c:v>Motors</c:v>
                      </c:pt>
                      <c:pt idx="6">
                        <c:v>Miscellaneous</c:v>
                      </c:pt>
                    </c:strCache>
                  </c:strRef>
                </c:cat>
                <c:val>
                  <c:numRef>
                    <c:extLst xmlns:c15="http://schemas.microsoft.com/office/drawing/2012/chart">
                      <c:ext xmlns:c15="http://schemas.microsoft.com/office/drawing/2012/chart" uri="{02D57815-91ED-43cb-92C2-25804820EDAC}">
                        <c15:formulaRef>
                          <c15:sqref>'End Use Intensity - Base Ye (2)'!$D$7:$D$13</c15:sqref>
                        </c15:formulaRef>
                      </c:ext>
                    </c:extLst>
                    <c:numCache>
                      <c:formatCode>_(* #,##0.00_);_(* \(#,##0.00\);_(* "-"??_);_(@_)</c:formatCode>
                      <c:ptCount val="7"/>
                      <c:pt idx="0">
                        <c:v>788.40520927147827</c:v>
                      </c:pt>
                      <c:pt idx="1">
                        <c:v>415.53593284761621</c:v>
                      </c:pt>
                      <c:pt idx="2">
                        <c:v>71.040867636114456</c:v>
                      </c:pt>
                      <c:pt idx="3">
                        <c:v>412.49751264560564</c:v>
                      </c:pt>
                      <c:pt idx="4">
                        <c:v>84.75645000479328</c:v>
                      </c:pt>
                      <c:pt idx="5">
                        <c:v>3287.8220398397834</c:v>
                      </c:pt>
                      <c:pt idx="6">
                        <c:v>152.91743239326362</c:v>
                      </c:pt>
                    </c:numCache>
                  </c:numRef>
                </c:val>
                <c:extLst xmlns:c15="http://schemas.microsoft.com/office/drawing/2012/chart">
                  <c:ext xmlns:c16="http://schemas.microsoft.com/office/drawing/2014/chart" uri="{C3380CC4-5D6E-409C-BE32-E72D297353CC}">
                    <c16:uniqueId val="{0000002C-5704-4FE8-A7EA-AEFDEB3331F6}"/>
                  </c:ext>
                </c:extLst>
              </c15:ser>
            </c15:filteredPieSeries>
          </c:ext>
        </c:extLst>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Use by</a:t>
            </a:r>
            <a:r>
              <a:rPr lang="en-US" baseline="0"/>
              <a:t> End Use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873013355113723"/>
          <c:y val="0.21533741420029479"/>
          <c:w val="0.70253973289772553"/>
          <c:h val="0.68707826319446397"/>
        </c:manualLayout>
      </c:layout>
      <c:pieChart>
        <c:varyColors val="1"/>
        <c:ser>
          <c:idx val="2"/>
          <c:order val="2"/>
          <c:tx>
            <c:strRef>
              <c:f>'End Use Intensity - Base Year'!$E$5</c:f>
              <c:strCache>
                <c:ptCount val="1"/>
                <c:pt idx="0">
                  <c:v>Grand Total</c:v>
                </c:pt>
              </c:strCache>
            </c:strRef>
          </c:tx>
          <c:spPr>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3846-42AF-8462-EDE402A24F7D}"/>
              </c:ext>
            </c:extLst>
          </c:dPt>
          <c:dPt>
            <c:idx val="1"/>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3846-42AF-8462-EDE402A24F7D}"/>
              </c:ext>
            </c:extLst>
          </c:dPt>
          <c:dPt>
            <c:idx val="2"/>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3846-42AF-8462-EDE402A24F7D}"/>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3846-42AF-8462-EDE402A24F7D}"/>
              </c:ext>
            </c:extLst>
          </c:dPt>
          <c:dPt>
            <c:idx val="4"/>
            <c:bubble3D val="0"/>
            <c:spPr>
              <a:solidFill>
                <a:srgbClr val="BFA30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3846-42AF-8462-EDE402A24F7D}"/>
              </c:ext>
            </c:extLst>
          </c:dPt>
          <c:dPt>
            <c:idx val="5"/>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3846-42AF-8462-EDE402A24F7D}"/>
              </c:ext>
            </c:extLst>
          </c:dPt>
          <c:dPt>
            <c:idx val="6"/>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3846-42AF-8462-EDE402A24F7D}"/>
              </c:ext>
            </c:extLst>
          </c:dPt>
          <c:dPt>
            <c:idx val="7"/>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3846-42AF-8462-EDE402A24F7D}"/>
              </c:ext>
            </c:extLst>
          </c:dPt>
          <c:dLbls>
            <c:dLbl>
              <c:idx val="0"/>
              <c:layout>
                <c:manualLayout>
                  <c:x val="-4.2708013405739709E-2"/>
                  <c:y val="1.970930011866309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846-42AF-8462-EDE402A24F7D}"/>
                </c:ext>
              </c:extLst>
            </c:dLbl>
            <c:dLbl>
              <c:idx val="1"/>
              <c:layout>
                <c:manualLayout>
                  <c:x val="-4.7480179958216753E-2"/>
                  <c:y val="-7.224751904963881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9335619374196309"/>
                      <c:h val="0.12976331741806221"/>
                    </c:manualLayout>
                  </c15:layout>
                </c:ext>
                <c:ext xmlns:c16="http://schemas.microsoft.com/office/drawing/2014/chart" uri="{C3380CC4-5D6E-409C-BE32-E72D297353CC}">
                  <c16:uniqueId val="{00000003-3846-42AF-8462-EDE402A24F7D}"/>
                </c:ext>
              </c:extLst>
            </c:dLbl>
            <c:dLbl>
              <c:idx val="2"/>
              <c:layout>
                <c:manualLayout>
                  <c:x val="-1.7768342609124139E-2"/>
                  <c:y val="2.37752035344774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846-42AF-8462-EDE402A24F7D}"/>
                </c:ext>
              </c:extLst>
            </c:dLbl>
            <c:dLbl>
              <c:idx val="3"/>
              <c:layout>
                <c:manualLayout>
                  <c:x val="9.3972003499562563E-3"/>
                  <c:y val="3.3823636628754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846-42AF-8462-EDE402A24F7D}"/>
                </c:ext>
              </c:extLst>
            </c:dLbl>
            <c:dLbl>
              <c:idx val="4"/>
              <c:layout>
                <c:manualLayout>
                  <c:x val="0"/>
                  <c:y val="6.134173492409026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846-42AF-8462-EDE402A24F7D}"/>
                </c:ext>
              </c:extLst>
            </c:dLbl>
            <c:dLbl>
              <c:idx val="5"/>
              <c:layout>
                <c:manualLayout>
                  <c:x val="-0.22623198139666748"/>
                  <c:y val="-0.10909084907668871"/>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846-42AF-8462-EDE402A24F7D}"/>
                </c:ext>
              </c:extLst>
            </c:dLbl>
            <c:dLbl>
              <c:idx val="6"/>
              <c:layout>
                <c:manualLayout>
                  <c:x val="0.21958210003003803"/>
                  <c:y val="-0.1604526692599812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846-42AF-8462-EDE402A24F7D}"/>
                </c:ext>
              </c:extLst>
            </c:dLbl>
            <c:dLbl>
              <c:idx val="7"/>
              <c:layout>
                <c:manualLayout>
                  <c:x val="-8.6238866519739041E-2"/>
                  <c:y val="6.796178354461089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21945992284612"/>
                      <c:h val="0.1467197652483756"/>
                    </c:manualLayout>
                  </c15:layout>
                </c:ext>
                <c:ext xmlns:c16="http://schemas.microsoft.com/office/drawing/2014/chart" uri="{C3380CC4-5D6E-409C-BE32-E72D297353CC}">
                  <c16:uniqueId val="{0000000F-3846-42AF-8462-EDE402A24F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Year'!$B$6:$B$13</c:f>
              <c:strCache>
                <c:ptCount val="8"/>
                <c:pt idx="0">
                  <c:v>Cooling</c:v>
                </c:pt>
                <c:pt idx="1">
                  <c:v>Space Heating</c:v>
                </c:pt>
                <c:pt idx="2">
                  <c:v>Ventilation</c:v>
                </c:pt>
                <c:pt idx="3">
                  <c:v>Interior Lighting</c:v>
                </c:pt>
                <c:pt idx="4">
                  <c:v>Exterior Lighting</c:v>
                </c:pt>
                <c:pt idx="5">
                  <c:v>Process</c:v>
                </c:pt>
                <c:pt idx="6">
                  <c:v>Motors</c:v>
                </c:pt>
                <c:pt idx="7">
                  <c:v>Miscellaneous</c:v>
                </c:pt>
              </c:strCache>
            </c:strRef>
          </c:cat>
          <c:val>
            <c:numRef>
              <c:f>'End Use Intensity - Base Year'!$E$6:$E$13</c:f>
              <c:numCache>
                <c:formatCode>_(* #,##0.00_);_(* \(#,##0.00\);_(* "-"??_);_(@_)</c:formatCode>
                <c:ptCount val="8"/>
                <c:pt idx="0">
                  <c:v>7983.0993268935435</c:v>
                </c:pt>
                <c:pt idx="1">
                  <c:v>3772.8263854545203</c:v>
                </c:pt>
                <c:pt idx="2">
                  <c:v>6956.019978724913</c:v>
                </c:pt>
                <c:pt idx="3">
                  <c:v>6273.3500391966109</c:v>
                </c:pt>
                <c:pt idx="4">
                  <c:v>5736.2105465088871</c:v>
                </c:pt>
                <c:pt idx="5">
                  <c:v>20259.801202676987</c:v>
                </c:pt>
                <c:pt idx="6">
                  <c:v>63535.119143840129</c:v>
                </c:pt>
                <c:pt idx="7">
                  <c:v>6461.5064928808015</c:v>
                </c:pt>
              </c:numCache>
            </c:numRef>
          </c:val>
          <c:extLst>
            <c:ext xmlns:c16="http://schemas.microsoft.com/office/drawing/2014/chart" uri="{C3380CC4-5D6E-409C-BE32-E72D297353CC}">
              <c16:uniqueId val="{00000010-3846-42AF-8462-EDE402A24F7D}"/>
            </c:ext>
          </c:extLst>
        </c:ser>
        <c:dLbls>
          <c:showLegendKey val="0"/>
          <c:showVal val="1"/>
          <c:showCatName val="1"/>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'End Use Intensity - Base Year'!$C$5</c15:sqref>
                        </c15:formulaRef>
                      </c:ext>
                    </c:extLst>
                    <c:strCache>
                      <c:ptCount val="1"/>
                      <c:pt idx="0">
                        <c:v>Industrial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3846-42AF-8462-EDE402A24F7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3846-42AF-8462-EDE402A24F7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3846-42AF-8462-EDE402A24F7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3846-42AF-8462-EDE402A24F7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3846-42AF-8462-EDE402A24F7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3846-42AF-8462-EDE402A24F7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3846-42AF-8462-EDE402A24F7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3846-42AF-8462-EDE402A24F7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'End Use Intensity - Base Year'!$B$6:$B$13</c15:sqref>
                        </c15:formulaRef>
                      </c:ext>
                    </c:extLst>
                    <c:strCache>
                      <c:ptCount val="8"/>
                      <c:pt idx="0">
                        <c:v>Cooling</c:v>
                      </c:pt>
                      <c:pt idx="1">
                        <c:v>Space Heating</c:v>
                      </c:pt>
                      <c:pt idx="2">
                        <c:v>Ventilation</c:v>
                      </c:pt>
                      <c:pt idx="3">
                        <c:v>Interior Lighting</c:v>
                      </c:pt>
                      <c:pt idx="4">
                        <c:v>Exterior Lighting</c:v>
                      </c:pt>
                      <c:pt idx="5">
                        <c:v>Process</c:v>
                      </c:pt>
                      <c:pt idx="6">
                        <c:v>Motors</c:v>
                      </c:pt>
                      <c:pt idx="7">
                        <c:v>Miscellaneous</c:v>
                      </c:pt>
                    </c:strCache>
                  </c:strRef>
                </c:cat>
                <c:val>
                  <c:numRef>
                    <c:extLst>
                      <c:ext uri="{02D57815-91ED-43cb-92C2-25804820EDAC}">
                        <c15:formulaRef>
                          <c15:sqref>'End Use Intensity - Base Year'!$C$6:$C$13</c15:sqref>
                        </c15:formulaRef>
                      </c:ext>
                    </c:extLst>
                    <c:numCache>
                      <c:formatCode>_(* #,##0.00_);_(* \(#,##0.00\);_(* "-"??_);_(@_)</c:formatCode>
                      <c:ptCount val="8"/>
                      <c:pt idx="0">
                        <c:v>9669.5941417413778</c:v>
                      </c:pt>
                      <c:pt idx="1">
                        <c:v>4569.8667172658652</c:v>
                      </c:pt>
                      <c:pt idx="2">
                        <c:v>8425.5359080303424</c:v>
                      </c:pt>
                      <c:pt idx="3">
                        <c:v>7660.7595049650499</c:v>
                      </c:pt>
                      <c:pt idx="4">
                        <c:v>7004.8266384122153</c:v>
                      </c:pt>
                      <c:pt idx="5">
                        <c:v>25852.622981310262</c:v>
                      </c:pt>
                      <c:pt idx="6">
                        <c:v>62662.04988533922</c:v>
                      </c:pt>
                      <c:pt idx="7">
                        <c:v>7478.2546172744251</c:v>
                      </c:pt>
                    </c:numCache>
                  </c:numRef>
                </c:val>
                <c:extLst>
                  <c:ext xmlns:c16="http://schemas.microsoft.com/office/drawing/2014/chart" uri="{C3380CC4-5D6E-409C-BE32-E72D297353CC}">
                    <c16:uniqueId val="{00000021-3846-42AF-8462-EDE402A24F7D}"/>
                  </c:ext>
                </c:extLst>
              </c15:ser>
            </c15:filteredPieSeries>
            <c15:filteredPieSeries>
              <c15:ser>
                <c:idx val="1"/>
                <c:order val="1"/>
                <c:tx>
                  <c:strRef>
                    <c:extLst xmlns:c15="http://schemas.microsoft.com/office/drawing/2012/chart">
                      <c:ext xmlns:c15="http://schemas.microsoft.com/office/drawing/2012/chart" uri="{02D57815-91ED-43cb-92C2-25804820EDAC}">
                        <c15:formulaRef>
                          <c15:sqref>'End Use Intensity - Base Year'!$D$5</c15:sqref>
                        </c15:formulaRef>
                      </c:ext>
                    </c:extLst>
                    <c:strCache>
                      <c:ptCount val="1"/>
                      <c:pt idx="0">
                        <c:v>Pumping</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23-3846-42AF-8462-EDE402A24F7D}"/>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25-3846-42AF-8462-EDE402A24F7D}"/>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27-3846-42AF-8462-EDE402A24F7D}"/>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9-3846-42AF-8462-EDE402A24F7D}"/>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2B-3846-42AF-8462-EDE402A24F7D}"/>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2D-3846-42AF-8462-EDE402A24F7D}"/>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2F-3846-42AF-8462-EDE402A24F7D}"/>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31-3846-42AF-8462-EDE402A24F7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'End Use Intensity - Base Year'!$B$6:$B$13</c15:sqref>
                        </c15:formulaRef>
                      </c:ext>
                    </c:extLst>
                    <c:strCache>
                      <c:ptCount val="8"/>
                      <c:pt idx="0">
                        <c:v>Cooling</c:v>
                      </c:pt>
                      <c:pt idx="1">
                        <c:v>Space Heating</c:v>
                      </c:pt>
                      <c:pt idx="2">
                        <c:v>Ventilation</c:v>
                      </c:pt>
                      <c:pt idx="3">
                        <c:v>Interior Lighting</c:v>
                      </c:pt>
                      <c:pt idx="4">
                        <c:v>Exterior Lighting</c:v>
                      </c:pt>
                      <c:pt idx="5">
                        <c:v>Process</c:v>
                      </c:pt>
                      <c:pt idx="6">
                        <c:v>Motors</c:v>
                      </c:pt>
                      <c:pt idx="7">
                        <c:v>Miscellaneous</c:v>
                      </c:pt>
                    </c:strCache>
                  </c:strRef>
                </c:cat>
                <c:val>
                  <c:numRef>
                    <c:extLst xmlns:c15="http://schemas.microsoft.com/office/drawing/2012/chart">
                      <c:ext xmlns:c15="http://schemas.microsoft.com/office/drawing/2012/chart" uri="{02D57815-91ED-43cb-92C2-25804820EDAC}">
                        <c15:formulaRef>
                          <c15:sqref>'End Use Intensity - Base Year'!$D$6:$D$13</c15:sqref>
                        </c15:formulaRef>
                      </c:ext>
                    </c:extLst>
                    <c:numCache>
                      <c:formatCode>_(* #,##0.00_);_(* \(#,##0.00\);_(* "-"??_);_(@_)</c:formatCode>
                      <c:ptCount val="8"/>
                      <c:pt idx="0">
                        <c:v>2390.2302191001763</c:v>
                      </c:pt>
                      <c:pt idx="1">
                        <c:v>1129.6268865842878</c:v>
                      </c:pt>
                      <c:pt idx="2">
                        <c:v>2082.7110470492798</c:v>
                      </c:pt>
                      <c:pt idx="3">
                        <c:v>1672.3281607768315</c:v>
                      </c:pt>
                      <c:pt idx="4">
                        <c:v>1529.1393550710222</c:v>
                      </c:pt>
                      <c:pt idx="5">
                        <c:v>1712.5042434899044</c:v>
                      </c:pt>
                      <c:pt idx="6">
                        <c:v>66430.45095384297</c:v>
                      </c:pt>
                      <c:pt idx="7">
                        <c:v>3089.6970302818804</c:v>
                      </c:pt>
                    </c:numCache>
                  </c:numRef>
                </c:val>
                <c:extLst xmlns:c15="http://schemas.microsoft.com/office/drawing/2012/chart">
                  <c:ext xmlns:c16="http://schemas.microsoft.com/office/drawing/2014/chart" uri="{C3380CC4-5D6E-409C-BE32-E72D297353CC}">
                    <c16:uniqueId val="{00000032-3846-42AF-8462-EDE402A24F7D}"/>
                  </c:ext>
                </c:extLst>
              </c15:ser>
            </c15:filteredPieSeries>
          </c:ext>
        </c:extLst>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Winter Peak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1CFA-405B-9E8D-51D736DAE585}"/>
              </c:ext>
            </c:extLst>
          </c:dPt>
          <c:dPt>
            <c:idx val="1"/>
            <c:bubble3D val="0"/>
            <c:spPr>
              <a:solidFill>
                <a:schemeClr val="accent2"/>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1CFA-405B-9E8D-51D736DAE585}"/>
              </c:ext>
            </c:extLst>
          </c:dPt>
          <c:dPt>
            <c:idx val="2"/>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1CFA-405B-9E8D-51D736DAE585}"/>
              </c:ext>
            </c:extLst>
          </c:dPt>
          <c:dLbls>
            <c:dLbl>
              <c:idx val="0"/>
              <c:layout>
                <c:manualLayout>
                  <c:x val="-0.20224413989773771"/>
                  <c:y val="-5.3662419470293488E-2"/>
                </c:manualLayout>
              </c:layout>
              <c:showLegendKey val="0"/>
              <c:showVal val="0"/>
              <c:showCatName val="1"/>
              <c:showSerName val="0"/>
              <c:showPercent val="1"/>
              <c:showBubbleSize val="0"/>
              <c:extLst>
                <c:ext xmlns:c15="http://schemas.microsoft.com/office/drawing/2012/chart" uri="{CE6537A1-D6FC-4f65-9D91-7224C49458BB}">
                  <c15:layout>
                    <c:manualLayout>
                      <c:w val="0.30435986159169548"/>
                      <c:h val="0.22758787878787878"/>
                    </c:manualLayout>
                  </c15:layout>
                </c:ext>
                <c:ext xmlns:c16="http://schemas.microsoft.com/office/drawing/2014/chart" uri="{C3380CC4-5D6E-409C-BE32-E72D297353CC}">
                  <c16:uniqueId val="{00000001-1CFA-405B-9E8D-51D736DAE585}"/>
                </c:ext>
              </c:extLst>
            </c:dLbl>
            <c:dLbl>
              <c:idx val="1"/>
              <c:layout>
                <c:manualLayout>
                  <c:x val="0.18992561915919678"/>
                  <c:y val="-3.543631591505615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0FBC38EB-35C3-486D-89E5-109A9B42897C}" type="CATEGORYNAME">
                      <a:rPr lang="en-US">
                        <a:solidFill>
                          <a:schemeClr val="bg1"/>
                        </a:solidFill>
                      </a:rPr>
                      <a:pPr>
                        <a:defRPr/>
                      </a:pPr>
                      <a:t>[CATEGORY NAME]</a:t>
                    </a:fld>
                    <a:r>
                      <a:rPr lang="en-US" baseline="0">
                        <a:solidFill>
                          <a:schemeClr val="bg1"/>
                        </a:solidFill>
                      </a:rPr>
                      <a:t>
</a:t>
                    </a:r>
                    <a:fld id="{0BE104F8-3BC2-45CC-AC82-F2AAE8710066}" type="PERCENTAGE">
                      <a:rPr lang="en-US" baseline="0">
                        <a:solidFill>
                          <a:schemeClr val="bg1"/>
                        </a:solidFill>
                      </a:rPr>
                      <a:pPr>
                        <a:defRPr/>
                      </a:pPr>
                      <a:t>[PERCENTAGE]</a:t>
                    </a:fld>
                    <a:endParaRPr lang="en-US" baseline="0">
                      <a:solidFill>
                        <a:schemeClr val="bg1"/>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6459054209919264"/>
                      <c:h val="0.20334545454545455"/>
                    </c:manualLayout>
                  </c15:layout>
                  <c15:dlblFieldTable/>
                  <c15:showDataLabelsRange val="0"/>
                </c:ext>
                <c:ext xmlns:c16="http://schemas.microsoft.com/office/drawing/2014/chart" uri="{C3380CC4-5D6E-409C-BE32-E72D297353CC}">
                  <c16:uniqueId val="{00000003-1CFA-405B-9E8D-51D736DAE585}"/>
                </c:ext>
              </c:extLst>
            </c:dLbl>
            <c:dLbl>
              <c:idx val="2"/>
              <c:layout>
                <c:manualLayout>
                  <c:x val="-1.27579035319547E-2"/>
                  <c:y val="6.004638511095204E-2"/>
                </c:manualLayout>
              </c:layout>
              <c:showLegendKey val="0"/>
              <c:showVal val="0"/>
              <c:showCatName val="1"/>
              <c:showSerName val="0"/>
              <c:showPercent val="1"/>
              <c:showBubbleSize val="0"/>
              <c:extLst>
                <c:ext xmlns:c15="http://schemas.microsoft.com/office/drawing/2012/chart" uri="{CE6537A1-D6FC-4f65-9D91-7224C49458BB}">
                  <c15:layout>
                    <c:manualLayout>
                      <c:w val="0.25806210209882935"/>
                      <c:h val="0.17432746361250298"/>
                    </c:manualLayout>
                  </c15:layout>
                </c:ext>
                <c:ext xmlns:c16="http://schemas.microsoft.com/office/drawing/2014/chart" uri="{C3380CC4-5D6E-409C-BE32-E72D297353CC}">
                  <c16:uniqueId val="{00000005-1CFA-405B-9E8D-51D736DAE5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'Market Overview'!$B$42:$B$44</c:f>
              <c:strCache>
                <c:ptCount val="3"/>
                <c:pt idx="0">
                  <c:v> Residential </c:v>
                </c:pt>
                <c:pt idx="1">
                  <c:v> Commercial </c:v>
                </c:pt>
                <c:pt idx="2">
                  <c:v> Industrial </c:v>
                </c:pt>
              </c:strCache>
            </c:strRef>
          </c:cat>
          <c:val>
            <c:numRef>
              <c:f>'Market Overview'!$E$42:$E$44</c:f>
              <c:numCache>
                <c:formatCode>_(* #,##0_);_(* \(#,##0\);_(* "-"??_);_(@_)</c:formatCode>
                <c:ptCount val="3"/>
                <c:pt idx="0">
                  <c:v>721.45705899999962</c:v>
                </c:pt>
                <c:pt idx="1">
                  <c:v>477.48685098653522</c:v>
                </c:pt>
                <c:pt idx="2">
                  <c:v>115.80879162612112</c:v>
                </c:pt>
              </c:numCache>
            </c:numRef>
          </c:val>
          <c:extLst>
            <c:ext xmlns:c16="http://schemas.microsoft.com/office/drawing/2014/chart" uri="{C3380CC4-5D6E-409C-BE32-E72D297353CC}">
              <c16:uniqueId val="{00000006-1CFA-405B-9E8D-51D736DAE58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Winter Peak Demand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338290390866496"/>
          <c:y val="0.21086548281883175"/>
          <c:w val="0.73924094133902551"/>
          <c:h val="0.68743221427865453"/>
        </c:manualLayout>
      </c:layout>
      <c:pieChart>
        <c:varyColors val="1"/>
        <c:ser>
          <c:idx val="2"/>
          <c:order val="2"/>
          <c:tx>
            <c:strRef>
              <c:f>'End Use Intensity - Base Ye (2)'!$E$5</c:f>
              <c:strCache>
                <c:ptCount val="1"/>
                <c:pt idx="0">
                  <c:v>Grand Total</c:v>
                </c:pt>
              </c:strCache>
            </c:strRef>
          </c:tx>
          <c:spPr>
            <a:effectLst>
              <a:outerShdw blurRad="50800" dist="38100" dir="2700000" algn="tl" rotWithShape="0">
                <a:prstClr val="black">
                  <a:alpha val="40000"/>
                </a:prstClr>
              </a:outerShdw>
            </a:effectLst>
          </c:spPr>
          <c:dPt>
            <c:idx val="0"/>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6719-4CFC-8E6D-E0E4613AF76E}"/>
              </c:ext>
            </c:extLst>
          </c:dPt>
          <c:dPt>
            <c:idx val="1"/>
            <c:bubble3D val="0"/>
            <c:spPr>
              <a:solidFill>
                <a:schemeClr val="accent6">
                  <a:lumMod val="20000"/>
                  <a:lumOff val="8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6719-4CFC-8E6D-E0E4613AF76E}"/>
              </c:ext>
            </c:extLst>
          </c:dPt>
          <c:dPt>
            <c:idx val="2"/>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6719-4CFC-8E6D-E0E4613AF76E}"/>
              </c:ext>
            </c:extLst>
          </c:dPt>
          <c:dPt>
            <c:idx val="3"/>
            <c:bubble3D val="0"/>
            <c:spPr>
              <a:solidFill>
                <a:srgbClr val="BFA30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6719-4CFC-8E6D-E0E4613AF76E}"/>
              </c:ext>
            </c:extLst>
          </c:dPt>
          <c:dPt>
            <c:idx val="4"/>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6719-4CFC-8E6D-E0E4613AF76E}"/>
              </c:ext>
            </c:extLst>
          </c:dPt>
          <c:dPt>
            <c:idx val="5"/>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6719-4CFC-8E6D-E0E4613AF76E}"/>
              </c:ext>
            </c:extLst>
          </c:dPt>
          <c:dPt>
            <c:idx val="6"/>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6719-4CFC-8E6D-E0E4613AF76E}"/>
              </c:ext>
            </c:extLst>
          </c:dPt>
          <c:dLbls>
            <c:dLbl>
              <c:idx val="0"/>
              <c:layout>
                <c:manualLayout>
                  <c:x val="-0.16316306918328122"/>
                  <c:y val="0.1814288538200507"/>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fld id="{71B40DCF-B1BF-41DA-8816-5D2531909EB2}" type="CATEGORYNAME">
                      <a:rPr lang="en-US">
                        <a:solidFill>
                          <a:schemeClr val="bg1"/>
                        </a:solidFill>
                      </a:rPr>
                      <a:pPr>
                        <a:defRPr>
                          <a:solidFill>
                            <a:schemeClr val="bg1"/>
                          </a:solidFill>
                        </a:defRPr>
                      </a:pPr>
                      <a:t>[CATEGORY NAME]</a:t>
                    </a:fld>
                    <a:r>
                      <a:rPr lang="en-US" baseline="0">
                        <a:solidFill>
                          <a:schemeClr val="bg1"/>
                        </a:solidFill>
                      </a:rPr>
                      <a:t>
</a:t>
                    </a:r>
                    <a:fld id="{7A0184BB-48EA-4225-B00C-1A625EC21F37}" type="PERCENTAGE">
                      <a:rPr lang="en-US" baseline="0">
                        <a:solidFill>
                          <a:schemeClr val="bg1"/>
                        </a:solidFill>
                      </a:rPr>
                      <a:pPr>
                        <a:defRPr>
                          <a:solidFill>
                            <a:schemeClr val="bg1"/>
                          </a:solidFill>
                        </a:defRPr>
                      </a:pPr>
                      <a:t>[PERCENTAGE]</a:t>
                    </a:fld>
                    <a:endParaRPr lang="en-US" baseline="0">
                      <a:solidFill>
                        <a:schemeClr val="bg1"/>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719-4CFC-8E6D-E0E4613AF76E}"/>
                </c:ext>
              </c:extLst>
            </c:dLbl>
            <c:dLbl>
              <c:idx val="1"/>
              <c:layout>
                <c:manualLayout>
                  <c:x val="-0.13055366110732222"/>
                  <c:y val="5.6129871841333563E-2"/>
                </c:manualLayout>
              </c:layout>
              <c:showLegendKey val="0"/>
              <c:showVal val="0"/>
              <c:showCatName val="1"/>
              <c:showSerName val="0"/>
              <c:showPercent val="1"/>
              <c:showBubbleSize val="0"/>
              <c:extLst>
                <c:ext xmlns:c15="http://schemas.microsoft.com/office/drawing/2012/chart" uri="{CE6537A1-D6FC-4f65-9D91-7224C49458BB}">
                  <c15:layout>
                    <c:manualLayout>
                      <c:w val="0.25914492971843084"/>
                      <c:h val="0.150439495272296"/>
                    </c:manualLayout>
                  </c15:layout>
                </c:ext>
                <c:ext xmlns:c16="http://schemas.microsoft.com/office/drawing/2014/chart" uri="{C3380CC4-5D6E-409C-BE32-E72D297353CC}">
                  <c16:uniqueId val="{00000003-6719-4CFC-8E6D-E0E4613AF76E}"/>
                </c:ext>
              </c:extLst>
            </c:dLbl>
            <c:dLbl>
              <c:idx val="2"/>
              <c:layout>
                <c:manualLayout>
                  <c:x val="-1.6497747174397112E-16"/>
                  <c:y val="2.54554739235000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719-4CFC-8E6D-E0E4613AF76E}"/>
                </c:ext>
              </c:extLst>
            </c:dLbl>
            <c:dLbl>
              <c:idx val="3"/>
              <c:layout>
                <c:manualLayout>
                  <c:x val="1.0645625516407289E-2"/>
                  <c:y val="4.8765779277590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719-4CFC-8E6D-E0E4613AF76E}"/>
                </c:ext>
              </c:extLst>
            </c:dLbl>
            <c:dLbl>
              <c:idx val="4"/>
              <c:layout>
                <c:manualLayout>
                  <c:x val="-0.1265036358644146"/>
                  <c:y val="-0.1725829407307351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719-4CFC-8E6D-E0E4613AF76E}"/>
                </c:ext>
              </c:extLst>
            </c:dLbl>
            <c:dLbl>
              <c:idx val="5"/>
              <c:layout>
                <c:manualLayout>
                  <c:x val="0.22997652852448561"/>
                  <c:y val="-5.0849009982538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719-4CFC-8E6D-E0E4613AF76E}"/>
                </c:ext>
              </c:extLst>
            </c:dLbl>
            <c:dLbl>
              <c:idx val="6"/>
              <c:layout>
                <c:manualLayout>
                  <c:x val="-7.6490438695163129E-2"/>
                  <c:y val="5.2090402925575728E-2"/>
                </c:manualLayout>
              </c:layout>
              <c:showLegendKey val="0"/>
              <c:showVal val="0"/>
              <c:showCatName val="1"/>
              <c:showSerName val="0"/>
              <c:showPercent val="1"/>
              <c:showBubbleSize val="0"/>
              <c:extLst>
                <c:ext xmlns:c15="http://schemas.microsoft.com/office/drawing/2012/chart" uri="{CE6537A1-D6FC-4f65-9D91-7224C49458BB}">
                  <c15:layout>
                    <c:manualLayout>
                      <c:w val="0.34870641169853767"/>
                      <c:h val="0.15062761506276151"/>
                    </c:manualLayout>
                  </c15:layout>
                </c:ext>
                <c:ext xmlns:c16="http://schemas.microsoft.com/office/drawing/2014/chart" uri="{C3380CC4-5D6E-409C-BE32-E72D297353CC}">
                  <c16:uniqueId val="{0000000D-6719-4CFC-8E6D-E0E4613AF7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 (2)'!$B$7:$B$13</c:f>
              <c:strCache>
                <c:ptCount val="7"/>
                <c:pt idx="0">
                  <c:v>Space Heating</c:v>
                </c:pt>
                <c:pt idx="1">
                  <c:v>Ventilation</c:v>
                </c:pt>
                <c:pt idx="2">
                  <c:v>Interior Lighting</c:v>
                </c:pt>
                <c:pt idx="3">
                  <c:v>Exterior Lighting</c:v>
                </c:pt>
                <c:pt idx="4">
                  <c:v>Process</c:v>
                </c:pt>
                <c:pt idx="5">
                  <c:v>Motors</c:v>
                </c:pt>
                <c:pt idx="6">
                  <c:v>Miscellaneous</c:v>
                </c:pt>
              </c:strCache>
              <c:extLst/>
            </c:strRef>
          </c:cat>
          <c:val>
            <c:numRef>
              <c:f>'End Use Intensity - Base Ye (2)'!$E$7:$E$13</c:f>
              <c:numCache>
                <c:formatCode>_(* #,##0.00_);_(* \(#,##0.00\);_(* "-"??_);_(@_)</c:formatCode>
                <c:ptCount val="7"/>
                <c:pt idx="0">
                  <c:v>2121.7075450224684</c:v>
                </c:pt>
                <c:pt idx="1">
                  <c:v>1118.264711575684</c:v>
                </c:pt>
                <c:pt idx="2">
                  <c:v>214.72890544394974</c:v>
                </c:pt>
                <c:pt idx="3">
                  <c:v>1246.8195045483155</c:v>
                </c:pt>
                <c:pt idx="4">
                  <c:v>1989.8153560772894</c:v>
                </c:pt>
                <c:pt idx="5">
                  <c:v>5398.3675833784828</c:v>
                </c:pt>
                <c:pt idx="6">
                  <c:v>599.55327496811856</c:v>
                </c:pt>
              </c:numCache>
              <c:extLst/>
            </c:numRef>
          </c:val>
          <c:extLst>
            <c:ext xmlns:c16="http://schemas.microsoft.com/office/drawing/2014/chart" uri="{C3380CC4-5D6E-409C-BE32-E72D297353CC}">
              <c16:uniqueId val="{0000000E-6719-4CFC-8E6D-E0E4613AF76E}"/>
            </c:ext>
          </c:extLst>
        </c:ser>
        <c:dLbls>
          <c:showLegendKey val="0"/>
          <c:showVal val="1"/>
          <c:showCatName val="1"/>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'End Use Intensity - Base Ye (2)'!$C$5</c15:sqref>
                        </c15:formulaRef>
                      </c:ext>
                    </c:extLst>
                    <c:strCache>
                      <c:ptCount val="1"/>
                      <c:pt idx="0">
                        <c:v>Industrial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0-6719-4CFC-8E6D-E0E4613AF76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2-6719-4CFC-8E6D-E0E4613AF76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4-6719-4CFC-8E6D-E0E4613AF76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6-6719-4CFC-8E6D-E0E4613AF76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8-6719-4CFC-8E6D-E0E4613AF76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A-6719-4CFC-8E6D-E0E4613AF76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C-6719-4CFC-8E6D-E0E4613AF76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'End Use Intensity - Base Ye (2)'!$B$7:$B$13</c15:sqref>
                        </c15:formulaRef>
                      </c:ext>
                    </c:extLst>
                    <c:strCache>
                      <c:ptCount val="7"/>
                      <c:pt idx="0">
                        <c:v>Space Heating</c:v>
                      </c:pt>
                      <c:pt idx="1">
                        <c:v>Ventilation</c:v>
                      </c:pt>
                      <c:pt idx="2">
                        <c:v>Interior Lighting</c:v>
                      </c:pt>
                      <c:pt idx="3">
                        <c:v>Exterior Lighting</c:v>
                      </c:pt>
                      <c:pt idx="4">
                        <c:v>Process</c:v>
                      </c:pt>
                      <c:pt idx="5">
                        <c:v>Motors</c:v>
                      </c:pt>
                      <c:pt idx="6">
                        <c:v>Miscellaneous</c:v>
                      </c:pt>
                    </c:strCache>
                  </c:strRef>
                </c:cat>
                <c:val>
                  <c:numRef>
                    <c:extLst>
                      <c:ext uri="{02D57815-91ED-43cb-92C2-25804820EDAC}">
                        <c15:formulaRef>
                          <c15:sqref>'End Use Intensity - Base Ye (2)'!$C$7:$C$13</c15:sqref>
                        </c15:formulaRef>
                      </c:ext>
                    </c:extLst>
                    <c:numCache>
                      <c:formatCode>_(* #,##0.00_);_(* \(#,##0.00\);_(* "-"??_);_(@_)</c:formatCode>
                      <c:ptCount val="7"/>
                      <c:pt idx="0">
                        <c:v>2569.9355610825323</c:v>
                      </c:pt>
                      <c:pt idx="1">
                        <c:v>1354.5072485244982</c:v>
                      </c:pt>
                      <c:pt idx="2">
                        <c:v>262.21819173048129</c:v>
                      </c:pt>
                      <c:pt idx="3">
                        <c:v>1522.5651861867946</c:v>
                      </c:pt>
                      <c:pt idx="4">
                        <c:v>2569.2384061794824</c:v>
                      </c:pt>
                      <c:pt idx="5">
                        <c:v>6227.3659926784221</c:v>
                      </c:pt>
                      <c:pt idx="6">
                        <c:v>743.1903133303158</c:v>
                      </c:pt>
                    </c:numCache>
                  </c:numRef>
                </c:val>
                <c:extLst>
                  <c:ext xmlns:c16="http://schemas.microsoft.com/office/drawing/2014/chart" uri="{C3380CC4-5D6E-409C-BE32-E72D297353CC}">
                    <c16:uniqueId val="{0000001D-6719-4CFC-8E6D-E0E4613AF76E}"/>
                  </c:ext>
                </c:extLst>
              </c15:ser>
            </c15:filteredPieSeries>
            <c15:filteredPieSeries>
              <c15:ser>
                <c:idx val="1"/>
                <c:order val="1"/>
                <c:tx>
                  <c:strRef>
                    <c:extLst xmlns:c15="http://schemas.microsoft.com/office/drawing/2012/chart">
                      <c:ext xmlns:c15="http://schemas.microsoft.com/office/drawing/2012/chart" uri="{02D57815-91ED-43cb-92C2-25804820EDAC}">
                        <c15:formulaRef>
                          <c15:sqref>'End Use Intensity - Base Ye (2)'!$D$5</c15:sqref>
                        </c15:formulaRef>
                      </c:ext>
                    </c:extLst>
                    <c:strCache>
                      <c:ptCount val="1"/>
                      <c:pt idx="0">
                        <c:v>Pumping</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1F-6719-4CFC-8E6D-E0E4613AF76E}"/>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21-6719-4CFC-8E6D-E0E4613AF76E}"/>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23-6719-4CFC-8E6D-E0E4613AF76E}"/>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5-6719-4CFC-8E6D-E0E4613AF76E}"/>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27-6719-4CFC-8E6D-E0E4613AF76E}"/>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29-6719-4CFC-8E6D-E0E4613AF76E}"/>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2B-6719-4CFC-8E6D-E0E4613AF76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'End Use Intensity - Base Ye (2)'!$B$7:$B$13</c15:sqref>
                        </c15:formulaRef>
                      </c:ext>
                    </c:extLst>
                    <c:strCache>
                      <c:ptCount val="7"/>
                      <c:pt idx="0">
                        <c:v>Space Heating</c:v>
                      </c:pt>
                      <c:pt idx="1">
                        <c:v>Ventilation</c:v>
                      </c:pt>
                      <c:pt idx="2">
                        <c:v>Interior Lighting</c:v>
                      </c:pt>
                      <c:pt idx="3">
                        <c:v>Exterior Lighting</c:v>
                      </c:pt>
                      <c:pt idx="4">
                        <c:v>Process</c:v>
                      </c:pt>
                      <c:pt idx="5">
                        <c:v>Motors</c:v>
                      </c:pt>
                      <c:pt idx="6">
                        <c:v>Miscellaneous</c:v>
                      </c:pt>
                    </c:strCache>
                  </c:strRef>
                </c:cat>
                <c:val>
                  <c:numRef>
                    <c:extLst xmlns:c15="http://schemas.microsoft.com/office/drawing/2012/chart">
                      <c:ext xmlns:c15="http://schemas.microsoft.com/office/drawing/2012/chart" uri="{02D57815-91ED-43cb-92C2-25804820EDAC}">
                        <c15:formulaRef>
                          <c15:sqref>'End Use Intensity - Base Ye (2)'!$D$7:$D$13</c15:sqref>
                        </c15:formulaRef>
                      </c:ext>
                    </c:extLst>
                    <c:numCache>
                      <c:formatCode>_(* #,##0.00_);_(* \(#,##0.00\);_(* "-"??_);_(@_)</c:formatCode>
                      <c:ptCount val="7"/>
                      <c:pt idx="0">
                        <c:v>635.26323330602565</c:v>
                      </c:pt>
                      <c:pt idx="1">
                        <c:v>334.82110106747854</c:v>
                      </c:pt>
                      <c:pt idx="2">
                        <c:v>57.241695946029175</c:v>
                      </c:pt>
                      <c:pt idx="3">
                        <c:v>332.37287188409317</c:v>
                      </c:pt>
                      <c:pt idx="4">
                        <c:v>68.293126225457755</c:v>
                      </c:pt>
                      <c:pt idx="5">
                        <c:v>2649.1865287057458</c:v>
                      </c:pt>
                      <c:pt idx="6">
                        <c:v>123.21433368098184</c:v>
                      </c:pt>
                    </c:numCache>
                  </c:numRef>
                </c:val>
                <c:extLst xmlns:c15="http://schemas.microsoft.com/office/drawing/2012/chart">
                  <c:ext xmlns:c16="http://schemas.microsoft.com/office/drawing/2014/chart" uri="{C3380CC4-5D6E-409C-BE32-E72D297353CC}">
                    <c16:uniqueId val="{0000002C-6719-4CFC-8E6D-E0E4613AF76E}"/>
                  </c:ext>
                </c:extLst>
              </c15:ser>
            </c15:filteredPieSeries>
          </c:ext>
        </c:extLst>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29250510352871"/>
          <c:y val="0.11421489965253073"/>
          <c:w val="0.61350703557888597"/>
          <c:h val="0.76499055867074428"/>
        </c:manualLayout>
      </c:layout>
      <c:areaChart>
        <c:grouping val="stacked"/>
        <c:varyColors val="0"/>
        <c:ser>
          <c:idx val="7"/>
          <c:order val="0"/>
          <c:tx>
            <c:strRef>
              <c:f>'Baseline by End Use'!$B$56</c:f>
              <c:strCache>
                <c:ptCount val="1"/>
                <c:pt idx="0">
                  <c:v> Miscellaneous </c:v>
                </c:pt>
              </c:strCache>
            </c:strRef>
          </c:tx>
          <c:spPr>
            <a:solidFill>
              <a:srgbClr val="808080"/>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Use'!$C$56:$AA$56</c:f>
              <c:numCache>
                <c:formatCode>_(* #,##0_);_(* \(#,##0\);_(* "-"??_);_(@_)</c:formatCode>
                <c:ptCount val="25"/>
                <c:pt idx="0">
                  <c:v>554.30654957143793</c:v>
                </c:pt>
                <c:pt idx="1">
                  <c:v>563.33547121607955</c:v>
                </c:pt>
                <c:pt idx="2">
                  <c:v>560.85064077286086</c:v>
                </c:pt>
                <c:pt idx="3">
                  <c:v>563.26592303244695</c:v>
                </c:pt>
                <c:pt idx="4">
                  <c:v>572.82051310798033</c:v>
                </c:pt>
                <c:pt idx="5">
                  <c:v>586.85406983317898</c:v>
                </c:pt>
                <c:pt idx="6">
                  <c:v>603.09292416119069</c:v>
                </c:pt>
                <c:pt idx="7">
                  <c:v>621.53086263247587</c:v>
                </c:pt>
                <c:pt idx="8">
                  <c:v>642.9934257797679</c:v>
                </c:pt>
                <c:pt idx="9">
                  <c:v>666.67887791700809</c:v>
                </c:pt>
                <c:pt idx="10">
                  <c:v>694.41365192704109</c:v>
                </c:pt>
                <c:pt idx="11">
                  <c:v>725.41335960185404</c:v>
                </c:pt>
                <c:pt idx="12">
                  <c:v>759.01965646961401</c:v>
                </c:pt>
                <c:pt idx="13">
                  <c:v>798.34954455127297</c:v>
                </c:pt>
                <c:pt idx="14">
                  <c:v>840.64544586018133</c:v>
                </c:pt>
                <c:pt idx="15">
                  <c:v>887.45850772596782</c:v>
                </c:pt>
                <c:pt idx="16">
                  <c:v>936.76942797885829</c:v>
                </c:pt>
                <c:pt idx="17">
                  <c:v>990.42397713501555</c:v>
                </c:pt>
                <c:pt idx="18">
                  <c:v>1044.4693229130778</c:v>
                </c:pt>
                <c:pt idx="19">
                  <c:v>1106.8533304048769</c:v>
                </c:pt>
                <c:pt idx="20">
                  <c:v>1164.9293358213681</c:v>
                </c:pt>
                <c:pt idx="21">
                  <c:v>1220.2980081870269</c:v>
                </c:pt>
                <c:pt idx="22">
                  <c:v>1278.4207934182057</c:v>
                </c:pt>
                <c:pt idx="23">
                  <c:v>1338.1044172365655</c:v>
                </c:pt>
                <c:pt idx="24">
                  <c:v>1379.3116753117504</c:v>
                </c:pt>
              </c:numCache>
              <c:extLst/>
            </c:numRef>
          </c:val>
          <c:extLst>
            <c:ext xmlns:c16="http://schemas.microsoft.com/office/drawing/2014/chart" uri="{C3380CC4-5D6E-409C-BE32-E72D297353CC}">
              <c16:uniqueId val="{00000000-50F1-468B-8779-04B6C899F31A}"/>
            </c:ext>
          </c:extLst>
        </c:ser>
        <c:ser>
          <c:idx val="6"/>
          <c:order val="1"/>
          <c:tx>
            <c:strRef>
              <c:f>'Baseline by End Use'!$B$55</c:f>
              <c:strCache>
                <c:ptCount val="1"/>
                <c:pt idx="0">
                  <c:v> Electronics </c:v>
                </c:pt>
              </c:strCache>
            </c:strRef>
          </c:tx>
          <c:spPr>
            <a:solidFill>
              <a:srgbClr val="A98AE3"/>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Use'!$C$55:$AA$55</c:f>
              <c:numCache>
                <c:formatCode>_(* #,##0_);_(* \(#,##0\);_(* "-"??_);_(@_)</c:formatCode>
                <c:ptCount val="25"/>
                <c:pt idx="0">
                  <c:v>218.84381472839189</c:v>
                </c:pt>
                <c:pt idx="1">
                  <c:v>220.82382740392563</c:v>
                </c:pt>
                <c:pt idx="2">
                  <c:v>222.48883053181973</c:v>
                </c:pt>
                <c:pt idx="3">
                  <c:v>224.36880959964256</c:v>
                </c:pt>
                <c:pt idx="4">
                  <c:v>226.75615422918432</c:v>
                </c:pt>
                <c:pt idx="5">
                  <c:v>229.34555969345081</c:v>
                </c:pt>
                <c:pt idx="6">
                  <c:v>232.07295205956015</c:v>
                </c:pt>
                <c:pt idx="7">
                  <c:v>235.13233113646339</c:v>
                </c:pt>
                <c:pt idx="8">
                  <c:v>238.46263497209114</c:v>
                </c:pt>
                <c:pt idx="9">
                  <c:v>242.01894036886338</c:v>
                </c:pt>
                <c:pt idx="10">
                  <c:v>245.76854272677963</c:v>
                </c:pt>
                <c:pt idx="11">
                  <c:v>249.68711137218537</c:v>
                </c:pt>
                <c:pt idx="12">
                  <c:v>253.75628364655117</c:v>
                </c:pt>
                <c:pt idx="13">
                  <c:v>257.96327329047392</c:v>
                </c:pt>
                <c:pt idx="14">
                  <c:v>262.29815434487699</c:v>
                </c:pt>
                <c:pt idx="15">
                  <c:v>266.75402524462856</c:v>
                </c:pt>
                <c:pt idx="16">
                  <c:v>271.32596776266246</c:v>
                </c:pt>
                <c:pt idx="17">
                  <c:v>276.01040471438444</c:v>
                </c:pt>
                <c:pt idx="18">
                  <c:v>280.80536982842642</c:v>
                </c:pt>
                <c:pt idx="19">
                  <c:v>285.70941763075638</c:v>
                </c:pt>
                <c:pt idx="20">
                  <c:v>290.72172938930697</c:v>
                </c:pt>
                <c:pt idx="21">
                  <c:v>295.84242393232972</c:v>
                </c:pt>
                <c:pt idx="22">
                  <c:v>301.07256134638538</c:v>
                </c:pt>
                <c:pt idx="23">
                  <c:v>306.41335088624425</c:v>
                </c:pt>
                <c:pt idx="24">
                  <c:v>311.86689101236777</c:v>
                </c:pt>
              </c:numCache>
              <c:extLst/>
            </c:numRef>
          </c:val>
          <c:extLst>
            <c:ext xmlns:c16="http://schemas.microsoft.com/office/drawing/2014/chart" uri="{C3380CC4-5D6E-409C-BE32-E72D297353CC}">
              <c16:uniqueId val="{00000001-50F1-468B-8779-04B6C899F31A}"/>
            </c:ext>
          </c:extLst>
        </c:ser>
        <c:ser>
          <c:idx val="5"/>
          <c:order val="2"/>
          <c:tx>
            <c:strRef>
              <c:f>'Baseline by End Use'!$B$54</c:f>
              <c:strCache>
                <c:ptCount val="1"/>
                <c:pt idx="0">
                  <c:v> Appliances </c:v>
                </c:pt>
              </c:strCache>
            </c:strRef>
          </c:tx>
          <c:spPr>
            <a:solidFill>
              <a:srgbClr val="3CD39C"/>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Use'!$C$54:$AA$54</c:f>
              <c:numCache>
                <c:formatCode>_(* #,##0_);_(* \(#,##0\);_(* "-"??_);_(@_)</c:formatCode>
                <c:ptCount val="25"/>
                <c:pt idx="0">
                  <c:v>440.28693918264207</c:v>
                </c:pt>
                <c:pt idx="1">
                  <c:v>443.23614477044345</c:v>
                </c:pt>
                <c:pt idx="2">
                  <c:v>445.55035875878559</c:v>
                </c:pt>
                <c:pt idx="3">
                  <c:v>448.43950284349836</c:v>
                </c:pt>
                <c:pt idx="4">
                  <c:v>452.14762489342684</c:v>
                </c:pt>
                <c:pt idx="5">
                  <c:v>455.65079400070368</c:v>
                </c:pt>
                <c:pt idx="6">
                  <c:v>459.02828670557943</c:v>
                </c:pt>
                <c:pt idx="7">
                  <c:v>462.64302834462632</c:v>
                </c:pt>
                <c:pt idx="8">
                  <c:v>466.25793697489337</c:v>
                </c:pt>
                <c:pt idx="9">
                  <c:v>468.73760882467059</c:v>
                </c:pt>
                <c:pt idx="10">
                  <c:v>471.5675151910167</c:v>
                </c:pt>
                <c:pt idx="11">
                  <c:v>474.75784604234559</c:v>
                </c:pt>
                <c:pt idx="12">
                  <c:v>478.12755780098541</c:v>
                </c:pt>
                <c:pt idx="13">
                  <c:v>481.77286018659851</c:v>
                </c:pt>
                <c:pt idx="14">
                  <c:v>485.67361517891294</c:v>
                </c:pt>
                <c:pt idx="15">
                  <c:v>489.87471340947013</c:v>
                </c:pt>
                <c:pt idx="16">
                  <c:v>494.34358751745702</c:v>
                </c:pt>
                <c:pt idx="17">
                  <c:v>498.6064094889399</c:v>
                </c:pt>
                <c:pt idx="18">
                  <c:v>502.52657710897211</c:v>
                </c:pt>
                <c:pt idx="19">
                  <c:v>506.67351100848038</c:v>
                </c:pt>
                <c:pt idx="20">
                  <c:v>511.02411019685934</c:v>
                </c:pt>
                <c:pt idx="21">
                  <c:v>515.45914018258361</c:v>
                </c:pt>
                <c:pt idx="22">
                  <c:v>520.35313027707741</c:v>
                </c:pt>
                <c:pt idx="23">
                  <c:v>525.4703522097534</c:v>
                </c:pt>
                <c:pt idx="24">
                  <c:v>530.85271427030705</c:v>
                </c:pt>
              </c:numCache>
              <c:extLst/>
            </c:numRef>
          </c:val>
          <c:extLst>
            <c:ext xmlns:c16="http://schemas.microsoft.com/office/drawing/2014/chart" uri="{C3380CC4-5D6E-409C-BE32-E72D297353CC}">
              <c16:uniqueId val="{00000002-50F1-468B-8779-04B6C899F31A}"/>
            </c:ext>
          </c:extLst>
        </c:ser>
        <c:ser>
          <c:idx val="4"/>
          <c:order val="3"/>
          <c:tx>
            <c:strRef>
              <c:f>'Baseline by End Use'!$B$53</c:f>
              <c:strCache>
                <c:ptCount val="1"/>
                <c:pt idx="0">
                  <c:v> Exterior Lighting </c:v>
                </c:pt>
              </c:strCache>
            </c:strRef>
          </c:tx>
          <c:spPr>
            <a:solidFill>
              <a:srgbClr val="BFA300"/>
            </a:solidFill>
            <a:ln>
              <a:noFill/>
            </a:ln>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Use'!$C$53:$AA$53</c:f>
              <c:numCache>
                <c:formatCode>_(* #,##0_);_(* \(#,##0\);_(* "-"??_);_(@_)</c:formatCode>
                <c:ptCount val="25"/>
                <c:pt idx="0">
                  <c:v>48.399647712746805</c:v>
                </c:pt>
                <c:pt idx="1">
                  <c:v>20.694126291763904</c:v>
                </c:pt>
                <c:pt idx="2">
                  <c:v>20.975815333774843</c:v>
                </c:pt>
                <c:pt idx="3">
                  <c:v>20.267640539946392</c:v>
                </c:pt>
                <c:pt idx="4">
                  <c:v>19.765046669415767</c:v>
                </c:pt>
                <c:pt idx="5">
                  <c:v>19.318433186987335</c:v>
                </c:pt>
                <c:pt idx="6">
                  <c:v>18.264904990205853</c:v>
                </c:pt>
                <c:pt idx="7">
                  <c:v>18.3451473007737</c:v>
                </c:pt>
                <c:pt idx="8">
                  <c:v>18.420250279947787</c:v>
                </c:pt>
                <c:pt idx="9">
                  <c:v>18.505719889692326</c:v>
                </c:pt>
                <c:pt idx="10">
                  <c:v>18.213387490501198</c:v>
                </c:pt>
                <c:pt idx="11">
                  <c:v>17.971282974279518</c:v>
                </c:pt>
                <c:pt idx="12">
                  <c:v>17.774422426013327</c:v>
                </c:pt>
                <c:pt idx="13">
                  <c:v>17.646964570391464</c:v>
                </c:pt>
                <c:pt idx="14">
                  <c:v>17.398054877452527</c:v>
                </c:pt>
                <c:pt idx="15">
                  <c:v>17.158497891405872</c:v>
                </c:pt>
                <c:pt idx="16">
                  <c:v>16.980249203808182</c:v>
                </c:pt>
                <c:pt idx="17">
                  <c:v>16.840218039230894</c:v>
                </c:pt>
                <c:pt idx="18">
                  <c:v>16.698016043385728</c:v>
                </c:pt>
                <c:pt idx="19">
                  <c:v>15.213554022454108</c:v>
                </c:pt>
                <c:pt idx="20">
                  <c:v>15.272618989005853</c:v>
                </c:pt>
                <c:pt idx="21">
                  <c:v>15.203721455300984</c:v>
                </c:pt>
                <c:pt idx="22">
                  <c:v>15.243960004738419</c:v>
                </c:pt>
                <c:pt idx="23">
                  <c:v>15.306647698603872</c:v>
                </c:pt>
                <c:pt idx="24">
                  <c:v>15.220054176953559</c:v>
                </c:pt>
              </c:numCache>
              <c:extLst/>
            </c:numRef>
          </c:val>
          <c:extLst>
            <c:ext xmlns:c16="http://schemas.microsoft.com/office/drawing/2014/chart" uri="{C3380CC4-5D6E-409C-BE32-E72D297353CC}">
              <c16:uniqueId val="{00000003-50F1-468B-8779-04B6C899F31A}"/>
            </c:ext>
          </c:extLst>
        </c:ser>
        <c:ser>
          <c:idx val="3"/>
          <c:order val="4"/>
          <c:tx>
            <c:strRef>
              <c:f>'Baseline by End Use'!$B$52</c:f>
              <c:strCache>
                <c:ptCount val="1"/>
                <c:pt idx="0">
                  <c:v> Interior Lighting </c:v>
                </c:pt>
              </c:strCache>
            </c:strRef>
          </c:tx>
          <c:spPr>
            <a:solidFill>
              <a:srgbClr val="FFE866"/>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Use'!$C$52:$AA$52</c:f>
              <c:numCache>
                <c:formatCode>_(* #,##0_);_(* \(#,##0\);_(* "-"??_);_(@_)</c:formatCode>
                <c:ptCount val="25"/>
                <c:pt idx="0">
                  <c:v>193.47976486314576</c:v>
                </c:pt>
                <c:pt idx="1">
                  <c:v>183.02757824677903</c:v>
                </c:pt>
                <c:pt idx="2">
                  <c:v>173.3464663507329</c:v>
                </c:pt>
                <c:pt idx="3">
                  <c:v>164.23284634678311</c:v>
                </c:pt>
                <c:pt idx="4">
                  <c:v>154.83502255852073</c:v>
                </c:pt>
                <c:pt idx="5">
                  <c:v>146.60974825114678</c:v>
                </c:pt>
                <c:pt idx="6">
                  <c:v>138.41552687592375</c:v>
                </c:pt>
                <c:pt idx="7">
                  <c:v>131.29901746548194</c:v>
                </c:pt>
                <c:pt idx="8">
                  <c:v>125.39396284844295</c:v>
                </c:pt>
                <c:pt idx="9">
                  <c:v>120.18605727143174</c:v>
                </c:pt>
                <c:pt idx="10">
                  <c:v>115.84767043757569</c:v>
                </c:pt>
                <c:pt idx="11">
                  <c:v>112.37769832606082</c:v>
                </c:pt>
                <c:pt idx="12">
                  <c:v>109.84492606681435</c:v>
                </c:pt>
                <c:pt idx="13">
                  <c:v>108.06547001202571</c:v>
                </c:pt>
                <c:pt idx="14">
                  <c:v>106.21559665894418</c:v>
                </c:pt>
                <c:pt idx="15">
                  <c:v>104.57191306227361</c:v>
                </c:pt>
                <c:pt idx="16">
                  <c:v>103.38387384013981</c:v>
                </c:pt>
                <c:pt idx="17">
                  <c:v>102.47824203241352</c:v>
                </c:pt>
                <c:pt idx="18">
                  <c:v>101.6253891288723</c:v>
                </c:pt>
                <c:pt idx="19">
                  <c:v>100.87533950237115</c:v>
                </c:pt>
                <c:pt idx="20">
                  <c:v>100.20823200164153</c:v>
                </c:pt>
                <c:pt idx="21">
                  <c:v>99.37697651689551</c:v>
                </c:pt>
                <c:pt idx="22">
                  <c:v>99.229711502644022</c:v>
                </c:pt>
                <c:pt idx="23">
                  <c:v>99.268878143359615</c:v>
                </c:pt>
                <c:pt idx="24">
                  <c:v>98.488502460079502</c:v>
                </c:pt>
              </c:numCache>
              <c:extLst/>
            </c:numRef>
          </c:val>
          <c:extLst>
            <c:ext xmlns:c16="http://schemas.microsoft.com/office/drawing/2014/chart" uri="{C3380CC4-5D6E-409C-BE32-E72D297353CC}">
              <c16:uniqueId val="{00000004-50F1-468B-8779-04B6C899F31A}"/>
            </c:ext>
          </c:extLst>
        </c:ser>
        <c:ser>
          <c:idx val="2"/>
          <c:order val="5"/>
          <c:tx>
            <c:strRef>
              <c:f>'Baseline by End Use'!$B$51</c:f>
              <c:strCache>
                <c:ptCount val="1"/>
                <c:pt idx="0">
                  <c:v> Water Heating </c:v>
                </c:pt>
              </c:strCache>
            </c:strRef>
          </c:tx>
          <c:spPr>
            <a:solidFill>
              <a:srgbClr val="FFA35B"/>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Use'!$C$51:$AA$51</c:f>
              <c:numCache>
                <c:formatCode>_(* #,##0_);_(* \(#,##0\);_(* "-"??_);_(@_)</c:formatCode>
                <c:ptCount val="25"/>
                <c:pt idx="0">
                  <c:v>294.49577354383968</c:v>
                </c:pt>
                <c:pt idx="1">
                  <c:v>326.77462481562418</c:v>
                </c:pt>
                <c:pt idx="2">
                  <c:v>350.7157220738423</c:v>
                </c:pt>
                <c:pt idx="3">
                  <c:v>349.62908660705858</c:v>
                </c:pt>
                <c:pt idx="4">
                  <c:v>367.42235014250247</c:v>
                </c:pt>
                <c:pt idx="5">
                  <c:v>371.48051019668827</c:v>
                </c:pt>
                <c:pt idx="6">
                  <c:v>375.30921057715369</c:v>
                </c:pt>
                <c:pt idx="7">
                  <c:v>379.22574963991764</c:v>
                </c:pt>
                <c:pt idx="8">
                  <c:v>383.2442017819921</c:v>
                </c:pt>
                <c:pt idx="9">
                  <c:v>374.48301134427504</c:v>
                </c:pt>
                <c:pt idx="10">
                  <c:v>365.54969205500674</c:v>
                </c:pt>
                <c:pt idx="11">
                  <c:v>356.50653960480287</c:v>
                </c:pt>
                <c:pt idx="12">
                  <c:v>348.57023420759072</c:v>
                </c:pt>
                <c:pt idx="13">
                  <c:v>341.42354707281783</c:v>
                </c:pt>
                <c:pt idx="14">
                  <c:v>334.81263307169149</c:v>
                </c:pt>
                <c:pt idx="15">
                  <c:v>328.54191105684004</c:v>
                </c:pt>
                <c:pt idx="16">
                  <c:v>322.46994292377775</c:v>
                </c:pt>
                <c:pt idx="17">
                  <c:v>316.493598461293</c:v>
                </c:pt>
                <c:pt idx="18">
                  <c:v>310.53623245673828</c:v>
                </c:pt>
                <c:pt idx="19">
                  <c:v>302.6068003814791</c:v>
                </c:pt>
                <c:pt idx="20">
                  <c:v>296.34564397122125</c:v>
                </c:pt>
                <c:pt idx="21">
                  <c:v>291.55458703232421</c:v>
                </c:pt>
                <c:pt idx="22">
                  <c:v>288.07314010598321</c:v>
                </c:pt>
                <c:pt idx="23">
                  <c:v>285.77327761416933</c:v>
                </c:pt>
                <c:pt idx="24">
                  <c:v>284.53008123709373</c:v>
                </c:pt>
              </c:numCache>
              <c:extLst/>
            </c:numRef>
          </c:val>
          <c:extLst>
            <c:ext xmlns:c16="http://schemas.microsoft.com/office/drawing/2014/chart" uri="{C3380CC4-5D6E-409C-BE32-E72D297353CC}">
              <c16:uniqueId val="{00000005-50F1-468B-8779-04B6C899F31A}"/>
            </c:ext>
          </c:extLst>
        </c:ser>
        <c:ser>
          <c:idx val="1"/>
          <c:order val="6"/>
          <c:tx>
            <c:strRef>
              <c:f>'Baseline by End Use'!$B$50</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Use'!$C$50:$AA$50</c:f>
              <c:numCache>
                <c:formatCode>_(* #,##0_);_(* \(#,##0\);_(* "-"??_);_(@_)</c:formatCode>
                <c:ptCount val="25"/>
                <c:pt idx="0">
                  <c:v>753.46850280588205</c:v>
                </c:pt>
                <c:pt idx="1">
                  <c:v>811.59223540744983</c:v>
                </c:pt>
                <c:pt idx="2">
                  <c:v>788.49788006934034</c:v>
                </c:pt>
                <c:pt idx="3">
                  <c:v>827.70062134546868</c:v>
                </c:pt>
                <c:pt idx="4">
                  <c:v>861.39191731526785</c:v>
                </c:pt>
                <c:pt idx="5">
                  <c:v>862.70727162069863</c:v>
                </c:pt>
                <c:pt idx="6">
                  <c:v>861.84422807119438</c:v>
                </c:pt>
                <c:pt idx="7">
                  <c:v>856.56136092823431</c:v>
                </c:pt>
                <c:pt idx="8">
                  <c:v>861.537295216095</c:v>
                </c:pt>
                <c:pt idx="9">
                  <c:v>869.35773075365273</c:v>
                </c:pt>
                <c:pt idx="10">
                  <c:v>871.4336411501672</c:v>
                </c:pt>
                <c:pt idx="11">
                  <c:v>880.81804568380073</c:v>
                </c:pt>
                <c:pt idx="12">
                  <c:v>888.57248737315274</c:v>
                </c:pt>
                <c:pt idx="13">
                  <c:v>904.69966800958025</c:v>
                </c:pt>
                <c:pt idx="14">
                  <c:v>919.46595537062785</c:v>
                </c:pt>
                <c:pt idx="15">
                  <c:v>930.95631690104028</c:v>
                </c:pt>
                <c:pt idx="16">
                  <c:v>937.52604143157646</c:v>
                </c:pt>
                <c:pt idx="17">
                  <c:v>948.29095199778317</c:v>
                </c:pt>
                <c:pt idx="18">
                  <c:v>947.76774096899021</c:v>
                </c:pt>
                <c:pt idx="19">
                  <c:v>961.3481641144275</c:v>
                </c:pt>
                <c:pt idx="20">
                  <c:v>968.28061674818355</c:v>
                </c:pt>
                <c:pt idx="21">
                  <c:v>958.89905206850699</c:v>
                </c:pt>
                <c:pt idx="22">
                  <c:v>965.91728888521266</c:v>
                </c:pt>
                <c:pt idx="23">
                  <c:v>972.23443967221147</c:v>
                </c:pt>
                <c:pt idx="24">
                  <c:v>948.10558943268632</c:v>
                </c:pt>
              </c:numCache>
              <c:extLst/>
            </c:numRef>
          </c:val>
          <c:extLst>
            <c:ext xmlns:c16="http://schemas.microsoft.com/office/drawing/2014/chart" uri="{C3380CC4-5D6E-409C-BE32-E72D297353CC}">
              <c16:uniqueId val="{00000006-50F1-468B-8779-04B6C899F31A}"/>
            </c:ext>
          </c:extLst>
        </c:ser>
        <c:ser>
          <c:idx val="0"/>
          <c:order val="7"/>
          <c:tx>
            <c:strRef>
              <c:f>'Baseline by End Use'!$B$49</c:f>
              <c:strCache>
                <c:ptCount val="1"/>
                <c:pt idx="0">
                  <c:v> Cooling </c:v>
                </c:pt>
              </c:strCache>
            </c:strRef>
          </c:tx>
          <c:spPr>
            <a:solidFill>
              <a:srgbClr val="00B3FF"/>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Use'!$C$49:$AA$49</c:f>
              <c:numCache>
                <c:formatCode>_(* #,##0_);_(* \(#,##0\);_(* "-"??_);_(@_)</c:formatCode>
                <c:ptCount val="25"/>
                <c:pt idx="0">
                  <c:v>177.72349366183641</c:v>
                </c:pt>
                <c:pt idx="1">
                  <c:v>197.2943968798418</c:v>
                </c:pt>
                <c:pt idx="2">
                  <c:v>200.32494992777694</c:v>
                </c:pt>
                <c:pt idx="3">
                  <c:v>174.08407186749227</c:v>
                </c:pt>
                <c:pt idx="4">
                  <c:v>177.79386944876632</c:v>
                </c:pt>
                <c:pt idx="5">
                  <c:v>177.59694905156439</c:v>
                </c:pt>
                <c:pt idx="6">
                  <c:v>177.07834502193759</c:v>
                </c:pt>
                <c:pt idx="7">
                  <c:v>176.91939738045878</c:v>
                </c:pt>
                <c:pt idx="8">
                  <c:v>176.57920439654453</c:v>
                </c:pt>
                <c:pt idx="9">
                  <c:v>178.04033166151672</c:v>
                </c:pt>
                <c:pt idx="10">
                  <c:v>178.41189084707614</c:v>
                </c:pt>
                <c:pt idx="11">
                  <c:v>178.91622245506736</c:v>
                </c:pt>
                <c:pt idx="12">
                  <c:v>179.10058920119457</c:v>
                </c:pt>
                <c:pt idx="13">
                  <c:v>180.8359198005987</c:v>
                </c:pt>
                <c:pt idx="14">
                  <c:v>181.96408584760533</c:v>
                </c:pt>
                <c:pt idx="15">
                  <c:v>183.50439822978791</c:v>
                </c:pt>
                <c:pt idx="16">
                  <c:v>183.60785116779243</c:v>
                </c:pt>
                <c:pt idx="17">
                  <c:v>186.54366343548543</c:v>
                </c:pt>
                <c:pt idx="18">
                  <c:v>188.140291544821</c:v>
                </c:pt>
                <c:pt idx="19">
                  <c:v>190.41864398890527</c:v>
                </c:pt>
                <c:pt idx="20">
                  <c:v>190.77326113731513</c:v>
                </c:pt>
                <c:pt idx="21">
                  <c:v>190.27227115729559</c:v>
                </c:pt>
                <c:pt idx="22">
                  <c:v>190.57747534365595</c:v>
                </c:pt>
                <c:pt idx="23">
                  <c:v>191.64110755141161</c:v>
                </c:pt>
                <c:pt idx="24">
                  <c:v>188.28157494478339</c:v>
                </c:pt>
              </c:numCache>
              <c:extLst/>
            </c:numRef>
          </c:val>
          <c:extLst>
            <c:ext xmlns:c16="http://schemas.microsoft.com/office/drawing/2014/chart" uri="{C3380CC4-5D6E-409C-BE32-E72D297353CC}">
              <c16:uniqueId val="{00000007-50F1-468B-8779-04B6C899F31A}"/>
            </c:ext>
          </c:extLst>
        </c:ser>
        <c:ser>
          <c:idx val="8"/>
          <c:order val="8"/>
          <c:tx>
            <c:strRef>
              <c:f>'Baseline by End Use'!$B$57</c:f>
              <c:strCache>
                <c:ptCount val="1"/>
                <c:pt idx="0">
                  <c:v> Generation </c:v>
                </c:pt>
              </c:strCache>
              <c:extLst xmlns:c15="http://schemas.microsoft.com/office/drawing/2012/chart"/>
            </c:strRef>
          </c:tx>
          <c:spPr>
            <a:pattFill prst="dkDnDiag">
              <a:fgClr>
                <a:srgbClr val="7F7F7F"/>
              </a:fgClr>
              <a:bgClr>
                <a:schemeClr val="bg1"/>
              </a:bgClr>
            </a:pattFill>
            <a:ln w="12700">
              <a:solidFill>
                <a:srgbClr val="F6F6F7"/>
              </a:solidFill>
            </a:ln>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Use'!$C$57:$AA$57</c:f>
              <c:numCache>
                <c:formatCode>_(* #,##0_);_(* \(#,##0\);_(* "-"??_);_(@_)</c:formatCode>
                <c:ptCount val="25"/>
                <c:pt idx="0">
                  <c:v>-9.7952567999999971</c:v>
                </c:pt>
                <c:pt idx="1">
                  <c:v>-13.748408033358736</c:v>
                </c:pt>
                <c:pt idx="2">
                  <c:v>-28.93610594711928</c:v>
                </c:pt>
                <c:pt idx="3">
                  <c:v>-35.85517388691018</c:v>
                </c:pt>
                <c:pt idx="4">
                  <c:v>-42.914575600021244</c:v>
                </c:pt>
                <c:pt idx="5">
                  <c:v>-51.512037802218607</c:v>
                </c:pt>
                <c:pt idx="6">
                  <c:v>-61.400370439181025</c:v>
                </c:pt>
                <c:pt idx="7">
                  <c:v>-71.778244992409853</c:v>
                </c:pt>
                <c:pt idx="8">
                  <c:v>-77.783200890158497</c:v>
                </c:pt>
                <c:pt idx="9">
                  <c:v>-82.570280884009193</c:v>
                </c:pt>
                <c:pt idx="10">
                  <c:v>-83.565054561817192</c:v>
                </c:pt>
                <c:pt idx="11">
                  <c:v>-84.951503722741194</c:v>
                </c:pt>
                <c:pt idx="12">
                  <c:v>-84.791844355969246</c:v>
                </c:pt>
                <c:pt idx="13">
                  <c:v>-85.155082668477647</c:v>
                </c:pt>
                <c:pt idx="14">
                  <c:v>-85.381780244079948</c:v>
                </c:pt>
                <c:pt idx="15">
                  <c:v>-85.880012698088464</c:v>
                </c:pt>
                <c:pt idx="16">
                  <c:v>-85.738575719237076</c:v>
                </c:pt>
                <c:pt idx="17">
                  <c:v>-85.944688828515112</c:v>
                </c:pt>
                <c:pt idx="18">
                  <c:v>-86.135965375553226</c:v>
                </c:pt>
                <c:pt idx="19">
                  <c:v>-86.623267799907723</c:v>
                </c:pt>
                <c:pt idx="20">
                  <c:v>-86.500923132065168</c:v>
                </c:pt>
                <c:pt idx="21">
                  <c:v>-86.656181936216967</c:v>
                </c:pt>
                <c:pt idx="22">
                  <c:v>-86.981470200258784</c:v>
                </c:pt>
                <c:pt idx="23">
                  <c:v>-87.431815588062733</c:v>
                </c:pt>
                <c:pt idx="24">
                  <c:v>-87.274946367678837</c:v>
                </c:pt>
              </c:numCache>
              <c:extLst/>
            </c:numRef>
          </c:val>
          <c:extLst xmlns:c15="http://schemas.microsoft.com/office/drawing/2012/chart">
            <c:ext xmlns:c16="http://schemas.microsoft.com/office/drawing/2014/chart" uri="{C3380CC4-5D6E-409C-BE32-E72D297353CC}">
              <c16:uniqueId val="{00000008-50F1-468B-8779-04B6C899F31A}"/>
            </c:ext>
          </c:extLst>
        </c:ser>
        <c:dLbls>
          <c:showLegendKey val="0"/>
          <c:showVal val="0"/>
          <c:showCatName val="0"/>
          <c:showSerName val="0"/>
          <c:showPercent val="0"/>
          <c:showBubbleSize val="0"/>
        </c:dLbls>
        <c:axId val="1916660864"/>
        <c:axId val="1916649632"/>
        <c:extLst/>
      </c:areaChart>
      <c:catAx>
        <c:axId val="191666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49632"/>
        <c:crosses val="autoZero"/>
        <c:auto val="1"/>
        <c:lblAlgn val="ctr"/>
        <c:lblOffset val="100"/>
        <c:tickLblSkip val="3"/>
        <c:noMultiLvlLbl val="0"/>
      </c:catAx>
      <c:valAx>
        <c:axId val="191664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60864"/>
        <c:crosses val="autoZero"/>
        <c:crossBetween val="between"/>
      </c:valAx>
      <c:spPr>
        <a:noFill/>
        <a:ln>
          <a:noFill/>
        </a:ln>
        <a:effectLst/>
      </c:spPr>
    </c:plotArea>
    <c:legend>
      <c:legendPos val="r"/>
      <c:layout>
        <c:manualLayout>
          <c:xMode val="edge"/>
          <c:yMode val="edge"/>
          <c:x val="0.77580628677949703"/>
          <c:y val="0.15937540754942062"/>
          <c:w val="0.22255186776784669"/>
          <c:h val="0.701378236976789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68380976669415"/>
          <c:y val="7.622676364455043E-2"/>
          <c:w val="0.54760942331601259"/>
          <c:h val="0.80518269829667466"/>
        </c:manualLayout>
      </c:layout>
      <c:barChart>
        <c:barDir val="col"/>
        <c:grouping val="stacked"/>
        <c:varyColors val="0"/>
        <c:ser>
          <c:idx val="8"/>
          <c:order val="0"/>
          <c:tx>
            <c:strRef>
              <c:f>'Baseline by End Use'!$L$12</c:f>
              <c:strCache>
                <c:ptCount val="1"/>
                <c:pt idx="0">
                  <c:v> Generation </c:v>
                </c:pt>
              </c:strCache>
            </c:strRef>
          </c:tx>
          <c:spPr>
            <a:pattFill prst="dkDnDiag">
              <a:fgClr>
                <a:schemeClr val="tx1"/>
              </a:fgClr>
              <a:bgClr>
                <a:schemeClr val="bg1"/>
              </a:bgClr>
            </a:patt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Use'!$M$12:$R$12</c:f>
              <c:numCache>
                <c:formatCode>_(* #,##0_);_(* \(#,##0\);_(* "-"??_);_(@_)</c:formatCode>
                <c:ptCount val="6"/>
                <c:pt idx="0">
                  <c:v>-41.769734331696426</c:v>
                </c:pt>
                <c:pt idx="1">
                  <c:v>-120.56709004388259</c:v>
                </c:pt>
                <c:pt idx="2">
                  <c:v>-174.26586050361578</c:v>
                </c:pt>
                <c:pt idx="3">
                  <c:v>-314.79765002002028</c:v>
                </c:pt>
                <c:pt idx="4">
                  <c:v>-291.5792365988292</c:v>
                </c:pt>
                <c:pt idx="5">
                  <c:v>-276.03794010718366</c:v>
                </c:pt>
              </c:numCache>
            </c:numRef>
          </c:val>
          <c:extLst>
            <c:ext xmlns:c16="http://schemas.microsoft.com/office/drawing/2014/chart" uri="{C3380CC4-5D6E-409C-BE32-E72D297353CC}">
              <c16:uniqueId val="{00000000-53D4-4F10-966C-4036957822A6}"/>
            </c:ext>
          </c:extLst>
        </c:ser>
        <c:ser>
          <c:idx val="7"/>
          <c:order val="1"/>
          <c:tx>
            <c:strRef>
              <c:f>'Baseline by End Use'!$L$11</c:f>
              <c:strCache>
                <c:ptCount val="1"/>
                <c:pt idx="0">
                  <c:v> Miscellaneous </c:v>
                </c:pt>
              </c:strCache>
            </c:strRef>
          </c:tx>
          <c:spPr>
            <a:solidFill>
              <a:srgbClr val="80808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Use'!$M$11:$R$11</c:f>
              <c:numCache>
                <c:formatCode>_(* #,##0_);_(* \(#,##0\);_(* "-"??_);_(@_)</c:formatCode>
                <c:ptCount val="6"/>
                <c:pt idx="0">
                  <c:v>2363.7192762438131</c:v>
                </c:pt>
                <c:pt idx="1">
                  <c:v>2336.8773196644538</c:v>
                </c:pt>
                <c:pt idx="2">
                  <c:v>2326.0875410086896</c:v>
                </c:pt>
                <c:pt idx="3">
                  <c:v>2541.7007407431738</c:v>
                </c:pt>
                <c:pt idx="4">
                  <c:v>3725.7362519711996</c:v>
                </c:pt>
                <c:pt idx="5">
                  <c:v>4362.5618744561862</c:v>
                </c:pt>
              </c:numCache>
            </c:numRef>
          </c:val>
          <c:extLst>
            <c:ext xmlns:c16="http://schemas.microsoft.com/office/drawing/2014/chart" uri="{C3380CC4-5D6E-409C-BE32-E72D297353CC}">
              <c16:uniqueId val="{00000001-53D4-4F10-966C-4036957822A6}"/>
            </c:ext>
          </c:extLst>
        </c:ser>
        <c:ser>
          <c:idx val="6"/>
          <c:order val="2"/>
          <c:tx>
            <c:strRef>
              <c:f>'Baseline by End Use'!$L$10</c:f>
              <c:strCache>
                <c:ptCount val="1"/>
                <c:pt idx="0">
                  <c:v> Electronics </c:v>
                </c:pt>
              </c:strCache>
            </c:strRef>
          </c:tx>
          <c:spPr>
            <a:solidFill>
              <a:srgbClr val="A98AE3"/>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Use'!$M$10:$R$10</c:f>
              <c:numCache>
                <c:formatCode>_(* #,##0_);_(* \(#,##0\);_(* "-"??_);_(@_)</c:formatCode>
                <c:ptCount val="6"/>
                <c:pt idx="0">
                  <c:v>933.21167458722732</c:v>
                </c:pt>
                <c:pt idx="1">
                  <c:v>927.03665494971608</c:v>
                </c:pt>
                <c:pt idx="2">
                  <c:v>920.8026827421279</c:v>
                </c:pt>
                <c:pt idx="3">
                  <c:v>922.69267916718695</c:v>
                </c:pt>
                <c:pt idx="4">
                  <c:v>961.71543740769334</c:v>
                </c:pt>
                <c:pt idx="5">
                  <c:v>986.389539788555</c:v>
                </c:pt>
              </c:numCache>
            </c:numRef>
          </c:val>
          <c:extLst>
            <c:ext xmlns:c16="http://schemas.microsoft.com/office/drawing/2014/chart" uri="{C3380CC4-5D6E-409C-BE32-E72D297353CC}">
              <c16:uniqueId val="{00000002-53D4-4F10-966C-4036957822A6}"/>
            </c:ext>
          </c:extLst>
        </c:ser>
        <c:ser>
          <c:idx val="5"/>
          <c:order val="3"/>
          <c:tx>
            <c:strRef>
              <c:f>'Baseline by End Use'!$L$9</c:f>
              <c:strCache>
                <c:ptCount val="1"/>
                <c:pt idx="0">
                  <c:v> Appliances </c:v>
                </c:pt>
              </c:strCache>
            </c:strRef>
          </c:tx>
          <c:spPr>
            <a:solidFill>
              <a:srgbClr val="3CD39C"/>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Use'!$M$9:$R$9</c:f>
              <c:numCache>
                <c:formatCode>_(* #,##0_);_(* \(#,##0\);_(* "-"??_);_(@_)</c:formatCode>
                <c:ptCount val="6"/>
                <c:pt idx="0">
                  <c:v>1877.5075380744224</c:v>
                </c:pt>
                <c:pt idx="1">
                  <c:v>1856.459549938254</c:v>
                </c:pt>
                <c:pt idx="2">
                  <c:v>1836.0637108730982</c:v>
                </c:pt>
                <c:pt idx="3">
                  <c:v>1787.0533581118802</c:v>
                </c:pt>
                <c:pt idx="4">
                  <c:v>1705.4941391261918</c:v>
                </c:pt>
                <c:pt idx="5">
                  <c:v>1679.0097942901796</c:v>
                </c:pt>
              </c:numCache>
            </c:numRef>
          </c:val>
          <c:extLst>
            <c:ext xmlns:c16="http://schemas.microsoft.com/office/drawing/2014/chart" uri="{C3380CC4-5D6E-409C-BE32-E72D297353CC}">
              <c16:uniqueId val="{00000003-53D4-4F10-966C-4036957822A6}"/>
            </c:ext>
          </c:extLst>
        </c:ser>
        <c:ser>
          <c:idx val="4"/>
          <c:order val="4"/>
          <c:tx>
            <c:strRef>
              <c:f>'Baseline by End Use'!$L$8</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Use'!$M$8:$R$8</c:f>
              <c:numCache>
                <c:formatCode>_(* #,##0_);_(* \(#,##0\);_(* "-"??_);_(@_)</c:formatCode>
                <c:ptCount val="6"/>
                <c:pt idx="0">
                  <c:v>206.38973209044741</c:v>
                </c:pt>
                <c:pt idx="1">
                  <c:v>87.39921745907408</c:v>
                </c:pt>
                <c:pt idx="2">
                  <c:v>80.261142457579354</c:v>
                </c:pt>
                <c:pt idx="3">
                  <c:v>70.552710622207499</c:v>
                </c:pt>
                <c:pt idx="4">
                  <c:v>51.209756691110904</c:v>
                </c:pt>
                <c:pt idx="5">
                  <c:v>48.138813922914068</c:v>
                </c:pt>
              </c:numCache>
            </c:numRef>
          </c:val>
          <c:extLst>
            <c:ext xmlns:c16="http://schemas.microsoft.com/office/drawing/2014/chart" uri="{C3380CC4-5D6E-409C-BE32-E72D297353CC}">
              <c16:uniqueId val="{00000004-53D4-4F10-966C-4036957822A6}"/>
            </c:ext>
          </c:extLst>
        </c:ser>
        <c:ser>
          <c:idx val="3"/>
          <c:order val="5"/>
          <c:tx>
            <c:strRef>
              <c:f>'Baseline by End Use'!$L$7</c:f>
              <c:strCache>
                <c:ptCount val="1"/>
                <c:pt idx="0">
                  <c:v> Interior Lighting </c:v>
                </c:pt>
              </c:strCache>
            </c:strRef>
          </c:tx>
          <c:spPr>
            <a:solidFill>
              <a:srgbClr val="FFE866"/>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Use'!$M$7:$R$7</c:f>
              <c:numCache>
                <c:formatCode>_(* #,##0_);_(* \(#,##0\);_(* "-"??_);_(@_)</c:formatCode>
                <c:ptCount val="6"/>
                <c:pt idx="0">
                  <c:v>825.05222087619939</c:v>
                </c:pt>
                <c:pt idx="1">
                  <c:v>722.27683488207413</c:v>
                </c:pt>
                <c:pt idx="2">
                  <c:v>628.74811331570106</c:v>
                </c:pt>
                <c:pt idx="3">
                  <c:v>458.20709326841319</c:v>
                </c:pt>
                <c:pt idx="4">
                  <c:v>339.55258478231218</c:v>
                </c:pt>
                <c:pt idx="5">
                  <c:v>311.50478430302229</c:v>
                </c:pt>
              </c:numCache>
            </c:numRef>
          </c:val>
          <c:extLst>
            <c:ext xmlns:c16="http://schemas.microsoft.com/office/drawing/2014/chart" uri="{C3380CC4-5D6E-409C-BE32-E72D297353CC}">
              <c16:uniqueId val="{00000005-53D4-4F10-966C-4036957822A6}"/>
            </c:ext>
          </c:extLst>
        </c:ser>
        <c:ser>
          <c:idx val="2"/>
          <c:order val="6"/>
          <c:tx>
            <c:strRef>
              <c:f>'Baseline by End Use'!$L$6</c:f>
              <c:strCache>
                <c:ptCount val="1"/>
                <c:pt idx="0">
                  <c:v> Water Heating </c:v>
                </c:pt>
              </c:strCache>
            </c:strRef>
          </c:tx>
          <c:spPr>
            <a:solidFill>
              <a:srgbClr val="FFA35B"/>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Use'!$M$6:$R$6</c:f>
              <c:numCache>
                <c:formatCode>_(* #,##0_);_(* \(#,##0\);_(* "-"??_);_(@_)</c:formatCode>
                <c:ptCount val="6"/>
                <c:pt idx="0">
                  <c:v>1255.8129382308405</c:v>
                </c:pt>
                <c:pt idx="1">
                  <c:v>1461.3152896370248</c:v>
                </c:pt>
                <c:pt idx="2">
                  <c:v>1492.0145689571336</c:v>
                </c:pt>
                <c:pt idx="3">
                  <c:v>1427.7094698175915</c:v>
                </c:pt>
                <c:pt idx="4">
                  <c:v>1018.5930649563876</c:v>
                </c:pt>
                <c:pt idx="5">
                  <c:v>899.92719322144069</c:v>
                </c:pt>
              </c:numCache>
            </c:numRef>
          </c:val>
          <c:extLst>
            <c:ext xmlns:c16="http://schemas.microsoft.com/office/drawing/2014/chart" uri="{C3380CC4-5D6E-409C-BE32-E72D297353CC}">
              <c16:uniqueId val="{00000006-53D4-4F10-966C-4036957822A6}"/>
            </c:ext>
          </c:extLst>
        </c:ser>
        <c:ser>
          <c:idx val="1"/>
          <c:order val="7"/>
          <c:tx>
            <c:strRef>
              <c:f>'Baseline by End Use'!$L$5</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Use'!$M$5:$R$5</c:f>
              <c:numCache>
                <c:formatCode>_(* #,##0_);_(* \(#,##0\);_(* "-"??_);_(@_)</c:formatCode>
                <c:ptCount val="6"/>
                <c:pt idx="0">
                  <c:v>3213.0019490150344</c:v>
                </c:pt>
                <c:pt idx="1">
                  <c:v>3285.4073412457569</c:v>
                </c:pt>
                <c:pt idx="2">
                  <c:v>3497.9072169067495</c:v>
                </c:pt>
                <c:pt idx="3">
                  <c:v>3314.4100727043478</c:v>
                </c:pt>
                <c:pt idx="4">
                  <c:v>3235.9569307135898</c:v>
                </c:pt>
                <c:pt idx="5">
                  <c:v>2998.7198480597181</c:v>
                </c:pt>
              </c:numCache>
            </c:numRef>
          </c:val>
          <c:extLst>
            <c:ext xmlns:c16="http://schemas.microsoft.com/office/drawing/2014/chart" uri="{C3380CC4-5D6E-409C-BE32-E72D297353CC}">
              <c16:uniqueId val="{00000007-53D4-4F10-966C-4036957822A6}"/>
            </c:ext>
          </c:extLst>
        </c:ser>
        <c:ser>
          <c:idx val="0"/>
          <c:order val="8"/>
          <c:tx>
            <c:strRef>
              <c:f>'Baseline by End Use'!$L$4</c:f>
              <c:strCache>
                <c:ptCount val="1"/>
                <c:pt idx="0">
                  <c:v> Cooling </c:v>
                </c:pt>
              </c:strCache>
            </c:strRef>
          </c:tx>
          <c:spPr>
            <a:solidFill>
              <a:srgbClr val="00B3F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Use'!$M$4:$R$4</c:f>
              <c:numCache>
                <c:formatCode>_(* #,##0_);_(* \(#,##0\);_(* "-"??_);_(@_)</c:formatCode>
                <c:ptCount val="6"/>
                <c:pt idx="0">
                  <c:v>757.86304191186116</c:v>
                </c:pt>
                <c:pt idx="1">
                  <c:v>834.68716627307799</c:v>
                </c:pt>
                <c:pt idx="2">
                  <c:v>721.97851705520429</c:v>
                </c:pt>
                <c:pt idx="3">
                  <c:v>678.77543125428122</c:v>
                </c:pt>
                <c:pt idx="4">
                  <c:v>640.96084410854314</c:v>
                </c:pt>
                <c:pt idx="5">
                  <c:v>595.50719044774814</c:v>
                </c:pt>
              </c:numCache>
            </c:numRef>
          </c:val>
          <c:extLst>
            <c:ext xmlns:c16="http://schemas.microsoft.com/office/drawing/2014/chart" uri="{C3380CC4-5D6E-409C-BE32-E72D297353CC}">
              <c16:uniqueId val="{00000008-53D4-4F10-966C-4036957822A6}"/>
            </c:ext>
          </c:extLst>
        </c:ser>
        <c:dLbls>
          <c:showLegendKey val="0"/>
          <c:showVal val="0"/>
          <c:showCatName val="0"/>
          <c:showSerName val="0"/>
          <c:showPercent val="0"/>
          <c:showBubbleSize val="0"/>
        </c:dLbls>
        <c:gapWidth val="75"/>
        <c:overlap val="100"/>
        <c:axId val="196167744"/>
        <c:axId val="196161504"/>
        <c:extLst/>
      </c:barChart>
      <c:catAx>
        <c:axId val="196167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1504"/>
        <c:crosses val="autoZero"/>
        <c:auto val="1"/>
        <c:lblAlgn val="ctr"/>
        <c:lblOffset val="100"/>
        <c:noMultiLvlLbl val="0"/>
      </c:catAx>
      <c:valAx>
        <c:axId val="1961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kWh/HH</a:t>
                </a:r>
              </a:p>
              <a:p>
                <a:pPr>
                  <a:defRPr/>
                </a:pPr>
                <a:endParaRPr lang="en-US"/>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7744"/>
        <c:crosses val="autoZero"/>
        <c:crossBetween val="between"/>
      </c:valAx>
      <c:spPr>
        <a:noFill/>
        <a:ln>
          <a:noFill/>
        </a:ln>
        <a:effectLst/>
      </c:spPr>
    </c:plotArea>
    <c:legend>
      <c:legendPos val="r"/>
      <c:layout>
        <c:manualLayout>
          <c:xMode val="edge"/>
          <c:yMode val="edge"/>
          <c:x val="0.80809661950150968"/>
          <c:y val="0.11198142545263158"/>
          <c:w val="0.18984912311062332"/>
          <c:h val="0.7650020817716939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ysClr val="window" lastClr="FFFFFF"/>
    </a:solidFill>
    <a:ln w="9525" cap="flat" cmpd="sng" algn="ctr">
      <a:noFill/>
      <a:round/>
    </a:ln>
    <a:effectLst/>
  </c:spPr>
  <c:txPr>
    <a:bodyPr/>
    <a:lstStyle/>
    <a:p>
      <a:pPr>
        <a:defRPr sz="1000"/>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29250510352871"/>
          <c:y val="0.11421489965253073"/>
          <c:w val="0.62246165669855413"/>
          <c:h val="0.76499055867074428"/>
        </c:manualLayout>
      </c:layout>
      <c:areaChart>
        <c:grouping val="stacked"/>
        <c:varyColors val="0"/>
        <c:ser>
          <c:idx val="7"/>
          <c:order val="0"/>
          <c:tx>
            <c:strRef>
              <c:f>'Baseline by End Use'!$B$56</c:f>
              <c:strCache>
                <c:ptCount val="1"/>
                <c:pt idx="0">
                  <c:v> Miscellaneous </c:v>
                </c:pt>
              </c:strCache>
            </c:strRef>
          </c:tx>
          <c:spPr>
            <a:solidFill>
              <a:srgbClr val="808080"/>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Use'!$C$56:$AA$56</c:f>
              <c:numCache>
                <c:formatCode>_(* #,##0_);_(* \(#,##0\);_(* "-"??_);_(@_)</c:formatCode>
                <c:ptCount val="25"/>
                <c:pt idx="0">
                  <c:v>273.88707915980547</c:v>
                </c:pt>
                <c:pt idx="1">
                  <c:v>276.08312095271685</c:v>
                </c:pt>
                <c:pt idx="2">
                  <c:v>277.26774246138899</c:v>
                </c:pt>
                <c:pt idx="3">
                  <c:v>278.42320766053393</c:v>
                </c:pt>
                <c:pt idx="4">
                  <c:v>279.84018417172331</c:v>
                </c:pt>
                <c:pt idx="5">
                  <c:v>281.20502872634398</c:v>
                </c:pt>
                <c:pt idx="6">
                  <c:v>284.11848416923635</c:v>
                </c:pt>
                <c:pt idx="7">
                  <c:v>287.48338976290262</c:v>
                </c:pt>
                <c:pt idx="8">
                  <c:v>291.74611296142251</c:v>
                </c:pt>
                <c:pt idx="9">
                  <c:v>297.03370420775605</c:v>
                </c:pt>
                <c:pt idx="10">
                  <c:v>305.38011128771649</c:v>
                </c:pt>
                <c:pt idx="11">
                  <c:v>314.68176961062107</c:v>
                </c:pt>
                <c:pt idx="12">
                  <c:v>324.99126866726152</c:v>
                </c:pt>
                <c:pt idx="13">
                  <c:v>335.97191083492049</c:v>
                </c:pt>
                <c:pt idx="14">
                  <c:v>347.58234912126545</c:v>
                </c:pt>
                <c:pt idx="15">
                  <c:v>360.20934850573428</c:v>
                </c:pt>
                <c:pt idx="16">
                  <c:v>373.63359136042146</c:v>
                </c:pt>
                <c:pt idx="17">
                  <c:v>388.08986013623752</c:v>
                </c:pt>
                <c:pt idx="18">
                  <c:v>402.94333023035693</c:v>
                </c:pt>
                <c:pt idx="19">
                  <c:v>419.43222235625444</c:v>
                </c:pt>
                <c:pt idx="20">
                  <c:v>437.33661428599447</c:v>
                </c:pt>
                <c:pt idx="21">
                  <c:v>454.42245387760676</c:v>
                </c:pt>
                <c:pt idx="22">
                  <c:v>473.10159104860833</c:v>
                </c:pt>
                <c:pt idx="23">
                  <c:v>493.10288264084221</c:v>
                </c:pt>
                <c:pt idx="24">
                  <c:v>512.0860984761274</c:v>
                </c:pt>
              </c:numCache>
              <c:extLst/>
            </c:numRef>
          </c:val>
          <c:extLst>
            <c:ext xmlns:c16="http://schemas.microsoft.com/office/drawing/2014/chart" uri="{C3380CC4-5D6E-409C-BE32-E72D297353CC}">
              <c16:uniqueId val="{00000000-0BED-400F-9167-DC5ED5064EEB}"/>
            </c:ext>
          </c:extLst>
        </c:ser>
        <c:ser>
          <c:idx val="6"/>
          <c:order val="1"/>
          <c:tx>
            <c:strRef>
              <c:f>'Baseline by End Use'!$B$55</c:f>
              <c:strCache>
                <c:ptCount val="1"/>
                <c:pt idx="0">
                  <c:v> Electronics </c:v>
                </c:pt>
              </c:strCache>
            </c:strRef>
          </c:tx>
          <c:spPr>
            <a:solidFill>
              <a:srgbClr val="A98AE3"/>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Use'!$C$55:$AA$55</c:f>
              <c:numCache>
                <c:formatCode>_(* #,##0_);_(* \(#,##0\);_(* "-"??_);_(@_)</c:formatCode>
                <c:ptCount val="25"/>
                <c:pt idx="0">
                  <c:v>115.0844533959275</c:v>
                </c:pt>
                <c:pt idx="1">
                  <c:v>116.36790134976714</c:v>
                </c:pt>
                <c:pt idx="2">
                  <c:v>117.49920707209192</c:v>
                </c:pt>
                <c:pt idx="3">
                  <c:v>118.66971534964456</c:v>
                </c:pt>
                <c:pt idx="4">
                  <c:v>119.97551800812923</c:v>
                </c:pt>
                <c:pt idx="5">
                  <c:v>121.44950243572704</c:v>
                </c:pt>
                <c:pt idx="6">
                  <c:v>123.11603284189881</c:v>
                </c:pt>
                <c:pt idx="7">
                  <c:v>124.98738354118696</c:v>
                </c:pt>
                <c:pt idx="8">
                  <c:v>127.02584487048094</c:v>
                </c:pt>
                <c:pt idx="9">
                  <c:v>129.20406894273304</c:v>
                </c:pt>
                <c:pt idx="10">
                  <c:v>131.50239936534476</c:v>
                </c:pt>
                <c:pt idx="11">
                  <c:v>133.90644902393129</c:v>
                </c:pt>
                <c:pt idx="12">
                  <c:v>136.4055888273501</c:v>
                </c:pt>
                <c:pt idx="13">
                  <c:v>138.99250318457965</c:v>
                </c:pt>
                <c:pt idx="14">
                  <c:v>141.66175975310676</c:v>
                </c:pt>
                <c:pt idx="15">
                  <c:v>144.40969312258011</c:v>
                </c:pt>
                <c:pt idx="16">
                  <c:v>147.23378634602699</c:v>
                </c:pt>
                <c:pt idx="17">
                  <c:v>150.13238817588058</c:v>
                </c:pt>
                <c:pt idx="18">
                  <c:v>153.10475137745308</c:v>
                </c:pt>
                <c:pt idx="19">
                  <c:v>156.15048400785201</c:v>
                </c:pt>
                <c:pt idx="20">
                  <c:v>159.26960264509097</c:v>
                </c:pt>
                <c:pt idx="21">
                  <c:v>162.46252502694941</c:v>
                </c:pt>
                <c:pt idx="22">
                  <c:v>165.73019293892023</c:v>
                </c:pt>
                <c:pt idx="23">
                  <c:v>169.07372782983595</c:v>
                </c:pt>
                <c:pt idx="24">
                  <c:v>172.49465304588662</c:v>
                </c:pt>
              </c:numCache>
              <c:extLst/>
            </c:numRef>
          </c:val>
          <c:extLst>
            <c:ext xmlns:c16="http://schemas.microsoft.com/office/drawing/2014/chart" uri="{C3380CC4-5D6E-409C-BE32-E72D297353CC}">
              <c16:uniqueId val="{00000001-0BED-400F-9167-DC5ED5064EEB}"/>
            </c:ext>
          </c:extLst>
        </c:ser>
        <c:ser>
          <c:idx val="5"/>
          <c:order val="2"/>
          <c:tx>
            <c:strRef>
              <c:f>'Baseline by End Use'!$B$54</c:f>
              <c:strCache>
                <c:ptCount val="1"/>
                <c:pt idx="0">
                  <c:v> Appliances </c:v>
                </c:pt>
              </c:strCache>
            </c:strRef>
          </c:tx>
          <c:spPr>
            <a:solidFill>
              <a:srgbClr val="3CD39C"/>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Use'!$C$54:$AA$54</c:f>
              <c:numCache>
                <c:formatCode>_(* #,##0_);_(* \(#,##0\);_(* "-"??_);_(@_)</c:formatCode>
                <c:ptCount val="25"/>
                <c:pt idx="0">
                  <c:v>233.57600556067277</c:v>
                </c:pt>
                <c:pt idx="1">
                  <c:v>235.39772430754931</c:v>
                </c:pt>
                <c:pt idx="2">
                  <c:v>236.77453475453837</c:v>
                </c:pt>
                <c:pt idx="3">
                  <c:v>238.28167358427538</c:v>
                </c:pt>
                <c:pt idx="4">
                  <c:v>239.91605544710532</c:v>
                </c:pt>
                <c:pt idx="5">
                  <c:v>241.49516076092806</c:v>
                </c:pt>
                <c:pt idx="6">
                  <c:v>243.20202192000914</c:v>
                </c:pt>
                <c:pt idx="7">
                  <c:v>245.04577037527039</c:v>
                </c:pt>
                <c:pt idx="8">
                  <c:v>247.03551505934868</c:v>
                </c:pt>
                <c:pt idx="9">
                  <c:v>248.38987291305835</c:v>
                </c:pt>
                <c:pt idx="10">
                  <c:v>250.01999807449789</c:v>
                </c:pt>
                <c:pt idx="11">
                  <c:v>251.92200862806902</c:v>
                </c:pt>
                <c:pt idx="12">
                  <c:v>254.09689793648707</c:v>
                </c:pt>
                <c:pt idx="13">
                  <c:v>256.52203834624981</c:v>
                </c:pt>
                <c:pt idx="14">
                  <c:v>259.13609476968929</c:v>
                </c:pt>
                <c:pt idx="15">
                  <c:v>261.96438157264572</c:v>
                </c:pt>
                <c:pt idx="16">
                  <c:v>264.98892669980307</c:v>
                </c:pt>
                <c:pt idx="17">
                  <c:v>268.16876442144724</c:v>
                </c:pt>
                <c:pt idx="18">
                  <c:v>271.27527217292982</c:v>
                </c:pt>
                <c:pt idx="19">
                  <c:v>274.31514005366068</c:v>
                </c:pt>
                <c:pt idx="20">
                  <c:v>277.5044838130292</c:v>
                </c:pt>
                <c:pt idx="21">
                  <c:v>280.74453104093635</c:v>
                </c:pt>
                <c:pt idx="22">
                  <c:v>284.27636298405099</c:v>
                </c:pt>
                <c:pt idx="23">
                  <c:v>287.99177154094565</c:v>
                </c:pt>
                <c:pt idx="24">
                  <c:v>291.89054697746059</c:v>
                </c:pt>
              </c:numCache>
              <c:extLst/>
            </c:numRef>
          </c:val>
          <c:extLst>
            <c:ext xmlns:c16="http://schemas.microsoft.com/office/drawing/2014/chart" uri="{C3380CC4-5D6E-409C-BE32-E72D297353CC}">
              <c16:uniqueId val="{00000002-0BED-400F-9167-DC5ED5064EEB}"/>
            </c:ext>
          </c:extLst>
        </c:ser>
        <c:ser>
          <c:idx val="4"/>
          <c:order val="3"/>
          <c:tx>
            <c:strRef>
              <c:f>'Baseline by End Use'!$B$53</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Use'!$C$53:$AA$53</c:f>
              <c:numCache>
                <c:formatCode>_(* #,##0_);_(* \(#,##0\);_(* "-"??_);_(@_)</c:formatCode>
                <c:ptCount val="25"/>
                <c:pt idx="0">
                  <c:v>34.526024320193613</c:v>
                </c:pt>
                <c:pt idx="1">
                  <c:v>16.018491244078184</c:v>
                </c:pt>
                <c:pt idx="2">
                  <c:v>16.274335885674784</c:v>
                </c:pt>
                <c:pt idx="3">
                  <c:v>15.634631727232934</c:v>
                </c:pt>
                <c:pt idx="4">
                  <c:v>15.154111779249369</c:v>
                </c:pt>
                <c:pt idx="5">
                  <c:v>14.864917321059835</c:v>
                </c:pt>
                <c:pt idx="6">
                  <c:v>14.187555765339942</c:v>
                </c:pt>
                <c:pt idx="7">
                  <c:v>14.381715079975743</c:v>
                </c:pt>
                <c:pt idx="8">
                  <c:v>14.570754903955265</c:v>
                </c:pt>
                <c:pt idx="9">
                  <c:v>14.735121342229341</c:v>
                </c:pt>
                <c:pt idx="10">
                  <c:v>14.56990427178734</c:v>
                </c:pt>
                <c:pt idx="11">
                  <c:v>14.447591048390342</c:v>
                </c:pt>
                <c:pt idx="12">
                  <c:v>14.346209121080246</c:v>
                </c:pt>
                <c:pt idx="13">
                  <c:v>14.267122520871091</c:v>
                </c:pt>
                <c:pt idx="14">
                  <c:v>14.109718109898711</c:v>
                </c:pt>
                <c:pt idx="15">
                  <c:v>13.982779683101201</c:v>
                </c:pt>
                <c:pt idx="16">
                  <c:v>13.884301458804142</c:v>
                </c:pt>
                <c:pt idx="17">
                  <c:v>13.81868593859722</c:v>
                </c:pt>
                <c:pt idx="18">
                  <c:v>13.763128419786195</c:v>
                </c:pt>
                <c:pt idx="19">
                  <c:v>12.629055804769417</c:v>
                </c:pt>
                <c:pt idx="20">
                  <c:v>12.739515679681144</c:v>
                </c:pt>
                <c:pt idx="21">
                  <c:v>12.737763072087127</c:v>
                </c:pt>
                <c:pt idx="22">
                  <c:v>12.814456219010761</c:v>
                </c:pt>
                <c:pt idx="23">
                  <c:v>12.918243499976768</c:v>
                </c:pt>
                <c:pt idx="24">
                  <c:v>12.965805316877756</c:v>
                </c:pt>
              </c:numCache>
              <c:extLst/>
            </c:numRef>
          </c:val>
          <c:extLst>
            <c:ext xmlns:c16="http://schemas.microsoft.com/office/drawing/2014/chart" uri="{C3380CC4-5D6E-409C-BE32-E72D297353CC}">
              <c16:uniqueId val="{00000003-0BED-400F-9167-DC5ED5064EEB}"/>
            </c:ext>
          </c:extLst>
        </c:ser>
        <c:ser>
          <c:idx val="3"/>
          <c:order val="4"/>
          <c:tx>
            <c:strRef>
              <c:f>'Baseline by End Use'!$B$52</c:f>
              <c:strCache>
                <c:ptCount val="1"/>
                <c:pt idx="0">
                  <c:v> Interior Lighting </c:v>
                </c:pt>
              </c:strCache>
            </c:strRef>
          </c:tx>
          <c:spPr>
            <a:solidFill>
              <a:srgbClr val="FFE866"/>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Use'!$C$52:$AA$52</c:f>
              <c:numCache>
                <c:formatCode>_(* #,##0_);_(* \(#,##0\);_(* "-"??_);_(@_)</c:formatCode>
                <c:ptCount val="25"/>
                <c:pt idx="0">
                  <c:v>139.30262848507658</c:v>
                </c:pt>
                <c:pt idx="1">
                  <c:v>132.66033643997173</c:v>
                </c:pt>
                <c:pt idx="2">
                  <c:v>125.89544033670754</c:v>
                </c:pt>
                <c:pt idx="3">
                  <c:v>119.24242735033303</c:v>
                </c:pt>
                <c:pt idx="4">
                  <c:v>112.11471259359521</c:v>
                </c:pt>
                <c:pt idx="5">
                  <c:v>105.47671781423432</c:v>
                </c:pt>
                <c:pt idx="6">
                  <c:v>99.837646779216925</c:v>
                </c:pt>
                <c:pt idx="7">
                  <c:v>95.115271864403852</c:v>
                </c:pt>
                <c:pt idx="8">
                  <c:v>91.3960635365424</c:v>
                </c:pt>
                <c:pt idx="9">
                  <c:v>88.039195222715648</c:v>
                </c:pt>
                <c:pt idx="10">
                  <c:v>85.244353734619821</c:v>
                </c:pt>
                <c:pt idx="11">
                  <c:v>83.045187956753949</c:v>
                </c:pt>
                <c:pt idx="12">
                  <c:v>81.324362648525266</c:v>
                </c:pt>
                <c:pt idx="13">
                  <c:v>79.998183365852981</c:v>
                </c:pt>
                <c:pt idx="14">
                  <c:v>78.754509476528568</c:v>
                </c:pt>
                <c:pt idx="15">
                  <c:v>77.807634527971572</c:v>
                </c:pt>
                <c:pt idx="16">
                  <c:v>77.094454002212458</c:v>
                </c:pt>
                <c:pt idx="17">
                  <c:v>76.613113996905199</c:v>
                </c:pt>
                <c:pt idx="18">
                  <c:v>76.248725512983953</c:v>
                </c:pt>
                <c:pt idx="19">
                  <c:v>75.848491751341356</c:v>
                </c:pt>
                <c:pt idx="20">
                  <c:v>75.678450343817332</c:v>
                </c:pt>
                <c:pt idx="21">
                  <c:v>75.344027817136023</c:v>
                </c:pt>
                <c:pt idx="22">
                  <c:v>75.449113813541317</c:v>
                </c:pt>
                <c:pt idx="23">
                  <c:v>75.728051254459999</c:v>
                </c:pt>
                <c:pt idx="24">
                  <c:v>75.794425996093565</c:v>
                </c:pt>
              </c:numCache>
              <c:extLst/>
            </c:numRef>
          </c:val>
          <c:extLst>
            <c:ext xmlns:c16="http://schemas.microsoft.com/office/drawing/2014/chart" uri="{C3380CC4-5D6E-409C-BE32-E72D297353CC}">
              <c16:uniqueId val="{00000004-0BED-400F-9167-DC5ED5064EEB}"/>
            </c:ext>
          </c:extLst>
        </c:ser>
        <c:ser>
          <c:idx val="2"/>
          <c:order val="5"/>
          <c:tx>
            <c:strRef>
              <c:f>'Baseline by End Use'!$B$51</c:f>
              <c:strCache>
                <c:ptCount val="1"/>
                <c:pt idx="0">
                  <c:v> Water Heating </c:v>
                </c:pt>
              </c:strCache>
            </c:strRef>
          </c:tx>
          <c:spPr>
            <a:solidFill>
              <a:srgbClr val="FFA35B"/>
            </a:solidFill>
            <a:ln>
              <a:no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Use'!$C$51:$AA$51</c:f>
              <c:numCache>
                <c:formatCode>_(* #,##0_);_(* \(#,##0\);_(* "-"??_);_(@_)</c:formatCode>
                <c:ptCount val="25"/>
                <c:pt idx="0">
                  <c:v>138.96298920282746</c:v>
                </c:pt>
                <c:pt idx="1">
                  <c:v>157.7626506848695</c:v>
                </c:pt>
                <c:pt idx="2">
                  <c:v>170.86870124344071</c:v>
                </c:pt>
                <c:pt idx="3">
                  <c:v>174.08644178796919</c:v>
                </c:pt>
                <c:pt idx="4">
                  <c:v>181.77869228884146</c:v>
                </c:pt>
                <c:pt idx="5">
                  <c:v>184.32850183760092</c:v>
                </c:pt>
                <c:pt idx="6">
                  <c:v>186.9039254486101</c:v>
                </c:pt>
                <c:pt idx="7">
                  <c:v>189.5325220780457</c:v>
                </c:pt>
                <c:pt idx="8">
                  <c:v>192.21921177275809</c:v>
                </c:pt>
                <c:pt idx="9">
                  <c:v>187.30306790471886</c:v>
                </c:pt>
                <c:pt idx="10">
                  <c:v>182.29077676360043</c:v>
                </c:pt>
                <c:pt idx="11">
                  <c:v>177.20996265392873</c:v>
                </c:pt>
                <c:pt idx="12">
                  <c:v>172.38994511198456</c:v>
                </c:pt>
                <c:pt idx="13">
                  <c:v>167.73833002194189</c:v>
                </c:pt>
                <c:pt idx="14">
                  <c:v>163.15623289072582</c:v>
                </c:pt>
                <c:pt idx="15">
                  <c:v>158.57355151838229</c:v>
                </c:pt>
                <c:pt idx="16">
                  <c:v>153.94552706063743</c:v>
                </c:pt>
                <c:pt idx="17">
                  <c:v>149.24055909538671</c:v>
                </c:pt>
                <c:pt idx="18">
                  <c:v>144.43640007415513</c:v>
                </c:pt>
                <c:pt idx="19">
                  <c:v>138.1427717411822</c:v>
                </c:pt>
                <c:pt idx="20">
                  <c:v>132.885144791453</c:v>
                </c:pt>
                <c:pt idx="21">
                  <c:v>128.47608644060855</c:v>
                </c:pt>
                <c:pt idx="22">
                  <c:v>124.82591086460197</c:v>
                </c:pt>
                <c:pt idx="23">
                  <c:v>121.8596291188879</c:v>
                </c:pt>
                <c:pt idx="24">
                  <c:v>119.49582825370067</c:v>
                </c:pt>
              </c:numCache>
              <c:extLst/>
            </c:numRef>
          </c:val>
          <c:extLst>
            <c:ext xmlns:c16="http://schemas.microsoft.com/office/drawing/2014/chart" uri="{C3380CC4-5D6E-409C-BE32-E72D297353CC}">
              <c16:uniqueId val="{00000005-0BED-400F-9167-DC5ED5064EEB}"/>
            </c:ext>
          </c:extLst>
        </c:ser>
        <c:ser>
          <c:idx val="1"/>
          <c:order val="6"/>
          <c:tx>
            <c:strRef>
              <c:f>'Baseline by End Use'!$B$50</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Use'!$C$50:$AA$50</c:f>
              <c:numCache>
                <c:formatCode>_(* #,##0_);_(* \(#,##0\);_(* "-"??_);_(@_)</c:formatCode>
                <c:ptCount val="25"/>
                <c:pt idx="0">
                  <c:v>311.75509794042188</c:v>
                </c:pt>
                <c:pt idx="1">
                  <c:v>375.29614119980943</c:v>
                </c:pt>
                <c:pt idx="2">
                  <c:v>369.41869762119222</c:v>
                </c:pt>
                <c:pt idx="3">
                  <c:v>394.47037488520067</c:v>
                </c:pt>
                <c:pt idx="4">
                  <c:v>406.0600809852848</c:v>
                </c:pt>
                <c:pt idx="5">
                  <c:v>404.21258193187305</c:v>
                </c:pt>
                <c:pt idx="6">
                  <c:v>405.89548126618342</c:v>
                </c:pt>
                <c:pt idx="7">
                  <c:v>404.89292179584749</c:v>
                </c:pt>
                <c:pt idx="8">
                  <c:v>412.03329950359824</c:v>
                </c:pt>
                <c:pt idx="9">
                  <c:v>420.14572654545441</c:v>
                </c:pt>
                <c:pt idx="10">
                  <c:v>425.92930402227813</c:v>
                </c:pt>
                <c:pt idx="11">
                  <c:v>435.66823697503236</c:v>
                </c:pt>
                <c:pt idx="12">
                  <c:v>444.18472146594837</c:v>
                </c:pt>
                <c:pt idx="13">
                  <c:v>453.81436528481436</c:v>
                </c:pt>
                <c:pt idx="14">
                  <c:v>464.98101292423553</c:v>
                </c:pt>
                <c:pt idx="15">
                  <c:v>476.86940767242083</c:v>
                </c:pt>
                <c:pt idx="16">
                  <c:v>483.25164755726274</c:v>
                </c:pt>
                <c:pt idx="17">
                  <c:v>492.53327432318736</c:v>
                </c:pt>
                <c:pt idx="18">
                  <c:v>497.60200515221732</c:v>
                </c:pt>
                <c:pt idx="19">
                  <c:v>508.64545748492975</c:v>
                </c:pt>
                <c:pt idx="20">
                  <c:v>520.22550037840608</c:v>
                </c:pt>
                <c:pt idx="21">
                  <c:v>522.28651303384731</c:v>
                </c:pt>
                <c:pt idx="22">
                  <c:v>531.13593212663852</c:v>
                </c:pt>
                <c:pt idx="23">
                  <c:v>539.99080877949518</c:v>
                </c:pt>
                <c:pt idx="24">
                  <c:v>540.09621841251169</c:v>
                </c:pt>
              </c:numCache>
              <c:extLst/>
            </c:numRef>
          </c:val>
          <c:extLst>
            <c:ext xmlns:c16="http://schemas.microsoft.com/office/drawing/2014/chart" uri="{C3380CC4-5D6E-409C-BE32-E72D297353CC}">
              <c16:uniqueId val="{00000006-0BED-400F-9167-DC5ED5064EEB}"/>
            </c:ext>
          </c:extLst>
        </c:ser>
        <c:ser>
          <c:idx val="0"/>
          <c:order val="7"/>
          <c:tx>
            <c:strRef>
              <c:f>'Baseline by End Use'!$B$49</c:f>
              <c:strCache>
                <c:ptCount val="1"/>
                <c:pt idx="0">
                  <c:v> Cooling </c:v>
                </c:pt>
              </c:strCache>
            </c:strRef>
          </c:tx>
          <c:spPr>
            <a:solidFill>
              <a:srgbClr val="00B3FF"/>
            </a:solidFill>
            <a:ln w="6350">
              <a:solidFill>
                <a:srgbClr val="F6F6F7"/>
              </a:solid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Use'!$C$49:$AA$49</c:f>
              <c:numCache>
                <c:formatCode>_(* #,##0_);_(* \(#,##0\);_(* "-"??_);_(@_)</c:formatCode>
                <c:ptCount val="25"/>
                <c:pt idx="0">
                  <c:v>73.450517348017257</c:v>
                </c:pt>
                <c:pt idx="1">
                  <c:v>77.416259578100266</c:v>
                </c:pt>
                <c:pt idx="2">
                  <c:v>77.558078909819102</c:v>
                </c:pt>
                <c:pt idx="3">
                  <c:v>69.752234272711163</c:v>
                </c:pt>
                <c:pt idx="4">
                  <c:v>70.665786858892119</c:v>
                </c:pt>
                <c:pt idx="5">
                  <c:v>70.133309558788667</c:v>
                </c:pt>
                <c:pt idx="6">
                  <c:v>70.280117545732352</c:v>
                </c:pt>
                <c:pt idx="7">
                  <c:v>70.475484082980216</c:v>
                </c:pt>
                <c:pt idx="8">
                  <c:v>70.415385242703579</c:v>
                </c:pt>
                <c:pt idx="9">
                  <c:v>70.990732179044457</c:v>
                </c:pt>
                <c:pt idx="10">
                  <c:v>71.212188218105737</c:v>
                </c:pt>
                <c:pt idx="11">
                  <c:v>71.551339315265281</c:v>
                </c:pt>
                <c:pt idx="12">
                  <c:v>71.688096052782711</c:v>
                </c:pt>
                <c:pt idx="13">
                  <c:v>71.952394191459462</c:v>
                </c:pt>
                <c:pt idx="14">
                  <c:v>72.32728650647384</c:v>
                </c:pt>
                <c:pt idx="15">
                  <c:v>73.226795220903597</c:v>
                </c:pt>
                <c:pt idx="16">
                  <c:v>73.192703909475696</c:v>
                </c:pt>
                <c:pt idx="17">
                  <c:v>74.351682730927621</c:v>
                </c:pt>
                <c:pt idx="18">
                  <c:v>75.193639860532699</c:v>
                </c:pt>
                <c:pt idx="19">
                  <c:v>76.075562777891065</c:v>
                </c:pt>
                <c:pt idx="20">
                  <c:v>76.760025668159543</c:v>
                </c:pt>
                <c:pt idx="21">
                  <c:v>76.966567275697074</c:v>
                </c:pt>
                <c:pt idx="22">
                  <c:v>77.171102633856535</c:v>
                </c:pt>
                <c:pt idx="23">
                  <c:v>77.753487084552305</c:v>
                </c:pt>
                <c:pt idx="24">
                  <c:v>77.75249033048884</c:v>
                </c:pt>
              </c:numCache>
              <c:extLst/>
            </c:numRef>
          </c:val>
          <c:extLst>
            <c:ext xmlns:c16="http://schemas.microsoft.com/office/drawing/2014/chart" uri="{C3380CC4-5D6E-409C-BE32-E72D297353CC}">
              <c16:uniqueId val="{00000007-0BED-400F-9167-DC5ED5064EEB}"/>
            </c:ext>
          </c:extLst>
        </c:ser>
        <c:ser>
          <c:idx val="8"/>
          <c:order val="8"/>
          <c:tx>
            <c:strRef>
              <c:f>'Baseline by End Use'!$B$57</c:f>
              <c:strCache>
                <c:ptCount val="1"/>
                <c:pt idx="0">
                  <c:v> Generation </c:v>
                </c:pt>
              </c:strCache>
              <c:extLst xmlns:c15="http://schemas.microsoft.com/office/drawing/2012/chart"/>
            </c:strRef>
          </c:tx>
          <c:spPr>
            <a:pattFill prst="dkDnDiag">
              <a:fgClr>
                <a:srgbClr val="7F7F7F"/>
              </a:fgClr>
              <a:bgClr>
                <a:schemeClr val="bg1"/>
              </a:bgClr>
            </a:pattFill>
            <a:ln w="25400">
              <a:noFill/>
            </a:ln>
            <a:effectLst>
              <a:outerShdw blurRad="50800" dist="38100" dir="2700000" algn="tl" rotWithShape="0">
                <a:prstClr val="black">
                  <a:alpha val="40000"/>
                </a:prstClr>
              </a:outerShdw>
            </a:effectLst>
          </c:spPr>
          <c:cat>
            <c:numRef>
              <c:f>'Baseline by End Use'!$C$48:$AA$48</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Use'!$C$57:$AA$57</c:f>
              <c:numCache>
                <c:formatCode>_(* #,##0_);_(* \(#,##0\);_(* "-"??_);_(@_)</c:formatCode>
                <c:ptCount val="25"/>
                <c:pt idx="0">
                  <c:v>-0.78121679999999938</c:v>
                </c:pt>
                <c:pt idx="1">
                  <c:v>-4.2509922320906375</c:v>
                </c:pt>
                <c:pt idx="2">
                  <c:v>-4.6786827184045912</c:v>
                </c:pt>
                <c:pt idx="3">
                  <c:v>-5.1459240901408645</c:v>
                </c:pt>
                <c:pt idx="4">
                  <c:v>-5.6599155189467547</c:v>
                </c:pt>
                <c:pt idx="5">
                  <c:v>-6.2264034654312228</c:v>
                </c:pt>
                <c:pt idx="6">
                  <c:v>-6.8575787087892728</c:v>
                </c:pt>
                <c:pt idx="7">
                  <c:v>-7.5515639458834727</c:v>
                </c:pt>
                <c:pt idx="8">
                  <c:v>-8.3169613854929167</c:v>
                </c:pt>
                <c:pt idx="9">
                  <c:v>-9.1618829915321225</c:v>
                </c:pt>
                <c:pt idx="10">
                  <c:v>-10.095116645917575</c:v>
                </c:pt>
                <c:pt idx="11">
                  <c:v>-11.126685663615099</c:v>
                </c:pt>
                <c:pt idx="12">
                  <c:v>-12.266812476442201</c:v>
                </c:pt>
                <c:pt idx="13">
                  <c:v>-13.526585603753443</c:v>
                </c:pt>
                <c:pt idx="14">
                  <c:v>-14.918630680271967</c:v>
                </c:pt>
                <c:pt idx="15">
                  <c:v>-16.456306120429666</c:v>
                </c:pt>
                <c:pt idx="16">
                  <c:v>-18.154605441743705</c:v>
                </c:pt>
                <c:pt idx="17">
                  <c:v>-20.030256029673655</c:v>
                </c:pt>
                <c:pt idx="18">
                  <c:v>-22.100669790588363</c:v>
                </c:pt>
                <c:pt idx="19">
                  <c:v>-24.386534765322065</c:v>
                </c:pt>
                <c:pt idx="20">
                  <c:v>-26.910716048448375</c:v>
                </c:pt>
                <c:pt idx="21">
                  <c:v>-29.700773258882784</c:v>
                </c:pt>
                <c:pt idx="22">
                  <c:v>-32.783623447692378</c:v>
                </c:pt>
                <c:pt idx="23">
                  <c:v>-36.198438502485388</c:v>
                </c:pt>
                <c:pt idx="24">
                  <c:v>-39.991618384814231</c:v>
                </c:pt>
              </c:numCache>
              <c:extLst/>
            </c:numRef>
          </c:val>
          <c:extLst xmlns:c15="http://schemas.microsoft.com/office/drawing/2012/chart">
            <c:ext xmlns:c16="http://schemas.microsoft.com/office/drawing/2014/chart" uri="{C3380CC4-5D6E-409C-BE32-E72D297353CC}">
              <c16:uniqueId val="{00000008-0BED-400F-9167-DC5ED5064EEB}"/>
            </c:ext>
          </c:extLst>
        </c:ser>
        <c:dLbls>
          <c:showLegendKey val="0"/>
          <c:showVal val="0"/>
          <c:showCatName val="0"/>
          <c:showSerName val="0"/>
          <c:showPercent val="0"/>
          <c:showBubbleSize val="0"/>
        </c:dLbls>
        <c:axId val="1916660864"/>
        <c:axId val="1916649632"/>
        <c:extLst/>
      </c:areaChart>
      <c:catAx>
        <c:axId val="191666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49632"/>
        <c:crosses val="autoZero"/>
        <c:auto val="1"/>
        <c:lblAlgn val="ctr"/>
        <c:lblOffset val="100"/>
        <c:tickLblSkip val="2"/>
        <c:noMultiLvlLbl val="0"/>
      </c:catAx>
      <c:valAx>
        <c:axId val="191664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60864"/>
        <c:crosses val="autoZero"/>
        <c:crossBetween val="midCat"/>
      </c:valAx>
      <c:spPr>
        <a:noFill/>
        <a:ln>
          <a:noFill/>
        </a:ln>
        <a:effectLst/>
      </c:spPr>
    </c:plotArea>
    <c:legend>
      <c:legendPos val="r"/>
      <c:layout>
        <c:manualLayout>
          <c:xMode val="edge"/>
          <c:yMode val="edge"/>
          <c:x val="0.77580628677949703"/>
          <c:y val="0.15937540754942062"/>
          <c:w val="0.22255186776784669"/>
          <c:h val="0.701378236976789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sz="1000"/>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68380976669415"/>
          <c:y val="7.622676364455043E-2"/>
          <c:w val="0.54760942331601259"/>
          <c:h val="0.80518269829667466"/>
        </c:manualLayout>
      </c:layout>
      <c:barChart>
        <c:barDir val="col"/>
        <c:grouping val="stacked"/>
        <c:varyColors val="0"/>
        <c:ser>
          <c:idx val="8"/>
          <c:order val="0"/>
          <c:tx>
            <c:strRef>
              <c:f>'Baseline by End Use'!$L$12</c:f>
              <c:strCache>
                <c:ptCount val="1"/>
                <c:pt idx="0">
                  <c:v> Generation </c:v>
                </c:pt>
              </c:strCache>
            </c:strRef>
          </c:tx>
          <c:spPr>
            <a:pattFill prst="dkDnDiag">
              <a:fgClr>
                <a:schemeClr val="tx1"/>
              </a:fgClr>
              <a:bgClr>
                <a:schemeClr val="bg1"/>
              </a:bgClr>
            </a:patt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Use'!$M$12:$R$12</c:f>
              <c:numCache>
                <c:formatCode>_(* #,##0_);_(* \(#,##0\);_(* "-"??_);_(@_)</c:formatCode>
                <c:ptCount val="6"/>
                <c:pt idx="0">
                  <c:v>-6.5030318249357935</c:v>
                </c:pt>
                <c:pt idx="1">
                  <c:v>-37.734483047507453</c:v>
                </c:pt>
                <c:pt idx="2">
                  <c:v>-44.246992060501853</c:v>
                </c:pt>
                <c:pt idx="3">
                  <c:v>-66.308082117388267</c:v>
                </c:pt>
                <c:pt idx="4">
                  <c:v>-151.3052565961728</c:v>
                </c:pt>
                <c:pt idx="5">
                  <c:v>-229.73861666648401</c:v>
                </c:pt>
              </c:numCache>
            </c:numRef>
          </c:val>
          <c:extLst>
            <c:ext xmlns:c16="http://schemas.microsoft.com/office/drawing/2014/chart" uri="{C3380CC4-5D6E-409C-BE32-E72D297353CC}">
              <c16:uniqueId val="{00000000-3382-43C3-894B-0784F743A470}"/>
            </c:ext>
          </c:extLst>
        </c:ser>
        <c:ser>
          <c:idx val="7"/>
          <c:order val="1"/>
          <c:tx>
            <c:strRef>
              <c:f>'Baseline by End Use'!$L$11</c:f>
              <c:strCache>
                <c:ptCount val="1"/>
                <c:pt idx="0">
                  <c:v> Miscellaneous </c:v>
                </c:pt>
              </c:strCache>
            </c:strRef>
          </c:tx>
          <c:spPr>
            <a:solidFill>
              <a:srgbClr val="80808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Use'!$M$11:$R$11</c:f>
              <c:numCache>
                <c:formatCode>_(* #,##0_);_(* \(#,##0\);_(* "-"??_);_(@_)</c:formatCode>
                <c:ptCount val="6"/>
                <c:pt idx="0">
                  <c:v>2279.9002686769222</c:v>
                </c:pt>
                <c:pt idx="1">
                  <c:v>2236.2180889875835</c:v>
                </c:pt>
                <c:pt idx="2">
                  <c:v>2187.6804284103132</c:v>
                </c:pt>
                <c:pt idx="3">
                  <c:v>2149.7475211639025</c:v>
                </c:pt>
                <c:pt idx="4">
                  <c:v>2602.3500525609816</c:v>
                </c:pt>
                <c:pt idx="5">
                  <c:v>2941.765215551151</c:v>
                </c:pt>
              </c:numCache>
            </c:numRef>
          </c:val>
          <c:extLst>
            <c:ext xmlns:c16="http://schemas.microsoft.com/office/drawing/2014/chart" uri="{C3380CC4-5D6E-409C-BE32-E72D297353CC}">
              <c16:uniqueId val="{00000001-3382-43C3-894B-0784F743A470}"/>
            </c:ext>
          </c:extLst>
        </c:ser>
        <c:ser>
          <c:idx val="6"/>
          <c:order val="2"/>
          <c:tx>
            <c:strRef>
              <c:f>'Baseline by End Use'!$L$10</c:f>
              <c:strCache>
                <c:ptCount val="1"/>
                <c:pt idx="0">
                  <c:v> Electronics </c:v>
                </c:pt>
              </c:strCache>
            </c:strRef>
          </c:tx>
          <c:spPr>
            <a:solidFill>
              <a:srgbClr val="A98AE3"/>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Use'!$M$10:$R$10</c:f>
              <c:numCache>
                <c:formatCode>_(* #,##0_);_(* \(#,##0\);_(* "-"??_);_(@_)</c:formatCode>
                <c:ptCount val="6"/>
                <c:pt idx="0">
                  <c:v>957.98997536798663</c:v>
                </c:pt>
                <c:pt idx="1">
                  <c:v>947.65388127650522</c:v>
                </c:pt>
                <c:pt idx="2">
                  <c:v>937.92138327678651</c:v>
                </c:pt>
                <c:pt idx="3">
                  <c:v>935.0996974392433</c:v>
                </c:pt>
                <c:pt idx="4">
                  <c:v>968.82928541457329</c:v>
                </c:pt>
                <c:pt idx="5">
                  <c:v>990.92471306875291</c:v>
                </c:pt>
              </c:numCache>
            </c:numRef>
          </c:val>
          <c:extLst>
            <c:ext xmlns:c16="http://schemas.microsoft.com/office/drawing/2014/chart" uri="{C3380CC4-5D6E-409C-BE32-E72D297353CC}">
              <c16:uniqueId val="{00000002-3382-43C3-894B-0784F743A470}"/>
            </c:ext>
          </c:extLst>
        </c:ser>
        <c:ser>
          <c:idx val="5"/>
          <c:order val="3"/>
          <c:tx>
            <c:strRef>
              <c:f>'Baseline by End Use'!$L$9</c:f>
              <c:strCache>
                <c:ptCount val="1"/>
                <c:pt idx="0">
                  <c:v> Appliances </c:v>
                </c:pt>
              </c:strCache>
            </c:strRef>
          </c:tx>
          <c:spPr>
            <a:solidFill>
              <a:srgbClr val="3CD39C"/>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Use'!$M$9:$R$9</c:f>
              <c:numCache>
                <c:formatCode>_(* #,##0_);_(* \(#,##0\);_(* "-"??_);_(@_)</c:formatCode>
                <c:ptCount val="6"/>
                <c:pt idx="0">
                  <c:v>1944.3414397929437</c:v>
                </c:pt>
                <c:pt idx="1">
                  <c:v>1909.6325195616678</c:v>
                </c:pt>
                <c:pt idx="2">
                  <c:v>1875.5693022305793</c:v>
                </c:pt>
                <c:pt idx="3">
                  <c:v>1797.6933459496649</c:v>
                </c:pt>
                <c:pt idx="4">
                  <c:v>1701.9770563325487</c:v>
                </c:pt>
                <c:pt idx="5">
                  <c:v>1676.814622388197</c:v>
                </c:pt>
              </c:numCache>
            </c:numRef>
          </c:val>
          <c:extLst>
            <c:ext xmlns:c16="http://schemas.microsoft.com/office/drawing/2014/chart" uri="{C3380CC4-5D6E-409C-BE32-E72D297353CC}">
              <c16:uniqueId val="{00000003-3382-43C3-894B-0784F743A470}"/>
            </c:ext>
          </c:extLst>
        </c:ser>
        <c:ser>
          <c:idx val="4"/>
          <c:order val="4"/>
          <c:tx>
            <c:strRef>
              <c:f>'Baseline by End Use'!$L$8</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Use'!$M$8:$R$8</c:f>
              <c:numCache>
                <c:formatCode>_(* #,##0_);_(* \(#,##0\);_(* "-"??_);_(@_)</c:formatCode>
                <c:ptCount val="6"/>
                <c:pt idx="0">
                  <c:v>287.40272219277216</c:v>
                </c:pt>
                <c:pt idx="1">
                  <c:v>131.25567356207557</c:v>
                </c:pt>
                <c:pt idx="2">
                  <c:v>118.46888197108308</c:v>
                </c:pt>
                <c:pt idx="3">
                  <c:v>106.64375837077048</c:v>
                </c:pt>
                <c:pt idx="4">
                  <c:v>78.356459722406413</c:v>
                </c:pt>
                <c:pt idx="5">
                  <c:v>74.484261897176424</c:v>
                </c:pt>
              </c:numCache>
            </c:numRef>
          </c:val>
          <c:extLst>
            <c:ext xmlns:c16="http://schemas.microsoft.com/office/drawing/2014/chart" uri="{C3380CC4-5D6E-409C-BE32-E72D297353CC}">
              <c16:uniqueId val="{00000004-3382-43C3-894B-0784F743A470}"/>
            </c:ext>
          </c:extLst>
        </c:ser>
        <c:ser>
          <c:idx val="3"/>
          <c:order val="5"/>
          <c:tx>
            <c:strRef>
              <c:f>'Baseline by End Use'!$L$7</c:f>
              <c:strCache>
                <c:ptCount val="1"/>
                <c:pt idx="0">
                  <c:v> Interior Lighting </c:v>
                </c:pt>
              </c:strCache>
            </c:strRef>
          </c:tx>
          <c:spPr>
            <a:solidFill>
              <a:srgbClr val="FFE866"/>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Use'!$M$7:$R$7</c:f>
              <c:numCache>
                <c:formatCode>_(* #,##0_);_(* \(#,##0\);_(* "-"??_);_(@_)</c:formatCode>
                <c:ptCount val="6"/>
                <c:pt idx="0">
                  <c:v>1159.5877435503962</c:v>
                </c:pt>
                <c:pt idx="1">
                  <c:v>1015.3711300953336</c:v>
                </c:pt>
                <c:pt idx="2">
                  <c:v>876.46870017547394</c:v>
                </c:pt>
                <c:pt idx="3">
                  <c:v>637.17362378149926</c:v>
                </c:pt>
                <c:pt idx="4">
                  <c:v>470.59886192559003</c:v>
                </c:pt>
                <c:pt idx="5">
                  <c:v>435.41390127849451</c:v>
                </c:pt>
              </c:numCache>
            </c:numRef>
          </c:val>
          <c:extLst>
            <c:ext xmlns:c16="http://schemas.microsoft.com/office/drawing/2014/chart" uri="{C3380CC4-5D6E-409C-BE32-E72D297353CC}">
              <c16:uniqueId val="{00000005-3382-43C3-894B-0784F743A470}"/>
            </c:ext>
          </c:extLst>
        </c:ser>
        <c:ser>
          <c:idx val="2"/>
          <c:order val="6"/>
          <c:tx>
            <c:strRef>
              <c:f>'Baseline by End Use'!$L$6</c:f>
              <c:strCache>
                <c:ptCount val="1"/>
                <c:pt idx="0">
                  <c:v> Water Heating </c:v>
                </c:pt>
              </c:strCache>
            </c:strRef>
          </c:tx>
          <c:spPr>
            <a:solidFill>
              <a:srgbClr val="FFA35B"/>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Use'!$M$6:$R$6</c:f>
              <c:numCache>
                <c:formatCode>_(* #,##0_);_(* \(#,##0\);_(* "-"??_);_(@_)</c:formatCode>
                <c:ptCount val="6"/>
                <c:pt idx="0">
                  <c:v>1156.7605065254572</c:v>
                </c:pt>
                <c:pt idx="1">
                  <c:v>1378.0891969992028</c:v>
                </c:pt>
                <c:pt idx="2">
                  <c:v>1421.0742770891247</c:v>
                </c:pt>
                <c:pt idx="3">
                  <c:v>1355.5845691266491</c:v>
                </c:pt>
                <c:pt idx="4">
                  <c:v>857.10117187000264</c:v>
                </c:pt>
                <c:pt idx="5">
                  <c:v>686.46399893747298</c:v>
                </c:pt>
              </c:numCache>
            </c:numRef>
          </c:val>
          <c:extLst>
            <c:ext xmlns:c16="http://schemas.microsoft.com/office/drawing/2014/chart" uri="{C3380CC4-5D6E-409C-BE32-E72D297353CC}">
              <c16:uniqueId val="{00000006-3382-43C3-894B-0784F743A470}"/>
            </c:ext>
          </c:extLst>
        </c:ser>
        <c:ser>
          <c:idx val="1"/>
          <c:order val="7"/>
          <c:tx>
            <c:strRef>
              <c:f>'Baseline by End Use'!$L$5</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Use'!$M$5:$R$5</c:f>
              <c:numCache>
                <c:formatCode>_(* #,##0_);_(* \(#,##0\);_(* "-"??_);_(@_)</c:formatCode>
                <c:ptCount val="6"/>
                <c:pt idx="0">
                  <c:v>2595.1225363977587</c:v>
                </c:pt>
                <c:pt idx="1">
                  <c:v>2979.4334050445241</c:v>
                </c:pt>
                <c:pt idx="2">
                  <c:v>3174.4179077051094</c:v>
                </c:pt>
                <c:pt idx="3">
                  <c:v>3040.7567268425605</c:v>
                </c:pt>
                <c:pt idx="4">
                  <c:v>3155.8699176347945</c:v>
                </c:pt>
                <c:pt idx="5">
                  <c:v>3102.6740876284748</c:v>
                </c:pt>
              </c:numCache>
            </c:numRef>
          </c:val>
          <c:extLst>
            <c:ext xmlns:c16="http://schemas.microsoft.com/office/drawing/2014/chart" uri="{C3380CC4-5D6E-409C-BE32-E72D297353CC}">
              <c16:uniqueId val="{00000007-3382-43C3-894B-0784F743A470}"/>
            </c:ext>
          </c:extLst>
        </c:ser>
        <c:ser>
          <c:idx val="0"/>
          <c:order val="8"/>
          <c:tx>
            <c:strRef>
              <c:f>'Baseline by End Use'!$L$4</c:f>
              <c:strCache>
                <c:ptCount val="1"/>
                <c:pt idx="0">
                  <c:v> Cooling </c:v>
                </c:pt>
              </c:strCache>
            </c:strRef>
          </c:tx>
          <c:spPr>
            <a:solidFill>
              <a:srgbClr val="00B3F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Use'!$M$4:$R$4</c:f>
              <c:numCache>
                <c:formatCode>_(* #,##0_);_(* \(#,##0\);_(* "-"??_);_(@_)</c:formatCode>
                <c:ptCount val="6"/>
                <c:pt idx="0">
                  <c:v>611.41932927217545</c:v>
                </c:pt>
                <c:pt idx="1">
                  <c:v>625.52094039361918</c:v>
                </c:pt>
                <c:pt idx="2">
                  <c:v>552.43731105660879</c:v>
                </c:pt>
                <c:pt idx="3">
                  <c:v>513.78731896623049</c:v>
                </c:pt>
                <c:pt idx="4">
                  <c:v>472.00771481380428</c:v>
                </c:pt>
                <c:pt idx="5">
                  <c:v>446.66233306736069</c:v>
                </c:pt>
              </c:numCache>
            </c:numRef>
          </c:val>
          <c:extLst>
            <c:ext xmlns:c16="http://schemas.microsoft.com/office/drawing/2014/chart" uri="{C3380CC4-5D6E-409C-BE32-E72D297353CC}">
              <c16:uniqueId val="{00000008-3382-43C3-894B-0784F743A470}"/>
            </c:ext>
          </c:extLst>
        </c:ser>
        <c:dLbls>
          <c:showLegendKey val="0"/>
          <c:showVal val="0"/>
          <c:showCatName val="0"/>
          <c:showSerName val="0"/>
          <c:showPercent val="0"/>
          <c:showBubbleSize val="0"/>
        </c:dLbls>
        <c:gapWidth val="75"/>
        <c:overlap val="100"/>
        <c:axId val="196167744"/>
        <c:axId val="196161504"/>
        <c:extLst/>
      </c:barChart>
      <c:catAx>
        <c:axId val="196167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1504"/>
        <c:crosses val="autoZero"/>
        <c:auto val="1"/>
        <c:lblAlgn val="ctr"/>
        <c:lblOffset val="100"/>
        <c:noMultiLvlLbl val="0"/>
      </c:catAx>
      <c:valAx>
        <c:axId val="1961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kWh/HH</a:t>
                </a:r>
              </a:p>
              <a:p>
                <a:pPr>
                  <a:defRPr/>
                </a:pPr>
                <a:endParaRPr lang="en-US"/>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7744"/>
        <c:crosses val="autoZero"/>
        <c:crossBetween val="between"/>
      </c:valAx>
      <c:spPr>
        <a:noFill/>
        <a:ln>
          <a:noFill/>
        </a:ln>
        <a:effectLst/>
      </c:spPr>
    </c:plotArea>
    <c:legend>
      <c:legendPos val="r"/>
      <c:layout>
        <c:manualLayout>
          <c:xMode val="edge"/>
          <c:yMode val="edge"/>
          <c:x val="0.80809661950150968"/>
          <c:y val="0.11198142545263158"/>
          <c:w val="0.18984912311062332"/>
          <c:h val="0.7650020817716939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F6F6F7"/>
    </a:solidFill>
    <a:ln w="9525" cap="flat" cmpd="sng" algn="ctr">
      <a:noFill/>
      <a:round/>
    </a:ln>
    <a:effectLst/>
  </c:spPr>
  <c:txPr>
    <a:bodyPr/>
    <a:lstStyle/>
    <a:p>
      <a:pPr>
        <a:defRPr sz="1000"/>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45912376138444"/>
          <c:y val="8.2373545317607294E-2"/>
          <c:w val="0.63434029880880272"/>
          <c:h val="0.81803555805524308"/>
        </c:manualLayout>
      </c:layout>
      <c:areaChart>
        <c:grouping val="stacked"/>
        <c:varyColors val="0"/>
        <c:ser>
          <c:idx val="9"/>
          <c:order val="0"/>
          <c:tx>
            <c:strRef>
              <c:f>'Baseline by End Use'!$B$60</c:f>
              <c:strCache>
                <c:ptCount val="1"/>
                <c:pt idx="0">
                  <c:v> Miscellaneous </c:v>
                </c:pt>
              </c:strCache>
            </c:strRef>
          </c:tx>
          <c:spPr>
            <a:solidFill>
              <a:schemeClr val="bg1">
                <a:lumMod val="50000"/>
              </a:schemeClr>
            </a:solidFill>
            <a:ln w="9525">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Use'!$C$60:$AA$60</c:f>
              <c:numCache>
                <c:formatCode>_(* #,##0_);_(* \(#,##0\);_(* "-"??_);_(@_)</c:formatCode>
                <c:ptCount val="25"/>
                <c:pt idx="0">
                  <c:v>272.60306422485723</c:v>
                </c:pt>
                <c:pt idx="1">
                  <c:v>275.15074183132054</c:v>
                </c:pt>
                <c:pt idx="2">
                  <c:v>283.19797559106883</c:v>
                </c:pt>
                <c:pt idx="3">
                  <c:v>291.47147127927576</c:v>
                </c:pt>
                <c:pt idx="4">
                  <c:v>302.07621794279635</c:v>
                </c:pt>
                <c:pt idx="5">
                  <c:v>314.3660716992913</c:v>
                </c:pt>
                <c:pt idx="6">
                  <c:v>328.34046950594114</c:v>
                </c:pt>
                <c:pt idx="7">
                  <c:v>345.53594434113711</c:v>
                </c:pt>
                <c:pt idx="8">
                  <c:v>362.98101118052858</c:v>
                </c:pt>
                <c:pt idx="9">
                  <c:v>387.78695529184631</c:v>
                </c:pt>
                <c:pt idx="10">
                  <c:v>417.26615899225749</c:v>
                </c:pt>
                <c:pt idx="11">
                  <c:v>452.48107326523592</c:v>
                </c:pt>
                <c:pt idx="12">
                  <c:v>490.06399804590285</c:v>
                </c:pt>
                <c:pt idx="13">
                  <c:v>535.70560097935311</c:v>
                </c:pt>
                <c:pt idx="14">
                  <c:v>584.52500482345863</c:v>
                </c:pt>
                <c:pt idx="15">
                  <c:v>636.22985791127019</c:v>
                </c:pt>
                <c:pt idx="16">
                  <c:v>694.17567347817305</c:v>
                </c:pt>
                <c:pt idx="17">
                  <c:v>760.41104689827739</c:v>
                </c:pt>
                <c:pt idx="18">
                  <c:v>828.34823048991495</c:v>
                </c:pt>
                <c:pt idx="19">
                  <c:v>908.31963460948339</c:v>
                </c:pt>
                <c:pt idx="20">
                  <c:v>984.24166032851997</c:v>
                </c:pt>
                <c:pt idx="21">
                  <c:v>1057.7619823372595</c:v>
                </c:pt>
                <c:pt idx="22">
                  <c:v>1137.67771788557</c:v>
                </c:pt>
                <c:pt idx="23">
                  <c:v>1218.2667097527287</c:v>
                </c:pt>
                <c:pt idx="24">
                  <c:v>1280.2125513764552</c:v>
                </c:pt>
              </c:numCache>
              <c:extLst/>
            </c:numRef>
          </c:val>
          <c:extLst>
            <c:ext xmlns:c16="http://schemas.microsoft.com/office/drawing/2014/chart" uri="{C3380CC4-5D6E-409C-BE32-E72D297353CC}">
              <c16:uniqueId val="{00000000-21E8-4403-9419-6D60C6474D1E}"/>
            </c:ext>
          </c:extLst>
        </c:ser>
        <c:ser>
          <c:idx val="0"/>
          <c:order val="1"/>
          <c:tx>
            <c:strRef>
              <c:f>'Baseline by End Use'!$B$59</c:f>
              <c:strCache>
                <c:ptCount val="1"/>
                <c:pt idx="0">
                  <c:v> Office Equipment </c:v>
                </c:pt>
              </c:strCache>
            </c:strRef>
          </c:tx>
          <c:spPr>
            <a:solidFill>
              <a:srgbClr val="A98AE3"/>
            </a:solidFill>
            <a:ln w="9525">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Use'!$C$59:$AA$59</c:f>
              <c:numCache>
                <c:formatCode>_(* #,##0_);_(* \(#,##0\);_(* "-"??_);_(@_)</c:formatCode>
                <c:ptCount val="25"/>
                <c:pt idx="0">
                  <c:v>225.27088957012819</c:v>
                </c:pt>
                <c:pt idx="1">
                  <c:v>223.56154469925906</c:v>
                </c:pt>
                <c:pt idx="2">
                  <c:v>220.95948005379802</c:v>
                </c:pt>
                <c:pt idx="3">
                  <c:v>216.65101199444237</c:v>
                </c:pt>
                <c:pt idx="4">
                  <c:v>213.16112140460314</c:v>
                </c:pt>
                <c:pt idx="5">
                  <c:v>210.76038536008059</c:v>
                </c:pt>
                <c:pt idx="6">
                  <c:v>209.05734880808751</c:v>
                </c:pt>
                <c:pt idx="7">
                  <c:v>208.32399959900175</c:v>
                </c:pt>
                <c:pt idx="8">
                  <c:v>208.02429514139041</c:v>
                </c:pt>
                <c:pt idx="9">
                  <c:v>208.09152095560998</c:v>
                </c:pt>
                <c:pt idx="10">
                  <c:v>208.74163281002427</c:v>
                </c:pt>
                <c:pt idx="11">
                  <c:v>209.54180371954672</c:v>
                </c:pt>
                <c:pt idx="12">
                  <c:v>210.45203582146226</c:v>
                </c:pt>
                <c:pt idx="13">
                  <c:v>211.43564861487883</c:v>
                </c:pt>
                <c:pt idx="14">
                  <c:v>212.46515365066622</c:v>
                </c:pt>
                <c:pt idx="15">
                  <c:v>213.52293641386325</c:v>
                </c:pt>
                <c:pt idx="16">
                  <c:v>214.60686011946282</c:v>
                </c:pt>
                <c:pt idx="17">
                  <c:v>215.70676074463364</c:v>
                </c:pt>
                <c:pt idx="18">
                  <c:v>216.81282076649325</c:v>
                </c:pt>
                <c:pt idx="19">
                  <c:v>217.92149111914298</c:v>
                </c:pt>
                <c:pt idx="20">
                  <c:v>219.01644623229708</c:v>
                </c:pt>
                <c:pt idx="21">
                  <c:v>220.09179772586867</c:v>
                </c:pt>
                <c:pt idx="22">
                  <c:v>221.15400915084788</c:v>
                </c:pt>
                <c:pt idx="23">
                  <c:v>222.21569668634342</c:v>
                </c:pt>
                <c:pt idx="24">
                  <c:v>223.29122419302558</c:v>
                </c:pt>
              </c:numCache>
              <c:extLst/>
            </c:numRef>
          </c:val>
          <c:extLst>
            <c:ext xmlns:c16="http://schemas.microsoft.com/office/drawing/2014/chart" uri="{C3380CC4-5D6E-409C-BE32-E72D297353CC}">
              <c16:uniqueId val="{00000001-21E8-4403-9419-6D60C6474D1E}"/>
            </c:ext>
          </c:extLst>
        </c:ser>
        <c:ser>
          <c:idx val="1"/>
          <c:order val="2"/>
          <c:tx>
            <c:strRef>
              <c:f>'Baseline by End Use'!$B$58</c:f>
              <c:strCache>
                <c:ptCount val="1"/>
                <c:pt idx="0">
                  <c:v> Food Preparation </c:v>
                </c:pt>
              </c:strCache>
            </c:strRef>
          </c:tx>
          <c:spPr>
            <a:solidFill>
              <a:schemeClr val="accent3">
                <a:lumMod val="50000"/>
              </a:schemeClr>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Use'!$C$58:$AA$58</c:f>
              <c:numCache>
                <c:formatCode>_(* #,##0_);_(* \(#,##0\);_(* "-"??_);_(@_)</c:formatCode>
                <c:ptCount val="25"/>
                <c:pt idx="0">
                  <c:v>123.81889791388976</c:v>
                </c:pt>
                <c:pt idx="1">
                  <c:v>124.0845068124229</c:v>
                </c:pt>
                <c:pt idx="2">
                  <c:v>123.99580847452715</c:v>
                </c:pt>
                <c:pt idx="3">
                  <c:v>123.20620504555259</c:v>
                </c:pt>
                <c:pt idx="4">
                  <c:v>122.17768285270772</c:v>
                </c:pt>
                <c:pt idx="5">
                  <c:v>120.92116406918261</c:v>
                </c:pt>
                <c:pt idx="6">
                  <c:v>119.71246396562955</c:v>
                </c:pt>
                <c:pt idx="7">
                  <c:v>118.71195025826356</c:v>
                </c:pt>
                <c:pt idx="8">
                  <c:v>118.09894095010625</c:v>
                </c:pt>
                <c:pt idx="9">
                  <c:v>117.81318456144432</c:v>
                </c:pt>
                <c:pt idx="10">
                  <c:v>117.79747125775808</c:v>
                </c:pt>
                <c:pt idx="11">
                  <c:v>117.99871699978243</c:v>
                </c:pt>
                <c:pt idx="12">
                  <c:v>118.37324438212076</c:v>
                </c:pt>
                <c:pt idx="13">
                  <c:v>118.88298371833656</c:v>
                </c:pt>
                <c:pt idx="14">
                  <c:v>119.50356774625747</c:v>
                </c:pt>
                <c:pt idx="15">
                  <c:v>120.21108996146582</c:v>
                </c:pt>
                <c:pt idx="16">
                  <c:v>120.99205609904182</c:v>
                </c:pt>
                <c:pt idx="17">
                  <c:v>121.83015437140693</c:v>
                </c:pt>
                <c:pt idx="18">
                  <c:v>122.71445154502977</c:v>
                </c:pt>
                <c:pt idx="19">
                  <c:v>123.63715765104477</c:v>
                </c:pt>
                <c:pt idx="20">
                  <c:v>124.59168408092681</c:v>
                </c:pt>
                <c:pt idx="21">
                  <c:v>125.5730847713284</c:v>
                </c:pt>
                <c:pt idx="22">
                  <c:v>126.57846232071213</c:v>
                </c:pt>
                <c:pt idx="23">
                  <c:v>127.60490674500247</c:v>
                </c:pt>
                <c:pt idx="24">
                  <c:v>128.65049455118961</c:v>
                </c:pt>
              </c:numCache>
              <c:extLst/>
            </c:numRef>
          </c:val>
          <c:extLst>
            <c:ext xmlns:c16="http://schemas.microsoft.com/office/drawing/2014/chart" uri="{C3380CC4-5D6E-409C-BE32-E72D297353CC}">
              <c16:uniqueId val="{00000002-21E8-4403-9419-6D60C6474D1E}"/>
            </c:ext>
          </c:extLst>
        </c:ser>
        <c:ser>
          <c:idx val="2"/>
          <c:order val="3"/>
          <c:tx>
            <c:strRef>
              <c:f>'Baseline by End Use'!$B$57</c:f>
              <c:strCache>
                <c:ptCount val="1"/>
                <c:pt idx="0">
                  <c:v> Refrigeration </c:v>
                </c:pt>
              </c:strCache>
            </c:strRef>
          </c:tx>
          <c:spPr>
            <a:solidFill>
              <a:srgbClr val="3CD39C"/>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Use'!$C$57:$AA$57</c:f>
              <c:numCache>
                <c:formatCode>_(* #,##0_);_(* \(#,##0\);_(* "-"??_);_(@_)</c:formatCode>
                <c:ptCount val="25"/>
                <c:pt idx="0">
                  <c:v>234.75080950340799</c:v>
                </c:pt>
                <c:pt idx="1">
                  <c:v>236.67041618954886</c:v>
                </c:pt>
                <c:pt idx="2">
                  <c:v>238.64457761619374</c:v>
                </c:pt>
                <c:pt idx="3">
                  <c:v>240.25188407742601</c:v>
                </c:pt>
                <c:pt idx="4">
                  <c:v>241.90083622866371</c:v>
                </c:pt>
                <c:pt idx="5">
                  <c:v>243.31731913406969</c:v>
                </c:pt>
                <c:pt idx="6">
                  <c:v>244.75147307136288</c:v>
                </c:pt>
                <c:pt idx="7">
                  <c:v>246.31531308783195</c:v>
                </c:pt>
                <c:pt idx="8">
                  <c:v>247.92402424184664</c:v>
                </c:pt>
                <c:pt idx="9">
                  <c:v>249.5565434672761</c:v>
                </c:pt>
                <c:pt idx="10">
                  <c:v>251.21147834963048</c:v>
                </c:pt>
                <c:pt idx="11">
                  <c:v>252.88754596751053</c:v>
                </c:pt>
                <c:pt idx="12">
                  <c:v>254.5837540034243</c:v>
                </c:pt>
                <c:pt idx="13">
                  <c:v>256.29875452913302</c:v>
                </c:pt>
                <c:pt idx="14">
                  <c:v>258.03153672093964</c:v>
                </c:pt>
                <c:pt idx="15">
                  <c:v>259.78071455364693</c:v>
                </c:pt>
                <c:pt idx="16">
                  <c:v>261.54624978704419</c:v>
                </c:pt>
                <c:pt idx="17">
                  <c:v>263.32770106697558</c:v>
                </c:pt>
                <c:pt idx="18">
                  <c:v>265.12475937723008</c:v>
                </c:pt>
                <c:pt idx="19">
                  <c:v>266.93727767461462</c:v>
                </c:pt>
                <c:pt idx="20">
                  <c:v>268.76507339853532</c:v>
                </c:pt>
                <c:pt idx="21">
                  <c:v>270.6080914848614</c:v>
                </c:pt>
                <c:pt idx="22">
                  <c:v>272.46633291372791</c:v>
                </c:pt>
                <c:pt idx="23">
                  <c:v>274.33979850559172</c:v>
                </c:pt>
                <c:pt idx="24">
                  <c:v>276.22851959070829</c:v>
                </c:pt>
              </c:numCache>
              <c:extLst/>
            </c:numRef>
          </c:val>
          <c:extLst>
            <c:ext xmlns:c16="http://schemas.microsoft.com/office/drawing/2014/chart" uri="{C3380CC4-5D6E-409C-BE32-E72D297353CC}">
              <c16:uniqueId val="{00000003-21E8-4403-9419-6D60C6474D1E}"/>
            </c:ext>
          </c:extLst>
        </c:ser>
        <c:ser>
          <c:idx val="3"/>
          <c:order val="4"/>
          <c:tx>
            <c:strRef>
              <c:f>'Baseline by End Use'!$B$56</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Use'!$C$56:$AA$56</c:f>
              <c:numCache>
                <c:formatCode>_(* #,##0_);_(* \(#,##0\);_(* "-"??_);_(@_)</c:formatCode>
                <c:ptCount val="25"/>
                <c:pt idx="0">
                  <c:v>90.189929023824533</c:v>
                </c:pt>
                <c:pt idx="1">
                  <c:v>89.873832924622832</c:v>
                </c:pt>
                <c:pt idx="2">
                  <c:v>89.137531969821993</c:v>
                </c:pt>
                <c:pt idx="3">
                  <c:v>87.909679030672962</c:v>
                </c:pt>
                <c:pt idx="4">
                  <c:v>85.78915264373137</c:v>
                </c:pt>
                <c:pt idx="5">
                  <c:v>83.391336465919608</c:v>
                </c:pt>
                <c:pt idx="6">
                  <c:v>81.143969360519151</c:v>
                </c:pt>
                <c:pt idx="7">
                  <c:v>79.403253882949699</c:v>
                </c:pt>
                <c:pt idx="8">
                  <c:v>78.042465871038331</c:v>
                </c:pt>
                <c:pt idx="9">
                  <c:v>76.715595036442679</c:v>
                </c:pt>
                <c:pt idx="10">
                  <c:v>75.656414015660147</c:v>
                </c:pt>
                <c:pt idx="11">
                  <c:v>74.796610867065411</c:v>
                </c:pt>
                <c:pt idx="12">
                  <c:v>74.113802322948601</c:v>
                </c:pt>
                <c:pt idx="13">
                  <c:v>73.620035056876802</c:v>
                </c:pt>
                <c:pt idx="14">
                  <c:v>73.092078287180556</c:v>
                </c:pt>
                <c:pt idx="15">
                  <c:v>72.581272412290502</c:v>
                </c:pt>
                <c:pt idx="16">
                  <c:v>72.162422535740916</c:v>
                </c:pt>
                <c:pt idx="17">
                  <c:v>71.78915970667461</c:v>
                </c:pt>
                <c:pt idx="18">
                  <c:v>71.334619859825025</c:v>
                </c:pt>
                <c:pt idx="19">
                  <c:v>70.945543201727389</c:v>
                </c:pt>
                <c:pt idx="20">
                  <c:v>70.586636774139706</c:v>
                </c:pt>
                <c:pt idx="21">
                  <c:v>70.17056357649524</c:v>
                </c:pt>
                <c:pt idx="22">
                  <c:v>70.025919887720548</c:v>
                </c:pt>
                <c:pt idx="23">
                  <c:v>69.940031689504323</c:v>
                </c:pt>
                <c:pt idx="24">
                  <c:v>69.571952762028218</c:v>
                </c:pt>
              </c:numCache>
              <c:extLst/>
            </c:numRef>
          </c:val>
          <c:extLst>
            <c:ext xmlns:c16="http://schemas.microsoft.com/office/drawing/2014/chart" uri="{C3380CC4-5D6E-409C-BE32-E72D297353CC}">
              <c16:uniqueId val="{00000004-21E8-4403-9419-6D60C6474D1E}"/>
            </c:ext>
          </c:extLst>
        </c:ser>
        <c:ser>
          <c:idx val="4"/>
          <c:order val="5"/>
          <c:tx>
            <c:strRef>
              <c:f>'Baseline by End Use'!$B$55</c:f>
              <c:strCache>
                <c:ptCount val="1"/>
                <c:pt idx="0">
                  <c:v> Interior Lighting </c:v>
                </c:pt>
              </c:strCache>
            </c:strRef>
          </c:tx>
          <c:spPr>
            <a:solidFill>
              <a:srgbClr val="FFDA00"/>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Use'!$C$55:$AA$55</c:f>
              <c:numCache>
                <c:formatCode>_(* #,##0_);_(* \(#,##0\);_(* "-"??_);_(@_)</c:formatCode>
                <c:ptCount val="25"/>
                <c:pt idx="0">
                  <c:v>393.89815985655963</c:v>
                </c:pt>
                <c:pt idx="1">
                  <c:v>394.73039576196032</c:v>
                </c:pt>
                <c:pt idx="2">
                  <c:v>394.29019133806929</c:v>
                </c:pt>
                <c:pt idx="3">
                  <c:v>392.23514972490415</c:v>
                </c:pt>
                <c:pt idx="4">
                  <c:v>387.94385028399432</c:v>
                </c:pt>
                <c:pt idx="5">
                  <c:v>383.71966484707087</c:v>
                </c:pt>
                <c:pt idx="6">
                  <c:v>379.7874166295025</c:v>
                </c:pt>
                <c:pt idx="7">
                  <c:v>376.68673295512178</c:v>
                </c:pt>
                <c:pt idx="8">
                  <c:v>374.2487029677614</c:v>
                </c:pt>
                <c:pt idx="9">
                  <c:v>371.33700945516716</c:v>
                </c:pt>
                <c:pt idx="10">
                  <c:v>367.93612264567383</c:v>
                </c:pt>
                <c:pt idx="11">
                  <c:v>365.12817502428629</c:v>
                </c:pt>
                <c:pt idx="12">
                  <c:v>362.9097804155939</c:v>
                </c:pt>
                <c:pt idx="13">
                  <c:v>361.47884732115199</c:v>
                </c:pt>
                <c:pt idx="14">
                  <c:v>359.48902463775204</c:v>
                </c:pt>
                <c:pt idx="15">
                  <c:v>357.39170712871652</c:v>
                </c:pt>
                <c:pt idx="16">
                  <c:v>355.65468101976916</c:v>
                </c:pt>
                <c:pt idx="17">
                  <c:v>354.08802491967549</c:v>
                </c:pt>
                <c:pt idx="18">
                  <c:v>352.27949840362817</c:v>
                </c:pt>
                <c:pt idx="19">
                  <c:v>351.0192098676709</c:v>
                </c:pt>
                <c:pt idx="20">
                  <c:v>349.98606587390736</c:v>
                </c:pt>
                <c:pt idx="21">
                  <c:v>348.72267062486185</c:v>
                </c:pt>
                <c:pt idx="22">
                  <c:v>348.39554749462815</c:v>
                </c:pt>
                <c:pt idx="23">
                  <c:v>348.41937214461637</c:v>
                </c:pt>
                <c:pt idx="24">
                  <c:v>347.05187513918992</c:v>
                </c:pt>
              </c:numCache>
              <c:extLst/>
            </c:numRef>
          </c:val>
          <c:extLst>
            <c:ext xmlns:c16="http://schemas.microsoft.com/office/drawing/2014/chart" uri="{C3380CC4-5D6E-409C-BE32-E72D297353CC}">
              <c16:uniqueId val="{00000005-21E8-4403-9419-6D60C6474D1E}"/>
            </c:ext>
          </c:extLst>
        </c:ser>
        <c:ser>
          <c:idx val="5"/>
          <c:order val="6"/>
          <c:tx>
            <c:strRef>
              <c:f>'Baseline by End Use'!$B$54</c:f>
              <c:strCache>
                <c:ptCount val="1"/>
                <c:pt idx="0">
                  <c:v> Water Heating </c:v>
                </c:pt>
              </c:strCache>
            </c:strRef>
          </c:tx>
          <c:spPr>
            <a:solidFill>
              <a:srgbClr val="FFA35B"/>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Use'!$C$54:$AA$54</c:f>
              <c:numCache>
                <c:formatCode>_(* #,##0_);_(* \(#,##0\);_(* "-"??_);_(@_)</c:formatCode>
                <c:ptCount val="25"/>
                <c:pt idx="0">
                  <c:v>69.833689576898593</c:v>
                </c:pt>
                <c:pt idx="1">
                  <c:v>74.2928111730875</c:v>
                </c:pt>
                <c:pt idx="2">
                  <c:v>77.707606223972348</c:v>
                </c:pt>
                <c:pt idx="3">
                  <c:v>78.964402986574839</c:v>
                </c:pt>
                <c:pt idx="4">
                  <c:v>80.532922673286564</c:v>
                </c:pt>
                <c:pt idx="5">
                  <c:v>83.880555673486214</c:v>
                </c:pt>
                <c:pt idx="6">
                  <c:v>87.149637690312375</c:v>
                </c:pt>
                <c:pt idx="7">
                  <c:v>90.390964654872164</c:v>
                </c:pt>
                <c:pt idx="8">
                  <c:v>93.594215051536096</c:v>
                </c:pt>
                <c:pt idx="9">
                  <c:v>96.762222213244769</c:v>
                </c:pt>
                <c:pt idx="10">
                  <c:v>100.02213508779407</c:v>
                </c:pt>
                <c:pt idx="11">
                  <c:v>103.29621412077373</c:v>
                </c:pt>
                <c:pt idx="12">
                  <c:v>106.55800506065411</c:v>
                </c:pt>
                <c:pt idx="13">
                  <c:v>109.58789103911816</c:v>
                </c:pt>
                <c:pt idx="14">
                  <c:v>112.42503058839505</c:v>
                </c:pt>
                <c:pt idx="15">
                  <c:v>115.6150428195397</c:v>
                </c:pt>
                <c:pt idx="16">
                  <c:v>118.48014646805923</c:v>
                </c:pt>
                <c:pt idx="17">
                  <c:v>121.1399964707982</c:v>
                </c:pt>
                <c:pt idx="18">
                  <c:v>123.6321618396555</c:v>
                </c:pt>
                <c:pt idx="19">
                  <c:v>125.98291910791687</c:v>
                </c:pt>
                <c:pt idx="20">
                  <c:v>127.89200247572607</c:v>
                </c:pt>
                <c:pt idx="21">
                  <c:v>129.79997232959209</c:v>
                </c:pt>
                <c:pt idx="22">
                  <c:v>131.69494462676067</c:v>
                </c:pt>
                <c:pt idx="23">
                  <c:v>133.57189153626015</c:v>
                </c:pt>
                <c:pt idx="24">
                  <c:v>135.53505139812171</c:v>
                </c:pt>
              </c:numCache>
              <c:extLst/>
            </c:numRef>
          </c:val>
          <c:extLst>
            <c:ext xmlns:c16="http://schemas.microsoft.com/office/drawing/2014/chart" uri="{C3380CC4-5D6E-409C-BE32-E72D297353CC}">
              <c16:uniqueId val="{00000006-21E8-4403-9419-6D60C6474D1E}"/>
            </c:ext>
          </c:extLst>
        </c:ser>
        <c:ser>
          <c:idx val="6"/>
          <c:order val="7"/>
          <c:tx>
            <c:strRef>
              <c:f>'Baseline by End Use'!$B$53</c:f>
              <c:strCache>
                <c:ptCount val="1"/>
                <c:pt idx="0">
                  <c:v> Ventilation </c:v>
                </c:pt>
              </c:strCache>
            </c:strRef>
          </c:tx>
          <c:spPr>
            <a:solidFill>
              <a:srgbClr val="00B3FF">
                <a:lumMod val="20000"/>
                <a:lumOff val="80000"/>
              </a:srgbClr>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Use'!$C$53:$AA$53</c:f>
              <c:numCache>
                <c:formatCode>_(* #,##0_);_(* \(#,##0\);_(* "-"??_);_(@_)</c:formatCode>
                <c:ptCount val="25"/>
                <c:pt idx="0">
                  <c:v>329.25009996162134</c:v>
                </c:pt>
                <c:pt idx="1">
                  <c:v>337.05593285240633</c:v>
                </c:pt>
                <c:pt idx="2">
                  <c:v>328.39941015885455</c:v>
                </c:pt>
                <c:pt idx="3">
                  <c:v>314.31566369251868</c:v>
                </c:pt>
                <c:pt idx="4">
                  <c:v>302.17798146567634</c:v>
                </c:pt>
                <c:pt idx="5">
                  <c:v>297.80250410012133</c:v>
                </c:pt>
                <c:pt idx="6">
                  <c:v>293.43387196928313</c:v>
                </c:pt>
                <c:pt idx="7">
                  <c:v>289.08662595690777</c:v>
                </c:pt>
                <c:pt idx="8">
                  <c:v>285.02640305262145</c:v>
                </c:pt>
                <c:pt idx="9">
                  <c:v>281.1644280139555</c:v>
                </c:pt>
                <c:pt idx="10">
                  <c:v>277.32419646397483</c:v>
                </c:pt>
                <c:pt idx="11">
                  <c:v>273.8223263819234</c:v>
                </c:pt>
                <c:pt idx="12">
                  <c:v>270.85839110571743</c:v>
                </c:pt>
                <c:pt idx="13">
                  <c:v>268.67131319942195</c:v>
                </c:pt>
                <c:pt idx="14">
                  <c:v>266.18577610787889</c:v>
                </c:pt>
                <c:pt idx="15">
                  <c:v>263.70992554330036</c:v>
                </c:pt>
                <c:pt idx="16">
                  <c:v>261.91149539813568</c:v>
                </c:pt>
                <c:pt idx="17">
                  <c:v>260.47562597823969</c:v>
                </c:pt>
                <c:pt idx="18">
                  <c:v>258.73492245835024</c:v>
                </c:pt>
                <c:pt idx="19">
                  <c:v>257.96304014535292</c:v>
                </c:pt>
                <c:pt idx="20">
                  <c:v>257.03358438670818</c:v>
                </c:pt>
                <c:pt idx="21">
                  <c:v>255.40147834645313</c:v>
                </c:pt>
                <c:pt idx="22">
                  <c:v>254.66653330728155</c:v>
                </c:pt>
                <c:pt idx="23">
                  <c:v>254.16940643173919</c:v>
                </c:pt>
                <c:pt idx="24">
                  <c:v>251.46076437629068</c:v>
                </c:pt>
              </c:numCache>
              <c:extLst/>
            </c:numRef>
          </c:val>
          <c:extLst>
            <c:ext xmlns:c16="http://schemas.microsoft.com/office/drawing/2014/chart" uri="{C3380CC4-5D6E-409C-BE32-E72D297353CC}">
              <c16:uniqueId val="{00000007-21E8-4403-9419-6D60C6474D1E}"/>
            </c:ext>
          </c:extLst>
        </c:ser>
        <c:ser>
          <c:idx val="7"/>
          <c:order val="8"/>
          <c:tx>
            <c:strRef>
              <c:f>'Baseline by End Use'!$B$52</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Use'!$C$52:$AA$52</c:f>
              <c:numCache>
                <c:formatCode>_(* #,##0_);_(* \(#,##0\);_(* "-"??_);_(@_)</c:formatCode>
                <c:ptCount val="25"/>
                <c:pt idx="0">
                  <c:v>162.36974560195847</c:v>
                </c:pt>
                <c:pt idx="1">
                  <c:v>203.39981920247922</c:v>
                </c:pt>
                <c:pt idx="2">
                  <c:v>184.00709231289702</c:v>
                </c:pt>
                <c:pt idx="3">
                  <c:v>192.74775435577109</c:v>
                </c:pt>
                <c:pt idx="4">
                  <c:v>189.16487209903497</c:v>
                </c:pt>
                <c:pt idx="5">
                  <c:v>189.97074221875877</c:v>
                </c:pt>
                <c:pt idx="6">
                  <c:v>190.47124917556314</c:v>
                </c:pt>
                <c:pt idx="7">
                  <c:v>190.36053311268736</c:v>
                </c:pt>
                <c:pt idx="8">
                  <c:v>190.46098286324877</c:v>
                </c:pt>
                <c:pt idx="9">
                  <c:v>191.07877946337396</c:v>
                </c:pt>
                <c:pt idx="10">
                  <c:v>190.65585427324771</c:v>
                </c:pt>
                <c:pt idx="11">
                  <c:v>191.66014179535318</c:v>
                </c:pt>
                <c:pt idx="12">
                  <c:v>191.89888198158565</c:v>
                </c:pt>
                <c:pt idx="13">
                  <c:v>193.18759932965779</c:v>
                </c:pt>
                <c:pt idx="14">
                  <c:v>194.97653074263067</c:v>
                </c:pt>
                <c:pt idx="15">
                  <c:v>196.47176582864319</c:v>
                </c:pt>
                <c:pt idx="16">
                  <c:v>196.40227790633728</c:v>
                </c:pt>
                <c:pt idx="17">
                  <c:v>197.37715025016735</c:v>
                </c:pt>
                <c:pt idx="18">
                  <c:v>196.94805388800671</c:v>
                </c:pt>
                <c:pt idx="19">
                  <c:v>198.38161431784451</c:v>
                </c:pt>
                <c:pt idx="20">
                  <c:v>199.09725781402452</c:v>
                </c:pt>
                <c:pt idx="21">
                  <c:v>197.92906958385359</c:v>
                </c:pt>
                <c:pt idx="22">
                  <c:v>199.09668002177594</c:v>
                </c:pt>
                <c:pt idx="23">
                  <c:v>200.14939826221737</c:v>
                </c:pt>
                <c:pt idx="24">
                  <c:v>198.7338192135571</c:v>
                </c:pt>
              </c:numCache>
              <c:extLst/>
            </c:numRef>
          </c:val>
          <c:extLst>
            <c:ext xmlns:c16="http://schemas.microsoft.com/office/drawing/2014/chart" uri="{C3380CC4-5D6E-409C-BE32-E72D297353CC}">
              <c16:uniqueId val="{00000008-21E8-4403-9419-6D60C6474D1E}"/>
            </c:ext>
          </c:extLst>
        </c:ser>
        <c:ser>
          <c:idx val="8"/>
          <c:order val="9"/>
          <c:tx>
            <c:strRef>
              <c:f>'Baseline by End Use'!$B$51</c:f>
              <c:strCache>
                <c:ptCount val="1"/>
                <c:pt idx="0">
                  <c:v> Cooling </c:v>
                </c:pt>
              </c:strCache>
            </c:strRef>
          </c:tx>
          <c:spPr>
            <a:solidFill>
              <a:srgbClr val="00B3FF"/>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Use'!$C$51:$AA$51</c:f>
              <c:numCache>
                <c:formatCode>_(* #,##0_);_(* \(#,##0\);_(* "-"??_);_(@_)</c:formatCode>
                <c:ptCount val="25"/>
                <c:pt idx="0">
                  <c:v>175.94474762148837</c:v>
                </c:pt>
                <c:pt idx="1">
                  <c:v>150.36217204036436</c:v>
                </c:pt>
                <c:pt idx="2">
                  <c:v>148.908798102281</c:v>
                </c:pt>
                <c:pt idx="3">
                  <c:v>130.49275655543846</c:v>
                </c:pt>
                <c:pt idx="4">
                  <c:v>128.48211347068133</c:v>
                </c:pt>
                <c:pt idx="5">
                  <c:v>129.18278932920288</c:v>
                </c:pt>
                <c:pt idx="6">
                  <c:v>129.77487339555682</c:v>
                </c:pt>
                <c:pt idx="7">
                  <c:v>130.85424165176997</c:v>
                </c:pt>
                <c:pt idx="8">
                  <c:v>131.24399950278519</c:v>
                </c:pt>
                <c:pt idx="9">
                  <c:v>132.90784714748762</c:v>
                </c:pt>
                <c:pt idx="10">
                  <c:v>133.84676680743669</c:v>
                </c:pt>
                <c:pt idx="11">
                  <c:v>134.69243980444125</c:v>
                </c:pt>
                <c:pt idx="12">
                  <c:v>134.92386469831794</c:v>
                </c:pt>
                <c:pt idx="13">
                  <c:v>135.70522455984684</c:v>
                </c:pt>
                <c:pt idx="14">
                  <c:v>136.50942422120232</c:v>
                </c:pt>
                <c:pt idx="15">
                  <c:v>137.82772440263614</c:v>
                </c:pt>
                <c:pt idx="16">
                  <c:v>137.63021058702543</c:v>
                </c:pt>
                <c:pt idx="17">
                  <c:v>139.46560507301425</c:v>
                </c:pt>
                <c:pt idx="18">
                  <c:v>140.85819076791648</c:v>
                </c:pt>
                <c:pt idx="19">
                  <c:v>141.93027597229997</c:v>
                </c:pt>
                <c:pt idx="20">
                  <c:v>141.95177567101467</c:v>
                </c:pt>
                <c:pt idx="21">
                  <c:v>142.33022417657585</c:v>
                </c:pt>
                <c:pt idx="22">
                  <c:v>142.51147395770653</c:v>
                </c:pt>
                <c:pt idx="23">
                  <c:v>143.19932500527131</c:v>
                </c:pt>
                <c:pt idx="24">
                  <c:v>143.23897374432735</c:v>
                </c:pt>
              </c:numCache>
              <c:extLst/>
            </c:numRef>
          </c:val>
          <c:extLst xmlns:c15="http://schemas.microsoft.com/office/drawing/2012/chart">
            <c:ext xmlns:c16="http://schemas.microsoft.com/office/drawing/2014/chart" uri="{C3380CC4-5D6E-409C-BE32-E72D297353CC}">
              <c16:uniqueId val="{00000009-21E8-4403-9419-6D60C6474D1E}"/>
            </c:ext>
          </c:extLst>
        </c:ser>
        <c:ser>
          <c:idx val="10"/>
          <c:order val="10"/>
          <c:tx>
            <c:strRef>
              <c:f>'Baseline by End Use'!$B$61</c:f>
              <c:strCache>
                <c:ptCount val="1"/>
                <c:pt idx="0">
                  <c:v> Generation </c:v>
                </c:pt>
              </c:strCache>
            </c:strRef>
          </c:tx>
          <c:spPr>
            <a:pattFill prst="wdDnDiag">
              <a:fgClr>
                <a:srgbClr val="F6F6F7"/>
              </a:fgClr>
              <a:bgClr>
                <a:srgbClr val="19172B"/>
              </a:bgClr>
            </a:pattFill>
            <a:ln w="25400">
              <a:no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Use'!$C$61:$AA$61</c:f>
              <c:numCache>
                <c:formatCode>_(* #,##0_);_(* \(#,##0\);_(* "-"??_);_(@_)</c:formatCode>
                <c:ptCount val="25"/>
                <c:pt idx="0">
                  <c:v>-2.4583530021841189</c:v>
                </c:pt>
                <c:pt idx="1">
                  <c:v>-2.5644134526515057</c:v>
                </c:pt>
                <c:pt idx="2">
                  <c:v>-6.9157625102754521</c:v>
                </c:pt>
                <c:pt idx="3">
                  <c:v>-7.1675942088895397</c:v>
                </c:pt>
                <c:pt idx="4">
                  <c:v>-7.3923349853714377</c:v>
                </c:pt>
                <c:pt idx="5">
                  <c:v>-7.9397646162531137</c:v>
                </c:pt>
                <c:pt idx="6">
                  <c:v>-8.0558259575536066</c:v>
                </c:pt>
                <c:pt idx="7">
                  <c:v>-9.4038478476120382</c:v>
                </c:pt>
                <c:pt idx="8">
                  <c:v>-9.5123499477351263</c:v>
                </c:pt>
                <c:pt idx="9">
                  <c:v>-9.7552637576718073</c:v>
                </c:pt>
                <c:pt idx="10">
                  <c:v>-9.761453734872358</c:v>
                </c:pt>
                <c:pt idx="11">
                  <c:v>-9.7957893200162438</c:v>
                </c:pt>
                <c:pt idx="12">
                  <c:v>-10.94643732722651</c:v>
                </c:pt>
                <c:pt idx="13">
                  <c:v>-12.131420919580659</c:v>
                </c:pt>
                <c:pt idx="14">
                  <c:v>-12.131420919580661</c:v>
                </c:pt>
                <c:pt idx="15">
                  <c:v>-13.341176679502524</c:v>
                </c:pt>
                <c:pt idx="16">
                  <c:v>-13.299341146098794</c:v>
                </c:pt>
                <c:pt idx="17">
                  <c:v>-13.299341146098786</c:v>
                </c:pt>
                <c:pt idx="18">
                  <c:v>-14.553850769464837</c:v>
                </c:pt>
                <c:pt idx="19">
                  <c:v>-14.605191709347555</c:v>
                </c:pt>
                <c:pt idx="20">
                  <c:v>-14.574682781018426</c:v>
                </c:pt>
                <c:pt idx="21">
                  <c:v>-17.031214880359432</c:v>
                </c:pt>
                <c:pt idx="22">
                  <c:v>-17.152045409243975</c:v>
                </c:pt>
                <c:pt idx="23">
                  <c:v>-19.852440456181284</c:v>
                </c:pt>
                <c:pt idx="24">
                  <c:v>-19.999392411071472</c:v>
                </c:pt>
              </c:numCache>
              <c:extLst/>
            </c:numRef>
          </c:val>
          <c:extLst>
            <c:ext xmlns:c16="http://schemas.microsoft.com/office/drawing/2014/chart" uri="{C3380CC4-5D6E-409C-BE32-E72D297353CC}">
              <c16:uniqueId val="{0000000A-21E8-4403-9419-6D60C6474D1E}"/>
            </c:ext>
          </c:extLst>
        </c:ser>
        <c:dLbls>
          <c:showLegendKey val="0"/>
          <c:showVal val="0"/>
          <c:showCatName val="0"/>
          <c:showSerName val="0"/>
          <c:showPercent val="0"/>
          <c:showBubbleSize val="0"/>
        </c:dLbls>
        <c:axId val="1916660864"/>
        <c:axId val="1916649632"/>
        <c:extLst/>
      </c:areaChart>
      <c:catAx>
        <c:axId val="191666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49632"/>
        <c:crosses val="autoZero"/>
        <c:auto val="1"/>
        <c:lblAlgn val="ctr"/>
        <c:lblOffset val="100"/>
        <c:tickLblSkip val="2"/>
        <c:noMultiLvlLbl val="0"/>
      </c:catAx>
      <c:valAx>
        <c:axId val="191664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60864"/>
        <c:crosses val="autoZero"/>
        <c:crossBetween val="between"/>
      </c:valAx>
      <c:spPr>
        <a:noFill/>
        <a:ln>
          <a:noFill/>
        </a:ln>
        <a:effectLst/>
      </c:spPr>
    </c:plotArea>
    <c:legend>
      <c:legendPos val="r"/>
      <c:layout>
        <c:manualLayout>
          <c:xMode val="edge"/>
          <c:yMode val="edge"/>
          <c:x val="0.80444187123668354"/>
          <c:y val="5.1780003182480258E-2"/>
          <c:w val="0.19349149983703018"/>
          <c:h val="0.9188369608362578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96404458835462"/>
          <c:y val="3.3830979895780253E-2"/>
          <c:w val="0.61079970053415922"/>
          <c:h val="0.8490431180444824"/>
        </c:manualLayout>
      </c:layout>
      <c:barChart>
        <c:barDir val="col"/>
        <c:grouping val="stacked"/>
        <c:varyColors val="0"/>
        <c:ser>
          <c:idx val="10"/>
          <c:order val="0"/>
          <c:tx>
            <c:strRef>
              <c:f>'Baseline by End Use'!$L$14</c:f>
              <c:strCache>
                <c:ptCount val="1"/>
                <c:pt idx="0">
                  <c:v> Generation </c:v>
                </c:pt>
              </c:strCache>
            </c:strRef>
          </c:tx>
          <c:spPr>
            <a:pattFill prst="wdDnDiag">
              <a:fgClr>
                <a:schemeClr val="tx1"/>
              </a:fgClr>
              <a:bgClr>
                <a:schemeClr val="bg1"/>
              </a:bgClr>
            </a:pattFill>
            <a:ln>
              <a:solidFill>
                <a:srgbClr val="F6F6F7"/>
              </a:solidFill>
            </a:ln>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Use'!$M$14:$R$14</c:f>
              <c:numCache>
                <c:formatCode>_(* #,##0_);_(* \(#,##0\);_(* "-"??_);_(@_)</c:formatCode>
                <c:ptCount val="6"/>
                <c:pt idx="0">
                  <c:v>-1.6255639800894353E-2</c:v>
                </c:pt>
                <c:pt idx="1">
                  <c:v>-4.4840887598934107E-2</c:v>
                </c:pt>
                <c:pt idx="2">
                  <c:v>-4.7149020851842104E-2</c:v>
                </c:pt>
                <c:pt idx="3">
                  <c:v>-5.9954682117650281E-2</c:v>
                </c:pt>
                <c:pt idx="4">
                  <c:v>-8.3124264896760683E-2</c:v>
                </c:pt>
                <c:pt idx="5">
                  <c:v>-0.10951991341678179</c:v>
                </c:pt>
              </c:numCache>
            </c:numRef>
          </c:val>
          <c:extLst>
            <c:ext xmlns:c16="http://schemas.microsoft.com/office/drawing/2014/chart" uri="{C3380CC4-5D6E-409C-BE32-E72D297353CC}">
              <c16:uniqueId val="{00000000-DDF1-4394-A55F-70C879DDD797}"/>
            </c:ext>
          </c:extLst>
        </c:ser>
        <c:ser>
          <c:idx val="9"/>
          <c:order val="1"/>
          <c:tx>
            <c:strRef>
              <c:f>'Baseline by End Use'!$L$13</c:f>
              <c:strCache>
                <c:ptCount val="1"/>
                <c:pt idx="0">
                  <c:v> Miscellaneous </c:v>
                </c:pt>
              </c:strCache>
            </c:strRef>
          </c:tx>
          <c:spPr>
            <a:solidFill>
              <a:schemeClr val="bg1">
                <a:lumMod val="5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Use'!$M$13:$R$13</c:f>
              <c:numCache>
                <c:formatCode>_(* #,##0_);_(* \(#,##0\);_(* "-"??_);_(@_)</c:formatCode>
                <c:ptCount val="6"/>
                <c:pt idx="0">
                  <c:v>1.8025634303626596</c:v>
                </c:pt>
                <c:pt idx="1">
                  <c:v>1.8362181426642152</c:v>
                </c:pt>
                <c:pt idx="2">
                  <c:v>1.9266710622306662</c:v>
                </c:pt>
                <c:pt idx="3">
                  <c:v>2.3832921601540451</c:v>
                </c:pt>
                <c:pt idx="4">
                  <c:v>5.1696275831753846</c:v>
                </c:pt>
                <c:pt idx="5">
                  <c:v>7.0106513687990057</c:v>
                </c:pt>
              </c:numCache>
            </c:numRef>
          </c:val>
          <c:extLst>
            <c:ext xmlns:c16="http://schemas.microsoft.com/office/drawing/2014/chart" uri="{C3380CC4-5D6E-409C-BE32-E72D297353CC}">
              <c16:uniqueId val="{00000001-DDF1-4394-A55F-70C879DDD797}"/>
            </c:ext>
          </c:extLst>
        </c:ser>
        <c:ser>
          <c:idx val="8"/>
          <c:order val="2"/>
          <c:tx>
            <c:strRef>
              <c:f>'Baseline by End Use'!$L$12</c:f>
              <c:strCache>
                <c:ptCount val="1"/>
                <c:pt idx="0">
                  <c:v> Office Equipment </c:v>
                </c:pt>
              </c:strCache>
            </c:strRef>
          </c:tx>
          <c:spPr>
            <a:solidFill>
              <a:srgbClr val="A98AE3"/>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Use'!$M$12:$R$12</c:f>
              <c:numCache>
                <c:formatCode>_(* #,##0_);_(* \(#,##0\);_(* "-"??_);_(@_)</c:formatCode>
                <c:ptCount val="6"/>
                <c:pt idx="0">
                  <c:v>1.489583650202239</c:v>
                </c:pt>
                <c:pt idx="1">
                  <c:v>1.4326719858135568</c:v>
                </c:pt>
                <c:pt idx="2">
                  <c:v>1.3595620568867777</c:v>
                </c:pt>
                <c:pt idx="3">
                  <c:v>1.278905552959595</c:v>
                </c:pt>
                <c:pt idx="4">
                  <c:v>1.2402825046720278</c:v>
                </c:pt>
                <c:pt idx="5">
                  <c:v>1.2227789243641927</c:v>
                </c:pt>
              </c:numCache>
            </c:numRef>
          </c:val>
          <c:extLst>
            <c:ext xmlns:c16="http://schemas.microsoft.com/office/drawing/2014/chart" uri="{C3380CC4-5D6E-409C-BE32-E72D297353CC}">
              <c16:uniqueId val="{00000002-DDF1-4394-A55F-70C879DDD797}"/>
            </c:ext>
          </c:extLst>
        </c:ser>
        <c:ser>
          <c:idx val="7"/>
          <c:order val="3"/>
          <c:tx>
            <c:strRef>
              <c:f>'Baseline by End Use'!$L$11</c:f>
              <c:strCache>
                <c:ptCount val="1"/>
                <c:pt idx="0">
                  <c:v> Food Preparation </c:v>
                </c:pt>
              </c:strCache>
            </c:strRef>
          </c:tx>
          <c:spPr>
            <a:solidFill>
              <a:schemeClr val="accent3">
                <a:lumMod val="5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Use'!$M$11:$R$11</c:f>
              <c:numCache>
                <c:formatCode>_(* #,##0_);_(* \(#,##0\);_(* "-"??_);_(@_)</c:formatCode>
                <c:ptCount val="6"/>
                <c:pt idx="0">
                  <c:v>0.81874141071020823</c:v>
                </c:pt>
                <c:pt idx="1">
                  <c:v>0.80397238949198346</c:v>
                </c:pt>
                <c:pt idx="2">
                  <c:v>0.77926096799611155</c:v>
                </c:pt>
                <c:pt idx="3">
                  <c:v>0.72406571519858343</c:v>
                </c:pt>
                <c:pt idx="4">
                  <c:v>0.70367086226539599</c:v>
                </c:pt>
                <c:pt idx="5">
                  <c:v>0.70451095386640195</c:v>
                </c:pt>
              </c:numCache>
            </c:numRef>
          </c:val>
          <c:extLst>
            <c:ext xmlns:c16="http://schemas.microsoft.com/office/drawing/2014/chart" uri="{C3380CC4-5D6E-409C-BE32-E72D297353CC}">
              <c16:uniqueId val="{00000003-DDF1-4394-A55F-70C879DDD797}"/>
            </c:ext>
          </c:extLst>
        </c:ser>
        <c:ser>
          <c:idx val="6"/>
          <c:order val="4"/>
          <c:tx>
            <c:strRef>
              <c:f>'Baseline by End Use'!$L$10</c:f>
              <c:strCache>
                <c:ptCount val="1"/>
                <c:pt idx="0">
                  <c:v> Refrigeration </c:v>
                </c:pt>
              </c:strCache>
            </c:strRef>
          </c:tx>
          <c:spPr>
            <a:solidFill>
              <a:srgbClr val="3CD39C"/>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Use'!$M$10:$R$10</c:f>
              <c:numCache>
                <c:formatCode>_(* #,##0_);_(* \(#,##0\);_(* "-"??_);_(@_)</c:formatCode>
                <c:ptCount val="6"/>
                <c:pt idx="0">
                  <c:v>1.5522687746086212</c:v>
                </c:pt>
                <c:pt idx="1">
                  <c:v>1.5473398146745545</c:v>
                </c:pt>
                <c:pt idx="2">
                  <c:v>1.542866711802594</c:v>
                </c:pt>
                <c:pt idx="3">
                  <c:v>1.5337446127167522</c:v>
                </c:pt>
                <c:pt idx="4">
                  <c:v>1.5192518812364193</c:v>
                </c:pt>
                <c:pt idx="5">
                  <c:v>1.5126721315829914</c:v>
                </c:pt>
              </c:numCache>
            </c:numRef>
          </c:val>
          <c:extLst>
            <c:ext xmlns:c16="http://schemas.microsoft.com/office/drawing/2014/chart" uri="{C3380CC4-5D6E-409C-BE32-E72D297353CC}">
              <c16:uniqueId val="{00000004-DDF1-4394-A55F-70C879DDD797}"/>
            </c:ext>
          </c:extLst>
        </c:ser>
        <c:ser>
          <c:idx val="5"/>
          <c:order val="5"/>
          <c:tx>
            <c:strRef>
              <c:f>'Baseline by End Use'!$L$9</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Use'!$M$9:$R$9</c:f>
              <c:numCache>
                <c:formatCode>_(* #,##0_);_(* \(#,##0\);_(* "-"??_);_(@_)</c:formatCode>
                <c:ptCount val="6"/>
                <c:pt idx="0">
                  <c:v>0.59637285555693975</c:v>
                </c:pt>
                <c:pt idx="1">
                  <c:v>0.5779559442601484</c:v>
                </c:pt>
                <c:pt idx="2">
                  <c:v>0.54717143566484561</c:v>
                </c:pt>
                <c:pt idx="3">
                  <c:v>0.47148485454933703</c:v>
                </c:pt>
                <c:pt idx="4">
                  <c:v>0.40378080916052633</c:v>
                </c:pt>
                <c:pt idx="5">
                  <c:v>0.38098728631954198</c:v>
                </c:pt>
              </c:numCache>
            </c:numRef>
          </c:val>
          <c:extLst>
            <c:ext xmlns:c16="http://schemas.microsoft.com/office/drawing/2014/chart" uri="{C3380CC4-5D6E-409C-BE32-E72D297353CC}">
              <c16:uniqueId val="{00000005-DDF1-4394-A55F-70C879DDD797}"/>
            </c:ext>
          </c:extLst>
        </c:ser>
        <c:ser>
          <c:idx val="4"/>
          <c:order val="6"/>
          <c:tx>
            <c:strRef>
              <c:f>'Baseline by End Use'!$L$8</c:f>
              <c:strCache>
                <c:ptCount val="1"/>
                <c:pt idx="0">
                  <c:v> Interior Lighting </c:v>
                </c:pt>
              </c:strCache>
            </c:strRef>
          </c:tx>
          <c:spPr>
            <a:solidFill>
              <a:srgbClr val="FFDA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Use'!$M$8:$R$8</c:f>
              <c:numCache>
                <c:formatCode>_(* #,##0_);_(* \(#,##0\);_(* "-"??_);_(@_)</c:formatCode>
                <c:ptCount val="6"/>
                <c:pt idx="0">
                  <c:v>2.6046164237497811</c:v>
                </c:pt>
                <c:pt idx="1">
                  <c:v>2.5565253469712319</c:v>
                </c:pt>
                <c:pt idx="2">
                  <c:v>2.4743430489256832</c:v>
                </c:pt>
                <c:pt idx="3">
                  <c:v>2.2821927641776885</c:v>
                </c:pt>
                <c:pt idx="4">
                  <c:v>1.9977973836671645</c:v>
                </c:pt>
                <c:pt idx="5">
                  <c:v>1.9005123023304633</c:v>
                </c:pt>
              </c:numCache>
            </c:numRef>
          </c:val>
          <c:extLst>
            <c:ext xmlns:c16="http://schemas.microsoft.com/office/drawing/2014/chart" uri="{C3380CC4-5D6E-409C-BE32-E72D297353CC}">
              <c16:uniqueId val="{00000006-DDF1-4394-A55F-70C879DDD797}"/>
            </c:ext>
          </c:extLst>
        </c:ser>
        <c:ser>
          <c:idx val="3"/>
          <c:order val="7"/>
          <c:tx>
            <c:strRef>
              <c:f>'Baseline by End Use'!$L$7</c:f>
              <c:strCache>
                <c:ptCount val="1"/>
                <c:pt idx="0">
                  <c:v> Water Heating </c:v>
                </c:pt>
              </c:strCache>
            </c:strRef>
          </c:tx>
          <c:spPr>
            <a:solidFill>
              <a:schemeClr val="accent5"/>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Use'!$M$7:$R$7</c:f>
              <c:numCache>
                <c:formatCode>_(* #,##0_);_(* \(#,##0\);_(* "-"??_);_(@_)</c:formatCode>
                <c:ptCount val="6"/>
                <c:pt idx="0">
                  <c:v>0.46176903915791401</c:v>
                </c:pt>
                <c:pt idx="1">
                  <c:v>0.50384582048532367</c:v>
                </c:pt>
                <c:pt idx="2">
                  <c:v>0.51364669727447254</c:v>
                </c:pt>
                <c:pt idx="3">
                  <c:v>0.59468902306513127</c:v>
                </c:pt>
                <c:pt idx="4">
                  <c:v>0.7170215734786457</c:v>
                </c:pt>
                <c:pt idx="5">
                  <c:v>0.74221190268980275</c:v>
                </c:pt>
              </c:numCache>
            </c:numRef>
          </c:val>
          <c:extLst>
            <c:ext xmlns:c16="http://schemas.microsoft.com/office/drawing/2014/chart" uri="{C3380CC4-5D6E-409C-BE32-E72D297353CC}">
              <c16:uniqueId val="{00000007-DDF1-4394-A55F-70C879DDD797}"/>
            </c:ext>
          </c:extLst>
        </c:ser>
        <c:ser>
          <c:idx val="2"/>
          <c:order val="8"/>
          <c:tx>
            <c:strRef>
              <c:f>'Baseline by End Use'!$L$6</c:f>
              <c:strCache>
                <c:ptCount val="1"/>
                <c:pt idx="0">
                  <c:v> Ventilation </c:v>
                </c:pt>
              </c:strCache>
            </c:strRef>
          </c:tx>
          <c:spPr>
            <a:solidFill>
              <a:schemeClr val="accent6">
                <a:lumMod val="20000"/>
                <a:lumOff val="8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Use'!$M$6:$R$6</c:f>
              <c:numCache>
                <c:formatCode>_(* #,##0_);_(* \(#,##0\);_(* "-"??_);_(@_)</c:formatCode>
                <c:ptCount val="6"/>
                <c:pt idx="0">
                  <c:v>2.177136898008321</c:v>
                </c:pt>
                <c:pt idx="1">
                  <c:v>2.129298254040672</c:v>
                </c:pt>
                <c:pt idx="2">
                  <c:v>1.9273201197303225</c:v>
                </c:pt>
                <c:pt idx="3">
                  <c:v>1.728002883685309</c:v>
                </c:pt>
                <c:pt idx="4">
                  <c:v>1.4681757356798113</c:v>
                </c:pt>
                <c:pt idx="5">
                  <c:v>1.3770398908200461</c:v>
                </c:pt>
              </c:numCache>
            </c:numRef>
          </c:val>
          <c:extLst>
            <c:ext xmlns:c16="http://schemas.microsoft.com/office/drawing/2014/chart" uri="{C3380CC4-5D6E-409C-BE32-E72D297353CC}">
              <c16:uniqueId val="{00000008-DDF1-4394-A55F-70C879DDD797}"/>
            </c:ext>
          </c:extLst>
        </c:ser>
        <c:ser>
          <c:idx val="1"/>
          <c:order val="9"/>
          <c:tx>
            <c:strRef>
              <c:f>'Baseline by End Use'!$L$5</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Use'!$M$5:$R$5</c:f>
              <c:numCache>
                <c:formatCode>_(* #,##0_);_(* \(#,##0\);_(* "-"??_);_(@_)</c:formatCode>
                <c:ptCount val="6"/>
                <c:pt idx="0">
                  <c:v>1.0736554501014688</c:v>
                </c:pt>
                <c:pt idx="1">
                  <c:v>1.1930776008502166</c:v>
                </c:pt>
                <c:pt idx="2">
                  <c:v>1.2065116795549682</c:v>
                </c:pt>
                <c:pt idx="3">
                  <c:v>1.1743472823218974</c:v>
                </c:pt>
                <c:pt idx="4">
                  <c:v>1.1290728795192362</c:v>
                </c:pt>
                <c:pt idx="5">
                  <c:v>1.0882985955716369</c:v>
                </c:pt>
              </c:numCache>
            </c:numRef>
          </c:val>
          <c:extLst>
            <c:ext xmlns:c16="http://schemas.microsoft.com/office/drawing/2014/chart" uri="{C3380CC4-5D6E-409C-BE32-E72D297353CC}">
              <c16:uniqueId val="{00000009-DDF1-4394-A55F-70C879DDD797}"/>
            </c:ext>
          </c:extLst>
        </c:ser>
        <c:ser>
          <c:idx val="0"/>
          <c:order val="10"/>
          <c:tx>
            <c:strRef>
              <c:f>'Baseline by End Use'!$L$4</c:f>
              <c:strCache>
                <c:ptCount val="1"/>
                <c:pt idx="0">
                  <c:v> Cooling </c:v>
                </c:pt>
              </c:strCache>
            </c:strRef>
          </c:tx>
          <c:spPr>
            <a:solidFill>
              <a:srgbClr val="00B3FF"/>
            </a:solidFill>
            <a:ln>
              <a:noFill/>
            </a:ln>
            <a:effectLst>
              <a:outerShdw blurRad="50800" dist="38100" dir="2700000" algn="tl" rotWithShape="0">
                <a:prstClr val="black">
                  <a:alpha val="40000"/>
                </a:prstClr>
              </a:outerShdw>
            </a:effectLst>
          </c:spPr>
          <c:invertIfNegative val="0"/>
          <c:dPt>
            <c:idx val="5"/>
            <c:invertIfNegative val="0"/>
            <c:bubble3D val="0"/>
            <c:spPr>
              <a:solidFill>
                <a:srgbClr val="00B3FF"/>
              </a:solidFill>
              <a:ln>
                <a:solidFill>
                  <a:srgbClr val="F6F6F7"/>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0-D990-4D20-8410-8F3EC5F6F658}"/>
              </c:ext>
            </c:extLst>
          </c:dPt>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Use'!$M$4:$R$4</c:f>
              <c:numCache>
                <c:formatCode>_(* #,##0_);_(* \(#,##0\);_(* "-"??_);_(@_)</c:formatCode>
                <c:ptCount val="6"/>
                <c:pt idx="0">
                  <c:v>1.1634189392870482</c:v>
                </c:pt>
                <c:pt idx="1">
                  <c:v>0.96550491262181948</c:v>
                </c:pt>
                <c:pt idx="2">
                  <c:v>0.8194712305524009</c:v>
                </c:pt>
                <c:pt idx="3">
                  <c:v>0.81683570271508721</c:v>
                </c:pt>
                <c:pt idx="4">
                  <c:v>0.80778466257591119</c:v>
                </c:pt>
                <c:pt idx="5">
                  <c:v>0.78439982975197542</c:v>
                </c:pt>
              </c:numCache>
            </c:numRef>
          </c:val>
          <c:extLst>
            <c:ext xmlns:c16="http://schemas.microsoft.com/office/drawing/2014/chart" uri="{C3380CC4-5D6E-409C-BE32-E72D297353CC}">
              <c16:uniqueId val="{0000000A-DDF1-4394-A55F-70C879DDD797}"/>
            </c:ext>
          </c:extLst>
        </c:ser>
        <c:dLbls>
          <c:showLegendKey val="0"/>
          <c:showVal val="0"/>
          <c:showCatName val="0"/>
          <c:showSerName val="0"/>
          <c:showPercent val="0"/>
          <c:showBubbleSize val="0"/>
        </c:dLbls>
        <c:gapWidth val="75"/>
        <c:overlap val="100"/>
        <c:axId val="196167744"/>
        <c:axId val="196161504"/>
        <c:extLst/>
      </c:barChart>
      <c:catAx>
        <c:axId val="196167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1504"/>
        <c:crosses val="autoZero"/>
        <c:auto val="1"/>
        <c:lblAlgn val="ctr"/>
        <c:lblOffset val="100"/>
        <c:noMultiLvlLbl val="0"/>
      </c:catAx>
      <c:valAx>
        <c:axId val="1961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kWh/sqft</a:t>
                </a:r>
              </a:p>
              <a:p>
                <a:pPr>
                  <a:defRPr/>
                </a:pPr>
                <a:endParaRPr lang="en-US"/>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7744"/>
        <c:crosses val="autoZero"/>
        <c:crossBetween val="between"/>
      </c:valAx>
      <c:spPr>
        <a:noFill/>
        <a:ln>
          <a:noFill/>
        </a:ln>
        <a:effectLst/>
      </c:spPr>
    </c:plotArea>
    <c:legend>
      <c:legendPos val="r"/>
      <c:layout>
        <c:manualLayout>
          <c:xMode val="edge"/>
          <c:yMode val="edge"/>
          <c:x val="0.80443326186378605"/>
          <c:y val="0.13428139332270314"/>
          <c:w val="0.18942327026308392"/>
          <c:h val="0.7550276987819111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ysClr val="window" lastClr="FFFFFF"/>
    </a:solidFill>
    <a:ln w="9525" cap="flat" cmpd="sng" algn="ctr">
      <a:noFill/>
      <a:round/>
    </a:ln>
    <a:effectLst/>
  </c:spPr>
  <c:txPr>
    <a:bodyPr/>
    <a:lstStyle/>
    <a:p>
      <a:pPr>
        <a:defRPr sz="1000"/>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45912376138444"/>
          <c:y val="8.2373545317607294E-2"/>
          <c:w val="0.63434029880880272"/>
          <c:h val="0.81803555805524308"/>
        </c:manualLayout>
      </c:layout>
      <c:areaChart>
        <c:grouping val="stacked"/>
        <c:varyColors val="0"/>
        <c:ser>
          <c:idx val="9"/>
          <c:order val="0"/>
          <c:tx>
            <c:strRef>
              <c:f>'Baseline by End Use'!$B$60</c:f>
              <c:strCache>
                <c:ptCount val="1"/>
                <c:pt idx="0">
                  <c:v> Miscellaneous </c:v>
                </c:pt>
              </c:strCache>
            </c:strRef>
          </c:tx>
          <c:spPr>
            <a:solidFill>
              <a:schemeClr val="bg1">
                <a:lumMod val="50000"/>
              </a:schemeClr>
            </a:solidFill>
            <a:ln w="9525">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Use'!$C$60:$AA$60</c:f>
              <c:numCache>
                <c:formatCode>_(* #,##0_);_(* \(#,##0\);_(* "-"??_);_(@_)</c:formatCode>
                <c:ptCount val="25"/>
                <c:pt idx="0">
                  <c:v>122.85237822191444</c:v>
                </c:pt>
                <c:pt idx="1">
                  <c:v>125.04546851099964</c:v>
                </c:pt>
                <c:pt idx="2">
                  <c:v>128.04682141326725</c:v>
                </c:pt>
                <c:pt idx="3">
                  <c:v>129.74133562928745</c:v>
                </c:pt>
                <c:pt idx="4">
                  <c:v>131.36433849901735</c:v>
                </c:pt>
                <c:pt idx="5">
                  <c:v>132.77427415647443</c:v>
                </c:pt>
                <c:pt idx="6">
                  <c:v>134.6723545624738</c:v>
                </c:pt>
                <c:pt idx="7">
                  <c:v>136.4369702374801</c:v>
                </c:pt>
                <c:pt idx="8">
                  <c:v>138.19874733092936</c:v>
                </c:pt>
                <c:pt idx="9">
                  <c:v>140.00725213111207</c:v>
                </c:pt>
                <c:pt idx="10">
                  <c:v>141.868730165736</c:v>
                </c:pt>
                <c:pt idx="11">
                  <c:v>143.94248347758332</c:v>
                </c:pt>
                <c:pt idx="12">
                  <c:v>146.26475915474717</c:v>
                </c:pt>
                <c:pt idx="13">
                  <c:v>148.71512393218686</c:v>
                </c:pt>
                <c:pt idx="14">
                  <c:v>151.31831767846973</c:v>
                </c:pt>
                <c:pt idx="15">
                  <c:v>154.29251132996851</c:v>
                </c:pt>
                <c:pt idx="16">
                  <c:v>157.60108656942475</c:v>
                </c:pt>
                <c:pt idx="17">
                  <c:v>161.40592705966634</c:v>
                </c:pt>
                <c:pt idx="18">
                  <c:v>165.55307043487946</c:v>
                </c:pt>
                <c:pt idx="19">
                  <c:v>170.66335504084071</c:v>
                </c:pt>
                <c:pt idx="20">
                  <c:v>176.76666221232489</c:v>
                </c:pt>
                <c:pt idx="21">
                  <c:v>183.11273055478171</c:v>
                </c:pt>
                <c:pt idx="22">
                  <c:v>190.84858464991851</c:v>
                </c:pt>
                <c:pt idx="23">
                  <c:v>200.05533837958507</c:v>
                </c:pt>
                <c:pt idx="24">
                  <c:v>210.00129219482957</c:v>
                </c:pt>
              </c:numCache>
              <c:extLst/>
            </c:numRef>
          </c:val>
          <c:extLst>
            <c:ext xmlns:c16="http://schemas.microsoft.com/office/drawing/2014/chart" uri="{C3380CC4-5D6E-409C-BE32-E72D297353CC}">
              <c16:uniqueId val="{00000000-686D-460F-9E25-1B2DFAE6024C}"/>
            </c:ext>
          </c:extLst>
        </c:ser>
        <c:ser>
          <c:idx val="0"/>
          <c:order val="1"/>
          <c:tx>
            <c:strRef>
              <c:f>'Baseline by End Use'!$B$59</c:f>
              <c:strCache>
                <c:ptCount val="1"/>
                <c:pt idx="0">
                  <c:v> Office Equipment </c:v>
                </c:pt>
              </c:strCache>
            </c:strRef>
          </c:tx>
          <c:spPr>
            <a:solidFill>
              <a:srgbClr val="A98AE3"/>
            </a:solidFill>
            <a:ln w="9525">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Use'!$C$59:$AA$59</c:f>
              <c:numCache>
                <c:formatCode>_(* #,##0_);_(* \(#,##0\);_(* "-"??_);_(@_)</c:formatCode>
                <c:ptCount val="25"/>
                <c:pt idx="0">
                  <c:v>100.50288401333877</c:v>
                </c:pt>
                <c:pt idx="1">
                  <c:v>100.47965399168159</c:v>
                </c:pt>
                <c:pt idx="2">
                  <c:v>100.50956053425635</c:v>
                </c:pt>
                <c:pt idx="3">
                  <c:v>98.995810270738943</c:v>
                </c:pt>
                <c:pt idx="4">
                  <c:v>97.817922117680553</c:v>
                </c:pt>
                <c:pt idx="5">
                  <c:v>97.216218502907012</c:v>
                </c:pt>
                <c:pt idx="6">
                  <c:v>96.919736840445324</c:v>
                </c:pt>
                <c:pt idx="7">
                  <c:v>97.060656990575524</c:v>
                </c:pt>
                <c:pt idx="8">
                  <c:v>97.43702548665415</c:v>
                </c:pt>
                <c:pt idx="9">
                  <c:v>97.999266327255015</c:v>
                </c:pt>
                <c:pt idx="10">
                  <c:v>98.884631559514119</c:v>
                </c:pt>
                <c:pt idx="11">
                  <c:v>99.849425863848296</c:v>
                </c:pt>
                <c:pt idx="12">
                  <c:v>100.87411773327467</c:v>
                </c:pt>
                <c:pt idx="13">
                  <c:v>101.94067963144012</c:v>
                </c:pt>
                <c:pt idx="14">
                  <c:v>103.03900082378389</c:v>
                </c:pt>
                <c:pt idx="15">
                  <c:v>104.1616890136404</c:v>
                </c:pt>
                <c:pt idx="16">
                  <c:v>105.30787879600554</c:v>
                </c:pt>
                <c:pt idx="17">
                  <c:v>106.47469891090762</c:v>
                </c:pt>
                <c:pt idx="18">
                  <c:v>107.65824161087778</c:v>
                </c:pt>
                <c:pt idx="19">
                  <c:v>108.85603756404392</c:v>
                </c:pt>
                <c:pt idx="20">
                  <c:v>110.06217349597969</c:v>
                </c:pt>
                <c:pt idx="21">
                  <c:v>111.27179923003739</c:v>
                </c:pt>
                <c:pt idx="22">
                  <c:v>112.48833891616701</c:v>
                </c:pt>
                <c:pt idx="23">
                  <c:v>113.71871414699284</c:v>
                </c:pt>
                <c:pt idx="24">
                  <c:v>114.96965196298608</c:v>
                </c:pt>
              </c:numCache>
              <c:extLst/>
            </c:numRef>
          </c:val>
          <c:extLst>
            <c:ext xmlns:c16="http://schemas.microsoft.com/office/drawing/2014/chart" uri="{C3380CC4-5D6E-409C-BE32-E72D297353CC}">
              <c16:uniqueId val="{00000001-686D-460F-9E25-1B2DFAE6024C}"/>
            </c:ext>
          </c:extLst>
        </c:ser>
        <c:ser>
          <c:idx val="1"/>
          <c:order val="2"/>
          <c:tx>
            <c:strRef>
              <c:f>'Baseline by End Use'!$B$58</c:f>
              <c:strCache>
                <c:ptCount val="1"/>
                <c:pt idx="0">
                  <c:v> Food Preparation </c:v>
                </c:pt>
              </c:strCache>
            </c:strRef>
          </c:tx>
          <c:spPr>
            <a:solidFill>
              <a:schemeClr val="accent3">
                <a:lumMod val="50000"/>
              </a:schemeClr>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Use'!$C$58:$AA$58</c:f>
              <c:numCache>
                <c:formatCode>_(* #,##0_);_(* \(#,##0\);_(* "-"??_);_(@_)</c:formatCode>
                <c:ptCount val="25"/>
                <c:pt idx="0">
                  <c:v>68.636112746585127</c:v>
                </c:pt>
                <c:pt idx="1">
                  <c:v>68.433687213242351</c:v>
                </c:pt>
                <c:pt idx="2">
                  <c:v>68.529000778978471</c:v>
                </c:pt>
                <c:pt idx="3">
                  <c:v>67.819367254583568</c:v>
                </c:pt>
                <c:pt idx="4">
                  <c:v>67.007958623442391</c:v>
                </c:pt>
                <c:pt idx="5">
                  <c:v>66.177497307021696</c:v>
                </c:pt>
                <c:pt idx="6">
                  <c:v>65.397951157245558</c:v>
                </c:pt>
                <c:pt idx="7">
                  <c:v>64.709250096320488</c:v>
                </c:pt>
                <c:pt idx="8">
                  <c:v>64.159100514393671</c:v>
                </c:pt>
                <c:pt idx="9">
                  <c:v>63.716407189708221</c:v>
                </c:pt>
                <c:pt idx="10">
                  <c:v>63.368038952124657</c:v>
                </c:pt>
                <c:pt idx="11">
                  <c:v>63.097801000454332</c:v>
                </c:pt>
                <c:pt idx="12">
                  <c:v>62.89244248633031</c:v>
                </c:pt>
                <c:pt idx="13">
                  <c:v>62.737086265853115</c:v>
                </c:pt>
                <c:pt idx="14">
                  <c:v>62.625120676340252</c:v>
                </c:pt>
                <c:pt idx="15">
                  <c:v>62.552754375305085</c:v>
                </c:pt>
                <c:pt idx="16">
                  <c:v>62.514312560949016</c:v>
                </c:pt>
                <c:pt idx="17">
                  <c:v>62.505943602249545</c:v>
                </c:pt>
                <c:pt idx="18">
                  <c:v>62.524454087301571</c:v>
                </c:pt>
                <c:pt idx="19">
                  <c:v>62.56796409573974</c:v>
                </c:pt>
                <c:pt idx="20">
                  <c:v>62.636671865677705</c:v>
                </c:pt>
                <c:pt idx="21">
                  <c:v>62.727106567386961</c:v>
                </c:pt>
                <c:pt idx="22">
                  <c:v>62.838814397186454</c:v>
                </c:pt>
                <c:pt idx="23">
                  <c:v>62.97117152844757</c:v>
                </c:pt>
                <c:pt idx="24">
                  <c:v>63.124262712376122</c:v>
                </c:pt>
              </c:numCache>
              <c:extLst/>
            </c:numRef>
          </c:val>
          <c:extLst>
            <c:ext xmlns:c16="http://schemas.microsoft.com/office/drawing/2014/chart" uri="{C3380CC4-5D6E-409C-BE32-E72D297353CC}">
              <c16:uniqueId val="{00000002-686D-460F-9E25-1B2DFAE6024C}"/>
            </c:ext>
          </c:extLst>
        </c:ser>
        <c:ser>
          <c:idx val="2"/>
          <c:order val="3"/>
          <c:tx>
            <c:strRef>
              <c:f>'Baseline by End Use'!$B$57</c:f>
              <c:strCache>
                <c:ptCount val="1"/>
                <c:pt idx="0">
                  <c:v> Refrigeration </c:v>
                </c:pt>
              </c:strCache>
            </c:strRef>
          </c:tx>
          <c:spPr>
            <a:solidFill>
              <a:srgbClr val="3CD39C"/>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Use'!$C$57:$AA$57</c:f>
              <c:numCache>
                <c:formatCode>_(* #,##0_);_(* \(#,##0\);_(* "-"??_);_(@_)</c:formatCode>
                <c:ptCount val="25"/>
                <c:pt idx="0">
                  <c:v>152.07301635922926</c:v>
                </c:pt>
                <c:pt idx="1">
                  <c:v>154.68626754488807</c:v>
                </c:pt>
                <c:pt idx="2">
                  <c:v>158.26289484104706</c:v>
                </c:pt>
                <c:pt idx="3">
                  <c:v>160.45008897622415</c:v>
                </c:pt>
                <c:pt idx="4">
                  <c:v>162.62636524489415</c:v>
                </c:pt>
                <c:pt idx="5">
                  <c:v>164.80356035625911</c:v>
                </c:pt>
                <c:pt idx="6">
                  <c:v>167.00398336154288</c:v>
                </c:pt>
                <c:pt idx="7">
                  <c:v>169.21232914055099</c:v>
                </c:pt>
                <c:pt idx="8">
                  <c:v>171.516306192694</c:v>
                </c:pt>
                <c:pt idx="9">
                  <c:v>173.8589342019151</c:v>
                </c:pt>
                <c:pt idx="10">
                  <c:v>176.23992942673775</c:v>
                </c:pt>
                <c:pt idx="11">
                  <c:v>178.65904682591179</c:v>
                </c:pt>
                <c:pt idx="12">
                  <c:v>181.11622657940617</c:v>
                </c:pt>
                <c:pt idx="13">
                  <c:v>183.61117128560787</c:v>
                </c:pt>
                <c:pt idx="14">
                  <c:v>186.14377801427631</c:v>
                </c:pt>
                <c:pt idx="15">
                  <c:v>188.71374350915784</c:v>
                </c:pt>
                <c:pt idx="16">
                  <c:v>191.32144483435883</c:v>
                </c:pt>
                <c:pt idx="17">
                  <c:v>193.96716917686354</c:v>
                </c:pt>
                <c:pt idx="18">
                  <c:v>196.65115335564488</c:v>
                </c:pt>
                <c:pt idx="19">
                  <c:v>199.37376975616118</c:v>
                </c:pt>
                <c:pt idx="20">
                  <c:v>202.13538053036956</c:v>
                </c:pt>
                <c:pt idx="21">
                  <c:v>204.93640758567085</c:v>
                </c:pt>
                <c:pt idx="22">
                  <c:v>207.77733581533869</c:v>
                </c:pt>
                <c:pt idx="23">
                  <c:v>210.6586565821963</c:v>
                </c:pt>
                <c:pt idx="24">
                  <c:v>213.58088992410703</c:v>
                </c:pt>
              </c:numCache>
              <c:extLst/>
            </c:numRef>
          </c:val>
          <c:extLst>
            <c:ext xmlns:c16="http://schemas.microsoft.com/office/drawing/2014/chart" uri="{C3380CC4-5D6E-409C-BE32-E72D297353CC}">
              <c16:uniqueId val="{00000003-686D-460F-9E25-1B2DFAE6024C}"/>
            </c:ext>
          </c:extLst>
        </c:ser>
        <c:ser>
          <c:idx val="3"/>
          <c:order val="4"/>
          <c:tx>
            <c:strRef>
              <c:f>'Baseline by End Use'!$B$56</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Use'!$C$56:$AA$56</c:f>
              <c:numCache>
                <c:formatCode>_(* #,##0_);_(* \(#,##0\);_(* "-"??_);_(@_)</c:formatCode>
                <c:ptCount val="25"/>
                <c:pt idx="0">
                  <c:v>39.508262535747768</c:v>
                </c:pt>
                <c:pt idx="1">
                  <c:v>39.664374085042247</c:v>
                </c:pt>
                <c:pt idx="2">
                  <c:v>39.823192512635494</c:v>
                </c:pt>
                <c:pt idx="3">
                  <c:v>39.501598432580479</c:v>
                </c:pt>
                <c:pt idx="4">
                  <c:v>38.762757740691065</c:v>
                </c:pt>
                <c:pt idx="5">
                  <c:v>37.862764932992292</c:v>
                </c:pt>
                <c:pt idx="6">
                  <c:v>37.078190364001301</c:v>
                </c:pt>
                <c:pt idx="7">
                  <c:v>36.48970189702343</c:v>
                </c:pt>
                <c:pt idx="8">
                  <c:v>36.069935703444926</c:v>
                </c:pt>
                <c:pt idx="9">
                  <c:v>35.654376537205557</c:v>
                </c:pt>
                <c:pt idx="10">
                  <c:v>35.382912090845686</c:v>
                </c:pt>
                <c:pt idx="11">
                  <c:v>35.213058624446234</c:v>
                </c:pt>
                <c:pt idx="12">
                  <c:v>35.119726149247917</c:v>
                </c:pt>
                <c:pt idx="13">
                  <c:v>35.075566460740383</c:v>
                </c:pt>
                <c:pt idx="14">
                  <c:v>35.045740000402994</c:v>
                </c:pt>
                <c:pt idx="15">
                  <c:v>35.051713250347255</c:v>
                </c:pt>
                <c:pt idx="16">
                  <c:v>35.073696832374367</c:v>
                </c:pt>
                <c:pt idx="17">
                  <c:v>35.118168691644676</c:v>
                </c:pt>
                <c:pt idx="18">
                  <c:v>35.135107552338084</c:v>
                </c:pt>
                <c:pt idx="19">
                  <c:v>35.160571057003267</c:v>
                </c:pt>
                <c:pt idx="20">
                  <c:v>35.234677845917524</c:v>
                </c:pt>
                <c:pt idx="21">
                  <c:v>35.263964139478539</c:v>
                </c:pt>
                <c:pt idx="22">
                  <c:v>35.407489265937798</c:v>
                </c:pt>
                <c:pt idx="23">
                  <c:v>35.584628018322654</c:v>
                </c:pt>
                <c:pt idx="24">
                  <c:v>35.710450165937132</c:v>
                </c:pt>
              </c:numCache>
              <c:extLst/>
            </c:numRef>
          </c:val>
          <c:extLst>
            <c:ext xmlns:c16="http://schemas.microsoft.com/office/drawing/2014/chart" uri="{C3380CC4-5D6E-409C-BE32-E72D297353CC}">
              <c16:uniqueId val="{00000004-686D-460F-9E25-1B2DFAE6024C}"/>
            </c:ext>
          </c:extLst>
        </c:ser>
        <c:ser>
          <c:idx val="4"/>
          <c:order val="5"/>
          <c:tx>
            <c:strRef>
              <c:f>'Baseline by End Use'!$B$55</c:f>
              <c:strCache>
                <c:ptCount val="1"/>
                <c:pt idx="0">
                  <c:v> Interior Lighting </c:v>
                </c:pt>
              </c:strCache>
            </c:strRef>
          </c:tx>
          <c:spPr>
            <a:solidFill>
              <a:srgbClr val="FFDA00"/>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Use'!$C$55:$AA$55</c:f>
              <c:numCache>
                <c:formatCode>_(* #,##0_);_(* \(#,##0\);_(* "-"??_);_(@_)</c:formatCode>
                <c:ptCount val="25"/>
                <c:pt idx="0">
                  <c:v>186.39428491820652</c:v>
                </c:pt>
                <c:pt idx="1">
                  <c:v>188.30184836340936</c:v>
                </c:pt>
                <c:pt idx="2">
                  <c:v>190.54206050400401</c:v>
                </c:pt>
                <c:pt idx="3">
                  <c:v>190.71650429606811</c:v>
                </c:pt>
                <c:pt idx="4">
                  <c:v>189.77550936815874</c:v>
                </c:pt>
                <c:pt idx="5">
                  <c:v>188.76463547286772</c:v>
                </c:pt>
                <c:pt idx="6">
                  <c:v>188.25280287840894</c:v>
                </c:pt>
                <c:pt idx="7">
                  <c:v>187.95114267296478</c:v>
                </c:pt>
                <c:pt idx="8">
                  <c:v>187.98167729756227</c:v>
                </c:pt>
                <c:pt idx="9">
                  <c:v>187.74808499664519</c:v>
                </c:pt>
                <c:pt idx="10">
                  <c:v>187.25591529868922</c:v>
                </c:pt>
                <c:pt idx="11">
                  <c:v>187.09091016002296</c:v>
                </c:pt>
                <c:pt idx="12">
                  <c:v>187.18674089969255</c:v>
                </c:pt>
                <c:pt idx="13">
                  <c:v>187.47031891201777</c:v>
                </c:pt>
                <c:pt idx="14">
                  <c:v>187.60406583811834</c:v>
                </c:pt>
                <c:pt idx="15">
                  <c:v>187.82045086086086</c:v>
                </c:pt>
                <c:pt idx="16">
                  <c:v>188.07071401346454</c:v>
                </c:pt>
                <c:pt idx="17">
                  <c:v>188.40983690911995</c:v>
                </c:pt>
                <c:pt idx="18">
                  <c:v>188.68933079650381</c:v>
                </c:pt>
                <c:pt idx="19">
                  <c:v>189.14654501627979</c:v>
                </c:pt>
                <c:pt idx="20">
                  <c:v>189.93565180804657</c:v>
                </c:pt>
                <c:pt idx="21">
                  <c:v>190.50686179788983</c:v>
                </c:pt>
                <c:pt idx="22">
                  <c:v>191.4631700390122</c:v>
                </c:pt>
                <c:pt idx="23">
                  <c:v>192.64711632386917</c:v>
                </c:pt>
                <c:pt idx="24">
                  <c:v>193.57116281126849</c:v>
                </c:pt>
              </c:numCache>
              <c:extLst/>
            </c:numRef>
          </c:val>
          <c:extLst>
            <c:ext xmlns:c16="http://schemas.microsoft.com/office/drawing/2014/chart" uri="{C3380CC4-5D6E-409C-BE32-E72D297353CC}">
              <c16:uniqueId val="{00000005-686D-460F-9E25-1B2DFAE6024C}"/>
            </c:ext>
          </c:extLst>
        </c:ser>
        <c:ser>
          <c:idx val="5"/>
          <c:order val="6"/>
          <c:tx>
            <c:strRef>
              <c:f>'Baseline by End Use'!$B$54</c:f>
              <c:strCache>
                <c:ptCount val="1"/>
                <c:pt idx="0">
                  <c:v> Water Heating </c:v>
                </c:pt>
              </c:strCache>
            </c:strRef>
          </c:tx>
          <c:spPr>
            <a:solidFill>
              <a:srgbClr val="FFA35B"/>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Use'!$C$54:$AA$54</c:f>
              <c:numCache>
                <c:formatCode>_(* #,##0_);_(* \(#,##0\);_(* "-"??_);_(@_)</c:formatCode>
                <c:ptCount val="25"/>
                <c:pt idx="0">
                  <c:v>34.799910025071114</c:v>
                </c:pt>
                <c:pt idx="1">
                  <c:v>36.19652541718014</c:v>
                </c:pt>
                <c:pt idx="2">
                  <c:v>37.910356454850323</c:v>
                </c:pt>
                <c:pt idx="3">
                  <c:v>44.352746562872113</c:v>
                </c:pt>
                <c:pt idx="4">
                  <c:v>44.408537561248046</c:v>
                </c:pt>
                <c:pt idx="5">
                  <c:v>46.015010265115052</c:v>
                </c:pt>
                <c:pt idx="6">
                  <c:v>47.587217934382615</c:v>
                </c:pt>
                <c:pt idx="7">
                  <c:v>49.127424408674273</c:v>
                </c:pt>
                <c:pt idx="8">
                  <c:v>50.663987094784147</c:v>
                </c:pt>
                <c:pt idx="9">
                  <c:v>52.189243793860186</c:v>
                </c:pt>
                <c:pt idx="10">
                  <c:v>53.826815314253544</c:v>
                </c:pt>
                <c:pt idx="11">
                  <c:v>55.452120573524944</c:v>
                </c:pt>
                <c:pt idx="12">
                  <c:v>57.099913403962375</c:v>
                </c:pt>
                <c:pt idx="13">
                  <c:v>58.651196769728635</c:v>
                </c:pt>
                <c:pt idx="14">
                  <c:v>60.132581409105711</c:v>
                </c:pt>
                <c:pt idx="15">
                  <c:v>61.864804651248491</c:v>
                </c:pt>
                <c:pt idx="16">
                  <c:v>63.46023835616554</c:v>
                </c:pt>
                <c:pt idx="17">
                  <c:v>64.981188823592106</c:v>
                </c:pt>
                <c:pt idx="18">
                  <c:v>66.439208789503425</c:v>
                </c:pt>
                <c:pt idx="19">
                  <c:v>67.878756399070312</c:v>
                </c:pt>
                <c:pt idx="20">
                  <c:v>69.07962634712932</c:v>
                </c:pt>
                <c:pt idx="21">
                  <c:v>70.340558096683338</c:v>
                </c:pt>
                <c:pt idx="22">
                  <c:v>71.639850518170135</c:v>
                </c:pt>
                <c:pt idx="23">
                  <c:v>72.966609946336504</c:v>
                </c:pt>
                <c:pt idx="24">
                  <c:v>74.397045154485269</c:v>
                </c:pt>
              </c:numCache>
              <c:extLst/>
            </c:numRef>
          </c:val>
          <c:extLst>
            <c:ext xmlns:c16="http://schemas.microsoft.com/office/drawing/2014/chart" uri="{C3380CC4-5D6E-409C-BE32-E72D297353CC}">
              <c16:uniqueId val="{00000006-686D-460F-9E25-1B2DFAE6024C}"/>
            </c:ext>
          </c:extLst>
        </c:ser>
        <c:ser>
          <c:idx val="6"/>
          <c:order val="7"/>
          <c:tx>
            <c:strRef>
              <c:f>'Baseline by End Use'!$B$53</c:f>
              <c:strCache>
                <c:ptCount val="1"/>
                <c:pt idx="0">
                  <c:v> Ventilation </c:v>
                </c:pt>
              </c:strCache>
            </c:strRef>
          </c:tx>
          <c:spPr>
            <a:solidFill>
              <a:schemeClr val="accent6">
                <a:lumMod val="20000"/>
                <a:lumOff val="80000"/>
              </a:schemeClr>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Use'!$C$53:$AA$53</c:f>
              <c:numCache>
                <c:formatCode>_(* #,##0_);_(* \(#,##0\);_(* "-"??_);_(@_)</c:formatCode>
                <c:ptCount val="25"/>
                <c:pt idx="0">
                  <c:v>151.4247948966013</c:v>
                </c:pt>
                <c:pt idx="1">
                  <c:v>153.83388535089932</c:v>
                </c:pt>
                <c:pt idx="2">
                  <c:v>152.27440755322462</c:v>
                </c:pt>
                <c:pt idx="3">
                  <c:v>170.4723022598686</c:v>
                </c:pt>
                <c:pt idx="4">
                  <c:v>163.26925636156827</c:v>
                </c:pt>
                <c:pt idx="5">
                  <c:v>162.03696340931779</c:v>
                </c:pt>
                <c:pt idx="6">
                  <c:v>161.35569980334614</c:v>
                </c:pt>
                <c:pt idx="7">
                  <c:v>160.47975515270824</c:v>
                </c:pt>
                <c:pt idx="8">
                  <c:v>159.65430158666629</c:v>
                </c:pt>
                <c:pt idx="9">
                  <c:v>158.86520536814066</c:v>
                </c:pt>
                <c:pt idx="10">
                  <c:v>158.12178814485219</c:v>
                </c:pt>
                <c:pt idx="11">
                  <c:v>157.59236925374009</c:v>
                </c:pt>
                <c:pt idx="12">
                  <c:v>157.29227960549113</c:v>
                </c:pt>
                <c:pt idx="13">
                  <c:v>157.06294338818182</c:v>
                </c:pt>
                <c:pt idx="14">
                  <c:v>156.89770090182412</c:v>
                </c:pt>
                <c:pt idx="15">
                  <c:v>156.976369354421</c:v>
                </c:pt>
                <c:pt idx="16">
                  <c:v>157.19794176160354</c:v>
                </c:pt>
                <c:pt idx="17">
                  <c:v>157.63653824033545</c:v>
                </c:pt>
                <c:pt idx="18">
                  <c:v>158.01208674183263</c:v>
                </c:pt>
                <c:pt idx="19">
                  <c:v>158.790644117157</c:v>
                </c:pt>
                <c:pt idx="20">
                  <c:v>159.8407365014817</c:v>
                </c:pt>
                <c:pt idx="21">
                  <c:v>160.33525684860132</c:v>
                </c:pt>
                <c:pt idx="22">
                  <c:v>161.14220275985744</c:v>
                </c:pt>
                <c:pt idx="23">
                  <c:v>162.1310656533154</c:v>
                </c:pt>
                <c:pt idx="24">
                  <c:v>162.53061631789072</c:v>
                </c:pt>
              </c:numCache>
              <c:extLst/>
            </c:numRef>
          </c:val>
          <c:extLst>
            <c:ext xmlns:c16="http://schemas.microsoft.com/office/drawing/2014/chart" uri="{C3380CC4-5D6E-409C-BE32-E72D297353CC}">
              <c16:uniqueId val="{00000007-686D-460F-9E25-1B2DFAE6024C}"/>
            </c:ext>
          </c:extLst>
        </c:ser>
        <c:ser>
          <c:idx val="7"/>
          <c:order val="8"/>
          <c:tx>
            <c:strRef>
              <c:f>'Baseline by End Use'!$B$52</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Use'!$C$52:$AA$52</c:f>
              <c:numCache>
                <c:formatCode>_(* #,##0_);_(* \(#,##0\);_(* "-"??_);_(@_)</c:formatCode>
                <c:ptCount val="25"/>
                <c:pt idx="0">
                  <c:v>57.986532750976586</c:v>
                </c:pt>
                <c:pt idx="1">
                  <c:v>79.096083875296642</c:v>
                </c:pt>
                <c:pt idx="2">
                  <c:v>70.879432699623649</c:v>
                </c:pt>
                <c:pt idx="3">
                  <c:v>83.609773336305167</c:v>
                </c:pt>
                <c:pt idx="4">
                  <c:v>82.590579927822446</c:v>
                </c:pt>
                <c:pt idx="5">
                  <c:v>83.320547133058412</c:v>
                </c:pt>
                <c:pt idx="6">
                  <c:v>84.215519301877549</c:v>
                </c:pt>
                <c:pt idx="7">
                  <c:v>84.749214159664703</c:v>
                </c:pt>
                <c:pt idx="8">
                  <c:v>85.338509061950518</c:v>
                </c:pt>
                <c:pt idx="9">
                  <c:v>86.142226742040307</c:v>
                </c:pt>
                <c:pt idx="10">
                  <c:v>86.513093414912134</c:v>
                </c:pt>
                <c:pt idx="11">
                  <c:v>87.563406204542645</c:v>
                </c:pt>
                <c:pt idx="12">
                  <c:v>88.240476489027415</c:v>
                </c:pt>
                <c:pt idx="13">
                  <c:v>89.203214634318002</c:v>
                </c:pt>
                <c:pt idx="14">
                  <c:v>90.551918595741469</c:v>
                </c:pt>
                <c:pt idx="15">
                  <c:v>91.927427987882453</c:v>
                </c:pt>
                <c:pt idx="16">
                  <c:v>92.438224912286557</c:v>
                </c:pt>
                <c:pt idx="17">
                  <c:v>93.453687298084603</c:v>
                </c:pt>
                <c:pt idx="18">
                  <c:v>93.88934040009427</c:v>
                </c:pt>
                <c:pt idx="19">
                  <c:v>95.11806659390426</c:v>
                </c:pt>
                <c:pt idx="20">
                  <c:v>96.240803474645645</c:v>
                </c:pt>
                <c:pt idx="21">
                  <c:v>96.393621442960978</c:v>
                </c:pt>
                <c:pt idx="22">
                  <c:v>97.544951981907232</c:v>
                </c:pt>
                <c:pt idx="23">
                  <c:v>98.674073033280067</c:v>
                </c:pt>
                <c:pt idx="24">
                  <c:v>99.10140346404738</c:v>
                </c:pt>
              </c:numCache>
              <c:extLst/>
            </c:numRef>
          </c:val>
          <c:extLst>
            <c:ext xmlns:c16="http://schemas.microsoft.com/office/drawing/2014/chart" uri="{C3380CC4-5D6E-409C-BE32-E72D297353CC}">
              <c16:uniqueId val="{00000008-686D-460F-9E25-1B2DFAE6024C}"/>
            </c:ext>
          </c:extLst>
        </c:ser>
        <c:ser>
          <c:idx val="8"/>
          <c:order val="9"/>
          <c:tx>
            <c:strRef>
              <c:f>'Baseline by End Use'!$B$51</c:f>
              <c:strCache>
                <c:ptCount val="1"/>
                <c:pt idx="0">
                  <c:v> Cooling </c:v>
                </c:pt>
              </c:strCache>
            </c:strRef>
          </c:tx>
          <c:spPr>
            <a:solidFill>
              <a:srgbClr val="00B3FF"/>
            </a:solidFill>
            <a:ln>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Use'!$C$51:$AA$51</c:f>
              <c:numCache>
                <c:formatCode>_(* #,##0_);_(* \(#,##0\);_(* "-"??_);_(@_)</c:formatCode>
                <c:ptCount val="25"/>
                <c:pt idx="0">
                  <c:v>72.85253441673008</c:v>
                </c:pt>
                <c:pt idx="1">
                  <c:v>55.915019513046516</c:v>
                </c:pt>
                <c:pt idx="2">
                  <c:v>57.568339476159778</c:v>
                </c:pt>
                <c:pt idx="3">
                  <c:v>60.159007852836631</c:v>
                </c:pt>
                <c:pt idx="4">
                  <c:v>58.217229755098529</c:v>
                </c:pt>
                <c:pt idx="5">
                  <c:v>58.876692121726606</c:v>
                </c:pt>
                <c:pt idx="6">
                  <c:v>59.702638098823527</c:v>
                </c:pt>
                <c:pt idx="7">
                  <c:v>60.698409633730925</c:v>
                </c:pt>
                <c:pt idx="8">
                  <c:v>61.353514548316731</c:v>
                </c:pt>
                <c:pt idx="9">
                  <c:v>62.594854894188678</c:v>
                </c:pt>
                <c:pt idx="10">
                  <c:v>63.530150694810537</c:v>
                </c:pt>
                <c:pt idx="11">
                  <c:v>64.449620745844982</c:v>
                </c:pt>
                <c:pt idx="12">
                  <c:v>65.058384594244728</c:v>
                </c:pt>
                <c:pt idx="13">
                  <c:v>65.78610347854125</c:v>
                </c:pt>
                <c:pt idx="14">
                  <c:v>66.636778410942242</c:v>
                </c:pt>
                <c:pt idx="15">
                  <c:v>67.857614005699773</c:v>
                </c:pt>
                <c:pt idx="16">
                  <c:v>68.233386768675075</c:v>
                </c:pt>
                <c:pt idx="17">
                  <c:v>69.628225348695224</c:v>
                </c:pt>
                <c:pt idx="18">
                  <c:v>70.873943568178248</c:v>
                </c:pt>
                <c:pt idx="19">
                  <c:v>71.889094185824632</c:v>
                </c:pt>
                <c:pt idx="20">
                  <c:v>72.547714912449777</c:v>
                </c:pt>
                <c:pt idx="21">
                  <c:v>73.344850240310606</c:v>
                </c:pt>
                <c:pt idx="22">
                  <c:v>73.935364607990863</c:v>
                </c:pt>
                <c:pt idx="23">
                  <c:v>74.810666008548466</c:v>
                </c:pt>
                <c:pt idx="24">
                  <c:v>75.742122137093986</c:v>
                </c:pt>
              </c:numCache>
              <c:extLst/>
            </c:numRef>
          </c:val>
          <c:extLst xmlns:c15="http://schemas.microsoft.com/office/drawing/2012/chart">
            <c:ext xmlns:c16="http://schemas.microsoft.com/office/drawing/2014/chart" uri="{C3380CC4-5D6E-409C-BE32-E72D297353CC}">
              <c16:uniqueId val="{00000009-686D-460F-9E25-1B2DFAE6024C}"/>
            </c:ext>
          </c:extLst>
        </c:ser>
        <c:ser>
          <c:idx val="10"/>
          <c:order val="10"/>
          <c:tx>
            <c:strRef>
              <c:f>'Baseline by End Use'!$B$61</c:f>
              <c:strCache>
                <c:ptCount val="1"/>
                <c:pt idx="0">
                  <c:v> Generation </c:v>
                </c:pt>
              </c:strCache>
            </c:strRef>
          </c:tx>
          <c:spPr>
            <a:pattFill prst="wdDnDiag">
              <a:fgClr>
                <a:schemeClr val="tx1"/>
              </a:fgClr>
              <a:bgClr>
                <a:schemeClr val="bg1"/>
              </a:bgClr>
            </a:pattFill>
            <a:ln w="9525">
              <a:solidFill>
                <a:srgbClr val="F6F6F7"/>
              </a:solidFill>
            </a:ln>
            <a:effectLst>
              <a:outerShdw blurRad="50800" dist="38100" dir="2700000" algn="tl" rotWithShape="0">
                <a:prstClr val="black">
                  <a:alpha val="40000"/>
                </a:prstClr>
              </a:outerShdw>
            </a:effectLst>
          </c:spPr>
          <c:cat>
            <c:numRef>
              <c:f>'Baseline by End Use'!$C$50:$AA$50</c:f>
              <c:numCache>
                <c:formatCode>General</c:formatCode>
                <c:ptCount val="25"/>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numCache>
              <c:extLst/>
            </c:numRef>
          </c:cat>
          <c:val>
            <c:numRef>
              <c:f>'Baseline by End Use'!$C$61:$AA$61</c:f>
              <c:numCache>
                <c:formatCode>_(* #,##0_);_(* \(#,##0\);_(* "-"??_);_(@_)</c:formatCode>
                <c:ptCount val="25"/>
                <c:pt idx="0">
                  <c:v>-0.67786391228923404</c:v>
                </c:pt>
                <c:pt idx="1">
                  <c:v>-0.7168852115837826</c:v>
                </c:pt>
                <c:pt idx="2">
                  <c:v>-0.75751189878718683</c:v>
                </c:pt>
                <c:pt idx="3">
                  <c:v>-0.79990085593119598</c:v>
                </c:pt>
                <c:pt idx="4">
                  <c:v>-0.84466830214017052</c:v>
                </c:pt>
                <c:pt idx="5">
                  <c:v>-0.8920066462353653</c:v>
                </c:pt>
                <c:pt idx="6">
                  <c:v>-0.9410399113045953</c:v>
                </c:pt>
                <c:pt idx="7">
                  <c:v>-0.99264812471140373</c:v>
                </c:pt>
                <c:pt idx="8">
                  <c:v>-1.0472179123462118</c:v>
                </c:pt>
                <c:pt idx="9">
                  <c:v>-1.1050024746825584</c:v>
                </c:pt>
                <c:pt idx="10">
                  <c:v>-1.166247243200337</c:v>
                </c:pt>
                <c:pt idx="11">
                  <c:v>-1.2312356449475534</c:v>
                </c:pt>
                <c:pt idx="12">
                  <c:v>-1.3001881897488055</c:v>
                </c:pt>
                <c:pt idx="13">
                  <c:v>-1.3733230824401788</c:v>
                </c:pt>
                <c:pt idx="14">
                  <c:v>-1.4509043649728242</c:v>
                </c:pt>
                <c:pt idx="15">
                  <c:v>-1.5331667507115299</c:v>
                </c:pt>
                <c:pt idx="16">
                  <c:v>-1.6203809598630066</c:v>
                </c:pt>
                <c:pt idx="17">
                  <c:v>-1.7128479395084273</c:v>
                </c:pt>
                <c:pt idx="18">
                  <c:v>-1.8108155412743707</c:v>
                </c:pt>
                <c:pt idx="19">
                  <c:v>-1.9146501574379255</c:v>
                </c:pt>
                <c:pt idx="20">
                  <c:v>-2.0247388154527353</c:v>
                </c:pt>
                <c:pt idx="21">
                  <c:v>-2.1416285630486822</c:v>
                </c:pt>
                <c:pt idx="22">
                  <c:v>-2.2656775437709276</c:v>
                </c:pt>
                <c:pt idx="23">
                  <c:v>-2.3977990697550573</c:v>
                </c:pt>
                <c:pt idx="24">
                  <c:v>-2.5390773429319009</c:v>
                </c:pt>
              </c:numCache>
              <c:extLst/>
            </c:numRef>
          </c:val>
          <c:extLst>
            <c:ext xmlns:c16="http://schemas.microsoft.com/office/drawing/2014/chart" uri="{C3380CC4-5D6E-409C-BE32-E72D297353CC}">
              <c16:uniqueId val="{0000000A-686D-460F-9E25-1B2DFAE6024C}"/>
            </c:ext>
          </c:extLst>
        </c:ser>
        <c:dLbls>
          <c:showLegendKey val="0"/>
          <c:showVal val="0"/>
          <c:showCatName val="0"/>
          <c:showSerName val="0"/>
          <c:showPercent val="0"/>
          <c:showBubbleSize val="0"/>
        </c:dLbls>
        <c:axId val="1916660864"/>
        <c:axId val="1916649632"/>
        <c:extLst/>
      </c:areaChart>
      <c:catAx>
        <c:axId val="191666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49632"/>
        <c:crosses val="autoZero"/>
        <c:auto val="1"/>
        <c:lblAlgn val="ctr"/>
        <c:lblOffset val="100"/>
        <c:tickLblSkip val="2"/>
        <c:noMultiLvlLbl val="0"/>
      </c:catAx>
      <c:valAx>
        <c:axId val="191664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60864"/>
        <c:crosses val="autoZero"/>
        <c:crossBetween val="between"/>
      </c:valAx>
      <c:spPr>
        <a:noFill/>
        <a:ln>
          <a:noFill/>
        </a:ln>
        <a:effectLst/>
      </c:spPr>
    </c:plotArea>
    <c:legend>
      <c:legendPos val="r"/>
      <c:layout>
        <c:manualLayout>
          <c:xMode val="edge"/>
          <c:yMode val="edge"/>
          <c:x val="0.81315652401719807"/>
          <c:y val="0.10951934419328643"/>
          <c:w val="0.18477693426271163"/>
          <c:h val="0.785592603649662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sz="1000"/>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96404458835462"/>
          <c:y val="3.3830979895780253E-2"/>
          <c:w val="0.61079970053415922"/>
          <c:h val="0.8490431180444824"/>
        </c:manualLayout>
      </c:layout>
      <c:barChart>
        <c:barDir val="col"/>
        <c:grouping val="stacked"/>
        <c:varyColors val="0"/>
        <c:ser>
          <c:idx val="10"/>
          <c:order val="0"/>
          <c:tx>
            <c:strRef>
              <c:f>'Baseline by End Use'!$L$14</c:f>
              <c:strCache>
                <c:ptCount val="1"/>
                <c:pt idx="0">
                  <c:v> Generation </c:v>
                </c:pt>
              </c:strCache>
            </c:strRef>
          </c:tx>
          <c:spPr>
            <a:pattFill prst="wdDnDiag">
              <a:fgClr>
                <a:schemeClr val="tx1"/>
              </a:fgClr>
              <a:bgClr>
                <a:schemeClr val="bg1"/>
              </a:bgClr>
            </a:pattFill>
            <a:ln>
              <a:solidFill>
                <a:srgbClr val="F6F6F7"/>
              </a:solidFill>
            </a:ln>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Use'!$M$14:$R$14</c:f>
              <c:numCache>
                <c:formatCode>_(* #,##0_);_(* \(#,##0\);_(* "-"??_);_(@_)</c:formatCode>
                <c:ptCount val="6"/>
                <c:pt idx="0">
                  <c:v>-1.0891705842912288E-2</c:v>
                </c:pt>
                <c:pt idx="1">
                  <c:v>-1.1671928767379283E-2</c:v>
                </c:pt>
                <c:pt idx="2">
                  <c:v>-1.264432096713485E-2</c:v>
                </c:pt>
                <c:pt idx="3">
                  <c:v>-1.5419118289405455E-2</c:v>
                </c:pt>
                <c:pt idx="4">
                  <c:v>-2.3184201679800436E-2</c:v>
                </c:pt>
                <c:pt idx="5">
                  <c:v>-2.8638227911820816E-2</c:v>
                </c:pt>
              </c:numCache>
            </c:numRef>
          </c:val>
          <c:extLst>
            <c:ext xmlns:c16="http://schemas.microsoft.com/office/drawing/2014/chart" uri="{C3380CC4-5D6E-409C-BE32-E72D297353CC}">
              <c16:uniqueId val="{00000000-37D7-42BB-A389-7F20E8E9BD89}"/>
            </c:ext>
          </c:extLst>
        </c:ser>
        <c:ser>
          <c:idx val="9"/>
          <c:order val="1"/>
          <c:tx>
            <c:strRef>
              <c:f>'Baseline by End Use'!$L$13</c:f>
              <c:strCache>
                <c:ptCount val="1"/>
                <c:pt idx="0">
                  <c:v> Miscellaneous </c:v>
                </c:pt>
              </c:strCache>
            </c:strRef>
          </c:tx>
          <c:spPr>
            <a:solidFill>
              <a:schemeClr val="bg1">
                <a:lumMod val="5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Use'!$M$13:$R$13</c:f>
              <c:numCache>
                <c:formatCode>_(* #,##0_);_(* \(#,##0\);_(* "-"??_);_(@_)</c:formatCode>
                <c:ptCount val="6"/>
                <c:pt idx="0">
                  <c:v>1.9739536822021606</c:v>
                </c:pt>
                <c:pt idx="1">
                  <c:v>1.972976768837353</c:v>
                </c:pt>
                <c:pt idx="2">
                  <c:v>1.9664676126810356</c:v>
                </c:pt>
                <c:pt idx="3">
                  <c:v>1.9536502690678597</c:v>
                </c:pt>
                <c:pt idx="4">
                  <c:v>2.0665360861082096</c:v>
                </c:pt>
                <c:pt idx="5">
                  <c:v>2.3686024706549111</c:v>
                </c:pt>
              </c:numCache>
            </c:numRef>
          </c:val>
          <c:extLst>
            <c:ext xmlns:c16="http://schemas.microsoft.com/office/drawing/2014/chart" uri="{C3380CC4-5D6E-409C-BE32-E72D297353CC}">
              <c16:uniqueId val="{00000001-37D7-42BB-A389-7F20E8E9BD89}"/>
            </c:ext>
          </c:extLst>
        </c:ser>
        <c:ser>
          <c:idx val="8"/>
          <c:order val="2"/>
          <c:tx>
            <c:strRef>
              <c:f>'Baseline by End Use'!$L$12</c:f>
              <c:strCache>
                <c:ptCount val="1"/>
                <c:pt idx="0">
                  <c:v> Office Equipment </c:v>
                </c:pt>
              </c:strCache>
            </c:strRef>
          </c:tx>
          <c:spPr>
            <a:solidFill>
              <a:srgbClr val="A98AE3"/>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Use'!$M$12:$R$12</c:f>
              <c:numCache>
                <c:formatCode>_(* #,##0_);_(* \(#,##0\);_(* "-"??_);_(@_)</c:formatCode>
                <c:ptCount val="6"/>
                <c:pt idx="0">
                  <c:v>1.6148489825057226</c:v>
                </c:pt>
                <c:pt idx="1">
                  <c:v>1.5486759123845986</c:v>
                </c:pt>
                <c:pt idx="2">
                  <c:v>1.4642921966650306</c:v>
                </c:pt>
                <c:pt idx="3">
                  <c:v>1.3674741137652087</c:v>
                </c:pt>
                <c:pt idx="4">
                  <c:v>1.3181208687888184</c:v>
                </c:pt>
                <c:pt idx="5">
                  <c:v>1.2967415526054022</c:v>
                </c:pt>
              </c:numCache>
            </c:numRef>
          </c:val>
          <c:extLst>
            <c:ext xmlns:c16="http://schemas.microsoft.com/office/drawing/2014/chart" uri="{C3380CC4-5D6E-409C-BE32-E72D297353CC}">
              <c16:uniqueId val="{00000002-37D7-42BB-A389-7F20E8E9BD89}"/>
            </c:ext>
          </c:extLst>
        </c:ser>
        <c:ser>
          <c:idx val="7"/>
          <c:order val="3"/>
          <c:tx>
            <c:strRef>
              <c:f>'Baseline by End Use'!$L$11</c:f>
              <c:strCache>
                <c:ptCount val="1"/>
                <c:pt idx="0">
                  <c:v> Food Preparation </c:v>
                </c:pt>
              </c:strCache>
            </c:strRef>
          </c:tx>
          <c:spPr>
            <a:solidFill>
              <a:schemeClr val="accent3">
                <a:lumMod val="5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Use'!$M$11:$R$11</c:f>
              <c:numCache>
                <c:formatCode>_(* #,##0_);_(* \(#,##0\);_(* "-"??_);_(@_)</c:formatCode>
                <c:ptCount val="6"/>
                <c:pt idx="0">
                  <c:v>1.102823644516119</c:v>
                </c:pt>
                <c:pt idx="1">
                  <c:v>1.0559116191739557</c:v>
                </c:pt>
                <c:pt idx="2">
                  <c:v>1.0030803026946011</c:v>
                </c:pt>
                <c:pt idx="3">
                  <c:v>0.88909377303998405</c:v>
                </c:pt>
                <c:pt idx="4">
                  <c:v>0.75762576920644142</c:v>
                </c:pt>
                <c:pt idx="5">
                  <c:v>0.71197792668861004</c:v>
                </c:pt>
              </c:numCache>
            </c:numRef>
          </c:val>
          <c:extLst>
            <c:ext xmlns:c16="http://schemas.microsoft.com/office/drawing/2014/chart" uri="{C3380CC4-5D6E-409C-BE32-E72D297353CC}">
              <c16:uniqueId val="{00000003-37D7-42BB-A389-7F20E8E9BD89}"/>
            </c:ext>
          </c:extLst>
        </c:ser>
        <c:ser>
          <c:idx val="6"/>
          <c:order val="4"/>
          <c:tx>
            <c:strRef>
              <c:f>'Baseline by End Use'!$L$10</c:f>
              <c:strCache>
                <c:ptCount val="1"/>
                <c:pt idx="0">
                  <c:v> Refrigeration </c:v>
                </c:pt>
              </c:strCache>
            </c:strRef>
          </c:tx>
          <c:spPr>
            <a:solidFill>
              <a:srgbClr val="3CD39C"/>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Use'!$M$10:$R$10</c:f>
              <c:numCache>
                <c:formatCode>_(* #,##0_);_(* \(#,##0\);_(* "-"??_);_(@_)</c:formatCode>
                <c:ptCount val="6"/>
                <c:pt idx="0">
                  <c:v>2.4434617786857213</c:v>
                </c:pt>
                <c:pt idx="1">
                  <c:v>2.4385534247863951</c:v>
                </c:pt>
                <c:pt idx="2">
                  <c:v>2.4344466989761715</c:v>
                </c:pt>
                <c:pt idx="3">
                  <c:v>2.4260139986558915</c:v>
                </c:pt>
                <c:pt idx="4">
                  <c:v>2.4141860431956208</c:v>
                </c:pt>
                <c:pt idx="5">
                  <c:v>2.4089767175793115</c:v>
                </c:pt>
              </c:numCache>
            </c:numRef>
          </c:val>
          <c:extLst>
            <c:ext xmlns:c16="http://schemas.microsoft.com/office/drawing/2014/chart" uri="{C3380CC4-5D6E-409C-BE32-E72D297353CC}">
              <c16:uniqueId val="{00000004-37D7-42BB-A389-7F20E8E9BD89}"/>
            </c:ext>
          </c:extLst>
        </c:ser>
        <c:ser>
          <c:idx val="5"/>
          <c:order val="5"/>
          <c:tx>
            <c:strRef>
              <c:f>'Baseline by End Use'!$L$9</c:f>
              <c:strCache>
                <c:ptCount val="1"/>
                <c:pt idx="0">
                  <c:v> Exterior Lighting </c:v>
                </c:pt>
              </c:strCache>
            </c:strRef>
          </c:tx>
          <c:spPr>
            <a:solidFill>
              <a:srgbClr val="BFA3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Use'!$M$9:$R$9</c:f>
              <c:numCache>
                <c:formatCode>_(* #,##0_);_(* \(#,##0\);_(* "-"??_);_(@_)</c:formatCode>
                <c:ptCount val="6"/>
                <c:pt idx="0">
                  <c:v>0.6348064354845151</c:v>
                </c:pt>
                <c:pt idx="1">
                  <c:v>0.6136054985292011</c:v>
                </c:pt>
                <c:pt idx="2">
                  <c:v>0.58026180123337123</c:v>
                </c:pt>
                <c:pt idx="3">
                  <c:v>0.4975183874770126</c:v>
                </c:pt>
                <c:pt idx="4">
                  <c:v>0.42575389942428488</c:v>
                </c:pt>
                <c:pt idx="5">
                  <c:v>0.40277780963730803</c:v>
                </c:pt>
              </c:numCache>
            </c:numRef>
          </c:val>
          <c:extLst>
            <c:ext xmlns:c16="http://schemas.microsoft.com/office/drawing/2014/chart" uri="{C3380CC4-5D6E-409C-BE32-E72D297353CC}">
              <c16:uniqueId val="{00000005-37D7-42BB-A389-7F20E8E9BD89}"/>
            </c:ext>
          </c:extLst>
        </c:ser>
        <c:ser>
          <c:idx val="4"/>
          <c:order val="6"/>
          <c:tx>
            <c:strRef>
              <c:f>'Baseline by End Use'!$L$8</c:f>
              <c:strCache>
                <c:ptCount val="1"/>
                <c:pt idx="0">
                  <c:v> Interior Lighting </c:v>
                </c:pt>
              </c:strCache>
            </c:strRef>
          </c:tx>
          <c:spPr>
            <a:solidFill>
              <a:srgbClr val="FFDA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Use'!$M$8:$R$8</c:f>
              <c:numCache>
                <c:formatCode>_(* #,##0_);_(* \(#,##0\);_(* "-"??_);_(@_)</c:formatCode>
                <c:ptCount val="6"/>
                <c:pt idx="0">
                  <c:v>2.9949252133411308</c:v>
                </c:pt>
                <c:pt idx="1">
                  <c:v>2.9359187109181115</c:v>
                </c:pt>
                <c:pt idx="2">
                  <c:v>2.84085770245265</c:v>
                </c:pt>
                <c:pt idx="3">
                  <c:v>2.6198221248366544</c:v>
                </c:pt>
                <c:pt idx="4">
                  <c:v>2.2903461656739004</c:v>
                </c:pt>
                <c:pt idx="5">
                  <c:v>2.183287205951788</c:v>
                </c:pt>
              </c:numCache>
            </c:numRef>
          </c:val>
          <c:extLst>
            <c:ext xmlns:c16="http://schemas.microsoft.com/office/drawing/2014/chart" uri="{C3380CC4-5D6E-409C-BE32-E72D297353CC}">
              <c16:uniqueId val="{00000006-37D7-42BB-A389-7F20E8E9BD89}"/>
            </c:ext>
          </c:extLst>
        </c:ser>
        <c:ser>
          <c:idx val="3"/>
          <c:order val="7"/>
          <c:tx>
            <c:strRef>
              <c:f>'Baseline by End Use'!$L$7</c:f>
              <c:strCache>
                <c:ptCount val="1"/>
                <c:pt idx="0">
                  <c:v> Water Heating </c:v>
                </c:pt>
              </c:strCache>
            </c:strRef>
          </c:tx>
          <c:spPr>
            <a:solidFill>
              <a:schemeClr val="accent5"/>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Use'!$M$7:$R$7</c:f>
              <c:numCache>
                <c:formatCode>_(* #,##0_);_(* \(#,##0\);_(* "-"??_);_(@_)</c:formatCode>
                <c:ptCount val="6"/>
                <c:pt idx="0">
                  <c:v>0.55915409639208313</c:v>
                </c:pt>
                <c:pt idx="1">
                  <c:v>0.58413205230889897</c:v>
                </c:pt>
                <c:pt idx="2">
                  <c:v>0.66477669539954176</c:v>
                </c:pt>
                <c:pt idx="3">
                  <c:v>0.72824463467679101</c:v>
                </c:pt>
                <c:pt idx="4">
                  <c:v>0.82193332918633288</c:v>
                </c:pt>
                <c:pt idx="5">
                  <c:v>0.83912352691074255</c:v>
                </c:pt>
              </c:numCache>
            </c:numRef>
          </c:val>
          <c:extLst>
            <c:ext xmlns:c16="http://schemas.microsoft.com/office/drawing/2014/chart" uri="{C3380CC4-5D6E-409C-BE32-E72D297353CC}">
              <c16:uniqueId val="{00000007-37D7-42BB-A389-7F20E8E9BD89}"/>
            </c:ext>
          </c:extLst>
        </c:ser>
        <c:ser>
          <c:idx val="2"/>
          <c:order val="8"/>
          <c:tx>
            <c:strRef>
              <c:f>'Baseline by End Use'!$L$6</c:f>
              <c:strCache>
                <c:ptCount val="1"/>
                <c:pt idx="0">
                  <c:v> Ventilation </c:v>
                </c:pt>
              </c:strCache>
            </c:strRef>
          </c:tx>
          <c:spPr>
            <a:solidFill>
              <a:schemeClr val="accent6">
                <a:lumMod val="20000"/>
                <a:lumOff val="8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Use'!$M$6:$R$6</c:f>
              <c:numCache>
                <c:formatCode>_(* #,##0_);_(* \(#,##0\);_(* "-"??_);_(@_)</c:formatCode>
                <c:ptCount val="6"/>
                <c:pt idx="0">
                  <c:v>2.43304635847525</c:v>
                </c:pt>
                <c:pt idx="1">
                  <c:v>2.3462813467375505</c:v>
                </c:pt>
                <c:pt idx="2">
                  <c:v>2.4440705023147729</c:v>
                </c:pt>
                <c:pt idx="3">
                  <c:v>2.2167926767274921</c:v>
                </c:pt>
                <c:pt idx="4">
                  <c:v>1.9227712717000311</c:v>
                </c:pt>
                <c:pt idx="5">
                  <c:v>1.8331811930493427</c:v>
                </c:pt>
              </c:numCache>
            </c:numRef>
          </c:val>
          <c:extLst>
            <c:ext xmlns:c16="http://schemas.microsoft.com/office/drawing/2014/chart" uri="{C3380CC4-5D6E-409C-BE32-E72D297353CC}">
              <c16:uniqueId val="{00000008-37D7-42BB-A389-7F20E8E9BD89}"/>
            </c:ext>
          </c:extLst>
        </c:ser>
        <c:ser>
          <c:idx val="1"/>
          <c:order val="9"/>
          <c:tx>
            <c:strRef>
              <c:f>'Baseline by End Use'!$L$5</c:f>
              <c:strCache>
                <c:ptCount val="1"/>
                <c:pt idx="0">
                  <c:v> Space Heating </c:v>
                </c:pt>
              </c:strCache>
            </c:strRef>
          </c:tx>
          <c:spPr>
            <a:solidFill>
              <a:srgbClr val="E03F3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Use'!$M$5:$R$5</c:f>
              <c:numCache>
                <c:formatCode>_(* #,##0_);_(* \(#,##0\);_(* "-"??_);_(@_)</c:formatCode>
                <c:ptCount val="6"/>
                <c:pt idx="0">
                  <c:v>0.93170951591320939</c:v>
                </c:pt>
                <c:pt idx="1">
                  <c:v>1.0921276495680239</c:v>
                </c:pt>
                <c:pt idx="2">
                  <c:v>1.2363454374021163</c:v>
                </c:pt>
                <c:pt idx="3">
                  <c:v>1.2020219088014958</c:v>
                </c:pt>
                <c:pt idx="4">
                  <c:v>1.1517699098913636</c:v>
                </c:pt>
                <c:pt idx="5">
                  <c:v>1.1177637367704305</c:v>
                </c:pt>
              </c:numCache>
            </c:numRef>
          </c:val>
          <c:extLst>
            <c:ext xmlns:c16="http://schemas.microsoft.com/office/drawing/2014/chart" uri="{C3380CC4-5D6E-409C-BE32-E72D297353CC}">
              <c16:uniqueId val="{00000009-37D7-42BB-A389-7F20E8E9BD89}"/>
            </c:ext>
          </c:extLst>
        </c:ser>
        <c:ser>
          <c:idx val="0"/>
          <c:order val="10"/>
          <c:tx>
            <c:strRef>
              <c:f>'Baseline by End Use'!$L$4</c:f>
              <c:strCache>
                <c:ptCount val="1"/>
                <c:pt idx="0">
                  <c:v> Cooling </c:v>
                </c:pt>
              </c:strCache>
            </c:strRef>
          </c:tx>
          <c:spPr>
            <a:solidFill>
              <a:srgbClr val="00B3F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numRef>
          </c:cat>
          <c:val>
            <c:numRef>
              <c:f>'Baseline by End Use'!$M$4:$R$4</c:f>
              <c:numCache>
                <c:formatCode>_(* #,##0_);_(* \(#,##0\);_(* "-"??_);_(@_)</c:formatCode>
                <c:ptCount val="6"/>
                <c:pt idx="0">
                  <c:v>1.1705717923498167</c:v>
                </c:pt>
                <c:pt idx="1">
                  <c:v>0.88702706676666587</c:v>
                </c:pt>
                <c:pt idx="2">
                  <c:v>0.87148687475991315</c:v>
                </c:pt>
                <c:pt idx="3">
                  <c:v>0.87344371984228597</c:v>
                </c:pt>
                <c:pt idx="4">
                  <c:v>0.87049388720318355</c:v>
                </c:pt>
                <c:pt idx="5">
                  <c:v>0.8542946367212112</c:v>
                </c:pt>
              </c:numCache>
            </c:numRef>
          </c:val>
          <c:extLst>
            <c:ext xmlns:c16="http://schemas.microsoft.com/office/drawing/2014/chart" uri="{C3380CC4-5D6E-409C-BE32-E72D297353CC}">
              <c16:uniqueId val="{0000000A-37D7-42BB-A389-7F20E8E9BD89}"/>
            </c:ext>
          </c:extLst>
        </c:ser>
        <c:dLbls>
          <c:showLegendKey val="0"/>
          <c:showVal val="0"/>
          <c:showCatName val="0"/>
          <c:showSerName val="0"/>
          <c:showPercent val="0"/>
          <c:showBubbleSize val="0"/>
        </c:dLbls>
        <c:gapWidth val="75"/>
        <c:overlap val="100"/>
        <c:axId val="196167744"/>
        <c:axId val="196161504"/>
        <c:extLst/>
      </c:barChart>
      <c:catAx>
        <c:axId val="196167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1504"/>
        <c:crosses val="autoZero"/>
        <c:auto val="1"/>
        <c:lblAlgn val="ctr"/>
        <c:lblOffset val="100"/>
        <c:noMultiLvlLbl val="0"/>
      </c:catAx>
      <c:valAx>
        <c:axId val="1961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kWh/sqft</a:t>
                </a:r>
              </a:p>
              <a:p>
                <a:pPr>
                  <a:defRPr/>
                </a:pPr>
                <a:endParaRPr lang="en-US"/>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7744"/>
        <c:crosses val="autoZero"/>
        <c:crossBetween val="between"/>
      </c:valAx>
      <c:spPr>
        <a:noFill/>
        <a:ln>
          <a:noFill/>
        </a:ln>
        <a:effectLst/>
      </c:spPr>
    </c:plotArea>
    <c:legend>
      <c:legendPos val="r"/>
      <c:layout>
        <c:manualLayout>
          <c:xMode val="edge"/>
          <c:yMode val="edge"/>
          <c:x val="0.80443326186378605"/>
          <c:y val="0.13428139332270314"/>
          <c:w val="0.18942327026308392"/>
          <c:h val="0.7550276987819111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F6F6F7"/>
    </a:solidFill>
    <a:ln w="9525" cap="flat" cmpd="sng" algn="ctr">
      <a:noFill/>
      <a:round/>
    </a:ln>
    <a:effectLst/>
  </c:spPr>
  <c:txPr>
    <a:bodyPr/>
    <a:lstStyle/>
    <a:p>
      <a:pPr>
        <a:defRPr sz="1000"/>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49771337659229"/>
          <c:y val="0.14416164952391214"/>
          <c:w val="0.67453984117369947"/>
          <c:h val="0.73747254751697344"/>
        </c:manualLayout>
      </c:layout>
      <c:areaChart>
        <c:grouping val="stacked"/>
        <c:varyColors val="0"/>
        <c:ser>
          <c:idx val="3"/>
          <c:order val="0"/>
          <c:tx>
            <c:strRef>
              <c:f>'Baseline by End Use'!$B$55</c:f>
              <c:strCache>
                <c:ptCount val="1"/>
                <c:pt idx="0">
                  <c:v> Miscellaneous </c:v>
                </c:pt>
              </c:strCache>
            </c:strRef>
          </c:tx>
          <c:spPr>
            <a:solidFill>
              <a:srgbClr val="808080"/>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Use'!$C$55:$AC$55</c:f>
              <c:numCache>
                <c:formatCode>_(* #,##0_);_(* \(#,##0\);_(* "-"??_);_(@_)</c:formatCode>
                <c:ptCount val="27"/>
                <c:pt idx="0">
                  <c:v>29.243939745436542</c:v>
                </c:pt>
                <c:pt idx="1">
                  <c:v>30.388295055419508</c:v>
                </c:pt>
                <c:pt idx="2">
                  <c:v>30.55471479233438</c:v>
                </c:pt>
                <c:pt idx="3">
                  <c:v>30.655117966408401</c:v>
                </c:pt>
                <c:pt idx="4">
                  <c:v>30.044011251314004</c:v>
                </c:pt>
                <c:pt idx="5">
                  <c:v>29.735346135132936</c:v>
                </c:pt>
                <c:pt idx="6">
                  <c:v>29.430055009082587</c:v>
                </c:pt>
                <c:pt idx="7">
                  <c:v>29.230155339720667</c:v>
                </c:pt>
                <c:pt idx="8">
                  <c:v>29.03199243633869</c:v>
                </c:pt>
                <c:pt idx="9">
                  <c:v>28.835552058485042</c:v>
                </c:pt>
                <c:pt idx="10">
                  <c:v>28.640820083957987</c:v>
                </c:pt>
                <c:pt idx="11">
                  <c:v>28.447782507826464</c:v>
                </c:pt>
                <c:pt idx="12">
                  <c:v>28.256425441459065</c:v>
                </c:pt>
                <c:pt idx="13">
                  <c:v>28.06673511156102</c:v>
                </c:pt>
                <c:pt idx="14">
                  <c:v>27.878697859219159</c:v>
                </c:pt>
                <c:pt idx="15">
                  <c:v>27.692300138954824</c:v>
                </c:pt>
                <c:pt idx="16">
                  <c:v>27.507528517784575</c:v>
                </c:pt>
                <c:pt idx="17">
                  <c:v>27.324369674288715</c:v>
                </c:pt>
                <c:pt idx="18">
                  <c:v>27.142810397687551</c:v>
                </c:pt>
                <c:pt idx="19">
                  <c:v>26.962837586925243</c:v>
                </c:pt>
                <c:pt idx="20">
                  <c:v>26.784438249761298</c:v>
                </c:pt>
                <c:pt idx="21">
                  <c:v>26.607599501869572</c:v>
                </c:pt>
                <c:pt idx="22">
                  <c:v>26.432308565944773</c:v>
                </c:pt>
                <c:pt idx="23">
                  <c:v>26.258552770816294</c:v>
                </c:pt>
                <c:pt idx="24">
                  <c:v>26.086319550569431</c:v>
                </c:pt>
                <c:pt idx="25">
                  <c:v>25.91559644367393</c:v>
                </c:pt>
                <c:pt idx="26">
                  <c:v>25.746371092119666</c:v>
                </c:pt>
              </c:numCache>
            </c:numRef>
          </c:val>
          <c:extLst>
            <c:ext xmlns:c16="http://schemas.microsoft.com/office/drawing/2014/chart" uri="{C3380CC4-5D6E-409C-BE32-E72D297353CC}">
              <c16:uniqueId val="{00000000-FFBA-425F-B872-6D3FEC10C16C}"/>
            </c:ext>
          </c:extLst>
        </c:ser>
        <c:ser>
          <c:idx val="1"/>
          <c:order val="1"/>
          <c:tx>
            <c:strRef>
              <c:f>'Baseline by End Use'!$B$53</c:f>
              <c:strCache>
                <c:ptCount val="1"/>
                <c:pt idx="0">
                  <c:v> Motors </c:v>
                </c:pt>
              </c:strCache>
            </c:strRef>
          </c:tx>
          <c:spPr>
            <a:solidFill>
              <a:schemeClr val="tx2">
                <a:lumMod val="60000"/>
                <a:lumOff val="40000"/>
              </a:schemeClr>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Use'!$C$53:$AC$53</c:f>
              <c:numCache>
                <c:formatCode>_(* #,##0_);_(* \(#,##0\);_(* "-"??_);_(@_)</c:formatCode>
                <c:ptCount val="27"/>
                <c:pt idx="0">
                  <c:v>306.7649624924432</c:v>
                </c:pt>
                <c:pt idx="1">
                  <c:v>310.09953452850328</c:v>
                </c:pt>
                <c:pt idx="2">
                  <c:v>313.59497739399325</c:v>
                </c:pt>
                <c:pt idx="3">
                  <c:v>315.72135332692659</c:v>
                </c:pt>
                <c:pt idx="4">
                  <c:v>310.0069828989723</c:v>
                </c:pt>
                <c:pt idx="5">
                  <c:v>308.411004429478</c:v>
                </c:pt>
                <c:pt idx="6">
                  <c:v>305.18810492088181</c:v>
                </c:pt>
                <c:pt idx="7">
                  <c:v>303.6091373825447</c:v>
                </c:pt>
                <c:pt idx="8">
                  <c:v>302.04499472401903</c:v>
                </c:pt>
                <c:pt idx="9">
                  <c:v>300.49555732780976</c:v>
                </c:pt>
                <c:pt idx="10">
                  <c:v>298.96070657329716</c:v>
                </c:pt>
                <c:pt idx="11">
                  <c:v>297.44032482848894</c:v>
                </c:pt>
                <c:pt idx="12">
                  <c:v>295.93429544184045</c:v>
                </c:pt>
                <c:pt idx="13">
                  <c:v>294.44250273414292</c:v>
                </c:pt>
                <c:pt idx="14">
                  <c:v>292.96483199047873</c:v>
                </c:pt>
                <c:pt idx="15">
                  <c:v>291.50116945224397</c:v>
                </c:pt>
                <c:pt idx="16">
                  <c:v>290.05140230923502</c:v>
                </c:pt>
                <c:pt idx="17">
                  <c:v>288.61541869180445</c:v>
                </c:pt>
                <c:pt idx="18">
                  <c:v>287.19310766307785</c:v>
                </c:pt>
                <c:pt idx="19">
                  <c:v>285.78435921123815</c:v>
                </c:pt>
                <c:pt idx="20">
                  <c:v>284.3890642418724</c:v>
                </c:pt>
                <c:pt idx="21">
                  <c:v>283.00711457038221</c:v>
                </c:pt>
                <c:pt idx="22">
                  <c:v>281.63840291445769</c:v>
                </c:pt>
                <c:pt idx="23">
                  <c:v>280.28282288661279</c:v>
                </c:pt>
                <c:pt idx="24">
                  <c:v>278.94026898678328</c:v>
                </c:pt>
                <c:pt idx="25">
                  <c:v>277.61063659498581</c:v>
                </c:pt>
                <c:pt idx="26">
                  <c:v>276.29382196403782</c:v>
                </c:pt>
              </c:numCache>
            </c:numRef>
          </c:val>
          <c:extLst>
            <c:ext xmlns:c16="http://schemas.microsoft.com/office/drawing/2014/chart" uri="{C3380CC4-5D6E-409C-BE32-E72D297353CC}">
              <c16:uniqueId val="{00000001-FFBA-425F-B872-6D3FEC10C16C}"/>
            </c:ext>
          </c:extLst>
        </c:ser>
        <c:ser>
          <c:idx val="2"/>
          <c:order val="2"/>
          <c:tx>
            <c:strRef>
              <c:f>'Baseline by End Use'!$B$54</c:f>
              <c:strCache>
                <c:ptCount val="1"/>
                <c:pt idx="0">
                  <c:v> Process </c:v>
                </c:pt>
              </c:strCache>
            </c:strRef>
          </c:tx>
          <c:spPr>
            <a:solidFill>
              <a:schemeClr val="accent1"/>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Use'!$C$54:$AC$54</c:f>
              <c:numCache>
                <c:formatCode>_(* #,##0_);_(* \(#,##0\);_(* "-"??_);_(@_)</c:formatCode>
                <c:ptCount val="27"/>
                <c:pt idx="0">
                  <c:v>87.442784938846586</c:v>
                </c:pt>
                <c:pt idx="1">
                  <c:v>93.14444631400228</c:v>
                </c:pt>
                <c:pt idx="2">
                  <c:v>93.032227857937741</c:v>
                </c:pt>
                <c:pt idx="3">
                  <c:v>93.635606582756466</c:v>
                </c:pt>
                <c:pt idx="4">
                  <c:v>91.728212019896418</c:v>
                </c:pt>
                <c:pt idx="5">
                  <c:v>90.434732516977192</c:v>
                </c:pt>
                <c:pt idx="6">
                  <c:v>89.518719442747425</c:v>
                </c:pt>
                <c:pt idx="7">
                  <c:v>88.801529031681213</c:v>
                </c:pt>
                <c:pt idx="8">
                  <c:v>88.090325218885539</c:v>
                </c:pt>
                <c:pt idx="9">
                  <c:v>87.38505848965552</c:v>
                </c:pt>
                <c:pt idx="10">
                  <c:v>86.685679739651945</c:v>
                </c:pt>
                <c:pt idx="11">
                  <c:v>85.992140271501825</c:v>
                </c:pt>
                <c:pt idx="12">
                  <c:v>85.30439179142725</c:v>
                </c:pt>
                <c:pt idx="13">
                  <c:v>84.622386405901651</c:v>
                </c:pt>
                <c:pt idx="14">
                  <c:v>83.946076618334487</c:v>
                </c:pt>
                <c:pt idx="15">
                  <c:v>83.275415325782816</c:v>
                </c:pt>
                <c:pt idx="16">
                  <c:v>82.610355815690397</c:v>
                </c:pt>
                <c:pt idx="17">
                  <c:v>81.950851762653684</c:v>
                </c:pt>
                <c:pt idx="18">
                  <c:v>81.296857225214822</c:v>
                </c:pt>
                <c:pt idx="19">
                  <c:v>80.648326642680729</c:v>
                </c:pt>
                <c:pt idx="20">
                  <c:v>80.005214831969226</c:v>
                </c:pt>
                <c:pt idx="21">
                  <c:v>79.367476984480732</c:v>
                </c:pt>
                <c:pt idx="22">
                  <c:v>78.735068662996113</c:v>
                </c:pt>
                <c:pt idx="23">
                  <c:v>78.107945798600142</c:v>
                </c:pt>
                <c:pt idx="24">
                  <c:v>77.486064687630559</c:v>
                </c:pt>
                <c:pt idx="25">
                  <c:v>76.869381988652364</c:v>
                </c:pt>
                <c:pt idx="26">
                  <c:v>76.257854719457072</c:v>
                </c:pt>
              </c:numCache>
            </c:numRef>
          </c:val>
          <c:extLst>
            <c:ext xmlns:c16="http://schemas.microsoft.com/office/drawing/2014/chart" uri="{C3380CC4-5D6E-409C-BE32-E72D297353CC}">
              <c16:uniqueId val="{00000002-FFBA-425F-B872-6D3FEC10C16C}"/>
            </c:ext>
          </c:extLst>
        </c:ser>
        <c:ser>
          <c:idx val="0"/>
          <c:order val="3"/>
          <c:tx>
            <c:strRef>
              <c:f>'Baseline by End Use'!$B$52</c:f>
              <c:strCache>
                <c:ptCount val="1"/>
                <c:pt idx="0">
                  <c:v> Exterior Lighting </c:v>
                </c:pt>
              </c:strCache>
            </c:strRef>
          </c:tx>
          <c:spPr>
            <a:solidFill>
              <a:srgbClr val="BFA300"/>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Use'!$C$52:$AC$52</c:f>
              <c:numCache>
                <c:formatCode>_(* #,##0_);_(* \(#,##0\);_(* "-"??_);_(@_)</c:formatCode>
                <c:ptCount val="27"/>
                <c:pt idx="0">
                  <c:v>25.314463992818695</c:v>
                </c:pt>
                <c:pt idx="1">
                  <c:v>26.700734943233169</c:v>
                </c:pt>
                <c:pt idx="2">
                  <c:v>26.372625617899654</c:v>
                </c:pt>
                <c:pt idx="3">
                  <c:v>26.310566795602043</c:v>
                </c:pt>
                <c:pt idx="4">
                  <c:v>25.819700953138717</c:v>
                </c:pt>
                <c:pt idx="5">
                  <c:v>25.664245613489932</c:v>
                </c:pt>
                <c:pt idx="6">
                  <c:v>25.345328595164517</c:v>
                </c:pt>
                <c:pt idx="7">
                  <c:v>25.006456183634391</c:v>
                </c:pt>
                <c:pt idx="8">
                  <c:v>24.618350728290885</c:v>
                </c:pt>
                <c:pt idx="9">
                  <c:v>24.150330062690998</c:v>
                </c:pt>
                <c:pt idx="10">
                  <c:v>23.668878997465484</c:v>
                </c:pt>
                <c:pt idx="11">
                  <c:v>23.251281182554415</c:v>
                </c:pt>
                <c:pt idx="12">
                  <c:v>22.939920717732758</c:v>
                </c:pt>
                <c:pt idx="13">
                  <c:v>22.658779151178106</c:v>
                </c:pt>
                <c:pt idx="14">
                  <c:v>22.264800982902337</c:v>
                </c:pt>
                <c:pt idx="15">
                  <c:v>21.871492670000798</c:v>
                </c:pt>
                <c:pt idx="16">
                  <c:v>21.499498727057919</c:v>
                </c:pt>
                <c:pt idx="17">
                  <c:v>21.138436202111748</c:v>
                </c:pt>
                <c:pt idx="18">
                  <c:v>20.788309942480108</c:v>
                </c:pt>
                <c:pt idx="19">
                  <c:v>20.529396119611356</c:v>
                </c:pt>
                <c:pt idx="20">
                  <c:v>20.200580411836579</c:v>
                </c:pt>
                <c:pt idx="21">
                  <c:v>19.881874415034538</c:v>
                </c:pt>
                <c:pt idx="22">
                  <c:v>19.48452284672695</c:v>
                </c:pt>
                <c:pt idx="23">
                  <c:v>19.052149703110278</c:v>
                </c:pt>
                <c:pt idx="24">
                  <c:v>18.572931715365552</c:v>
                </c:pt>
                <c:pt idx="25">
                  <c:v>18.093322745267116</c:v>
                </c:pt>
                <c:pt idx="26">
                  <c:v>17.701538174503298</c:v>
                </c:pt>
              </c:numCache>
            </c:numRef>
          </c:val>
          <c:extLst>
            <c:ext xmlns:c16="http://schemas.microsoft.com/office/drawing/2014/chart" uri="{C3380CC4-5D6E-409C-BE32-E72D297353CC}">
              <c16:uniqueId val="{00000003-FFBA-425F-B872-6D3FEC10C16C}"/>
            </c:ext>
          </c:extLst>
        </c:ser>
        <c:ser>
          <c:idx val="4"/>
          <c:order val="4"/>
          <c:tx>
            <c:strRef>
              <c:f>'Baseline by End Use'!$B$51</c:f>
              <c:strCache>
                <c:ptCount val="1"/>
                <c:pt idx="0">
                  <c:v> Interior Lighting </c:v>
                </c:pt>
              </c:strCache>
            </c:strRef>
          </c:tx>
          <c:spPr>
            <a:solidFill>
              <a:srgbClr val="FFE866"/>
            </a:solidFill>
            <a:ln>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Use'!$C$51:$AC$51</c:f>
              <c:numCache>
                <c:formatCode>_(* #,##0_);_(* \(#,##0\);_(* "-"??_);_(@_)</c:formatCode>
                <c:ptCount val="27"/>
                <c:pt idx="0">
                  <c:v>27.684913654057127</c:v>
                </c:pt>
                <c:pt idx="1">
                  <c:v>28.841859880555734</c:v>
                </c:pt>
                <c:pt idx="2">
                  <c:v>28.667643309543212</c:v>
                </c:pt>
                <c:pt idx="3">
                  <c:v>28.645285787619862</c:v>
                </c:pt>
                <c:pt idx="4">
                  <c:v>27.922369290016587</c:v>
                </c:pt>
                <c:pt idx="5">
                  <c:v>27.483929629916581</c:v>
                </c:pt>
                <c:pt idx="6">
                  <c:v>27.08394750839464</c:v>
                </c:pt>
                <c:pt idx="7">
                  <c:v>26.692663663655633</c:v>
                </c:pt>
                <c:pt idx="8">
                  <c:v>26.277453943436143</c:v>
                </c:pt>
                <c:pt idx="9">
                  <c:v>25.855875755559349</c:v>
                </c:pt>
                <c:pt idx="10">
                  <c:v>25.45279039953213</c:v>
                </c:pt>
                <c:pt idx="11">
                  <c:v>25.081974856803733</c:v>
                </c:pt>
                <c:pt idx="12">
                  <c:v>24.751957567633507</c:v>
                </c:pt>
                <c:pt idx="13">
                  <c:v>24.431089392669364</c:v>
                </c:pt>
                <c:pt idx="14">
                  <c:v>24.073471153772765</c:v>
                </c:pt>
                <c:pt idx="15">
                  <c:v>23.717962091073229</c:v>
                </c:pt>
                <c:pt idx="16">
                  <c:v>23.375082518898211</c:v>
                </c:pt>
                <c:pt idx="17">
                  <c:v>23.055701033444553</c:v>
                </c:pt>
                <c:pt idx="18">
                  <c:v>22.751996560203015</c:v>
                </c:pt>
                <c:pt idx="19">
                  <c:v>22.482069566456456</c:v>
                </c:pt>
                <c:pt idx="20">
                  <c:v>22.184630228722547</c:v>
                </c:pt>
                <c:pt idx="21">
                  <c:v>21.897611717360618</c:v>
                </c:pt>
                <c:pt idx="22">
                  <c:v>21.58594438336846</c:v>
                </c:pt>
                <c:pt idx="23">
                  <c:v>21.249137230002599</c:v>
                </c:pt>
                <c:pt idx="24">
                  <c:v>20.935602039351632</c:v>
                </c:pt>
                <c:pt idx="25">
                  <c:v>20.602570467056477</c:v>
                </c:pt>
                <c:pt idx="26">
                  <c:v>20.324133902331283</c:v>
                </c:pt>
              </c:numCache>
            </c:numRef>
          </c:val>
          <c:extLst xmlns:c15="http://schemas.microsoft.com/office/drawing/2012/chart">
            <c:ext xmlns:c16="http://schemas.microsoft.com/office/drawing/2014/chart" uri="{C3380CC4-5D6E-409C-BE32-E72D297353CC}">
              <c16:uniqueId val="{00000004-FFBA-425F-B872-6D3FEC10C16C}"/>
            </c:ext>
          </c:extLst>
        </c:ser>
        <c:ser>
          <c:idx val="7"/>
          <c:order val="5"/>
          <c:tx>
            <c:strRef>
              <c:f>'Baseline by End Use'!$B$50</c:f>
              <c:strCache>
                <c:ptCount val="1"/>
                <c:pt idx="0">
                  <c:v> Ventilation </c:v>
                </c:pt>
              </c:strCache>
            </c:strRef>
          </c:tx>
          <c:spPr>
            <a:solidFill>
              <a:schemeClr val="accent6">
                <a:lumMod val="20000"/>
                <a:lumOff val="80000"/>
              </a:schemeClr>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Use'!$C$50:$AC$50</c:f>
              <c:numCache>
                <c:formatCode>_(* #,##0_);_(* \(#,##0\);_(* "-"??_);_(@_)</c:formatCode>
                <c:ptCount val="27"/>
                <c:pt idx="0">
                  <c:v>30.819331866202432</c:v>
                </c:pt>
                <c:pt idx="1">
                  <c:v>31.410348671241813</c:v>
                </c:pt>
                <c:pt idx="2">
                  <c:v>30.648138386844771</c:v>
                </c:pt>
                <c:pt idx="3">
                  <c:v>30.337462822768924</c:v>
                </c:pt>
                <c:pt idx="4">
                  <c:v>29.14348171096583</c:v>
                </c:pt>
                <c:pt idx="5">
                  <c:v>28.270346019220558</c:v>
                </c:pt>
                <c:pt idx="6">
                  <c:v>27.488995612332523</c:v>
                </c:pt>
                <c:pt idx="7">
                  <c:v>26.81534033457152</c:v>
                </c:pt>
                <c:pt idx="8">
                  <c:v>26.168430635656915</c:v>
                </c:pt>
                <c:pt idx="9">
                  <c:v>25.550333425179286</c:v>
                </c:pt>
                <c:pt idx="10">
                  <c:v>24.962570633433462</c:v>
                </c:pt>
                <c:pt idx="11">
                  <c:v>24.406222140199866</c:v>
                </c:pt>
                <c:pt idx="12">
                  <c:v>23.881946440874113</c:v>
                </c:pt>
                <c:pt idx="13">
                  <c:v>23.390022302748719</c:v>
                </c:pt>
                <c:pt idx="14">
                  <c:v>22.93038209922452</c:v>
                </c:pt>
                <c:pt idx="15">
                  <c:v>22.502745141501499</c:v>
                </c:pt>
                <c:pt idx="16">
                  <c:v>22.106631044529529</c:v>
                </c:pt>
                <c:pt idx="17">
                  <c:v>21.736715704745919</c:v>
                </c:pt>
                <c:pt idx="18">
                  <c:v>21.391903776923538</c:v>
                </c:pt>
                <c:pt idx="19">
                  <c:v>21.069579468126719</c:v>
                </c:pt>
                <c:pt idx="20">
                  <c:v>20.767458388791916</c:v>
                </c:pt>
                <c:pt idx="21">
                  <c:v>20.483413618926988</c:v>
                </c:pt>
                <c:pt idx="22">
                  <c:v>20.215732973431809</c:v>
                </c:pt>
                <c:pt idx="23">
                  <c:v>19.962799572699875</c:v>
                </c:pt>
                <c:pt idx="24">
                  <c:v>19.723182106616999</c:v>
                </c:pt>
                <c:pt idx="25">
                  <c:v>19.495839637144389</c:v>
                </c:pt>
                <c:pt idx="26">
                  <c:v>19.279582063210796</c:v>
                </c:pt>
              </c:numCache>
            </c:numRef>
          </c:val>
          <c:extLst>
            <c:ext xmlns:c16="http://schemas.microsoft.com/office/drawing/2014/chart" uri="{C3380CC4-5D6E-409C-BE32-E72D297353CC}">
              <c16:uniqueId val="{00000005-FFBA-425F-B872-6D3FEC10C16C}"/>
            </c:ext>
          </c:extLst>
        </c:ser>
        <c:ser>
          <c:idx val="6"/>
          <c:order val="6"/>
          <c:tx>
            <c:strRef>
              <c:f>'Baseline by End Use'!$B$49</c:f>
              <c:strCache>
                <c:ptCount val="1"/>
                <c:pt idx="0">
                  <c:v> Space Heating </c:v>
                </c:pt>
              </c:strCache>
            </c:strRef>
          </c:tx>
          <c:spPr>
            <a:solidFill>
              <a:srgbClr val="E03F3F"/>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Use'!$C$49:$AC$49</c:f>
              <c:numCache>
                <c:formatCode>_(* #,##0_);_(* \(#,##0\);_(* "-"??_);_(@_)</c:formatCode>
                <c:ptCount val="27"/>
                <c:pt idx="0">
                  <c:v>16.715879023136733</c:v>
                </c:pt>
                <c:pt idx="1">
                  <c:v>17.040064220771889</c:v>
                </c:pt>
                <c:pt idx="2">
                  <c:v>16.646351116455595</c:v>
                </c:pt>
                <c:pt idx="3">
                  <c:v>16.724512019940867</c:v>
                </c:pt>
                <c:pt idx="4">
                  <c:v>16.18690237533383</c:v>
                </c:pt>
                <c:pt idx="5">
                  <c:v>15.911287059171421</c:v>
                </c:pt>
                <c:pt idx="6">
                  <c:v>15.67550919126621</c:v>
                </c:pt>
                <c:pt idx="7">
                  <c:v>15.49071192175095</c:v>
                </c:pt>
                <c:pt idx="8">
                  <c:v>15.309878351427656</c:v>
                </c:pt>
                <c:pt idx="9">
                  <c:v>15.132953918235232</c:v>
                </c:pt>
                <c:pt idx="10">
                  <c:v>14.959777988331687</c:v>
                </c:pt>
                <c:pt idx="11">
                  <c:v>14.790385095814594</c:v>
                </c:pt>
                <c:pt idx="12">
                  <c:v>14.624705162290843</c:v>
                </c:pt>
                <c:pt idx="13">
                  <c:v>14.462664975077839</c:v>
                </c:pt>
                <c:pt idx="14">
                  <c:v>14.304189195092938</c:v>
                </c:pt>
                <c:pt idx="15">
                  <c:v>14.149201563753801</c:v>
                </c:pt>
                <c:pt idx="16">
                  <c:v>13.997624292611919</c:v>
                </c:pt>
                <c:pt idx="17">
                  <c:v>13.849379356909671</c:v>
                </c:pt>
                <c:pt idx="18">
                  <c:v>13.701894413028512</c:v>
                </c:pt>
                <c:pt idx="19">
                  <c:v>13.556622356724864</c:v>
                </c:pt>
                <c:pt idx="20">
                  <c:v>13.413596051436551</c:v>
                </c:pt>
                <c:pt idx="21">
                  <c:v>13.272659368614136</c:v>
                </c:pt>
                <c:pt idx="22">
                  <c:v>13.133718887834915</c:v>
                </c:pt>
                <c:pt idx="23">
                  <c:v>12.996790224458783</c:v>
                </c:pt>
                <c:pt idx="24">
                  <c:v>12.861661943606874</c:v>
                </c:pt>
                <c:pt idx="25">
                  <c:v>12.728296843062896</c:v>
                </c:pt>
                <c:pt idx="26">
                  <c:v>12.596661808213748</c:v>
                </c:pt>
              </c:numCache>
            </c:numRef>
          </c:val>
          <c:extLst>
            <c:ext xmlns:c16="http://schemas.microsoft.com/office/drawing/2014/chart" uri="{C3380CC4-5D6E-409C-BE32-E72D297353CC}">
              <c16:uniqueId val="{00000006-FFBA-425F-B872-6D3FEC10C16C}"/>
            </c:ext>
          </c:extLst>
        </c:ser>
        <c:ser>
          <c:idx val="5"/>
          <c:order val="7"/>
          <c:tx>
            <c:strRef>
              <c:f>'Baseline by End Use'!$B$48</c:f>
              <c:strCache>
                <c:ptCount val="1"/>
                <c:pt idx="0">
                  <c:v> Cooling </c:v>
                </c:pt>
              </c:strCache>
            </c:strRef>
          </c:tx>
          <c:spPr>
            <a:solidFill>
              <a:srgbClr val="00B3FF"/>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Use'!$C$48:$AC$48</c:f>
              <c:numCache>
                <c:formatCode>_(* #,##0_);_(* \(#,##0\);_(* "-"??_);_(@_)</c:formatCode>
                <c:ptCount val="27"/>
                <c:pt idx="0">
                  <c:v>35.369908112525145</c:v>
                </c:pt>
                <c:pt idx="1">
                  <c:v>34.534906637920798</c:v>
                </c:pt>
                <c:pt idx="2">
                  <c:v>35.235463968464856</c:v>
                </c:pt>
                <c:pt idx="3">
                  <c:v>34.656645694956666</c:v>
                </c:pt>
                <c:pt idx="4">
                  <c:v>34.496554204896285</c:v>
                </c:pt>
                <c:pt idx="5">
                  <c:v>33.933763239756871</c:v>
                </c:pt>
                <c:pt idx="6">
                  <c:v>33.444152180804444</c:v>
                </c:pt>
                <c:pt idx="7">
                  <c:v>33.056980829731778</c:v>
                </c:pt>
                <c:pt idx="8">
                  <c:v>32.675138341458407</c:v>
                </c:pt>
                <c:pt idx="9">
                  <c:v>32.297098379506217</c:v>
                </c:pt>
                <c:pt idx="10">
                  <c:v>31.925119341065638</c:v>
                </c:pt>
                <c:pt idx="11">
                  <c:v>31.559564611111288</c:v>
                </c:pt>
                <c:pt idx="12">
                  <c:v>31.200673120842591</c:v>
                </c:pt>
                <c:pt idx="13">
                  <c:v>30.848629245457385</c:v>
                </c:pt>
                <c:pt idx="14">
                  <c:v>30.503569446933479</c:v>
                </c:pt>
                <c:pt idx="15">
                  <c:v>30.165590282229633</c:v>
                </c:pt>
                <c:pt idx="16">
                  <c:v>29.834752593268242</c:v>
                </c:pt>
                <c:pt idx="17">
                  <c:v>29.511082983624014</c:v>
                </c:pt>
                <c:pt idx="18">
                  <c:v>29.174331800683785</c:v>
                </c:pt>
                <c:pt idx="19">
                  <c:v>28.852422783249747</c:v>
                </c:pt>
                <c:pt idx="20">
                  <c:v>28.546115465250725</c:v>
                </c:pt>
                <c:pt idx="21">
                  <c:v>28.253181183383781</c:v>
                </c:pt>
                <c:pt idx="22">
                  <c:v>27.972940723340955</c:v>
                </c:pt>
                <c:pt idx="23">
                  <c:v>27.704133152081997</c:v>
                </c:pt>
                <c:pt idx="24">
                  <c:v>27.44557138132037</c:v>
                </c:pt>
                <c:pt idx="25">
                  <c:v>27.196270801901033</c:v>
                </c:pt>
                <c:pt idx="26">
                  <c:v>26.955349139813723</c:v>
                </c:pt>
              </c:numCache>
            </c:numRef>
          </c:val>
          <c:extLst>
            <c:ext xmlns:c16="http://schemas.microsoft.com/office/drawing/2014/chart" uri="{C3380CC4-5D6E-409C-BE32-E72D297353CC}">
              <c16:uniqueId val="{00000007-FFBA-425F-B872-6D3FEC10C16C}"/>
            </c:ext>
          </c:extLst>
        </c:ser>
        <c:dLbls>
          <c:showLegendKey val="0"/>
          <c:showVal val="0"/>
          <c:showCatName val="0"/>
          <c:showSerName val="0"/>
          <c:showPercent val="0"/>
          <c:showBubbleSize val="0"/>
        </c:dLbls>
        <c:axId val="1971858576"/>
        <c:axId val="259545295"/>
        <c:extLst/>
      </c:areaChart>
      <c:catAx>
        <c:axId val="19718585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9545295"/>
        <c:crosses val="autoZero"/>
        <c:auto val="1"/>
        <c:lblAlgn val="ctr"/>
        <c:lblOffset val="100"/>
        <c:tickLblSkip val="2"/>
        <c:noMultiLvlLbl val="0"/>
      </c:catAx>
      <c:valAx>
        <c:axId val="259545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1858576"/>
        <c:crosses val="autoZero"/>
        <c:crossBetween val="between"/>
      </c:valAx>
      <c:spPr>
        <a:noFill/>
        <a:ln>
          <a:noFill/>
        </a:ln>
        <a:effectLst/>
      </c:spPr>
    </c:plotArea>
    <c:legend>
      <c:legendPos val="r"/>
      <c:layout>
        <c:manualLayout>
          <c:xMode val="edge"/>
          <c:yMode val="edge"/>
          <c:x val="0.82771124963546228"/>
          <c:y val="0.22164483975985116"/>
          <c:w val="0.16987459900845731"/>
          <c:h val="0.566671819507864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noFill/>
      <a:prstDash val="dash"/>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a:t>
            </a:r>
            <a:r>
              <a:rPr lang="en-US" baseline="0"/>
              <a:t> </a:t>
            </a:r>
            <a:r>
              <a:rPr lang="en-US" u="none" baseline="0"/>
              <a:t>Use (GWh)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150F-44BE-8B50-B48C3F231B81}"/>
              </c:ext>
            </c:extLst>
          </c:dPt>
          <c:dPt>
            <c:idx val="1"/>
            <c:bubble3D val="0"/>
            <c:spPr>
              <a:solidFill>
                <a:schemeClr val="accent2"/>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150F-44BE-8B50-B48C3F231B81}"/>
              </c:ext>
            </c:extLst>
          </c:dPt>
          <c:dPt>
            <c:idx val="2"/>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150F-44BE-8B50-B48C3F231B81}"/>
              </c:ext>
            </c:extLst>
          </c:dPt>
          <c:dLbls>
            <c:dLbl>
              <c:idx val="0"/>
              <c:layout>
                <c:manualLayout>
                  <c:x val="-0.18238601797291895"/>
                  <c:y val="-1.6357030104333131E-2"/>
                </c:manualLayout>
              </c:layout>
              <c:spPr>
                <a:noFill/>
                <a:ln>
                  <a:noFill/>
                </a:ln>
                <a:effectLst/>
              </c:spPr>
              <c:txPr>
                <a:bodyPr rot="0" spcFirstLastPara="1" vertOverflow="ellipsis" vert="horz" wrap="square" lIns="38100" tIns="19050" rIns="38100" bIns="19050" anchor="ctr" anchorCtr="0">
                  <a:spAutoFit/>
                </a:bodyPr>
                <a:lstStyle/>
                <a:p>
                  <a:pPr algn="ctr">
                    <a:defRPr lang="en-US"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8379690949227371"/>
                      <c:h val="0.17060516901579473"/>
                    </c:manualLayout>
                  </c15:layout>
                </c:ext>
                <c:ext xmlns:c16="http://schemas.microsoft.com/office/drawing/2014/chart" uri="{C3380CC4-5D6E-409C-BE32-E72D297353CC}">
                  <c16:uniqueId val="{00000001-150F-44BE-8B50-B48C3F231B81}"/>
                </c:ext>
              </c:extLst>
            </c:dLbl>
            <c:dLbl>
              <c:idx val="1"/>
              <c:layout>
                <c:manualLayout>
                  <c:x val="0.22220854843475688"/>
                  <c:y val="-0.12921231821111329"/>
                </c:manualLayout>
              </c:layout>
              <c:tx>
                <c:rich>
                  <a:bodyPr/>
                  <a:lstStyle/>
                  <a:p>
                    <a:fld id="{60025846-A4E3-47D9-9713-3838CFEEC591}" type="CATEGORYNAME">
                      <a:rPr lang="en-US">
                        <a:solidFill>
                          <a:schemeClr val="bg1"/>
                        </a:solidFill>
                      </a:rPr>
                      <a:pPr/>
                      <a:t>[CATEGORY NAME]</a:t>
                    </a:fld>
                    <a:r>
                      <a:rPr lang="en-US" baseline="0">
                        <a:solidFill>
                          <a:schemeClr val="bg1"/>
                        </a:solidFill>
                      </a:rPr>
                      <a:t>
</a:t>
                    </a:r>
                    <a:fld id="{74207EBB-58C1-4908-B1B6-95EA5F86B2C0}" type="PERCENTAGE">
                      <a:rPr lang="en-US" baseline="0">
                        <a:solidFill>
                          <a:schemeClr val="bg1"/>
                        </a:solidFill>
                      </a:rPr>
                      <a:pPr/>
                      <a:t>[PERCENTAGE]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5790304357650656"/>
                      <c:h val="0.17060516901579473"/>
                    </c:manualLayout>
                  </c15:layout>
                  <c15:dlblFieldTable/>
                  <c15:showDataLabelsRange val="0"/>
                </c:ext>
                <c:ext xmlns:c16="http://schemas.microsoft.com/office/drawing/2014/chart" uri="{C3380CC4-5D6E-409C-BE32-E72D297353CC}">
                  <c16:uniqueId val="{00000003-150F-44BE-8B50-B48C3F231B81}"/>
                </c:ext>
              </c:extLst>
            </c:dLbl>
            <c:dLbl>
              <c:idx val="2"/>
              <c:layout>
                <c:manualLayout>
                  <c:x val="-6.9597260607324948E-3"/>
                  <c:y val="3.648574177338152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50F-44BE-8B50-B48C3F231B8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'Market Overview'!$N$9:$N$11</c:f>
              <c:strCache>
                <c:ptCount val="3"/>
                <c:pt idx="0">
                  <c:v>Residential</c:v>
                </c:pt>
                <c:pt idx="1">
                  <c:v>Commercial</c:v>
                </c:pt>
                <c:pt idx="2">
                  <c:v>Industrial</c:v>
                </c:pt>
              </c:strCache>
            </c:strRef>
          </c:cat>
          <c:val>
            <c:numRef>
              <c:f>'Market Overview'!$P$9:$P$11</c:f>
              <c:numCache>
                <c:formatCode>_(* #,##0_);_(* \(#,##0\);_(* "-"??_);_(@_)</c:formatCode>
                <c:ptCount val="3"/>
                <c:pt idx="0">
                  <c:v>1319.7635786129426</c:v>
                </c:pt>
                <c:pt idx="1">
                  <c:v>986.35284697211182</c:v>
                </c:pt>
                <c:pt idx="2">
                  <c:v>416.30258724974379</c:v>
                </c:pt>
              </c:numCache>
            </c:numRef>
          </c:val>
          <c:extLst>
            <c:ext xmlns:c16="http://schemas.microsoft.com/office/drawing/2014/chart" uri="{C3380CC4-5D6E-409C-BE32-E72D297353CC}">
              <c16:uniqueId val="{00000006-150F-44BE-8B50-B48C3F231B81}"/>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066867582490232"/>
          <c:y val="9.6802067478437337E-2"/>
          <c:w val="0.57181038531156392"/>
          <c:h val="0.79010408116905184"/>
        </c:manualLayout>
      </c:layout>
      <c:barChart>
        <c:barDir val="col"/>
        <c:grouping val="stacked"/>
        <c:varyColors val="0"/>
        <c:ser>
          <c:idx val="7"/>
          <c:order val="0"/>
          <c:tx>
            <c:strRef>
              <c:f>'Baseline by End Use'!$L$11</c:f>
              <c:strCache>
                <c:ptCount val="1"/>
                <c:pt idx="0">
                  <c:v>Miscellaneous</c:v>
                </c:pt>
              </c:strCache>
            </c:strRef>
          </c:tx>
          <c:spPr>
            <a:solidFill>
              <a:srgbClr val="80808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Use'!$M$11:$R$11</c:f>
              <c:numCache>
                <c:formatCode>#,##0.0</c:formatCode>
                <c:ptCount val="6"/>
                <c:pt idx="0">
                  <c:v>5334.0962595814026</c:v>
                </c:pt>
                <c:pt idx="1">
                  <c:v>5380.1845007775801</c:v>
                </c:pt>
                <c:pt idx="2">
                  <c:v>5377.4837518826043</c:v>
                </c:pt>
                <c:pt idx="3">
                  <c:v>5357.9104000672623</c:v>
                </c:pt>
                <c:pt idx="4">
                  <c:v>5324.2476418388687</c:v>
                </c:pt>
                <c:pt idx="5">
                  <c:v>5306.7006220168778</c:v>
                </c:pt>
              </c:numCache>
              <c:extLst/>
            </c:numRef>
          </c:val>
          <c:extLst>
            <c:ext xmlns:c16="http://schemas.microsoft.com/office/drawing/2014/chart" uri="{C3380CC4-5D6E-409C-BE32-E72D297353CC}">
              <c16:uniqueId val="{00000000-B5E3-4843-8E7C-19F064AC9F7D}"/>
            </c:ext>
          </c:extLst>
        </c:ser>
        <c:ser>
          <c:idx val="5"/>
          <c:order val="1"/>
          <c:tx>
            <c:strRef>
              <c:f>'Baseline by End Use'!$L$9</c:f>
              <c:strCache>
                <c:ptCount val="1"/>
                <c:pt idx="0">
                  <c:v>Motors</c:v>
                </c:pt>
              </c:strCache>
            </c:strRef>
          </c:tx>
          <c:spPr>
            <a:solidFill>
              <a:schemeClr val="tx2">
                <a:lumMod val="60000"/>
                <a:lumOff val="4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Use'!$M$9:$R$9</c:f>
              <c:numCache>
                <c:formatCode>#,##0.0</c:formatCode>
                <c:ptCount val="6"/>
                <c:pt idx="0">
                  <c:v>55953.94646704242</c:v>
                </c:pt>
                <c:pt idx="1">
                  <c:v>55218.935878273864</c:v>
                </c:pt>
                <c:pt idx="2">
                  <c:v>55487.181773587625</c:v>
                </c:pt>
                <c:pt idx="3">
                  <c:v>55834.834322407893</c:v>
                </c:pt>
                <c:pt idx="4">
                  <c:v>56432.736194750927</c:v>
                </c:pt>
                <c:pt idx="5">
                  <c:v>56744.398000192632</c:v>
                </c:pt>
              </c:numCache>
              <c:extLst/>
            </c:numRef>
          </c:val>
          <c:extLst>
            <c:ext xmlns:c16="http://schemas.microsoft.com/office/drawing/2014/chart" uri="{C3380CC4-5D6E-409C-BE32-E72D297353CC}">
              <c16:uniqueId val="{00000001-B5E3-4843-8E7C-19F064AC9F7D}"/>
            </c:ext>
          </c:extLst>
        </c:ser>
        <c:ser>
          <c:idx val="6"/>
          <c:order val="2"/>
          <c:tx>
            <c:strRef>
              <c:f>'Baseline by End Use'!$L$10</c:f>
              <c:strCache>
                <c:ptCount val="1"/>
                <c:pt idx="0">
                  <c:v>Process</c:v>
                </c:pt>
              </c:strCache>
            </c:strRef>
          </c:tx>
          <c:spPr>
            <a:solidFill>
              <a:schemeClr val="accent1"/>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Use'!$M$10:$R$10</c:f>
              <c:numCache>
                <c:formatCode>#,##0.0</c:formatCode>
                <c:ptCount val="6"/>
                <c:pt idx="0">
                  <c:v>15949.568906578936</c:v>
                </c:pt>
                <c:pt idx="1">
                  <c:v>16381.450581226134</c:v>
                </c:pt>
                <c:pt idx="2">
                  <c:v>16418.146218896192</c:v>
                </c:pt>
                <c:pt idx="3">
                  <c:v>16236.946417484669</c:v>
                </c:pt>
                <c:pt idx="4">
                  <c:v>15925.314298290448</c:v>
                </c:pt>
                <c:pt idx="5">
                  <c:v>15762.873213232308</c:v>
                </c:pt>
              </c:numCache>
              <c:extLst/>
            </c:numRef>
          </c:val>
          <c:extLst>
            <c:ext xmlns:c16="http://schemas.microsoft.com/office/drawing/2014/chart" uri="{C3380CC4-5D6E-409C-BE32-E72D297353CC}">
              <c16:uniqueId val="{00000002-B5E3-4843-8E7C-19F064AC9F7D}"/>
            </c:ext>
          </c:extLst>
        </c:ser>
        <c:ser>
          <c:idx val="4"/>
          <c:order val="3"/>
          <c:tx>
            <c:strRef>
              <c:f>'Baseline by End Use'!$L$8</c:f>
              <c:strCache>
                <c:ptCount val="1"/>
                <c:pt idx="0">
                  <c:v>Exterior Lighting</c:v>
                </c:pt>
              </c:strCache>
            </c:strRef>
          </c:tx>
          <c:spPr>
            <a:solidFill>
              <a:srgbClr val="BFA3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Use'!$M$8:$R$8</c:f>
              <c:numCache>
                <c:formatCode>#,##0.0</c:formatCode>
                <c:ptCount val="6"/>
                <c:pt idx="0">
                  <c:v>4617.3596605933853</c:v>
                </c:pt>
                <c:pt idx="1">
                  <c:v>4643.7871391891031</c:v>
                </c:pt>
                <c:pt idx="2">
                  <c:v>4621.387643365988</c:v>
                </c:pt>
                <c:pt idx="3">
                  <c:v>4487.3531238627274</c:v>
                </c:pt>
                <c:pt idx="4">
                  <c:v>4053.8607453994396</c:v>
                </c:pt>
                <c:pt idx="5">
                  <c:v>3778.2634723745805</c:v>
                </c:pt>
              </c:numCache>
              <c:extLst/>
            </c:numRef>
          </c:val>
          <c:extLst>
            <c:ext xmlns:c16="http://schemas.microsoft.com/office/drawing/2014/chart" uri="{C3380CC4-5D6E-409C-BE32-E72D297353CC}">
              <c16:uniqueId val="{00000003-B5E3-4843-8E7C-19F064AC9F7D}"/>
            </c:ext>
          </c:extLst>
        </c:ser>
        <c:ser>
          <c:idx val="3"/>
          <c:order val="4"/>
          <c:tx>
            <c:strRef>
              <c:f>'Baseline by End Use'!$L$7</c:f>
              <c:strCache>
                <c:ptCount val="1"/>
                <c:pt idx="0">
                  <c:v>Interior Lighting</c:v>
                </c:pt>
              </c:strCache>
            </c:strRef>
          </c:tx>
          <c:spPr>
            <a:solidFill>
              <a:srgbClr val="FFE866"/>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Use'!$M$7:$R$7</c:f>
              <c:numCache>
                <c:formatCode>#,##0.0</c:formatCode>
                <c:ptCount val="6"/>
                <c:pt idx="0">
                  <c:v>5049.7298125497764</c:v>
                </c:pt>
                <c:pt idx="1">
                  <c:v>5047.9021406712582</c:v>
                </c:pt>
                <c:pt idx="2">
                  <c:v>4997.7376827324606</c:v>
                </c:pt>
                <c:pt idx="3">
                  <c:v>4804.2591774411367</c:v>
                </c:pt>
                <c:pt idx="4">
                  <c:v>4439.447646671576</c:v>
                </c:pt>
                <c:pt idx="5">
                  <c:v>4258.897931122674</c:v>
                </c:pt>
              </c:numCache>
              <c:extLst/>
            </c:numRef>
          </c:val>
          <c:extLst>
            <c:ext xmlns:c16="http://schemas.microsoft.com/office/drawing/2014/chart" uri="{C3380CC4-5D6E-409C-BE32-E72D297353CC}">
              <c16:uniqueId val="{00000004-B5E3-4843-8E7C-19F064AC9F7D}"/>
            </c:ext>
          </c:extLst>
        </c:ser>
        <c:ser>
          <c:idx val="0"/>
          <c:order val="5"/>
          <c:tx>
            <c:strRef>
              <c:f>'Baseline by End Use'!$L$6</c:f>
              <c:strCache>
                <c:ptCount val="1"/>
                <c:pt idx="0">
                  <c:v>Ventilation</c:v>
                </c:pt>
              </c:strCache>
            </c:strRef>
          </c:tx>
          <c:spPr>
            <a:solidFill>
              <a:schemeClr val="accent6">
                <a:lumMod val="20000"/>
                <a:lumOff val="8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Use'!$M$6:$R$6</c:f>
              <c:numCache>
                <c:formatCode>#,##0.0</c:formatCode>
                <c:ptCount val="6"/>
                <c:pt idx="0">
                  <c:v>5621.4478712965329</c:v>
                </c:pt>
                <c:pt idx="1">
                  <c:v>5396.6348646120287</c:v>
                </c:pt>
                <c:pt idx="2">
                  <c:v>5216.3007816458721</c:v>
                </c:pt>
                <c:pt idx="3">
                  <c:v>4747.4866063357249</c:v>
                </c:pt>
                <c:pt idx="4">
                  <c:v>4160.5286697312686</c:v>
                </c:pt>
                <c:pt idx="5">
                  <c:v>4012.2571737434641</c:v>
                </c:pt>
              </c:numCache>
              <c:extLst/>
            </c:numRef>
          </c:val>
          <c:extLst>
            <c:ext xmlns:c16="http://schemas.microsoft.com/office/drawing/2014/chart" uri="{C3380CC4-5D6E-409C-BE32-E72D297353CC}">
              <c16:uniqueId val="{00000005-B5E3-4843-8E7C-19F064AC9F7D}"/>
            </c:ext>
          </c:extLst>
        </c:ser>
        <c:ser>
          <c:idx val="1"/>
          <c:order val="6"/>
          <c:tx>
            <c:strRef>
              <c:f>'Baseline by End Use'!$L$5</c:f>
              <c:strCache>
                <c:ptCount val="1"/>
                <c:pt idx="0">
                  <c:v>Space Heating</c:v>
                </c:pt>
              </c:strCache>
            </c:strRef>
          </c:tx>
          <c:spPr>
            <a:solidFill>
              <a:srgbClr val="E03F3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Use'!$M$5:$R$5</c:f>
              <c:numCache>
                <c:formatCode>#,##0.0</c:formatCode>
                <c:ptCount val="6"/>
                <c:pt idx="0">
                  <c:v>3048.977276970445</c:v>
                </c:pt>
                <c:pt idx="1">
                  <c:v>2931.1496075140922</c:v>
                </c:pt>
                <c:pt idx="2">
                  <c:v>2897.2431074049946</c:v>
                </c:pt>
                <c:pt idx="3">
                  <c:v>2811.841820049101</c:v>
                </c:pt>
                <c:pt idx="4">
                  <c:v>2676.9739787734075</c:v>
                </c:pt>
                <c:pt idx="5">
                  <c:v>2616.4284809897426</c:v>
                </c:pt>
              </c:numCache>
              <c:extLst/>
            </c:numRef>
          </c:val>
          <c:extLst>
            <c:ext xmlns:c16="http://schemas.microsoft.com/office/drawing/2014/chart" uri="{C3380CC4-5D6E-409C-BE32-E72D297353CC}">
              <c16:uniqueId val="{00000006-B5E3-4843-8E7C-19F064AC9F7D}"/>
            </c:ext>
          </c:extLst>
        </c:ser>
        <c:ser>
          <c:idx val="2"/>
          <c:order val="7"/>
          <c:tx>
            <c:strRef>
              <c:f>'Baseline by End Use'!$L$4</c:f>
              <c:strCache>
                <c:ptCount val="1"/>
                <c:pt idx="0">
                  <c:v>Cooling</c:v>
                </c:pt>
              </c:strCache>
            </c:strRef>
          </c:tx>
          <c:spPr>
            <a:solidFill>
              <a:srgbClr val="00B3F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Use'!$M$4:$R$4</c:f>
              <c:numCache>
                <c:formatCode>#,##0.0</c:formatCode>
                <c:ptCount val="6"/>
                <c:pt idx="0">
                  <c:v>6451.4732353803074</c:v>
                </c:pt>
                <c:pt idx="1">
                  <c:v>6204.3877159148606</c:v>
                </c:pt>
                <c:pt idx="2">
                  <c:v>6174.430510661392</c:v>
                </c:pt>
                <c:pt idx="3">
                  <c:v>6001.0974975813688</c:v>
                </c:pt>
                <c:pt idx="4">
                  <c:v>5697.3767493799442</c:v>
                </c:pt>
                <c:pt idx="5">
                  <c:v>5583.2111708407774</c:v>
                </c:pt>
              </c:numCache>
              <c:extLst/>
            </c:numRef>
          </c:val>
          <c:extLst>
            <c:ext xmlns:c16="http://schemas.microsoft.com/office/drawing/2014/chart" uri="{C3380CC4-5D6E-409C-BE32-E72D297353CC}">
              <c16:uniqueId val="{00000007-B5E3-4843-8E7C-19F064AC9F7D}"/>
            </c:ext>
          </c:extLst>
        </c:ser>
        <c:dLbls>
          <c:showLegendKey val="0"/>
          <c:showVal val="0"/>
          <c:showCatName val="0"/>
          <c:showSerName val="0"/>
          <c:showPercent val="0"/>
          <c:showBubbleSize val="0"/>
        </c:dLbls>
        <c:gapWidth val="75"/>
        <c:overlap val="100"/>
        <c:axId val="196167744"/>
        <c:axId val="196161504"/>
        <c:extLst/>
      </c:barChart>
      <c:catAx>
        <c:axId val="196167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1504"/>
        <c:crosses val="autoZero"/>
        <c:auto val="1"/>
        <c:lblAlgn val="ctr"/>
        <c:lblOffset val="100"/>
        <c:noMultiLvlLbl val="0"/>
      </c:catAx>
      <c:valAx>
        <c:axId val="1961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KWh/Empl.</a:t>
                </a:r>
              </a:p>
              <a:p>
                <a:pPr>
                  <a:defRPr/>
                </a:pPr>
                <a:endParaRPr lang="en-US"/>
              </a:p>
            </c:rich>
          </c:tx>
          <c:layout>
            <c:manualLayout>
              <c:xMode val="edge"/>
              <c:yMode val="edge"/>
              <c:x val="0"/>
              <c:y val="0.39660791106460341"/>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7744"/>
        <c:crosses val="autoZero"/>
        <c:crossBetween val="between"/>
      </c:valAx>
      <c:spPr>
        <a:noFill/>
        <a:ln>
          <a:noFill/>
        </a:ln>
        <a:effectLst/>
      </c:spPr>
    </c:plotArea>
    <c:legend>
      <c:legendPos val="r"/>
      <c:layout>
        <c:manualLayout>
          <c:xMode val="edge"/>
          <c:yMode val="edge"/>
          <c:x val="0.81185180580432847"/>
          <c:y val="0.21249854663453405"/>
          <c:w val="0.18452193837969449"/>
          <c:h val="0.539469874706733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ysClr val="window" lastClr="FFFFFF"/>
    </a:solidFill>
    <a:ln w="9525" cap="flat" cmpd="sng" algn="ctr">
      <a:noFill/>
      <a:round/>
    </a:ln>
    <a:effectLst/>
  </c:spPr>
  <c:txPr>
    <a:bodyPr/>
    <a:lstStyle/>
    <a:p>
      <a:pPr>
        <a:defRPr sz="1000"/>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49771337659229"/>
          <c:y val="0.14416164952391214"/>
          <c:w val="0.67453984117369947"/>
          <c:h val="0.73747254751697344"/>
        </c:manualLayout>
      </c:layout>
      <c:areaChart>
        <c:grouping val="stacked"/>
        <c:varyColors val="0"/>
        <c:ser>
          <c:idx val="3"/>
          <c:order val="0"/>
          <c:tx>
            <c:strRef>
              <c:f>'Baseline by End Use'!$B$55</c:f>
              <c:strCache>
                <c:ptCount val="1"/>
                <c:pt idx="0">
                  <c:v> Miscellaneous </c:v>
                </c:pt>
              </c:strCache>
            </c:strRef>
          </c:tx>
          <c:spPr>
            <a:solidFill>
              <a:srgbClr val="808080"/>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Use'!$C$55:$AC$55</c:f>
              <c:numCache>
                <c:formatCode>_(* #,##0_);_(* \(#,##0\);_(* "-"??_);_(@_)</c:formatCode>
                <c:ptCount val="27"/>
                <c:pt idx="0">
                  <c:v>22.234979563869029</c:v>
                </c:pt>
                <c:pt idx="1">
                  <c:v>22.377265764197595</c:v>
                </c:pt>
                <c:pt idx="2">
                  <c:v>21.842119194419087</c:v>
                </c:pt>
                <c:pt idx="3">
                  <c:v>22.260438720241837</c:v>
                </c:pt>
                <c:pt idx="4">
                  <c:v>21.821714786651881</c:v>
                </c:pt>
                <c:pt idx="5">
                  <c:v>21.628857779131227</c:v>
                </c:pt>
                <c:pt idx="6">
                  <c:v>21.412580751658517</c:v>
                </c:pt>
                <c:pt idx="7">
                  <c:v>21.148445554892682</c:v>
                </c:pt>
                <c:pt idx="8">
                  <c:v>20.887884639961289</c:v>
                </c:pt>
                <c:pt idx="9">
                  <c:v>20.63084931673782</c:v>
                </c:pt>
                <c:pt idx="10">
                  <c:v>20.377291558670525</c:v>
                </c:pt>
                <c:pt idx="11">
                  <c:v>20.127163993738588</c:v>
                </c:pt>
                <c:pt idx="12">
                  <c:v>19.88041989553162</c:v>
                </c:pt>
                <c:pt idx="13">
                  <c:v>19.63701317445058</c:v>
                </c:pt>
                <c:pt idx="14">
                  <c:v>19.396898369028733</c:v>
                </c:pt>
                <c:pt idx="15">
                  <c:v>19.160030637370944</c:v>
                </c:pt>
                <c:pt idx="16">
                  <c:v>18.926365748709458</c:v>
                </c:pt>
                <c:pt idx="17">
                  <c:v>18.695860075074947</c:v>
                </c:pt>
                <c:pt idx="18">
                  <c:v>18.468470583080993</c:v>
                </c:pt>
                <c:pt idx="19">
                  <c:v>18.24415482582053</c:v>
                </c:pt>
                <c:pt idx="20">
                  <c:v>18.022870934872785</c:v>
                </c:pt>
                <c:pt idx="21">
                  <c:v>17.804577612419092</c:v>
                </c:pt>
                <c:pt idx="22">
                  <c:v>17.589234123466184</c:v>
                </c:pt>
                <c:pt idx="23">
                  <c:v>17.376800288175509</c:v>
                </c:pt>
                <c:pt idx="24">
                  <c:v>17.167236474297027</c:v>
                </c:pt>
                <c:pt idx="25">
                  <c:v>16.960503589706178</c:v>
                </c:pt>
                <c:pt idx="26">
                  <c:v>16.75656307504255</c:v>
                </c:pt>
              </c:numCache>
            </c:numRef>
          </c:val>
          <c:extLst>
            <c:ext xmlns:c16="http://schemas.microsoft.com/office/drawing/2014/chart" uri="{C3380CC4-5D6E-409C-BE32-E72D297353CC}">
              <c16:uniqueId val="{00000000-434A-42B9-BA80-8287CE730944}"/>
            </c:ext>
          </c:extLst>
        </c:ser>
        <c:ser>
          <c:idx val="1"/>
          <c:order val="1"/>
          <c:tx>
            <c:strRef>
              <c:f>'Baseline by End Use'!$B$53</c:f>
              <c:strCache>
                <c:ptCount val="1"/>
                <c:pt idx="0">
                  <c:v> Motors </c:v>
                </c:pt>
              </c:strCache>
            </c:strRef>
          </c:tx>
          <c:spPr>
            <a:solidFill>
              <a:schemeClr val="tx2">
                <a:lumMod val="60000"/>
                <a:lumOff val="40000"/>
              </a:schemeClr>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Use'!$C$53:$AC$53</c:f>
              <c:numCache>
                <c:formatCode>_(* #,##0_);_(* \(#,##0\);_(* "-"??_);_(@_)</c:formatCode>
                <c:ptCount val="27"/>
                <c:pt idx="0">
                  <c:v>218.63354580046692</c:v>
                </c:pt>
                <c:pt idx="1">
                  <c:v>216.68781422101964</c:v>
                </c:pt>
                <c:pt idx="2">
                  <c:v>212.5980596367059</c:v>
                </c:pt>
                <c:pt idx="3">
                  <c:v>216.32371351410757</c:v>
                </c:pt>
                <c:pt idx="4">
                  <c:v>212.70081017061997</c:v>
                </c:pt>
                <c:pt idx="5">
                  <c:v>210.97423435811504</c:v>
                </c:pt>
                <c:pt idx="6">
                  <c:v>209.01764867724694</c:v>
                </c:pt>
                <c:pt idx="7">
                  <c:v>206.76727823238403</c:v>
                </c:pt>
                <c:pt idx="8">
                  <c:v>204.54702476166869</c:v>
                </c:pt>
                <c:pt idx="9">
                  <c:v>202.35647831313398</c:v>
                </c:pt>
                <c:pt idx="10">
                  <c:v>200.19523452156625</c:v>
                </c:pt>
                <c:pt idx="11">
                  <c:v>198.06289453236406</c:v>
                </c:pt>
                <c:pt idx="12">
                  <c:v>195.95906492643417</c:v>
                </c:pt>
                <c:pt idx="13">
                  <c:v>193.88335764611196</c:v>
                </c:pt>
                <c:pt idx="14">
                  <c:v>191.83538992209108</c:v>
                </c:pt>
                <c:pt idx="15">
                  <c:v>189.81478420134826</c:v>
                </c:pt>
                <c:pt idx="16">
                  <c:v>187.82116807605223</c:v>
                </c:pt>
                <c:pt idx="17">
                  <c:v>185.85417421343951</c:v>
                </c:pt>
                <c:pt idx="18">
                  <c:v>183.91344028664747</c:v>
                </c:pt>
                <c:pt idx="19">
                  <c:v>181.99860890648907</c:v>
                </c:pt>
                <c:pt idx="20">
                  <c:v>180.10932755415794</c:v>
                </c:pt>
                <c:pt idx="21">
                  <c:v>178.24524851485072</c:v>
                </c:pt>
                <c:pt idx="22">
                  <c:v>176.40602881229347</c:v>
                </c:pt>
                <c:pt idx="23">
                  <c:v>174.59133014416105</c:v>
                </c:pt>
                <c:pt idx="24">
                  <c:v>172.8008188183762</c:v>
                </c:pt>
                <c:pt idx="25">
                  <c:v>171.03416569027729</c:v>
                </c:pt>
                <c:pt idx="26">
                  <c:v>169.29104610064184</c:v>
                </c:pt>
              </c:numCache>
            </c:numRef>
          </c:val>
          <c:extLst>
            <c:ext xmlns:c16="http://schemas.microsoft.com/office/drawing/2014/chart" uri="{C3380CC4-5D6E-409C-BE32-E72D297353CC}">
              <c16:uniqueId val="{00000001-434A-42B9-BA80-8287CE730944}"/>
            </c:ext>
          </c:extLst>
        </c:ser>
        <c:ser>
          <c:idx val="2"/>
          <c:order val="2"/>
          <c:tx>
            <c:strRef>
              <c:f>'Baseline by End Use'!$B$54</c:f>
              <c:strCache>
                <c:ptCount val="1"/>
                <c:pt idx="0">
                  <c:v> Process </c:v>
                </c:pt>
              </c:strCache>
            </c:strRef>
          </c:tx>
          <c:spPr>
            <a:solidFill>
              <a:schemeClr val="accent1"/>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Use'!$C$54:$AC$54</c:f>
              <c:numCache>
                <c:formatCode>_(* #,##0_);_(* \(#,##0\);_(* "-"??_);_(@_)</c:formatCode>
                <c:ptCount val="27"/>
                <c:pt idx="0">
                  <c:v>69.716909857770858</c:v>
                </c:pt>
                <c:pt idx="1">
                  <c:v>71.232709777288818</c:v>
                </c:pt>
                <c:pt idx="2">
                  <c:v>69.170243651726295</c:v>
                </c:pt>
                <c:pt idx="3">
                  <c:v>71.019240490421296</c:v>
                </c:pt>
                <c:pt idx="4">
                  <c:v>69.588107222295079</c:v>
                </c:pt>
                <c:pt idx="5">
                  <c:v>68.93909880120772</c:v>
                </c:pt>
                <c:pt idx="6">
                  <c:v>68.215789215643341</c:v>
                </c:pt>
                <c:pt idx="7">
                  <c:v>67.301546704022613</c:v>
                </c:pt>
                <c:pt idx="8">
                  <c:v>66.399750079392007</c:v>
                </c:pt>
                <c:pt idx="9">
                  <c:v>65.510229730256512</c:v>
                </c:pt>
                <c:pt idx="10">
                  <c:v>64.632818356740245</c:v>
                </c:pt>
                <c:pt idx="11">
                  <c:v>63.767350939081439</c:v>
                </c:pt>
                <c:pt idx="12">
                  <c:v>62.913664706556844</c:v>
                </c:pt>
                <c:pt idx="13">
                  <c:v>62.071599106829659</c:v>
                </c:pt>
                <c:pt idx="14">
                  <c:v>61.240995775715234</c:v>
                </c:pt>
                <c:pt idx="15">
                  <c:v>60.421698507358713</c:v>
                </c:pt>
                <c:pt idx="16">
                  <c:v>59.613553224819263</c:v>
                </c:pt>
                <c:pt idx="17">
                  <c:v>58.816407951055197</c:v>
                </c:pt>
                <c:pt idx="18">
                  <c:v>58.030112780304407</c:v>
                </c:pt>
                <c:pt idx="19">
                  <c:v>57.254519849855122</c:v>
                </c:pt>
                <c:pt idx="20">
                  <c:v>56.489483312200996</c:v>
                </c:pt>
                <c:pt idx="21">
                  <c:v>55.734859307576187</c:v>
                </c:pt>
                <c:pt idx="22">
                  <c:v>54.990505936864302</c:v>
                </c:pt>
                <c:pt idx="23">
                  <c:v>54.256283234876769</c:v>
                </c:pt>
                <c:pt idx="24">
                  <c:v>53.532053143995554</c:v>
                </c:pt>
                <c:pt idx="25">
                  <c:v>52.817679488174775</c:v>
                </c:pt>
                <c:pt idx="26">
                  <c:v>52.113027947296843</c:v>
                </c:pt>
              </c:numCache>
            </c:numRef>
          </c:val>
          <c:extLst>
            <c:ext xmlns:c16="http://schemas.microsoft.com/office/drawing/2014/chart" uri="{C3380CC4-5D6E-409C-BE32-E72D297353CC}">
              <c16:uniqueId val="{00000002-434A-42B9-BA80-8287CE730944}"/>
            </c:ext>
          </c:extLst>
        </c:ser>
        <c:ser>
          <c:idx val="0"/>
          <c:order val="3"/>
          <c:tx>
            <c:strRef>
              <c:f>'Baseline by End Use'!$B$52</c:f>
              <c:strCache>
                <c:ptCount val="1"/>
                <c:pt idx="0">
                  <c:v> Exterior Lighting </c:v>
                </c:pt>
              </c:strCache>
            </c:strRef>
          </c:tx>
          <c:spPr>
            <a:solidFill>
              <a:srgbClr val="BFA300"/>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Use'!$C$52:$AC$52</c:f>
              <c:numCache>
                <c:formatCode>_(* #,##0_);_(* \(#,##0\);_(* "-"??_);_(@_)</c:formatCode>
                <c:ptCount val="27"/>
                <c:pt idx="0">
                  <c:v>19.739131178805113</c:v>
                </c:pt>
                <c:pt idx="1">
                  <c:v>20.310899385167907</c:v>
                </c:pt>
                <c:pt idx="2">
                  <c:v>19.521437268219124</c:v>
                </c:pt>
                <c:pt idx="3">
                  <c:v>19.998150586824632</c:v>
                </c:pt>
                <c:pt idx="4">
                  <c:v>19.830321802588418</c:v>
                </c:pt>
                <c:pt idx="5">
                  <c:v>19.958073428476364</c:v>
                </c:pt>
                <c:pt idx="6">
                  <c:v>19.867716431368748</c:v>
                </c:pt>
                <c:pt idx="7">
                  <c:v>19.595038047026772</c:v>
                </c:pt>
                <c:pt idx="8">
                  <c:v>19.250693963687432</c:v>
                </c:pt>
                <c:pt idx="9">
                  <c:v>18.871774874060105</c:v>
                </c:pt>
                <c:pt idx="10">
                  <c:v>18.472151804303856</c:v>
                </c:pt>
                <c:pt idx="11">
                  <c:v>18.134706113903867</c:v>
                </c:pt>
                <c:pt idx="12">
                  <c:v>17.852550956150424</c:v>
                </c:pt>
                <c:pt idx="13">
                  <c:v>17.580976595321285</c:v>
                </c:pt>
                <c:pt idx="14">
                  <c:v>17.282898631758826</c:v>
                </c:pt>
                <c:pt idx="15">
                  <c:v>16.984933736888699</c:v>
                </c:pt>
                <c:pt idx="16">
                  <c:v>16.695129141308506</c:v>
                </c:pt>
                <c:pt idx="17">
                  <c:v>16.414064492167224</c:v>
                </c:pt>
                <c:pt idx="18">
                  <c:v>16.139695737336218</c:v>
                </c:pt>
                <c:pt idx="19">
                  <c:v>15.907239243428419</c:v>
                </c:pt>
                <c:pt idx="20">
                  <c:v>15.660553980047005</c:v>
                </c:pt>
                <c:pt idx="21">
                  <c:v>15.44375977804882</c:v>
                </c:pt>
                <c:pt idx="22">
                  <c:v>15.175340971864957</c:v>
                </c:pt>
                <c:pt idx="23">
                  <c:v>14.907814784652992</c:v>
                </c:pt>
                <c:pt idx="24">
                  <c:v>14.647125528233246</c:v>
                </c:pt>
                <c:pt idx="25">
                  <c:v>14.390440756958183</c:v>
                </c:pt>
                <c:pt idx="26">
                  <c:v>14.151531821243605</c:v>
                </c:pt>
              </c:numCache>
            </c:numRef>
          </c:val>
          <c:extLst>
            <c:ext xmlns:c16="http://schemas.microsoft.com/office/drawing/2014/chart" uri="{C3380CC4-5D6E-409C-BE32-E72D297353CC}">
              <c16:uniqueId val="{00000003-434A-42B9-BA80-8287CE730944}"/>
            </c:ext>
          </c:extLst>
        </c:ser>
        <c:ser>
          <c:idx val="4"/>
          <c:order val="4"/>
          <c:tx>
            <c:strRef>
              <c:f>'Baseline by End Use'!$B$51</c:f>
              <c:strCache>
                <c:ptCount val="1"/>
                <c:pt idx="0">
                  <c:v> Interior Lighting </c:v>
                </c:pt>
              </c:strCache>
            </c:strRef>
          </c:tx>
          <c:spPr>
            <a:solidFill>
              <a:srgbClr val="FFE866"/>
            </a:solidFill>
            <a:ln>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Use'!$C$51:$AC$51</c:f>
              <c:numCache>
                <c:formatCode>_(* #,##0_);_(* \(#,##0\);_(* "-"??_);_(@_)</c:formatCode>
                <c:ptCount val="27"/>
                <c:pt idx="0">
                  <c:v>21.587505958899733</c:v>
                </c:pt>
                <c:pt idx="1">
                  <c:v>21.819957662537792</c:v>
                </c:pt>
                <c:pt idx="2">
                  <c:v>21.08745991048243</c:v>
                </c:pt>
                <c:pt idx="3">
                  <c:v>21.486061613209888</c:v>
                </c:pt>
                <c:pt idx="4">
                  <c:v>21.03021972118232</c:v>
                </c:pt>
                <c:pt idx="5">
                  <c:v>20.859172371211383</c:v>
                </c:pt>
                <c:pt idx="6">
                  <c:v>20.60617185442139</c:v>
                </c:pt>
                <c:pt idx="7">
                  <c:v>20.236538131359168</c:v>
                </c:pt>
                <c:pt idx="8">
                  <c:v>19.846951835966479</c:v>
                </c:pt>
                <c:pt idx="9">
                  <c:v>19.456979491776639</c:v>
                </c:pt>
                <c:pt idx="10">
                  <c:v>19.08959099301115</c:v>
                </c:pt>
                <c:pt idx="11">
                  <c:v>18.746825235391036</c:v>
                </c:pt>
                <c:pt idx="12">
                  <c:v>18.425936413684976</c:v>
                </c:pt>
                <c:pt idx="13">
                  <c:v>18.112504804830671</c:v>
                </c:pt>
                <c:pt idx="14">
                  <c:v>17.790977936809274</c:v>
                </c:pt>
                <c:pt idx="15">
                  <c:v>17.474670779917666</c:v>
                </c:pt>
                <c:pt idx="16">
                  <c:v>17.172531813055727</c:v>
                </c:pt>
                <c:pt idx="17">
                  <c:v>16.885823018525663</c:v>
                </c:pt>
                <c:pt idx="18">
                  <c:v>16.61112634059004</c:v>
                </c:pt>
                <c:pt idx="19">
                  <c:v>16.354489035273634</c:v>
                </c:pt>
                <c:pt idx="20">
                  <c:v>16.094484682200306</c:v>
                </c:pt>
                <c:pt idx="21">
                  <c:v>15.847516512307678</c:v>
                </c:pt>
                <c:pt idx="22">
                  <c:v>15.586735274064617</c:v>
                </c:pt>
                <c:pt idx="23">
                  <c:v>15.332828675360238</c:v>
                </c:pt>
                <c:pt idx="24">
                  <c:v>15.089210102269261</c:v>
                </c:pt>
                <c:pt idx="25">
                  <c:v>14.845220839572423</c:v>
                </c:pt>
                <c:pt idx="26">
                  <c:v>14.619175657676065</c:v>
                </c:pt>
              </c:numCache>
            </c:numRef>
          </c:val>
          <c:extLst xmlns:c15="http://schemas.microsoft.com/office/drawing/2012/chart">
            <c:ext xmlns:c16="http://schemas.microsoft.com/office/drawing/2014/chart" uri="{C3380CC4-5D6E-409C-BE32-E72D297353CC}">
              <c16:uniqueId val="{00000004-434A-42B9-BA80-8287CE730944}"/>
            </c:ext>
          </c:extLst>
        </c:ser>
        <c:ser>
          <c:idx val="7"/>
          <c:order val="5"/>
          <c:tx>
            <c:strRef>
              <c:f>'Baseline by End Use'!$B$50</c:f>
              <c:strCache>
                <c:ptCount val="1"/>
                <c:pt idx="0">
                  <c:v> Ventilation </c:v>
                </c:pt>
              </c:strCache>
            </c:strRef>
          </c:tx>
          <c:spPr>
            <a:solidFill>
              <a:schemeClr val="accent6">
                <a:lumMod val="20000"/>
                <a:lumOff val="80000"/>
              </a:schemeClr>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Use'!$C$50:$AC$50</c:f>
              <c:numCache>
                <c:formatCode>_(* #,##0_);_(* \(#,##0\);_(* "-"??_);_(@_)</c:formatCode>
                <c:ptCount val="27"/>
                <c:pt idx="0">
                  <c:v>23.936672081537491</c:v>
                </c:pt>
                <c:pt idx="1">
                  <c:v>24.28726350690166</c:v>
                </c:pt>
                <c:pt idx="2">
                  <c:v>23.086427013301279</c:v>
                </c:pt>
                <c:pt idx="3">
                  <c:v>23.137956728583653</c:v>
                </c:pt>
                <c:pt idx="4">
                  <c:v>22.270463743633769</c:v>
                </c:pt>
                <c:pt idx="5">
                  <c:v>21.677394496048695</c:v>
                </c:pt>
                <c:pt idx="6">
                  <c:v>21.076815986273125</c:v>
                </c:pt>
                <c:pt idx="7">
                  <c:v>20.442558793558273</c:v>
                </c:pt>
                <c:pt idx="8">
                  <c:v>19.83569695021222</c:v>
                </c:pt>
                <c:pt idx="9">
                  <c:v>19.257445737768144</c:v>
                </c:pt>
                <c:pt idx="10">
                  <c:v>18.708572947527127</c:v>
                </c:pt>
                <c:pt idx="11">
                  <c:v>18.189456845067966</c:v>
                </c:pt>
                <c:pt idx="12">
                  <c:v>17.700129705471802</c:v>
                </c:pt>
                <c:pt idx="13">
                  <c:v>17.240350318631425</c:v>
                </c:pt>
                <c:pt idx="14">
                  <c:v>16.809631715569328</c:v>
                </c:pt>
                <c:pt idx="15">
                  <c:v>16.407262390304027</c:v>
                </c:pt>
                <c:pt idx="16">
                  <c:v>16.032376769182235</c:v>
                </c:pt>
                <c:pt idx="17">
                  <c:v>15.681832786639706</c:v>
                </c:pt>
                <c:pt idx="18">
                  <c:v>15.353098749887245</c:v>
                </c:pt>
                <c:pt idx="19">
                  <c:v>15.043587489070477</c:v>
                </c:pt>
                <c:pt idx="20">
                  <c:v>14.751537059705745</c:v>
                </c:pt>
                <c:pt idx="21">
                  <c:v>14.475176675262526</c:v>
                </c:pt>
                <c:pt idx="22">
                  <c:v>14.212938965318401</c:v>
                </c:pt>
                <c:pt idx="23">
                  <c:v>13.963444713848475</c:v>
                </c:pt>
                <c:pt idx="24">
                  <c:v>13.725468123641486</c:v>
                </c:pt>
                <c:pt idx="25">
                  <c:v>13.497961468758811</c:v>
                </c:pt>
                <c:pt idx="26">
                  <c:v>13.27994480407623</c:v>
                </c:pt>
              </c:numCache>
            </c:numRef>
          </c:val>
          <c:extLst>
            <c:ext xmlns:c16="http://schemas.microsoft.com/office/drawing/2014/chart" uri="{C3380CC4-5D6E-409C-BE32-E72D297353CC}">
              <c16:uniqueId val="{00000005-434A-42B9-BA80-8287CE730944}"/>
            </c:ext>
          </c:extLst>
        </c:ser>
        <c:ser>
          <c:idx val="6"/>
          <c:order val="6"/>
          <c:tx>
            <c:strRef>
              <c:f>'Baseline by End Use'!$B$49</c:f>
              <c:strCache>
                <c:ptCount val="1"/>
                <c:pt idx="0">
                  <c:v> Space Heating </c:v>
                </c:pt>
              </c:strCache>
            </c:strRef>
          </c:tx>
          <c:spPr>
            <a:solidFill>
              <a:srgbClr val="E03F3F"/>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Use'!$C$49:$AC$49</c:f>
              <c:numCache>
                <c:formatCode>_(* #,##0_);_(* \(#,##0\);_(* "-"??_);_(@_)</c:formatCode>
                <c:ptCount val="27"/>
                <c:pt idx="0">
                  <c:v>12.982841953503343</c:v>
                </c:pt>
                <c:pt idx="1">
                  <c:v>14.090156210615035</c:v>
                </c:pt>
                <c:pt idx="2">
                  <c:v>13.463893000932279</c:v>
                </c:pt>
                <c:pt idx="3">
                  <c:v>13.705696086182005</c:v>
                </c:pt>
                <c:pt idx="4">
                  <c:v>13.360680064738483</c:v>
                </c:pt>
                <c:pt idx="5">
                  <c:v>13.199820503284407</c:v>
                </c:pt>
                <c:pt idx="6">
                  <c:v>13.030392736795733</c:v>
                </c:pt>
                <c:pt idx="7">
                  <c:v>12.833472759910958</c:v>
                </c:pt>
                <c:pt idx="8">
                  <c:v>12.644669736982776</c:v>
                </c:pt>
                <c:pt idx="9">
                  <c:v>12.463638583510019</c:v>
                </c:pt>
                <c:pt idx="10">
                  <c:v>12.290050421611257</c:v>
                </c:pt>
                <c:pt idx="11">
                  <c:v>12.123592416230011</c:v>
                </c:pt>
                <c:pt idx="12">
                  <c:v>11.963967597655028</c:v>
                </c:pt>
                <c:pt idx="13">
                  <c:v>11.810894546963727</c:v>
                </c:pt>
                <c:pt idx="14">
                  <c:v>11.664106952264522</c:v>
                </c:pt>
                <c:pt idx="15">
                  <c:v>11.523352986903157</c:v>
                </c:pt>
                <c:pt idx="16">
                  <c:v>11.388394974053266</c:v>
                </c:pt>
                <c:pt idx="17">
                  <c:v>11.259008680462831</c:v>
                </c:pt>
                <c:pt idx="18">
                  <c:v>11.134161673370015</c:v>
                </c:pt>
                <c:pt idx="19">
                  <c:v>11.008739305818976</c:v>
                </c:pt>
                <c:pt idx="20">
                  <c:v>10.882552607572118</c:v>
                </c:pt>
                <c:pt idx="21">
                  <c:v>10.755856611924498</c:v>
                </c:pt>
                <c:pt idx="22">
                  <c:v>10.628858517013336</c:v>
                </c:pt>
                <c:pt idx="23">
                  <c:v>10.501756003692584</c:v>
                </c:pt>
                <c:pt idx="24">
                  <c:v>10.374726768529419</c:v>
                </c:pt>
                <c:pt idx="25">
                  <c:v>10.247932902427909</c:v>
                </c:pt>
                <c:pt idx="26">
                  <c:v>10.121521088961568</c:v>
                </c:pt>
              </c:numCache>
            </c:numRef>
          </c:val>
          <c:extLst>
            <c:ext xmlns:c16="http://schemas.microsoft.com/office/drawing/2014/chart" uri="{C3380CC4-5D6E-409C-BE32-E72D297353CC}">
              <c16:uniqueId val="{00000006-434A-42B9-BA80-8287CE730944}"/>
            </c:ext>
          </c:extLst>
        </c:ser>
        <c:ser>
          <c:idx val="5"/>
          <c:order val="7"/>
          <c:tx>
            <c:strRef>
              <c:f>'Baseline by End Use'!$B$48</c:f>
              <c:strCache>
                <c:ptCount val="1"/>
                <c:pt idx="0">
                  <c:v> Cooling </c:v>
                </c:pt>
              </c:strCache>
            </c:strRef>
          </c:tx>
          <c:spPr>
            <a:solidFill>
              <a:srgbClr val="00B3FF"/>
            </a:solidFill>
            <a:ln w="9525">
              <a:solidFill>
                <a:srgbClr val="F6F6F7"/>
              </a:solidFill>
            </a:ln>
            <a:effectLst>
              <a:outerShdw blurRad="50800" dist="38100" dir="2700000" algn="tl" rotWithShape="0">
                <a:prstClr val="black">
                  <a:alpha val="40000"/>
                </a:prstClr>
              </a:outerShdw>
            </a:effectLst>
          </c:spPr>
          <c:cat>
            <c:numRef>
              <c:f>'Baseline by End Use'!$C$47:$AC$47</c:f>
              <c:numCache>
                <c:formatCode>General</c:formatCode>
                <c:ptCount val="27"/>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pt idx="20">
                  <c:v>2041</c:v>
                </c:pt>
                <c:pt idx="21">
                  <c:v>2042</c:v>
                </c:pt>
                <c:pt idx="22">
                  <c:v>2043</c:v>
                </c:pt>
                <c:pt idx="23">
                  <c:v>2044</c:v>
                </c:pt>
                <c:pt idx="24">
                  <c:v>2045</c:v>
                </c:pt>
                <c:pt idx="25">
                  <c:v>2046</c:v>
                </c:pt>
                <c:pt idx="26">
                  <c:v>2047</c:v>
                </c:pt>
              </c:numCache>
            </c:numRef>
          </c:cat>
          <c:val>
            <c:numRef>
              <c:f>'Baseline by End Use'!$C$48:$AC$48</c:f>
              <c:numCache>
                <c:formatCode>_(* #,##0_);_(* \(#,##0\);_(* "-"??_);_(@_)</c:formatCode>
                <c:ptCount val="27"/>
                <c:pt idx="0">
                  <c:v>27.471000854891358</c:v>
                </c:pt>
                <c:pt idx="1">
                  <c:v>23.312566899069484</c:v>
                </c:pt>
                <c:pt idx="2">
                  <c:v>22.581676852760523</c:v>
                </c:pt>
                <c:pt idx="3">
                  <c:v>22.426588850554698</c:v>
                </c:pt>
                <c:pt idx="4">
                  <c:v>21.922711068857918</c:v>
                </c:pt>
                <c:pt idx="5">
                  <c:v>21.640492981110963</c:v>
                </c:pt>
                <c:pt idx="6">
                  <c:v>21.338064935529257</c:v>
                </c:pt>
                <c:pt idx="7">
                  <c:v>20.98609904373469</c:v>
                </c:pt>
                <c:pt idx="8">
                  <c:v>20.642275504171607</c:v>
                </c:pt>
                <c:pt idx="9">
                  <c:v>20.305489797107409</c:v>
                </c:pt>
                <c:pt idx="10">
                  <c:v>19.976998323233357</c:v>
                </c:pt>
                <c:pt idx="11">
                  <c:v>19.656815988223087</c:v>
                </c:pt>
                <c:pt idx="12">
                  <c:v>19.344924092718056</c:v>
                </c:pt>
                <c:pt idx="13">
                  <c:v>19.041275993326725</c:v>
                </c:pt>
                <c:pt idx="14">
                  <c:v>18.745801427735586</c:v>
                </c:pt>
                <c:pt idx="15">
                  <c:v>18.458410133592277</c:v>
                </c:pt>
                <c:pt idx="16">
                  <c:v>18.178995977236163</c:v>
                </c:pt>
                <c:pt idx="17">
                  <c:v>17.907439784501953</c:v>
                </c:pt>
                <c:pt idx="18">
                  <c:v>17.639058933046844</c:v>
                </c:pt>
                <c:pt idx="19">
                  <c:v>17.380153681426208</c:v>
                </c:pt>
                <c:pt idx="20">
                  <c:v>17.130765987943356</c:v>
                </c:pt>
                <c:pt idx="21">
                  <c:v>16.889943309750805</c:v>
                </c:pt>
                <c:pt idx="22">
                  <c:v>16.657013559403101</c:v>
                </c:pt>
                <c:pt idx="23">
                  <c:v>16.431134128800188</c:v>
                </c:pt>
                <c:pt idx="24">
                  <c:v>16.21183541631958</c:v>
                </c:pt>
                <c:pt idx="25">
                  <c:v>15.998570657687816</c:v>
                </c:pt>
                <c:pt idx="26">
                  <c:v>15.79085553897826</c:v>
                </c:pt>
              </c:numCache>
            </c:numRef>
          </c:val>
          <c:extLst>
            <c:ext xmlns:c16="http://schemas.microsoft.com/office/drawing/2014/chart" uri="{C3380CC4-5D6E-409C-BE32-E72D297353CC}">
              <c16:uniqueId val="{00000007-434A-42B9-BA80-8287CE730944}"/>
            </c:ext>
          </c:extLst>
        </c:ser>
        <c:dLbls>
          <c:showLegendKey val="0"/>
          <c:showVal val="0"/>
          <c:showCatName val="0"/>
          <c:showSerName val="0"/>
          <c:showPercent val="0"/>
          <c:showBubbleSize val="0"/>
        </c:dLbls>
        <c:axId val="1971858576"/>
        <c:axId val="259545295"/>
        <c:extLst/>
      </c:areaChart>
      <c:catAx>
        <c:axId val="19718585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9545295"/>
        <c:crosses val="autoZero"/>
        <c:auto val="1"/>
        <c:lblAlgn val="ctr"/>
        <c:lblOffset val="100"/>
        <c:tickLblSkip val="2"/>
        <c:noMultiLvlLbl val="0"/>
      </c:catAx>
      <c:valAx>
        <c:axId val="259545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1858576"/>
        <c:crosses val="autoZero"/>
        <c:crossBetween val="between"/>
      </c:valAx>
      <c:spPr>
        <a:noFill/>
        <a:ln>
          <a:noFill/>
        </a:ln>
        <a:effectLst/>
      </c:spPr>
    </c:plotArea>
    <c:legend>
      <c:legendPos val="r"/>
      <c:layout>
        <c:manualLayout>
          <c:xMode val="edge"/>
          <c:yMode val="edge"/>
          <c:x val="0.82771124963546228"/>
          <c:y val="0.22164483975985116"/>
          <c:w val="0.16987459900845731"/>
          <c:h val="0.566671819507864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prstDash val="dash"/>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066867582490232"/>
          <c:y val="9.6802067478437337E-2"/>
          <c:w val="0.57181038531156392"/>
          <c:h val="0.79010408116905184"/>
        </c:manualLayout>
      </c:layout>
      <c:barChart>
        <c:barDir val="col"/>
        <c:grouping val="stacked"/>
        <c:varyColors val="0"/>
        <c:ser>
          <c:idx val="7"/>
          <c:order val="0"/>
          <c:tx>
            <c:strRef>
              <c:f>'Baseline by End Use'!$L$11</c:f>
              <c:strCache>
                <c:ptCount val="1"/>
                <c:pt idx="0">
                  <c:v>Miscellaneous</c:v>
                </c:pt>
              </c:strCache>
            </c:strRef>
          </c:tx>
          <c:spPr>
            <a:solidFill>
              <a:srgbClr val="80808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Use'!$M$11:$R$11</c:f>
              <c:numCache>
                <c:formatCode>#,##0.0</c:formatCode>
                <c:ptCount val="6"/>
                <c:pt idx="0">
                  <c:v>6461.5064928808015</c:v>
                </c:pt>
                <c:pt idx="1">
                  <c:v>6521.9365302248616</c:v>
                </c:pt>
                <c:pt idx="2">
                  <c:v>6542.1932711875752</c:v>
                </c:pt>
                <c:pt idx="3">
                  <c:v>6504.6534063402187</c:v>
                </c:pt>
                <c:pt idx="4">
                  <c:v>6404.2613718093889</c:v>
                </c:pt>
                <c:pt idx="5">
                  <c:v>6351.5134037008165</c:v>
                </c:pt>
              </c:numCache>
              <c:extLst/>
            </c:numRef>
          </c:val>
          <c:extLst>
            <c:ext xmlns:c16="http://schemas.microsoft.com/office/drawing/2014/chart" uri="{C3380CC4-5D6E-409C-BE32-E72D297353CC}">
              <c16:uniqueId val="{00000000-253B-408F-97D0-A7C1FFB77FE5}"/>
            </c:ext>
          </c:extLst>
        </c:ser>
        <c:ser>
          <c:idx val="5"/>
          <c:order val="1"/>
          <c:tx>
            <c:strRef>
              <c:f>'Baseline by End Use'!$L$9</c:f>
              <c:strCache>
                <c:ptCount val="1"/>
                <c:pt idx="0">
                  <c:v>Motors</c:v>
                </c:pt>
              </c:strCache>
            </c:strRef>
          </c:tx>
          <c:spPr>
            <a:solidFill>
              <a:schemeClr val="tx2">
                <a:lumMod val="60000"/>
                <a:lumOff val="4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Use'!$M$9:$R$9</c:f>
              <c:numCache>
                <c:formatCode>#,##0.0</c:formatCode>
                <c:ptCount val="6"/>
                <c:pt idx="0">
                  <c:v>63535.119143840129</c:v>
                </c:pt>
                <c:pt idx="1">
                  <c:v>63480.61005700563</c:v>
                </c:pt>
                <c:pt idx="2">
                  <c:v>63768.123755588625</c:v>
                </c:pt>
                <c:pt idx="3">
                  <c:v>63800.512317573666</c:v>
                </c:pt>
                <c:pt idx="4">
                  <c:v>63887.128336209498</c:v>
                </c:pt>
                <c:pt idx="5">
                  <c:v>63932.638112060238</c:v>
                </c:pt>
              </c:numCache>
              <c:extLst/>
            </c:numRef>
          </c:val>
          <c:extLst>
            <c:ext xmlns:c16="http://schemas.microsoft.com/office/drawing/2014/chart" uri="{C3380CC4-5D6E-409C-BE32-E72D297353CC}">
              <c16:uniqueId val="{00000001-253B-408F-97D0-A7C1FFB77FE5}"/>
            </c:ext>
          </c:extLst>
        </c:ser>
        <c:ser>
          <c:idx val="6"/>
          <c:order val="2"/>
          <c:tx>
            <c:strRef>
              <c:f>'Baseline by End Use'!$L$10</c:f>
              <c:strCache>
                <c:ptCount val="1"/>
                <c:pt idx="0">
                  <c:v>Process</c:v>
                </c:pt>
              </c:strCache>
            </c:strRef>
          </c:tx>
          <c:spPr>
            <a:solidFill>
              <a:schemeClr val="accent1"/>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Use'!$M$10:$R$10</c:f>
              <c:numCache>
                <c:formatCode>#,##0.0</c:formatCode>
                <c:ptCount val="6"/>
                <c:pt idx="0">
                  <c:v>20259.801202676987</c:v>
                </c:pt>
                <c:pt idx="1">
                  <c:v>20653.853907729586</c:v>
                </c:pt>
                <c:pt idx="2">
                  <c:v>20862.652237708444</c:v>
                </c:pt>
                <c:pt idx="3">
                  <c:v>20654.570852753543</c:v>
                </c:pt>
                <c:pt idx="4">
                  <c:v>20098.103383609603</c:v>
                </c:pt>
                <c:pt idx="5">
                  <c:v>19805.72432731256</c:v>
                </c:pt>
              </c:numCache>
              <c:extLst/>
            </c:numRef>
          </c:val>
          <c:extLst>
            <c:ext xmlns:c16="http://schemas.microsoft.com/office/drawing/2014/chart" uri="{C3380CC4-5D6E-409C-BE32-E72D297353CC}">
              <c16:uniqueId val="{00000002-253B-408F-97D0-A7C1FFB77FE5}"/>
            </c:ext>
          </c:extLst>
        </c:ser>
        <c:ser>
          <c:idx val="4"/>
          <c:order val="3"/>
          <c:tx>
            <c:strRef>
              <c:f>'Baseline by End Use'!$L$8</c:f>
              <c:strCache>
                <c:ptCount val="1"/>
                <c:pt idx="0">
                  <c:v>Exterior Lighting</c:v>
                </c:pt>
              </c:strCache>
            </c:strRef>
          </c:tx>
          <c:spPr>
            <a:solidFill>
              <a:srgbClr val="BFA300"/>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Use'!$M$8:$R$8</c:f>
              <c:numCache>
                <c:formatCode>#,##0.0</c:formatCode>
                <c:ptCount val="6"/>
                <c:pt idx="0">
                  <c:v>5736.2105465088871</c:v>
                </c:pt>
                <c:pt idx="1">
                  <c:v>5828.9936845790335</c:v>
                </c:pt>
                <c:pt idx="2">
                  <c:v>5945.1697142396451</c:v>
                </c:pt>
                <c:pt idx="3">
                  <c:v>5950.0388391015067</c:v>
                </c:pt>
                <c:pt idx="4">
                  <c:v>5583.9318834676269</c:v>
                </c:pt>
                <c:pt idx="5">
                  <c:v>5419.1258014969098</c:v>
                </c:pt>
              </c:numCache>
              <c:extLst/>
            </c:numRef>
          </c:val>
          <c:extLst>
            <c:ext xmlns:c16="http://schemas.microsoft.com/office/drawing/2014/chart" uri="{C3380CC4-5D6E-409C-BE32-E72D297353CC}">
              <c16:uniqueId val="{00000003-253B-408F-97D0-A7C1FFB77FE5}"/>
            </c:ext>
          </c:extLst>
        </c:ser>
        <c:ser>
          <c:idx val="3"/>
          <c:order val="4"/>
          <c:tx>
            <c:strRef>
              <c:f>'Baseline by End Use'!$L$7</c:f>
              <c:strCache>
                <c:ptCount val="1"/>
                <c:pt idx="0">
                  <c:v>Interior Lighting</c:v>
                </c:pt>
              </c:strCache>
            </c:strRef>
          </c:tx>
          <c:spPr>
            <a:solidFill>
              <a:srgbClr val="FFE866"/>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Use'!$M$7:$R$7</c:f>
              <c:numCache>
                <c:formatCode>#,##0.0</c:formatCode>
                <c:ptCount val="6"/>
                <c:pt idx="0">
                  <c:v>6273.3500391966109</c:v>
                </c:pt>
                <c:pt idx="1">
                  <c:v>6296.5994231442719</c:v>
                </c:pt>
                <c:pt idx="2">
                  <c:v>6304.9014844458407</c:v>
                </c:pt>
                <c:pt idx="3">
                  <c:v>6134.5466677223876</c:v>
                </c:pt>
                <c:pt idx="4">
                  <c:v>5740.9303628606167</c:v>
                </c:pt>
                <c:pt idx="5">
                  <c:v>5582.6877179278472</c:v>
                </c:pt>
              </c:numCache>
              <c:extLst/>
            </c:numRef>
          </c:val>
          <c:extLst>
            <c:ext xmlns:c16="http://schemas.microsoft.com/office/drawing/2014/chart" uri="{C3380CC4-5D6E-409C-BE32-E72D297353CC}">
              <c16:uniqueId val="{00000004-253B-408F-97D0-A7C1FFB77FE5}"/>
            </c:ext>
          </c:extLst>
        </c:ser>
        <c:ser>
          <c:idx val="0"/>
          <c:order val="5"/>
          <c:tx>
            <c:strRef>
              <c:f>'Baseline by End Use'!$L$6</c:f>
              <c:strCache>
                <c:ptCount val="1"/>
                <c:pt idx="0">
                  <c:v>Ventilation</c:v>
                </c:pt>
              </c:strCache>
            </c:strRef>
          </c:tx>
          <c:spPr>
            <a:solidFill>
              <a:schemeClr val="accent6">
                <a:lumMod val="20000"/>
                <a:lumOff val="80000"/>
              </a:schemeClr>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Use'!$M$6:$R$6</c:f>
              <c:numCache>
                <c:formatCode>#,##0.0</c:formatCode>
                <c:ptCount val="6"/>
                <c:pt idx="0">
                  <c:v>6956.019978724913</c:v>
                </c:pt>
                <c:pt idx="1">
                  <c:v>6893.4799938685246</c:v>
                </c:pt>
                <c:pt idx="2">
                  <c:v>6676.7290964204813</c:v>
                </c:pt>
                <c:pt idx="3">
                  <c:v>6071.6361257100316</c:v>
                </c:pt>
                <c:pt idx="4">
                  <c:v>5280.7634647638997</c:v>
                </c:pt>
                <c:pt idx="5">
                  <c:v>5078.1321087934148</c:v>
                </c:pt>
              </c:numCache>
              <c:extLst/>
            </c:numRef>
          </c:val>
          <c:extLst>
            <c:ext xmlns:c16="http://schemas.microsoft.com/office/drawing/2014/chart" uri="{C3380CC4-5D6E-409C-BE32-E72D297353CC}">
              <c16:uniqueId val="{00000005-253B-408F-97D0-A7C1FFB77FE5}"/>
            </c:ext>
          </c:extLst>
        </c:ser>
        <c:ser>
          <c:idx val="1"/>
          <c:order val="6"/>
          <c:tx>
            <c:strRef>
              <c:f>'Baseline by End Use'!$L$5</c:f>
              <c:strCache>
                <c:ptCount val="1"/>
                <c:pt idx="0">
                  <c:v>Space Heating</c:v>
                </c:pt>
              </c:strCache>
            </c:strRef>
          </c:tx>
          <c:spPr>
            <a:solidFill>
              <a:srgbClr val="E03F3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Use'!$M$5:$R$5</c:f>
              <c:numCache>
                <c:formatCode>#,##0.0</c:formatCode>
                <c:ptCount val="6"/>
                <c:pt idx="0">
                  <c:v>3772.8263854545203</c:v>
                </c:pt>
                <c:pt idx="1">
                  <c:v>4020.2443187955728</c:v>
                </c:pt>
                <c:pt idx="2">
                  <c:v>4005.5583198937575</c:v>
                </c:pt>
                <c:pt idx="3">
                  <c:v>3929.6321699101522</c:v>
                </c:pt>
                <c:pt idx="4">
                  <c:v>3864.4072340799871</c:v>
                </c:pt>
                <c:pt idx="5">
                  <c:v>3838.4288716886549</c:v>
                </c:pt>
              </c:numCache>
              <c:extLst/>
            </c:numRef>
          </c:val>
          <c:extLst>
            <c:ext xmlns:c16="http://schemas.microsoft.com/office/drawing/2014/chart" uri="{C3380CC4-5D6E-409C-BE32-E72D297353CC}">
              <c16:uniqueId val="{00000006-253B-408F-97D0-A7C1FFB77FE5}"/>
            </c:ext>
          </c:extLst>
        </c:ser>
        <c:ser>
          <c:idx val="2"/>
          <c:order val="7"/>
          <c:tx>
            <c:strRef>
              <c:f>'Baseline by End Use'!$L$4</c:f>
              <c:strCache>
                <c:ptCount val="1"/>
                <c:pt idx="0">
                  <c:v>Cooling</c:v>
                </c:pt>
              </c:strCache>
            </c:strRef>
          </c:tx>
          <c:spPr>
            <a:solidFill>
              <a:srgbClr val="00B3FF"/>
            </a:solidFill>
            <a:ln>
              <a:solidFill>
                <a:srgbClr val="F6F6F7"/>
              </a:solidFill>
            </a:ln>
            <a:effectLst>
              <a:outerShdw blurRad="50800" dist="38100" dir="2700000" algn="tl" rotWithShape="0">
                <a:prstClr val="black">
                  <a:alpha val="40000"/>
                </a:prstClr>
              </a:outerShdw>
            </a:effectLst>
          </c:spPr>
          <c:invertIfNegative val="0"/>
          <c:cat>
            <c:numRef>
              <c:f>'Baseline by End Use'!$M$3:$R$3</c:f>
              <c:numCache>
                <c:formatCode>General</c:formatCode>
                <c:ptCount val="6"/>
                <c:pt idx="0">
                  <c:v>2021</c:v>
                </c:pt>
                <c:pt idx="1">
                  <c:v>2023</c:v>
                </c:pt>
                <c:pt idx="2">
                  <c:v>2025</c:v>
                </c:pt>
                <c:pt idx="3">
                  <c:v>2030</c:v>
                </c:pt>
                <c:pt idx="4">
                  <c:v>2040</c:v>
                </c:pt>
                <c:pt idx="5">
                  <c:v>2045</c:v>
                </c:pt>
              </c:numCache>
              <c:extLst/>
            </c:numRef>
          </c:cat>
          <c:val>
            <c:numRef>
              <c:f>'Baseline by End Use'!$M$4:$R$4</c:f>
              <c:numCache>
                <c:formatCode>#,##0.0</c:formatCode>
                <c:ptCount val="6"/>
                <c:pt idx="0">
                  <c:v>7983.0993268935435</c:v>
                </c:pt>
                <c:pt idx="1">
                  <c:v>6742.764375051247</c:v>
                </c:pt>
                <c:pt idx="2">
                  <c:v>6572.4721564320771</c:v>
                </c:pt>
                <c:pt idx="3">
                  <c:v>6402.0715457896613</c:v>
                </c:pt>
                <c:pt idx="4">
                  <c:v>6100.9703064204605</c:v>
                </c:pt>
                <c:pt idx="5">
                  <c:v>5998.035274897783</c:v>
                </c:pt>
              </c:numCache>
              <c:extLst/>
            </c:numRef>
          </c:val>
          <c:extLst>
            <c:ext xmlns:c16="http://schemas.microsoft.com/office/drawing/2014/chart" uri="{C3380CC4-5D6E-409C-BE32-E72D297353CC}">
              <c16:uniqueId val="{00000007-253B-408F-97D0-A7C1FFB77FE5}"/>
            </c:ext>
          </c:extLst>
        </c:ser>
        <c:dLbls>
          <c:showLegendKey val="0"/>
          <c:showVal val="0"/>
          <c:showCatName val="0"/>
          <c:showSerName val="0"/>
          <c:showPercent val="0"/>
          <c:showBubbleSize val="0"/>
        </c:dLbls>
        <c:gapWidth val="75"/>
        <c:overlap val="100"/>
        <c:axId val="196167744"/>
        <c:axId val="196161504"/>
        <c:extLst/>
      </c:barChart>
      <c:catAx>
        <c:axId val="196167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1504"/>
        <c:crosses val="autoZero"/>
        <c:auto val="1"/>
        <c:lblAlgn val="ctr"/>
        <c:lblOffset val="100"/>
        <c:noMultiLvlLbl val="0"/>
      </c:catAx>
      <c:valAx>
        <c:axId val="1961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KWh/Empl.</a:t>
                </a:r>
              </a:p>
              <a:p>
                <a:pPr>
                  <a:defRPr/>
                </a:pPr>
                <a:endParaRPr lang="en-US"/>
              </a:p>
            </c:rich>
          </c:tx>
          <c:layout>
            <c:manualLayout>
              <c:xMode val="edge"/>
              <c:yMode val="edge"/>
              <c:x val="0"/>
              <c:y val="0.39660791106460341"/>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6167744"/>
        <c:crosses val="autoZero"/>
        <c:crossBetween val="between"/>
      </c:valAx>
      <c:spPr>
        <a:noFill/>
        <a:ln>
          <a:noFill/>
        </a:ln>
        <a:effectLst/>
      </c:spPr>
    </c:plotArea>
    <c:legend>
      <c:legendPos val="r"/>
      <c:layout>
        <c:manualLayout>
          <c:xMode val="edge"/>
          <c:yMode val="edge"/>
          <c:x val="0.81185180580432847"/>
          <c:y val="0.21249854663453405"/>
          <c:w val="0.18452193837969449"/>
          <c:h val="0.539469874706733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F6F6F7"/>
    </a:solidFill>
    <a:ln w="9525" cap="flat" cmpd="sng" algn="ctr">
      <a:noFill/>
      <a:round/>
    </a:ln>
    <a:effectLst/>
  </c:spPr>
  <c:txPr>
    <a:bodyPr/>
    <a:lstStyle/>
    <a:p>
      <a:pPr>
        <a:defRPr sz="1000"/>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01483668708077"/>
          <c:y val="7.1208400942217503E-2"/>
          <c:w val="0.66950021872265975"/>
          <c:h val="0.7577147177502197"/>
        </c:manualLayout>
      </c:layout>
      <c:areaChart>
        <c:grouping val="stacked"/>
        <c:varyColors val="0"/>
        <c:ser>
          <c:idx val="2"/>
          <c:order val="0"/>
          <c:tx>
            <c:strRef>
              <c:f>'All-Sector Baseline'!$B$69</c:f>
              <c:strCache>
                <c:ptCount val="1"/>
                <c:pt idx="0">
                  <c:v> Industrial </c:v>
                </c:pt>
              </c:strCache>
            </c:strRef>
          </c:tx>
          <c:spPr>
            <a:solidFill>
              <a:schemeClr val="accent3"/>
            </a:solidFill>
            <a:ln>
              <a:solidFill>
                <a:srgbClr val="F6F6F7"/>
              </a:solidFill>
            </a:ln>
            <a:effectLst>
              <a:outerShdw blurRad="50800" dist="38100" dir="2700000" algn="tl" rotWithShape="0">
                <a:prstClr val="black">
                  <a:alpha val="40000"/>
                </a:prstClr>
              </a:outerShdw>
            </a:effectLst>
          </c:spPr>
          <c:cat>
            <c:numRef>
              <c:f>'All-Sector Baseline'!$H$66:$Z$66</c:f>
              <c:numCache>
                <c:formatCode>General</c:formatCode>
                <c:ptCount val="19"/>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numCache>
              <c:extLst/>
            </c:numRef>
          </c:cat>
          <c:val>
            <c:numRef>
              <c:f>'All-Sector Baseline'!$H$69:$Z$69</c:f>
              <c:numCache>
                <c:formatCode>_(* #,##0_);_(* \(#,##0\);_(* "-"??_);_(@_)</c:formatCode>
                <c:ptCount val="19"/>
                <c:pt idx="0">
                  <c:v>955.82737795556022</c:v>
                </c:pt>
                <c:pt idx="1">
                  <c:v>942.79435976122886</c:v>
                </c:pt>
                <c:pt idx="2">
                  <c:v>931.80064189256223</c:v>
                </c:pt>
                <c:pt idx="3">
                  <c:v>921.27388865874241</c:v>
                </c:pt>
                <c:pt idx="4">
                  <c:v>911.0106847203067</c:v>
                </c:pt>
                <c:pt idx="5">
                  <c:v>901.03214364165638</c:v>
                </c:pt>
                <c:pt idx="6">
                  <c:v>891.38185051868072</c:v>
                </c:pt>
                <c:pt idx="7">
                  <c:v>882.03485508437166</c:v>
                </c:pt>
                <c:pt idx="8">
                  <c:v>872.97174971683944</c:v>
                </c:pt>
                <c:pt idx="9">
                  <c:v>864.12529145800193</c:v>
                </c:pt>
                <c:pt idx="10">
                  <c:v>855.52247562253569</c:v>
                </c:pt>
                <c:pt idx="11">
                  <c:v>847.15043359617516</c:v>
                </c:pt>
                <c:pt idx="12">
                  <c:v>838.99178788224776</c:v>
                </c:pt>
                <c:pt idx="13">
                  <c:v>830.99868385868842</c:v>
                </c:pt>
                <c:pt idx="14">
                  <c:v>823.17804940239762</c:v>
                </c:pt>
                <c:pt idx="15">
                  <c:v>815.59161893138912</c:v>
                </c:pt>
                <c:pt idx="16">
                  <c:v>808.18870043733568</c:v>
                </c:pt>
                <c:pt idx="17">
                  <c:v>800.98670674839559</c:v>
                </c:pt>
                <c:pt idx="18">
                  <c:v>793.94842566497505</c:v>
                </c:pt>
              </c:numCache>
              <c:extLst/>
            </c:numRef>
          </c:val>
          <c:extLst>
            <c:ext xmlns:c16="http://schemas.microsoft.com/office/drawing/2014/chart" uri="{C3380CC4-5D6E-409C-BE32-E72D297353CC}">
              <c16:uniqueId val="{00000000-83D5-45E9-A741-15DACC07C9E1}"/>
            </c:ext>
          </c:extLst>
        </c:ser>
        <c:ser>
          <c:idx val="1"/>
          <c:order val="1"/>
          <c:tx>
            <c:strRef>
              <c:f>'All-Sector Baseline'!$B$68</c:f>
              <c:strCache>
                <c:ptCount val="1"/>
                <c:pt idx="0">
                  <c:v> Commercial </c:v>
                </c:pt>
              </c:strCache>
            </c:strRef>
          </c:tx>
          <c:spPr>
            <a:solidFill>
              <a:schemeClr val="accent2"/>
            </a:solidFill>
            <a:ln>
              <a:solidFill>
                <a:srgbClr val="F6F6F7"/>
              </a:solidFill>
            </a:ln>
            <a:effectLst>
              <a:outerShdw blurRad="50800" dist="38100" dir="2700000" algn="tl" rotWithShape="0">
                <a:prstClr val="black">
                  <a:alpha val="40000"/>
                </a:prstClr>
              </a:outerShdw>
            </a:effectLst>
          </c:spPr>
          <c:cat>
            <c:numRef>
              <c:f>'All-Sector Baseline'!$H$66:$Z$66</c:f>
              <c:numCache>
                <c:formatCode>General</c:formatCode>
                <c:ptCount val="19"/>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numCache>
              <c:extLst/>
            </c:numRef>
          </c:cat>
          <c:val>
            <c:numRef>
              <c:f>'All-Sector Baseline'!$H$68:$Z$68</c:f>
              <c:numCache>
                <c:formatCode>_(* #,##0_);_(* \(#,##0\);_(* "-"??_);_(@_)</c:formatCode>
                <c:ptCount val="19"/>
                <c:pt idx="0">
                  <c:v>3086.3289252924383</c:v>
                </c:pt>
                <c:pt idx="1">
                  <c:v>3096.8120020054498</c:v>
                </c:pt>
                <c:pt idx="2">
                  <c:v>3112.1879179179136</c:v>
                </c:pt>
                <c:pt idx="3">
                  <c:v>3131.4585777801794</c:v>
                </c:pt>
                <c:pt idx="4">
                  <c:v>3161.1296715555673</c:v>
                </c:pt>
                <c:pt idx="5">
                  <c:v>3194.5225347878577</c:v>
                </c:pt>
                <c:pt idx="6">
                  <c:v>3238.1882657108763</c:v>
                </c:pt>
                <c:pt idx="7">
                  <c:v>3283.6341994161758</c:v>
                </c:pt>
                <c:pt idx="8">
                  <c:v>3341.3225591043729</c:v>
                </c:pt>
                <c:pt idx="9">
                  <c:v>3403.6158045908169</c:v>
                </c:pt>
                <c:pt idx="10">
                  <c:v>3469.686771883692</c:v>
                </c:pt>
                <c:pt idx="11">
                  <c:v>3539.8612766981369</c:v>
                </c:pt>
                <c:pt idx="12">
                  <c:v>3624.1804204554119</c:v>
                </c:pt>
                <c:pt idx="13">
                  <c:v>3705.8489804224682</c:v>
                </c:pt>
                <c:pt idx="14">
                  <c:v>3805.9631256263324</c:v>
                </c:pt>
                <c:pt idx="15">
                  <c:v>3901.0428644333524</c:v>
                </c:pt>
                <c:pt idx="16">
                  <c:v>3987.449248017545</c:v>
                </c:pt>
                <c:pt idx="17">
                  <c:v>4089.9360015652055</c:v>
                </c:pt>
                <c:pt idx="18">
                  <c:v>4193.8443368542303</c:v>
                </c:pt>
              </c:numCache>
              <c:extLst/>
            </c:numRef>
          </c:val>
          <c:extLst>
            <c:ext xmlns:c16="http://schemas.microsoft.com/office/drawing/2014/chart" uri="{C3380CC4-5D6E-409C-BE32-E72D297353CC}">
              <c16:uniqueId val="{00000001-83D5-45E9-A741-15DACC07C9E1}"/>
            </c:ext>
          </c:extLst>
        </c:ser>
        <c:ser>
          <c:idx val="0"/>
          <c:order val="2"/>
          <c:tx>
            <c:strRef>
              <c:f>'All-Sector Baseline'!$B$67</c:f>
              <c:strCache>
                <c:ptCount val="1"/>
                <c:pt idx="0">
                  <c:v> Residential </c:v>
                </c:pt>
              </c:strCache>
            </c:strRef>
          </c:tx>
          <c:spPr>
            <a:solidFill>
              <a:schemeClr val="accent1"/>
            </a:solidFill>
            <a:ln>
              <a:solidFill>
                <a:srgbClr val="F6F6F7"/>
              </a:solidFill>
            </a:ln>
            <a:effectLst>
              <a:outerShdw blurRad="50800" dist="38100" dir="2700000" algn="tl" rotWithShape="0">
                <a:prstClr val="black">
                  <a:alpha val="40000"/>
                </a:prstClr>
              </a:outerShdw>
            </a:effectLst>
          </c:spPr>
          <c:cat>
            <c:numRef>
              <c:f>'All-Sector Baseline'!$H$66:$Z$66</c:f>
              <c:numCache>
                <c:formatCode>General</c:formatCode>
                <c:ptCount val="19"/>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numCache>
              <c:extLst/>
            </c:numRef>
          </c:cat>
          <c:val>
            <c:numRef>
              <c:f>'All-Sector Baseline'!$H$67:$Z$67</c:f>
              <c:numCache>
                <c:formatCode>_(* #,##0_);_(* \(#,##0\);_(* "-"??_);_(@_)</c:formatCode>
                <c:ptCount val="19"/>
                <c:pt idx="0">
                  <c:v>4214.9906149533253</c:v>
                </c:pt>
                <c:pt idx="1">
                  <c:v>4224.3896950509998</c:v>
                </c:pt>
                <c:pt idx="2">
                  <c:v>4234.2415444707503</c:v>
                </c:pt>
                <c:pt idx="3">
                  <c:v>4273.2309378249311</c:v>
                </c:pt>
                <c:pt idx="4">
                  <c:v>4302.1176034132823</c:v>
                </c:pt>
                <c:pt idx="5">
                  <c:v>4333.694856355376</c:v>
                </c:pt>
                <c:pt idx="6">
                  <c:v>4382.8024618860336</c:v>
                </c:pt>
                <c:pt idx="7">
                  <c:v>4437.1345901909226</c:v>
                </c:pt>
                <c:pt idx="8">
                  <c:v>4511.3324269722179</c:v>
                </c:pt>
                <c:pt idx="9">
                  <c:v>4589.8820938378685</c:v>
                </c:pt>
                <c:pt idx="10">
                  <c:v>4673.527556526632</c:v>
                </c:pt>
                <c:pt idx="11">
                  <c:v>4749.7386990597388</c:v>
                </c:pt>
                <c:pt idx="12">
                  <c:v>4842.6608492649329</c:v>
                </c:pt>
                <c:pt idx="13">
                  <c:v>4918.8995576275538</c:v>
                </c:pt>
                <c:pt idx="14">
                  <c:v>5019.928144466403</c:v>
                </c:pt>
                <c:pt idx="15">
                  <c:v>5116.543246680023</c:v>
                </c:pt>
                <c:pt idx="16">
                  <c:v>5183.9896929220304</c:v>
                </c:pt>
                <c:pt idx="17">
                  <c:v>5283.6276298651846</c:v>
                </c:pt>
                <c:pt idx="18">
                  <c:v>5389.0008186707664</c:v>
                </c:pt>
              </c:numCache>
              <c:extLst/>
            </c:numRef>
          </c:val>
          <c:extLst>
            <c:ext xmlns:c16="http://schemas.microsoft.com/office/drawing/2014/chart" uri="{C3380CC4-5D6E-409C-BE32-E72D297353CC}">
              <c16:uniqueId val="{00000002-83D5-45E9-A741-15DACC07C9E1}"/>
            </c:ext>
          </c:extLst>
        </c:ser>
        <c:dLbls>
          <c:showLegendKey val="0"/>
          <c:showVal val="0"/>
          <c:showCatName val="0"/>
          <c:showSerName val="0"/>
          <c:showPercent val="0"/>
          <c:showBubbleSize val="0"/>
        </c:dLbls>
        <c:axId val="1916660864"/>
        <c:axId val="1916649632"/>
      </c:areaChart>
      <c:catAx>
        <c:axId val="19166608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49632"/>
        <c:crosses val="autoZero"/>
        <c:auto val="1"/>
        <c:lblAlgn val="ctr"/>
        <c:lblOffset val="100"/>
        <c:tickLblSkip val="2"/>
        <c:noMultiLvlLbl val="0"/>
      </c:catAx>
      <c:valAx>
        <c:axId val="191664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GWh</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6660864"/>
        <c:crosses val="autoZero"/>
        <c:crossBetween val="between"/>
      </c:valAx>
      <c:spPr>
        <a:noFill/>
        <a:ln>
          <a:noFill/>
        </a:ln>
        <a:effectLst/>
      </c:spPr>
    </c:plotArea>
    <c:legend>
      <c:legendPos val="r"/>
      <c:layout>
        <c:manualLayout>
          <c:xMode val="edge"/>
          <c:yMode val="edge"/>
          <c:x val="0.80826692663980249"/>
          <c:y val="0.29731655506825416"/>
          <c:w val="0.19173307336019754"/>
          <c:h val="0.349518070785626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000"/>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3"/>
          <c:order val="0"/>
          <c:tx>
            <c:strRef>
              <c:f>'Potential Summary'!$B$14</c:f>
              <c:strCache>
                <c:ptCount val="1"/>
                <c:pt idx="0">
                  <c:v>Achievable Economic TRC Potential</c:v>
                </c:pt>
              </c:strCache>
            </c:strRef>
          </c:tx>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Summary'!$C$14:$H$14</c:f>
            </c:numRef>
          </c:val>
          <c:extLst>
            <c:ext xmlns:c16="http://schemas.microsoft.com/office/drawing/2014/chart" uri="{C3380CC4-5D6E-409C-BE32-E72D297353CC}">
              <c16:uniqueId val="{00000000-7EF0-4600-9A87-541EA334B5DC}"/>
            </c:ext>
          </c:extLst>
        </c:ser>
        <c:ser>
          <c:idx val="14"/>
          <c:order val="1"/>
          <c:tx>
            <c:strRef>
              <c:f>'Potential Summary'!$B$15</c:f>
              <c:strCache>
                <c:ptCount val="1"/>
                <c:pt idx="0">
                  <c:v>Achievable Technical Potential</c:v>
                </c:pt>
              </c:strCache>
              <c:extLst xmlns:c15="http://schemas.microsoft.com/office/drawing/2012/chart"/>
            </c:strRef>
          </c:tx>
          <c:spPr>
            <a:solidFill>
              <a:srgbClr val="3CD39C"/>
            </a:solidFill>
            <a:ln>
              <a:solidFill>
                <a:srgbClr val="FFFFFF"/>
              </a:solidFill>
            </a:ln>
          </c:spPr>
          <c:invertIfNegative val="0"/>
          <c:cat>
            <c:numRef>
              <c:f>'Potential Summary'!$C$3:$H$3</c:f>
              <c:numCache>
                <c:formatCode>General</c:formatCode>
                <c:ptCount val="6"/>
                <c:pt idx="0">
                  <c:v>2026</c:v>
                </c:pt>
                <c:pt idx="1">
                  <c:v>2027</c:v>
                </c:pt>
                <c:pt idx="2">
                  <c:v>2028</c:v>
                </c:pt>
                <c:pt idx="3">
                  <c:v>2030</c:v>
                </c:pt>
                <c:pt idx="4">
                  <c:v>2035</c:v>
                </c:pt>
                <c:pt idx="5">
                  <c:v>2045</c:v>
                </c:pt>
              </c:numCache>
              <c:extLst xmlns:c15="http://schemas.microsoft.com/office/drawing/2012/chart"/>
            </c:numRef>
          </c:cat>
          <c:val>
            <c:numRef>
              <c:f>'Potential Summary'!$C$15:$H$15</c:f>
              <c:numCache>
                <c:formatCode>0.0%</c:formatCode>
                <c:ptCount val="6"/>
                <c:pt idx="0">
                  <c:v>1.1109817722225497E-2</c:v>
                </c:pt>
                <c:pt idx="1">
                  <c:v>2.3619989209208648E-2</c:v>
                </c:pt>
                <c:pt idx="2">
                  <c:v>3.8016225511959593E-2</c:v>
                </c:pt>
                <c:pt idx="3">
                  <c:v>6.9780994447148581E-2</c:v>
                </c:pt>
                <c:pt idx="4">
                  <c:v>0.15402101645772096</c:v>
                </c:pt>
                <c:pt idx="5">
                  <c:v>0.21152050753598006</c:v>
                </c:pt>
              </c:numCache>
              <c:extLst xmlns:c15="http://schemas.microsoft.com/office/drawing/2012/chart"/>
            </c:numRef>
          </c:val>
          <c:extLst xmlns:c15="http://schemas.microsoft.com/office/drawing/2012/chart">
            <c:ext xmlns:c16="http://schemas.microsoft.com/office/drawing/2014/chart" uri="{C3380CC4-5D6E-409C-BE32-E72D297353CC}">
              <c16:uniqueId val="{00000001-7EF0-4600-9A87-541EA334B5DC}"/>
            </c:ext>
          </c:extLst>
        </c:ser>
        <c:ser>
          <c:idx val="15"/>
          <c:order val="2"/>
          <c:tx>
            <c:strRef>
              <c:f>'Potential Summary'!$B$16</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Summary'!$C$16:$H$16</c:f>
              <c:numCache>
                <c:formatCode>0.0%</c:formatCode>
                <c:ptCount val="6"/>
                <c:pt idx="0">
                  <c:v>2.5177740041682047E-2</c:v>
                </c:pt>
                <c:pt idx="1">
                  <c:v>5.0775497843382644E-2</c:v>
                </c:pt>
                <c:pt idx="2">
                  <c:v>7.764435754033637E-2</c:v>
                </c:pt>
                <c:pt idx="3">
                  <c:v>0.12285350543289263</c:v>
                </c:pt>
                <c:pt idx="4">
                  <c:v>0.23290450901669751</c:v>
                </c:pt>
                <c:pt idx="5">
                  <c:v>0.28502736564092768</c:v>
                </c:pt>
              </c:numCache>
            </c:numRef>
          </c:val>
          <c:extLst>
            <c:ext xmlns:c16="http://schemas.microsoft.com/office/drawing/2014/chart" uri="{C3380CC4-5D6E-409C-BE32-E72D297353CC}">
              <c16:uniqueId val="{00000002-7EF0-4600-9A87-541EA334B5DC}"/>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900">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overlay val="0"/>
        </c:title>
        <c:numFmt formatCode="0.0%" sourceLinked="1"/>
        <c:majorTickMark val="none"/>
        <c:minorTickMark val="none"/>
        <c:tickLblPos val="nextTo"/>
        <c:spPr>
          <a:noFill/>
          <a:ln>
            <a:noFill/>
          </a:ln>
          <a:effectLst/>
        </c:spPr>
        <c:txPr>
          <a:bodyPr rot="-60000000" vert="horz"/>
          <a:lstStyle/>
          <a:p>
            <a:pPr>
              <a:defRPr sz="900">
                <a:solidFill>
                  <a:schemeClr val="tx1">
                    <a:lumMod val="75000"/>
                    <a:lumOff val="25000"/>
                  </a:schemeClr>
                </a:solidFill>
              </a:defRPr>
            </a:pPr>
            <a:endParaRPr lang="en-US"/>
          </a:p>
        </c:txPr>
        <c:crossAx val="239081183"/>
        <c:crosses val="autoZero"/>
        <c:crossBetween val="between"/>
      </c:valAx>
    </c:plotArea>
    <c:legend>
      <c:legendPos val="b"/>
      <c:overlay val="0"/>
      <c:txPr>
        <a:bodyPr rot="0" vert="horz"/>
        <a:lstStyle/>
        <a:p>
          <a:pPr>
            <a:defRPr sz="900">
              <a:solidFill>
                <a:schemeClr val="tx1">
                  <a:lumMod val="75000"/>
                  <a:lumOff val="25000"/>
                </a:schemeClr>
              </a:solidFill>
            </a:defRPr>
          </a:pPr>
          <a:endParaRPr lang="en-US"/>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3"/>
          <c:order val="0"/>
          <c:tx>
            <c:strRef>
              <c:f>'Potential Summary'!$B$14</c:f>
              <c:strCache>
                <c:ptCount val="1"/>
                <c:pt idx="0">
                  <c:v>Achievable Economic TRC Potential</c:v>
                </c:pt>
              </c:strCache>
            </c:strRef>
          </c:tx>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Summary'!$C$14:$H$14</c:f>
            </c:numRef>
          </c:val>
          <c:extLst>
            <c:ext xmlns:c16="http://schemas.microsoft.com/office/drawing/2014/chart" uri="{C3380CC4-5D6E-409C-BE32-E72D297353CC}">
              <c16:uniqueId val="{00000000-3E54-46F8-ABC1-AB7260845CC6}"/>
            </c:ext>
          </c:extLst>
        </c:ser>
        <c:ser>
          <c:idx val="14"/>
          <c:order val="1"/>
          <c:tx>
            <c:strRef>
              <c:f>'Potential Summary'!$B$15</c:f>
              <c:strCache>
                <c:ptCount val="1"/>
                <c:pt idx="0">
                  <c:v>Achievable Technical Potential</c:v>
                </c:pt>
              </c:strCache>
              <c:extLst xmlns:c15="http://schemas.microsoft.com/office/drawing/2012/chart"/>
            </c:strRef>
          </c:tx>
          <c:spPr>
            <a:solidFill>
              <a:srgbClr val="3CD39C"/>
            </a:solidFill>
            <a:ln>
              <a:solidFill>
                <a:srgbClr val="FFFFFF"/>
              </a:solidFill>
            </a:ln>
          </c:spPr>
          <c:invertIfNegative val="0"/>
          <c:cat>
            <c:numRef>
              <c:f>'Potential Summary'!$C$3:$H$3</c:f>
              <c:numCache>
                <c:formatCode>General</c:formatCode>
                <c:ptCount val="6"/>
                <c:pt idx="0">
                  <c:v>2026</c:v>
                </c:pt>
                <c:pt idx="1">
                  <c:v>2027</c:v>
                </c:pt>
                <c:pt idx="2">
                  <c:v>2028</c:v>
                </c:pt>
                <c:pt idx="3">
                  <c:v>2030</c:v>
                </c:pt>
                <c:pt idx="4">
                  <c:v>2035</c:v>
                </c:pt>
                <c:pt idx="5">
                  <c:v>2045</c:v>
                </c:pt>
              </c:numCache>
              <c:extLst xmlns:c15="http://schemas.microsoft.com/office/drawing/2012/chart"/>
            </c:numRef>
          </c:cat>
          <c:val>
            <c:numRef>
              <c:f>'Potential Summary'!$C$15:$H$15</c:f>
              <c:numCache>
                <c:formatCode>0.0%</c:formatCode>
                <c:ptCount val="6"/>
                <c:pt idx="0">
                  <c:v>1.0958139419777782E-2</c:v>
                </c:pt>
                <c:pt idx="1">
                  <c:v>2.3354204239562141E-2</c:v>
                </c:pt>
                <c:pt idx="2">
                  <c:v>3.7510521467036061E-2</c:v>
                </c:pt>
                <c:pt idx="3">
                  <c:v>6.8118859686571387E-2</c:v>
                </c:pt>
                <c:pt idx="4">
                  <c:v>0.15029034925802712</c:v>
                </c:pt>
                <c:pt idx="5">
                  <c:v>0.20888338364426831</c:v>
                </c:pt>
              </c:numCache>
              <c:extLst xmlns:c15="http://schemas.microsoft.com/office/drawing/2012/chart"/>
            </c:numRef>
          </c:val>
          <c:extLst xmlns:c15="http://schemas.microsoft.com/office/drawing/2012/chart">
            <c:ext xmlns:c16="http://schemas.microsoft.com/office/drawing/2014/chart" uri="{C3380CC4-5D6E-409C-BE32-E72D297353CC}">
              <c16:uniqueId val="{00000001-3E54-46F8-ABC1-AB7260845CC6}"/>
            </c:ext>
          </c:extLst>
        </c:ser>
        <c:ser>
          <c:idx val="15"/>
          <c:order val="2"/>
          <c:tx>
            <c:strRef>
              <c:f>'Potential Summary'!$B$16</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Summary'!$C$16:$H$16</c:f>
              <c:numCache>
                <c:formatCode>0.0%</c:formatCode>
                <c:ptCount val="6"/>
                <c:pt idx="0">
                  <c:v>2.3510021164748728E-2</c:v>
                </c:pt>
                <c:pt idx="1">
                  <c:v>4.7767737348027202E-2</c:v>
                </c:pt>
                <c:pt idx="2">
                  <c:v>7.3281679014709236E-2</c:v>
                </c:pt>
                <c:pt idx="3">
                  <c:v>0.11567322660275814</c:v>
                </c:pt>
                <c:pt idx="4">
                  <c:v>0.22298971699935241</c:v>
                </c:pt>
                <c:pt idx="5">
                  <c:v>0.28980529955144524</c:v>
                </c:pt>
              </c:numCache>
            </c:numRef>
          </c:val>
          <c:extLst>
            <c:ext xmlns:c16="http://schemas.microsoft.com/office/drawing/2014/chart" uri="{C3380CC4-5D6E-409C-BE32-E72D297353CC}">
              <c16:uniqueId val="{00000002-3E54-46F8-ABC1-AB7260845CC6}"/>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900">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overlay val="0"/>
        </c:title>
        <c:numFmt formatCode="0.0%" sourceLinked="1"/>
        <c:majorTickMark val="none"/>
        <c:minorTickMark val="none"/>
        <c:tickLblPos val="nextTo"/>
        <c:spPr>
          <a:noFill/>
          <a:ln>
            <a:noFill/>
          </a:ln>
          <a:effectLst/>
        </c:spPr>
        <c:txPr>
          <a:bodyPr rot="-60000000" vert="horz"/>
          <a:lstStyle/>
          <a:p>
            <a:pPr>
              <a:defRPr sz="900">
                <a:solidFill>
                  <a:schemeClr val="tx1">
                    <a:lumMod val="75000"/>
                    <a:lumOff val="25000"/>
                  </a:schemeClr>
                </a:solidFill>
              </a:defRPr>
            </a:pPr>
            <a:endParaRPr lang="en-US"/>
          </a:p>
        </c:txPr>
        <c:crossAx val="239081183"/>
        <c:crosses val="autoZero"/>
        <c:crossBetween val="between"/>
      </c:valAx>
      <c:spPr>
        <a:solidFill>
          <a:srgbClr val="F6F6F7"/>
        </a:solidFill>
      </c:spPr>
    </c:plotArea>
    <c:legend>
      <c:legendPos val="b"/>
      <c:overlay val="0"/>
      <c:txPr>
        <a:bodyPr rot="0" vert="horz"/>
        <a:lstStyle/>
        <a:p>
          <a:pPr>
            <a:defRPr sz="900">
              <a:solidFill>
                <a:schemeClr val="tx1">
                  <a:lumMod val="75000"/>
                  <a:lumOff val="25000"/>
                </a:schemeClr>
              </a:solidFill>
            </a:defRPr>
          </a:pPr>
          <a:endParaRPr lang="en-US"/>
        </a:p>
      </c:txPr>
    </c:legend>
    <c:plotVisOnly val="1"/>
    <c:dispBlanksAs val="gap"/>
    <c:showDLblsOverMax val="0"/>
  </c:chart>
  <c:spPr>
    <a:solidFill>
      <a:srgbClr val="F6F6F7"/>
    </a:solid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1"/>
          <c:tx>
            <c:strRef>
              <c:f>'Savings By Sector'!$B$18</c:f>
              <c:strCache>
                <c:ptCount val="1"/>
                <c:pt idx="0">
                  <c:v>Residential</c:v>
                </c:pt>
              </c:strCache>
            </c:strRef>
          </c:tx>
          <c:spPr>
            <a:solidFill>
              <a:schemeClr val="accent1"/>
            </a:solidFill>
            <a:ln>
              <a:solidFill>
                <a:srgbClr val="F6F6F7"/>
              </a:solidFill>
            </a:ln>
            <a:effectLst>
              <a:outerShdw blurRad="50800" dist="38100" dir="2700000" algn="tl" rotWithShape="0">
                <a:prstClr val="black">
                  <a:alpha val="40000"/>
                </a:prstClr>
              </a:outerShdw>
            </a:effectLst>
          </c:spPr>
          <c:invertIfNegative val="0"/>
          <c:cat>
            <c:numRef>
              <c:f>('Savings By Sector'!$H$17:$J$17,'Savings By Sector'!$L$17,'Savings By Sector'!$Q$17,'Savings By Sector'!$AA$17)</c:f>
              <c:numCache>
                <c:formatCode>General</c:formatCode>
                <c:ptCount val="6"/>
                <c:pt idx="0">
                  <c:v>2026</c:v>
                </c:pt>
                <c:pt idx="1">
                  <c:v>2027</c:v>
                </c:pt>
                <c:pt idx="2">
                  <c:v>2028</c:v>
                </c:pt>
                <c:pt idx="3">
                  <c:v>2030</c:v>
                </c:pt>
                <c:pt idx="4">
                  <c:v>2035</c:v>
                </c:pt>
                <c:pt idx="5">
                  <c:v>2045</c:v>
                </c:pt>
              </c:numCache>
              <c:extLst/>
            </c:numRef>
          </c:cat>
          <c:val>
            <c:numRef>
              <c:f>('Savings By Sector'!$H$18:$J$18,'Savings By Sector'!$L$18,'Savings By Sector'!$Q$18,'Savings By Sector'!$AA$18)</c:f>
              <c:numCache>
                <c:formatCode>_(* #,##0_);_(* \(#,##0\);_(* "-"??_);_(@_)</c:formatCode>
                <c:ptCount val="6"/>
                <c:pt idx="0">
                  <c:v>34.507922925303355</c:v>
                </c:pt>
                <c:pt idx="1">
                  <c:v>75.624268229401054</c:v>
                </c:pt>
                <c:pt idx="2">
                  <c:v>125.10232888907635</c:v>
                </c:pt>
                <c:pt idx="3">
                  <c:v>235.45120185419574</c:v>
                </c:pt>
                <c:pt idx="4">
                  <c:v>605.05367945189164</c:v>
                </c:pt>
                <c:pt idx="5">
                  <c:v>890.87226283601899</c:v>
                </c:pt>
              </c:numCache>
              <c:extLst/>
            </c:numRef>
          </c:val>
          <c:extLst>
            <c:ext xmlns:c16="http://schemas.microsoft.com/office/drawing/2014/chart" uri="{C3380CC4-5D6E-409C-BE32-E72D297353CC}">
              <c16:uniqueId val="{00000000-3283-4B5D-B72B-5F44BF32684C}"/>
            </c:ext>
          </c:extLst>
        </c:ser>
        <c:ser>
          <c:idx val="5"/>
          <c:order val="2"/>
          <c:tx>
            <c:strRef>
              <c:f>'Savings By Sector'!$B$19</c:f>
              <c:strCache>
                <c:ptCount val="1"/>
                <c:pt idx="0">
                  <c:v>Commercial</c:v>
                </c:pt>
              </c:strCache>
            </c:strRef>
          </c:tx>
          <c:spPr>
            <a:solidFill>
              <a:schemeClr val="accent2"/>
            </a:solidFill>
            <a:ln>
              <a:solidFill>
                <a:srgbClr val="F6F6F7"/>
              </a:solidFill>
            </a:ln>
            <a:effectLst>
              <a:outerShdw blurRad="50800" dist="38100" dir="2700000" algn="tl" rotWithShape="0">
                <a:prstClr val="black">
                  <a:alpha val="40000"/>
                </a:prstClr>
              </a:outerShdw>
            </a:effectLst>
          </c:spPr>
          <c:invertIfNegative val="0"/>
          <c:cat>
            <c:numRef>
              <c:f>('Savings By Sector'!$H$17:$J$17,'Savings By Sector'!$L$17,'Savings By Sector'!$Q$17,'Savings By Sector'!$AA$17)</c:f>
              <c:numCache>
                <c:formatCode>General</c:formatCode>
                <c:ptCount val="6"/>
                <c:pt idx="0">
                  <c:v>2026</c:v>
                </c:pt>
                <c:pt idx="1">
                  <c:v>2027</c:v>
                </c:pt>
                <c:pt idx="2">
                  <c:v>2028</c:v>
                </c:pt>
                <c:pt idx="3">
                  <c:v>2030</c:v>
                </c:pt>
                <c:pt idx="4">
                  <c:v>2035</c:v>
                </c:pt>
                <c:pt idx="5">
                  <c:v>2045</c:v>
                </c:pt>
              </c:numCache>
              <c:extLst/>
            </c:numRef>
          </c:cat>
          <c:val>
            <c:numRef>
              <c:f>('Savings By Sector'!$H$19:$J$19,'Savings By Sector'!$L$19,'Savings By Sector'!$Q$19,'Savings By Sector'!$AA$19)</c:f>
              <c:numCache>
                <c:formatCode>_(* #,##0_);_(* \(#,##0\);_(* "-"??_);_(@_)</c:formatCode>
                <c:ptCount val="6"/>
                <c:pt idx="0">
                  <c:v>48.321686660639365</c:v>
                </c:pt>
                <c:pt idx="1">
                  <c:v>101.12273079155621</c:v>
                </c:pt>
                <c:pt idx="2">
                  <c:v>160.21549281947847</c:v>
                </c:pt>
                <c:pt idx="3">
                  <c:v>293.51051795873246</c:v>
                </c:pt>
                <c:pt idx="4">
                  <c:v>638.89511092823011</c:v>
                </c:pt>
                <c:pt idx="5">
                  <c:v>1173.4787032875884</c:v>
                </c:pt>
              </c:numCache>
              <c:extLst/>
            </c:numRef>
          </c:val>
          <c:extLst>
            <c:ext xmlns:c16="http://schemas.microsoft.com/office/drawing/2014/chart" uri="{C3380CC4-5D6E-409C-BE32-E72D297353CC}">
              <c16:uniqueId val="{00000001-3283-4B5D-B72B-5F44BF32684C}"/>
            </c:ext>
          </c:extLst>
        </c:ser>
        <c:ser>
          <c:idx val="2"/>
          <c:order val="3"/>
          <c:tx>
            <c:strRef>
              <c:f>'Savings By Sector'!$B$20</c:f>
              <c:strCache>
                <c:ptCount val="1"/>
                <c:pt idx="0">
                  <c:v>Industrial</c:v>
                </c:pt>
              </c:strCache>
            </c:strRef>
          </c:tx>
          <c:spPr>
            <a:solidFill>
              <a:schemeClr val="accent3"/>
            </a:solidFill>
            <a:ln>
              <a:solidFill>
                <a:srgbClr val="F6F6F7"/>
              </a:solidFill>
            </a:ln>
            <a:effectLst>
              <a:outerShdw blurRad="50800" dist="38100" dir="2700000" algn="tl" rotWithShape="0">
                <a:prstClr val="black">
                  <a:alpha val="40000"/>
                </a:prstClr>
              </a:outerShdw>
            </a:effectLst>
          </c:spPr>
          <c:invertIfNegative val="0"/>
          <c:cat>
            <c:numRef>
              <c:f>('Savings By Sector'!$H$17:$J$17,'Savings By Sector'!$L$17,'Savings By Sector'!$Q$17,'Savings By Sector'!$AA$17)</c:f>
              <c:numCache>
                <c:formatCode>General</c:formatCode>
                <c:ptCount val="6"/>
                <c:pt idx="0">
                  <c:v>2026</c:v>
                </c:pt>
                <c:pt idx="1">
                  <c:v>2027</c:v>
                </c:pt>
                <c:pt idx="2">
                  <c:v>2028</c:v>
                </c:pt>
                <c:pt idx="3">
                  <c:v>2030</c:v>
                </c:pt>
                <c:pt idx="4">
                  <c:v>2035</c:v>
                </c:pt>
                <c:pt idx="5">
                  <c:v>2045</c:v>
                </c:pt>
              </c:numCache>
              <c:extLst/>
            </c:numRef>
          </c:cat>
          <c:val>
            <c:numRef>
              <c:f>('Savings By Sector'!$H$20:$J$20,'Savings By Sector'!$L$20,'Savings By Sector'!$Q$20,'Savings By Sector'!$AA$20)</c:f>
              <c:numCache>
                <c:formatCode>_(* #,##0_);_(* \(#,##0\);_(* "-"??_);_(@_)</c:formatCode>
                <c:ptCount val="6"/>
                <c:pt idx="0">
                  <c:v>8.4581748754257582</c:v>
                </c:pt>
                <c:pt idx="1">
                  <c:v>17.657734140047388</c:v>
                </c:pt>
                <c:pt idx="2">
                  <c:v>27.894062117175576</c:v>
                </c:pt>
                <c:pt idx="3">
                  <c:v>50.529078170172085</c:v>
                </c:pt>
                <c:pt idx="4">
                  <c:v>109.06515114411928</c:v>
                </c:pt>
                <c:pt idx="5">
                  <c:v>146.34255986140732</c:v>
                </c:pt>
              </c:numCache>
              <c:extLst/>
            </c:numRef>
          </c:val>
          <c:extLst>
            <c:ext xmlns:c16="http://schemas.microsoft.com/office/drawing/2014/chart" uri="{C3380CC4-5D6E-409C-BE32-E72D297353CC}">
              <c16:uniqueId val="{00000002-3283-4B5D-B72B-5F44BF32684C}"/>
            </c:ext>
          </c:extLst>
        </c:ser>
        <c:dLbls>
          <c:showLegendKey val="0"/>
          <c:showVal val="0"/>
          <c:showCatName val="0"/>
          <c:showSerName val="0"/>
          <c:showPercent val="0"/>
          <c:showBubbleSize val="0"/>
        </c:dLbls>
        <c:gapWidth val="50"/>
        <c:overlap val="100"/>
        <c:axId val="1528383504"/>
        <c:axId val="1528381840"/>
        <c:extLst>
          <c:ext xmlns:c15="http://schemas.microsoft.com/office/drawing/2012/chart" uri="{02D57815-91ED-43cb-92C2-25804820EDAC}">
            <c15:filteredBarSeries>
              <c15:ser>
                <c:idx val="1"/>
                <c:order val="0"/>
                <c:tx>
                  <c:strRef>
                    <c:extLst>
                      <c:ext uri="{02D57815-91ED-43cb-92C2-25804820EDAC}">
                        <c15:formulaRef>
                          <c15:sqref>'Savings By Sector'!$B$17</c15:sqref>
                        </c15:formulaRef>
                      </c:ext>
                    </c:extLst>
                    <c:strCache>
                      <c:ptCount val="1"/>
                      <c:pt idx="0">
                        <c:v>Potential by Sector</c:v>
                      </c:pt>
                    </c:strCache>
                  </c:strRef>
                </c:tx>
                <c:spPr>
                  <a:solidFill>
                    <a:schemeClr val="accent2"/>
                  </a:solidFill>
                  <a:ln>
                    <a:noFill/>
                  </a:ln>
                  <a:effectLst/>
                </c:spPr>
                <c:invertIfNegative val="0"/>
                <c:cat>
                  <c:numRef>
                    <c:extLst>
                      <c:ext uri="{02D57815-91ED-43cb-92C2-25804820EDAC}">
                        <c15:formulaRef>
                          <c15:sqref>('Savings By Sector'!$H$17:$J$17,'Savings By Sector'!$L$17,'Savings By Sector'!$Q$17,'Savings By Sector'!$AA$17)</c15:sqref>
                        </c15:formulaRef>
                      </c:ext>
                    </c:extLst>
                    <c:numCache>
                      <c:formatCode>General</c:formatCode>
                      <c:ptCount val="6"/>
                      <c:pt idx="0">
                        <c:v>2026</c:v>
                      </c:pt>
                      <c:pt idx="1">
                        <c:v>2027</c:v>
                      </c:pt>
                      <c:pt idx="2">
                        <c:v>2028</c:v>
                      </c:pt>
                      <c:pt idx="3">
                        <c:v>2030</c:v>
                      </c:pt>
                      <c:pt idx="4">
                        <c:v>2035</c:v>
                      </c:pt>
                      <c:pt idx="5">
                        <c:v>2045</c:v>
                      </c:pt>
                    </c:numCache>
                  </c:numRef>
                </c:cat>
                <c:val>
                  <c:numRef>
                    <c:extLst>
                      <c:ext uri="{02D57815-91ED-43cb-92C2-25804820EDAC}">
                        <c15:formulaRef>
                          <c15:sqref>('Savings By Sector'!$H$17:$J$17,'Savings By Sector'!$L$17,'Savings By Sector'!$Q$17,'Savings By Sector'!$AA$17)</c15:sqref>
                        </c15:formulaRef>
                      </c:ext>
                    </c:extLst>
                    <c:numCache>
                      <c:formatCode>General</c:formatCode>
                      <c:ptCount val="6"/>
                      <c:pt idx="0">
                        <c:v>2026</c:v>
                      </c:pt>
                      <c:pt idx="1">
                        <c:v>2027</c:v>
                      </c:pt>
                      <c:pt idx="2">
                        <c:v>2028</c:v>
                      </c:pt>
                      <c:pt idx="3">
                        <c:v>2030</c:v>
                      </c:pt>
                      <c:pt idx="4">
                        <c:v>2035</c:v>
                      </c:pt>
                      <c:pt idx="5">
                        <c:v>2045</c:v>
                      </c:pt>
                    </c:numCache>
                  </c:numRef>
                </c:val>
                <c:extLst>
                  <c:ext xmlns:c16="http://schemas.microsoft.com/office/drawing/2014/chart" uri="{C3380CC4-5D6E-409C-BE32-E72D297353CC}">
                    <c16:uniqueId val="{00000003-3283-4B5D-B72B-5F44BF32684C}"/>
                  </c:ext>
                </c:extLst>
              </c15:ser>
            </c15:filteredBarSeries>
            <c15:filteredBarSeries>
              <c15:ser>
                <c:idx val="3"/>
                <c:order val="4"/>
                <c:tx>
                  <c:strRef>
                    <c:extLst xmlns:c15="http://schemas.microsoft.com/office/drawing/2012/chart">
                      <c:ext xmlns:c15="http://schemas.microsoft.com/office/drawing/2012/chart" uri="{02D57815-91ED-43cb-92C2-25804820EDAC}">
                        <c15:formulaRef>
                          <c15:sqref>'Savings By Sector'!$B$21</c15:sqref>
                        </c15:formulaRef>
                      </c:ext>
                    </c:extLst>
                    <c:strCache>
                      <c:ptCount val="1"/>
                      <c:pt idx="0">
                        <c:v>Total</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('Savings By Sector'!$H$17:$J$17,'Savings By Sector'!$L$17,'Savings By Sector'!$Q$17,'Savings By Sector'!$AA$17)</c15:sqref>
                        </c15:formulaRef>
                      </c:ext>
                    </c:extLst>
                    <c:numCache>
                      <c:formatCode>General</c:formatCode>
                      <c:ptCount val="6"/>
                      <c:pt idx="0">
                        <c:v>2026</c:v>
                      </c:pt>
                      <c:pt idx="1">
                        <c:v>2027</c:v>
                      </c:pt>
                      <c:pt idx="2">
                        <c:v>2028</c:v>
                      </c:pt>
                      <c:pt idx="3">
                        <c:v>2030</c:v>
                      </c:pt>
                      <c:pt idx="4">
                        <c:v>2035</c:v>
                      </c:pt>
                      <c:pt idx="5">
                        <c:v>2045</c:v>
                      </c:pt>
                    </c:numCache>
                  </c:numRef>
                </c:cat>
                <c:val>
                  <c:numRef>
                    <c:extLst xmlns:c15="http://schemas.microsoft.com/office/drawing/2012/chart">
                      <c:ext xmlns:c15="http://schemas.microsoft.com/office/drawing/2012/chart" uri="{02D57815-91ED-43cb-92C2-25804820EDAC}">
                        <c15:formulaRef>
                          <c15:sqref>('Savings By Sector'!$H$21:$J$21,'Savings By Sector'!$L$21,'Savings By Sector'!$Q$21,'Savings By Sector'!$AA$21)</c15:sqref>
                        </c15:formulaRef>
                      </c:ext>
                    </c:extLst>
                    <c:numCache>
                      <c:formatCode>_(* #,##0_);_(* \(#,##0\);_(* "-"??_);_(@_)</c:formatCode>
                      <c:ptCount val="6"/>
                      <c:pt idx="0">
                        <c:v>91.287784461368474</c:v>
                      </c:pt>
                      <c:pt idx="1">
                        <c:v>194.40473316100466</c:v>
                      </c:pt>
                      <c:pt idx="2">
                        <c:v>313.21188382573035</c:v>
                      </c:pt>
                      <c:pt idx="3">
                        <c:v>579.49079798310026</c:v>
                      </c:pt>
                      <c:pt idx="4">
                        <c:v>1353.0139415242411</c:v>
                      </c:pt>
                      <c:pt idx="5">
                        <c:v>2210.6935259850147</c:v>
                      </c:pt>
                    </c:numCache>
                  </c:numRef>
                </c:val>
                <c:extLst xmlns:c15="http://schemas.microsoft.com/office/drawing/2012/chart">
                  <c:ext xmlns:c16="http://schemas.microsoft.com/office/drawing/2014/chart" uri="{C3380CC4-5D6E-409C-BE32-E72D297353CC}">
                    <c16:uniqueId val="{00000004-3283-4B5D-B72B-5F44BF32684C}"/>
                  </c:ext>
                </c:extLst>
              </c15:ser>
            </c15:filteredBarSeries>
          </c:ext>
        </c:extLst>
      </c:barChart>
      <c:catAx>
        <c:axId val="15283835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8381840"/>
        <c:crosses val="autoZero"/>
        <c:auto val="1"/>
        <c:lblAlgn val="ctr"/>
        <c:lblOffset val="100"/>
        <c:noMultiLvlLbl val="0"/>
      </c:catAx>
      <c:valAx>
        <c:axId val="1528381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Cumulative</a:t>
                </a:r>
                <a:br>
                  <a:rPr lang="en-US" sz="900"/>
                </a:br>
                <a:r>
                  <a:rPr lang="en-US" sz="900"/>
                  <a:t>Savings</a:t>
                </a:r>
                <a:br>
                  <a:rPr lang="en-US" sz="900"/>
                </a:br>
                <a:r>
                  <a:rPr lang="en-US" sz="900"/>
                  <a:t>(GWh)</a:t>
                </a:r>
              </a:p>
            </c:rich>
          </c:tx>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8383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19533615990309"/>
          <c:y val="4.9704333833270845E-2"/>
          <c:w val="0.71202173927296386"/>
          <c:h val="0.65608716281620949"/>
        </c:manualLayout>
      </c:layout>
      <c:barChart>
        <c:barDir val="col"/>
        <c:grouping val="clustered"/>
        <c:varyColors val="0"/>
        <c:ser>
          <c:idx val="13"/>
          <c:order val="0"/>
          <c:tx>
            <c:strRef>
              <c:f>'Potential Summary (2)'!$B$16</c:f>
              <c:strCache>
                <c:ptCount val="1"/>
                <c:pt idx="0">
                  <c:v>Achievable Economic TRC Potential</c:v>
                </c:pt>
              </c:strCache>
              <c:extLst xmlns:c15="http://schemas.microsoft.com/office/drawing/2012/chart"/>
            </c:strRef>
          </c:tx>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(2)'!$C$16:$H$16</c:f>
            </c:numRef>
          </c:val>
          <c:extLst xmlns:c15="http://schemas.microsoft.com/office/drawing/2012/chart">
            <c:ext xmlns:c16="http://schemas.microsoft.com/office/drawing/2014/chart" uri="{C3380CC4-5D6E-409C-BE32-E72D297353CC}">
              <c16:uniqueId val="{00000000-230E-4383-ACE0-E400D06FCFE0}"/>
            </c:ext>
          </c:extLst>
        </c:ser>
        <c:ser>
          <c:idx val="14"/>
          <c:order val="1"/>
          <c:tx>
            <c:strRef>
              <c:f>'Potential Summary'!$B$17</c:f>
              <c:strCache>
                <c:ptCount val="1"/>
                <c:pt idx="0">
                  <c:v>Maximum Achievable Potential</c:v>
                </c:pt>
              </c:strCache>
            </c:strRef>
          </c:tx>
          <c:invertIfNegative val="0"/>
          <c:cat>
            <c:numRef>
              <c:f>'Potential Summary'!$C$3:$H$3</c:f>
              <c:numCache>
                <c:formatCode>General</c:formatCode>
                <c:ptCount val="6"/>
                <c:pt idx="0">
                  <c:v>2026</c:v>
                </c:pt>
                <c:pt idx="1">
                  <c:v>2027</c:v>
                </c:pt>
                <c:pt idx="2">
                  <c:v>2028</c:v>
                </c:pt>
                <c:pt idx="3">
                  <c:v>2035</c:v>
                </c:pt>
                <c:pt idx="4">
                  <c:v>2045</c:v>
                </c:pt>
                <c:pt idx="5">
                  <c:v>2045</c:v>
                </c:pt>
              </c:numCache>
            </c:numRef>
          </c:cat>
          <c:val>
            <c:numRef>
              <c:f>'Potential Summary'!$C$17:$H$17</c:f>
            </c:numRef>
          </c:val>
          <c:extLst>
            <c:ext xmlns:c16="http://schemas.microsoft.com/office/drawing/2014/chart" uri="{C3380CC4-5D6E-409C-BE32-E72D297353CC}">
              <c16:uniqueId val="{00000001-230E-4383-ACE0-E400D06FCFE0}"/>
            </c:ext>
          </c:extLst>
        </c:ser>
        <c:ser>
          <c:idx val="15"/>
          <c:order val="2"/>
          <c:tx>
            <c:strRef>
              <c:f>'Potential Summary (2)'!$B$18</c:f>
              <c:strCache>
                <c:ptCount val="1"/>
                <c:pt idx="0">
                  <c:v>Technical Achievable Potential</c:v>
                </c:pt>
              </c:strCache>
            </c:strRef>
          </c:tx>
          <c:spPr>
            <a:solidFill>
              <a:srgbClr val="3CD39C"/>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(2)'!$C$18:$H$18</c:f>
              <c:numCache>
                <c:formatCode>0.0%</c:formatCode>
                <c:ptCount val="6"/>
                <c:pt idx="0">
                  <c:v>8.1917817733386002E-3</c:v>
                </c:pt>
                <c:pt idx="1">
                  <c:v>1.7856853170939956E-2</c:v>
                </c:pt>
                <c:pt idx="2">
                  <c:v>2.9531705057601883E-2</c:v>
                </c:pt>
                <c:pt idx="3">
                  <c:v>5.5225192372146882E-2</c:v>
                </c:pt>
                <c:pt idx="4">
                  <c:v>0.13516980633626857</c:v>
                </c:pt>
                <c:pt idx="5">
                  <c:v>0.16800874456158843</c:v>
                </c:pt>
              </c:numCache>
            </c:numRef>
          </c:val>
          <c:extLst>
            <c:ext xmlns:c16="http://schemas.microsoft.com/office/drawing/2014/chart" uri="{C3380CC4-5D6E-409C-BE32-E72D297353CC}">
              <c16:uniqueId val="{00000002-230E-4383-ACE0-E400D06FCFE0}"/>
            </c:ext>
          </c:extLst>
        </c:ser>
        <c:ser>
          <c:idx val="16"/>
          <c:order val="3"/>
          <c:tx>
            <c:strRef>
              <c:f>'Potential Summary (2)'!$B$19</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(2)'!$C$19:$H$19</c:f>
              <c:numCache>
                <c:formatCode>0.0%</c:formatCode>
                <c:ptCount val="6"/>
                <c:pt idx="0">
                  <c:v>2.3436117326850008E-2</c:v>
                </c:pt>
                <c:pt idx="1">
                  <c:v>4.8165712451370267E-2</c:v>
                </c:pt>
                <c:pt idx="2">
                  <c:v>7.4601151867993709E-2</c:v>
                </c:pt>
                <c:pt idx="3">
                  <c:v>0.11301190502406933</c:v>
                </c:pt>
                <c:pt idx="4">
                  <c:v>0.23324133956260895</c:v>
                </c:pt>
                <c:pt idx="5">
                  <c:v>0.27325273953902102</c:v>
                </c:pt>
              </c:numCache>
            </c:numRef>
          </c:val>
          <c:extLst>
            <c:ext xmlns:c16="http://schemas.microsoft.com/office/drawing/2014/chart" uri="{C3380CC4-5D6E-409C-BE32-E72D297353CC}">
              <c16:uniqueId val="{00000003-230E-4383-ACE0-E400D06FCFE0}"/>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layout>
            <c:manualLayout>
              <c:xMode val="edge"/>
              <c:yMode val="edge"/>
              <c:x val="1.7666060973152681E-5"/>
              <c:y val="0.37296119235095609"/>
            </c:manualLayout>
          </c:layout>
          <c:overlay val="0"/>
        </c:title>
        <c:numFmt formatCode="0.0%"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239081183"/>
        <c:crosses val="autoZero"/>
        <c:crossBetween val="between"/>
      </c:valAx>
    </c:plotArea>
    <c:legend>
      <c:legendPos val="b"/>
      <c:overlay val="0"/>
      <c:txPr>
        <a:bodyPr rot="0" vert="horz"/>
        <a:lstStyle/>
        <a:p>
          <a:pPr>
            <a:defRPr>
              <a:solidFill>
                <a:schemeClr val="tx1">
                  <a:lumMod val="75000"/>
                  <a:lumOff val="25000"/>
                </a:schemeClr>
              </a:solidFill>
            </a:defRPr>
          </a:pPr>
          <a:endParaRPr lang="en-US"/>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13284877851804"/>
          <c:y val="7.4505921134858141E-2"/>
          <c:w val="0.71202173927296386"/>
          <c:h val="0.65608716281620949"/>
        </c:manualLayout>
      </c:layout>
      <c:barChart>
        <c:barDir val="col"/>
        <c:grouping val="clustered"/>
        <c:varyColors val="0"/>
        <c:ser>
          <c:idx val="13"/>
          <c:order val="0"/>
          <c:tx>
            <c:strRef>
              <c:f>'Potential Summary (2)'!$B$16</c:f>
              <c:strCache>
                <c:ptCount val="1"/>
                <c:pt idx="0">
                  <c:v>Achievable Economic TRC Potential</c:v>
                </c:pt>
              </c:strCache>
              <c:extLst xmlns:c15="http://schemas.microsoft.com/office/drawing/2012/chart"/>
            </c:strRef>
          </c:tx>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(2)'!$C$16:$H$16</c:f>
            </c:numRef>
          </c:val>
          <c:extLst xmlns:c15="http://schemas.microsoft.com/office/drawing/2012/chart">
            <c:ext xmlns:c16="http://schemas.microsoft.com/office/drawing/2014/chart" uri="{C3380CC4-5D6E-409C-BE32-E72D297353CC}">
              <c16:uniqueId val="{00000000-8D02-4011-94C8-5E09CF66BF22}"/>
            </c:ext>
          </c:extLst>
        </c:ser>
        <c:ser>
          <c:idx val="14"/>
          <c:order val="1"/>
          <c:tx>
            <c:strRef>
              <c:f>'Potential Summary'!$B$17</c:f>
              <c:strCache>
                <c:ptCount val="1"/>
                <c:pt idx="0">
                  <c:v>Maximum Achievable Potential</c:v>
                </c:pt>
              </c:strCache>
            </c:strRef>
          </c:tx>
          <c:invertIfNegative val="0"/>
          <c:cat>
            <c:numRef>
              <c:f>'Potential Summary'!$C$3:$H$3</c:f>
              <c:numCache>
                <c:formatCode>General</c:formatCode>
                <c:ptCount val="6"/>
                <c:pt idx="0">
                  <c:v>2026</c:v>
                </c:pt>
                <c:pt idx="1">
                  <c:v>2027</c:v>
                </c:pt>
                <c:pt idx="2">
                  <c:v>2028</c:v>
                </c:pt>
                <c:pt idx="3">
                  <c:v>2035</c:v>
                </c:pt>
                <c:pt idx="4">
                  <c:v>2045</c:v>
                </c:pt>
                <c:pt idx="5">
                  <c:v>2045</c:v>
                </c:pt>
              </c:numCache>
            </c:numRef>
          </c:cat>
          <c:val>
            <c:numRef>
              <c:f>'Potential Summary'!$C$17:$H$17</c:f>
            </c:numRef>
          </c:val>
          <c:extLst>
            <c:ext xmlns:c16="http://schemas.microsoft.com/office/drawing/2014/chart" uri="{C3380CC4-5D6E-409C-BE32-E72D297353CC}">
              <c16:uniqueId val="{00000001-8D02-4011-94C8-5E09CF66BF22}"/>
            </c:ext>
          </c:extLst>
        </c:ser>
        <c:ser>
          <c:idx val="15"/>
          <c:order val="2"/>
          <c:tx>
            <c:strRef>
              <c:f>'Potential Summary (2)'!$B$18</c:f>
              <c:strCache>
                <c:ptCount val="1"/>
                <c:pt idx="0">
                  <c:v>Technical Achievable Potential</c:v>
                </c:pt>
              </c:strCache>
            </c:strRef>
          </c:tx>
          <c:spPr>
            <a:solidFill>
              <a:srgbClr val="3CD39C"/>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(2)'!$C$18:$H$18</c:f>
              <c:numCache>
                <c:formatCode>0.0%</c:formatCode>
                <c:ptCount val="6"/>
                <c:pt idx="0">
                  <c:v>8.1880854136468922E-3</c:v>
                </c:pt>
                <c:pt idx="1">
                  <c:v>1.8013226538212811E-2</c:v>
                </c:pt>
                <c:pt idx="2">
                  <c:v>2.9607926205302431E-2</c:v>
                </c:pt>
                <c:pt idx="3">
                  <c:v>5.3810296068520405E-2</c:v>
                </c:pt>
                <c:pt idx="4">
                  <c:v>0.12520540570612224</c:v>
                </c:pt>
                <c:pt idx="5">
                  <c:v>0.15572850971822638</c:v>
                </c:pt>
              </c:numCache>
            </c:numRef>
          </c:val>
          <c:extLst>
            <c:ext xmlns:c16="http://schemas.microsoft.com/office/drawing/2014/chart" uri="{C3380CC4-5D6E-409C-BE32-E72D297353CC}">
              <c16:uniqueId val="{00000002-8D02-4011-94C8-5E09CF66BF22}"/>
            </c:ext>
          </c:extLst>
        </c:ser>
        <c:ser>
          <c:idx val="16"/>
          <c:order val="3"/>
          <c:tx>
            <c:strRef>
              <c:f>'Potential Summary (2)'!$B$19</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(2)'!$C$19:$H$19</c:f>
              <c:numCache>
                <c:formatCode>0.0%</c:formatCode>
                <c:ptCount val="6"/>
                <c:pt idx="0">
                  <c:v>2.1302353684456418E-2</c:v>
                </c:pt>
                <c:pt idx="1">
                  <c:v>4.4212863589282184E-2</c:v>
                </c:pt>
                <c:pt idx="2">
                  <c:v>6.8527326187659068E-2</c:v>
                </c:pt>
                <c:pt idx="3">
                  <c:v>0.10096436317570927</c:v>
                </c:pt>
                <c:pt idx="4">
                  <c:v>0.21006610479107082</c:v>
                </c:pt>
                <c:pt idx="5">
                  <c:v>0.26037949256172843</c:v>
                </c:pt>
              </c:numCache>
            </c:numRef>
          </c:val>
          <c:extLst>
            <c:ext xmlns:c16="http://schemas.microsoft.com/office/drawing/2014/chart" uri="{C3380CC4-5D6E-409C-BE32-E72D297353CC}">
              <c16:uniqueId val="{00000003-8D02-4011-94C8-5E09CF66BF22}"/>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layout>
            <c:manualLayout>
              <c:xMode val="edge"/>
              <c:yMode val="edge"/>
              <c:x val="4.3021549539736959E-3"/>
              <c:y val="0.39681690308560202"/>
            </c:manualLayout>
          </c:layout>
          <c:overlay val="0"/>
        </c:title>
        <c:numFmt formatCode="0.0%"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239081183"/>
        <c:crosses val="autoZero"/>
        <c:crossBetween val="between"/>
      </c:valAx>
      <c:spPr>
        <a:solidFill>
          <a:srgbClr val="F6F6F7"/>
        </a:solidFill>
      </c:spPr>
    </c:plotArea>
    <c:legend>
      <c:legendPos val="b"/>
      <c:overlay val="0"/>
      <c:txPr>
        <a:bodyPr rot="0" vert="horz"/>
        <a:lstStyle/>
        <a:p>
          <a:pPr>
            <a:defRPr>
              <a:solidFill>
                <a:schemeClr val="tx1">
                  <a:lumMod val="75000"/>
                  <a:lumOff val="25000"/>
                </a:schemeClr>
              </a:solidFill>
            </a:defRPr>
          </a:pPr>
          <a:endParaRPr lang="en-US"/>
        </a:p>
      </c:txPr>
    </c:legend>
    <c:plotVisOnly val="1"/>
    <c:dispBlanksAs val="gap"/>
    <c:showDLblsOverMax val="0"/>
  </c:chart>
  <c:spPr>
    <a:solidFill>
      <a:srgbClr val="F6F6F7"/>
    </a:solid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155470552208"/>
          <c:y val="9.9130972669720194E-2"/>
          <c:w val="0.62862059860123443"/>
          <c:h val="0.78992400195774271"/>
        </c:manualLayout>
      </c:layout>
      <c:areaChart>
        <c:grouping val="stacked"/>
        <c:varyColors val="0"/>
        <c:ser>
          <c:idx val="3"/>
          <c:order val="1"/>
          <c:tx>
            <c:strRef>
              <c:f>'Savings by End-Use'!$B$66</c:f>
              <c:strCache>
                <c:ptCount val="1"/>
                <c:pt idx="0">
                  <c:v>Miscellaneous</c:v>
                </c:pt>
              </c:strCache>
            </c:strRef>
          </c:tx>
          <c:spPr>
            <a:solidFill>
              <a:schemeClr val="bg1">
                <a:lumMod val="50000"/>
              </a:schemeClr>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End-Use'!$H$66:$AA$66</c:f>
              <c:numCache>
                <c:formatCode>_(* #,##0_);_(* \(#,##0\);_(* "-"??_);_(@_)</c:formatCode>
                <c:ptCount val="20"/>
                <c:pt idx="0">
                  <c:v>2.8033424618348382</c:v>
                </c:pt>
                <c:pt idx="1">
                  <c:v>6.1048307871862058</c:v>
                </c:pt>
                <c:pt idx="2">
                  <c:v>10.058168988516078</c:v>
                </c:pt>
                <c:pt idx="3">
                  <c:v>14.638791819024467</c:v>
                </c:pt>
                <c:pt idx="4">
                  <c:v>19.921339810377663</c:v>
                </c:pt>
                <c:pt idx="5">
                  <c:v>26.182301984354513</c:v>
                </c:pt>
                <c:pt idx="6">
                  <c:v>33.23160553184384</c:v>
                </c:pt>
                <c:pt idx="7">
                  <c:v>40.794338994620766</c:v>
                </c:pt>
                <c:pt idx="8">
                  <c:v>48.707712736097086</c:v>
                </c:pt>
                <c:pt idx="9">
                  <c:v>56.460414077371802</c:v>
                </c:pt>
                <c:pt idx="10">
                  <c:v>63.796750547886028</c:v>
                </c:pt>
                <c:pt idx="11">
                  <c:v>70.61433518762189</c:v>
                </c:pt>
                <c:pt idx="12">
                  <c:v>76.91638996862406</c:v>
                </c:pt>
                <c:pt idx="13">
                  <c:v>82.594494764041556</c:v>
                </c:pt>
                <c:pt idx="14">
                  <c:v>88.329548511476261</c:v>
                </c:pt>
                <c:pt idx="15">
                  <c:v>93.240557496361774</c:v>
                </c:pt>
                <c:pt idx="16">
                  <c:v>97.485492555594917</c:v>
                </c:pt>
                <c:pt idx="17">
                  <c:v>101.61552025860165</c:v>
                </c:pt>
                <c:pt idx="18">
                  <c:v>105.38173560736908</c:v>
                </c:pt>
                <c:pt idx="19">
                  <c:v>107.48106778313755</c:v>
                </c:pt>
              </c:numCache>
              <c:extLst/>
            </c:numRef>
          </c:val>
          <c:extLst>
            <c:ext xmlns:c16="http://schemas.microsoft.com/office/drawing/2014/chart" uri="{C3380CC4-5D6E-409C-BE32-E72D297353CC}">
              <c16:uniqueId val="{00000000-9B2F-4F49-B73F-C4F1D9BD4F2A}"/>
            </c:ext>
          </c:extLst>
        </c:ser>
        <c:ser>
          <c:idx val="2"/>
          <c:order val="2"/>
          <c:tx>
            <c:strRef>
              <c:f>'Savings by End-Use'!$B$65</c:f>
              <c:strCache>
                <c:ptCount val="1"/>
                <c:pt idx="0">
                  <c:v>Electronics</c:v>
                </c:pt>
              </c:strCache>
            </c:strRef>
          </c:tx>
          <c:spPr>
            <a:solidFill>
              <a:schemeClr val="tx2">
                <a:lumMod val="40000"/>
                <a:lumOff val="60000"/>
              </a:schemeClr>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End-Use'!$H$65:$AA$65</c:f>
              <c:numCache>
                <c:formatCode>_(* #,##0_);_(* \(#,##0\);_(* "-"??_);_(@_)</c:formatCode>
                <c:ptCount val="20"/>
                <c:pt idx="0">
                  <c:v>0.76522341468604183</c:v>
                </c:pt>
                <c:pt idx="1">
                  <c:v>2.0325864303207997</c:v>
                </c:pt>
                <c:pt idx="2">
                  <c:v>3.5897665195073896</c:v>
                </c:pt>
                <c:pt idx="3">
                  <c:v>5.4638598775286038</c:v>
                </c:pt>
                <c:pt idx="4">
                  <c:v>7.7227159415140711</c:v>
                </c:pt>
                <c:pt idx="5">
                  <c:v>10.259784791092269</c:v>
                </c:pt>
                <c:pt idx="6">
                  <c:v>13.573986291591684</c:v>
                </c:pt>
                <c:pt idx="7">
                  <c:v>17.007349985624632</c:v>
                </c:pt>
                <c:pt idx="8">
                  <c:v>20.398299911459524</c:v>
                </c:pt>
                <c:pt idx="9">
                  <c:v>23.906910644186762</c:v>
                </c:pt>
                <c:pt idx="10">
                  <c:v>27.368554613615593</c:v>
                </c:pt>
                <c:pt idx="11">
                  <c:v>30.585696359972406</c:v>
                </c:pt>
                <c:pt idx="12">
                  <c:v>33.424589611245572</c:v>
                </c:pt>
                <c:pt idx="13">
                  <c:v>35.730487967101055</c:v>
                </c:pt>
                <c:pt idx="14">
                  <c:v>37.421748366484863</c:v>
                </c:pt>
                <c:pt idx="15">
                  <c:v>38.766893222476931</c:v>
                </c:pt>
                <c:pt idx="16">
                  <c:v>39.84991249508316</c:v>
                </c:pt>
                <c:pt idx="17">
                  <c:v>40.754364285632306</c:v>
                </c:pt>
                <c:pt idx="18">
                  <c:v>41.60024005528394</c:v>
                </c:pt>
                <c:pt idx="19">
                  <c:v>42.389320401093627</c:v>
                </c:pt>
              </c:numCache>
              <c:extLst/>
            </c:numRef>
          </c:val>
          <c:extLst>
            <c:ext xmlns:c16="http://schemas.microsoft.com/office/drawing/2014/chart" uri="{C3380CC4-5D6E-409C-BE32-E72D297353CC}">
              <c16:uniqueId val="{00000001-9B2F-4F49-B73F-C4F1D9BD4F2A}"/>
            </c:ext>
          </c:extLst>
        </c:ser>
        <c:ser>
          <c:idx val="1"/>
          <c:order val="3"/>
          <c:tx>
            <c:strRef>
              <c:f>'Savings by End-Use'!$B$64</c:f>
              <c:strCache>
                <c:ptCount val="1"/>
                <c:pt idx="0">
                  <c:v>Appliances</c:v>
                </c:pt>
              </c:strCache>
            </c:strRef>
          </c:tx>
          <c:spPr>
            <a:solidFill>
              <a:schemeClr val="accent1"/>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End-Use'!$H$64:$AA$64</c:f>
              <c:numCache>
                <c:formatCode>_(* #,##0_);_(* \(#,##0\);_(* "-"??_);_(@_)</c:formatCode>
                <c:ptCount val="20"/>
                <c:pt idx="0">
                  <c:v>0.76660717612763651</c:v>
                </c:pt>
                <c:pt idx="1">
                  <c:v>1.8481247617157641</c:v>
                </c:pt>
                <c:pt idx="2">
                  <c:v>3.3120013924185026</c:v>
                </c:pt>
                <c:pt idx="3">
                  <c:v>5.1395848516457354</c:v>
                </c:pt>
                <c:pt idx="4">
                  <c:v>7.3284628949734927</c:v>
                </c:pt>
                <c:pt idx="5">
                  <c:v>9.9613944067170745</c:v>
                </c:pt>
                <c:pt idx="6">
                  <c:v>12.909217280295529</c:v>
                </c:pt>
                <c:pt idx="7">
                  <c:v>16.069554342573745</c:v>
                </c:pt>
                <c:pt idx="8">
                  <c:v>19.363509235987795</c:v>
                </c:pt>
                <c:pt idx="9">
                  <c:v>22.712455830320867</c:v>
                </c:pt>
                <c:pt idx="10">
                  <c:v>26.066835309836403</c:v>
                </c:pt>
                <c:pt idx="11">
                  <c:v>29.391727320401845</c:v>
                </c:pt>
                <c:pt idx="12">
                  <c:v>32.536546732356598</c:v>
                </c:pt>
                <c:pt idx="13">
                  <c:v>35.760221946228775</c:v>
                </c:pt>
                <c:pt idx="14">
                  <c:v>38.981227016256604</c:v>
                </c:pt>
                <c:pt idx="15">
                  <c:v>42.130860413546948</c:v>
                </c:pt>
                <c:pt idx="16">
                  <c:v>45.318845509668556</c:v>
                </c:pt>
                <c:pt idx="17">
                  <c:v>48.387545347267377</c:v>
                </c:pt>
                <c:pt idx="18">
                  <c:v>51.369979437549674</c:v>
                </c:pt>
                <c:pt idx="19">
                  <c:v>54.283039975458003</c:v>
                </c:pt>
              </c:numCache>
              <c:extLst/>
            </c:numRef>
          </c:val>
          <c:extLst>
            <c:ext xmlns:c16="http://schemas.microsoft.com/office/drawing/2014/chart" uri="{C3380CC4-5D6E-409C-BE32-E72D297353CC}">
              <c16:uniqueId val="{00000002-9B2F-4F49-B73F-C4F1D9BD4F2A}"/>
            </c:ext>
          </c:extLst>
        </c:ser>
        <c:ser>
          <c:idx val="5"/>
          <c:order val="4"/>
          <c:tx>
            <c:strRef>
              <c:f>'Savings by End-Use'!$B$62</c:f>
              <c:strCache>
                <c:ptCount val="1"/>
                <c:pt idx="0">
                  <c:v>Interior Lighting</c:v>
                </c:pt>
              </c:strCache>
            </c:strRef>
          </c:tx>
          <c:spPr>
            <a:solidFill>
              <a:schemeClr val="accent4"/>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End-Use'!$H$62:$AA$62</c:f>
              <c:numCache>
                <c:formatCode>_(* #,##0_);_(* \(#,##0\);_(* "-"??_);_(@_)</c:formatCode>
                <c:ptCount val="20"/>
                <c:pt idx="0">
                  <c:v>1.6457657141905921</c:v>
                </c:pt>
                <c:pt idx="1">
                  <c:v>2.5559319298344847</c:v>
                </c:pt>
                <c:pt idx="2">
                  <c:v>3.49123295077827</c:v>
                </c:pt>
                <c:pt idx="3">
                  <c:v>4.3342724253231832</c:v>
                </c:pt>
                <c:pt idx="4">
                  <c:v>5.2907885683092832</c:v>
                </c:pt>
                <c:pt idx="5">
                  <c:v>6.2209440789406329</c:v>
                </c:pt>
                <c:pt idx="6">
                  <c:v>7.1190098899859056</c:v>
                </c:pt>
                <c:pt idx="7">
                  <c:v>7.9912573610327842</c:v>
                </c:pt>
                <c:pt idx="8">
                  <c:v>8.8261694057847517</c:v>
                </c:pt>
                <c:pt idx="9">
                  <c:v>9.6385450054924799</c:v>
                </c:pt>
                <c:pt idx="10">
                  <c:v>10.381661010562102</c:v>
                </c:pt>
                <c:pt idx="11">
                  <c:v>11.078268535692793</c:v>
                </c:pt>
                <c:pt idx="12">
                  <c:v>11.813514306457112</c:v>
                </c:pt>
                <c:pt idx="13">
                  <c:v>12.400248807816102</c:v>
                </c:pt>
                <c:pt idx="14">
                  <c:v>12.978652824034727</c:v>
                </c:pt>
                <c:pt idx="15">
                  <c:v>13.498852562839978</c:v>
                </c:pt>
                <c:pt idx="16">
                  <c:v>13.938359896377944</c:v>
                </c:pt>
                <c:pt idx="17">
                  <c:v>14.434550807679933</c:v>
                </c:pt>
                <c:pt idx="18">
                  <c:v>14.951998567788047</c:v>
                </c:pt>
                <c:pt idx="19">
                  <c:v>15.342728418185823</c:v>
                </c:pt>
              </c:numCache>
              <c:extLst/>
            </c:numRef>
          </c:val>
          <c:extLst>
            <c:ext xmlns:c16="http://schemas.microsoft.com/office/drawing/2014/chart" uri="{C3380CC4-5D6E-409C-BE32-E72D297353CC}">
              <c16:uniqueId val="{00000003-9B2F-4F49-B73F-C4F1D9BD4F2A}"/>
            </c:ext>
          </c:extLst>
        </c:ser>
        <c:ser>
          <c:idx val="0"/>
          <c:order val="5"/>
          <c:tx>
            <c:strRef>
              <c:f>'Savings by End-Use'!$B$63</c:f>
              <c:strCache>
                <c:ptCount val="1"/>
                <c:pt idx="0">
                  <c:v>Exterior Lighting</c:v>
                </c:pt>
              </c:strCache>
            </c:strRef>
          </c:tx>
          <c:spPr>
            <a:solidFill>
              <a:schemeClr val="accent4">
                <a:lumMod val="50000"/>
              </a:schemeClr>
            </a:solidFill>
            <a:ln w="19050">
              <a:solidFill>
                <a:schemeClr val="bg1"/>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End-Use'!$H$63:$AA$63</c:f>
              <c:numCache>
                <c:formatCode>_(* #,##0_);_(* \(#,##0\);_(* "-"??_);_(@_)</c:formatCode>
                <c:ptCount val="20"/>
                <c:pt idx="0">
                  <c:v>0.25760661514094341</c:v>
                </c:pt>
                <c:pt idx="1">
                  <c:v>0.49811185530167251</c:v>
                </c:pt>
                <c:pt idx="2">
                  <c:v>0.72663214723327596</c:v>
                </c:pt>
                <c:pt idx="3">
                  <c:v>0.94962391512090361</c:v>
                </c:pt>
                <c:pt idx="4">
                  <c:v>1.1763973661370319</c:v>
                </c:pt>
                <c:pt idx="5">
                  <c:v>1.3644639333577104</c:v>
                </c:pt>
                <c:pt idx="6">
                  <c:v>1.5130795043374077</c:v>
                </c:pt>
                <c:pt idx="7">
                  <c:v>1.6297770823302482</c:v>
                </c:pt>
                <c:pt idx="8">
                  <c:v>1.725047995030039</c:v>
                </c:pt>
                <c:pt idx="9">
                  <c:v>1.781033707933098</c:v>
                </c:pt>
                <c:pt idx="10">
                  <c:v>1.8137470095282147</c:v>
                </c:pt>
                <c:pt idx="11">
                  <c:v>1.8333281644614883</c:v>
                </c:pt>
                <c:pt idx="12">
                  <c:v>1.8391064178333849</c:v>
                </c:pt>
                <c:pt idx="13">
                  <c:v>1.8342676147395693</c:v>
                </c:pt>
                <c:pt idx="14">
                  <c:v>1.6567294343771304</c:v>
                </c:pt>
                <c:pt idx="15">
                  <c:v>1.6569746032992605</c:v>
                </c:pt>
                <c:pt idx="16">
                  <c:v>1.6317881670421615</c:v>
                </c:pt>
                <c:pt idx="17">
                  <c:v>1.6180688100396574</c:v>
                </c:pt>
                <c:pt idx="18">
                  <c:v>1.6065344860216042</c:v>
                </c:pt>
                <c:pt idx="19">
                  <c:v>1.578783683409906</c:v>
                </c:pt>
              </c:numCache>
              <c:extLst/>
            </c:numRef>
          </c:val>
          <c:extLst>
            <c:ext xmlns:c16="http://schemas.microsoft.com/office/drawing/2014/chart" uri="{C3380CC4-5D6E-409C-BE32-E72D297353CC}">
              <c16:uniqueId val="{00000004-9B2F-4F49-B73F-C4F1D9BD4F2A}"/>
            </c:ext>
          </c:extLst>
        </c:ser>
        <c:ser>
          <c:idx val="6"/>
          <c:order val="6"/>
          <c:tx>
            <c:strRef>
              <c:f>'Savings by End-Use'!$B$61</c:f>
              <c:strCache>
                <c:ptCount val="1"/>
                <c:pt idx="0">
                  <c:v>Water Heating</c:v>
                </c:pt>
              </c:strCache>
            </c:strRef>
          </c:tx>
          <c:spPr>
            <a:solidFill>
              <a:schemeClr val="accent5"/>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End-Use'!$H$61:$AA$61</c:f>
              <c:numCache>
                <c:formatCode>_(* #,##0_);_(* \(#,##0\);_(* "-"??_);_(@_)</c:formatCode>
                <c:ptCount val="20"/>
                <c:pt idx="0">
                  <c:v>1.0160029924529304</c:v>
                </c:pt>
                <c:pt idx="1">
                  <c:v>3.018145308540658</c:v>
                </c:pt>
                <c:pt idx="2">
                  <c:v>6.3341918658008272</c:v>
                </c:pt>
                <c:pt idx="3">
                  <c:v>11.251092834585922</c:v>
                </c:pt>
                <c:pt idx="4">
                  <c:v>8.7481906525909388</c:v>
                </c:pt>
                <c:pt idx="5">
                  <c:v>12.414031075298464</c:v>
                </c:pt>
                <c:pt idx="6">
                  <c:v>16.782746899603779</c:v>
                </c:pt>
                <c:pt idx="7">
                  <c:v>21.897564374673202</c:v>
                </c:pt>
                <c:pt idx="8">
                  <c:v>27.587769891056507</c:v>
                </c:pt>
                <c:pt idx="9">
                  <c:v>33.665425824749015</c:v>
                </c:pt>
                <c:pt idx="10">
                  <c:v>39.956646134616648</c:v>
                </c:pt>
                <c:pt idx="11">
                  <c:v>46.212105612847346</c:v>
                </c:pt>
                <c:pt idx="12">
                  <c:v>52.262648638502938</c:v>
                </c:pt>
                <c:pt idx="13">
                  <c:v>57.900422879590884</c:v>
                </c:pt>
                <c:pt idx="14">
                  <c:v>63.475998670432787</c:v>
                </c:pt>
                <c:pt idx="15">
                  <c:v>68.544092716189425</c:v>
                </c:pt>
                <c:pt idx="16">
                  <c:v>73.229218164028282</c:v>
                </c:pt>
                <c:pt idx="17">
                  <c:v>77.599487168432375</c:v>
                </c:pt>
                <c:pt idx="18">
                  <c:v>81.616795800143208</c:v>
                </c:pt>
                <c:pt idx="19">
                  <c:v>85.349509434261876</c:v>
                </c:pt>
              </c:numCache>
              <c:extLst/>
            </c:numRef>
          </c:val>
          <c:extLst>
            <c:ext xmlns:c16="http://schemas.microsoft.com/office/drawing/2014/chart" uri="{C3380CC4-5D6E-409C-BE32-E72D297353CC}">
              <c16:uniqueId val="{00000005-9B2F-4F49-B73F-C4F1D9BD4F2A}"/>
            </c:ext>
          </c:extLst>
        </c:ser>
        <c:ser>
          <c:idx val="7"/>
          <c:order val="7"/>
          <c:tx>
            <c:strRef>
              <c:f>'Savings by End-Use'!$B$60</c:f>
              <c:strCache>
                <c:ptCount val="1"/>
                <c:pt idx="0">
                  <c:v>Space Heating</c:v>
                </c:pt>
              </c:strCache>
            </c:strRef>
          </c:tx>
          <c:spPr>
            <a:solidFill>
              <a:srgbClr val="C00000"/>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End-Use'!$H$60:$AA$60</c:f>
              <c:numCache>
                <c:formatCode>_(* #,##0_);_(* \(#,##0\);_(* "-"??_);_(@_)</c:formatCode>
                <c:ptCount val="20"/>
                <c:pt idx="0">
                  <c:v>12.993388469174871</c:v>
                </c:pt>
                <c:pt idx="1">
                  <c:v>28.22955152599253</c:v>
                </c:pt>
                <c:pt idx="2">
                  <c:v>46.042652689166061</c:v>
                </c:pt>
                <c:pt idx="3">
                  <c:v>66.325861151761018</c:v>
                </c:pt>
                <c:pt idx="4">
                  <c:v>89.346974215463632</c:v>
                </c:pt>
                <c:pt idx="5">
                  <c:v>114.9445770734833</c:v>
                </c:pt>
                <c:pt idx="6">
                  <c:v>143.21623096949077</c:v>
                </c:pt>
                <c:pt idx="7">
                  <c:v>171.14570615710878</c:v>
                </c:pt>
                <c:pt idx="8">
                  <c:v>198.73034063972625</c:v>
                </c:pt>
                <c:pt idx="9">
                  <c:v>222.39819122376673</c:v>
                </c:pt>
                <c:pt idx="10">
                  <c:v>240.51396590177575</c:v>
                </c:pt>
                <c:pt idx="11">
                  <c:v>252.01606997655148</c:v>
                </c:pt>
                <c:pt idx="12">
                  <c:v>260.46758722590823</c:v>
                </c:pt>
                <c:pt idx="13">
                  <c:v>262.69258426577915</c:v>
                </c:pt>
                <c:pt idx="14">
                  <c:v>267.01574276126695</c:v>
                </c:pt>
                <c:pt idx="15">
                  <c:v>268.39016615153452</c:v>
                </c:pt>
                <c:pt idx="16">
                  <c:v>264.81956197514575</c:v>
                </c:pt>
                <c:pt idx="17">
                  <c:v>265.57285132554398</c:v>
                </c:pt>
                <c:pt idx="18">
                  <c:v>265.82853350845704</c:v>
                </c:pt>
                <c:pt idx="19">
                  <c:v>257.90620371693245</c:v>
                </c:pt>
              </c:numCache>
              <c:extLst/>
            </c:numRef>
          </c:val>
          <c:extLst>
            <c:ext xmlns:c16="http://schemas.microsoft.com/office/drawing/2014/chart" uri="{C3380CC4-5D6E-409C-BE32-E72D297353CC}">
              <c16:uniqueId val="{00000006-9B2F-4F49-B73F-C4F1D9BD4F2A}"/>
            </c:ext>
          </c:extLst>
        </c:ser>
        <c:ser>
          <c:idx val="9"/>
          <c:order val="8"/>
          <c:tx>
            <c:strRef>
              <c:f>'Savings by End-Use'!$B$59</c:f>
              <c:strCache>
                <c:ptCount val="1"/>
                <c:pt idx="0">
                  <c:v>Cooling</c:v>
                </c:pt>
              </c:strCache>
            </c:strRef>
          </c:tx>
          <c:spPr>
            <a:solidFill>
              <a:schemeClr val="accent6"/>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End-Use'!$H$59:$AA$59</c:f>
              <c:numCache>
                <c:formatCode>_(* #,##0_);_(* \(#,##0\);_(* "-"??_);_(@_)</c:formatCode>
                <c:ptCount val="20"/>
                <c:pt idx="0">
                  <c:v>2.6406459878297102</c:v>
                </c:pt>
                <c:pt idx="1">
                  <c:v>5.7329681093666238</c:v>
                </c:pt>
                <c:pt idx="2">
                  <c:v>9.3777376634164149</c:v>
                </c:pt>
                <c:pt idx="3">
                  <c:v>13.408076423477082</c:v>
                </c:pt>
                <c:pt idx="4">
                  <c:v>17.972500580627205</c:v>
                </c:pt>
                <c:pt idx="5">
                  <c:v>23.018651641892671</c:v>
                </c:pt>
                <c:pt idx="6">
                  <c:v>28.363218598481453</c:v>
                </c:pt>
                <c:pt idx="7">
                  <c:v>33.577431574250632</c:v>
                </c:pt>
                <c:pt idx="8">
                  <c:v>38.670152619543565</c:v>
                </c:pt>
                <c:pt idx="9">
                  <c:v>42.929212436372424</c:v>
                </c:pt>
                <c:pt idx="10">
                  <c:v>46.405528377537323</c:v>
                </c:pt>
                <c:pt idx="11">
                  <c:v>48.556213413513738</c:v>
                </c:pt>
                <c:pt idx="12">
                  <c:v>50.687368589835529</c:v>
                </c:pt>
                <c:pt idx="13">
                  <c:v>51.903912431076513</c:v>
                </c:pt>
                <c:pt idx="14">
                  <c:v>52.995049508347428</c:v>
                </c:pt>
                <c:pt idx="15">
                  <c:v>53.310467169521303</c:v>
                </c:pt>
                <c:pt idx="16">
                  <c:v>53.250398269679337</c:v>
                </c:pt>
                <c:pt idx="17">
                  <c:v>53.313801423173111</c:v>
                </c:pt>
                <c:pt idx="18">
                  <c:v>53.461295779364974</c:v>
                </c:pt>
                <c:pt idx="19">
                  <c:v>52.343703391208678</c:v>
                </c:pt>
              </c:numCache>
              <c:extLst/>
            </c:numRef>
          </c:val>
          <c:extLst xmlns:c15="http://schemas.microsoft.com/office/drawing/2012/chart">
            <c:ext xmlns:c16="http://schemas.microsoft.com/office/drawing/2014/chart" uri="{C3380CC4-5D6E-409C-BE32-E72D297353CC}">
              <c16:uniqueId val="{00000007-9B2F-4F49-B73F-C4F1D9BD4F2A}"/>
            </c:ext>
          </c:extLst>
        </c:ser>
        <c:dLbls>
          <c:showLegendKey val="0"/>
          <c:showVal val="0"/>
          <c:showCatName val="0"/>
          <c:showSerName val="0"/>
          <c:showPercent val="0"/>
          <c:showBubbleSize val="0"/>
        </c:dLbls>
        <c:axId val="489724408"/>
        <c:axId val="489714240"/>
        <c:extLst>
          <c:ext xmlns:c15="http://schemas.microsoft.com/office/drawing/2012/chart" uri="{02D57815-91ED-43cb-92C2-25804820EDAC}">
            <c15:filteredAreaSeries>
              <c15:ser>
                <c:idx val="8"/>
                <c:order val="0"/>
                <c:tx>
                  <c:strRef>
                    <c:extLst>
                      <c:ext uri="{02D57815-91ED-43cb-92C2-25804820EDAC}">
                        <c15:formulaRef>
                          <c15:sqref>'Savings by End-Use'!$B$58</c15:sqref>
                        </c15:formulaRef>
                      </c:ext>
                    </c:extLst>
                    <c:strCache>
                      <c:ptCount val="1"/>
                      <c:pt idx="0">
                        <c:v>Achievable Technical Potential Savings by End Use (MWh)</c:v>
                      </c:pt>
                    </c:strCache>
                  </c:strRef>
                </c:tx>
                <c:cat>
                  <c:numRef>
                    <c:extLst>
                      <c:ext uri="{02D57815-91ED-43cb-92C2-25804820EDAC}">
                        <c15:formulaRef>
                          <c15:sqref>'Savings by End-Use'!$H$58:$AA$58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c:ext uri="{02D57815-91ED-43cb-92C2-25804820EDAC}">
                        <c15:formulaRef>
                          <c15:sqref>'Savings by End-Use'!$H$58:$AA$58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val>
                <c:extLst>
                  <c:ext xmlns:c16="http://schemas.microsoft.com/office/drawing/2014/chart" uri="{C3380CC4-5D6E-409C-BE32-E72D297353CC}">
                    <c16:uniqueId val="{00000008-9B2F-4F49-B73F-C4F1D9BD4F2A}"/>
                  </c:ext>
                </c:extLst>
              </c15:ser>
            </c15:filteredAreaSeries>
            <c15:filteredAreaSeries>
              <c15:ser>
                <c:idx val="4"/>
                <c:order val="9"/>
                <c:tx>
                  <c:strRef>
                    <c:extLst xmlns:c15="http://schemas.microsoft.com/office/drawing/2012/chart">
                      <c:ext xmlns:c15="http://schemas.microsoft.com/office/drawing/2012/chart" uri="{02D57815-91ED-43cb-92C2-25804820EDAC}">
                        <c15:formulaRef>
                          <c15:sqref>'Savings by End-Use'!$B$67</c15:sqref>
                        </c15:formulaRef>
                      </c:ext>
                    </c:extLst>
                    <c:strCache>
                      <c:ptCount val="1"/>
                      <c:pt idx="0">
                        <c:v>Total</c:v>
                      </c:pt>
                    </c:strCache>
                  </c:strRef>
                </c:tx>
                <c:cat>
                  <c:numRef>
                    <c:extLst xmlns:c15="http://schemas.microsoft.com/office/drawing/2012/chart">
                      <c:ext xmlns:c15="http://schemas.microsoft.com/office/drawing/2012/chart" uri="{02D57815-91ED-43cb-92C2-25804820EDAC}">
                        <c15:formulaRef>
                          <c15:sqref>'Savings by End-Use'!$H$58:$AA$58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xmlns:c15="http://schemas.microsoft.com/office/drawing/2012/chart">
                      <c:ext xmlns:c15="http://schemas.microsoft.com/office/drawing/2012/chart" uri="{02D57815-91ED-43cb-92C2-25804820EDAC}">
                        <c15:formulaRef>
                          <c15:sqref>'Savings by End-Use'!$H$67:$AA$67</c15:sqref>
                        </c15:formulaRef>
                      </c:ext>
                    </c:extLst>
                    <c:numCache>
                      <c:formatCode>_(* #,##0_);_(* \(#,##0\);_(* "-"??_);_(@_)</c:formatCode>
                      <c:ptCount val="20"/>
                      <c:pt idx="0">
                        <c:v>22.88858283143756</c:v>
                      </c:pt>
                      <c:pt idx="1">
                        <c:v>50.020250708258743</c:v>
                      </c:pt>
                      <c:pt idx="2">
                        <c:v>82.932384216836795</c:v>
                      </c:pt>
                      <c:pt idx="3">
                        <c:v>121.51116329846684</c:v>
                      </c:pt>
                      <c:pt idx="4">
                        <c:v>157.50737002999333</c:v>
                      </c:pt>
                      <c:pt idx="5">
                        <c:v>204.36614898513679</c:v>
                      </c:pt>
                      <c:pt idx="6">
                        <c:v>256.70909496563036</c:v>
                      </c:pt>
                      <c:pt idx="7">
                        <c:v>310.11297987221468</c:v>
                      </c:pt>
                      <c:pt idx="8">
                        <c:v>364.00900243468567</c:v>
                      </c:pt>
                      <c:pt idx="9">
                        <c:v>413.49218875019329</c:v>
                      </c:pt>
                      <c:pt idx="10">
                        <c:v>456.30368890535794</c:v>
                      </c:pt>
                      <c:pt idx="11">
                        <c:v>490.28774457106272</c:v>
                      </c:pt>
                      <c:pt idx="12">
                        <c:v>519.94775149076338</c:v>
                      </c:pt>
                      <c:pt idx="13">
                        <c:v>540.81664067637325</c:v>
                      </c:pt>
                      <c:pt idx="14">
                        <c:v>562.85469709267591</c:v>
                      </c:pt>
                      <c:pt idx="15">
                        <c:v>579.53886433577031</c:v>
                      </c:pt>
                      <c:pt idx="16">
                        <c:v>589.52357703262032</c:v>
                      </c:pt>
                      <c:pt idx="17">
                        <c:v>603.29618942637092</c:v>
                      </c:pt>
                      <c:pt idx="18">
                        <c:v>615.81711324197772</c:v>
                      </c:pt>
                      <c:pt idx="19">
                        <c:v>616.67435680368794</c:v>
                      </c:pt>
                    </c:numCache>
                  </c:numRef>
                </c:val>
                <c:extLst xmlns:c15="http://schemas.microsoft.com/office/drawing/2012/chart">
                  <c:ext xmlns:c16="http://schemas.microsoft.com/office/drawing/2014/chart" uri="{C3380CC4-5D6E-409C-BE32-E72D297353CC}">
                    <c16:uniqueId val="{00000009-9B2F-4F49-B73F-C4F1D9BD4F2A}"/>
                  </c:ext>
                </c:extLst>
              </c15:ser>
            </c15:filteredAreaSeries>
          </c:ext>
        </c:extLst>
      </c:areaChart>
      <c:catAx>
        <c:axId val="489724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89714240"/>
        <c:crosses val="autoZero"/>
        <c:auto val="1"/>
        <c:lblAlgn val="ctr"/>
        <c:lblOffset val="100"/>
        <c:tickLblSkip val="2"/>
        <c:noMultiLvlLbl val="0"/>
      </c:catAx>
      <c:valAx>
        <c:axId val="489714240"/>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pPr>
                <a:r>
                  <a:rPr lang="en-US" b="0"/>
                  <a:t>GWh</a:t>
                </a:r>
              </a:p>
            </c:rich>
          </c:tx>
          <c:overlay val="0"/>
        </c:title>
        <c:numFmt formatCode="_(* #,##0_);_(* \(#,##0\);_(* &quot;-&quot;??_);_(@_)" sourceLinked="1"/>
        <c:majorTickMark val="none"/>
        <c:minorTickMark val="none"/>
        <c:tickLblPos val="nextTo"/>
        <c:spPr>
          <a:noFill/>
          <a:ln>
            <a:noFill/>
          </a:ln>
          <a:effectLst/>
        </c:spPr>
        <c:txPr>
          <a:bodyPr rot="-60000000" vert="horz"/>
          <a:lstStyle/>
          <a:p>
            <a:pPr>
              <a:defRPr/>
            </a:pPr>
            <a:endParaRPr lang="en-US"/>
          </a:p>
        </c:txPr>
        <c:crossAx val="489724408"/>
        <c:crosses val="autoZero"/>
        <c:crossBetween val="between"/>
      </c:valAx>
      <c:spPr>
        <a:noFill/>
      </c:spPr>
    </c:plotArea>
    <c:legend>
      <c:legendPos val="r"/>
      <c:layout>
        <c:manualLayout>
          <c:xMode val="edge"/>
          <c:yMode val="edge"/>
          <c:x val="0.76574528090835403"/>
          <c:y val="0.25423306021358377"/>
          <c:w val="0.22446611092570112"/>
          <c:h val="0.59679121282331249"/>
        </c:manualLayout>
      </c:layout>
      <c:overlay val="0"/>
      <c:spPr>
        <a:noFill/>
        <a:ln>
          <a:noFill/>
        </a:ln>
        <a:effectLst/>
      </c:spPr>
      <c:txPr>
        <a:bodyPr rot="0" vert="horz" anchor="ctr" anchorCtr="0"/>
        <a:lstStyle/>
        <a:p>
          <a:pPr>
            <a:defRPr/>
          </a:pPr>
          <a:endParaRPr lang="en-US"/>
        </a:p>
      </c:txPr>
    </c:legend>
    <c:plotVisOnly val="1"/>
    <c:dispBlanksAs val="zero"/>
    <c:showDLblsOverMax val="0"/>
    <c:extLst/>
  </c:chart>
  <c:spPr>
    <a:solidFill>
      <a:schemeClr val="bg1"/>
    </a:solidFill>
    <a:ln w="9525" cap="flat" cmpd="sng" algn="ctr">
      <a:noFill/>
      <a:round/>
    </a:ln>
    <a:effectLst/>
  </c:spPr>
  <c:txPr>
    <a:bodyPr/>
    <a:lstStyle/>
    <a:p>
      <a:pPr>
        <a:defRPr sz="900">
          <a:solidFill>
            <a:schemeClr val="tx1">
              <a:lumMod val="65000"/>
              <a:lumOff val="35000"/>
            </a:schemeClr>
          </a:solidFill>
          <a:latin typeface="+mn-lt"/>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Winter Peak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EC1F-4DA3-9CE3-FADABA96E164}"/>
              </c:ext>
            </c:extLst>
          </c:dPt>
          <c:dPt>
            <c:idx val="1"/>
            <c:bubble3D val="0"/>
            <c:spPr>
              <a:solidFill>
                <a:schemeClr val="accent2"/>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EC1F-4DA3-9CE3-FADABA96E164}"/>
              </c:ext>
            </c:extLst>
          </c:dPt>
          <c:dPt>
            <c:idx val="2"/>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EC1F-4DA3-9CE3-FADABA96E164}"/>
              </c:ext>
            </c:extLst>
          </c:dPt>
          <c:dLbls>
            <c:dLbl>
              <c:idx val="0"/>
              <c:layout>
                <c:manualLayout>
                  <c:x val="-0.17390560078295306"/>
                  <c:y val="-6.3152408440048283E-2"/>
                </c:manualLayout>
              </c:layout>
              <c:showLegendKey val="0"/>
              <c:showVal val="0"/>
              <c:showCatName val="1"/>
              <c:showSerName val="0"/>
              <c:showPercent val="1"/>
              <c:showBubbleSize val="0"/>
              <c:extLst>
                <c:ext xmlns:c15="http://schemas.microsoft.com/office/drawing/2012/chart" uri="{CE6537A1-D6FC-4f65-9D91-7224C49458BB}">
                  <c15:layout>
                    <c:manualLayout>
                      <c:w val="0.29816949152542371"/>
                      <c:h val="0.22272835112692763"/>
                    </c:manualLayout>
                  </c15:layout>
                </c:ext>
                <c:ext xmlns:c16="http://schemas.microsoft.com/office/drawing/2014/chart" uri="{C3380CC4-5D6E-409C-BE32-E72D297353CC}">
                  <c16:uniqueId val="{00000001-EC1F-4DA3-9CE3-FADABA96E164}"/>
                </c:ext>
              </c:extLst>
            </c:dLbl>
            <c:dLbl>
              <c:idx val="1"/>
              <c:layout>
                <c:manualLayout>
                  <c:x val="0.17787552827083053"/>
                  <c:y val="-2.8474234315016674E-2"/>
                </c:manualLayout>
              </c:layout>
              <c:tx>
                <c:rich>
                  <a:bodyPr/>
                  <a:lstStyle/>
                  <a:p>
                    <a:fld id="{817FB88E-242D-4150-8188-3EB6C9C1CCBD}" type="CATEGORYNAME">
                      <a:rPr lang="en-US">
                        <a:solidFill>
                          <a:schemeClr val="bg1"/>
                        </a:solidFill>
                      </a:rPr>
                      <a:pPr/>
                      <a:t>[CATEGORY NAME]</a:t>
                    </a:fld>
                    <a:r>
                      <a:rPr lang="en-US" baseline="0">
                        <a:solidFill>
                          <a:schemeClr val="bg1"/>
                        </a:solidFill>
                      </a:rPr>
                      <a:t>
</a:t>
                    </a:r>
                    <a:fld id="{1A2B1688-8605-491E-B1E6-C55ABFB83489}" type="PERCENTAGE">
                      <a:rPr lang="en-US" baseline="0">
                        <a:solidFill>
                          <a:schemeClr val="bg1"/>
                        </a:solidFill>
                      </a:rPr>
                      <a:pPr/>
                      <a:t>[PERCENTAGE]</a:t>
                    </a:fld>
                    <a:endParaRPr lang="en-US" baseline="0">
                      <a:solidFill>
                        <a:schemeClr val="bg1"/>
                      </a:solidFill>
                    </a:endParaRPr>
                  </a:p>
                </c:rich>
              </c:tx>
              <c:showLegendKey val="0"/>
              <c:showVal val="0"/>
              <c:showCatName val="1"/>
              <c:showSerName val="0"/>
              <c:showPercent val="1"/>
              <c:showBubbleSize val="0"/>
              <c:extLst>
                <c:ext xmlns:c15="http://schemas.microsoft.com/office/drawing/2012/chart" uri="{CE6537A1-D6FC-4f65-9D91-7224C49458BB}">
                  <c15:layout>
                    <c:manualLayout>
                      <c:w val="0.30018061301659332"/>
                      <c:h val="0.22272835112692763"/>
                    </c:manualLayout>
                  </c15:layout>
                  <c15:dlblFieldTable/>
                  <c15:showDataLabelsRange val="0"/>
                </c:ext>
                <c:ext xmlns:c16="http://schemas.microsoft.com/office/drawing/2014/chart" uri="{C3380CC4-5D6E-409C-BE32-E72D297353CC}">
                  <c16:uniqueId val="{00000003-EC1F-4DA3-9CE3-FADABA96E164}"/>
                </c:ext>
              </c:extLst>
            </c:dLbl>
            <c:dLbl>
              <c:idx val="2"/>
              <c:layout>
                <c:manualLayout>
                  <c:x val="-3.4233907202277682E-2"/>
                  <c:y val="3.852495306414100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C1F-4DA3-9CE3-FADABA96E1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'Market Overview'!$B$42:$B$44</c:f>
              <c:strCache>
                <c:ptCount val="3"/>
                <c:pt idx="0">
                  <c:v> Residential </c:v>
                </c:pt>
                <c:pt idx="1">
                  <c:v> Commercial </c:v>
                </c:pt>
                <c:pt idx="2">
                  <c:v> Industrial </c:v>
                </c:pt>
              </c:strCache>
            </c:strRef>
          </c:cat>
          <c:val>
            <c:numRef>
              <c:f>'Market Overview'!$E$42:$E$44</c:f>
              <c:numCache>
                <c:formatCode>_(* #,##0_);_(* \(#,##0\);_(* "-"??_);_(@_)</c:formatCode>
                <c:ptCount val="3"/>
                <c:pt idx="0">
                  <c:v>721.45705899999962</c:v>
                </c:pt>
                <c:pt idx="1">
                  <c:v>477.48685098653522</c:v>
                </c:pt>
                <c:pt idx="2">
                  <c:v>115.80879162612112</c:v>
                </c:pt>
              </c:numCache>
            </c:numRef>
          </c:val>
          <c:extLst>
            <c:ext xmlns:c16="http://schemas.microsoft.com/office/drawing/2014/chart" uri="{C3380CC4-5D6E-409C-BE32-E72D297353CC}">
              <c16:uniqueId val="{00000006-EC1F-4DA3-9CE3-FADABA96E16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1348288734091"/>
          <c:y val="8.6925367608335566E-2"/>
          <c:w val="0.6123580672653598"/>
          <c:h val="0.77787008991123774"/>
        </c:manualLayout>
      </c:layout>
      <c:areaChart>
        <c:grouping val="stacked"/>
        <c:varyColors val="0"/>
        <c:ser>
          <c:idx val="3"/>
          <c:order val="1"/>
          <c:tx>
            <c:strRef>
              <c:f>'Savings by End-Use'!$B$66</c:f>
              <c:strCache>
                <c:ptCount val="1"/>
                <c:pt idx="0">
                  <c:v>Miscellaneous</c:v>
                </c:pt>
              </c:strCache>
            </c:strRef>
          </c:tx>
          <c:spPr>
            <a:solidFill>
              <a:schemeClr val="bg1">
                <a:lumMod val="50000"/>
              </a:schemeClr>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End-Use'!$H$66:$AA$66</c:f>
              <c:numCache>
                <c:formatCode>_(* #,##0_);_(* \(#,##0\);_(* "-"??_);_(@_)</c:formatCode>
                <c:ptCount val="20"/>
                <c:pt idx="0">
                  <c:v>1.0600728477129135</c:v>
                </c:pt>
                <c:pt idx="1">
                  <c:v>2.3088320905614204</c:v>
                </c:pt>
                <c:pt idx="2">
                  <c:v>3.7991461352728795</c:v>
                </c:pt>
                <c:pt idx="3">
                  <c:v>5.5121241075939045</c:v>
                </c:pt>
                <c:pt idx="4">
                  <c:v>7.4729207998830081</c:v>
                </c:pt>
                <c:pt idx="5">
                  <c:v>9.8234501680567856</c:v>
                </c:pt>
                <c:pt idx="6">
                  <c:v>12.440851437929393</c:v>
                </c:pt>
                <c:pt idx="7">
                  <c:v>15.199186872622859</c:v>
                </c:pt>
                <c:pt idx="8">
                  <c:v>17.921356056837581</c:v>
                </c:pt>
                <c:pt idx="9">
                  <c:v>20.438858208561083</c:v>
                </c:pt>
                <c:pt idx="10">
                  <c:v>22.643295753238714</c:v>
                </c:pt>
                <c:pt idx="11">
                  <c:v>24.491006443219177</c:v>
                </c:pt>
                <c:pt idx="12">
                  <c:v>26.030492971463225</c:v>
                </c:pt>
                <c:pt idx="13">
                  <c:v>27.309928284266071</c:v>
                </c:pt>
                <c:pt idx="14">
                  <c:v>28.525449849973022</c:v>
                </c:pt>
                <c:pt idx="15">
                  <c:v>29.652565843328041</c:v>
                </c:pt>
                <c:pt idx="16">
                  <c:v>30.626196311407323</c:v>
                </c:pt>
                <c:pt idx="17">
                  <c:v>31.62319074800164</c:v>
                </c:pt>
                <c:pt idx="18">
                  <c:v>32.618127738853509</c:v>
                </c:pt>
                <c:pt idx="19">
                  <c:v>33.521772537453714</c:v>
                </c:pt>
              </c:numCache>
              <c:extLst/>
            </c:numRef>
          </c:val>
          <c:extLst>
            <c:ext xmlns:c16="http://schemas.microsoft.com/office/drawing/2014/chart" uri="{C3380CC4-5D6E-409C-BE32-E72D297353CC}">
              <c16:uniqueId val="{00000000-0E59-4F7E-8733-F4F35C502F7F}"/>
            </c:ext>
          </c:extLst>
        </c:ser>
        <c:ser>
          <c:idx val="2"/>
          <c:order val="2"/>
          <c:tx>
            <c:strRef>
              <c:f>'Savings by End-Use'!$B$65</c:f>
              <c:strCache>
                <c:ptCount val="1"/>
                <c:pt idx="0">
                  <c:v>Electronics</c:v>
                </c:pt>
              </c:strCache>
            </c:strRef>
          </c:tx>
          <c:spPr>
            <a:solidFill>
              <a:schemeClr val="tx2">
                <a:lumMod val="40000"/>
                <a:lumOff val="60000"/>
              </a:schemeClr>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End-Use'!$H$65:$AA$65</c:f>
              <c:numCache>
                <c:formatCode>_(* #,##0_);_(* \(#,##0\);_(* "-"??_);_(@_)</c:formatCode>
                <c:ptCount val="20"/>
                <c:pt idx="0">
                  <c:v>0.49654929781118468</c:v>
                </c:pt>
                <c:pt idx="1">
                  <c:v>1.3244761771334939</c:v>
                </c:pt>
                <c:pt idx="2">
                  <c:v>2.3175499874771286</c:v>
                </c:pt>
                <c:pt idx="3">
                  <c:v>3.4779790169575264</c:v>
                </c:pt>
                <c:pt idx="4">
                  <c:v>4.8505415222224171</c:v>
                </c:pt>
                <c:pt idx="5">
                  <c:v>6.3513833954783907</c:v>
                </c:pt>
                <c:pt idx="6">
                  <c:v>8.3119948065512812</c:v>
                </c:pt>
                <c:pt idx="7">
                  <c:v>10.284486364973096</c:v>
                </c:pt>
                <c:pt idx="8">
                  <c:v>12.182360603948334</c:v>
                </c:pt>
                <c:pt idx="9">
                  <c:v>14.151018540964291</c:v>
                </c:pt>
                <c:pt idx="10">
                  <c:v>16.104519882561014</c:v>
                </c:pt>
                <c:pt idx="11">
                  <c:v>17.932860876232272</c:v>
                </c:pt>
                <c:pt idx="12">
                  <c:v>19.56156507522601</c:v>
                </c:pt>
                <c:pt idx="13">
                  <c:v>20.892428852180512</c:v>
                </c:pt>
                <c:pt idx="14">
                  <c:v>21.868299517974371</c:v>
                </c:pt>
                <c:pt idx="15">
                  <c:v>22.663728754371448</c:v>
                </c:pt>
                <c:pt idx="16">
                  <c:v>23.319430419407219</c:v>
                </c:pt>
                <c:pt idx="17">
                  <c:v>23.882890954397762</c:v>
                </c:pt>
                <c:pt idx="18">
                  <c:v>24.419490132264155</c:v>
                </c:pt>
                <c:pt idx="19">
                  <c:v>24.925994780730807</c:v>
                </c:pt>
              </c:numCache>
              <c:extLst/>
            </c:numRef>
          </c:val>
          <c:extLst>
            <c:ext xmlns:c16="http://schemas.microsoft.com/office/drawing/2014/chart" uri="{C3380CC4-5D6E-409C-BE32-E72D297353CC}">
              <c16:uniqueId val="{00000001-0E59-4F7E-8733-F4F35C502F7F}"/>
            </c:ext>
          </c:extLst>
        </c:ser>
        <c:ser>
          <c:idx val="1"/>
          <c:order val="3"/>
          <c:tx>
            <c:strRef>
              <c:f>'Savings by End-Use'!$B$64</c:f>
              <c:strCache>
                <c:ptCount val="1"/>
                <c:pt idx="0">
                  <c:v>Appliances</c:v>
                </c:pt>
              </c:strCache>
            </c:strRef>
          </c:tx>
          <c:spPr>
            <a:solidFill>
              <a:schemeClr val="accent1"/>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End-Use'!$H$64:$AA$64</c:f>
              <c:numCache>
                <c:formatCode>_(* #,##0_);_(* \(#,##0\);_(* "-"??_);_(@_)</c:formatCode>
                <c:ptCount val="20"/>
                <c:pt idx="0">
                  <c:v>0.40209838537756293</c:v>
                </c:pt>
                <c:pt idx="1">
                  <c:v>0.93662108445949677</c:v>
                </c:pt>
                <c:pt idx="2">
                  <c:v>1.6299799472029091</c:v>
                </c:pt>
                <c:pt idx="3">
                  <c:v>2.4864069063642118</c:v>
                </c:pt>
                <c:pt idx="4">
                  <c:v>3.463689427707072</c:v>
                </c:pt>
                <c:pt idx="5">
                  <c:v>4.6474912630470868</c:v>
                </c:pt>
                <c:pt idx="6">
                  <c:v>5.9933305567726292</c:v>
                </c:pt>
                <c:pt idx="7">
                  <c:v>7.4451699642160483</c:v>
                </c:pt>
                <c:pt idx="8">
                  <c:v>8.962915856819027</c:v>
                </c:pt>
                <c:pt idx="9">
                  <c:v>10.503602857842923</c:v>
                </c:pt>
                <c:pt idx="10">
                  <c:v>12.036173568813725</c:v>
                </c:pt>
                <c:pt idx="11">
                  <c:v>13.547578861927416</c:v>
                </c:pt>
                <c:pt idx="12">
                  <c:v>15.036950152416818</c:v>
                </c:pt>
                <c:pt idx="13">
                  <c:v>16.573079261783764</c:v>
                </c:pt>
                <c:pt idx="14">
                  <c:v>18.164532378783374</c:v>
                </c:pt>
                <c:pt idx="15">
                  <c:v>19.774314043477823</c:v>
                </c:pt>
                <c:pt idx="16">
                  <c:v>21.493059633633841</c:v>
                </c:pt>
                <c:pt idx="17">
                  <c:v>23.215432983660097</c:v>
                </c:pt>
                <c:pt idx="18">
                  <c:v>24.927911187297063</c:v>
                </c:pt>
                <c:pt idx="19">
                  <c:v>26.630316828761497</c:v>
                </c:pt>
              </c:numCache>
              <c:extLst/>
            </c:numRef>
          </c:val>
          <c:extLst>
            <c:ext xmlns:c16="http://schemas.microsoft.com/office/drawing/2014/chart" uri="{C3380CC4-5D6E-409C-BE32-E72D297353CC}">
              <c16:uniqueId val="{00000002-0E59-4F7E-8733-F4F35C502F7F}"/>
            </c:ext>
          </c:extLst>
        </c:ser>
        <c:ser>
          <c:idx val="5"/>
          <c:order val="4"/>
          <c:tx>
            <c:strRef>
              <c:f>'Savings by End-Use'!$B$62</c:f>
              <c:strCache>
                <c:ptCount val="1"/>
                <c:pt idx="0">
                  <c:v>Interior Lighting</c:v>
                </c:pt>
              </c:strCache>
            </c:strRef>
          </c:tx>
          <c:spPr>
            <a:solidFill>
              <a:schemeClr val="accent4"/>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End-Use'!$H$62:$AA$62</c:f>
              <c:numCache>
                <c:formatCode>_(* #,##0_);_(* \(#,##0\);_(* "-"??_);_(@_)</c:formatCode>
                <c:ptCount val="20"/>
                <c:pt idx="0">
                  <c:v>0.66877399690451844</c:v>
                </c:pt>
                <c:pt idx="1">
                  <c:v>1.3511418759893301</c:v>
                </c:pt>
                <c:pt idx="2">
                  <c:v>1.9888499133705686</c:v>
                </c:pt>
                <c:pt idx="3">
                  <c:v>2.5901464239646321</c:v>
                </c:pt>
                <c:pt idx="4">
                  <c:v>3.2876977092471167</c:v>
                </c:pt>
                <c:pt idx="5">
                  <c:v>3.9673077143368589</c:v>
                </c:pt>
                <c:pt idx="6">
                  <c:v>4.6511121603891654</c:v>
                </c:pt>
                <c:pt idx="7">
                  <c:v>5.3103647959691083</c:v>
                </c:pt>
                <c:pt idx="8">
                  <c:v>5.9300367883845126</c:v>
                </c:pt>
                <c:pt idx="9">
                  <c:v>6.540893654441418</c:v>
                </c:pt>
                <c:pt idx="10">
                  <c:v>7.1100188121801295</c:v>
                </c:pt>
                <c:pt idx="11">
                  <c:v>7.6321968273365455</c:v>
                </c:pt>
                <c:pt idx="12">
                  <c:v>8.1463966249242308</c:v>
                </c:pt>
                <c:pt idx="13">
                  <c:v>8.604471229704048</c:v>
                </c:pt>
                <c:pt idx="14">
                  <c:v>9.0443494157961535</c:v>
                </c:pt>
                <c:pt idx="15">
                  <c:v>9.4783174912451535</c:v>
                </c:pt>
                <c:pt idx="16">
                  <c:v>9.8513277137611723</c:v>
                </c:pt>
                <c:pt idx="17">
                  <c:v>10.257595201828249</c:v>
                </c:pt>
                <c:pt idx="18">
                  <c:v>10.683769985035157</c:v>
                </c:pt>
                <c:pt idx="19">
                  <c:v>11.078977413092492</c:v>
                </c:pt>
              </c:numCache>
              <c:extLst/>
            </c:numRef>
          </c:val>
          <c:extLst>
            <c:ext xmlns:c16="http://schemas.microsoft.com/office/drawing/2014/chart" uri="{C3380CC4-5D6E-409C-BE32-E72D297353CC}">
              <c16:uniqueId val="{00000003-0E59-4F7E-8733-F4F35C502F7F}"/>
            </c:ext>
          </c:extLst>
        </c:ser>
        <c:ser>
          <c:idx val="0"/>
          <c:order val="5"/>
          <c:tx>
            <c:strRef>
              <c:f>'Savings by End-Use'!$B$63</c:f>
              <c:strCache>
                <c:ptCount val="1"/>
                <c:pt idx="0">
                  <c:v>Exterior Lighting</c:v>
                </c:pt>
              </c:strCache>
            </c:strRef>
          </c:tx>
          <c:spPr>
            <a:solidFill>
              <a:schemeClr val="accent4">
                <a:lumMod val="50000"/>
              </a:schemeClr>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End-Use'!$H$63:$AA$63</c:f>
              <c:numCache>
                <c:formatCode>_(* #,##0_);_(* \(#,##0\);_(* "-"??_);_(@_)</c:formatCode>
                <c:ptCount val="20"/>
                <c:pt idx="0">
                  <c:v>0.15068418398564531</c:v>
                </c:pt>
                <c:pt idx="1">
                  <c:v>0.28595441227354584</c:v>
                </c:pt>
                <c:pt idx="2">
                  <c:v>0.43432530008462372</c:v>
                </c:pt>
                <c:pt idx="3">
                  <c:v>0.58320066709013763</c:v>
                </c:pt>
                <c:pt idx="4">
                  <c:v>0.73617679422572635</c:v>
                </c:pt>
                <c:pt idx="5">
                  <c:v>0.86273648624703592</c:v>
                </c:pt>
                <c:pt idx="6">
                  <c:v>0.96665031379717803</c:v>
                </c:pt>
                <c:pt idx="7">
                  <c:v>1.0533400404593356</c:v>
                </c:pt>
                <c:pt idx="8">
                  <c:v>1.1233770775632006</c:v>
                </c:pt>
                <c:pt idx="9">
                  <c:v>1.1683767259498761</c:v>
                </c:pt>
                <c:pt idx="10">
                  <c:v>1.1986754491931184</c:v>
                </c:pt>
                <c:pt idx="11">
                  <c:v>1.2165564545598526</c:v>
                </c:pt>
                <c:pt idx="12">
                  <c:v>1.2232781779126292</c:v>
                </c:pt>
                <c:pt idx="13">
                  <c:v>1.2219738659156099</c:v>
                </c:pt>
                <c:pt idx="14">
                  <c:v>1.1064448178206843</c:v>
                </c:pt>
                <c:pt idx="15">
                  <c:v>1.1100849715881458</c:v>
                </c:pt>
                <c:pt idx="16">
                  <c:v>1.0957062110754747</c:v>
                </c:pt>
                <c:pt idx="17">
                  <c:v>1.0878984080151251</c:v>
                </c:pt>
                <c:pt idx="18">
                  <c:v>1.0823257745409938</c:v>
                </c:pt>
                <c:pt idx="19">
                  <c:v>1.0718432595687795</c:v>
                </c:pt>
              </c:numCache>
              <c:extLst/>
            </c:numRef>
          </c:val>
          <c:extLst>
            <c:ext xmlns:c16="http://schemas.microsoft.com/office/drawing/2014/chart" uri="{C3380CC4-5D6E-409C-BE32-E72D297353CC}">
              <c16:uniqueId val="{00000004-0E59-4F7E-8733-F4F35C502F7F}"/>
            </c:ext>
          </c:extLst>
        </c:ser>
        <c:ser>
          <c:idx val="6"/>
          <c:order val="6"/>
          <c:tx>
            <c:strRef>
              <c:f>'Savings by End-Use'!$B$61</c:f>
              <c:strCache>
                <c:ptCount val="1"/>
                <c:pt idx="0">
                  <c:v>Water Heating</c:v>
                </c:pt>
              </c:strCache>
            </c:strRef>
          </c:tx>
          <c:spPr>
            <a:solidFill>
              <a:schemeClr val="accent5"/>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End-Use'!$H$61:$AA$61</c:f>
              <c:numCache>
                <c:formatCode>_(* #,##0_);_(* \(#,##0\);_(* "-"??_);_(@_)</c:formatCode>
                <c:ptCount val="20"/>
                <c:pt idx="0">
                  <c:v>1.9405038435049526</c:v>
                </c:pt>
                <c:pt idx="1">
                  <c:v>4.3747724691684802</c:v>
                </c:pt>
                <c:pt idx="2">
                  <c:v>7.4536093224497169</c:v>
                </c:pt>
                <c:pt idx="3">
                  <c:v>11.313444642176274</c:v>
                </c:pt>
                <c:pt idx="4">
                  <c:v>10.467586005716798</c:v>
                </c:pt>
                <c:pt idx="5">
                  <c:v>12.721103323824643</c:v>
                </c:pt>
                <c:pt idx="6">
                  <c:v>14.894544251349005</c:v>
                </c:pt>
                <c:pt idx="7">
                  <c:v>17.012830496803971</c:v>
                </c:pt>
                <c:pt idx="8">
                  <c:v>19.047646062480307</c:v>
                </c:pt>
                <c:pt idx="9">
                  <c:v>20.95457192254127</c:v>
                </c:pt>
                <c:pt idx="10">
                  <c:v>22.664336389109987</c:v>
                </c:pt>
                <c:pt idx="11">
                  <c:v>24.160274590924708</c:v>
                </c:pt>
                <c:pt idx="12">
                  <c:v>25.423732865471436</c:v>
                </c:pt>
                <c:pt idx="13">
                  <c:v>26.411331041308109</c:v>
                </c:pt>
                <c:pt idx="14">
                  <c:v>27.063211854652586</c:v>
                </c:pt>
                <c:pt idx="15">
                  <c:v>27.586932866447977</c:v>
                </c:pt>
                <c:pt idx="16">
                  <c:v>27.95570795132933</c:v>
                </c:pt>
                <c:pt idx="17">
                  <c:v>28.336093530870993</c:v>
                </c:pt>
                <c:pt idx="18">
                  <c:v>28.676704854901711</c:v>
                </c:pt>
                <c:pt idx="19">
                  <c:v>28.98232659326359</c:v>
                </c:pt>
              </c:numCache>
              <c:extLst/>
            </c:numRef>
          </c:val>
          <c:extLst>
            <c:ext xmlns:c16="http://schemas.microsoft.com/office/drawing/2014/chart" uri="{C3380CC4-5D6E-409C-BE32-E72D297353CC}">
              <c16:uniqueId val="{00000005-0E59-4F7E-8733-F4F35C502F7F}"/>
            </c:ext>
          </c:extLst>
        </c:ser>
        <c:ser>
          <c:idx val="7"/>
          <c:order val="7"/>
          <c:tx>
            <c:strRef>
              <c:f>'Savings by End-Use'!$B$60</c:f>
              <c:strCache>
                <c:ptCount val="1"/>
                <c:pt idx="0">
                  <c:v>Space Heating</c:v>
                </c:pt>
              </c:strCache>
            </c:strRef>
          </c:tx>
          <c:spPr>
            <a:solidFill>
              <a:srgbClr val="C00000"/>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End-Use'!$H$60:$AA$60</c:f>
              <c:numCache>
                <c:formatCode>_(* #,##0_);_(* \(#,##0\);_(* "-"??_);_(@_)</c:formatCode>
                <c:ptCount val="20"/>
                <c:pt idx="0">
                  <c:v>5.7950759769662987</c:v>
                </c:pt>
                <c:pt idx="1">
                  <c:v>12.630155539859087</c:v>
                </c:pt>
                <c:pt idx="2">
                  <c:v>20.637977635185546</c:v>
                </c:pt>
                <c:pt idx="3">
                  <c:v>29.725777084970872</c:v>
                </c:pt>
                <c:pt idx="4">
                  <c:v>40.018867463254878</c:v>
                </c:pt>
                <c:pt idx="5">
                  <c:v>51.51389175912</c:v>
                </c:pt>
                <c:pt idx="6">
                  <c:v>64.300263880051062</c:v>
                </c:pt>
                <c:pt idx="7">
                  <c:v>76.936418545823315</c:v>
                </c:pt>
                <c:pt idx="8">
                  <c:v>88.896148250057067</c:v>
                </c:pt>
                <c:pt idx="9">
                  <c:v>99.5559138261779</c:v>
                </c:pt>
                <c:pt idx="10">
                  <c:v>108.37797475036515</c:v>
                </c:pt>
                <c:pt idx="11">
                  <c:v>113.86487327873884</c:v>
                </c:pt>
                <c:pt idx="12">
                  <c:v>118.15926132833459</c:v>
                </c:pt>
                <c:pt idx="13">
                  <c:v>120.0607923152392</c:v>
                </c:pt>
                <c:pt idx="14">
                  <c:v>122.59949582591653</c:v>
                </c:pt>
                <c:pt idx="15">
                  <c:v>124.71831366405036</c:v>
                </c:pt>
                <c:pt idx="16">
                  <c:v>124.32223909874865</c:v>
                </c:pt>
                <c:pt idx="17">
                  <c:v>125.42473267394958</c:v>
                </c:pt>
                <c:pt idx="18">
                  <c:v>126.39516215525155</c:v>
                </c:pt>
                <c:pt idx="19">
                  <c:v>125.38169097676825</c:v>
                </c:pt>
              </c:numCache>
              <c:extLst/>
            </c:numRef>
          </c:val>
          <c:extLst>
            <c:ext xmlns:c16="http://schemas.microsoft.com/office/drawing/2014/chart" uri="{C3380CC4-5D6E-409C-BE32-E72D297353CC}">
              <c16:uniqueId val="{00000006-0E59-4F7E-8733-F4F35C502F7F}"/>
            </c:ext>
          </c:extLst>
        </c:ser>
        <c:ser>
          <c:idx val="9"/>
          <c:order val="8"/>
          <c:tx>
            <c:strRef>
              <c:f>'Savings by End-Use'!$B$59</c:f>
              <c:strCache>
                <c:ptCount val="1"/>
                <c:pt idx="0">
                  <c:v>Cooling</c:v>
                </c:pt>
              </c:strCache>
            </c:strRef>
          </c:tx>
          <c:spPr>
            <a:solidFill>
              <a:schemeClr val="accent6"/>
            </a:solidFill>
            <a:ln w="9525">
              <a:solidFill>
                <a:srgbClr val="F6F6F7"/>
              </a:solidFill>
            </a:ln>
            <a:effectLst>
              <a:outerShdw blurRad="50800" dist="38100" dir="2700000" algn="tl" rotWithShape="0">
                <a:prstClr val="black">
                  <a:alpha val="40000"/>
                </a:prstClr>
              </a:outerShdw>
            </a:effectLst>
          </c:spPr>
          <c:cat>
            <c:numRef>
              <c:f>'Savings by End-Use'!$H$58:$AA$58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End-Use'!$H$59:$AA$59</c:f>
              <c:numCache>
                <c:formatCode>_(* #,##0_);_(* \(#,##0\);_(* "-"??_);_(@_)</c:formatCode>
                <c:ptCount val="20"/>
                <c:pt idx="0">
                  <c:v>1.0995158487963825</c:v>
                </c:pt>
                <c:pt idx="1">
                  <c:v>2.4013417150965952</c:v>
                </c:pt>
                <c:pt idx="2">
                  <c:v>3.942732310779947</c:v>
                </c:pt>
                <c:pt idx="3">
                  <c:v>5.6338602117784093</c:v>
                </c:pt>
                <c:pt idx="4">
                  <c:v>7.5267383323779091</c:v>
                </c:pt>
                <c:pt idx="5">
                  <c:v>9.6161521936061849</c:v>
                </c:pt>
                <c:pt idx="6">
                  <c:v>11.828389600998834</c:v>
                </c:pt>
                <c:pt idx="7">
                  <c:v>13.964754057092803</c:v>
                </c:pt>
                <c:pt idx="8">
                  <c:v>15.933722958401818</c:v>
                </c:pt>
                <c:pt idx="9">
                  <c:v>17.619863625087387</c:v>
                </c:pt>
                <c:pt idx="10">
                  <c:v>19.07517142201695</c:v>
                </c:pt>
                <c:pt idx="11">
                  <c:v>19.909798133388485</c:v>
                </c:pt>
                <c:pt idx="12">
                  <c:v>20.750208850573266</c:v>
                </c:pt>
                <c:pt idx="13">
                  <c:v>21.279011427188667</c:v>
                </c:pt>
                <c:pt idx="14">
                  <c:v>21.696891453467313</c:v>
                </c:pt>
                <c:pt idx="15">
                  <c:v>21.95792274466632</c:v>
                </c:pt>
                <c:pt idx="16">
                  <c:v>22.023785616182519</c:v>
                </c:pt>
                <c:pt idx="17">
                  <c:v>22.044653909480918</c:v>
                </c:pt>
                <c:pt idx="18">
                  <c:v>22.121105391976901</c:v>
                </c:pt>
                <c:pt idx="19">
                  <c:v>22.013443026425151</c:v>
                </c:pt>
              </c:numCache>
              <c:extLst/>
            </c:numRef>
          </c:val>
          <c:extLst xmlns:c15="http://schemas.microsoft.com/office/drawing/2012/chart">
            <c:ext xmlns:c16="http://schemas.microsoft.com/office/drawing/2014/chart" uri="{C3380CC4-5D6E-409C-BE32-E72D297353CC}">
              <c16:uniqueId val="{00000007-0E59-4F7E-8733-F4F35C502F7F}"/>
            </c:ext>
          </c:extLst>
        </c:ser>
        <c:dLbls>
          <c:showLegendKey val="0"/>
          <c:showVal val="0"/>
          <c:showCatName val="0"/>
          <c:showSerName val="0"/>
          <c:showPercent val="0"/>
          <c:showBubbleSize val="0"/>
        </c:dLbls>
        <c:axId val="489724408"/>
        <c:axId val="489714240"/>
        <c:extLst>
          <c:ext xmlns:c15="http://schemas.microsoft.com/office/drawing/2012/chart" uri="{02D57815-91ED-43cb-92C2-25804820EDAC}">
            <c15:filteredAreaSeries>
              <c15:ser>
                <c:idx val="8"/>
                <c:order val="0"/>
                <c:tx>
                  <c:strRef>
                    <c:extLst>
                      <c:ext uri="{02D57815-91ED-43cb-92C2-25804820EDAC}">
                        <c15:formulaRef>
                          <c15:sqref>'Savings by End-Use'!$B$58</c15:sqref>
                        </c15:formulaRef>
                      </c:ext>
                    </c:extLst>
                    <c:strCache>
                      <c:ptCount val="1"/>
                      <c:pt idx="0">
                        <c:v>Achievable Technical Potential Savings by End Use (MWh)</c:v>
                      </c:pt>
                    </c:strCache>
                  </c:strRef>
                </c:tx>
                <c:cat>
                  <c:numRef>
                    <c:extLst>
                      <c:ext uri="{02D57815-91ED-43cb-92C2-25804820EDAC}">
                        <c15:formulaRef>
                          <c15:sqref>'Savings by End-Use'!$H$58:$AA$58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c:ext uri="{02D57815-91ED-43cb-92C2-25804820EDAC}">
                        <c15:formulaRef>
                          <c15:sqref>'Savings by End-Use'!$H$58:$AA$58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val>
                <c:extLst>
                  <c:ext xmlns:c16="http://schemas.microsoft.com/office/drawing/2014/chart" uri="{C3380CC4-5D6E-409C-BE32-E72D297353CC}">
                    <c16:uniqueId val="{00000008-0E59-4F7E-8733-F4F35C502F7F}"/>
                  </c:ext>
                </c:extLst>
              </c15:ser>
            </c15:filteredAreaSeries>
            <c15:filteredAreaSeries>
              <c15:ser>
                <c:idx val="4"/>
                <c:order val="9"/>
                <c:tx>
                  <c:strRef>
                    <c:extLst xmlns:c15="http://schemas.microsoft.com/office/drawing/2012/chart">
                      <c:ext xmlns:c15="http://schemas.microsoft.com/office/drawing/2012/chart" uri="{02D57815-91ED-43cb-92C2-25804820EDAC}">
                        <c15:formulaRef>
                          <c15:sqref>'Savings by End-Use'!$B$67</c15:sqref>
                        </c15:formulaRef>
                      </c:ext>
                    </c:extLst>
                    <c:strCache>
                      <c:ptCount val="1"/>
                      <c:pt idx="0">
                        <c:v>Total</c:v>
                      </c:pt>
                    </c:strCache>
                  </c:strRef>
                </c:tx>
                <c:cat>
                  <c:numRef>
                    <c:extLst xmlns:c15="http://schemas.microsoft.com/office/drawing/2012/chart">
                      <c:ext xmlns:c15="http://schemas.microsoft.com/office/drawing/2012/chart" uri="{02D57815-91ED-43cb-92C2-25804820EDAC}">
                        <c15:formulaRef>
                          <c15:sqref>'Savings by End-Use'!$H$58:$AA$58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xmlns:c15="http://schemas.microsoft.com/office/drawing/2012/chart">
                      <c:ext xmlns:c15="http://schemas.microsoft.com/office/drawing/2012/chart" uri="{02D57815-91ED-43cb-92C2-25804820EDAC}">
                        <c15:formulaRef>
                          <c15:sqref>'Savings by End-Use'!$H$67:$AA$67</c15:sqref>
                        </c15:formulaRef>
                      </c:ext>
                    </c:extLst>
                    <c:numCache>
                      <c:formatCode>_(* #,##0_);_(* \(#,##0\);_(* "-"??_);_(@_)</c:formatCode>
                      <c:ptCount val="20"/>
                      <c:pt idx="0">
                        <c:v>11.61327438105946</c:v>
                      </c:pt>
                      <c:pt idx="1">
                        <c:v>25.613295364541461</c:v>
                      </c:pt>
                      <c:pt idx="2">
                        <c:v>42.204170551823331</c:v>
                      </c:pt>
                      <c:pt idx="3">
                        <c:v>61.322939060895969</c:v>
                      </c:pt>
                      <c:pt idx="4">
                        <c:v>77.82421805463494</c:v>
                      </c:pt>
                      <c:pt idx="5">
                        <c:v>99.503516303717021</c:v>
                      </c:pt>
                      <c:pt idx="6">
                        <c:v>123.38713700783858</c:v>
                      </c:pt>
                      <c:pt idx="7">
                        <c:v>147.20655113796045</c:v>
                      </c:pt>
                      <c:pt idx="8">
                        <c:v>169.99756365449178</c:v>
                      </c:pt>
                      <c:pt idx="9">
                        <c:v>190.93309936156615</c:v>
                      </c:pt>
                      <c:pt idx="10">
                        <c:v>209.21016602747881</c:v>
                      </c:pt>
                      <c:pt idx="11">
                        <c:v>222.75514546632732</c:v>
                      </c:pt>
                      <c:pt idx="12">
                        <c:v>234.33188604632238</c:v>
                      </c:pt>
                      <c:pt idx="13">
                        <c:v>242.35301627758611</c:v>
                      </c:pt>
                      <c:pt idx="14">
                        <c:v>250.06867511438404</c:v>
                      </c:pt>
                      <c:pt idx="15">
                        <c:v>256.94218037917528</c:v>
                      </c:pt>
                      <c:pt idx="16">
                        <c:v>260.68745295554555</c:v>
                      </c:pt>
                      <c:pt idx="17">
                        <c:v>265.87248841020437</c:v>
                      </c:pt>
                      <c:pt idx="18">
                        <c:v>270.92459722012131</c:v>
                      </c:pt>
                      <c:pt idx="19">
                        <c:v>273.60636541606442</c:v>
                      </c:pt>
                    </c:numCache>
                  </c:numRef>
                </c:val>
                <c:extLst xmlns:c15="http://schemas.microsoft.com/office/drawing/2012/chart">
                  <c:ext xmlns:c16="http://schemas.microsoft.com/office/drawing/2014/chart" uri="{C3380CC4-5D6E-409C-BE32-E72D297353CC}">
                    <c16:uniqueId val="{00000009-0E59-4F7E-8733-F4F35C502F7F}"/>
                  </c:ext>
                </c:extLst>
              </c15:ser>
            </c15:filteredAreaSeries>
          </c:ext>
        </c:extLst>
      </c:areaChart>
      <c:catAx>
        <c:axId val="489724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89714240"/>
        <c:crosses val="autoZero"/>
        <c:auto val="1"/>
        <c:lblAlgn val="ctr"/>
        <c:lblOffset val="100"/>
        <c:tickLblSkip val="2"/>
        <c:noMultiLvlLbl val="0"/>
      </c:catAx>
      <c:valAx>
        <c:axId val="489714240"/>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pPr>
                <a:r>
                  <a:rPr lang="en-US" b="0"/>
                  <a:t>GWh</a:t>
                </a:r>
              </a:p>
            </c:rich>
          </c:tx>
          <c:overlay val="0"/>
        </c:title>
        <c:numFmt formatCode="_(* #,##0_);_(* \(#,##0\);_(* &quot;-&quot;??_);_(@_)" sourceLinked="1"/>
        <c:majorTickMark val="none"/>
        <c:minorTickMark val="none"/>
        <c:tickLblPos val="nextTo"/>
        <c:spPr>
          <a:noFill/>
          <a:ln>
            <a:noFill/>
          </a:ln>
          <a:effectLst/>
        </c:spPr>
        <c:txPr>
          <a:bodyPr rot="-60000000" vert="horz"/>
          <a:lstStyle/>
          <a:p>
            <a:pPr>
              <a:defRPr/>
            </a:pPr>
            <a:endParaRPr lang="en-US"/>
          </a:p>
        </c:txPr>
        <c:crossAx val="489724408"/>
        <c:crosses val="autoZero"/>
        <c:crossBetween val="between"/>
      </c:valAx>
      <c:spPr>
        <a:noFill/>
      </c:spPr>
    </c:plotArea>
    <c:legend>
      <c:legendPos val="r"/>
      <c:layout>
        <c:manualLayout>
          <c:xMode val="edge"/>
          <c:yMode val="edge"/>
          <c:x val="0.73547038767108286"/>
          <c:y val="0.25423306021358377"/>
          <c:w val="0.25474085930785423"/>
          <c:h val="0.59679121282331249"/>
        </c:manualLayout>
      </c:layout>
      <c:overlay val="0"/>
      <c:spPr>
        <a:noFill/>
        <a:ln>
          <a:noFill/>
        </a:ln>
        <a:effectLst/>
      </c:spPr>
      <c:txPr>
        <a:bodyPr rot="0" vert="horz" anchor="ctr" anchorCtr="0"/>
        <a:lstStyle/>
        <a:p>
          <a:pPr>
            <a:defRPr/>
          </a:pPr>
          <a:endParaRPr lang="en-US"/>
        </a:p>
      </c:txPr>
    </c:legend>
    <c:plotVisOnly val="1"/>
    <c:dispBlanksAs val="zero"/>
    <c:showDLblsOverMax val="0"/>
    <c:extLst/>
  </c:chart>
  <c:spPr>
    <a:solidFill>
      <a:srgbClr val="F6F6F7"/>
    </a:solidFill>
    <a:ln w="9525" cap="flat" cmpd="sng" algn="ctr">
      <a:noFill/>
      <a:round/>
    </a:ln>
    <a:effectLst/>
  </c:spPr>
  <c:txPr>
    <a:bodyPr/>
    <a:lstStyle/>
    <a:p>
      <a:pPr>
        <a:defRPr sz="900">
          <a:solidFill>
            <a:schemeClr val="tx1">
              <a:lumMod val="65000"/>
              <a:lumOff val="35000"/>
            </a:schemeClr>
          </a:solidFill>
          <a:latin typeface="+mn-lt"/>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904737869304796"/>
          <c:y val="4.9704333833270845E-2"/>
          <c:w val="0.70774816609462277"/>
          <c:h val="0.72553157417822767"/>
        </c:manualLayout>
      </c:layout>
      <c:barChart>
        <c:barDir val="col"/>
        <c:grouping val="clustered"/>
        <c:varyColors val="0"/>
        <c:ser>
          <c:idx val="13"/>
          <c:order val="0"/>
          <c:tx>
            <c:strRef>
              <c:f>'Potential Summary (2)'!$B$16</c:f>
              <c:strCache>
                <c:ptCount val="1"/>
                <c:pt idx="0">
                  <c:v>Achievable Economic TRC Potential</c:v>
                </c:pt>
              </c:strCache>
              <c:extLst xmlns:c15="http://schemas.microsoft.com/office/drawing/2012/chart"/>
            </c:strRef>
          </c:tx>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(2)'!$C$16:$H$16</c:f>
            </c:numRef>
          </c:val>
          <c:extLst xmlns:c15="http://schemas.microsoft.com/office/drawing/2012/chart">
            <c:ext xmlns:c16="http://schemas.microsoft.com/office/drawing/2014/chart" uri="{C3380CC4-5D6E-409C-BE32-E72D297353CC}">
              <c16:uniqueId val="{00000000-571B-4402-BB3B-0C389B27F2FC}"/>
            </c:ext>
          </c:extLst>
        </c:ser>
        <c:ser>
          <c:idx val="14"/>
          <c:order val="1"/>
          <c:tx>
            <c:strRef>
              <c:f>'Potential Summary'!$B$17</c:f>
              <c:strCache>
                <c:ptCount val="1"/>
                <c:pt idx="0">
                  <c:v>Maximum Achievable Potential</c:v>
                </c:pt>
              </c:strCache>
            </c:strRef>
          </c:tx>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Summary'!$C$17:$H$17</c:f>
            </c:numRef>
          </c:val>
          <c:extLst>
            <c:ext xmlns:c16="http://schemas.microsoft.com/office/drawing/2014/chart" uri="{C3380CC4-5D6E-409C-BE32-E72D297353CC}">
              <c16:uniqueId val="{00000001-571B-4402-BB3B-0C389B27F2FC}"/>
            </c:ext>
          </c:extLst>
        </c:ser>
        <c:ser>
          <c:idx val="15"/>
          <c:order val="2"/>
          <c:tx>
            <c:strRef>
              <c:f>'Potential Summary (2)'!$B$18</c:f>
              <c:strCache>
                <c:ptCount val="1"/>
                <c:pt idx="0">
                  <c:v>Technical Achievable Potential</c:v>
                </c:pt>
              </c:strCache>
            </c:strRef>
          </c:tx>
          <c:spPr>
            <a:solidFill>
              <a:srgbClr val="3CD39C"/>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(2)'!$C$18:$H$18</c:f>
              <c:numCache>
                <c:formatCode>0.0%</c:formatCode>
                <c:ptCount val="6"/>
                <c:pt idx="0">
                  <c:v>1.5729930308819876E-2</c:v>
                </c:pt>
                <c:pt idx="1">
                  <c:v>3.2837841448579937E-2</c:v>
                </c:pt>
                <c:pt idx="2">
                  <c:v>5.1775307204210377E-2</c:v>
                </c:pt>
                <c:pt idx="3">
                  <c:v>9.3372656743076904E-2</c:v>
                </c:pt>
                <c:pt idx="4">
                  <c:v>0.1857082875508021</c:v>
                </c:pt>
                <c:pt idx="5">
                  <c:v>0.26891752477853548</c:v>
                </c:pt>
              </c:numCache>
            </c:numRef>
          </c:val>
          <c:extLst>
            <c:ext xmlns:c16="http://schemas.microsoft.com/office/drawing/2014/chart" uri="{C3380CC4-5D6E-409C-BE32-E72D297353CC}">
              <c16:uniqueId val="{00000002-571B-4402-BB3B-0C389B27F2FC}"/>
            </c:ext>
          </c:extLst>
        </c:ser>
        <c:ser>
          <c:idx val="16"/>
          <c:order val="3"/>
          <c:tx>
            <c:strRef>
              <c:f>'Potential Summary (2)'!$B$19</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(2)'!$C$19:$H$19</c:f>
              <c:numCache>
                <c:formatCode>0.0%</c:formatCode>
                <c:ptCount val="6"/>
                <c:pt idx="0">
                  <c:v>3.1186072648578353E-2</c:v>
                </c:pt>
                <c:pt idx="1">
                  <c:v>6.1348038590586268E-2</c:v>
                </c:pt>
                <c:pt idx="2">
                  <c:v>9.2077156960291978E-2</c:v>
                </c:pt>
                <c:pt idx="3">
                  <c:v>0.14973163638858286</c:v>
                </c:pt>
                <c:pt idx="4">
                  <c:v>0.25027235615554605</c:v>
                </c:pt>
                <c:pt idx="5">
                  <c:v>0.3091923284996389</c:v>
                </c:pt>
              </c:numCache>
            </c:numRef>
          </c:val>
          <c:extLst>
            <c:ext xmlns:c16="http://schemas.microsoft.com/office/drawing/2014/chart" uri="{C3380CC4-5D6E-409C-BE32-E72D297353CC}">
              <c16:uniqueId val="{00000003-571B-4402-BB3B-0C389B27F2FC}"/>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layout>
            <c:manualLayout>
              <c:xMode val="edge"/>
              <c:yMode val="edge"/>
              <c:x val="3.0519886937209771E-2"/>
              <c:y val="0.34003679227596556"/>
            </c:manualLayout>
          </c:layout>
          <c:overlay val="0"/>
        </c:title>
        <c:numFmt formatCode="0.0%"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239081183"/>
        <c:crosses val="autoZero"/>
        <c:crossBetween val="between"/>
      </c:valAx>
    </c:plotArea>
    <c:legend>
      <c:legendPos val="b"/>
      <c:overlay val="0"/>
      <c:txPr>
        <a:bodyPr rot="0" vert="horz"/>
        <a:lstStyle/>
        <a:p>
          <a:pPr>
            <a:defRPr>
              <a:solidFill>
                <a:schemeClr val="tx1">
                  <a:lumMod val="75000"/>
                  <a:lumOff val="25000"/>
                </a:schemeClr>
              </a:solidFill>
            </a:defRPr>
          </a:pPr>
          <a:endParaRPr lang="en-US"/>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118413082980011"/>
          <c:y val="4.9704333833270845E-2"/>
          <c:w val="0.71202173927296386"/>
          <c:h val="0.65608716281620949"/>
        </c:manualLayout>
      </c:layout>
      <c:barChart>
        <c:barDir val="col"/>
        <c:grouping val="clustered"/>
        <c:varyColors val="0"/>
        <c:ser>
          <c:idx val="13"/>
          <c:order val="0"/>
          <c:tx>
            <c:strRef>
              <c:f>'Potential Summary (2)'!$B$16</c:f>
              <c:strCache>
                <c:ptCount val="1"/>
                <c:pt idx="0">
                  <c:v>Achievable Economic TRC Potential</c:v>
                </c:pt>
              </c:strCache>
              <c:extLst xmlns:c15="http://schemas.microsoft.com/office/drawing/2012/chart"/>
            </c:strRef>
          </c:tx>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(2)'!$C$16:$H$16</c:f>
            </c:numRef>
          </c:val>
          <c:extLst xmlns:c15="http://schemas.microsoft.com/office/drawing/2012/chart">
            <c:ext xmlns:c16="http://schemas.microsoft.com/office/drawing/2014/chart" uri="{C3380CC4-5D6E-409C-BE32-E72D297353CC}">
              <c16:uniqueId val="{00000000-41A6-4A88-B915-727A8F5AF773}"/>
            </c:ext>
          </c:extLst>
        </c:ser>
        <c:ser>
          <c:idx val="14"/>
          <c:order val="1"/>
          <c:tx>
            <c:strRef>
              <c:f>'Potential Summary'!$B$17</c:f>
              <c:strCache>
                <c:ptCount val="1"/>
                <c:pt idx="0">
                  <c:v>Maximum Achievable Potential</c:v>
                </c:pt>
              </c:strCache>
            </c:strRef>
          </c:tx>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Summary'!$C$17:$H$17</c:f>
            </c:numRef>
          </c:val>
          <c:extLst>
            <c:ext xmlns:c16="http://schemas.microsoft.com/office/drawing/2014/chart" uri="{C3380CC4-5D6E-409C-BE32-E72D297353CC}">
              <c16:uniqueId val="{00000001-41A6-4A88-B915-727A8F5AF773}"/>
            </c:ext>
          </c:extLst>
        </c:ser>
        <c:ser>
          <c:idx val="15"/>
          <c:order val="2"/>
          <c:tx>
            <c:strRef>
              <c:f>'Potential Summary (2)'!$B$18</c:f>
              <c:strCache>
                <c:ptCount val="1"/>
                <c:pt idx="0">
                  <c:v>Technical Achievable Potential</c:v>
                </c:pt>
              </c:strCache>
            </c:strRef>
          </c:tx>
          <c:spPr>
            <a:solidFill>
              <a:srgbClr val="3CD39C"/>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(2)'!$C$18:$H$18</c:f>
              <c:numCache>
                <c:formatCode>0.0%</c:formatCode>
                <c:ptCount val="6"/>
                <c:pt idx="0">
                  <c:v>1.5511934357132615E-2</c:v>
                </c:pt>
                <c:pt idx="1">
                  <c:v>3.2290524826085715E-2</c:v>
                </c:pt>
                <c:pt idx="2">
                  <c:v>5.089666374253711E-2</c:v>
                </c:pt>
                <c:pt idx="3">
                  <c:v>9.1810206776493694E-2</c:v>
                </c:pt>
                <c:pt idx="4">
                  <c:v>0.19191236109626247</c:v>
                </c:pt>
                <c:pt idx="5">
                  <c:v>0.28833443571708789</c:v>
                </c:pt>
              </c:numCache>
            </c:numRef>
          </c:val>
          <c:extLst>
            <c:ext xmlns:c16="http://schemas.microsoft.com/office/drawing/2014/chart" uri="{C3380CC4-5D6E-409C-BE32-E72D297353CC}">
              <c16:uniqueId val="{00000002-41A6-4A88-B915-727A8F5AF773}"/>
            </c:ext>
          </c:extLst>
        </c:ser>
        <c:ser>
          <c:idx val="16"/>
          <c:order val="3"/>
          <c:tx>
            <c:strRef>
              <c:f>'Potential Summary (2)'!$B$19</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(2)'!$C$19:$H$19</c:f>
              <c:numCache>
                <c:formatCode>0.0%</c:formatCode>
                <c:ptCount val="6"/>
                <c:pt idx="0">
                  <c:v>3.0923246294025947E-2</c:v>
                </c:pt>
                <c:pt idx="1">
                  <c:v>6.1155271706487858E-2</c:v>
                </c:pt>
                <c:pt idx="2">
                  <c:v>9.2181662396519953E-2</c:v>
                </c:pt>
                <c:pt idx="3">
                  <c:v>0.15129634982432499</c:v>
                </c:pt>
                <c:pt idx="4">
                  <c:v>0.26140826102311138</c:v>
                </c:pt>
                <c:pt idx="5">
                  <c:v>0.34512197905186254</c:v>
                </c:pt>
              </c:numCache>
            </c:numRef>
          </c:val>
          <c:extLst>
            <c:ext xmlns:c16="http://schemas.microsoft.com/office/drawing/2014/chart" uri="{C3380CC4-5D6E-409C-BE32-E72D297353CC}">
              <c16:uniqueId val="{00000003-41A6-4A88-B915-727A8F5AF773}"/>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layout>
            <c:manualLayout>
              <c:xMode val="edge"/>
              <c:yMode val="edge"/>
              <c:x val="2.8383134800457635E-2"/>
              <c:y val="0.35987806211723539"/>
            </c:manualLayout>
          </c:layout>
          <c:overlay val="0"/>
        </c:title>
        <c:numFmt formatCode="0.0%"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239081183"/>
        <c:crosses val="autoZero"/>
        <c:crossBetween val="between"/>
      </c:valAx>
      <c:spPr>
        <a:solidFill>
          <a:srgbClr val="F6F6F7"/>
        </a:solidFill>
      </c:spPr>
    </c:plotArea>
    <c:legend>
      <c:legendPos val="b"/>
      <c:overlay val="0"/>
      <c:txPr>
        <a:bodyPr rot="0" vert="horz"/>
        <a:lstStyle/>
        <a:p>
          <a:pPr>
            <a:defRPr>
              <a:solidFill>
                <a:schemeClr val="tx1">
                  <a:lumMod val="75000"/>
                  <a:lumOff val="25000"/>
                </a:schemeClr>
              </a:solidFill>
            </a:defRPr>
          </a:pPr>
          <a:endParaRPr lang="en-US"/>
        </a:p>
      </c:txPr>
    </c:legend>
    <c:plotVisOnly val="1"/>
    <c:dispBlanksAs val="gap"/>
    <c:showDLblsOverMax val="0"/>
  </c:chart>
  <c:spPr>
    <a:solidFill>
      <a:srgbClr val="F6F6F7"/>
    </a:solid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80473894609328"/>
          <c:y val="0.14367436743674367"/>
          <c:w val="0.56852800040385876"/>
          <c:h val="0.7454421662638705"/>
        </c:manualLayout>
      </c:layout>
      <c:areaChart>
        <c:grouping val="stacked"/>
        <c:varyColors val="0"/>
        <c:ser>
          <c:idx val="2"/>
          <c:order val="1"/>
          <c:tx>
            <c:strRef>
              <c:f>'Savings by End-Use'!$B$70</c:f>
              <c:strCache>
                <c:ptCount val="1"/>
                <c:pt idx="0">
                  <c:v>Miscellaneous</c:v>
                </c:pt>
              </c:strCache>
            </c:strRef>
          </c:tx>
          <c:spPr>
            <a:solidFill>
              <a:srgbClr val="808080"/>
            </a:solidFill>
            <a:ln>
              <a:solidFill>
                <a:srgbClr val="FFFFFF"/>
              </a:solidFill>
            </a:ln>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End-Use'!$H$70:$AA$70</c:f>
              <c:numCache>
                <c:formatCode>_(* #,##0_);_(* \(#,##0\);_(* "-"??_);_(@_)</c:formatCode>
                <c:ptCount val="20"/>
                <c:pt idx="0">
                  <c:v>0.21869062691608734</c:v>
                </c:pt>
                <c:pt idx="1">
                  <c:v>0.49731322845604703</c:v>
                </c:pt>
                <c:pt idx="2">
                  <c:v>0.84843666457382483</c:v>
                </c:pt>
                <c:pt idx="3">
                  <c:v>1.2046071174959592</c:v>
                </c:pt>
                <c:pt idx="4">
                  <c:v>1.6597138681876182</c:v>
                </c:pt>
                <c:pt idx="5">
                  <c:v>2.1960804223390302</c:v>
                </c:pt>
                <c:pt idx="6">
                  <c:v>2.7926026328459357</c:v>
                </c:pt>
                <c:pt idx="7">
                  <c:v>3.4321686742107458</c:v>
                </c:pt>
                <c:pt idx="8">
                  <c:v>4.0542553671520603</c:v>
                </c:pt>
                <c:pt idx="9">
                  <c:v>4.5982025360786931</c:v>
                </c:pt>
                <c:pt idx="10">
                  <c:v>5.0275112409165521</c:v>
                </c:pt>
                <c:pt idx="11">
                  <c:v>5.3404492208110277</c:v>
                </c:pt>
                <c:pt idx="12">
                  <c:v>5.5489850443674955</c:v>
                </c:pt>
                <c:pt idx="13">
                  <c:v>5.6698393015813116</c:v>
                </c:pt>
                <c:pt idx="14">
                  <c:v>5.7389598298721181</c:v>
                </c:pt>
                <c:pt idx="15">
                  <c:v>5.7713153746158392</c:v>
                </c:pt>
                <c:pt idx="16">
                  <c:v>5.7663332628100576</c:v>
                </c:pt>
                <c:pt idx="17">
                  <c:v>5.7675629045125056</c:v>
                </c:pt>
                <c:pt idx="18">
                  <c:v>5.7717644592224309</c:v>
                </c:pt>
                <c:pt idx="19">
                  <c:v>5.7178406924059519</c:v>
                </c:pt>
              </c:numCache>
              <c:extLst/>
            </c:numRef>
          </c:val>
          <c:extLst>
            <c:ext xmlns:c16="http://schemas.microsoft.com/office/drawing/2014/chart" uri="{C3380CC4-5D6E-409C-BE32-E72D297353CC}">
              <c16:uniqueId val="{00000000-53A1-4C90-BD74-B768EA392FA4}"/>
            </c:ext>
          </c:extLst>
        </c:ser>
        <c:ser>
          <c:idx val="1"/>
          <c:order val="2"/>
          <c:tx>
            <c:strRef>
              <c:f>'Savings by End-Use'!$B$69</c:f>
              <c:strCache>
                <c:ptCount val="1"/>
                <c:pt idx="0">
                  <c:v>Office Equipment</c:v>
                </c:pt>
              </c:strCache>
            </c:strRef>
          </c:tx>
          <c:spPr>
            <a:solidFill>
              <a:srgbClr val="A98AE3"/>
            </a:solidFill>
            <a:ln>
              <a:solidFill>
                <a:schemeClr val="bg1"/>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End-Use'!$H$69:$AA$69</c:f>
              <c:numCache>
                <c:formatCode>_(* #,##0_);_(* \(#,##0\);_(* "-"??_);_(@_)</c:formatCode>
                <c:ptCount val="20"/>
                <c:pt idx="0">
                  <c:v>5.1019376339619171</c:v>
                </c:pt>
                <c:pt idx="1">
                  <c:v>11.31862118678664</c:v>
                </c:pt>
                <c:pt idx="2">
                  <c:v>18.602583244640599</c:v>
                </c:pt>
                <c:pt idx="3">
                  <c:v>27.246812125776593</c:v>
                </c:pt>
                <c:pt idx="4">
                  <c:v>36.509671465533138</c:v>
                </c:pt>
                <c:pt idx="5">
                  <c:v>43.396871158801524</c:v>
                </c:pt>
                <c:pt idx="6">
                  <c:v>49.342673499385043</c:v>
                </c:pt>
                <c:pt idx="7">
                  <c:v>53.990911618940991</c:v>
                </c:pt>
                <c:pt idx="8">
                  <c:v>57.950099317917356</c:v>
                </c:pt>
                <c:pt idx="9">
                  <c:v>61.13806934099528</c:v>
                </c:pt>
                <c:pt idx="10">
                  <c:v>64.512664108930153</c:v>
                </c:pt>
                <c:pt idx="11">
                  <c:v>67.823913072905967</c:v>
                </c:pt>
                <c:pt idx="12">
                  <c:v>70.606306520381111</c:v>
                </c:pt>
                <c:pt idx="13">
                  <c:v>73.049137262994691</c:v>
                </c:pt>
                <c:pt idx="14">
                  <c:v>74.969300611505872</c:v>
                </c:pt>
                <c:pt idx="15">
                  <c:v>76.504134297721563</c:v>
                </c:pt>
                <c:pt idx="16">
                  <c:v>77.833989125647577</c:v>
                </c:pt>
                <c:pt idx="17">
                  <c:v>79.041183207973177</c:v>
                </c:pt>
                <c:pt idx="18">
                  <c:v>80.109586303269751</c:v>
                </c:pt>
                <c:pt idx="19">
                  <c:v>81.109610911993101</c:v>
                </c:pt>
              </c:numCache>
              <c:extLst/>
            </c:numRef>
          </c:val>
          <c:extLst>
            <c:ext xmlns:c16="http://schemas.microsoft.com/office/drawing/2014/chart" uri="{C3380CC4-5D6E-409C-BE32-E72D297353CC}">
              <c16:uniqueId val="{00000001-53A1-4C90-BD74-B768EA392FA4}"/>
            </c:ext>
          </c:extLst>
        </c:ser>
        <c:ser>
          <c:idx val="0"/>
          <c:order val="3"/>
          <c:tx>
            <c:strRef>
              <c:f>'Savings by End-Use'!$B$68</c:f>
              <c:strCache>
                <c:ptCount val="1"/>
                <c:pt idx="0">
                  <c:v>Food Preparation</c:v>
                </c:pt>
              </c:strCache>
            </c:strRef>
          </c:tx>
          <c:spPr>
            <a:solidFill>
              <a:schemeClr val="accent3">
                <a:lumMod val="50000"/>
              </a:schemeClr>
            </a:solidFill>
            <a:ln>
              <a:solidFill>
                <a:srgbClr val="FFFFFF"/>
              </a:solidFill>
            </a:ln>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End-Use'!$H$68:$AA$68</c:f>
              <c:numCache>
                <c:formatCode>_(* #,##0_);_(* \(#,##0\);_(* "-"??_);_(@_)</c:formatCode>
                <c:ptCount val="20"/>
                <c:pt idx="0">
                  <c:v>2.5653916306059468E-2</c:v>
                </c:pt>
                <c:pt idx="1">
                  <c:v>7.745874768520461E-2</c:v>
                </c:pt>
                <c:pt idx="2">
                  <c:v>0.16214557940993674</c:v>
                </c:pt>
                <c:pt idx="3">
                  <c:v>0.28979819834240966</c:v>
                </c:pt>
                <c:pt idx="4">
                  <c:v>0.46736169226761543</c:v>
                </c:pt>
                <c:pt idx="5">
                  <c:v>0.68398554978259585</c:v>
                </c:pt>
                <c:pt idx="6">
                  <c:v>0.93959308229618355</c:v>
                </c:pt>
                <c:pt idx="7">
                  <c:v>1.2387025508753229</c:v>
                </c:pt>
                <c:pt idx="8">
                  <c:v>1.626660615958734</c:v>
                </c:pt>
                <c:pt idx="9">
                  <c:v>2.0342712665451432</c:v>
                </c:pt>
                <c:pt idx="10">
                  <c:v>2.4574214110203725</c:v>
                </c:pt>
                <c:pt idx="11">
                  <c:v>2.8706732853806325</c:v>
                </c:pt>
                <c:pt idx="12">
                  <c:v>3.2722978888568788</c:v>
                </c:pt>
                <c:pt idx="13">
                  <c:v>3.6438837159639412</c:v>
                </c:pt>
                <c:pt idx="14">
                  <c:v>3.962104559850427</c:v>
                </c:pt>
                <c:pt idx="15">
                  <c:v>4.2523294303600299</c:v>
                </c:pt>
                <c:pt idx="16">
                  <c:v>4.4509657471640756</c:v>
                </c:pt>
                <c:pt idx="17">
                  <c:v>4.6202405798166559</c:v>
                </c:pt>
                <c:pt idx="18">
                  <c:v>4.7583382908111531</c:v>
                </c:pt>
                <c:pt idx="19">
                  <c:v>4.8601664120631085</c:v>
                </c:pt>
              </c:numCache>
              <c:extLst/>
            </c:numRef>
          </c:val>
          <c:extLst>
            <c:ext xmlns:c16="http://schemas.microsoft.com/office/drawing/2014/chart" uri="{C3380CC4-5D6E-409C-BE32-E72D297353CC}">
              <c16:uniqueId val="{00000002-53A1-4C90-BD74-B768EA392FA4}"/>
            </c:ext>
          </c:extLst>
        </c:ser>
        <c:ser>
          <c:idx val="12"/>
          <c:order val="4"/>
          <c:tx>
            <c:strRef>
              <c:f>'Savings by End-Use'!$B$67</c:f>
              <c:strCache>
                <c:ptCount val="1"/>
                <c:pt idx="0">
                  <c:v>Refrigeration</c:v>
                </c:pt>
              </c:strCache>
            </c:strRef>
          </c:tx>
          <c:spPr>
            <a:solidFill>
              <a:srgbClr val="3CD39C"/>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End-Use'!$H$67:$AA$67</c:f>
              <c:numCache>
                <c:formatCode>_(* #,##0_);_(* \(#,##0\);_(* "-"??_);_(@_)</c:formatCode>
                <c:ptCount val="20"/>
                <c:pt idx="0">
                  <c:v>1.3420902268183412</c:v>
                </c:pt>
                <c:pt idx="1">
                  <c:v>2.892881055288381</c:v>
                </c:pt>
                <c:pt idx="2">
                  <c:v>4.6891807063746844</c:v>
                </c:pt>
                <c:pt idx="3">
                  <c:v>6.6855007697530064</c:v>
                </c:pt>
                <c:pt idx="4">
                  <c:v>8.8870236132944544</c:v>
                </c:pt>
                <c:pt idx="5">
                  <c:v>11.293098246291592</c:v>
                </c:pt>
                <c:pt idx="6">
                  <c:v>14.56133369165542</c:v>
                </c:pt>
                <c:pt idx="7">
                  <c:v>17.808117816493116</c:v>
                </c:pt>
                <c:pt idx="8">
                  <c:v>21.579679152943555</c:v>
                </c:pt>
                <c:pt idx="9">
                  <c:v>24.85362418198152</c:v>
                </c:pt>
                <c:pt idx="10">
                  <c:v>27.507256840253429</c:v>
                </c:pt>
                <c:pt idx="11">
                  <c:v>29.437026963376695</c:v>
                </c:pt>
                <c:pt idx="12">
                  <c:v>30.751889371484708</c:v>
                </c:pt>
                <c:pt idx="13">
                  <c:v>31.629718024630428</c:v>
                </c:pt>
                <c:pt idx="14">
                  <c:v>32.230133222923577</c:v>
                </c:pt>
                <c:pt idx="15">
                  <c:v>32.684060953260172</c:v>
                </c:pt>
                <c:pt idx="16">
                  <c:v>32.973077131816737</c:v>
                </c:pt>
                <c:pt idx="17">
                  <c:v>33.195834315274453</c:v>
                </c:pt>
                <c:pt idx="18">
                  <c:v>33.371424735661279</c:v>
                </c:pt>
                <c:pt idx="19">
                  <c:v>33.510303943089276</c:v>
                </c:pt>
              </c:numCache>
              <c:extLst/>
            </c:numRef>
          </c:val>
          <c:extLst>
            <c:ext xmlns:c16="http://schemas.microsoft.com/office/drawing/2014/chart" uri="{C3380CC4-5D6E-409C-BE32-E72D297353CC}">
              <c16:uniqueId val="{00000003-53A1-4C90-BD74-B768EA392FA4}"/>
            </c:ext>
          </c:extLst>
        </c:ser>
        <c:ser>
          <c:idx val="5"/>
          <c:order val="5"/>
          <c:tx>
            <c:strRef>
              <c:f>'Savings by End-Use'!$B$66</c:f>
              <c:strCache>
                <c:ptCount val="1"/>
                <c:pt idx="0">
                  <c:v>Exterior Lighting</c:v>
                </c:pt>
              </c:strCache>
            </c:strRef>
          </c:tx>
          <c:spPr>
            <a:solidFill>
              <a:schemeClr val="accent4">
                <a:lumMod val="50000"/>
              </a:schemeClr>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End-Use'!$H$66:$AA$66</c:f>
              <c:numCache>
                <c:formatCode>_(* #,##0_);_(* \(#,##0\);_(* "-"??_);_(@_)</c:formatCode>
                <c:ptCount val="20"/>
                <c:pt idx="0">
                  <c:v>1.5907420015865452</c:v>
                </c:pt>
                <c:pt idx="1">
                  <c:v>2.9269681214230152</c:v>
                </c:pt>
                <c:pt idx="2">
                  <c:v>4.3579772969055881</c:v>
                </c:pt>
                <c:pt idx="3">
                  <c:v>5.8624279198552829</c:v>
                </c:pt>
                <c:pt idx="4">
                  <c:v>7.1576863066222538</c:v>
                </c:pt>
                <c:pt idx="5">
                  <c:v>8.0452331212261221</c:v>
                </c:pt>
                <c:pt idx="6">
                  <c:v>9.6346459725214935</c:v>
                </c:pt>
                <c:pt idx="7">
                  <c:v>11.245150522386639</c:v>
                </c:pt>
                <c:pt idx="8">
                  <c:v>12.873562456194376</c:v>
                </c:pt>
                <c:pt idx="9">
                  <c:v>13.708901448065243</c:v>
                </c:pt>
                <c:pt idx="10">
                  <c:v>15.107580767402695</c:v>
                </c:pt>
                <c:pt idx="11">
                  <c:v>16.49482919211551</c:v>
                </c:pt>
                <c:pt idx="12">
                  <c:v>17.89831044221102</c:v>
                </c:pt>
                <c:pt idx="13">
                  <c:v>19.188582889660395</c:v>
                </c:pt>
                <c:pt idx="14">
                  <c:v>20.492413481031672</c:v>
                </c:pt>
                <c:pt idx="15">
                  <c:v>21.580600079263551</c:v>
                </c:pt>
                <c:pt idx="16">
                  <c:v>22.612644435974957</c:v>
                </c:pt>
                <c:pt idx="17">
                  <c:v>23.697104906163041</c:v>
                </c:pt>
                <c:pt idx="18">
                  <c:v>24.863045042828283</c:v>
                </c:pt>
                <c:pt idx="19">
                  <c:v>25.914365847149369</c:v>
                </c:pt>
              </c:numCache>
              <c:extLst/>
            </c:numRef>
          </c:val>
          <c:extLst>
            <c:ext xmlns:c16="http://schemas.microsoft.com/office/drawing/2014/chart" uri="{C3380CC4-5D6E-409C-BE32-E72D297353CC}">
              <c16:uniqueId val="{00000004-53A1-4C90-BD74-B768EA392FA4}"/>
            </c:ext>
          </c:extLst>
        </c:ser>
        <c:ser>
          <c:idx val="13"/>
          <c:order val="6"/>
          <c:tx>
            <c:strRef>
              <c:f>'Savings by End-Use'!$B$65</c:f>
              <c:strCache>
                <c:ptCount val="1"/>
                <c:pt idx="0">
                  <c:v>Interior Lighting</c:v>
                </c:pt>
              </c:strCache>
            </c:strRef>
          </c:tx>
          <c:spPr>
            <a:solidFill>
              <a:schemeClr val="accent4"/>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End-Use'!$H$65:$AA$65</c:f>
              <c:numCache>
                <c:formatCode>_(* #,##0_);_(* \(#,##0\);_(* "-"??_);_(@_)</c:formatCode>
                <c:ptCount val="20"/>
                <c:pt idx="0">
                  <c:v>8.1401768699274815</c:v>
                </c:pt>
                <c:pt idx="1">
                  <c:v>16.555807187600379</c:v>
                </c:pt>
                <c:pt idx="2">
                  <c:v>25.638737894187713</c:v>
                </c:pt>
                <c:pt idx="3">
                  <c:v>35.240917462958478</c:v>
                </c:pt>
                <c:pt idx="4">
                  <c:v>43.857694840215721</c:v>
                </c:pt>
                <c:pt idx="5">
                  <c:v>48.966370373333874</c:v>
                </c:pt>
                <c:pt idx="6">
                  <c:v>58.568392634782363</c:v>
                </c:pt>
                <c:pt idx="7">
                  <c:v>68.238336281852895</c:v>
                </c:pt>
                <c:pt idx="8">
                  <c:v>77.893712628320614</c:v>
                </c:pt>
                <c:pt idx="9">
                  <c:v>85.121868303611052</c:v>
                </c:pt>
                <c:pt idx="10">
                  <c:v>95.230209348054061</c:v>
                </c:pt>
                <c:pt idx="11">
                  <c:v>105.24074758672511</c:v>
                </c:pt>
                <c:pt idx="12">
                  <c:v>115.18849855404946</c:v>
                </c:pt>
                <c:pt idx="13">
                  <c:v>124.81138465915589</c:v>
                </c:pt>
                <c:pt idx="14">
                  <c:v>134.52818706413319</c:v>
                </c:pt>
                <c:pt idx="15">
                  <c:v>142.74766621530563</c:v>
                </c:pt>
                <c:pt idx="16">
                  <c:v>150.66037277572582</c:v>
                </c:pt>
                <c:pt idx="17">
                  <c:v>158.82581244219068</c:v>
                </c:pt>
                <c:pt idx="18">
                  <c:v>167.59132145791659</c:v>
                </c:pt>
                <c:pt idx="19">
                  <c:v>175.57076010941634</c:v>
                </c:pt>
              </c:numCache>
              <c:extLst/>
            </c:numRef>
          </c:val>
          <c:extLst>
            <c:ext xmlns:c16="http://schemas.microsoft.com/office/drawing/2014/chart" uri="{C3380CC4-5D6E-409C-BE32-E72D297353CC}">
              <c16:uniqueId val="{00000005-53A1-4C90-BD74-B768EA392FA4}"/>
            </c:ext>
          </c:extLst>
        </c:ser>
        <c:ser>
          <c:idx val="6"/>
          <c:order val="7"/>
          <c:tx>
            <c:strRef>
              <c:f>'Savings by End-Use'!$B$64</c:f>
              <c:strCache>
                <c:ptCount val="1"/>
                <c:pt idx="0">
                  <c:v>Water Heating</c:v>
                </c:pt>
              </c:strCache>
            </c:strRef>
          </c:tx>
          <c:spPr>
            <a:solidFill>
              <a:schemeClr val="accent5"/>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End-Use'!$H$64:$AA$64</c:f>
              <c:numCache>
                <c:formatCode>_(* #,##0_);_(* \(#,##0\);_(* "-"??_);_(@_)</c:formatCode>
                <c:ptCount val="20"/>
                <c:pt idx="0">
                  <c:v>3.1100941453556219</c:v>
                </c:pt>
                <c:pt idx="1">
                  <c:v>6.4912120631535126</c:v>
                </c:pt>
                <c:pt idx="2">
                  <c:v>10.177630521344838</c:v>
                </c:pt>
                <c:pt idx="3">
                  <c:v>14.229021781463935</c:v>
                </c:pt>
                <c:pt idx="4">
                  <c:v>18.601064760570726</c:v>
                </c:pt>
                <c:pt idx="5">
                  <c:v>23.062070017184801</c:v>
                </c:pt>
                <c:pt idx="6">
                  <c:v>27.363530865347776</c:v>
                </c:pt>
                <c:pt idx="7">
                  <c:v>31.679085423906251</c:v>
                </c:pt>
                <c:pt idx="8">
                  <c:v>36.117140778982211</c:v>
                </c:pt>
                <c:pt idx="9">
                  <c:v>40.675732728668649</c:v>
                </c:pt>
                <c:pt idx="10">
                  <c:v>45.534471430321389</c:v>
                </c:pt>
                <c:pt idx="11">
                  <c:v>50.363326736859783</c:v>
                </c:pt>
                <c:pt idx="12">
                  <c:v>55.160025234287275</c:v>
                </c:pt>
                <c:pt idx="13">
                  <c:v>59.757692342666566</c:v>
                </c:pt>
                <c:pt idx="14">
                  <c:v>64.852479493954519</c:v>
                </c:pt>
                <c:pt idx="15">
                  <c:v>69.678581158493245</c:v>
                </c:pt>
                <c:pt idx="16">
                  <c:v>73.952098466138722</c:v>
                </c:pt>
                <c:pt idx="17">
                  <c:v>77.876367189227949</c:v>
                </c:pt>
                <c:pt idx="18">
                  <c:v>81.399956332861223</c:v>
                </c:pt>
                <c:pt idx="19">
                  <c:v>84.556690164475043</c:v>
                </c:pt>
              </c:numCache>
              <c:extLst/>
            </c:numRef>
          </c:val>
          <c:extLst>
            <c:ext xmlns:c16="http://schemas.microsoft.com/office/drawing/2014/chart" uri="{C3380CC4-5D6E-409C-BE32-E72D297353CC}">
              <c16:uniqueId val="{00000006-53A1-4C90-BD74-B768EA392FA4}"/>
            </c:ext>
          </c:extLst>
        </c:ser>
        <c:ser>
          <c:idx val="7"/>
          <c:order val="8"/>
          <c:tx>
            <c:strRef>
              <c:f>'Savings by End-Use'!$B$63</c:f>
              <c:strCache>
                <c:ptCount val="1"/>
                <c:pt idx="0">
                  <c:v>Ventilation</c:v>
                </c:pt>
              </c:strCache>
            </c:strRef>
          </c:tx>
          <c:spPr>
            <a:solidFill>
              <a:schemeClr val="accent6">
                <a:lumMod val="20000"/>
                <a:lumOff val="80000"/>
              </a:schemeClr>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End-Use'!$H$63:$AA$63</c:f>
              <c:numCache>
                <c:formatCode>_(* #,##0_);_(* \(#,##0\);_(* "-"??_);_(@_)</c:formatCode>
                <c:ptCount val="20"/>
                <c:pt idx="0">
                  <c:v>1.2701398921210392</c:v>
                </c:pt>
                <c:pt idx="1">
                  <c:v>2.6867202477876595</c:v>
                </c:pt>
                <c:pt idx="2">
                  <c:v>4.2990501736577134</c:v>
                </c:pt>
                <c:pt idx="3">
                  <c:v>6.1083023250189248</c:v>
                </c:pt>
                <c:pt idx="4">
                  <c:v>8.1704363391485639</c:v>
                </c:pt>
                <c:pt idx="5">
                  <c:v>10.510029147900857</c:v>
                </c:pt>
                <c:pt idx="6">
                  <c:v>13.095384599023218</c:v>
                </c:pt>
                <c:pt idx="7">
                  <c:v>15.894458800804935</c:v>
                </c:pt>
                <c:pt idx="8">
                  <c:v>18.843616441249175</c:v>
                </c:pt>
                <c:pt idx="9">
                  <c:v>21.748912427371529</c:v>
                </c:pt>
                <c:pt idx="10">
                  <c:v>24.544896093036485</c:v>
                </c:pt>
                <c:pt idx="11">
                  <c:v>27.197515201115202</c:v>
                </c:pt>
                <c:pt idx="12">
                  <c:v>29.613103507029052</c:v>
                </c:pt>
                <c:pt idx="13">
                  <c:v>31.668256838906569</c:v>
                </c:pt>
                <c:pt idx="14">
                  <c:v>33.465648860940966</c:v>
                </c:pt>
                <c:pt idx="15">
                  <c:v>34.835961582076429</c:v>
                </c:pt>
                <c:pt idx="16">
                  <c:v>35.700059792425826</c:v>
                </c:pt>
                <c:pt idx="17">
                  <c:v>36.306529270158741</c:v>
                </c:pt>
                <c:pt idx="18">
                  <c:v>36.645779558378713</c:v>
                </c:pt>
                <c:pt idx="19">
                  <c:v>36.479507606075998</c:v>
                </c:pt>
              </c:numCache>
              <c:extLst/>
            </c:numRef>
          </c:val>
          <c:extLst>
            <c:ext xmlns:c16="http://schemas.microsoft.com/office/drawing/2014/chart" uri="{C3380CC4-5D6E-409C-BE32-E72D297353CC}">
              <c16:uniqueId val="{00000007-53A1-4C90-BD74-B768EA392FA4}"/>
            </c:ext>
          </c:extLst>
        </c:ser>
        <c:ser>
          <c:idx val="9"/>
          <c:order val="9"/>
          <c:tx>
            <c:strRef>
              <c:f>'Savings by End-Use'!$B$62</c:f>
              <c:strCache>
                <c:ptCount val="1"/>
                <c:pt idx="0">
                  <c:v>Space Heating</c:v>
                </c:pt>
              </c:strCache>
            </c:strRef>
          </c:tx>
          <c:spPr>
            <a:solidFill>
              <a:srgbClr val="C00000"/>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End-Use'!$H$62:$AA$62</c:f>
              <c:numCache>
                <c:formatCode>_(* #,##0_);_(* \(#,##0\);_(* "-"??_);_(@_)</c:formatCode>
                <c:ptCount val="20"/>
                <c:pt idx="0">
                  <c:v>0.99217698046505265</c:v>
                </c:pt>
                <c:pt idx="1">
                  <c:v>2.3023087426987847</c:v>
                </c:pt>
                <c:pt idx="2">
                  <c:v>3.9822114052180324</c:v>
                </c:pt>
                <c:pt idx="3">
                  <c:v>6.0357430124683935</c:v>
                </c:pt>
                <c:pt idx="4">
                  <c:v>8.5206124647825021</c:v>
                </c:pt>
                <c:pt idx="5">
                  <c:v>11.436000286909229</c:v>
                </c:pt>
                <c:pt idx="6">
                  <c:v>14.847019586722874</c:v>
                </c:pt>
                <c:pt idx="7">
                  <c:v>18.530907102556842</c:v>
                </c:pt>
                <c:pt idx="8">
                  <c:v>22.546655267512367</c:v>
                </c:pt>
                <c:pt idx="9">
                  <c:v>26.643759071859741</c:v>
                </c:pt>
                <c:pt idx="10">
                  <c:v>30.630250511872127</c:v>
                </c:pt>
                <c:pt idx="11">
                  <c:v>34.165570676455729</c:v>
                </c:pt>
                <c:pt idx="12">
                  <c:v>37.649402059339529</c:v>
                </c:pt>
                <c:pt idx="13">
                  <c:v>40.763538922904488</c:v>
                </c:pt>
                <c:pt idx="14">
                  <c:v>44.181808378592621</c:v>
                </c:pt>
                <c:pt idx="15">
                  <c:v>47.430412812536041</c:v>
                </c:pt>
                <c:pt idx="16">
                  <c:v>50.152047915024049</c:v>
                </c:pt>
                <c:pt idx="17">
                  <c:v>53.458595944947888</c:v>
                </c:pt>
                <c:pt idx="18">
                  <c:v>56.760774799867136</c:v>
                </c:pt>
                <c:pt idx="19">
                  <c:v>59.353792116584287</c:v>
                </c:pt>
              </c:numCache>
              <c:extLst/>
            </c:numRef>
          </c:val>
          <c:extLst xmlns:c15="http://schemas.microsoft.com/office/drawing/2012/chart">
            <c:ext xmlns:c16="http://schemas.microsoft.com/office/drawing/2014/chart" uri="{C3380CC4-5D6E-409C-BE32-E72D297353CC}">
              <c16:uniqueId val="{00000008-53A1-4C90-BD74-B768EA392FA4}"/>
            </c:ext>
          </c:extLst>
        </c:ser>
        <c:ser>
          <c:idx val="8"/>
          <c:order val="10"/>
          <c:tx>
            <c:strRef>
              <c:f>'Savings by End-Use'!$B$61</c:f>
              <c:strCache>
                <c:ptCount val="1"/>
                <c:pt idx="0">
                  <c:v>Cooling</c:v>
                </c:pt>
              </c:strCache>
            </c:strRef>
          </c:tx>
          <c:spPr>
            <a:solidFill>
              <a:schemeClr val="accent6"/>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End-Use'!$H$61:$AA$61</c:f>
              <c:numCache>
                <c:formatCode>_(* #,##0_);_(* \(#,##0\);_(* "-"??_);_(@_)</c:formatCode>
                <c:ptCount val="20"/>
                <c:pt idx="0">
                  <c:v>0.76851254465280394</c:v>
                </c:pt>
                <c:pt idx="1">
                  <c:v>1.5873520641734591</c:v>
                </c:pt>
                <c:pt idx="2">
                  <c:v>2.4772492309367333</c:v>
                </c:pt>
                <c:pt idx="3">
                  <c:v>3.4099278875984642</c:v>
                </c:pt>
                <c:pt idx="4">
                  <c:v>4.4417706977598828</c:v>
                </c:pt>
                <c:pt idx="5">
                  <c:v>5.4863204352201009</c:v>
                </c:pt>
                <c:pt idx="6">
                  <c:v>6.4995324558063121</c:v>
                </c:pt>
                <c:pt idx="7">
                  <c:v>7.4482375867817856</c:v>
                </c:pt>
                <c:pt idx="8">
                  <c:v>8.3758601534504535</c:v>
                </c:pt>
                <c:pt idx="9">
                  <c:v>9.2130843080310534</c:v>
                </c:pt>
                <c:pt idx="10">
                  <c:v>9.991107186015233</c:v>
                </c:pt>
                <c:pt idx="11">
                  <c:v>10.554153090132337</c:v>
                </c:pt>
                <c:pt idx="12">
                  <c:v>11.179448616708543</c:v>
                </c:pt>
                <c:pt idx="13">
                  <c:v>11.715248343383712</c:v>
                </c:pt>
                <c:pt idx="14">
                  <c:v>12.171620901974538</c:v>
                </c:pt>
                <c:pt idx="15">
                  <c:v>12.528456335718946</c:v>
                </c:pt>
                <c:pt idx="16">
                  <c:v>12.863389560681675</c:v>
                </c:pt>
                <c:pt idx="17">
                  <c:v>13.17599026907312</c:v>
                </c:pt>
                <c:pt idx="18">
                  <c:v>13.533350890736935</c:v>
                </c:pt>
                <c:pt idx="19">
                  <c:v>13.829111049712262</c:v>
                </c:pt>
              </c:numCache>
              <c:extLst/>
            </c:numRef>
          </c:val>
          <c:extLst xmlns:c15="http://schemas.microsoft.com/office/drawing/2012/chart">
            <c:ext xmlns:c16="http://schemas.microsoft.com/office/drawing/2014/chart" uri="{C3380CC4-5D6E-409C-BE32-E72D297353CC}">
              <c16:uniqueId val="{00000009-53A1-4C90-BD74-B768EA392FA4}"/>
            </c:ext>
          </c:extLst>
        </c:ser>
        <c:dLbls>
          <c:showLegendKey val="0"/>
          <c:showVal val="0"/>
          <c:showCatName val="0"/>
          <c:showSerName val="0"/>
          <c:showPercent val="0"/>
          <c:showBubbleSize val="0"/>
        </c:dLbls>
        <c:axId val="489724408"/>
        <c:axId val="489714240"/>
        <c:extLst>
          <c:ext xmlns:c15="http://schemas.microsoft.com/office/drawing/2012/chart" uri="{02D57815-91ED-43cb-92C2-25804820EDAC}">
            <c15:filteredAreaSeries>
              <c15:ser>
                <c:idx val="3"/>
                <c:order val="0"/>
                <c:tx>
                  <c:strRef>
                    <c:extLst>
                      <c:ext uri="{02D57815-91ED-43cb-92C2-25804820EDAC}">
                        <c15:formulaRef>
                          <c15:sqref>'Savings by End-Use'!$B$71</c15:sqref>
                        </c15:formulaRef>
                      </c:ext>
                    </c:extLst>
                    <c:strCache>
                      <c:ptCount val="1"/>
                      <c:pt idx="0">
                        <c:v>Total</c:v>
                      </c:pt>
                    </c:strCache>
                  </c:strRef>
                </c:tx>
                <c:cat>
                  <c:numRef>
                    <c:extLst>
                      <c:ext uri="{02D57815-91ED-43cb-92C2-25804820EDAC}">
                        <c15:formulaRef>
                          <c15:sqref>'Savings by End-Use'!$H$60:$AA$60</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c:ext uri="{02D57815-91ED-43cb-92C2-25804820EDAC}">
                        <c15:formulaRef>
                          <c15:sqref>'Savings by End-Use'!$H$71:$AA$71</c15:sqref>
                        </c15:formulaRef>
                      </c:ext>
                    </c:extLst>
                    <c:numCache>
                      <c:formatCode>_(* #,##0_);_(* \(#,##0\);_(* "-"??_);_(@_)</c:formatCode>
                      <c:ptCount val="20"/>
                      <c:pt idx="0">
                        <c:v>22.560214838110955</c:v>
                      </c:pt>
                      <c:pt idx="1">
                        <c:v>47.336642645053089</c:v>
                      </c:pt>
                      <c:pt idx="2">
                        <c:v>75.235202717249706</c:v>
                      </c:pt>
                      <c:pt idx="3">
                        <c:v>106.31305860073158</c:v>
                      </c:pt>
                      <c:pt idx="4">
                        <c:v>138.27303604838247</c:v>
                      </c:pt>
                      <c:pt idx="5">
                        <c:v>165.07605875898955</c:v>
                      </c:pt>
                      <c:pt idx="6">
                        <c:v>197.6447090203867</c:v>
                      </c:pt>
                      <c:pt idx="7">
                        <c:v>229.50607637880964</c:v>
                      </c:pt>
                      <c:pt idx="8">
                        <c:v>261.86124217968086</c:v>
                      </c:pt>
                      <c:pt idx="9">
                        <c:v>289.73642561320804</c:v>
                      </c:pt>
                      <c:pt idx="10">
                        <c:v>320.54336893782221</c:v>
                      </c:pt>
                      <c:pt idx="11">
                        <c:v>349.48820502587819</c:v>
                      </c:pt>
                      <c:pt idx="12">
                        <c:v>376.86826723871508</c:v>
                      </c:pt>
                      <c:pt idx="13">
                        <c:v>401.89728230184772</c:v>
                      </c:pt>
                      <c:pt idx="14">
                        <c:v>426.59265640477958</c:v>
                      </c:pt>
                      <c:pt idx="15">
                        <c:v>448.01351823935141</c:v>
                      </c:pt>
                      <c:pt idx="16">
                        <c:v>466.96497821340921</c:v>
                      </c:pt>
                      <c:pt idx="17">
                        <c:v>485.96522102933869</c:v>
                      </c:pt>
                      <c:pt idx="18">
                        <c:v>504.80534187155382</c:v>
                      </c:pt>
                      <c:pt idx="19">
                        <c:v>520.90214885296507</c:v>
                      </c:pt>
                    </c:numCache>
                  </c:numRef>
                </c:val>
                <c:extLst>
                  <c:ext xmlns:c16="http://schemas.microsoft.com/office/drawing/2014/chart" uri="{C3380CC4-5D6E-409C-BE32-E72D297353CC}">
                    <c16:uniqueId val="{0000000A-53A1-4C90-BD74-B768EA392FA4}"/>
                  </c:ext>
                </c:extLst>
              </c15:ser>
            </c15:filteredAreaSeries>
          </c:ext>
        </c:extLst>
      </c:areaChart>
      <c:catAx>
        <c:axId val="489724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89714240"/>
        <c:crosses val="autoZero"/>
        <c:auto val="1"/>
        <c:lblAlgn val="ctr"/>
        <c:lblOffset val="100"/>
        <c:tickLblSkip val="2"/>
        <c:noMultiLvlLbl val="0"/>
      </c:catAx>
      <c:valAx>
        <c:axId val="489714240"/>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pPr>
                <a:r>
                  <a:rPr lang="en-US" b="0"/>
                  <a:t>GWh</a:t>
                </a:r>
              </a:p>
            </c:rich>
          </c:tx>
          <c:overlay val="0"/>
        </c:title>
        <c:numFmt formatCode="_(* #,##0_);_(* \(#,##0\);_(* &quot;-&quot;??_);_(@_)" sourceLinked="1"/>
        <c:majorTickMark val="none"/>
        <c:minorTickMark val="none"/>
        <c:tickLblPos val="nextTo"/>
        <c:spPr>
          <a:noFill/>
          <a:ln>
            <a:noFill/>
          </a:ln>
          <a:effectLst/>
        </c:spPr>
        <c:txPr>
          <a:bodyPr rot="-60000000" vert="horz"/>
          <a:lstStyle/>
          <a:p>
            <a:pPr>
              <a:defRPr/>
            </a:pPr>
            <a:endParaRPr lang="en-US"/>
          </a:p>
        </c:txPr>
        <c:crossAx val="489724408"/>
        <c:crosses val="autoZero"/>
        <c:crossBetween val="between"/>
      </c:valAx>
      <c:spPr>
        <a:noFill/>
      </c:spPr>
    </c:plotArea>
    <c:legend>
      <c:legendPos val="r"/>
      <c:layout>
        <c:manualLayout>
          <c:xMode val="edge"/>
          <c:yMode val="edge"/>
          <c:x val="0.7900846745168717"/>
          <c:y val="0.18539345367818089"/>
          <c:w val="0.18945704373546882"/>
          <c:h val="0.71573639344889539"/>
        </c:manualLayout>
      </c:layout>
      <c:overlay val="0"/>
      <c:spPr>
        <a:noFill/>
        <a:ln>
          <a:noFill/>
        </a:ln>
        <a:effectLst/>
      </c:spPr>
      <c:txPr>
        <a:bodyPr rot="0" vert="horz" anchor="ctr" anchorCtr="0"/>
        <a:lstStyle/>
        <a:p>
          <a:pPr>
            <a:defRPr/>
          </a:pPr>
          <a:endParaRPr lang="en-US"/>
        </a:p>
      </c:txPr>
    </c:legend>
    <c:plotVisOnly val="1"/>
    <c:dispBlanksAs val="zero"/>
    <c:showDLblsOverMax val="0"/>
    <c:extLst/>
  </c:chart>
  <c:spPr>
    <a:solidFill>
      <a:schemeClr val="bg1"/>
    </a:solidFill>
    <a:ln w="9525" cap="flat" cmpd="sng" algn="ctr">
      <a:noFill/>
      <a:round/>
    </a:ln>
    <a:effectLst/>
  </c:spPr>
  <c:txPr>
    <a:bodyPr/>
    <a:lstStyle/>
    <a:p>
      <a:pPr>
        <a:defRPr sz="900">
          <a:solidFill>
            <a:schemeClr val="tx1">
              <a:lumMod val="65000"/>
              <a:lumOff val="35000"/>
            </a:schemeClr>
          </a:solidFill>
          <a:latin typeface="+mn-lt"/>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80473894609328"/>
          <c:y val="0.14367436743674367"/>
          <c:w val="0.56852800040385876"/>
          <c:h val="0.7454421662638705"/>
        </c:manualLayout>
      </c:layout>
      <c:areaChart>
        <c:grouping val="stacked"/>
        <c:varyColors val="0"/>
        <c:ser>
          <c:idx val="2"/>
          <c:order val="1"/>
          <c:tx>
            <c:strRef>
              <c:f>'Savings by End-Use'!$B$70</c:f>
              <c:strCache>
                <c:ptCount val="1"/>
                <c:pt idx="0">
                  <c:v>Miscellaneous</c:v>
                </c:pt>
              </c:strCache>
            </c:strRef>
          </c:tx>
          <c:spPr>
            <a:solidFill>
              <a:srgbClr val="808080"/>
            </a:solidFill>
            <a:ln>
              <a:solidFill>
                <a:srgbClr val="FFFFFF"/>
              </a:solidFill>
            </a:ln>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End-Use'!$H$70:$AA$70</c:f>
              <c:numCache>
                <c:formatCode>_(* #,##0_);_(* \(#,##0\);_(* "-"??_);_(@_)</c:formatCode>
                <c:ptCount val="20"/>
                <c:pt idx="0">
                  <c:v>0.10437428069324539</c:v>
                </c:pt>
                <c:pt idx="1">
                  <c:v>0.23806527367082533</c:v>
                </c:pt>
                <c:pt idx="2">
                  <c:v>0.40610466695134884</c:v>
                </c:pt>
                <c:pt idx="3">
                  <c:v>0.57708342499066223</c:v>
                </c:pt>
                <c:pt idx="4">
                  <c:v>0.79520973889143698</c:v>
                </c:pt>
                <c:pt idx="5">
                  <c:v>1.0534738983350869</c:v>
                </c:pt>
                <c:pt idx="6">
                  <c:v>1.3418058870475147</c:v>
                </c:pt>
                <c:pt idx="7">
                  <c:v>1.6469881528560246</c:v>
                </c:pt>
                <c:pt idx="8">
                  <c:v>1.9395650003832228</c:v>
                </c:pt>
                <c:pt idx="9">
                  <c:v>2.1975172970447412</c:v>
                </c:pt>
                <c:pt idx="10">
                  <c:v>2.402677793503603</c:v>
                </c:pt>
                <c:pt idx="11">
                  <c:v>2.5466139200528186</c:v>
                </c:pt>
                <c:pt idx="12">
                  <c:v>2.6395338014636414</c:v>
                </c:pt>
                <c:pt idx="13">
                  <c:v>2.6911842879630381</c:v>
                </c:pt>
                <c:pt idx="14">
                  <c:v>2.7195318693429607</c:v>
                </c:pt>
                <c:pt idx="15">
                  <c:v>2.7373976648319247</c:v>
                </c:pt>
                <c:pt idx="16">
                  <c:v>2.7445628304792495</c:v>
                </c:pt>
                <c:pt idx="17">
                  <c:v>2.7513716260465939</c:v>
                </c:pt>
                <c:pt idx="18">
                  <c:v>2.7597953484917936</c:v>
                </c:pt>
                <c:pt idx="19">
                  <c:v>2.7546966947658547</c:v>
                </c:pt>
              </c:numCache>
              <c:extLst/>
            </c:numRef>
          </c:val>
          <c:extLst>
            <c:ext xmlns:c16="http://schemas.microsoft.com/office/drawing/2014/chart" uri="{C3380CC4-5D6E-409C-BE32-E72D297353CC}">
              <c16:uniqueId val="{00000000-E592-484D-9E12-E815C317DCA1}"/>
            </c:ext>
          </c:extLst>
        </c:ser>
        <c:ser>
          <c:idx val="1"/>
          <c:order val="2"/>
          <c:tx>
            <c:strRef>
              <c:f>'Savings by End-Use'!$B$69</c:f>
              <c:strCache>
                <c:ptCount val="1"/>
                <c:pt idx="0">
                  <c:v>Office Equipment</c:v>
                </c:pt>
              </c:strCache>
            </c:strRef>
          </c:tx>
          <c:spPr>
            <a:solidFill>
              <a:srgbClr val="A98AE3"/>
            </a:solidFill>
            <a:ln>
              <a:solidFill>
                <a:schemeClr val="bg1"/>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End-Use'!$H$69:$AA$69</c:f>
              <c:numCache>
                <c:formatCode>_(* #,##0_);_(* \(#,##0\);_(* "-"??_);_(@_)</c:formatCode>
                <c:ptCount val="20"/>
                <c:pt idx="0">
                  <c:v>0.42068054179133169</c:v>
                </c:pt>
                <c:pt idx="1">
                  <c:v>1.1250758105657634</c:v>
                </c:pt>
                <c:pt idx="2">
                  <c:v>2.1326180128100347</c:v>
                </c:pt>
                <c:pt idx="3">
                  <c:v>3.5995026211792478</c:v>
                </c:pt>
                <c:pt idx="4">
                  <c:v>4.9677014357092037</c:v>
                </c:pt>
                <c:pt idx="5">
                  <c:v>6.2702951066918864</c:v>
                </c:pt>
                <c:pt idx="6">
                  <c:v>7.4937579769040186</c:v>
                </c:pt>
                <c:pt idx="7">
                  <c:v>8.4803558850950633</c:v>
                </c:pt>
                <c:pt idx="8">
                  <c:v>9.4836354887676997</c:v>
                </c:pt>
                <c:pt idx="9">
                  <c:v>10.551780542900971</c:v>
                </c:pt>
                <c:pt idx="10">
                  <c:v>11.73218289174563</c:v>
                </c:pt>
                <c:pt idx="11">
                  <c:v>12.91470188591196</c:v>
                </c:pt>
                <c:pt idx="12">
                  <c:v>13.812689196138463</c:v>
                </c:pt>
                <c:pt idx="13">
                  <c:v>14.502980610115344</c:v>
                </c:pt>
                <c:pt idx="14">
                  <c:v>14.952354148141385</c:v>
                </c:pt>
                <c:pt idx="15">
                  <c:v>15.243638117174809</c:v>
                </c:pt>
                <c:pt idx="16">
                  <c:v>15.61090792312778</c:v>
                </c:pt>
                <c:pt idx="17">
                  <c:v>15.980127347240229</c:v>
                </c:pt>
                <c:pt idx="18">
                  <c:v>16.319936243137914</c:v>
                </c:pt>
                <c:pt idx="19">
                  <c:v>16.60201395939022</c:v>
                </c:pt>
              </c:numCache>
              <c:extLst/>
            </c:numRef>
          </c:val>
          <c:extLst>
            <c:ext xmlns:c16="http://schemas.microsoft.com/office/drawing/2014/chart" uri="{C3380CC4-5D6E-409C-BE32-E72D297353CC}">
              <c16:uniqueId val="{00000001-E592-484D-9E12-E815C317DCA1}"/>
            </c:ext>
          </c:extLst>
        </c:ser>
        <c:ser>
          <c:idx val="0"/>
          <c:order val="3"/>
          <c:tx>
            <c:strRef>
              <c:f>'Savings by End-Use'!$B$68</c:f>
              <c:strCache>
                <c:ptCount val="1"/>
                <c:pt idx="0">
                  <c:v>Food Preparation</c:v>
                </c:pt>
              </c:strCache>
            </c:strRef>
          </c:tx>
          <c:spPr>
            <a:solidFill>
              <a:schemeClr val="accent3">
                <a:lumMod val="50000"/>
              </a:schemeClr>
            </a:solidFill>
            <a:ln>
              <a:solidFill>
                <a:srgbClr val="F6F6F7"/>
              </a:solidFill>
            </a:ln>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End-Use'!$H$68:$AA$68</c:f>
              <c:numCache>
                <c:formatCode>_(* #,##0_);_(* \(#,##0\);_(* "-"??_);_(@_)</c:formatCode>
                <c:ptCount val="20"/>
                <c:pt idx="0">
                  <c:v>4.0775701070524806E-2</c:v>
                </c:pt>
                <c:pt idx="1">
                  <c:v>0.12893076682333063</c:v>
                </c:pt>
                <c:pt idx="2">
                  <c:v>0.27058830840659537</c:v>
                </c:pt>
                <c:pt idx="3">
                  <c:v>0.4384455906887304</c:v>
                </c:pt>
                <c:pt idx="4">
                  <c:v>0.6385180532745055</c:v>
                </c:pt>
                <c:pt idx="5">
                  <c:v>0.85983303136273848</c:v>
                </c:pt>
                <c:pt idx="6">
                  <c:v>1.1018931640311151</c:v>
                </c:pt>
                <c:pt idx="7">
                  <c:v>1.3672613016551374</c:v>
                </c:pt>
                <c:pt idx="8">
                  <c:v>1.644375956328249</c:v>
                </c:pt>
                <c:pt idx="9">
                  <c:v>1.9249747208698782</c:v>
                </c:pt>
                <c:pt idx="10">
                  <c:v>2.1735866894445768</c:v>
                </c:pt>
                <c:pt idx="11">
                  <c:v>2.4156830893694479</c:v>
                </c:pt>
                <c:pt idx="12">
                  <c:v>2.6418753299124393</c:v>
                </c:pt>
                <c:pt idx="13">
                  <c:v>2.847898321020871</c:v>
                </c:pt>
                <c:pt idx="14">
                  <c:v>3.022731736966239</c:v>
                </c:pt>
                <c:pt idx="15">
                  <c:v>3.1586455622880187</c:v>
                </c:pt>
                <c:pt idx="16">
                  <c:v>3.2448993663550532</c:v>
                </c:pt>
                <c:pt idx="17">
                  <c:v>3.2937196133330708</c:v>
                </c:pt>
                <c:pt idx="18">
                  <c:v>3.3348105146170943</c:v>
                </c:pt>
                <c:pt idx="19">
                  <c:v>3.3604588245368978</c:v>
                </c:pt>
              </c:numCache>
              <c:extLst/>
            </c:numRef>
          </c:val>
          <c:extLst>
            <c:ext xmlns:c16="http://schemas.microsoft.com/office/drawing/2014/chart" uri="{C3380CC4-5D6E-409C-BE32-E72D297353CC}">
              <c16:uniqueId val="{00000002-E592-484D-9E12-E815C317DCA1}"/>
            </c:ext>
          </c:extLst>
        </c:ser>
        <c:ser>
          <c:idx val="12"/>
          <c:order val="4"/>
          <c:tx>
            <c:strRef>
              <c:f>'Savings by End-Use'!$B$67</c:f>
              <c:strCache>
                <c:ptCount val="1"/>
                <c:pt idx="0">
                  <c:v>Refrigeration</c:v>
                </c:pt>
              </c:strCache>
            </c:strRef>
          </c:tx>
          <c:spPr>
            <a:solidFill>
              <a:srgbClr val="3CD39C"/>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End-Use'!$H$67:$AA$67</c:f>
              <c:numCache>
                <c:formatCode>_(* #,##0_);_(* \(#,##0\);_(* "-"??_);_(@_)</c:formatCode>
                <c:ptCount val="20"/>
                <c:pt idx="0">
                  <c:v>0.72739944122862588</c:v>
                </c:pt>
                <c:pt idx="1">
                  <c:v>1.540158452793243</c:v>
                </c:pt>
                <c:pt idx="2">
                  <c:v>2.4520133084383189</c:v>
                </c:pt>
                <c:pt idx="3">
                  <c:v>3.4495637793398499</c:v>
                </c:pt>
                <c:pt idx="4">
                  <c:v>4.537190459605247</c:v>
                </c:pt>
                <c:pt idx="5">
                  <c:v>5.6890686600392453</c:v>
                </c:pt>
                <c:pt idx="6">
                  <c:v>6.8343044373194459</c:v>
                </c:pt>
                <c:pt idx="7">
                  <c:v>7.9214829495796542</c:v>
                </c:pt>
                <c:pt idx="8">
                  <c:v>8.939351903594158</c:v>
                </c:pt>
                <c:pt idx="9">
                  <c:v>9.8263500019716599</c:v>
                </c:pt>
                <c:pt idx="10">
                  <c:v>10.546589568260252</c:v>
                </c:pt>
                <c:pt idx="11">
                  <c:v>11.09031443796497</c:v>
                </c:pt>
                <c:pt idx="12">
                  <c:v>11.484300490161703</c:v>
                </c:pt>
                <c:pt idx="13">
                  <c:v>11.766371984967249</c:v>
                </c:pt>
                <c:pt idx="14">
                  <c:v>11.987957938132435</c:v>
                </c:pt>
                <c:pt idx="15">
                  <c:v>12.169642193646462</c:v>
                </c:pt>
                <c:pt idx="16">
                  <c:v>12.255954139766891</c:v>
                </c:pt>
                <c:pt idx="17">
                  <c:v>12.32462297827543</c:v>
                </c:pt>
                <c:pt idx="18">
                  <c:v>12.387942258643253</c:v>
                </c:pt>
                <c:pt idx="19">
                  <c:v>12.445759259397891</c:v>
                </c:pt>
              </c:numCache>
              <c:extLst/>
            </c:numRef>
          </c:val>
          <c:extLst>
            <c:ext xmlns:c16="http://schemas.microsoft.com/office/drawing/2014/chart" uri="{C3380CC4-5D6E-409C-BE32-E72D297353CC}">
              <c16:uniqueId val="{00000003-E592-484D-9E12-E815C317DCA1}"/>
            </c:ext>
          </c:extLst>
        </c:ser>
        <c:ser>
          <c:idx val="5"/>
          <c:order val="5"/>
          <c:tx>
            <c:strRef>
              <c:f>'Savings by End-Use'!$B$66</c:f>
              <c:strCache>
                <c:ptCount val="1"/>
                <c:pt idx="0">
                  <c:v>Exterior Lighting</c:v>
                </c:pt>
              </c:strCache>
            </c:strRef>
          </c:tx>
          <c:spPr>
            <a:solidFill>
              <a:schemeClr val="accent4">
                <a:lumMod val="50000"/>
              </a:schemeClr>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End-Use'!$H$66:$AA$66</c:f>
              <c:numCache>
                <c:formatCode>_(* #,##0_);_(* \(#,##0\);_(* "-"??_);_(@_)</c:formatCode>
                <c:ptCount val="20"/>
                <c:pt idx="0">
                  <c:v>0.69751731417429164</c:v>
                </c:pt>
                <c:pt idx="1">
                  <c:v>1.2651673084369985</c:v>
                </c:pt>
                <c:pt idx="2">
                  <c:v>1.8750723750119289</c:v>
                </c:pt>
                <c:pt idx="3">
                  <c:v>2.521463334571199</c:v>
                </c:pt>
                <c:pt idx="4">
                  <c:v>3.080220865875503</c:v>
                </c:pt>
                <c:pt idx="5">
                  <c:v>3.4846939823815406</c:v>
                </c:pt>
                <c:pt idx="6">
                  <c:v>4.1965128975456407</c:v>
                </c:pt>
                <c:pt idx="7">
                  <c:v>4.9269286965130021</c:v>
                </c:pt>
                <c:pt idx="8">
                  <c:v>5.673762656125378</c:v>
                </c:pt>
                <c:pt idx="9">
                  <c:v>6.0794821475692356</c:v>
                </c:pt>
                <c:pt idx="10">
                  <c:v>6.7517810710104458</c:v>
                </c:pt>
                <c:pt idx="11">
                  <c:v>7.4284918810518592</c:v>
                </c:pt>
                <c:pt idx="12">
                  <c:v>8.1207452118456906</c:v>
                </c:pt>
                <c:pt idx="13">
                  <c:v>8.7712778597484178</c:v>
                </c:pt>
                <c:pt idx="14">
                  <c:v>9.4311333753728679</c:v>
                </c:pt>
                <c:pt idx="15">
                  <c:v>9.9940978512786742</c:v>
                </c:pt>
                <c:pt idx="16">
                  <c:v>10.535569405290682</c:v>
                </c:pt>
                <c:pt idx="17">
                  <c:v>11.092292769620059</c:v>
                </c:pt>
                <c:pt idx="18">
                  <c:v>11.696312334600357</c:v>
                </c:pt>
                <c:pt idx="19">
                  <c:v>12.282547187331256</c:v>
                </c:pt>
              </c:numCache>
              <c:extLst/>
            </c:numRef>
          </c:val>
          <c:extLst>
            <c:ext xmlns:c16="http://schemas.microsoft.com/office/drawing/2014/chart" uri="{C3380CC4-5D6E-409C-BE32-E72D297353CC}">
              <c16:uniqueId val="{00000004-E592-484D-9E12-E815C317DCA1}"/>
            </c:ext>
          </c:extLst>
        </c:ser>
        <c:ser>
          <c:idx val="13"/>
          <c:order val="6"/>
          <c:tx>
            <c:strRef>
              <c:f>'Savings by End-Use'!$B$65</c:f>
              <c:strCache>
                <c:ptCount val="1"/>
                <c:pt idx="0">
                  <c:v>Interior Lighting</c:v>
                </c:pt>
              </c:strCache>
            </c:strRef>
          </c:tx>
          <c:spPr>
            <a:solidFill>
              <a:schemeClr val="accent4"/>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End-Use'!$H$65:$AA$65</c:f>
              <c:numCache>
                <c:formatCode>_(* #,##0_);_(* \(#,##0\);_(* "-"??_);_(@_)</c:formatCode>
                <c:ptCount val="20"/>
                <c:pt idx="0">
                  <c:v>3.8363788692834877</c:v>
                </c:pt>
                <c:pt idx="1">
                  <c:v>7.8047424288367999</c:v>
                </c:pt>
                <c:pt idx="2">
                  <c:v>12.112305085861895</c:v>
                </c:pt>
                <c:pt idx="3">
                  <c:v>16.710015722529349</c:v>
                </c:pt>
                <c:pt idx="4">
                  <c:v>20.840494696279706</c:v>
                </c:pt>
                <c:pt idx="5">
                  <c:v>23.207453595162352</c:v>
                </c:pt>
                <c:pt idx="6">
                  <c:v>27.918167365130866</c:v>
                </c:pt>
                <c:pt idx="7">
                  <c:v>32.72065389941983</c:v>
                </c:pt>
                <c:pt idx="8">
                  <c:v>37.559352785362854</c:v>
                </c:pt>
                <c:pt idx="9">
                  <c:v>41.299317182404508</c:v>
                </c:pt>
                <c:pt idx="10">
                  <c:v>46.64877381005811</c:v>
                </c:pt>
                <c:pt idx="11">
                  <c:v>52.012537740659276</c:v>
                </c:pt>
                <c:pt idx="12">
                  <c:v>57.423649148575954</c:v>
                </c:pt>
                <c:pt idx="13">
                  <c:v>62.758457369947614</c:v>
                </c:pt>
                <c:pt idx="14">
                  <c:v>68.162716457587933</c:v>
                </c:pt>
                <c:pt idx="15">
                  <c:v>72.997006245728173</c:v>
                </c:pt>
                <c:pt idx="16">
                  <c:v>77.749586975983064</c:v>
                </c:pt>
                <c:pt idx="17">
                  <c:v>82.58867783933249</c:v>
                </c:pt>
                <c:pt idx="18">
                  <c:v>87.760340299047627</c:v>
                </c:pt>
                <c:pt idx="19">
                  <c:v>92.824295802500117</c:v>
                </c:pt>
              </c:numCache>
              <c:extLst/>
            </c:numRef>
          </c:val>
          <c:extLst>
            <c:ext xmlns:c16="http://schemas.microsoft.com/office/drawing/2014/chart" uri="{C3380CC4-5D6E-409C-BE32-E72D297353CC}">
              <c16:uniqueId val="{00000005-E592-484D-9E12-E815C317DCA1}"/>
            </c:ext>
          </c:extLst>
        </c:ser>
        <c:ser>
          <c:idx val="6"/>
          <c:order val="7"/>
          <c:tx>
            <c:strRef>
              <c:f>'Savings by End-Use'!$B$64</c:f>
              <c:strCache>
                <c:ptCount val="1"/>
                <c:pt idx="0">
                  <c:v>Water Heating</c:v>
                </c:pt>
              </c:strCache>
            </c:strRef>
          </c:tx>
          <c:spPr>
            <a:solidFill>
              <a:schemeClr val="accent5"/>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End-Use'!$H$64:$AA$64</c:f>
              <c:numCache>
                <c:formatCode>_(* #,##0_);_(* \(#,##0\);_(* "-"??_);_(@_)</c:formatCode>
                <c:ptCount val="20"/>
                <c:pt idx="0">
                  <c:v>1.5923969083016625</c:v>
                </c:pt>
                <c:pt idx="1">
                  <c:v>3.2756597823811049</c:v>
                </c:pt>
                <c:pt idx="2">
                  <c:v>5.0557570212048999</c:v>
                </c:pt>
                <c:pt idx="3">
                  <c:v>6.936455843118865</c:v>
                </c:pt>
                <c:pt idx="4">
                  <c:v>8.9124213948088062</c:v>
                </c:pt>
                <c:pt idx="5">
                  <c:v>10.852732002774111</c:v>
                </c:pt>
                <c:pt idx="6">
                  <c:v>12.815451022725568</c:v>
                </c:pt>
                <c:pt idx="7">
                  <c:v>14.751720959249251</c:v>
                </c:pt>
                <c:pt idx="8">
                  <c:v>16.677922725604741</c:v>
                </c:pt>
                <c:pt idx="9">
                  <c:v>18.601487959618325</c:v>
                </c:pt>
                <c:pt idx="10">
                  <c:v>20.605538218263703</c:v>
                </c:pt>
                <c:pt idx="11">
                  <c:v>22.589936852557592</c:v>
                </c:pt>
                <c:pt idx="12">
                  <c:v>24.55702247240875</c:v>
                </c:pt>
                <c:pt idx="13">
                  <c:v>26.462871096812943</c:v>
                </c:pt>
                <c:pt idx="14">
                  <c:v>28.558514007855887</c:v>
                </c:pt>
                <c:pt idx="15">
                  <c:v>30.635818429188866</c:v>
                </c:pt>
                <c:pt idx="16">
                  <c:v>32.491259743484378</c:v>
                </c:pt>
                <c:pt idx="17">
                  <c:v>34.27882310312517</c:v>
                </c:pt>
                <c:pt idx="18">
                  <c:v>35.969210303114501</c:v>
                </c:pt>
                <c:pt idx="19">
                  <c:v>37.386897305180604</c:v>
                </c:pt>
              </c:numCache>
              <c:extLst/>
            </c:numRef>
          </c:val>
          <c:extLst>
            <c:ext xmlns:c16="http://schemas.microsoft.com/office/drawing/2014/chart" uri="{C3380CC4-5D6E-409C-BE32-E72D297353CC}">
              <c16:uniqueId val="{00000006-E592-484D-9E12-E815C317DCA1}"/>
            </c:ext>
          </c:extLst>
        </c:ser>
        <c:ser>
          <c:idx val="7"/>
          <c:order val="8"/>
          <c:tx>
            <c:strRef>
              <c:f>'Savings by End-Use'!$B$63</c:f>
              <c:strCache>
                <c:ptCount val="1"/>
                <c:pt idx="0">
                  <c:v>Ventilation</c:v>
                </c:pt>
              </c:strCache>
            </c:strRef>
          </c:tx>
          <c:spPr>
            <a:solidFill>
              <a:schemeClr val="accent6">
                <a:lumMod val="20000"/>
                <a:lumOff val="80000"/>
              </a:schemeClr>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End-Use'!$H$63:$AA$63</c:f>
              <c:numCache>
                <c:formatCode>_(* #,##0_);_(* \(#,##0\);_(* "-"??_);_(@_)</c:formatCode>
                <c:ptCount val="20"/>
                <c:pt idx="0">
                  <c:v>0.54198924022543049</c:v>
                </c:pt>
                <c:pt idx="1">
                  <c:v>1.1425624137955595</c:v>
                </c:pt>
                <c:pt idx="2">
                  <c:v>1.8242541732018731</c:v>
                </c:pt>
                <c:pt idx="3">
                  <c:v>2.6001641842044587</c:v>
                </c:pt>
                <c:pt idx="4">
                  <c:v>3.4936138145310496</c:v>
                </c:pt>
                <c:pt idx="5">
                  <c:v>4.5129454397673374</c:v>
                </c:pt>
                <c:pt idx="6">
                  <c:v>5.6683218072592707</c:v>
                </c:pt>
                <c:pt idx="7">
                  <c:v>6.9567088620506015</c:v>
                </c:pt>
                <c:pt idx="8">
                  <c:v>8.3495672466345194</c:v>
                </c:pt>
                <c:pt idx="9">
                  <c:v>9.8073688444032499</c:v>
                </c:pt>
                <c:pt idx="10">
                  <c:v>11.294380691205758</c:v>
                </c:pt>
                <c:pt idx="11">
                  <c:v>12.753096568027523</c:v>
                </c:pt>
                <c:pt idx="12">
                  <c:v>14.139617360895716</c:v>
                </c:pt>
                <c:pt idx="13">
                  <c:v>15.374895383378123</c:v>
                </c:pt>
                <c:pt idx="14">
                  <c:v>16.455899077322613</c:v>
                </c:pt>
                <c:pt idx="15">
                  <c:v>17.343713548305693</c:v>
                </c:pt>
                <c:pt idx="16">
                  <c:v>17.934444499922726</c:v>
                </c:pt>
                <c:pt idx="17">
                  <c:v>18.334882548124114</c:v>
                </c:pt>
                <c:pt idx="18">
                  <c:v>18.575306025736118</c:v>
                </c:pt>
                <c:pt idx="19">
                  <c:v>18.636729034322542</c:v>
                </c:pt>
              </c:numCache>
              <c:extLst/>
            </c:numRef>
          </c:val>
          <c:extLst>
            <c:ext xmlns:c16="http://schemas.microsoft.com/office/drawing/2014/chart" uri="{C3380CC4-5D6E-409C-BE32-E72D297353CC}">
              <c16:uniqueId val="{00000007-E592-484D-9E12-E815C317DCA1}"/>
            </c:ext>
          </c:extLst>
        </c:ser>
        <c:ser>
          <c:idx val="9"/>
          <c:order val="9"/>
          <c:tx>
            <c:strRef>
              <c:f>'Savings by End-Use'!$B$62</c:f>
              <c:strCache>
                <c:ptCount val="1"/>
                <c:pt idx="0">
                  <c:v>Space Heating</c:v>
                </c:pt>
              </c:strCache>
            </c:strRef>
          </c:tx>
          <c:spPr>
            <a:solidFill>
              <a:srgbClr val="C00000"/>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End-Use'!$H$62:$AA$62</c:f>
              <c:numCache>
                <c:formatCode>_(* #,##0_);_(* \(#,##0\);_(* "-"??_);_(@_)</c:formatCode>
                <c:ptCount val="20"/>
                <c:pt idx="0">
                  <c:v>0.43628633074970796</c:v>
                </c:pt>
                <c:pt idx="1">
                  <c:v>0.98943191212487447</c:v>
                </c:pt>
                <c:pt idx="2">
                  <c:v>1.6779649222869548</c:v>
                </c:pt>
                <c:pt idx="3">
                  <c:v>2.5016422830735583</c:v>
                </c:pt>
                <c:pt idx="4">
                  <c:v>3.480736765350692</c:v>
                </c:pt>
                <c:pt idx="5">
                  <c:v>4.6131163791875434</c:v>
                </c:pt>
                <c:pt idx="6">
                  <c:v>5.9253118215652139</c:v>
                </c:pt>
                <c:pt idx="7">
                  <c:v>7.3213541541723082</c:v>
                </c:pt>
                <c:pt idx="8">
                  <c:v>8.7895692345898322</c:v>
                </c:pt>
                <c:pt idx="9">
                  <c:v>10.285553321619076</c:v>
                </c:pt>
                <c:pt idx="10">
                  <c:v>11.734905085313889</c:v>
                </c:pt>
                <c:pt idx="11">
                  <c:v>12.975228866591115</c:v>
                </c:pt>
                <c:pt idx="12">
                  <c:v>14.187071697652366</c:v>
                </c:pt>
                <c:pt idx="13">
                  <c:v>15.262887323383683</c:v>
                </c:pt>
                <c:pt idx="14">
                  <c:v>16.447312349236689</c:v>
                </c:pt>
                <c:pt idx="15">
                  <c:v>17.611028116951328</c:v>
                </c:pt>
                <c:pt idx="16">
                  <c:v>18.593188313174455</c:v>
                </c:pt>
                <c:pt idx="17">
                  <c:v>19.774664480612188</c:v>
                </c:pt>
                <c:pt idx="18">
                  <c:v>20.969299859763201</c:v>
                </c:pt>
                <c:pt idx="19">
                  <c:v>22.025712710779001</c:v>
                </c:pt>
              </c:numCache>
              <c:extLst/>
            </c:numRef>
          </c:val>
          <c:extLst xmlns:c15="http://schemas.microsoft.com/office/drawing/2012/chart">
            <c:ext xmlns:c16="http://schemas.microsoft.com/office/drawing/2014/chart" uri="{C3380CC4-5D6E-409C-BE32-E72D297353CC}">
              <c16:uniqueId val="{00000008-E592-484D-9E12-E815C317DCA1}"/>
            </c:ext>
          </c:extLst>
        </c:ser>
        <c:ser>
          <c:idx val="8"/>
          <c:order val="10"/>
          <c:tx>
            <c:strRef>
              <c:f>'Savings by End-Use'!$B$61</c:f>
              <c:strCache>
                <c:ptCount val="1"/>
                <c:pt idx="0">
                  <c:v>Cooling</c:v>
                </c:pt>
              </c:strCache>
            </c:strRef>
          </c:tx>
          <c:spPr>
            <a:solidFill>
              <a:schemeClr val="accent6"/>
            </a:solidFill>
            <a:ln w="9525">
              <a:solidFill>
                <a:srgbClr val="F6F6F7"/>
              </a:solidFill>
            </a:ln>
            <a:effectLst>
              <a:outerShdw blurRad="50800" dist="38100" dir="2700000" algn="tl" rotWithShape="0">
                <a:prstClr val="black">
                  <a:alpha val="40000"/>
                </a:prstClr>
              </a:outerShdw>
            </a:effectLst>
          </c:spPr>
          <c:cat>
            <c:numRef>
              <c:f>'Savings by End-Use'!$H$60:$AA$60</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End-Use'!$H$61:$AA$61</c:f>
              <c:numCache>
                <c:formatCode>_(* #,##0_);_(* \(#,##0\);_(* "-"??_);_(@_)</c:formatCode>
                <c:ptCount val="20"/>
                <c:pt idx="0">
                  <c:v>0.3071995526555289</c:v>
                </c:pt>
                <c:pt idx="1">
                  <c:v>0.62663347539684955</c:v>
                </c:pt>
                <c:pt idx="2">
                  <c:v>0.96393778709764966</c:v>
                </c:pt>
                <c:pt idx="3">
                  <c:v>1.3101587285393803</c:v>
                </c:pt>
                <c:pt idx="4">
                  <c:v>1.6840431747493778</c:v>
                </c:pt>
                <c:pt idx="5">
                  <c:v>2.0456719696553716</c:v>
                </c:pt>
                <c:pt idx="6">
                  <c:v>2.3796889344991707</c:v>
                </c:pt>
                <c:pt idx="7">
                  <c:v>2.6777179856679272</c:v>
                </c:pt>
                <c:pt idx="8">
                  <c:v>2.9552277870642802</c:v>
                </c:pt>
                <c:pt idx="9">
                  <c:v>3.2113389359499074</c:v>
                </c:pt>
                <c:pt idx="10">
                  <c:v>3.457969712918453</c:v>
                </c:pt>
                <c:pt idx="11">
                  <c:v>3.6336609041893286</c:v>
                </c:pt>
                <c:pt idx="12">
                  <c:v>3.8403025349844278</c:v>
                </c:pt>
                <c:pt idx="13">
                  <c:v>4.0239307707121554</c:v>
                </c:pt>
                <c:pt idx="14">
                  <c:v>4.1683967210342177</c:v>
                </c:pt>
                <c:pt idx="15">
                  <c:v>4.3001665679541077</c:v>
                </c:pt>
                <c:pt idx="16">
                  <c:v>4.4191520204759156</c:v>
                </c:pt>
                <c:pt idx="17">
                  <c:v>4.5266177081451282</c:v>
                </c:pt>
                <c:pt idx="18">
                  <c:v>4.6529462738079967</c:v>
                </c:pt>
                <c:pt idx="19">
                  <c:v>4.7849881336872171</c:v>
                </c:pt>
              </c:numCache>
              <c:extLst/>
            </c:numRef>
          </c:val>
          <c:extLst xmlns:c15="http://schemas.microsoft.com/office/drawing/2012/chart">
            <c:ext xmlns:c16="http://schemas.microsoft.com/office/drawing/2014/chart" uri="{C3380CC4-5D6E-409C-BE32-E72D297353CC}">
              <c16:uniqueId val="{00000009-E592-484D-9E12-E815C317DCA1}"/>
            </c:ext>
          </c:extLst>
        </c:ser>
        <c:dLbls>
          <c:showLegendKey val="0"/>
          <c:showVal val="0"/>
          <c:showCatName val="0"/>
          <c:showSerName val="0"/>
          <c:showPercent val="0"/>
          <c:showBubbleSize val="0"/>
        </c:dLbls>
        <c:axId val="489724408"/>
        <c:axId val="489714240"/>
        <c:extLst>
          <c:ext xmlns:c15="http://schemas.microsoft.com/office/drawing/2012/chart" uri="{02D57815-91ED-43cb-92C2-25804820EDAC}">
            <c15:filteredAreaSeries>
              <c15:ser>
                <c:idx val="3"/>
                <c:order val="0"/>
                <c:tx>
                  <c:strRef>
                    <c:extLst>
                      <c:ext uri="{02D57815-91ED-43cb-92C2-25804820EDAC}">
                        <c15:formulaRef>
                          <c15:sqref>'Savings by End-Use'!$B$71</c15:sqref>
                        </c15:formulaRef>
                      </c:ext>
                    </c:extLst>
                    <c:strCache>
                      <c:ptCount val="1"/>
                      <c:pt idx="0">
                        <c:v>Total</c:v>
                      </c:pt>
                    </c:strCache>
                  </c:strRef>
                </c:tx>
                <c:cat>
                  <c:numRef>
                    <c:extLst>
                      <c:ext uri="{02D57815-91ED-43cb-92C2-25804820EDAC}">
                        <c15:formulaRef>
                          <c15:sqref>'Savings by End-Use'!$H$60:$AA$60</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c:ext uri="{02D57815-91ED-43cb-92C2-25804820EDAC}">
                        <c15:formulaRef>
                          <c15:sqref>'Savings by End-Use'!$H$71:$AA$71</c15:sqref>
                        </c15:formulaRef>
                      </c:ext>
                    </c:extLst>
                    <c:numCache>
                      <c:formatCode>_(* #,##0_);_(* \(#,##0\);_(* "-"??_);_(@_)</c:formatCode>
                      <c:ptCount val="20"/>
                      <c:pt idx="0">
                        <c:v>8.7049981801738383</c:v>
                      </c:pt>
                      <c:pt idx="1">
                        <c:v>18.136427624825338</c:v>
                      </c:pt>
                      <c:pt idx="2">
                        <c:v>28.770615661271513</c:v>
                      </c:pt>
                      <c:pt idx="3">
                        <c:v>40.644495512235281</c:v>
                      </c:pt>
                      <c:pt idx="4">
                        <c:v>52.430150399075515</c:v>
                      </c:pt>
                      <c:pt idx="5">
                        <c:v>62.589284065357219</c:v>
                      </c:pt>
                      <c:pt idx="6">
                        <c:v>75.675215314027838</c:v>
                      </c:pt>
                      <c:pt idx="7">
                        <c:v>88.771172846258807</c:v>
                      </c:pt>
                      <c:pt idx="8">
                        <c:v>102.0123307844549</c:v>
                      </c:pt>
                      <c:pt idx="9">
                        <c:v>113.7851709543515</c:v>
                      </c:pt>
                      <c:pt idx="10">
                        <c:v>127.34838553172445</c:v>
                      </c:pt>
                      <c:pt idx="11">
                        <c:v>140.36026614637598</c:v>
                      </c:pt>
                      <c:pt idx="12">
                        <c:v>152.84680724403927</c:v>
                      </c:pt>
                      <c:pt idx="13">
                        <c:v>164.46275500804956</c:v>
                      </c:pt>
                      <c:pt idx="14">
                        <c:v>175.90654768099321</c:v>
                      </c:pt>
                      <c:pt idx="15">
                        <c:v>186.19115429734794</c:v>
                      </c:pt>
                      <c:pt idx="16">
                        <c:v>195.57952521806033</c:v>
                      </c:pt>
                      <c:pt idx="17">
                        <c:v>204.94580001385435</c:v>
                      </c:pt>
                      <c:pt idx="18">
                        <c:v>214.42589946095998</c:v>
                      </c:pt>
                      <c:pt idx="19">
                        <c:v>223.10409891189158</c:v>
                      </c:pt>
                    </c:numCache>
                  </c:numRef>
                </c:val>
                <c:extLst>
                  <c:ext xmlns:c16="http://schemas.microsoft.com/office/drawing/2014/chart" uri="{C3380CC4-5D6E-409C-BE32-E72D297353CC}">
                    <c16:uniqueId val="{0000000A-E592-484D-9E12-E815C317DCA1}"/>
                  </c:ext>
                </c:extLst>
              </c15:ser>
            </c15:filteredAreaSeries>
          </c:ext>
        </c:extLst>
      </c:areaChart>
      <c:catAx>
        <c:axId val="489724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489714240"/>
        <c:crosses val="autoZero"/>
        <c:auto val="1"/>
        <c:lblAlgn val="ctr"/>
        <c:lblOffset val="100"/>
        <c:tickLblSkip val="2"/>
        <c:noMultiLvlLbl val="0"/>
      </c:catAx>
      <c:valAx>
        <c:axId val="489714240"/>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GWh</a:t>
                </a:r>
              </a:p>
            </c:rich>
          </c:tx>
          <c:overlay val="0"/>
        </c:title>
        <c:numFmt formatCode="_(* #,##0_);_(* \(#,##0\);_(* &quot;-&quot;??_);_(@_)"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489724408"/>
        <c:crosses val="autoZero"/>
        <c:crossBetween val="between"/>
      </c:valAx>
      <c:spPr>
        <a:noFill/>
      </c:spPr>
    </c:plotArea>
    <c:legend>
      <c:legendPos val="r"/>
      <c:layout>
        <c:manualLayout>
          <c:xMode val="edge"/>
          <c:yMode val="edge"/>
          <c:x val="0.79008470749690796"/>
          <c:y val="0.19349219740927587"/>
          <c:w val="0.18945704373546882"/>
          <c:h val="0.68334127271092437"/>
        </c:manualLayout>
      </c:layout>
      <c:overlay val="0"/>
      <c:spPr>
        <a:noFill/>
        <a:ln>
          <a:noFill/>
        </a:ln>
        <a:effectLst/>
      </c:spPr>
      <c:txPr>
        <a:bodyPr rot="0" vert="horz" anchor="ctr" anchorCtr="0"/>
        <a:lstStyle/>
        <a:p>
          <a:pPr>
            <a:defRPr/>
          </a:pPr>
          <a:endParaRPr lang="en-US"/>
        </a:p>
      </c:txPr>
    </c:legend>
    <c:plotVisOnly val="1"/>
    <c:dispBlanksAs val="zero"/>
    <c:showDLblsOverMax val="0"/>
    <c:extLst/>
  </c:chart>
  <c:spPr>
    <a:solidFill>
      <a:srgbClr val="F6F6F7"/>
    </a:solidFill>
    <a:ln w="9525" cap="flat" cmpd="sng" algn="ctr">
      <a:noFill/>
      <a:round/>
    </a:ln>
    <a:effectLst/>
  </c:spPr>
  <c:txPr>
    <a:bodyPr/>
    <a:lstStyle/>
    <a:p>
      <a:pPr>
        <a:defRPr sz="900">
          <a:solidFill>
            <a:schemeClr val="tx1">
              <a:lumMod val="65000"/>
              <a:lumOff val="35000"/>
            </a:schemeClr>
          </a:solidFill>
          <a:latin typeface="+mn-lt"/>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975842907277041"/>
          <c:y val="4.9704491600765087E-2"/>
          <c:w val="0.74840476401124012"/>
          <c:h val="0.71799175103112112"/>
        </c:manualLayout>
      </c:layout>
      <c:barChart>
        <c:barDir val="col"/>
        <c:grouping val="clustered"/>
        <c:varyColors val="0"/>
        <c:ser>
          <c:idx val="13"/>
          <c:order val="0"/>
          <c:tx>
            <c:strRef>
              <c:f>'Potential Summary (2)'!$B$16</c:f>
              <c:strCache>
                <c:ptCount val="1"/>
                <c:pt idx="0">
                  <c:v>Achievable Economic TRC Potential</c:v>
                </c:pt>
              </c:strCache>
            </c:strRef>
          </c:tx>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(2)'!$C$16:$H$16</c:f>
            </c:numRef>
          </c:val>
          <c:extLst xmlns:c15="http://schemas.microsoft.com/office/drawing/2012/chart">
            <c:ext xmlns:c16="http://schemas.microsoft.com/office/drawing/2014/chart" uri="{C3380CC4-5D6E-409C-BE32-E72D297353CC}">
              <c16:uniqueId val="{00000000-9A4C-47AB-8FD3-BE3C382B027F}"/>
            </c:ext>
          </c:extLst>
        </c:ser>
        <c:ser>
          <c:idx val="14"/>
          <c:order val="1"/>
          <c:tx>
            <c:strRef>
              <c:f>'Potential Summary'!$B$17</c:f>
              <c:strCache>
                <c:ptCount val="1"/>
                <c:pt idx="0">
                  <c:v>Maximum Achievable Potential</c:v>
                </c:pt>
              </c:strCache>
            </c:strRef>
          </c:tx>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Summary'!$C$17:$H$17</c:f>
            </c:numRef>
          </c:val>
          <c:extLst>
            <c:ext xmlns:c16="http://schemas.microsoft.com/office/drawing/2014/chart" uri="{C3380CC4-5D6E-409C-BE32-E72D297353CC}">
              <c16:uniqueId val="{00000001-9A4C-47AB-8FD3-BE3C382B027F}"/>
            </c:ext>
          </c:extLst>
        </c:ser>
        <c:ser>
          <c:idx val="15"/>
          <c:order val="2"/>
          <c:tx>
            <c:strRef>
              <c:f>'Potential Summary (2)'!$B$18</c:f>
              <c:strCache>
                <c:ptCount val="1"/>
                <c:pt idx="0">
                  <c:v>Technical Achievable Potential</c:v>
                </c:pt>
              </c:strCache>
            </c:strRef>
          </c:tx>
          <c:spPr>
            <a:solidFill>
              <a:srgbClr val="3CD39C"/>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(2)'!$C$18:$H$18</c:f>
              <c:numCache>
                <c:formatCode>0.0%</c:formatCode>
                <c:ptCount val="6"/>
                <c:pt idx="0">
                  <c:v>8.7746005013977519E-3</c:v>
                </c:pt>
                <c:pt idx="1">
                  <c:v>1.8551811498296891E-2</c:v>
                </c:pt>
                <c:pt idx="2">
                  <c:v>2.9600025979831981E-2</c:v>
                </c:pt>
                <c:pt idx="3">
                  <c:v>5.4727154533988284E-2</c:v>
                </c:pt>
                <c:pt idx="4">
                  <c:v>0.12421390371326879</c:v>
                </c:pt>
                <c:pt idx="5">
                  <c:v>0.18113323923798855</c:v>
                </c:pt>
              </c:numCache>
            </c:numRef>
          </c:val>
          <c:extLst>
            <c:ext xmlns:c16="http://schemas.microsoft.com/office/drawing/2014/chart" uri="{C3380CC4-5D6E-409C-BE32-E72D297353CC}">
              <c16:uniqueId val="{00000002-9A4C-47AB-8FD3-BE3C382B027F}"/>
            </c:ext>
          </c:extLst>
        </c:ser>
        <c:ser>
          <c:idx val="16"/>
          <c:order val="3"/>
          <c:tx>
            <c:strRef>
              <c:f>'Potential Summary (2)'!$B$19</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(2)'!$C$19:$H$19</c:f>
              <c:numCache>
                <c:formatCode>0.0%</c:formatCode>
                <c:ptCount val="6"/>
                <c:pt idx="0">
                  <c:v>1.1852703116131263E-2</c:v>
                </c:pt>
                <c:pt idx="1">
                  <c:v>2.459648266324067E-2</c:v>
                </c:pt>
                <c:pt idx="2">
                  <c:v>3.8653257102595387E-2</c:v>
                </c:pt>
                <c:pt idx="3">
                  <c:v>6.9790776347676484E-2</c:v>
                </c:pt>
                <c:pt idx="4">
                  <c:v>0.15302659451003273</c:v>
                </c:pt>
                <c:pt idx="5">
                  <c:v>0.22206775793387398</c:v>
                </c:pt>
              </c:numCache>
            </c:numRef>
          </c:val>
          <c:extLst>
            <c:ext xmlns:c16="http://schemas.microsoft.com/office/drawing/2014/chart" uri="{C3380CC4-5D6E-409C-BE32-E72D297353CC}">
              <c16:uniqueId val="{00000003-9A4C-47AB-8FD3-BE3C382B027F}"/>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overlay val="0"/>
        </c:title>
        <c:numFmt formatCode="0.0%"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239081183"/>
        <c:crosses val="autoZero"/>
        <c:crossBetween val="between"/>
      </c:valAx>
    </c:plotArea>
    <c:legend>
      <c:legendPos val="b"/>
      <c:overlay val="0"/>
      <c:txPr>
        <a:bodyPr rot="0" vert="horz"/>
        <a:lstStyle/>
        <a:p>
          <a:pPr>
            <a:defRPr>
              <a:solidFill>
                <a:schemeClr val="tx1">
                  <a:lumMod val="75000"/>
                  <a:lumOff val="25000"/>
                </a:schemeClr>
              </a:solidFill>
            </a:defRPr>
          </a:pPr>
          <a:endParaRPr lang="en-US"/>
        </a:p>
      </c:txPr>
    </c:legend>
    <c:plotVisOnly val="1"/>
    <c:dispBlanksAs val="gap"/>
    <c:showDLblsOverMax val="0"/>
  </c:chart>
  <c:spPr>
    <a:no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93606417175382"/>
          <c:y val="4.9704491600765087E-2"/>
          <c:w val="0.77622712891225676"/>
          <c:h val="0.74089275942980615"/>
        </c:manualLayout>
      </c:layout>
      <c:barChart>
        <c:barDir val="col"/>
        <c:grouping val="clustered"/>
        <c:varyColors val="0"/>
        <c:ser>
          <c:idx val="13"/>
          <c:order val="0"/>
          <c:tx>
            <c:strRef>
              <c:f>'Potential Summary (2)'!$B$16</c:f>
              <c:strCache>
                <c:ptCount val="1"/>
                <c:pt idx="0">
                  <c:v>Achievable Economic TRC Potential</c:v>
                </c:pt>
              </c:strCache>
            </c:strRef>
          </c:tx>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(2)'!$C$16:$H$16</c:f>
            </c:numRef>
          </c:val>
          <c:extLst xmlns:c15="http://schemas.microsoft.com/office/drawing/2012/chart">
            <c:ext xmlns:c16="http://schemas.microsoft.com/office/drawing/2014/chart" uri="{C3380CC4-5D6E-409C-BE32-E72D297353CC}">
              <c16:uniqueId val="{00000000-5115-416D-9395-3B0D82FC7E46}"/>
            </c:ext>
          </c:extLst>
        </c:ser>
        <c:ser>
          <c:idx val="14"/>
          <c:order val="1"/>
          <c:tx>
            <c:strRef>
              <c:f>'Potential Summary'!$B$17</c:f>
              <c:strCache>
                <c:ptCount val="1"/>
                <c:pt idx="0">
                  <c:v>Maximum Achievable Potential</c:v>
                </c:pt>
              </c:strCache>
            </c:strRef>
          </c:tx>
          <c:invertIfNegative val="0"/>
          <c:cat>
            <c:numRef>
              <c:f>'Potential Summary'!$C$3:$H$3</c:f>
              <c:numCache>
                <c:formatCode>General</c:formatCode>
                <c:ptCount val="6"/>
                <c:pt idx="0">
                  <c:v>2026</c:v>
                </c:pt>
                <c:pt idx="1">
                  <c:v>2027</c:v>
                </c:pt>
                <c:pt idx="2">
                  <c:v>2028</c:v>
                </c:pt>
                <c:pt idx="3">
                  <c:v>2030</c:v>
                </c:pt>
                <c:pt idx="4">
                  <c:v>2035</c:v>
                </c:pt>
                <c:pt idx="5">
                  <c:v>2045</c:v>
                </c:pt>
              </c:numCache>
            </c:numRef>
          </c:cat>
          <c:val>
            <c:numRef>
              <c:f>'Potential Summary'!$C$17:$H$17</c:f>
            </c:numRef>
          </c:val>
          <c:extLst>
            <c:ext xmlns:c16="http://schemas.microsoft.com/office/drawing/2014/chart" uri="{C3380CC4-5D6E-409C-BE32-E72D297353CC}">
              <c16:uniqueId val="{00000001-5115-416D-9395-3B0D82FC7E46}"/>
            </c:ext>
          </c:extLst>
        </c:ser>
        <c:ser>
          <c:idx val="15"/>
          <c:order val="2"/>
          <c:tx>
            <c:strRef>
              <c:f>'Potential Summary (2)'!$B$18</c:f>
              <c:strCache>
                <c:ptCount val="1"/>
                <c:pt idx="0">
                  <c:v>Technical Achievable Potential</c:v>
                </c:pt>
              </c:strCache>
            </c:strRef>
          </c:tx>
          <c:spPr>
            <a:solidFill>
              <a:srgbClr val="3CD39C"/>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(2)'!$C$18:$H$18</c:f>
              <c:numCache>
                <c:formatCode>0.0%</c:formatCode>
                <c:ptCount val="6"/>
                <c:pt idx="0">
                  <c:v>8.951745494903551E-3</c:v>
                </c:pt>
                <c:pt idx="1">
                  <c:v>1.8972524110499805E-2</c:v>
                </c:pt>
                <c:pt idx="2">
                  <c:v>3.0398579540221966E-2</c:v>
                </c:pt>
                <c:pt idx="3">
                  <c:v>5.6485123829494013E-2</c:v>
                </c:pt>
                <c:pt idx="4">
                  <c:v>0.12900711737185133</c:v>
                </c:pt>
                <c:pt idx="5">
                  <c:v>0.19301778999561042</c:v>
                </c:pt>
              </c:numCache>
            </c:numRef>
          </c:val>
          <c:extLst>
            <c:ext xmlns:c16="http://schemas.microsoft.com/office/drawing/2014/chart" uri="{C3380CC4-5D6E-409C-BE32-E72D297353CC}">
              <c16:uniqueId val="{00000002-5115-416D-9395-3B0D82FC7E46}"/>
            </c:ext>
          </c:extLst>
        </c:ser>
        <c:ser>
          <c:idx val="16"/>
          <c:order val="3"/>
          <c:tx>
            <c:strRef>
              <c:f>'Potential Summary (2)'!$B$19</c:f>
              <c:strCache>
                <c:ptCount val="1"/>
                <c:pt idx="0">
                  <c:v>Technical Potential</c:v>
                </c:pt>
              </c:strCache>
            </c:strRef>
          </c:tx>
          <c:spPr>
            <a:solidFill>
              <a:srgbClr val="FFA35B"/>
            </a:solidFill>
            <a:ln w="12700">
              <a:solidFill>
                <a:sysClr val="window" lastClr="FFFFFF"/>
              </a:solidFill>
            </a:ln>
            <a:effectLst>
              <a:outerShdw blurRad="50800" dist="38100" dir="2700000" algn="tl" rotWithShape="0">
                <a:prstClr val="black">
                  <a:alpha val="40000"/>
                </a:prstClr>
              </a:outerShdw>
            </a:effectLst>
          </c:spPr>
          <c:invertIfNegative val="0"/>
          <c:cat>
            <c:numRef>
              <c:f>'Potential Summary (2)'!$C$3:$H$3</c:f>
              <c:numCache>
                <c:formatCode>General</c:formatCode>
                <c:ptCount val="6"/>
                <c:pt idx="0">
                  <c:v>2026</c:v>
                </c:pt>
                <c:pt idx="1">
                  <c:v>2027</c:v>
                </c:pt>
                <c:pt idx="2">
                  <c:v>2028</c:v>
                </c:pt>
                <c:pt idx="3">
                  <c:v>2030</c:v>
                </c:pt>
                <c:pt idx="4">
                  <c:v>2035</c:v>
                </c:pt>
                <c:pt idx="5">
                  <c:v>2045</c:v>
                </c:pt>
              </c:numCache>
            </c:numRef>
          </c:cat>
          <c:val>
            <c:numRef>
              <c:f>'Potential Summary (2)'!$C$19:$H$19</c:f>
              <c:numCache>
                <c:formatCode>0.0%</c:formatCode>
                <c:ptCount val="6"/>
                <c:pt idx="0">
                  <c:v>1.2040418323840299E-2</c:v>
                </c:pt>
                <c:pt idx="1">
                  <c:v>2.5100396577819872E-2</c:v>
                </c:pt>
                <c:pt idx="2">
                  <c:v>3.9638393172401039E-2</c:v>
                </c:pt>
                <c:pt idx="3">
                  <c:v>7.1962458990642825E-2</c:v>
                </c:pt>
                <c:pt idx="4">
                  <c:v>0.1587879685782714</c:v>
                </c:pt>
                <c:pt idx="5">
                  <c:v>0.23558914438591738</c:v>
                </c:pt>
              </c:numCache>
            </c:numRef>
          </c:val>
          <c:extLst>
            <c:ext xmlns:c16="http://schemas.microsoft.com/office/drawing/2014/chart" uri="{C3380CC4-5D6E-409C-BE32-E72D297353CC}">
              <c16:uniqueId val="{00000003-5115-416D-9395-3B0D82FC7E46}"/>
            </c:ext>
          </c:extLst>
        </c:ser>
        <c:dLbls>
          <c:showLegendKey val="0"/>
          <c:showVal val="0"/>
          <c:showCatName val="0"/>
          <c:showSerName val="0"/>
          <c:showPercent val="0"/>
          <c:showBubbleSize val="0"/>
        </c:dLbls>
        <c:gapWidth val="50"/>
        <c:axId val="239081183"/>
        <c:axId val="239084791"/>
        <c:extLst/>
      </c:barChart>
      <c:catAx>
        <c:axId val="239081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en-US"/>
          </a:p>
        </c:txPr>
        <c:crossAx val="239084791"/>
        <c:crosses val="autoZero"/>
        <c:auto val="1"/>
        <c:lblAlgn val="ctr"/>
        <c:lblOffset val="100"/>
        <c:tickLblSkip val="1"/>
        <c:noMultiLvlLbl val="0"/>
      </c:catAx>
      <c:valAx>
        <c:axId val="239084791"/>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 of Baseline</a:t>
                </a:r>
              </a:p>
            </c:rich>
          </c:tx>
          <c:overlay val="0"/>
        </c:title>
        <c:numFmt formatCode="0.0%" sourceLinked="1"/>
        <c:majorTickMark val="none"/>
        <c:minorTickMark val="none"/>
        <c:tickLblPos val="nextTo"/>
        <c:spPr>
          <a:noFill/>
          <a:ln>
            <a:noFill/>
          </a:ln>
          <a:effectLst/>
        </c:spPr>
        <c:txPr>
          <a:bodyPr rot="-60000000" vert="horz"/>
          <a:lstStyle/>
          <a:p>
            <a:pPr>
              <a:defRPr>
                <a:solidFill>
                  <a:schemeClr val="tx1">
                    <a:lumMod val="75000"/>
                    <a:lumOff val="25000"/>
                  </a:schemeClr>
                </a:solidFill>
              </a:defRPr>
            </a:pPr>
            <a:endParaRPr lang="en-US"/>
          </a:p>
        </c:txPr>
        <c:crossAx val="239081183"/>
        <c:crosses val="autoZero"/>
        <c:crossBetween val="between"/>
      </c:valAx>
      <c:spPr>
        <a:solidFill>
          <a:srgbClr val="F6F6F7"/>
        </a:solidFill>
      </c:spPr>
    </c:plotArea>
    <c:legend>
      <c:legendPos val="b"/>
      <c:overlay val="0"/>
      <c:txPr>
        <a:bodyPr rot="0" vert="horz"/>
        <a:lstStyle/>
        <a:p>
          <a:pPr>
            <a:defRPr>
              <a:solidFill>
                <a:schemeClr val="tx1">
                  <a:lumMod val="75000"/>
                  <a:lumOff val="25000"/>
                </a:schemeClr>
              </a:solidFill>
            </a:defRPr>
          </a:pPr>
          <a:endParaRPr lang="en-US"/>
        </a:p>
      </c:txPr>
    </c:legend>
    <c:plotVisOnly val="1"/>
    <c:dispBlanksAs val="gap"/>
    <c:showDLblsOverMax val="0"/>
  </c:chart>
  <c:spPr>
    <a:solidFill>
      <a:srgbClr val="F6F6F7"/>
    </a:solidFill>
    <a:ln w="9525" cap="flat" cmpd="sng" algn="ctr">
      <a:noFill/>
      <a:round/>
    </a:ln>
    <a:effectLst/>
  </c:spPr>
  <c:txPr>
    <a:bodyPr/>
    <a:lstStyle/>
    <a:p>
      <a:pPr>
        <a:defRPr>
          <a:solidFill>
            <a:schemeClr val="tx1"/>
          </a:solidFill>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80473894609328"/>
          <c:y val="0.14367436743674367"/>
          <c:w val="0.56852800040385876"/>
          <c:h val="0.7454421662638705"/>
        </c:manualLayout>
      </c:layout>
      <c:areaChart>
        <c:grouping val="stacked"/>
        <c:varyColors val="0"/>
        <c:ser>
          <c:idx val="0"/>
          <c:order val="1"/>
          <c:tx>
            <c:strRef>
              <c:f>'Savings by End-Use (GWh)'!$B$66</c:f>
              <c:strCache>
                <c:ptCount val="1"/>
                <c:pt idx="0">
                  <c:v>Miscellaneous</c:v>
                </c:pt>
              </c:strCache>
            </c:strRef>
          </c:tx>
          <c:spPr>
            <a:solidFill>
              <a:srgbClr val="808080"/>
            </a:solidFill>
            <a:ln w="15875">
              <a:solidFill>
                <a:srgbClr val="FFFFFF"/>
              </a:solidFill>
            </a:ln>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(GWh)'!$H$66:$AA$66</c:f>
              <c:numCache>
                <c:formatCode>_(* #,##0_);_(* \(#,##0\);_(* "-"??_);_(@_)</c:formatCode>
                <c:ptCount val="20"/>
                <c:pt idx="0">
                  <c:v>3.9872258393561032E-2</c:v>
                </c:pt>
                <c:pt idx="1">
                  <c:v>8.7681495979839541E-2</c:v>
                </c:pt>
                <c:pt idx="2">
                  <c:v>0.14499181148342097</c:v>
                </c:pt>
                <c:pt idx="3">
                  <c:v>0.20914466813719637</c:v>
                </c:pt>
                <c:pt idx="4">
                  <c:v>0.28059288975008989</c:v>
                </c:pt>
                <c:pt idx="5">
                  <c:v>0.36199858925089473</c:v>
                </c:pt>
                <c:pt idx="6">
                  <c:v>0.44762772895083147</c:v>
                </c:pt>
                <c:pt idx="7">
                  <c:v>0.53257460549937108</c:v>
                </c:pt>
                <c:pt idx="8">
                  <c:v>0.61016687349241894</c:v>
                </c:pt>
                <c:pt idx="9">
                  <c:v>0.67273252862835942</c:v>
                </c:pt>
                <c:pt idx="10">
                  <c:v>0.71963603749271821</c:v>
                </c:pt>
                <c:pt idx="11">
                  <c:v>0.74981940075962039</c:v>
                </c:pt>
                <c:pt idx="12">
                  <c:v>0.76542763307189232</c:v>
                </c:pt>
                <c:pt idx="13">
                  <c:v>0.77274363513091926</c:v>
                </c:pt>
                <c:pt idx="14">
                  <c:v>0.77574892857612976</c:v>
                </c:pt>
                <c:pt idx="15">
                  <c:v>0.77659508840651104</c:v>
                </c:pt>
                <c:pt idx="16">
                  <c:v>0.77673717500724315</c:v>
                </c:pt>
                <c:pt idx="17">
                  <c:v>0.77656952493975306</c:v>
                </c:pt>
                <c:pt idx="18">
                  <c:v>0.77626952379564595</c:v>
                </c:pt>
                <c:pt idx="19">
                  <c:v>0.77590756101534786</c:v>
                </c:pt>
              </c:numCache>
              <c:extLst/>
            </c:numRef>
          </c:val>
          <c:extLst>
            <c:ext xmlns:c16="http://schemas.microsoft.com/office/drawing/2014/chart" uri="{C3380CC4-5D6E-409C-BE32-E72D297353CC}">
              <c16:uniqueId val="{00000000-B36E-4865-825B-DFC2910942AB}"/>
            </c:ext>
          </c:extLst>
        </c:ser>
        <c:ser>
          <c:idx val="12"/>
          <c:order val="2"/>
          <c:tx>
            <c:strRef>
              <c:f>'Savings by End-Use (GWh)'!$B$65</c:f>
              <c:strCache>
                <c:ptCount val="1"/>
                <c:pt idx="0">
                  <c:v>Motors</c:v>
                </c:pt>
              </c:strCache>
            </c:strRef>
          </c:tx>
          <c:spPr>
            <a:solidFill>
              <a:srgbClr val="3CD39C"/>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(GWh)'!$H$65:$AA$65</c:f>
              <c:numCache>
                <c:formatCode>_(* #,##0_);_(* \(#,##0\);_(* "-"??_);_(@_)</c:formatCode>
                <c:ptCount val="20"/>
                <c:pt idx="0">
                  <c:v>2.8145784970245695</c:v>
                </c:pt>
                <c:pt idx="1">
                  <c:v>6.0163325292785341</c:v>
                </c:pt>
                <c:pt idx="2">
                  <c:v>9.7059685407225125</c:v>
                </c:pt>
                <c:pt idx="3">
                  <c:v>13.800220307306974</c:v>
                </c:pt>
                <c:pt idx="4">
                  <c:v>18.296201132267665</c:v>
                </c:pt>
                <c:pt idx="5">
                  <c:v>23.297459782874629</c:v>
                </c:pt>
                <c:pt idx="6">
                  <c:v>28.537724114133745</c:v>
                </c:pt>
                <c:pt idx="7">
                  <c:v>33.715489699629828</c:v>
                </c:pt>
                <c:pt idx="8">
                  <c:v>38.484741184753673</c:v>
                </c:pt>
                <c:pt idx="9">
                  <c:v>42.537072926797713</c:v>
                </c:pt>
                <c:pt idx="10">
                  <c:v>45.713650343589592</c:v>
                </c:pt>
                <c:pt idx="11">
                  <c:v>47.950099520095627</c:v>
                </c:pt>
                <c:pt idx="12">
                  <c:v>49.41443772451364</c:v>
                </c:pt>
                <c:pt idx="13">
                  <c:v>50.314023000997679</c:v>
                </c:pt>
                <c:pt idx="14">
                  <c:v>50.910142346870444</c:v>
                </c:pt>
                <c:pt idx="15">
                  <c:v>51.341746628446209</c:v>
                </c:pt>
                <c:pt idx="16">
                  <c:v>51.674438706784365</c:v>
                </c:pt>
                <c:pt idx="17">
                  <c:v>51.962736156893769</c:v>
                </c:pt>
                <c:pt idx="18">
                  <c:v>52.225022499864423</c:v>
                </c:pt>
                <c:pt idx="19">
                  <c:v>52.471599348671155</c:v>
                </c:pt>
              </c:numCache>
              <c:extLst/>
            </c:numRef>
          </c:val>
          <c:extLst>
            <c:ext xmlns:c16="http://schemas.microsoft.com/office/drawing/2014/chart" uri="{C3380CC4-5D6E-409C-BE32-E72D297353CC}">
              <c16:uniqueId val="{00000001-B36E-4865-825B-DFC2910942AB}"/>
            </c:ext>
          </c:extLst>
        </c:ser>
        <c:ser>
          <c:idx val="5"/>
          <c:order val="3"/>
          <c:tx>
            <c:strRef>
              <c:f>'Savings by End-Use (GWh)'!$B$64</c:f>
              <c:strCache>
                <c:ptCount val="1"/>
                <c:pt idx="0">
                  <c:v>Process</c:v>
                </c:pt>
              </c:strCache>
            </c:strRef>
          </c:tx>
          <c:spPr>
            <a:solidFill>
              <a:srgbClr val="A98AE3"/>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(GWh)'!$H$64:$AA$64</c:f>
              <c:numCache>
                <c:formatCode>_(* #,##0_);_(* \(#,##0\);_(* "-"??_);_(@_)</c:formatCode>
                <c:ptCount val="20"/>
                <c:pt idx="0">
                  <c:v>0.21621823081907129</c:v>
                </c:pt>
                <c:pt idx="1">
                  <c:v>0.44914571959969579</c:v>
                </c:pt>
                <c:pt idx="2">
                  <c:v>0.70284868798715783</c:v>
                </c:pt>
                <c:pt idx="3">
                  <c:v>0.96645207406893507</c:v>
                </c:pt>
                <c:pt idx="4">
                  <c:v>1.2446823736036305</c:v>
                </c:pt>
                <c:pt idx="5">
                  <c:v>1.5349179724678215</c:v>
                </c:pt>
                <c:pt idx="6">
                  <c:v>1.8128552239611018</c:v>
                </c:pt>
                <c:pt idx="7">
                  <c:v>2.0738336797756021</c:v>
                </c:pt>
                <c:pt idx="8">
                  <c:v>2.3044444840474192</c:v>
                </c:pt>
                <c:pt idx="9">
                  <c:v>2.4842545429394538</c:v>
                </c:pt>
                <c:pt idx="10">
                  <c:v>2.6178986091635097</c:v>
                </c:pt>
                <c:pt idx="11">
                  <c:v>2.7056646701774469</c:v>
                </c:pt>
                <c:pt idx="12">
                  <c:v>2.7507561632569173</c:v>
                </c:pt>
                <c:pt idx="13">
                  <c:v>2.7742668926234932</c:v>
                </c:pt>
                <c:pt idx="14">
                  <c:v>2.7863505472542309</c:v>
                </c:pt>
                <c:pt idx="15">
                  <c:v>2.791377637389056</c:v>
                </c:pt>
                <c:pt idx="16">
                  <c:v>2.7910467726371464</c:v>
                </c:pt>
                <c:pt idx="17">
                  <c:v>2.7902115671274865</c:v>
                </c:pt>
                <c:pt idx="18">
                  <c:v>2.7891796082967928</c:v>
                </c:pt>
                <c:pt idx="19">
                  <c:v>2.7880248824691751</c:v>
                </c:pt>
              </c:numCache>
              <c:extLst/>
            </c:numRef>
          </c:val>
          <c:extLst>
            <c:ext xmlns:c16="http://schemas.microsoft.com/office/drawing/2014/chart" uri="{C3380CC4-5D6E-409C-BE32-E72D297353CC}">
              <c16:uniqueId val="{00000002-B36E-4865-825B-DFC2910942AB}"/>
            </c:ext>
          </c:extLst>
        </c:ser>
        <c:ser>
          <c:idx val="13"/>
          <c:order val="4"/>
          <c:tx>
            <c:strRef>
              <c:f>'Savings by End-Use (GWh)'!$B$63</c:f>
              <c:strCache>
                <c:ptCount val="1"/>
                <c:pt idx="0">
                  <c:v>Exterior Lighting</c:v>
                </c:pt>
              </c:strCache>
            </c:strRef>
          </c:tx>
          <c:spPr>
            <a:solidFill>
              <a:srgbClr val="BFA300"/>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(GWh)'!$H$63:$AA$63</c:f>
              <c:numCache>
                <c:formatCode>_(* #,##0_);_(* \(#,##0\);_(* "-"??_);_(@_)</c:formatCode>
                <c:ptCount val="20"/>
                <c:pt idx="0">
                  <c:v>0.45250191449964317</c:v>
                </c:pt>
                <c:pt idx="1">
                  <c:v>0.85175677615142587</c:v>
                </c:pt>
                <c:pt idx="2">
                  <c:v>1.2700012366919671</c:v>
                </c:pt>
                <c:pt idx="3">
                  <c:v>1.6988945266694799</c:v>
                </c:pt>
                <c:pt idx="4">
                  <c:v>2.0574233000788977</c:v>
                </c:pt>
                <c:pt idx="5">
                  <c:v>2.2230338388211055</c:v>
                </c:pt>
                <c:pt idx="6">
                  <c:v>2.6083066214330604</c:v>
                </c:pt>
                <c:pt idx="7">
                  <c:v>2.984338642193852</c:v>
                </c:pt>
                <c:pt idx="8">
                  <c:v>3.347130713354149</c:v>
                </c:pt>
                <c:pt idx="9">
                  <c:v>3.4998320429925593</c:v>
                </c:pt>
                <c:pt idx="10">
                  <c:v>3.8100157078255896</c:v>
                </c:pt>
                <c:pt idx="11">
                  <c:v>4.1067356056859206</c:v>
                </c:pt>
                <c:pt idx="12">
                  <c:v>4.3990088108630294</c:v>
                </c:pt>
                <c:pt idx="13">
                  <c:v>4.6666753197979132</c:v>
                </c:pt>
                <c:pt idx="14">
                  <c:v>4.9247659742773759</c:v>
                </c:pt>
                <c:pt idx="15">
                  <c:v>5.3061239073483648</c:v>
                </c:pt>
                <c:pt idx="16">
                  <c:v>5.6757090537388057</c:v>
                </c:pt>
                <c:pt idx="17">
                  <c:v>6.0419419049543519</c:v>
                </c:pt>
                <c:pt idx="18">
                  <c:v>6.4019713566078282</c:v>
                </c:pt>
                <c:pt idx="19">
                  <c:v>6.753011328695945</c:v>
                </c:pt>
              </c:numCache>
              <c:extLst/>
            </c:numRef>
          </c:val>
          <c:extLst>
            <c:ext xmlns:c16="http://schemas.microsoft.com/office/drawing/2014/chart" uri="{C3380CC4-5D6E-409C-BE32-E72D297353CC}">
              <c16:uniqueId val="{00000003-B36E-4865-825B-DFC2910942AB}"/>
            </c:ext>
          </c:extLst>
        </c:ser>
        <c:ser>
          <c:idx val="6"/>
          <c:order val="5"/>
          <c:tx>
            <c:strRef>
              <c:f>'Savings by End-Use (GWh)'!$B$62</c:f>
              <c:strCache>
                <c:ptCount val="1"/>
                <c:pt idx="0">
                  <c:v>Interior Lighting</c:v>
                </c:pt>
              </c:strCache>
            </c:strRef>
          </c:tx>
          <c:spPr>
            <a:solidFill>
              <a:srgbClr val="FFDA00"/>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(GWh)'!$H$62:$AA$62</c:f>
              <c:numCache>
                <c:formatCode>_(* #,##0_);_(* \(#,##0\);_(* "-"??_);_(@_)</c:formatCode>
                <c:ptCount val="20"/>
                <c:pt idx="0">
                  <c:v>0.74166534364985359</c:v>
                </c:pt>
                <c:pt idx="1">
                  <c:v>1.5226959777433813</c:v>
                </c:pt>
                <c:pt idx="2">
                  <c:v>2.3562929363415566</c:v>
                </c:pt>
                <c:pt idx="3">
                  <c:v>3.2198988849665264</c:v>
                </c:pt>
                <c:pt idx="4">
                  <c:v>4.0486237993040604</c:v>
                </c:pt>
                <c:pt idx="5">
                  <c:v>4.727482780352033</c:v>
                </c:pt>
                <c:pt idx="6">
                  <c:v>5.5567895977038031</c:v>
                </c:pt>
                <c:pt idx="7">
                  <c:v>6.3982531822579967</c:v>
                </c:pt>
                <c:pt idx="8">
                  <c:v>7.199536011984895</c:v>
                </c:pt>
                <c:pt idx="9">
                  <c:v>7.837425828590157</c:v>
                </c:pt>
                <c:pt idx="10">
                  <c:v>8.5616657596029828</c:v>
                </c:pt>
                <c:pt idx="11">
                  <c:v>9.2489084470577385</c:v>
                </c:pt>
                <c:pt idx="12">
                  <c:v>9.9035852904755242</c:v>
                </c:pt>
                <c:pt idx="13">
                  <c:v>10.521925540647699</c:v>
                </c:pt>
                <c:pt idx="14">
                  <c:v>11.110237153781197</c:v>
                </c:pt>
                <c:pt idx="15">
                  <c:v>11.466133474531567</c:v>
                </c:pt>
                <c:pt idx="16">
                  <c:v>11.800618001965644</c:v>
                </c:pt>
                <c:pt idx="17">
                  <c:v>12.116151697075264</c:v>
                </c:pt>
                <c:pt idx="18">
                  <c:v>12.614561926426965</c:v>
                </c:pt>
                <c:pt idx="19">
                  <c:v>12.934177017541755</c:v>
                </c:pt>
              </c:numCache>
              <c:extLst/>
            </c:numRef>
          </c:val>
          <c:extLst>
            <c:ext xmlns:c16="http://schemas.microsoft.com/office/drawing/2014/chart" uri="{C3380CC4-5D6E-409C-BE32-E72D297353CC}">
              <c16:uniqueId val="{00000004-B36E-4865-825B-DFC2910942AB}"/>
            </c:ext>
          </c:extLst>
        </c:ser>
        <c:ser>
          <c:idx val="7"/>
          <c:order val="6"/>
          <c:tx>
            <c:strRef>
              <c:f>'Savings by End-Use (GWh)'!$B$61</c:f>
              <c:strCache>
                <c:ptCount val="1"/>
                <c:pt idx="0">
                  <c:v>Ventilation</c:v>
                </c:pt>
              </c:strCache>
            </c:strRef>
          </c:tx>
          <c:spPr>
            <a:solidFill>
              <a:schemeClr val="accent6">
                <a:lumMod val="20000"/>
                <a:lumOff val="80000"/>
              </a:schemeClr>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(GWh)'!$H$61:$AA$61</c:f>
              <c:numCache>
                <c:formatCode>_(* #,##0_);_(* \(#,##0\);_(* "-"??_);_(@_)</c:formatCode>
                <c:ptCount val="20"/>
                <c:pt idx="0">
                  <c:v>0.15965340170169703</c:v>
                </c:pt>
                <c:pt idx="1">
                  <c:v>0.32520844331723581</c:v>
                </c:pt>
                <c:pt idx="2">
                  <c:v>0.500022611486718</c:v>
                </c:pt>
                <c:pt idx="3">
                  <c:v>0.68277905627337732</c:v>
                </c:pt>
                <c:pt idx="4">
                  <c:v>0.87533846064130127</c:v>
                </c:pt>
                <c:pt idx="5">
                  <c:v>1.0686329581321543</c:v>
                </c:pt>
                <c:pt idx="6">
                  <c:v>1.2625357917539468</c:v>
                </c:pt>
                <c:pt idx="7">
                  <c:v>1.4572532378773031</c:v>
                </c:pt>
                <c:pt idx="8">
                  <c:v>1.6496438861195133</c:v>
                </c:pt>
                <c:pt idx="9">
                  <c:v>1.8338472698162531</c:v>
                </c:pt>
                <c:pt idx="10">
                  <c:v>2.0080635430605667</c:v>
                </c:pt>
                <c:pt idx="11">
                  <c:v>2.1723263889074866</c:v>
                </c:pt>
                <c:pt idx="12">
                  <c:v>2.3465822492504613</c:v>
                </c:pt>
                <c:pt idx="13">
                  <c:v>2.5133880228496039</c:v>
                </c:pt>
                <c:pt idx="14">
                  <c:v>2.6733279682244557</c:v>
                </c:pt>
                <c:pt idx="15">
                  <c:v>2.8259331251075359</c:v>
                </c:pt>
                <c:pt idx="16">
                  <c:v>2.9723705950796813</c:v>
                </c:pt>
                <c:pt idx="17">
                  <c:v>3.1147780932895346</c:v>
                </c:pt>
                <c:pt idx="18">
                  <c:v>3.2535316616016408</c:v>
                </c:pt>
                <c:pt idx="19">
                  <c:v>3.3888887231432658</c:v>
                </c:pt>
              </c:numCache>
              <c:extLst/>
            </c:numRef>
          </c:val>
          <c:extLst>
            <c:ext xmlns:c16="http://schemas.microsoft.com/office/drawing/2014/chart" uri="{C3380CC4-5D6E-409C-BE32-E72D297353CC}">
              <c16:uniqueId val="{00000005-B36E-4865-825B-DFC2910942AB}"/>
            </c:ext>
          </c:extLst>
        </c:ser>
        <c:ser>
          <c:idx val="9"/>
          <c:order val="7"/>
          <c:tx>
            <c:strRef>
              <c:f>'Savings by End-Use (GWh)'!$B$60</c:f>
              <c:strCache>
                <c:ptCount val="1"/>
                <c:pt idx="0">
                  <c:v>Space Heating</c:v>
                </c:pt>
              </c:strCache>
            </c:strRef>
          </c:tx>
          <c:spPr>
            <a:solidFill>
              <a:srgbClr val="C00000"/>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(GWh)'!$H$60:$AA$60</c:f>
              <c:numCache>
                <c:formatCode>_(* #,##0_);_(* \(#,##0\);_(* "-"??_);_(@_)</c:formatCode>
                <c:ptCount val="20"/>
                <c:pt idx="0">
                  <c:v>0.17520423924425627</c:v>
                </c:pt>
                <c:pt idx="1">
                  <c:v>0.35568657588241037</c:v>
                </c:pt>
                <c:pt idx="2">
                  <c:v>0.54470999758158523</c:v>
                </c:pt>
                <c:pt idx="3">
                  <c:v>0.74341685899399246</c:v>
                </c:pt>
                <c:pt idx="4">
                  <c:v>0.95485405800996703</c:v>
                </c:pt>
                <c:pt idx="5">
                  <c:v>1.1702203341809545</c:v>
                </c:pt>
                <c:pt idx="6">
                  <c:v>1.3866681460472701</c:v>
                </c:pt>
                <c:pt idx="7">
                  <c:v>1.60680112713946</c:v>
                </c:pt>
                <c:pt idx="8">
                  <c:v>1.8297465381221265</c:v>
                </c:pt>
                <c:pt idx="9">
                  <c:v>2.0511634473636033</c:v>
                </c:pt>
                <c:pt idx="10">
                  <c:v>2.2657021506505912</c:v>
                </c:pt>
                <c:pt idx="11">
                  <c:v>2.4697969785259737</c:v>
                </c:pt>
                <c:pt idx="12">
                  <c:v>2.6561854565866909</c:v>
                </c:pt>
                <c:pt idx="13">
                  <c:v>2.8217560139771418</c:v>
                </c:pt>
                <c:pt idx="14">
                  <c:v>2.9601134778615243</c:v>
                </c:pt>
                <c:pt idx="15">
                  <c:v>3.0693317961449327</c:v>
                </c:pt>
                <c:pt idx="16">
                  <c:v>3.1471948413092385</c:v>
                </c:pt>
                <c:pt idx="17">
                  <c:v>3.2005680137069801</c:v>
                </c:pt>
                <c:pt idx="18">
                  <c:v>3.2349180286174311</c:v>
                </c:pt>
                <c:pt idx="19">
                  <c:v>3.2574399913956928</c:v>
                </c:pt>
              </c:numCache>
              <c:extLst/>
            </c:numRef>
          </c:val>
          <c:extLst xmlns:c15="http://schemas.microsoft.com/office/drawing/2012/chart">
            <c:ext xmlns:c16="http://schemas.microsoft.com/office/drawing/2014/chart" uri="{C3380CC4-5D6E-409C-BE32-E72D297353CC}">
              <c16:uniqueId val="{00000006-B36E-4865-825B-DFC2910942AB}"/>
            </c:ext>
          </c:extLst>
        </c:ser>
        <c:ser>
          <c:idx val="8"/>
          <c:order val="8"/>
          <c:tx>
            <c:strRef>
              <c:f>'Savings by End-Use (GWh)'!$B$59</c:f>
              <c:strCache>
                <c:ptCount val="1"/>
                <c:pt idx="0">
                  <c:v>Cooling</c:v>
                </c:pt>
              </c:strCache>
            </c:strRef>
          </c:tx>
          <c:spPr>
            <a:solidFill>
              <a:schemeClr val="accent6"/>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(GWh)'!$H$59:$AA$59</c:f>
              <c:numCache>
                <c:formatCode>_(* #,##0_);_(* \(#,##0\);_(* "-"??_);_(@_)</c:formatCode>
                <c:ptCount val="20"/>
                <c:pt idx="0">
                  <c:v>0.29969332205187399</c:v>
                </c:pt>
                <c:pt idx="1">
                  <c:v>0.60708795939599802</c:v>
                </c:pt>
                <c:pt idx="2">
                  <c:v>0.92305362688225079</c:v>
                </c:pt>
                <c:pt idx="3">
                  <c:v>1.2442848532503272</c:v>
                </c:pt>
                <c:pt idx="4">
                  <c:v>1.5695874410379533</c:v>
                </c:pt>
                <c:pt idx="5">
                  <c:v>1.88174647142208</c:v>
                </c:pt>
                <c:pt idx="6">
                  <c:v>2.1748970463368247</c:v>
                </c:pt>
                <c:pt idx="7">
                  <c:v>2.4516263856818652</c:v>
                </c:pt>
                <c:pt idx="8">
                  <c:v>2.7104500884400826</c:v>
                </c:pt>
                <c:pt idx="9">
                  <c:v>2.946223238200846</c:v>
                </c:pt>
                <c:pt idx="10">
                  <c:v>3.1585756139568488</c:v>
                </c:pt>
                <c:pt idx="11">
                  <c:v>3.3486196137010946</c:v>
                </c:pt>
                <c:pt idx="12">
                  <c:v>3.5154860303314579</c:v>
                </c:pt>
                <c:pt idx="13">
                  <c:v>3.6701624442601291</c:v>
                </c:pt>
                <c:pt idx="14">
                  <c:v>3.8049832209548122</c:v>
                </c:pt>
                <c:pt idx="15">
                  <c:v>3.9227324750313177</c:v>
                </c:pt>
                <c:pt idx="16">
                  <c:v>4.0275134990731125</c:v>
                </c:pt>
                <c:pt idx="17">
                  <c:v>4.1226550381164841</c:v>
                </c:pt>
                <c:pt idx="18">
                  <c:v>4.2099544463060257</c:v>
                </c:pt>
                <c:pt idx="19">
                  <c:v>4.2919326449457005</c:v>
                </c:pt>
              </c:numCache>
              <c:extLst/>
            </c:numRef>
          </c:val>
          <c:extLst xmlns:c15="http://schemas.microsoft.com/office/drawing/2012/chart">
            <c:ext xmlns:c16="http://schemas.microsoft.com/office/drawing/2014/chart" uri="{C3380CC4-5D6E-409C-BE32-E72D297353CC}">
              <c16:uniqueId val="{00000007-B36E-4865-825B-DFC2910942AB}"/>
            </c:ext>
          </c:extLst>
        </c:ser>
        <c:dLbls>
          <c:showLegendKey val="0"/>
          <c:showVal val="0"/>
          <c:showCatName val="0"/>
          <c:showSerName val="0"/>
          <c:showPercent val="0"/>
          <c:showBubbleSize val="0"/>
        </c:dLbls>
        <c:axId val="489724408"/>
        <c:axId val="489714240"/>
        <c:extLst>
          <c:ext xmlns:c15="http://schemas.microsoft.com/office/drawing/2012/chart" uri="{02D57815-91ED-43cb-92C2-25804820EDAC}">
            <c15:filteredAreaSeries>
              <c15:ser>
                <c:idx val="3"/>
                <c:order val="0"/>
                <c:tx>
                  <c:strRef>
                    <c:extLst>
                      <c:ext uri="{02D57815-91ED-43cb-92C2-25804820EDAC}">
                        <c15:formulaRef>
                          <c15:sqref>'Savings by End-Use (GWh)'!$B$67</c15:sqref>
                        </c15:formulaRef>
                      </c:ext>
                    </c:extLst>
                    <c:strCache>
                      <c:ptCount val="1"/>
                      <c:pt idx="0">
                        <c:v>Total</c:v>
                      </c:pt>
                    </c:strCache>
                  </c:strRef>
                </c:tx>
                <c:cat>
                  <c:numRef>
                    <c:extLst>
                      <c:ext uri="{02D57815-91ED-43cb-92C2-25804820EDAC}">
                        <c15:formulaRef>
                          <c15:sqref>'Savings by End-Use (GWh)'!$H$58:$AA$58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c:ext uri="{02D57815-91ED-43cb-92C2-25804820EDAC}">
                        <c15:formulaRef>
                          <c15:sqref>'Savings by End-Use (GWh)'!$H$67:$AA$67</c15:sqref>
                        </c15:formulaRef>
                      </c:ext>
                    </c:extLst>
                    <c:numCache>
                      <c:formatCode>_(* #,##0_);_(* \(#,##0\);_(* "-"??_);_(@_)</c:formatCode>
                      <c:ptCount val="20"/>
                      <c:pt idx="0">
                        <c:v>4.8993872073845246</c:v>
                      </c:pt>
                      <c:pt idx="1">
                        <c:v>10.215595477348522</c:v>
                      </c:pt>
                      <c:pt idx="2">
                        <c:v>16.147889449177168</c:v>
                      </c:pt>
                      <c:pt idx="3">
                        <c:v>22.565091229666805</c:v>
                      </c:pt>
                      <c:pt idx="4">
                        <c:v>29.32730345469356</c:v>
                      </c:pt>
                      <c:pt idx="5">
                        <c:v>36.265492727501673</c:v>
                      </c:pt>
                      <c:pt idx="6">
                        <c:v>43.787404270320579</c:v>
                      </c:pt>
                      <c:pt idx="7">
                        <c:v>51.220170560055259</c:v>
                      </c:pt>
                      <c:pt idx="8">
                        <c:v>58.135859780314298</c:v>
                      </c:pt>
                      <c:pt idx="9">
                        <c:v>63.862551825328957</c:v>
                      </c:pt>
                      <c:pt idx="10">
                        <c:v>68.855207765342385</c:v>
                      </c:pt>
                      <c:pt idx="11">
                        <c:v>72.751970624910882</c:v>
                      </c:pt>
                      <c:pt idx="12">
                        <c:v>75.751469358349624</c:v>
                      </c:pt>
                      <c:pt idx="13">
                        <c:v>78.054940870284582</c:v>
                      </c:pt>
                      <c:pt idx="14">
                        <c:v>79.945669617800192</c:v>
                      </c:pt>
                      <c:pt idx="15">
                        <c:v>81.49997413240547</c:v>
                      </c:pt>
                      <c:pt idx="16">
                        <c:v>82.865628645595265</c:v>
                      </c:pt>
                      <c:pt idx="17">
                        <c:v>84.125611996103615</c:v>
                      </c:pt>
                      <c:pt idx="18">
                        <c:v>85.50540905151675</c:v>
                      </c:pt>
                      <c:pt idx="19">
                        <c:v>86.660981497878055</c:v>
                      </c:pt>
                    </c:numCache>
                  </c:numRef>
                </c:val>
                <c:extLst>
                  <c:ext xmlns:c16="http://schemas.microsoft.com/office/drawing/2014/chart" uri="{C3380CC4-5D6E-409C-BE32-E72D297353CC}">
                    <c16:uniqueId val="{00000008-B36E-4865-825B-DFC2910942AB}"/>
                  </c:ext>
                </c:extLst>
              </c15:ser>
            </c15:filteredAreaSeries>
          </c:ext>
        </c:extLst>
      </c:areaChart>
      <c:catAx>
        <c:axId val="489724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89714240"/>
        <c:crosses val="autoZero"/>
        <c:auto val="1"/>
        <c:lblAlgn val="ctr"/>
        <c:lblOffset val="100"/>
        <c:tickLblSkip val="2"/>
        <c:noMultiLvlLbl val="0"/>
      </c:catAx>
      <c:valAx>
        <c:axId val="489714240"/>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solidFill>
                      <a:schemeClr val="tx1">
                        <a:lumMod val="75000"/>
                        <a:lumOff val="25000"/>
                      </a:schemeClr>
                    </a:solidFill>
                  </a:defRPr>
                </a:pPr>
                <a:r>
                  <a:rPr lang="en-US" b="0">
                    <a:solidFill>
                      <a:schemeClr val="tx1">
                        <a:lumMod val="75000"/>
                        <a:lumOff val="25000"/>
                      </a:schemeClr>
                    </a:solidFill>
                  </a:rPr>
                  <a:t>GWh</a:t>
                </a:r>
              </a:p>
            </c:rich>
          </c:tx>
          <c:overlay val="0"/>
        </c:title>
        <c:numFmt formatCode="_(* #,##0_);_(* \(#,##0\);_(* &quot;-&quot;??_);_(@_)" sourceLinked="1"/>
        <c:majorTickMark val="none"/>
        <c:minorTickMark val="none"/>
        <c:tickLblPos val="nextTo"/>
        <c:spPr>
          <a:noFill/>
          <a:ln>
            <a:noFill/>
          </a:ln>
          <a:effectLst/>
        </c:spPr>
        <c:txPr>
          <a:bodyPr rot="-60000000" vert="horz"/>
          <a:lstStyle/>
          <a:p>
            <a:pPr>
              <a:defRPr/>
            </a:pPr>
            <a:endParaRPr lang="en-US"/>
          </a:p>
        </c:txPr>
        <c:crossAx val="489724408"/>
        <c:crosses val="autoZero"/>
        <c:crossBetween val="between"/>
      </c:valAx>
      <c:spPr>
        <a:noFill/>
      </c:spPr>
    </c:plotArea>
    <c:legend>
      <c:legendPos val="r"/>
      <c:layout>
        <c:manualLayout>
          <c:xMode val="edge"/>
          <c:yMode val="edge"/>
          <c:x val="0.79482101280938677"/>
          <c:y val="0.19349219740927587"/>
          <c:w val="0.18945704373546882"/>
          <c:h val="0.68334127271092437"/>
        </c:manualLayout>
      </c:layout>
      <c:overlay val="0"/>
      <c:spPr>
        <a:noFill/>
        <a:ln>
          <a:noFill/>
        </a:ln>
        <a:effectLst/>
      </c:spPr>
      <c:txPr>
        <a:bodyPr rot="0" vert="horz" anchor="ctr" anchorCtr="0"/>
        <a:lstStyle/>
        <a:p>
          <a:pPr>
            <a:defRPr/>
          </a:pPr>
          <a:endParaRPr lang="en-US"/>
        </a:p>
      </c:txPr>
    </c:legend>
    <c:plotVisOnly val="1"/>
    <c:dispBlanksAs val="zero"/>
    <c:showDLblsOverMax val="0"/>
    <c:extLst/>
  </c:chart>
  <c:spPr>
    <a:solidFill>
      <a:schemeClr val="bg1"/>
    </a:solidFill>
    <a:ln w="9525" cap="flat" cmpd="sng" algn="ctr">
      <a:noFill/>
      <a:round/>
    </a:ln>
    <a:effectLst/>
  </c:spPr>
  <c:txPr>
    <a:bodyPr/>
    <a:lstStyle/>
    <a:p>
      <a:pPr>
        <a:defRPr sz="900">
          <a:solidFill>
            <a:schemeClr val="tx1">
              <a:lumMod val="65000"/>
              <a:lumOff val="35000"/>
            </a:schemeClr>
          </a:solidFill>
          <a:latin typeface="+mn-lt"/>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85685122692998"/>
          <c:y val="0.14367436743674367"/>
          <c:w val="0.67646444194475686"/>
          <c:h val="0.7454421662638705"/>
        </c:manualLayout>
      </c:layout>
      <c:areaChart>
        <c:grouping val="stacked"/>
        <c:varyColors val="0"/>
        <c:ser>
          <c:idx val="0"/>
          <c:order val="1"/>
          <c:tx>
            <c:strRef>
              <c:f>'Savings by End-Use (GWh)'!$B$66</c:f>
              <c:strCache>
                <c:ptCount val="1"/>
                <c:pt idx="0">
                  <c:v>Miscellaneous</c:v>
                </c:pt>
              </c:strCache>
            </c:strRef>
          </c:tx>
          <c:spPr>
            <a:solidFill>
              <a:srgbClr val="808080"/>
            </a:solidFill>
            <a:ln w="9525">
              <a:solidFill>
                <a:srgbClr val="FFFFFF"/>
              </a:solidFill>
            </a:ln>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(GWh)'!$H$66:$AA$66</c:f>
              <c:numCache>
                <c:formatCode>_(* #,##0_);_(* \(#,##0\);_(* "-"??_);_(@_)</c:formatCode>
                <c:ptCount val="20"/>
                <c:pt idx="0">
                  <c:v>2.883561221380368E-2</c:v>
                </c:pt>
                <c:pt idx="1">
                  <c:v>6.3358027006301998E-2</c:v>
                </c:pt>
                <c:pt idx="2">
                  <c:v>0.10443526497551534</c:v>
                </c:pt>
                <c:pt idx="3">
                  <c:v>0.14998784852534663</c:v>
                </c:pt>
                <c:pt idx="4">
                  <c:v>0.20029877733029219</c:v>
                </c:pt>
                <c:pt idx="5">
                  <c:v>0.25714565278815771</c:v>
                </c:pt>
                <c:pt idx="6">
                  <c:v>0.31630615598196427</c:v>
                </c:pt>
                <c:pt idx="7">
                  <c:v>0.37445250708392858</c:v>
                </c:pt>
                <c:pt idx="8">
                  <c:v>0.42704735022533796</c:v>
                </c:pt>
                <c:pt idx="9">
                  <c:v>0.46876880265008547</c:v>
                </c:pt>
                <c:pt idx="10">
                  <c:v>0.4996643951746863</c:v>
                </c:pt>
                <c:pt idx="11">
                  <c:v>0.51927143434553902</c:v>
                </c:pt>
                <c:pt idx="12">
                  <c:v>0.52901001259323066</c:v>
                </c:pt>
                <c:pt idx="13">
                  <c:v>0.53342787648702683</c:v>
                </c:pt>
                <c:pt idx="14">
                  <c:v>0.5351356429242915</c:v>
                </c:pt>
                <c:pt idx="15">
                  <c:v>0.53551911315996936</c:v>
                </c:pt>
                <c:pt idx="16">
                  <c:v>0.53547538982887333</c:v>
                </c:pt>
                <c:pt idx="17">
                  <c:v>0.53524196753035191</c:v>
                </c:pt>
                <c:pt idx="18">
                  <c:v>0.53492281038709677</c:v>
                </c:pt>
                <c:pt idx="19">
                  <c:v>0.5345569276720934</c:v>
                </c:pt>
              </c:numCache>
              <c:extLst/>
            </c:numRef>
          </c:val>
          <c:extLst>
            <c:ext xmlns:c16="http://schemas.microsoft.com/office/drawing/2014/chart" uri="{C3380CC4-5D6E-409C-BE32-E72D297353CC}">
              <c16:uniqueId val="{00000000-3F66-4774-95E5-E3F0A1F7F0C8}"/>
            </c:ext>
          </c:extLst>
        </c:ser>
        <c:ser>
          <c:idx val="12"/>
          <c:order val="2"/>
          <c:tx>
            <c:strRef>
              <c:f>'Savings by End-Use (GWh)'!$B$65</c:f>
              <c:strCache>
                <c:ptCount val="1"/>
                <c:pt idx="0">
                  <c:v>Motors</c:v>
                </c:pt>
              </c:strCache>
            </c:strRef>
          </c:tx>
          <c:spPr>
            <a:solidFill>
              <a:srgbClr val="3CD39C"/>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(GWh)'!$H$65:$AA$65</c:f>
              <c:numCache>
                <c:formatCode>_(* #,##0_);_(* \(#,##0\);_(* "-"??_);_(@_)</c:formatCode>
                <c:ptCount val="20"/>
                <c:pt idx="0">
                  <c:v>1.9870865071216512</c:v>
                </c:pt>
                <c:pt idx="1">
                  <c:v>4.2543568983348408</c:v>
                </c:pt>
                <c:pt idx="2">
                  <c:v>6.8553015616299486</c:v>
                </c:pt>
                <c:pt idx="3">
                  <c:v>9.7242355294274478</c:v>
                </c:pt>
                <c:pt idx="4">
                  <c:v>12.854334705752427</c:v>
                </c:pt>
                <c:pt idx="5">
                  <c:v>16.311519674963041</c:v>
                </c:pt>
                <c:pt idx="6">
                  <c:v>19.902184375310664</c:v>
                </c:pt>
                <c:pt idx="7">
                  <c:v>23.416338480220322</c:v>
                </c:pt>
                <c:pt idx="8">
                  <c:v>26.617877146199238</c:v>
                </c:pt>
                <c:pt idx="9">
                  <c:v>29.300741852375644</c:v>
                </c:pt>
                <c:pt idx="10">
                  <c:v>31.368245898874953</c:v>
                </c:pt>
                <c:pt idx="11">
                  <c:v>32.787942796227156</c:v>
                </c:pt>
                <c:pt idx="12">
                  <c:v>33.680199484398486</c:v>
                </c:pt>
                <c:pt idx="13">
                  <c:v>34.193616001280596</c:v>
                </c:pt>
                <c:pt idx="14">
                  <c:v>34.502772288251236</c:v>
                </c:pt>
                <c:pt idx="15">
                  <c:v>34.700401641795082</c:v>
                </c:pt>
                <c:pt idx="16">
                  <c:v>34.829015026028472</c:v>
                </c:pt>
                <c:pt idx="17">
                  <c:v>34.924771409282378</c:v>
                </c:pt>
                <c:pt idx="18">
                  <c:v>34.999229567063274</c:v>
                </c:pt>
                <c:pt idx="19">
                  <c:v>35.058589350273571</c:v>
                </c:pt>
              </c:numCache>
              <c:extLst/>
            </c:numRef>
          </c:val>
          <c:extLst>
            <c:ext xmlns:c16="http://schemas.microsoft.com/office/drawing/2014/chart" uri="{C3380CC4-5D6E-409C-BE32-E72D297353CC}">
              <c16:uniqueId val="{00000001-3F66-4774-95E5-E3F0A1F7F0C8}"/>
            </c:ext>
          </c:extLst>
        </c:ser>
        <c:ser>
          <c:idx val="5"/>
          <c:order val="3"/>
          <c:tx>
            <c:strRef>
              <c:f>'Savings by End-Use (GWh)'!$B$64</c:f>
              <c:strCache>
                <c:ptCount val="1"/>
                <c:pt idx="0">
                  <c:v>Process</c:v>
                </c:pt>
              </c:strCache>
            </c:strRef>
          </c:tx>
          <c:spPr>
            <a:solidFill>
              <a:srgbClr val="A98AE3"/>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(GWh)'!$H$64:$AA$64</c:f>
              <c:numCache>
                <c:formatCode>_(* #,##0_);_(* \(#,##0\);_(* "-"??_);_(@_)</c:formatCode>
                <c:ptCount val="20"/>
                <c:pt idx="0">
                  <c:v>0.16935437416181612</c:v>
                </c:pt>
                <c:pt idx="1">
                  <c:v>0.35137131315054909</c:v>
                </c:pt>
                <c:pt idx="2">
                  <c:v>0.5479891109893773</c:v>
                </c:pt>
                <c:pt idx="3">
                  <c:v>0.75045877009021733</c:v>
                </c:pt>
                <c:pt idx="4">
                  <c:v>0.96231378705962778</c:v>
                </c:pt>
                <c:pt idx="5">
                  <c:v>1.1811852020720677</c:v>
                </c:pt>
                <c:pt idx="6">
                  <c:v>1.3883563886966002</c:v>
                </c:pt>
                <c:pt idx="7">
                  <c:v>1.5808561578094491</c:v>
                </c:pt>
                <c:pt idx="8">
                  <c:v>1.7491965476425759</c:v>
                </c:pt>
                <c:pt idx="9">
                  <c:v>1.8784416737778082</c:v>
                </c:pt>
                <c:pt idx="10">
                  <c:v>1.973292848808329</c:v>
                </c:pt>
                <c:pt idx="11">
                  <c:v>2.0348070419965913</c:v>
                </c:pt>
                <c:pt idx="12">
                  <c:v>2.0652403665311021</c:v>
                </c:pt>
                <c:pt idx="13">
                  <c:v>2.0806825898081498</c:v>
                </c:pt>
                <c:pt idx="14">
                  <c:v>2.0882988868814678</c:v>
                </c:pt>
                <c:pt idx="15">
                  <c:v>2.09117558710658</c:v>
                </c:pt>
                <c:pt idx="16">
                  <c:v>2.0902949700010658</c:v>
                </c:pt>
                <c:pt idx="17">
                  <c:v>2.0890277563755113</c:v>
                </c:pt>
                <c:pt idx="18">
                  <c:v>2.0875685662215679</c:v>
                </c:pt>
                <c:pt idx="19">
                  <c:v>2.0859591802605526</c:v>
                </c:pt>
              </c:numCache>
              <c:extLst/>
            </c:numRef>
          </c:val>
          <c:extLst>
            <c:ext xmlns:c16="http://schemas.microsoft.com/office/drawing/2014/chart" uri="{C3380CC4-5D6E-409C-BE32-E72D297353CC}">
              <c16:uniqueId val="{00000002-3F66-4774-95E5-E3F0A1F7F0C8}"/>
            </c:ext>
          </c:extLst>
        </c:ser>
        <c:ser>
          <c:idx val="13"/>
          <c:order val="4"/>
          <c:tx>
            <c:strRef>
              <c:f>'Savings by End-Use (GWh)'!$B$63</c:f>
              <c:strCache>
                <c:ptCount val="1"/>
                <c:pt idx="0">
                  <c:v>Exterior Lighting</c:v>
                </c:pt>
              </c:strCache>
            </c:strRef>
          </c:tx>
          <c:spPr>
            <a:solidFill>
              <a:srgbClr val="BFA300"/>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(GWh)'!$H$63:$AA$63</c:f>
              <c:numCache>
                <c:formatCode>_(* #,##0_);_(* \(#,##0\);_(* "-"??_);_(@_)</c:formatCode>
                <c:ptCount val="20"/>
                <c:pt idx="0">
                  <c:v>0.34238379983708073</c:v>
                </c:pt>
                <c:pt idx="1">
                  <c:v>0.65317447499662717</c:v>
                </c:pt>
                <c:pt idx="2">
                  <c:v>0.97627637362330355</c:v>
                </c:pt>
                <c:pt idx="3">
                  <c:v>1.3053943576054647</c:v>
                </c:pt>
                <c:pt idx="4">
                  <c:v>1.5781210805957044</c:v>
                </c:pt>
                <c:pt idx="5">
                  <c:v>1.6986812069929969</c:v>
                </c:pt>
                <c:pt idx="6">
                  <c:v>1.9869649968331367</c:v>
                </c:pt>
                <c:pt idx="7">
                  <c:v>2.2660975773015504</c:v>
                </c:pt>
                <c:pt idx="8">
                  <c:v>2.5333106497313995</c:v>
                </c:pt>
                <c:pt idx="9">
                  <c:v>2.6412720045981763</c:v>
                </c:pt>
                <c:pt idx="10">
                  <c:v>2.8660800613922688</c:v>
                </c:pt>
                <c:pt idx="11">
                  <c:v>3.0788299655660714</c:v>
                </c:pt>
                <c:pt idx="12">
                  <c:v>3.2876036313721677</c:v>
                </c:pt>
                <c:pt idx="13">
                  <c:v>3.4763910251056047</c:v>
                </c:pt>
                <c:pt idx="14">
                  <c:v>3.6566617615675132</c:v>
                </c:pt>
                <c:pt idx="15">
                  <c:v>3.8689089996088413</c:v>
                </c:pt>
                <c:pt idx="16">
                  <c:v>4.0817426794442841</c:v>
                </c:pt>
                <c:pt idx="17">
                  <c:v>4.3311893116726772</c:v>
                </c:pt>
                <c:pt idx="18">
                  <c:v>4.5762892790977148</c:v>
                </c:pt>
                <c:pt idx="19">
                  <c:v>4.8151176709466563</c:v>
                </c:pt>
              </c:numCache>
              <c:extLst/>
            </c:numRef>
          </c:val>
          <c:extLst>
            <c:ext xmlns:c16="http://schemas.microsoft.com/office/drawing/2014/chart" uri="{C3380CC4-5D6E-409C-BE32-E72D297353CC}">
              <c16:uniqueId val="{00000003-3F66-4774-95E5-E3F0A1F7F0C8}"/>
            </c:ext>
          </c:extLst>
        </c:ser>
        <c:ser>
          <c:idx val="6"/>
          <c:order val="5"/>
          <c:tx>
            <c:strRef>
              <c:f>'Savings by End-Use (GWh)'!$B$62</c:f>
              <c:strCache>
                <c:ptCount val="1"/>
                <c:pt idx="0">
                  <c:v>Interior Lighting</c:v>
                </c:pt>
              </c:strCache>
            </c:strRef>
          </c:tx>
          <c:spPr>
            <a:solidFill>
              <a:srgbClr val="FFDA00"/>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(GWh)'!$H$62:$AA$62</c:f>
              <c:numCache>
                <c:formatCode>_(* #,##0_);_(* \(#,##0\);_(* "-"??_);_(@_)</c:formatCode>
                <c:ptCount val="20"/>
                <c:pt idx="0">
                  <c:v>0.55901379694867948</c:v>
                </c:pt>
                <c:pt idx="1">
                  <c:v>1.1621625681773451</c:v>
                </c:pt>
                <c:pt idx="2">
                  <c:v>1.8015368301426251</c:v>
                </c:pt>
                <c:pt idx="3">
                  <c:v>2.4596372882337736</c:v>
                </c:pt>
                <c:pt idx="4">
                  <c:v>3.0866453834467911</c:v>
                </c:pt>
                <c:pt idx="5">
                  <c:v>3.5957294054574795</c:v>
                </c:pt>
                <c:pt idx="6">
                  <c:v>4.2138869720821921</c:v>
                </c:pt>
                <c:pt idx="7">
                  <c:v>4.8147775896419036</c:v>
                </c:pt>
                <c:pt idx="8">
                  <c:v>5.3824835814767402</c:v>
                </c:pt>
                <c:pt idx="9">
                  <c:v>5.8361267463129582</c:v>
                </c:pt>
                <c:pt idx="10">
                  <c:v>6.3507805950765466</c:v>
                </c:pt>
                <c:pt idx="11">
                  <c:v>6.8336262190189867</c:v>
                </c:pt>
                <c:pt idx="12">
                  <c:v>7.2891660718826223</c:v>
                </c:pt>
                <c:pt idx="13">
                  <c:v>7.7144309129227446</c:v>
                </c:pt>
                <c:pt idx="14">
                  <c:v>8.1142639927947577</c:v>
                </c:pt>
                <c:pt idx="15">
                  <c:v>8.30768391715546</c:v>
                </c:pt>
                <c:pt idx="16">
                  <c:v>8.4855763581234172</c:v>
                </c:pt>
                <c:pt idx="17">
                  <c:v>8.6766824386981387</c:v>
                </c:pt>
                <c:pt idx="18">
                  <c:v>8.9312487306124897</c:v>
                </c:pt>
                <c:pt idx="19">
                  <c:v>9.133296392889477</c:v>
                </c:pt>
              </c:numCache>
              <c:extLst/>
            </c:numRef>
          </c:val>
          <c:extLst>
            <c:ext xmlns:c16="http://schemas.microsoft.com/office/drawing/2014/chart" uri="{C3380CC4-5D6E-409C-BE32-E72D297353CC}">
              <c16:uniqueId val="{00000004-3F66-4774-95E5-E3F0A1F7F0C8}"/>
            </c:ext>
          </c:extLst>
        </c:ser>
        <c:ser>
          <c:idx val="7"/>
          <c:order val="6"/>
          <c:tx>
            <c:strRef>
              <c:f>'Savings by End-Use (GWh)'!$B$61</c:f>
              <c:strCache>
                <c:ptCount val="1"/>
                <c:pt idx="0">
                  <c:v>Ventilation</c:v>
                </c:pt>
              </c:strCache>
            </c:strRef>
          </c:tx>
          <c:spPr>
            <a:solidFill>
              <a:schemeClr val="accent6">
                <a:lumMod val="20000"/>
                <a:lumOff val="80000"/>
              </a:schemeClr>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(GWh)'!$H$61:$AA$61</c:f>
              <c:numCache>
                <c:formatCode>_(* #,##0_);_(* \(#,##0\);_(* "-"??_);_(@_)</c:formatCode>
                <c:ptCount val="20"/>
                <c:pt idx="0">
                  <c:v>0.12899040368609749</c:v>
                </c:pt>
                <c:pt idx="1">
                  <c:v>0.2630586645117054</c:v>
                </c:pt>
                <c:pt idx="2">
                  <c:v>0.40382928530545498</c:v>
                </c:pt>
                <c:pt idx="3">
                  <c:v>0.5501945452355318</c:v>
                </c:pt>
                <c:pt idx="4">
                  <c:v>0.70356989673448045</c:v>
                </c:pt>
                <c:pt idx="5">
                  <c:v>0.8566129840226191</c:v>
                </c:pt>
                <c:pt idx="6">
                  <c:v>1.0093094618291116</c:v>
                </c:pt>
                <c:pt idx="7">
                  <c:v>1.1618314992625365</c:v>
                </c:pt>
                <c:pt idx="8">
                  <c:v>1.3117123225650182</c:v>
                </c:pt>
                <c:pt idx="9">
                  <c:v>1.4543555954124954</c:v>
                </c:pt>
                <c:pt idx="10">
                  <c:v>1.5884246101438648</c:v>
                </c:pt>
                <c:pt idx="11">
                  <c:v>1.7140618382667754</c:v>
                </c:pt>
                <c:pt idx="12">
                  <c:v>1.8365732127223786</c:v>
                </c:pt>
                <c:pt idx="13">
                  <c:v>1.9533178251553722</c:v>
                </c:pt>
                <c:pt idx="14">
                  <c:v>2.0707161043622633</c:v>
                </c:pt>
                <c:pt idx="15">
                  <c:v>2.1823494182876995</c:v>
                </c:pt>
                <c:pt idx="16">
                  <c:v>2.2887841808894587</c:v>
                </c:pt>
                <c:pt idx="17">
                  <c:v>2.3918565743501414</c:v>
                </c:pt>
                <c:pt idx="18">
                  <c:v>2.4917356311867072</c:v>
                </c:pt>
                <c:pt idx="19">
                  <c:v>2.5885150731414273</c:v>
                </c:pt>
              </c:numCache>
              <c:extLst/>
            </c:numRef>
          </c:val>
          <c:extLst>
            <c:ext xmlns:c16="http://schemas.microsoft.com/office/drawing/2014/chart" uri="{C3380CC4-5D6E-409C-BE32-E72D297353CC}">
              <c16:uniqueId val="{00000005-3F66-4774-95E5-E3F0A1F7F0C8}"/>
            </c:ext>
          </c:extLst>
        </c:ser>
        <c:ser>
          <c:idx val="9"/>
          <c:order val="7"/>
          <c:tx>
            <c:strRef>
              <c:f>'Savings by End-Use (GWh)'!$B$60</c:f>
              <c:strCache>
                <c:ptCount val="1"/>
                <c:pt idx="0">
                  <c:v>Space Heating</c:v>
                </c:pt>
              </c:strCache>
            </c:strRef>
          </c:tx>
          <c:spPr>
            <a:solidFill>
              <a:srgbClr val="C00000"/>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(GWh)'!$H$60:$AA$60</c:f>
              <c:numCache>
                <c:formatCode>_(* #,##0_);_(* \(#,##0\);_(* "-"??_);_(@_)</c:formatCode>
                <c:ptCount val="20"/>
                <c:pt idx="0">
                  <c:v>0.15259810642041188</c:v>
                </c:pt>
                <c:pt idx="1">
                  <c:v>0.31013658482763845</c:v>
                </c:pt>
                <c:pt idx="2">
                  <c:v>0.47447378485880232</c:v>
                </c:pt>
                <c:pt idx="3">
                  <c:v>0.64658655014748379</c:v>
                </c:pt>
                <c:pt idx="4">
                  <c:v>0.82908968113174986</c:v>
                </c:pt>
                <c:pt idx="5">
                  <c:v>1.0143839333476443</c:v>
                </c:pt>
                <c:pt idx="6">
                  <c:v>1.2000829155106607</c:v>
                </c:pt>
                <c:pt idx="7">
                  <c:v>1.3884570718863993</c:v>
                </c:pt>
                <c:pt idx="8">
                  <c:v>1.5787676613954458</c:v>
                </c:pt>
                <c:pt idx="9">
                  <c:v>1.7672947646731503</c:v>
                </c:pt>
                <c:pt idx="10">
                  <c:v>1.9495013218633357</c:v>
                </c:pt>
                <c:pt idx="11">
                  <c:v>2.1223615518923999</c:v>
                </c:pt>
                <c:pt idx="12">
                  <c:v>2.2796893886562719</c:v>
                </c:pt>
                <c:pt idx="13">
                  <c:v>2.4178915713075897</c:v>
                </c:pt>
                <c:pt idx="14">
                  <c:v>2.5325198540608347</c:v>
                </c:pt>
                <c:pt idx="15">
                  <c:v>2.6223497093939803</c:v>
                </c:pt>
                <c:pt idx="16">
                  <c:v>2.6849736402216231</c:v>
                </c:pt>
                <c:pt idx="17">
                  <c:v>2.7262210692149305</c:v>
                </c:pt>
                <c:pt idx="18">
                  <c:v>2.7509040728039622</c:v>
                </c:pt>
                <c:pt idx="19">
                  <c:v>2.7653025785957666</c:v>
                </c:pt>
              </c:numCache>
              <c:extLst/>
            </c:numRef>
          </c:val>
          <c:extLst xmlns:c15="http://schemas.microsoft.com/office/drawing/2012/chart">
            <c:ext xmlns:c16="http://schemas.microsoft.com/office/drawing/2014/chart" uri="{C3380CC4-5D6E-409C-BE32-E72D297353CC}">
              <c16:uniqueId val="{00000006-3F66-4774-95E5-E3F0A1F7F0C8}"/>
            </c:ext>
          </c:extLst>
        </c:ser>
        <c:ser>
          <c:idx val="8"/>
          <c:order val="8"/>
          <c:tx>
            <c:strRef>
              <c:f>'Savings by End-Use (GWh)'!$B$59</c:f>
              <c:strCache>
                <c:ptCount val="1"/>
                <c:pt idx="0">
                  <c:v>Cooling</c:v>
                </c:pt>
              </c:strCache>
            </c:strRef>
          </c:tx>
          <c:spPr>
            <a:solidFill>
              <a:schemeClr val="accent6"/>
            </a:solidFill>
            <a:ln w="9525">
              <a:solidFill>
                <a:srgbClr val="F6F6F7"/>
              </a:solidFill>
            </a:ln>
            <a:effectLst>
              <a:outerShdw blurRad="50800" dist="38100" dir="2700000" algn="tl" rotWithShape="0">
                <a:prstClr val="black">
                  <a:alpha val="40000"/>
                </a:prstClr>
              </a:outerShdw>
            </a:effectLst>
          </c:spPr>
          <c:cat>
            <c:numRef>
              <c:f>'Savings by End-Use (GWh)'!$H$58:$AA$58</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extLst/>
            </c:numRef>
          </c:cat>
          <c:val>
            <c:numRef>
              <c:f>'Savings by End-Use (GWh)'!$H$59:$AA$59</c:f>
              <c:numCache>
                <c:formatCode>_(* #,##0_);_(* \(#,##0\);_(* "-"??_);_(@_)</c:formatCode>
                <c:ptCount val="20"/>
                <c:pt idx="0">
                  <c:v>0.18976051538338792</c:v>
                </c:pt>
                <c:pt idx="1">
                  <c:v>0.38229729684209285</c:v>
                </c:pt>
                <c:pt idx="2">
                  <c:v>0.57801566782951375</c:v>
                </c:pt>
                <c:pt idx="3">
                  <c:v>0.77529532895668163</c:v>
                </c:pt>
                <c:pt idx="4">
                  <c:v>0.97470721754347811</c:v>
                </c:pt>
                <c:pt idx="5">
                  <c:v>1.164698524587837</c:v>
                </c:pt>
                <c:pt idx="6">
                  <c:v>1.3421803892079076</c:v>
                </c:pt>
                <c:pt idx="7">
                  <c:v>1.5088887089793783</c:v>
                </c:pt>
                <c:pt idx="8">
                  <c:v>1.6638772885102679</c:v>
                </c:pt>
                <c:pt idx="9">
                  <c:v>1.803764857106509</c:v>
                </c:pt>
                <c:pt idx="10">
                  <c:v>1.9284731952411762</c:v>
                </c:pt>
                <c:pt idx="11">
                  <c:v>2.0389824748578289</c:v>
                </c:pt>
                <c:pt idx="12">
                  <c:v>2.1345655182342211</c:v>
                </c:pt>
                <c:pt idx="13">
                  <c:v>2.2241421149244998</c:v>
                </c:pt>
                <c:pt idx="14">
                  <c:v>2.3025579932725799</c:v>
                </c:pt>
                <c:pt idx="15">
                  <c:v>2.3720150813059218</c:v>
                </c:pt>
                <c:pt idx="16">
                  <c:v>2.4321420053765452</c:v>
                </c:pt>
                <c:pt idx="17">
                  <c:v>2.4867307389790065</c:v>
                </c:pt>
                <c:pt idx="18">
                  <c:v>2.537988796879771</c:v>
                </c:pt>
                <c:pt idx="19">
                  <c:v>2.5864298038973637</c:v>
                </c:pt>
              </c:numCache>
              <c:extLst/>
            </c:numRef>
          </c:val>
          <c:extLst xmlns:c15="http://schemas.microsoft.com/office/drawing/2012/chart">
            <c:ext xmlns:c16="http://schemas.microsoft.com/office/drawing/2014/chart" uri="{C3380CC4-5D6E-409C-BE32-E72D297353CC}">
              <c16:uniqueId val="{00000007-3F66-4774-95E5-E3F0A1F7F0C8}"/>
            </c:ext>
          </c:extLst>
        </c:ser>
        <c:dLbls>
          <c:showLegendKey val="0"/>
          <c:showVal val="0"/>
          <c:showCatName val="0"/>
          <c:showSerName val="0"/>
          <c:showPercent val="0"/>
          <c:showBubbleSize val="0"/>
        </c:dLbls>
        <c:axId val="489724408"/>
        <c:axId val="489714240"/>
        <c:extLst>
          <c:ext xmlns:c15="http://schemas.microsoft.com/office/drawing/2012/chart" uri="{02D57815-91ED-43cb-92C2-25804820EDAC}">
            <c15:filteredAreaSeries>
              <c15:ser>
                <c:idx val="3"/>
                <c:order val="0"/>
                <c:tx>
                  <c:strRef>
                    <c:extLst>
                      <c:ext uri="{02D57815-91ED-43cb-92C2-25804820EDAC}">
                        <c15:formulaRef>
                          <c15:sqref>'Savings by End-Use (GWh)'!$B$67</c15:sqref>
                        </c15:formulaRef>
                      </c:ext>
                    </c:extLst>
                    <c:strCache>
                      <c:ptCount val="1"/>
                      <c:pt idx="0">
                        <c:v>Total</c:v>
                      </c:pt>
                    </c:strCache>
                  </c:strRef>
                </c:tx>
                <c:cat>
                  <c:numRef>
                    <c:extLst>
                      <c:ext uri="{02D57815-91ED-43cb-92C2-25804820EDAC}">
                        <c15:formulaRef>
                          <c15:sqref>'Savings by End-Use (GWh)'!$H$58:$AA$58</c15:sqref>
                        </c15:formulaRef>
                      </c:ext>
                    </c:extLst>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extLst>
                      <c:ext uri="{02D57815-91ED-43cb-92C2-25804820EDAC}">
                        <c15:formulaRef>
                          <c15:sqref>'Savings by End-Use (GWh)'!$H$67:$AA$67</c15:sqref>
                        </c15:formulaRef>
                      </c:ext>
                    </c:extLst>
                    <c:numCache>
                      <c:formatCode>_(* #,##0_);_(* \(#,##0\);_(* "-"??_);_(@_)</c:formatCode>
                      <c:ptCount val="20"/>
                      <c:pt idx="0">
                        <c:v>3.558023115772929</c:v>
                      </c:pt>
                      <c:pt idx="1">
                        <c:v>7.4399158278471003</c:v>
                      </c:pt>
                      <c:pt idx="2">
                        <c:v>11.741857879354548</c:v>
                      </c:pt>
                      <c:pt idx="3">
                        <c:v>16.361790218221945</c:v>
                      </c:pt>
                      <c:pt idx="4">
                        <c:v>21.189080529594555</c:v>
                      </c:pt>
                      <c:pt idx="5">
                        <c:v>26.079956584231848</c:v>
                      </c:pt>
                      <c:pt idx="6">
                        <c:v>31.359271655452254</c:v>
                      </c:pt>
                      <c:pt idx="7">
                        <c:v>36.511699592185479</c:v>
                      </c:pt>
                      <c:pt idx="8">
                        <c:v>41.264272547746032</c:v>
                      </c:pt>
                      <c:pt idx="9">
                        <c:v>45.150766296906831</c:v>
                      </c:pt>
                      <c:pt idx="10">
                        <c:v>48.524462926575183</c:v>
                      </c:pt>
                      <c:pt idx="11">
                        <c:v>51.129883322171366</c:v>
                      </c:pt>
                      <c:pt idx="12">
                        <c:v>53.102047686390499</c:v>
                      </c:pt>
                      <c:pt idx="13">
                        <c:v>54.593899916991589</c:v>
                      </c:pt>
                      <c:pt idx="14">
                        <c:v>55.80292652411493</c:v>
                      </c:pt>
                      <c:pt idx="15">
                        <c:v>56.680403467813534</c:v>
                      </c:pt>
                      <c:pt idx="16">
                        <c:v>57.428004249913727</c:v>
                      </c:pt>
                      <c:pt idx="17">
                        <c:v>58.161721266103143</c:v>
                      </c:pt>
                      <c:pt idx="18">
                        <c:v>58.909887454252583</c:v>
                      </c:pt>
                      <c:pt idx="19">
                        <c:v>59.567766977676904</c:v>
                      </c:pt>
                    </c:numCache>
                  </c:numRef>
                </c:val>
                <c:extLst>
                  <c:ext xmlns:c16="http://schemas.microsoft.com/office/drawing/2014/chart" uri="{C3380CC4-5D6E-409C-BE32-E72D297353CC}">
                    <c16:uniqueId val="{00000008-3F66-4774-95E5-E3F0A1F7F0C8}"/>
                  </c:ext>
                </c:extLst>
              </c15:ser>
            </c15:filteredAreaSeries>
          </c:ext>
        </c:extLst>
      </c:areaChart>
      <c:catAx>
        <c:axId val="489724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89714240"/>
        <c:crosses val="autoZero"/>
        <c:auto val="1"/>
        <c:lblAlgn val="ctr"/>
        <c:lblOffset val="100"/>
        <c:tickLblSkip val="2"/>
        <c:noMultiLvlLbl val="0"/>
      </c:catAx>
      <c:valAx>
        <c:axId val="489714240"/>
        <c:scaling>
          <c:orientation val="minMax"/>
        </c:scaling>
        <c:delete val="0"/>
        <c:axPos val="l"/>
        <c:majorGridlines>
          <c:spPr>
            <a:ln w="9525" cap="flat" cmpd="sng" algn="ctr">
              <a:solidFill>
                <a:srgbClr val="19172B">
                  <a:lumMod val="25000"/>
                  <a:lumOff val="75000"/>
                </a:srgbClr>
              </a:solidFill>
              <a:round/>
            </a:ln>
            <a:effectLst/>
          </c:spPr>
        </c:majorGridlines>
        <c:title>
          <c:tx>
            <c:rich>
              <a:bodyPr rot="0" vert="horz"/>
              <a:lstStyle/>
              <a:p>
                <a:pPr>
                  <a:defRPr b="0"/>
                </a:pPr>
                <a:r>
                  <a:rPr lang="en-US" b="0"/>
                  <a:t>GWh</a:t>
                </a:r>
              </a:p>
            </c:rich>
          </c:tx>
          <c:overlay val="0"/>
        </c:title>
        <c:numFmt formatCode="_(* #,##0_);_(* \(#,##0\);_(* &quot;-&quot;??_);_(@_)" sourceLinked="1"/>
        <c:majorTickMark val="none"/>
        <c:minorTickMark val="none"/>
        <c:tickLblPos val="nextTo"/>
        <c:spPr>
          <a:noFill/>
          <a:ln>
            <a:noFill/>
          </a:ln>
          <a:effectLst/>
        </c:spPr>
        <c:txPr>
          <a:bodyPr rot="-60000000" vert="horz"/>
          <a:lstStyle/>
          <a:p>
            <a:pPr>
              <a:defRPr/>
            </a:pPr>
            <a:endParaRPr lang="en-US"/>
          </a:p>
        </c:txPr>
        <c:crossAx val="489724408"/>
        <c:crosses val="autoZero"/>
        <c:crossBetween val="between"/>
      </c:valAx>
      <c:spPr>
        <a:noFill/>
      </c:spPr>
    </c:plotArea>
    <c:legend>
      <c:legendPos val="r"/>
      <c:layout>
        <c:manualLayout>
          <c:xMode val="edge"/>
          <c:yMode val="edge"/>
          <c:x val="0.79482101280938677"/>
          <c:y val="0.19349219740927587"/>
          <c:w val="0.18945704373546882"/>
          <c:h val="0.68334127271092437"/>
        </c:manualLayout>
      </c:layout>
      <c:overlay val="0"/>
      <c:spPr>
        <a:noFill/>
        <a:ln>
          <a:noFill/>
        </a:ln>
        <a:effectLst/>
      </c:spPr>
      <c:txPr>
        <a:bodyPr rot="0" vert="horz" anchor="ctr" anchorCtr="0"/>
        <a:lstStyle/>
        <a:p>
          <a:pPr>
            <a:defRPr/>
          </a:pPr>
          <a:endParaRPr lang="en-US"/>
        </a:p>
      </c:txPr>
    </c:legend>
    <c:plotVisOnly val="1"/>
    <c:dispBlanksAs val="zero"/>
    <c:showDLblsOverMax val="0"/>
    <c:extLst/>
  </c:chart>
  <c:spPr>
    <a:solidFill>
      <a:srgbClr val="F6F6F7"/>
    </a:solidFill>
    <a:ln w="9525" cap="flat" cmpd="sng" algn="ctr">
      <a:noFill/>
      <a:round/>
    </a:ln>
    <a:effectLst/>
  </c:spPr>
  <c:txPr>
    <a:bodyPr/>
    <a:lstStyle/>
    <a:p>
      <a:pPr>
        <a:defRPr sz="900">
          <a:solidFill>
            <a:schemeClr val="tx1">
              <a:lumMod val="65000"/>
              <a:lumOff val="35000"/>
            </a:schemeClr>
          </a:solidFill>
          <a:latin typeface="+mn-lt"/>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1"/>
          <c:order val="0"/>
          <c:tx>
            <c:strRef>
              <c:f>'Overall Potential'!$AB$43</c:f>
              <c:strCache>
                <c:ptCount val="1"/>
                <c:pt idx="0">
                  <c:v>Idaho</c:v>
                </c:pt>
              </c:strCache>
            </c:strRef>
          </c:tx>
          <c:spPr>
            <a:solidFill>
              <a:schemeClr val="accent2"/>
            </a:solidFill>
            <a:ln>
              <a:solidFill>
                <a:srgbClr val="FFFFFF"/>
              </a:solidFill>
            </a:ln>
            <a:effectLst>
              <a:outerShdw blurRad="50800" dist="38100" dir="2700000" algn="tl" rotWithShape="0">
                <a:prstClr val="black">
                  <a:alpha val="40000"/>
                </a:prstClr>
              </a:outerShdw>
            </a:effectLst>
          </c:spPr>
          <c:cat>
            <c:numRef>
              <c:f>'Overall Potential'!$AC$41:$AV$41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Potential'!$AC$43:$AV$43</c:f>
              <c:numCache>
                <c:formatCode>_(* #,##0_);_(* \(#,##0\);_(* "-"??_);_(@_)</c:formatCode>
                <c:ptCount val="20"/>
                <c:pt idx="0">
                  <c:v>605.29535966661251</c:v>
                </c:pt>
                <c:pt idx="1">
                  <c:v>603.91307681674664</c:v>
                </c:pt>
                <c:pt idx="2">
                  <c:v>591.9671922790709</c:v>
                </c:pt>
                <c:pt idx="3">
                  <c:v>624.68740958802755</c:v>
                </c:pt>
                <c:pt idx="4">
                  <c:v>628.64662310869892</c:v>
                </c:pt>
                <c:pt idx="5">
                  <c:v>632.38111543713512</c:v>
                </c:pt>
                <c:pt idx="6">
                  <c:v>626.58087757342878</c:v>
                </c:pt>
                <c:pt idx="7">
                  <c:v>635.82027506943268</c:v>
                </c:pt>
                <c:pt idx="8">
                  <c:v>637.96445538309331</c:v>
                </c:pt>
                <c:pt idx="9">
                  <c:v>640.80504714366396</c:v>
                </c:pt>
                <c:pt idx="10">
                  <c:v>663.84626036242878</c:v>
                </c:pt>
                <c:pt idx="11">
                  <c:v>648.6118562163274</c:v>
                </c:pt>
                <c:pt idx="12">
                  <c:v>657.52060741258458</c:v>
                </c:pt>
                <c:pt idx="13">
                  <c:v>663.51272823371994</c:v>
                </c:pt>
                <c:pt idx="14">
                  <c:v>672.22787777572501</c:v>
                </c:pt>
                <c:pt idx="15">
                  <c:v>674.74078513642291</c:v>
                </c:pt>
                <c:pt idx="16">
                  <c:v>681.75960442840289</c:v>
                </c:pt>
                <c:pt idx="17">
                  <c:v>683.3377081295987</c:v>
                </c:pt>
                <c:pt idx="18">
                  <c:v>680.79984935833727</c:v>
                </c:pt>
                <c:pt idx="19">
                  <c:v>698.67741734116726</c:v>
                </c:pt>
              </c:numCache>
            </c:numRef>
          </c:val>
          <c:extLst>
            <c:ext xmlns:c16="http://schemas.microsoft.com/office/drawing/2014/chart" uri="{C3380CC4-5D6E-409C-BE32-E72D297353CC}">
              <c16:uniqueId val="{00000000-E5EA-4926-B281-DBC9AFA4E7CD}"/>
            </c:ext>
          </c:extLst>
        </c:ser>
        <c:ser>
          <c:idx val="0"/>
          <c:order val="1"/>
          <c:tx>
            <c:strRef>
              <c:f>'Overall Potential'!$AB$42</c:f>
              <c:strCache>
                <c:ptCount val="1"/>
                <c:pt idx="0">
                  <c:v>Washington</c:v>
                </c:pt>
              </c:strCache>
            </c:strRef>
          </c:tx>
          <c:spPr>
            <a:solidFill>
              <a:schemeClr val="accent1"/>
            </a:solidFill>
            <a:ln>
              <a:solidFill>
                <a:srgbClr val="FFFFFF"/>
              </a:solidFill>
            </a:ln>
            <a:effectLst>
              <a:outerShdw blurRad="50800" dist="38100" dir="2700000" algn="tl" rotWithShape="0">
                <a:prstClr val="black">
                  <a:alpha val="40000"/>
                </a:prstClr>
              </a:outerShdw>
            </a:effectLst>
          </c:spPr>
          <c:cat>
            <c:numRef>
              <c:f>'Overall Potential'!$AC$41:$AV$41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Potential'!$AC$42:$AV$42</c:f>
              <c:numCache>
                <c:formatCode>_(* #,##0_);_(* \(#,##0\);_(* "-"??_);_(@_)</c:formatCode>
                <c:ptCount val="20"/>
                <c:pt idx="0">
                  <c:v>1233.5362329196898</c:v>
                </c:pt>
                <c:pt idx="1">
                  <c:v>1225.5030252639656</c:v>
                </c:pt>
                <c:pt idx="2">
                  <c:v>1213.8144849459979</c:v>
                </c:pt>
                <c:pt idx="3">
                  <c:v>1291.7328055476196</c:v>
                </c:pt>
                <c:pt idx="4">
                  <c:v>1304.1701741793136</c:v>
                </c:pt>
                <c:pt idx="5">
                  <c:v>1315.7597917333449</c:v>
                </c:pt>
                <c:pt idx="6">
                  <c:v>1325.4740584818053</c:v>
                </c:pt>
                <c:pt idx="7">
                  <c:v>1331.3448899217508</c:v>
                </c:pt>
                <c:pt idx="8">
                  <c:v>1343.7282120635982</c:v>
                </c:pt>
                <c:pt idx="9">
                  <c:v>1356.775223607229</c:v>
                </c:pt>
                <c:pt idx="10">
                  <c:v>1422.296276458399</c:v>
                </c:pt>
                <c:pt idx="11">
                  <c:v>1386.9840382019465</c:v>
                </c:pt>
                <c:pt idx="12">
                  <c:v>1415.7132283837987</c:v>
                </c:pt>
                <c:pt idx="13">
                  <c:v>1437.0195701711914</c:v>
                </c:pt>
                <c:pt idx="14">
                  <c:v>1472.4561382962536</c:v>
                </c:pt>
                <c:pt idx="15">
                  <c:v>1480.7027031943312</c:v>
                </c:pt>
                <c:pt idx="16">
                  <c:v>1501.2893356943141</c:v>
                </c:pt>
                <c:pt idx="17">
                  <c:v>1513.3010163149399</c:v>
                </c:pt>
                <c:pt idx="18">
                  <c:v>1539.5907982123565</c:v>
                </c:pt>
                <c:pt idx="19">
                  <c:v>1559.7025104021914</c:v>
                </c:pt>
              </c:numCache>
            </c:numRef>
          </c:val>
          <c:extLst>
            <c:ext xmlns:c16="http://schemas.microsoft.com/office/drawing/2014/chart" uri="{C3380CC4-5D6E-409C-BE32-E72D297353CC}">
              <c16:uniqueId val="{00000001-E5EA-4926-B281-DBC9AFA4E7CD}"/>
            </c:ext>
          </c:extLst>
        </c:ser>
        <c:dLbls>
          <c:showLegendKey val="0"/>
          <c:showVal val="0"/>
          <c:showCatName val="0"/>
          <c:showSerName val="0"/>
          <c:showPercent val="0"/>
          <c:showBubbleSize val="0"/>
        </c:dLbls>
        <c:axId val="1281086799"/>
        <c:axId val="1281084399"/>
      </c:areaChart>
      <c:catAx>
        <c:axId val="12810867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1084399"/>
        <c:crosses val="autoZero"/>
        <c:auto val="1"/>
        <c:lblAlgn val="ctr"/>
        <c:lblOffset val="100"/>
        <c:noMultiLvlLbl val="0"/>
      </c:catAx>
      <c:valAx>
        <c:axId val="1281084399"/>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108679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Annual</a:t>
            </a:r>
            <a:r>
              <a:rPr lang="en-US" sz="1200" baseline="0"/>
              <a:t> Use by End Use</a:t>
            </a:r>
          </a:p>
        </c:rich>
      </c:tx>
      <c:layout>
        <c:manualLayout>
          <c:xMode val="edge"/>
          <c:yMode val="edge"/>
          <c:x val="0.23384711804451183"/>
          <c:y val="2.3334985762211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27E4-4AF4-80B9-AA7FB4028F8F}"/>
              </c:ext>
            </c:extLst>
          </c:dPt>
          <c:dPt>
            <c:idx val="1"/>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27E4-4AF4-80B9-AA7FB4028F8F}"/>
              </c:ext>
            </c:extLst>
          </c:dPt>
          <c:dPt>
            <c:idx val="2"/>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27E4-4AF4-80B9-AA7FB4028F8F}"/>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27E4-4AF4-80B9-AA7FB4028F8F}"/>
              </c:ext>
            </c:extLst>
          </c:dPt>
          <c:dPt>
            <c:idx val="4"/>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27E4-4AF4-80B9-AA7FB4028F8F}"/>
              </c:ext>
            </c:extLst>
          </c:dPt>
          <c:dPt>
            <c:idx val="5"/>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27E4-4AF4-80B9-AA7FB4028F8F}"/>
              </c:ext>
            </c:extLst>
          </c:dPt>
          <c:dPt>
            <c:idx val="6"/>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27E4-4AF4-80B9-AA7FB4028F8F}"/>
              </c:ext>
            </c:extLst>
          </c:dPt>
          <c:dPt>
            <c:idx val="7"/>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27E4-4AF4-80B9-AA7FB4028F8F}"/>
              </c:ext>
            </c:extLst>
          </c:dPt>
          <c:dLbls>
            <c:dLbl>
              <c:idx val="1"/>
              <c:layout>
                <c:manualLayout>
                  <c:x val="-0.21381817933053762"/>
                  <c:y val="5.4620151647710703E-2"/>
                </c:manualLayout>
              </c:layout>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7E4-4AF4-80B9-AA7FB4028F8F}"/>
                </c:ext>
              </c:extLst>
            </c:dLbl>
            <c:dLbl>
              <c:idx val="2"/>
              <c:layout>
                <c:manualLayout>
                  <c:x val="9.9531732078233764E-2"/>
                  <c:y val="-9.291531478702350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7E4-4AF4-80B9-AA7FB4028F8F}"/>
                </c:ext>
              </c:extLst>
            </c:dLbl>
            <c:dLbl>
              <c:idx val="3"/>
              <c:layout>
                <c:manualLayout>
                  <c:x val="0.12221484912127079"/>
                  <c:y val="-2.4328046696271573E-3"/>
                </c:manualLayout>
              </c:layout>
              <c:showLegendKey val="0"/>
              <c:showVal val="0"/>
              <c:showCatName val="1"/>
              <c:showSerName val="0"/>
              <c:showPercent val="1"/>
              <c:showBubbleSize val="0"/>
              <c:extLst>
                <c:ext xmlns:c15="http://schemas.microsoft.com/office/drawing/2012/chart" uri="{CE6537A1-D6FC-4f65-9D91-7224C49458BB}">
                  <c15:layout>
                    <c:manualLayout>
                      <c:w val="0.52502172024326677"/>
                      <c:h val="0.12455527821393712"/>
                    </c:manualLayout>
                  </c15:layout>
                </c:ext>
                <c:ext xmlns:c16="http://schemas.microsoft.com/office/drawing/2014/chart" uri="{C3380CC4-5D6E-409C-BE32-E72D297353CC}">
                  <c16:uniqueId val="{00000007-27E4-4AF4-80B9-AA7FB4028F8F}"/>
                </c:ext>
              </c:extLst>
            </c:dLbl>
            <c:dLbl>
              <c:idx val="6"/>
              <c:layout>
                <c:manualLayout>
                  <c:x val="0"/>
                  <c:y val="1.1119298475735609E-2"/>
                </c:manualLayout>
              </c:layout>
              <c:showLegendKey val="0"/>
              <c:showVal val="0"/>
              <c:showCatName val="1"/>
              <c:showSerName val="0"/>
              <c:showPercent val="1"/>
              <c:showBubbleSize val="0"/>
              <c:extLst>
                <c:ext xmlns:c15="http://schemas.microsoft.com/office/drawing/2012/chart" uri="{CE6537A1-D6FC-4f65-9D91-7224C49458BB}">
                  <c15:layout>
                    <c:manualLayout>
                      <c:w val="0.22046046915725456"/>
                      <c:h val="0.21435570798628123"/>
                    </c:manualLayout>
                  </c15:layout>
                </c:ext>
                <c:ext xmlns:c16="http://schemas.microsoft.com/office/drawing/2014/chart" uri="{C3380CC4-5D6E-409C-BE32-E72D297353CC}">
                  <c16:uniqueId val="{0000000D-27E4-4AF4-80B9-AA7FB4028F8F}"/>
                </c:ext>
              </c:extLst>
            </c:dLbl>
            <c:dLbl>
              <c:idx val="7"/>
              <c:layout>
                <c:manualLayout>
                  <c:x val="3.4985532426318966E-2"/>
                  <c:y val="3.1328978033819219E-2"/>
                </c:manualLayout>
              </c:layout>
              <c:showLegendKey val="0"/>
              <c:showVal val="0"/>
              <c:showCatName val="1"/>
              <c:showSerName val="0"/>
              <c:showPercent val="1"/>
              <c:showBubbleSize val="0"/>
              <c:extLst>
                <c:ext xmlns:c15="http://schemas.microsoft.com/office/drawing/2012/chart" uri="{CE6537A1-D6FC-4f65-9D91-7224C49458BB}">
                  <c15:layout>
                    <c:manualLayout>
                      <c:w val="0.31370564452684069"/>
                      <c:h val="0.16645851560221639"/>
                    </c:manualLayout>
                  </c15:layout>
                </c:ext>
                <c:ext xmlns:c16="http://schemas.microsoft.com/office/drawing/2014/chart" uri="{C3380CC4-5D6E-409C-BE32-E72D297353CC}">
                  <c16:uniqueId val="{0000000F-27E4-4AF4-80B9-AA7FB4028F8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Year'!$B$6:$B$13</c:f>
              <c:strCache>
                <c:ptCount val="8"/>
                <c:pt idx="0">
                  <c:v>Cooling</c:v>
                </c:pt>
                <c:pt idx="1">
                  <c:v>Space Heating</c:v>
                </c:pt>
                <c:pt idx="2">
                  <c:v>Water Heating</c:v>
                </c:pt>
                <c:pt idx="3">
                  <c:v>Interior Lighting</c:v>
                </c:pt>
                <c:pt idx="4">
                  <c:v>Exterior Lighting</c:v>
                </c:pt>
                <c:pt idx="5">
                  <c:v>Appliances</c:v>
                </c:pt>
                <c:pt idx="6">
                  <c:v>Electronics</c:v>
                </c:pt>
                <c:pt idx="7">
                  <c:v>Miscellaneous</c:v>
                </c:pt>
              </c:strCache>
            </c:strRef>
          </c:cat>
          <c:val>
            <c:numRef>
              <c:f>'End Use Intensity - Base Year'!$I$6:$I$13</c:f>
              <c:numCache>
                <c:formatCode>_(* #,##0_);_(* \(#,##0\);_(* "-"??_);_(@_)</c:formatCode>
                <c:ptCount val="8"/>
                <c:pt idx="0">
                  <c:v>757.86304191186116</c:v>
                </c:pt>
                <c:pt idx="1">
                  <c:v>3213.0019490150344</c:v>
                </c:pt>
                <c:pt idx="2">
                  <c:v>1255.8129382308405</c:v>
                </c:pt>
                <c:pt idx="3">
                  <c:v>825.05222087619939</c:v>
                </c:pt>
                <c:pt idx="4">
                  <c:v>206.38973209044741</c:v>
                </c:pt>
                <c:pt idx="5">
                  <c:v>1877.5075380744224</c:v>
                </c:pt>
                <c:pt idx="6">
                  <c:v>933.21167458722732</c:v>
                </c:pt>
                <c:pt idx="7">
                  <c:v>2363.7192762438131</c:v>
                </c:pt>
              </c:numCache>
            </c:numRef>
          </c:val>
          <c:extLst>
            <c:ext xmlns:c16="http://schemas.microsoft.com/office/drawing/2014/chart" uri="{C3380CC4-5D6E-409C-BE32-E72D297353CC}">
              <c16:uniqueId val="{00000010-27E4-4AF4-80B9-AA7FB4028F8F}"/>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12-27E4-4AF4-80B9-AA7FB4028F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27E4-4AF4-80B9-AA7FB4028F8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27E4-4AF4-80B9-AA7FB4028F8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27E4-4AF4-80B9-AA7FB4028F8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27E4-4AF4-80B9-AA7FB4028F8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27E4-4AF4-80B9-AA7FB4028F8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'Market Overview'!$B$5:$B$10</c:f>
              <c:strCache>
                <c:ptCount val="6"/>
                <c:pt idx="0">
                  <c:v> Single Family </c:v>
                </c:pt>
                <c:pt idx="1">
                  <c:v> Multi-Family </c:v>
                </c:pt>
                <c:pt idx="2">
                  <c:v> Mobile Home </c:v>
                </c:pt>
                <c:pt idx="3">
                  <c:v> LI - Single Family </c:v>
                </c:pt>
                <c:pt idx="4">
                  <c:v> LI - Multi-Family </c:v>
                </c:pt>
                <c:pt idx="5">
                  <c:v> LI - Mobile Home </c:v>
                </c:pt>
              </c:strCache>
            </c:strRef>
          </c:cat>
          <c:val>
            <c:numRef>
              <c:f>'Market Overview'!$D$5:$D$10</c:f>
              <c:numCache>
                <c:formatCode>_(* #,##0_);_(* \(#,##0\);_(* "-"??_);_(@_)</c:formatCode>
                <c:ptCount val="6"/>
                <c:pt idx="0">
                  <c:v>97303.527029004108</c:v>
                </c:pt>
                <c:pt idx="1">
                  <c:v>12711.56466885571</c:v>
                </c:pt>
                <c:pt idx="2">
                  <c:v>8704.1834612804669</c:v>
                </c:pt>
                <c:pt idx="3">
                  <c:v>62689.735435489529</c:v>
                </c:pt>
                <c:pt idx="4">
                  <c:v>45260.977186212098</c:v>
                </c:pt>
                <c:pt idx="5">
                  <c:v>7836.0955524914507</c:v>
                </c:pt>
              </c:numCache>
            </c:numRef>
          </c:val>
          <c:extLst>
            <c:ext xmlns:c16="http://schemas.microsoft.com/office/drawing/2014/chart" uri="{C3380CC4-5D6E-409C-BE32-E72D297353CC}">
              <c16:uniqueId val="{0000001D-27E4-4AF4-80B9-AA7FB4028F8F}"/>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1"/>
          <c:order val="0"/>
          <c:tx>
            <c:strRef>
              <c:f>'Overall Potential'!$AB$43</c:f>
              <c:strCache>
                <c:ptCount val="1"/>
                <c:pt idx="0">
                  <c:v>Idaho</c:v>
                </c:pt>
              </c:strCache>
            </c:strRef>
          </c:tx>
          <c:spPr>
            <a:solidFill>
              <a:schemeClr val="accent2"/>
            </a:solidFill>
            <a:ln>
              <a:solidFill>
                <a:srgbClr val="FFFFFF"/>
              </a:solidFill>
            </a:ln>
            <a:effectLst>
              <a:outerShdw blurRad="50800" dist="38100" dir="2700000" algn="tl" rotWithShape="0">
                <a:prstClr val="black">
                  <a:alpha val="40000"/>
                </a:prstClr>
              </a:outerShdw>
            </a:effectLst>
          </c:spPr>
          <c:cat>
            <c:numRef>
              <c:f>'Overall Potential'!$AC$41:$AV$41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Potential'!$AC$72:$AV$72</c:f>
              <c:numCache>
                <c:formatCode>_(* #,##0_);_(* \(#,##0\);_(* "-"??_);_(@_)</c:formatCode>
                <c:ptCount val="20"/>
                <c:pt idx="0">
                  <c:v>619.75221968342078</c:v>
                </c:pt>
                <c:pt idx="1">
                  <c:v>625.11026207803502</c:v>
                </c:pt>
                <c:pt idx="2">
                  <c:v>620.35182566911658</c:v>
                </c:pt>
                <c:pt idx="3">
                  <c:v>633.05903603911486</c:v>
                </c:pt>
                <c:pt idx="4">
                  <c:v>635.1668618560592</c:v>
                </c:pt>
                <c:pt idx="5">
                  <c:v>638.25031042784724</c:v>
                </c:pt>
                <c:pt idx="6">
                  <c:v>642.86925570697656</c:v>
                </c:pt>
                <c:pt idx="7">
                  <c:v>656.22227794933679</c:v>
                </c:pt>
                <c:pt idx="8">
                  <c:v>662.46085483428556</c:v>
                </c:pt>
                <c:pt idx="9">
                  <c:v>668.50683626188606</c:v>
                </c:pt>
                <c:pt idx="10">
                  <c:v>672.05154049213036</c:v>
                </c:pt>
                <c:pt idx="11">
                  <c:v>682.31594419927944</c:v>
                </c:pt>
                <c:pt idx="12">
                  <c:v>699.03218978358393</c:v>
                </c:pt>
                <c:pt idx="13">
                  <c:v>703.57704685301883</c:v>
                </c:pt>
                <c:pt idx="14">
                  <c:v>709.19117642224001</c:v>
                </c:pt>
                <c:pt idx="15">
                  <c:v>718.47753151126233</c:v>
                </c:pt>
                <c:pt idx="16">
                  <c:v>724.52421655553826</c:v>
                </c:pt>
                <c:pt idx="17">
                  <c:v>735.76265172100102</c:v>
                </c:pt>
                <c:pt idx="18">
                  <c:v>755.27039691119546</c:v>
                </c:pt>
                <c:pt idx="19">
                  <c:v>760.09601550340301</c:v>
                </c:pt>
              </c:numCache>
            </c:numRef>
          </c:val>
          <c:extLst>
            <c:ext xmlns:c16="http://schemas.microsoft.com/office/drawing/2014/chart" uri="{C3380CC4-5D6E-409C-BE32-E72D297353CC}">
              <c16:uniqueId val="{00000000-8024-4645-909A-814D131D35D6}"/>
            </c:ext>
          </c:extLst>
        </c:ser>
        <c:ser>
          <c:idx val="0"/>
          <c:order val="1"/>
          <c:tx>
            <c:strRef>
              <c:f>'Overall Potential'!$AB$42</c:f>
              <c:strCache>
                <c:ptCount val="1"/>
                <c:pt idx="0">
                  <c:v>Washington</c:v>
                </c:pt>
              </c:strCache>
            </c:strRef>
          </c:tx>
          <c:spPr>
            <a:solidFill>
              <a:schemeClr val="accent1"/>
            </a:solidFill>
            <a:ln>
              <a:solidFill>
                <a:srgbClr val="FFFFFF"/>
              </a:solidFill>
            </a:ln>
            <a:effectLst>
              <a:outerShdw blurRad="50800" dist="38100" dir="2700000" algn="tl" rotWithShape="0">
                <a:prstClr val="black">
                  <a:alpha val="40000"/>
                </a:prstClr>
              </a:outerShdw>
            </a:effectLst>
          </c:spPr>
          <c:cat>
            <c:numRef>
              <c:f>'Overall Potential'!$AC$41:$AV$41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Potential'!$AC$71:$AV$71</c:f>
              <c:numCache>
                <c:formatCode>_(* #,##0_);_(* \(#,##0\);_(* "-"??_);_(@_)</c:formatCode>
                <c:ptCount val="20"/>
                <c:pt idx="0">
                  <c:v>1237.4765929194191</c:v>
                </c:pt>
                <c:pt idx="1">
                  <c:v>1248.2362650774592</c:v>
                </c:pt>
                <c:pt idx="2">
                  <c:v>1234.6139662018211</c:v>
                </c:pt>
                <c:pt idx="3">
                  <c:v>1244.8427391915241</c:v>
                </c:pt>
                <c:pt idx="4">
                  <c:v>1250.1565504007876</c:v>
                </c:pt>
                <c:pt idx="5">
                  <c:v>1256.8778375933659</c:v>
                </c:pt>
                <c:pt idx="6">
                  <c:v>1267.8922458208656</c:v>
                </c:pt>
                <c:pt idx="7">
                  <c:v>1296.4129057826794</c:v>
                </c:pt>
                <c:pt idx="8">
                  <c:v>1314.8234367245536</c:v>
                </c:pt>
                <c:pt idx="9">
                  <c:v>1335.8691057367398</c:v>
                </c:pt>
                <c:pt idx="10">
                  <c:v>1353.5428447767777</c:v>
                </c:pt>
                <c:pt idx="11">
                  <c:v>1388.2307332800119</c:v>
                </c:pt>
                <c:pt idx="12">
                  <c:v>1436.9012925408306</c:v>
                </c:pt>
                <c:pt idx="13">
                  <c:v>1461.4412749718342</c:v>
                </c:pt>
                <c:pt idx="14">
                  <c:v>1487.0286365498944</c:v>
                </c:pt>
                <c:pt idx="15">
                  <c:v>1526.5160942928967</c:v>
                </c:pt>
                <c:pt idx="16">
                  <c:v>1553.818945122588</c:v>
                </c:pt>
                <c:pt idx="17">
                  <c:v>1592.8113732211723</c:v>
                </c:pt>
                <c:pt idx="18">
                  <c:v>1646.3645503560272</c:v>
                </c:pt>
                <c:pt idx="19">
                  <c:v>1661.5069154586067</c:v>
                </c:pt>
              </c:numCache>
            </c:numRef>
          </c:val>
          <c:extLst>
            <c:ext xmlns:c16="http://schemas.microsoft.com/office/drawing/2014/chart" uri="{C3380CC4-5D6E-409C-BE32-E72D297353CC}">
              <c16:uniqueId val="{00000001-8024-4645-909A-814D131D35D6}"/>
            </c:ext>
          </c:extLst>
        </c:ser>
        <c:dLbls>
          <c:showLegendKey val="0"/>
          <c:showVal val="0"/>
          <c:showCatName val="0"/>
          <c:showSerName val="0"/>
          <c:showPercent val="0"/>
          <c:showBubbleSize val="0"/>
        </c:dLbls>
        <c:axId val="1281086799"/>
        <c:axId val="1281084399"/>
      </c:areaChart>
      <c:catAx>
        <c:axId val="12810867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1084399"/>
        <c:crosses val="autoZero"/>
        <c:auto val="1"/>
        <c:lblAlgn val="ctr"/>
        <c:lblOffset val="100"/>
        <c:noMultiLvlLbl val="0"/>
      </c:catAx>
      <c:valAx>
        <c:axId val="1281084399"/>
        <c:scaling>
          <c:orientation val="minMax"/>
          <c:max val="2500"/>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108679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latin typeface="+mn-lt"/>
              </a:rPr>
              <a:t>Summer</a:t>
            </a:r>
          </a:p>
        </c:rich>
      </c:tx>
      <c:layout>
        <c:manualLayout>
          <c:xMode val="edge"/>
          <c:yMode val="edge"/>
          <c:x val="0.38485721142308615"/>
          <c:y val="0"/>
        </c:manualLayout>
      </c:layout>
      <c:overlay val="0"/>
    </c:title>
    <c:autoTitleDeleted val="0"/>
    <c:plotArea>
      <c:layout>
        <c:manualLayout>
          <c:layoutTarget val="inner"/>
          <c:xMode val="edge"/>
          <c:yMode val="edge"/>
          <c:x val="0.21011154855643044"/>
          <c:y val="0.15998436086047185"/>
          <c:w val="0.7333388013998251"/>
          <c:h val="0.47005377010277144"/>
        </c:manualLayout>
      </c:layout>
      <c:lineChart>
        <c:grouping val="standard"/>
        <c:varyColors val="0"/>
        <c:ser>
          <c:idx val="1"/>
          <c:order val="0"/>
          <c:tx>
            <c:strRef>
              <c:f>'Overall Potential'!$AB$32</c:f>
              <c:strCache>
                <c:ptCount val="1"/>
                <c:pt idx="0">
                  <c:v>Baseline Forecast (Summer MW)</c:v>
                </c:pt>
              </c:strCache>
            </c:strRef>
          </c:tx>
          <c:marker>
            <c:symbol val="none"/>
          </c:marker>
          <c:cat>
            <c:numRef>
              <c:f>'Overall Potential'!$AC$31:$AV$31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Potential'!$AC$32:$AV$32</c:f>
              <c:numCache>
                <c:formatCode>_(* #,##0_);_(* \(#,##0\);_(* "-"??_);_(@_)</c:formatCode>
                <c:ptCount val="20"/>
                <c:pt idx="0">
                  <c:v>1838.8315925863023</c:v>
                </c:pt>
                <c:pt idx="1">
                  <c:v>1829.4161020807123</c:v>
                </c:pt>
                <c:pt idx="2">
                  <c:v>1805.781677225069</c:v>
                </c:pt>
                <c:pt idx="3">
                  <c:v>1916.4202151356471</c:v>
                </c:pt>
                <c:pt idx="4">
                  <c:v>1932.8167972880124</c:v>
                </c:pt>
                <c:pt idx="5">
                  <c:v>1948.14090717048</c:v>
                </c:pt>
                <c:pt idx="6">
                  <c:v>1952.0549360552341</c:v>
                </c:pt>
                <c:pt idx="7">
                  <c:v>1967.1651649911835</c:v>
                </c:pt>
                <c:pt idx="8">
                  <c:v>1981.6926674466915</c:v>
                </c:pt>
                <c:pt idx="9">
                  <c:v>1997.5802707508929</c:v>
                </c:pt>
                <c:pt idx="10">
                  <c:v>2086.1425368208279</c:v>
                </c:pt>
                <c:pt idx="11">
                  <c:v>2035.5958944182739</c:v>
                </c:pt>
                <c:pt idx="12">
                  <c:v>2073.2338357963831</c:v>
                </c:pt>
                <c:pt idx="13">
                  <c:v>2100.5322984049112</c:v>
                </c:pt>
                <c:pt idx="14">
                  <c:v>2144.6840160719785</c:v>
                </c:pt>
                <c:pt idx="15">
                  <c:v>2155.443488330754</c:v>
                </c:pt>
                <c:pt idx="16">
                  <c:v>2183.0489401227169</c:v>
                </c:pt>
                <c:pt idx="17">
                  <c:v>2196.6387244445386</c:v>
                </c:pt>
                <c:pt idx="18">
                  <c:v>2220.3906475706935</c:v>
                </c:pt>
                <c:pt idx="19">
                  <c:v>2258.3799277433586</c:v>
                </c:pt>
              </c:numCache>
            </c:numRef>
          </c:val>
          <c:smooth val="0"/>
          <c:extLst>
            <c:ext xmlns:c16="http://schemas.microsoft.com/office/drawing/2014/chart" uri="{C3380CC4-5D6E-409C-BE32-E72D297353CC}">
              <c16:uniqueId val="{00000000-DD1F-4F61-AE34-6A697BBB26FC}"/>
            </c:ext>
          </c:extLst>
        </c:ser>
        <c:ser>
          <c:idx val="0"/>
          <c:order val="1"/>
          <c:tx>
            <c:strRef>
              <c:f>'Overall Potential'!$AB$33</c:f>
              <c:strCache>
                <c:ptCount val="1"/>
                <c:pt idx="0">
                  <c:v>Potential Forecast</c:v>
                </c:pt>
              </c:strCache>
            </c:strRef>
          </c:tx>
          <c:marker>
            <c:symbol val="none"/>
          </c:marker>
          <c:cat>
            <c:numRef>
              <c:f>'Overall Potential'!$AC$31:$AV$31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Potential'!$AC$33:$AV$33</c:f>
              <c:numCache>
                <c:formatCode>_(* #,##0_);_(* \(#,##0\);_(* "-"??_);_(@_)</c:formatCode>
                <c:ptCount val="20"/>
                <c:pt idx="0">
                  <c:v>1823.2046561942993</c:v>
                </c:pt>
                <c:pt idx="1">
                  <c:v>1795.7101802730122</c:v>
                </c:pt>
                <c:pt idx="2">
                  <c:v>1744.1740632509743</c:v>
                </c:pt>
                <c:pt idx="3">
                  <c:v>1833.9045749516642</c:v>
                </c:pt>
                <c:pt idx="4">
                  <c:v>1835.279599053169</c:v>
                </c:pt>
                <c:pt idx="5">
                  <c:v>1841.745953066023</c:v>
                </c:pt>
                <c:pt idx="6">
                  <c:v>1840.7154263534558</c:v>
                </c:pt>
                <c:pt idx="7">
                  <c:v>1850.9898679223893</c:v>
                </c:pt>
                <c:pt idx="8">
                  <c:v>1860.1293227436531</c:v>
                </c:pt>
                <c:pt idx="9">
                  <c:v>1869.8895560381238</c:v>
                </c:pt>
                <c:pt idx="10">
                  <c:v>1951.8096174997677</c:v>
                </c:pt>
                <c:pt idx="11">
                  <c:v>1898.0128902965694</c:v>
                </c:pt>
                <c:pt idx="12">
                  <c:v>1930.0933378600525</c:v>
                </c:pt>
                <c:pt idx="13">
                  <c:v>1951.9376326186425</c:v>
                </c:pt>
                <c:pt idx="14">
                  <c:v>1990.0119422195926</c:v>
                </c:pt>
                <c:pt idx="15">
                  <c:v>1995.8121421326587</c:v>
                </c:pt>
                <c:pt idx="16">
                  <c:v>2017.9525248020791</c:v>
                </c:pt>
                <c:pt idx="17">
                  <c:v>2025.5667064437657</c:v>
                </c:pt>
                <c:pt idx="18">
                  <c:v>2042.3883407142357</c:v>
                </c:pt>
                <c:pt idx="19">
                  <c:v>2074.139798119335</c:v>
                </c:pt>
              </c:numCache>
            </c:numRef>
          </c:val>
          <c:smooth val="0"/>
          <c:extLst>
            <c:ext xmlns:c16="http://schemas.microsoft.com/office/drawing/2014/chart" uri="{C3380CC4-5D6E-409C-BE32-E72D297353CC}">
              <c16:uniqueId val="{00000001-DD1F-4F61-AE34-6A697BBB26FC}"/>
            </c:ext>
          </c:extLst>
        </c:ser>
        <c:dLbls>
          <c:showLegendKey val="0"/>
          <c:showVal val="0"/>
          <c:showCatName val="0"/>
          <c:showSerName val="0"/>
          <c:showPercent val="0"/>
          <c:showBubbleSize val="0"/>
        </c:dLbls>
        <c:smooth val="0"/>
        <c:axId val="432423744"/>
        <c:axId val="432424304"/>
      </c:lineChart>
      <c:catAx>
        <c:axId val="432423744"/>
        <c:scaling>
          <c:orientation val="minMax"/>
        </c:scaling>
        <c:delete val="0"/>
        <c:axPos val="b"/>
        <c:numFmt formatCode="General" sourceLinked="1"/>
        <c:majorTickMark val="out"/>
        <c:minorTickMark val="none"/>
        <c:tickLblPos val="nextTo"/>
        <c:spPr>
          <a:ln>
            <a:solidFill>
              <a:srgbClr val="D9D9D9"/>
            </a:solidFill>
          </a:ln>
        </c:spPr>
        <c:txPr>
          <a:bodyPr rot="-2700000"/>
          <a:lstStyle/>
          <a:p>
            <a:pPr>
              <a:defRPr sz="800"/>
            </a:pPr>
            <a:endParaRPr lang="en-US"/>
          </a:p>
        </c:txPr>
        <c:crossAx val="432424304"/>
        <c:crosses val="autoZero"/>
        <c:auto val="1"/>
        <c:lblAlgn val="ctr"/>
        <c:lblOffset val="100"/>
        <c:noMultiLvlLbl val="0"/>
      </c:catAx>
      <c:valAx>
        <c:axId val="432424304"/>
        <c:scaling>
          <c:orientation val="minMax"/>
        </c:scaling>
        <c:delete val="0"/>
        <c:axPos val="l"/>
        <c:majorGridlines>
          <c:spPr>
            <a:ln>
              <a:solidFill>
                <a:srgbClr val="D9D9D9"/>
              </a:solidFill>
              <a:prstDash val="sysDash"/>
            </a:ln>
          </c:spPr>
        </c:majorGridlines>
        <c:title>
          <c:tx>
            <c:rich>
              <a:bodyPr rot="0" vert="horz"/>
              <a:lstStyle/>
              <a:p>
                <a:pPr>
                  <a:defRPr sz="800">
                    <a:latin typeface="+mn-lt"/>
                  </a:defRPr>
                </a:pPr>
                <a:r>
                  <a:rPr lang="en-US" sz="800">
                    <a:latin typeface="+mn-lt"/>
                  </a:rPr>
                  <a:t>MW</a:t>
                </a:r>
              </a:p>
            </c:rich>
          </c:tx>
          <c:layout>
            <c:manualLayout>
              <c:xMode val="edge"/>
              <c:yMode val="edge"/>
              <c:x val="6.3604360470060077E-4"/>
              <c:y val="0.36287067152484503"/>
            </c:manualLayout>
          </c:layout>
          <c:overlay val="0"/>
        </c:title>
        <c:numFmt formatCode="#,##0;\-#,##0;\-;@" sourceLinked="0"/>
        <c:majorTickMark val="out"/>
        <c:minorTickMark val="none"/>
        <c:tickLblPos val="nextTo"/>
        <c:spPr>
          <a:ln>
            <a:solidFill>
              <a:srgbClr val="D9D9D9"/>
            </a:solidFill>
          </a:ln>
        </c:spPr>
        <c:txPr>
          <a:bodyPr/>
          <a:lstStyle/>
          <a:p>
            <a:pPr>
              <a:defRPr sz="800"/>
            </a:pPr>
            <a:endParaRPr lang="en-US"/>
          </a:p>
        </c:txPr>
        <c:crossAx val="432423744"/>
        <c:crosses val="autoZero"/>
        <c:crossBetween val="between"/>
      </c:valAx>
    </c:plotArea>
    <c:legend>
      <c:legendPos val="b"/>
      <c:layout>
        <c:manualLayout>
          <c:xMode val="edge"/>
          <c:yMode val="edge"/>
          <c:x val="0.18441630796150482"/>
          <c:y val="0.80708371860041739"/>
          <c:w val="0.60416848935549716"/>
          <c:h val="0.1778412355107972"/>
        </c:manualLayout>
      </c:layout>
      <c:overlay val="0"/>
      <c:txPr>
        <a:bodyPr/>
        <a:lstStyle/>
        <a:p>
          <a:pPr>
            <a:defRPr sz="800">
              <a:latin typeface="+mn-lt"/>
            </a:defRPr>
          </a:pPr>
          <a:endParaRPr lang="en-US"/>
        </a:p>
      </c:txPr>
    </c:legend>
    <c:plotVisOnly val="1"/>
    <c:dispBlanksAs val="gap"/>
    <c:showDLblsOverMax val="0"/>
  </c:chart>
  <c:spPr>
    <a:solidFill>
      <a:sysClr val="window" lastClr="FFFFFF"/>
    </a:solidFill>
    <a:ln>
      <a:noFill/>
    </a:ln>
  </c:spPr>
  <c:txPr>
    <a:bodyPr/>
    <a:lstStyle/>
    <a:p>
      <a:pPr>
        <a:defRPr sz="1050">
          <a:latin typeface="Segoe UI Semilight" panose="020B0402040204020203" pitchFamily="34" charset="0"/>
          <a:cs typeface="Segoe UI Semilight" panose="020B0402040204020203" pitchFamily="34" charset="0"/>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latin typeface="+mn-lt"/>
              </a:rPr>
              <a:t>Winter</a:t>
            </a:r>
          </a:p>
        </c:rich>
      </c:tx>
      <c:layout>
        <c:manualLayout>
          <c:xMode val="edge"/>
          <c:yMode val="edge"/>
          <c:x val="0.38485721142308615"/>
          <c:y val="0"/>
        </c:manualLayout>
      </c:layout>
      <c:overlay val="0"/>
    </c:title>
    <c:autoTitleDeleted val="0"/>
    <c:plotArea>
      <c:layout>
        <c:manualLayout>
          <c:layoutTarget val="inner"/>
          <c:xMode val="edge"/>
          <c:yMode val="edge"/>
          <c:x val="0.21011154855643044"/>
          <c:y val="0.15998436086047185"/>
          <c:w val="0.7333388013998251"/>
          <c:h val="0.42832749447091639"/>
        </c:manualLayout>
      </c:layout>
      <c:lineChart>
        <c:grouping val="standard"/>
        <c:varyColors val="0"/>
        <c:ser>
          <c:idx val="1"/>
          <c:order val="0"/>
          <c:tx>
            <c:strRef>
              <c:f>'Overall Potential'!$AB$61</c:f>
              <c:strCache>
                <c:ptCount val="1"/>
                <c:pt idx="0">
                  <c:v>Baseline Forecast (Winter MW)</c:v>
                </c:pt>
              </c:strCache>
            </c:strRef>
          </c:tx>
          <c:marker>
            <c:symbol val="none"/>
          </c:marker>
          <c:cat>
            <c:numRef>
              <c:f>'Overall Potential'!$AC$31:$AV$31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Potential'!$AC$61:$AV$61</c:f>
              <c:numCache>
                <c:formatCode>_(* #,##0_);_(* \(#,##0\);_(* "-"??_);_(@_)</c:formatCode>
                <c:ptCount val="20"/>
                <c:pt idx="0">
                  <c:v>1857.2288126028398</c:v>
                </c:pt>
                <c:pt idx="1">
                  <c:v>1873.3465271554942</c:v>
                </c:pt>
                <c:pt idx="2">
                  <c:v>1854.9657918709377</c:v>
                </c:pt>
                <c:pt idx="3">
                  <c:v>1877.901775230639</c:v>
                </c:pt>
                <c:pt idx="4">
                  <c:v>1885.323412256847</c:v>
                </c:pt>
                <c:pt idx="5">
                  <c:v>1895.1281480212133</c:v>
                </c:pt>
                <c:pt idx="6">
                  <c:v>1910.761501527842</c:v>
                </c:pt>
                <c:pt idx="7">
                  <c:v>1952.6351837320162</c:v>
                </c:pt>
                <c:pt idx="8">
                  <c:v>1977.2842915588392</c:v>
                </c:pt>
                <c:pt idx="9">
                  <c:v>2004.3759419986259</c:v>
                </c:pt>
                <c:pt idx="10">
                  <c:v>2025.5943852689079</c:v>
                </c:pt>
                <c:pt idx="11">
                  <c:v>2070.5466774792912</c:v>
                </c:pt>
                <c:pt idx="12">
                  <c:v>2135.9334823244144</c:v>
                </c:pt>
                <c:pt idx="13">
                  <c:v>2165.018321824853</c:v>
                </c:pt>
                <c:pt idx="14">
                  <c:v>2196.2198129721346</c:v>
                </c:pt>
                <c:pt idx="15">
                  <c:v>2244.9936258041589</c:v>
                </c:pt>
                <c:pt idx="16">
                  <c:v>2278.3431616781263</c:v>
                </c:pt>
                <c:pt idx="17">
                  <c:v>2328.5740249421733</c:v>
                </c:pt>
                <c:pt idx="18">
                  <c:v>2401.6349472672227</c:v>
                </c:pt>
                <c:pt idx="19">
                  <c:v>2421.6029309620099</c:v>
                </c:pt>
              </c:numCache>
            </c:numRef>
          </c:val>
          <c:smooth val="0"/>
          <c:extLst>
            <c:ext xmlns:c16="http://schemas.microsoft.com/office/drawing/2014/chart" uri="{C3380CC4-5D6E-409C-BE32-E72D297353CC}">
              <c16:uniqueId val="{00000000-8577-4820-9BAE-45F993E045FA}"/>
            </c:ext>
          </c:extLst>
        </c:ser>
        <c:ser>
          <c:idx val="0"/>
          <c:order val="1"/>
          <c:tx>
            <c:strRef>
              <c:f>'Overall Potential'!$AB$62</c:f>
              <c:strCache>
                <c:ptCount val="1"/>
                <c:pt idx="0">
                  <c:v>Potential Forecast</c:v>
                </c:pt>
              </c:strCache>
            </c:strRef>
          </c:tx>
          <c:marker>
            <c:symbol val="none"/>
          </c:marker>
          <c:cat>
            <c:numRef>
              <c:f>'Overall Potential'!$AC$31:$AV$31</c:f>
              <c:numCache>
                <c:formatCode>General</c:formatCode>
                <c:ptCount val="20"/>
                <c:pt idx="0">
                  <c:v>2026</c:v>
                </c:pt>
                <c:pt idx="1">
                  <c:v>2027</c:v>
                </c:pt>
                <c:pt idx="2">
                  <c:v>2028</c:v>
                </c:pt>
                <c:pt idx="3">
                  <c:v>2029</c:v>
                </c:pt>
                <c:pt idx="4">
                  <c:v>2030</c:v>
                </c:pt>
                <c:pt idx="5">
                  <c:v>2031</c:v>
                </c:pt>
                <c:pt idx="6">
                  <c:v>2032</c:v>
                </c:pt>
                <c:pt idx="7">
                  <c:v>2033</c:v>
                </c:pt>
                <c:pt idx="8">
                  <c:v>2034</c:v>
                </c:pt>
                <c:pt idx="9">
                  <c:v>2035</c:v>
                </c:pt>
                <c:pt idx="10">
                  <c:v>2036</c:v>
                </c:pt>
                <c:pt idx="11">
                  <c:v>2037</c:v>
                </c:pt>
                <c:pt idx="12">
                  <c:v>2038</c:v>
                </c:pt>
                <c:pt idx="13">
                  <c:v>2039</c:v>
                </c:pt>
                <c:pt idx="14">
                  <c:v>2040</c:v>
                </c:pt>
                <c:pt idx="15">
                  <c:v>2041</c:v>
                </c:pt>
                <c:pt idx="16">
                  <c:v>2042</c:v>
                </c:pt>
                <c:pt idx="17">
                  <c:v>2043</c:v>
                </c:pt>
                <c:pt idx="18">
                  <c:v>2044</c:v>
                </c:pt>
                <c:pt idx="19">
                  <c:v>2045</c:v>
                </c:pt>
              </c:numCache>
            </c:numRef>
          </c:cat>
          <c:val>
            <c:numRef>
              <c:f>'Overall Potential'!$AC$62:$AV$62</c:f>
              <c:numCache>
                <c:formatCode>_(* #,##0_);_(* \(#,##0\);_(* "-"??_);_(@_)</c:formatCode>
                <c:ptCount val="20"/>
                <c:pt idx="0">
                  <c:v>1846.1053933222913</c:v>
                </c:pt>
                <c:pt idx="1">
                  <c:v>1850.3887722866111</c:v>
                </c:pt>
                <c:pt idx="2">
                  <c:v>1815.902608791303</c:v>
                </c:pt>
                <c:pt idx="3">
                  <c:v>1824.731860381735</c:v>
                </c:pt>
                <c:pt idx="4">
                  <c:v>1819.235228740702</c:v>
                </c:pt>
                <c:pt idx="5">
                  <c:v>1819.3147563418961</c:v>
                </c:pt>
                <c:pt idx="6">
                  <c:v>1829.441372137399</c:v>
                </c:pt>
                <c:pt idx="7">
                  <c:v>1865.3024641628176</c:v>
                </c:pt>
                <c:pt idx="8">
                  <c:v>1883.7490032576477</c:v>
                </c:pt>
                <c:pt idx="9">
                  <c:v>1903.8263780311036</c:v>
                </c:pt>
                <c:pt idx="10">
                  <c:v>1920.3179300200939</c:v>
                </c:pt>
                <c:pt idx="11">
                  <c:v>1960.2617274443635</c:v>
                </c:pt>
                <c:pt idx="12">
                  <c:v>2020.1662993347727</c:v>
                </c:pt>
                <c:pt idx="13">
                  <c:v>2044.277052402995</c:v>
                </c:pt>
                <c:pt idx="14">
                  <c:v>2070.3044939499568</c:v>
                </c:pt>
                <c:pt idx="15">
                  <c:v>2114.0049972024735</c:v>
                </c:pt>
                <c:pt idx="16">
                  <c:v>2142.599476966926</c:v>
                </c:pt>
                <c:pt idx="17">
                  <c:v>2186.7683352699332</c:v>
                </c:pt>
                <c:pt idx="18">
                  <c:v>2252.522096291998</c:v>
                </c:pt>
                <c:pt idx="19">
                  <c:v>2266.7560488092963</c:v>
                </c:pt>
              </c:numCache>
            </c:numRef>
          </c:val>
          <c:smooth val="0"/>
          <c:extLst>
            <c:ext xmlns:c16="http://schemas.microsoft.com/office/drawing/2014/chart" uri="{C3380CC4-5D6E-409C-BE32-E72D297353CC}">
              <c16:uniqueId val="{00000001-8577-4820-9BAE-45F993E045FA}"/>
            </c:ext>
          </c:extLst>
        </c:ser>
        <c:dLbls>
          <c:showLegendKey val="0"/>
          <c:showVal val="0"/>
          <c:showCatName val="0"/>
          <c:showSerName val="0"/>
          <c:showPercent val="0"/>
          <c:showBubbleSize val="0"/>
        </c:dLbls>
        <c:smooth val="0"/>
        <c:axId val="432423744"/>
        <c:axId val="432424304"/>
      </c:lineChart>
      <c:catAx>
        <c:axId val="432423744"/>
        <c:scaling>
          <c:orientation val="minMax"/>
        </c:scaling>
        <c:delete val="0"/>
        <c:axPos val="b"/>
        <c:numFmt formatCode="General" sourceLinked="1"/>
        <c:majorTickMark val="out"/>
        <c:minorTickMark val="none"/>
        <c:tickLblPos val="nextTo"/>
        <c:spPr>
          <a:ln>
            <a:solidFill>
              <a:srgbClr val="D9D9D9"/>
            </a:solidFill>
          </a:ln>
        </c:spPr>
        <c:txPr>
          <a:bodyPr rot="-2700000"/>
          <a:lstStyle/>
          <a:p>
            <a:pPr>
              <a:defRPr sz="800"/>
            </a:pPr>
            <a:endParaRPr lang="en-US"/>
          </a:p>
        </c:txPr>
        <c:crossAx val="432424304"/>
        <c:crosses val="autoZero"/>
        <c:auto val="1"/>
        <c:lblAlgn val="ctr"/>
        <c:lblOffset val="100"/>
        <c:noMultiLvlLbl val="0"/>
      </c:catAx>
      <c:valAx>
        <c:axId val="432424304"/>
        <c:scaling>
          <c:orientation val="minMax"/>
          <c:max val="2500"/>
        </c:scaling>
        <c:delete val="0"/>
        <c:axPos val="l"/>
        <c:majorGridlines>
          <c:spPr>
            <a:ln>
              <a:solidFill>
                <a:srgbClr val="D9D9D9"/>
              </a:solidFill>
              <a:prstDash val="sysDash"/>
            </a:ln>
          </c:spPr>
        </c:majorGridlines>
        <c:title>
          <c:tx>
            <c:rich>
              <a:bodyPr rot="0" vert="horz"/>
              <a:lstStyle/>
              <a:p>
                <a:pPr>
                  <a:defRPr sz="800">
                    <a:latin typeface="+mn-lt"/>
                  </a:defRPr>
                </a:pPr>
                <a:r>
                  <a:rPr lang="en-US" sz="800">
                    <a:latin typeface="+mn-lt"/>
                  </a:rPr>
                  <a:t>MW</a:t>
                </a:r>
              </a:p>
            </c:rich>
          </c:tx>
          <c:layout>
            <c:manualLayout>
              <c:xMode val="edge"/>
              <c:yMode val="edge"/>
              <c:x val="6.3604360470060077E-4"/>
              <c:y val="0.36287067152484503"/>
            </c:manualLayout>
          </c:layout>
          <c:overlay val="0"/>
        </c:title>
        <c:numFmt formatCode="#,##0;\-#,##0;\-;@" sourceLinked="0"/>
        <c:majorTickMark val="out"/>
        <c:minorTickMark val="none"/>
        <c:tickLblPos val="nextTo"/>
        <c:spPr>
          <a:ln>
            <a:solidFill>
              <a:srgbClr val="D9D9D9"/>
            </a:solidFill>
          </a:ln>
        </c:spPr>
        <c:txPr>
          <a:bodyPr/>
          <a:lstStyle/>
          <a:p>
            <a:pPr>
              <a:defRPr sz="800"/>
            </a:pPr>
            <a:endParaRPr lang="en-US"/>
          </a:p>
        </c:txPr>
        <c:crossAx val="432423744"/>
        <c:crosses val="autoZero"/>
        <c:crossBetween val="between"/>
      </c:valAx>
    </c:plotArea>
    <c:legend>
      <c:legendPos val="b"/>
      <c:layout>
        <c:manualLayout>
          <c:xMode val="edge"/>
          <c:yMode val="edge"/>
          <c:x val="0.18441637503645378"/>
          <c:y val="0.77131841888862629"/>
          <c:w val="0.63657589676290471"/>
          <c:h val="0.1778412355107972"/>
        </c:manualLayout>
      </c:layout>
      <c:overlay val="0"/>
      <c:txPr>
        <a:bodyPr/>
        <a:lstStyle/>
        <a:p>
          <a:pPr>
            <a:defRPr sz="800">
              <a:latin typeface="+mn-lt"/>
            </a:defRPr>
          </a:pPr>
          <a:endParaRPr lang="en-US"/>
        </a:p>
      </c:txPr>
    </c:legend>
    <c:plotVisOnly val="1"/>
    <c:dispBlanksAs val="gap"/>
    <c:showDLblsOverMax val="0"/>
  </c:chart>
  <c:spPr>
    <a:solidFill>
      <a:sysClr val="window" lastClr="FFFFFF"/>
    </a:solidFill>
    <a:ln>
      <a:noFill/>
    </a:ln>
  </c:spPr>
  <c:txPr>
    <a:bodyPr/>
    <a:lstStyle/>
    <a:p>
      <a:pPr>
        <a:defRPr sz="1050">
          <a:latin typeface="Segoe UI Semilight" panose="020B0402040204020203" pitchFamily="34" charset="0"/>
          <a:cs typeface="Segoe UI Semilight" panose="020B0402040204020203" pitchFamily="34"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841696258555914"/>
          <c:y val="2.4508111184897069E-2"/>
          <c:w val="0.42531933508311459"/>
          <c:h val="0.90418928520379893"/>
        </c:manualLayout>
      </c:layout>
      <c:barChart>
        <c:barDir val="col"/>
        <c:grouping val="stacked"/>
        <c:varyColors val="0"/>
        <c:ser>
          <c:idx val="1"/>
          <c:order val="0"/>
          <c:tx>
            <c:strRef>
              <c:f>'Appendix Potential by Option'!$B$10</c:f>
              <c:strCache>
                <c:ptCount val="1"/>
                <c:pt idx="0">
                  <c:v>Battery Energy Storage</c:v>
                </c:pt>
              </c:strCache>
            </c:strRef>
          </c:tx>
          <c:spPr>
            <a:solidFill>
              <a:schemeClr val="accent2"/>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Option'!$C$10:$G$10</c:f>
              <c:numCache>
                <c:formatCode>#,##0.0;\-#,##0.0;\-;@</c:formatCode>
                <c:ptCount val="5"/>
                <c:pt idx="0">
                  <c:v>3.5797661332118119E-2</c:v>
                </c:pt>
                <c:pt idx="1">
                  <c:v>0.12359196613711262</c:v>
                </c:pt>
                <c:pt idx="2">
                  <c:v>0.29386945920488061</c:v>
                </c:pt>
                <c:pt idx="3">
                  <c:v>6.7102859328982323</c:v>
                </c:pt>
                <c:pt idx="4">
                  <c:v>12.671230754432454</c:v>
                </c:pt>
              </c:numCache>
            </c:numRef>
          </c:val>
          <c:extLst>
            <c:ext xmlns:c16="http://schemas.microsoft.com/office/drawing/2014/chart" uri="{C3380CC4-5D6E-409C-BE32-E72D297353CC}">
              <c16:uniqueId val="{00000000-7A15-4136-9B4A-E9646AF02CC5}"/>
            </c:ext>
          </c:extLst>
        </c:ser>
        <c:ser>
          <c:idx val="2"/>
          <c:order val="1"/>
          <c:tx>
            <c:strRef>
              <c:f>'Appendix Potential by Option'!$B$11</c:f>
              <c:strCache>
                <c:ptCount val="1"/>
                <c:pt idx="0">
                  <c:v>Behavioral</c:v>
                </c:pt>
              </c:strCache>
            </c:strRef>
          </c:tx>
          <c:spPr>
            <a:solidFill>
              <a:schemeClr val="accent3"/>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Option'!$C$11:$G$11</c:f>
              <c:numCache>
                <c:formatCode>#,##0.0;\-#,##0.0;\-;@</c:formatCode>
                <c:ptCount val="5"/>
                <c:pt idx="0">
                  <c:v>1.087614863909707</c:v>
                </c:pt>
                <c:pt idx="1">
                  <c:v>1.6685760479289733</c:v>
                </c:pt>
                <c:pt idx="2">
                  <c:v>1.9145874834656957</c:v>
                </c:pt>
                <c:pt idx="3">
                  <c:v>2.1980425551183025</c:v>
                </c:pt>
                <c:pt idx="4">
                  <c:v>2.2315111001988339</c:v>
                </c:pt>
              </c:numCache>
            </c:numRef>
          </c:val>
          <c:extLst xmlns:c15="http://schemas.microsoft.com/office/drawing/2012/chart">
            <c:ext xmlns:c16="http://schemas.microsoft.com/office/drawing/2014/chart" uri="{C3380CC4-5D6E-409C-BE32-E72D297353CC}">
              <c16:uniqueId val="{00000001-7A15-4136-9B4A-E9646AF02CC5}"/>
            </c:ext>
          </c:extLst>
        </c:ser>
        <c:ser>
          <c:idx val="3"/>
          <c:order val="2"/>
          <c:tx>
            <c:v>CTA-2045 HPWH</c:v>
          </c:tx>
          <c:spPr>
            <a:solidFill>
              <a:schemeClr val="accent4"/>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Option'!$C$12:$G$12</c:f>
              <c:numCache>
                <c:formatCode>#,##0.0;\-#,##0.0;\-;@</c:formatCode>
                <c:ptCount val="5"/>
                <c:pt idx="0">
                  <c:v>5.9743449007570917E-3</c:v>
                </c:pt>
                <c:pt idx="1">
                  <c:v>3.124798759996127E-2</c:v>
                </c:pt>
                <c:pt idx="2">
                  <c:v>9.4440551727491481E-2</c:v>
                </c:pt>
                <c:pt idx="3">
                  <c:v>3.5444235182444364</c:v>
                </c:pt>
                <c:pt idx="4">
                  <c:v>8.4659993973392726</c:v>
                </c:pt>
              </c:numCache>
            </c:numRef>
          </c:val>
          <c:extLst>
            <c:ext xmlns:c16="http://schemas.microsoft.com/office/drawing/2014/chart" uri="{C3380CC4-5D6E-409C-BE32-E72D297353CC}">
              <c16:uniqueId val="{00000002-7A15-4136-9B4A-E9646AF02CC5}"/>
            </c:ext>
          </c:extLst>
        </c:ser>
        <c:ser>
          <c:idx val="4"/>
          <c:order val="3"/>
          <c:tx>
            <c:v>CTA-2045 ERWH</c:v>
          </c:tx>
          <c:spPr>
            <a:solidFill>
              <a:schemeClr val="accent5"/>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Option'!$C$13:$G$13</c:f>
              <c:numCache>
                <c:formatCode>#,##0.0;\-#,##0.0;\-;@</c:formatCode>
                <c:ptCount val="5"/>
                <c:pt idx="0">
                  <c:v>6.3584524979833468E-2</c:v>
                </c:pt>
                <c:pt idx="1">
                  <c:v>0.19727855046801746</c:v>
                </c:pt>
                <c:pt idx="2">
                  <c:v>0.4784710656917544</c:v>
                </c:pt>
                <c:pt idx="3">
                  <c:v>4.9471008444808007</c:v>
                </c:pt>
                <c:pt idx="4">
                  <c:v>2.4172531210073553</c:v>
                </c:pt>
              </c:numCache>
            </c:numRef>
          </c:val>
          <c:extLst>
            <c:ext xmlns:c16="http://schemas.microsoft.com/office/drawing/2014/chart" uri="{C3380CC4-5D6E-409C-BE32-E72D297353CC}">
              <c16:uniqueId val="{00000003-7A15-4136-9B4A-E9646AF02CC5}"/>
            </c:ext>
          </c:extLst>
        </c:ser>
        <c:ser>
          <c:idx val="0"/>
          <c:order val="4"/>
          <c:tx>
            <c:strRef>
              <c:f>'Appendix Potential by Option'!$B$14</c:f>
              <c:strCache>
                <c:ptCount val="1"/>
                <c:pt idx="0">
                  <c:v>DLC Central AC</c:v>
                </c:pt>
              </c:strCache>
            </c:strRef>
          </c:tx>
          <c:spPr>
            <a:solidFill>
              <a:schemeClr val="accent1"/>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Option'!$C$14:$G$14</c:f>
              <c:numCache>
                <c:formatCode>#,##0.0;\-#,##0.0;\-;@</c:formatCode>
                <c:ptCount val="5"/>
                <c:pt idx="0">
                  <c:v>1.1952592327404241</c:v>
                </c:pt>
                <c:pt idx="1">
                  <c:v>3.5662536228826767</c:v>
                </c:pt>
                <c:pt idx="2">
                  <c:v>8.0997217908343941</c:v>
                </c:pt>
                <c:pt idx="3">
                  <c:v>12.798873589497887</c:v>
                </c:pt>
                <c:pt idx="4">
                  <c:v>15.422333706134523</c:v>
                </c:pt>
              </c:numCache>
            </c:numRef>
          </c:val>
          <c:extLst>
            <c:ext xmlns:c16="http://schemas.microsoft.com/office/drawing/2014/chart" uri="{C3380CC4-5D6E-409C-BE32-E72D297353CC}">
              <c16:uniqueId val="{00000004-7A15-4136-9B4A-E9646AF02CC5}"/>
            </c:ext>
          </c:extLst>
        </c:ser>
        <c:ser>
          <c:idx val="5"/>
          <c:order val="5"/>
          <c:tx>
            <c:strRef>
              <c:f>'Appendix Potential by Option'!$B$15</c:f>
              <c:strCache>
                <c:ptCount val="1"/>
                <c:pt idx="0">
                  <c:v>DLC Electric Vehicle Charging</c:v>
                </c:pt>
              </c:strCache>
            </c:strRef>
          </c:tx>
          <c:spPr>
            <a:solidFill>
              <a:schemeClr val="accent6"/>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Option'!$C$15:$G$15</c:f>
              <c:numCache>
                <c:formatCode>#,##0.0;\-#,##0.0;\-;@</c:formatCode>
                <c:ptCount val="5"/>
                <c:pt idx="0">
                  <c:v>1.2119294093908013</c:v>
                </c:pt>
                <c:pt idx="1">
                  <c:v>3.6147176053478494</c:v>
                </c:pt>
                <c:pt idx="2">
                  <c:v>5.7621399037023853</c:v>
                </c:pt>
                <c:pt idx="3">
                  <c:v>18.77242600937694</c:v>
                </c:pt>
                <c:pt idx="4">
                  <c:v>47.140504664033614</c:v>
                </c:pt>
              </c:numCache>
            </c:numRef>
          </c:val>
          <c:extLst>
            <c:ext xmlns:c16="http://schemas.microsoft.com/office/drawing/2014/chart" uri="{C3380CC4-5D6E-409C-BE32-E72D297353CC}">
              <c16:uniqueId val="{00000005-7A15-4136-9B4A-E9646AF02CC5}"/>
            </c:ext>
          </c:extLst>
        </c:ser>
        <c:ser>
          <c:idx val="6"/>
          <c:order val="6"/>
          <c:tx>
            <c:strRef>
              <c:f>'Appendix Potential by Option'!$B$16</c:f>
              <c:strCache>
                <c:ptCount val="1"/>
                <c:pt idx="0">
                  <c:v>DLC Smart Appliances</c:v>
                </c:pt>
              </c:strCache>
            </c:strRef>
          </c:tx>
          <c:spPr>
            <a:solidFill>
              <a:schemeClr val="accent1">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Option'!$C$16:$G$16</c:f>
              <c:numCache>
                <c:formatCode>#,##0.0;\-#,##0.0;\-;@</c:formatCode>
                <c:ptCount val="5"/>
                <c:pt idx="0">
                  <c:v>0.30744274866692589</c:v>
                </c:pt>
                <c:pt idx="1">
                  <c:v>0.93513729160958092</c:v>
                </c:pt>
                <c:pt idx="2">
                  <c:v>2.2137209821946993</c:v>
                </c:pt>
                <c:pt idx="3">
                  <c:v>3.4753132012355055</c:v>
                </c:pt>
                <c:pt idx="4">
                  <c:v>3.9846203006802883</c:v>
                </c:pt>
              </c:numCache>
            </c:numRef>
          </c:val>
          <c:extLst>
            <c:ext xmlns:c16="http://schemas.microsoft.com/office/drawing/2014/chart" uri="{C3380CC4-5D6E-409C-BE32-E72D297353CC}">
              <c16:uniqueId val="{00000006-7A15-4136-9B4A-E9646AF02CC5}"/>
            </c:ext>
          </c:extLst>
        </c:ser>
        <c:ser>
          <c:idx val="7"/>
          <c:order val="7"/>
          <c:tx>
            <c:strRef>
              <c:f>'Appendix Potential by Option'!$B$17</c:f>
              <c:strCache>
                <c:ptCount val="1"/>
                <c:pt idx="0">
                  <c:v>DLC Smart Thermostats - Cooling</c:v>
                </c:pt>
              </c:strCache>
            </c:strRef>
          </c:tx>
          <c:spPr>
            <a:solidFill>
              <a:schemeClr val="accent2">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Option'!$C$17:$G$17</c:f>
              <c:numCache>
                <c:formatCode>#,##0.0;\-#,##0.0;\-;@</c:formatCode>
                <c:ptCount val="5"/>
                <c:pt idx="0">
                  <c:v>2.3029888040067483</c:v>
                </c:pt>
                <c:pt idx="1">
                  <c:v>7.0170591440963648</c:v>
                </c:pt>
                <c:pt idx="2">
                  <c:v>16.641806180417348</c:v>
                </c:pt>
                <c:pt idx="3">
                  <c:v>27.435404263050263</c:v>
                </c:pt>
                <c:pt idx="4">
                  <c:v>33.44460084495492</c:v>
                </c:pt>
              </c:numCache>
            </c:numRef>
          </c:val>
          <c:extLst>
            <c:ext xmlns:c16="http://schemas.microsoft.com/office/drawing/2014/chart" uri="{C3380CC4-5D6E-409C-BE32-E72D297353CC}">
              <c16:uniqueId val="{00000007-7A15-4136-9B4A-E9646AF02CC5}"/>
            </c:ext>
          </c:extLst>
        </c:ser>
        <c:ser>
          <c:idx val="9"/>
          <c:order val="9"/>
          <c:tx>
            <c:strRef>
              <c:f>'Appendix Potential by Option'!$B$19</c:f>
              <c:strCache>
                <c:ptCount val="1"/>
                <c:pt idx="0">
                  <c:v>DLC Water Heating</c:v>
                </c:pt>
              </c:strCache>
            </c:strRef>
          </c:tx>
          <c:spPr>
            <a:solidFill>
              <a:schemeClr val="accent4">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Option'!$C$19:$G$19</c:f>
              <c:numCache>
                <c:formatCode>#,##0.0;\-#,##0.0;\-;@</c:formatCode>
                <c:ptCount val="5"/>
                <c:pt idx="0">
                  <c:v>0.25973274181985073</c:v>
                </c:pt>
                <c:pt idx="1">
                  <c:v>0.7922144409400862</c:v>
                </c:pt>
                <c:pt idx="2">
                  <c:v>1.8801675614296265</c:v>
                </c:pt>
                <c:pt idx="3">
                  <c:v>3.005318213005447</c:v>
                </c:pt>
                <c:pt idx="4">
                  <c:v>3.5113491538218309</c:v>
                </c:pt>
              </c:numCache>
            </c:numRef>
          </c:val>
          <c:extLst xmlns:c15="http://schemas.microsoft.com/office/drawing/2012/chart">
            <c:ext xmlns:c16="http://schemas.microsoft.com/office/drawing/2014/chart" uri="{C3380CC4-5D6E-409C-BE32-E72D297353CC}">
              <c16:uniqueId val="{00000008-7A15-4136-9B4A-E9646AF02CC5}"/>
            </c:ext>
          </c:extLst>
        </c:ser>
        <c:ser>
          <c:idx val="10"/>
          <c:order val="10"/>
          <c:tx>
            <c:strRef>
              <c:f>'Appendix Potential by Option'!$B$20</c:f>
              <c:strCache>
                <c:ptCount val="1"/>
                <c:pt idx="0">
                  <c:v>Electric Vehicle TOU Opt-in</c:v>
                </c:pt>
              </c:strCache>
            </c:strRef>
          </c:tx>
          <c:spPr>
            <a:solidFill>
              <a:schemeClr val="accent5">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Option'!$C$20:$G$20</c:f>
              <c:numCache>
                <c:formatCode>#,##0.0;\-#,##0.0;\-;@</c:formatCode>
                <c:ptCount val="5"/>
                <c:pt idx="0">
                  <c:v>0.1002733922651904</c:v>
                </c:pt>
                <c:pt idx="1">
                  <c:v>0.33340403633215926</c:v>
                </c:pt>
                <c:pt idx="2">
                  <c:v>0.59662073463835774</c:v>
                </c:pt>
                <c:pt idx="3">
                  <c:v>3.1260749754029127</c:v>
                </c:pt>
                <c:pt idx="4">
                  <c:v>9.636313303922579</c:v>
                </c:pt>
              </c:numCache>
            </c:numRef>
          </c:val>
          <c:extLst>
            <c:ext xmlns:c16="http://schemas.microsoft.com/office/drawing/2014/chart" uri="{C3380CC4-5D6E-409C-BE32-E72D297353CC}">
              <c16:uniqueId val="{00000009-7A15-4136-9B4A-E9646AF02CC5}"/>
            </c:ext>
          </c:extLst>
        </c:ser>
        <c:ser>
          <c:idx val="11"/>
          <c:order val="11"/>
          <c:tx>
            <c:strRef>
              <c:f>'Appendix Potential by Option'!$B$21</c:f>
              <c:strCache>
                <c:ptCount val="1"/>
                <c:pt idx="0">
                  <c:v>Thermal Energy Storage</c:v>
                </c:pt>
              </c:strCache>
            </c:strRef>
          </c:tx>
          <c:spPr>
            <a:solidFill>
              <a:schemeClr val="accent6">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Option'!$C$21:$G$21</c:f>
              <c:numCache>
                <c:formatCode>#,##0.0;\-#,##0.0;\-;@</c:formatCode>
                <c:ptCount val="5"/>
                <c:pt idx="0">
                  <c:v>4.2390766276964691E-2</c:v>
                </c:pt>
                <c:pt idx="1">
                  <c:v>0.1264145101010003</c:v>
                </c:pt>
                <c:pt idx="2">
                  <c:v>0.29145296874572685</c:v>
                </c:pt>
                <c:pt idx="3">
                  <c:v>0.62039935621567621</c:v>
                </c:pt>
                <c:pt idx="4">
                  <c:v>0.63791875234361362</c:v>
                </c:pt>
              </c:numCache>
            </c:numRef>
          </c:val>
          <c:extLst xmlns:c15="http://schemas.microsoft.com/office/drawing/2012/chart">
            <c:ext xmlns:c16="http://schemas.microsoft.com/office/drawing/2014/chart" uri="{C3380CC4-5D6E-409C-BE32-E72D297353CC}">
              <c16:uniqueId val="{0000000A-7A15-4136-9B4A-E9646AF02CC5}"/>
            </c:ext>
          </c:extLst>
        </c:ser>
        <c:ser>
          <c:idx val="12"/>
          <c:order val="12"/>
          <c:tx>
            <c:strRef>
              <c:f>'Appendix Potential by Option'!$B$22</c:f>
              <c:strCache>
                <c:ptCount val="1"/>
                <c:pt idx="0">
                  <c:v>Third Party Contracts</c:v>
                </c:pt>
              </c:strCache>
            </c:strRef>
          </c:tx>
          <c:spPr>
            <a:solidFill>
              <a:schemeClr val="accent1">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Option'!$C$22:$G$22</c:f>
              <c:numCache>
                <c:formatCode>#,##0.0;\-#,##0.0;\-;@</c:formatCode>
                <c:ptCount val="5"/>
                <c:pt idx="0">
                  <c:v>7.9467213759709878</c:v>
                </c:pt>
                <c:pt idx="1">
                  <c:v>12.515947743706374</c:v>
                </c:pt>
                <c:pt idx="2">
                  <c:v>17.035993956692483</c:v>
                </c:pt>
                <c:pt idx="3">
                  <c:v>24.072723203990712</c:v>
                </c:pt>
                <c:pt idx="4">
                  <c:v>26.626259644044435</c:v>
                </c:pt>
              </c:numCache>
            </c:numRef>
          </c:val>
          <c:extLst>
            <c:ext xmlns:c16="http://schemas.microsoft.com/office/drawing/2014/chart" uri="{C3380CC4-5D6E-409C-BE32-E72D297353CC}">
              <c16:uniqueId val="{0000000B-7A15-4136-9B4A-E9646AF02CC5}"/>
            </c:ext>
          </c:extLst>
        </c:ser>
        <c:ser>
          <c:idx val="13"/>
          <c:order val="13"/>
          <c:tx>
            <c:v>Time-of-Use Opt-in</c:v>
          </c:tx>
          <c:spPr>
            <a:solidFill>
              <a:schemeClr val="accent2">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Option'!$C$23:$G$23</c:f>
              <c:numCache>
                <c:formatCode>#,##0.0;\-#,##0.0;\-;@</c:formatCode>
                <c:ptCount val="5"/>
                <c:pt idx="0">
                  <c:v>0.19163184011001744</c:v>
                </c:pt>
                <c:pt idx="1">
                  <c:v>0.43602459989485187</c:v>
                </c:pt>
                <c:pt idx="2">
                  <c:v>0.76991181867262104</c:v>
                </c:pt>
                <c:pt idx="3">
                  <c:v>2.9278535744436027</c:v>
                </c:pt>
                <c:pt idx="4">
                  <c:v>2.9775870307427241</c:v>
                </c:pt>
              </c:numCache>
            </c:numRef>
          </c:val>
          <c:extLst xmlns:c15="http://schemas.microsoft.com/office/drawing/2012/chart">
            <c:ext xmlns:c16="http://schemas.microsoft.com/office/drawing/2014/chart" uri="{C3380CC4-5D6E-409C-BE32-E72D297353CC}">
              <c16:uniqueId val="{0000000C-7A15-4136-9B4A-E9646AF02CC5}"/>
            </c:ext>
          </c:extLst>
        </c:ser>
        <c:ser>
          <c:idx val="14"/>
          <c:order val="14"/>
          <c:tx>
            <c:strRef>
              <c:f>'Appendix Potential by Option'!$B$24</c:f>
              <c:strCache>
                <c:ptCount val="1"/>
                <c:pt idx="0">
                  <c:v>Time-of-Use Opt-out</c:v>
                </c:pt>
              </c:strCache>
            </c:strRef>
          </c:tx>
          <c:spPr>
            <a:solidFill>
              <a:schemeClr val="accent3">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Option'!$C$24:$G$24</c:f>
              <c:numCache>
                <c:formatCode>#,##0.0;\-#,##0.0;\-;@</c:formatCode>
                <c:ptCount val="5"/>
                <c:pt idx="0">
                  <c:v>0</c:v>
                </c:pt>
                <c:pt idx="1">
                  <c:v>0</c:v>
                </c:pt>
                <c:pt idx="2">
                  <c:v>0</c:v>
                </c:pt>
                <c:pt idx="3">
                  <c:v>0</c:v>
                </c:pt>
                <c:pt idx="4">
                  <c:v>0</c:v>
                </c:pt>
              </c:numCache>
            </c:numRef>
          </c:val>
          <c:extLst>
            <c:ext xmlns:c16="http://schemas.microsoft.com/office/drawing/2014/chart" uri="{C3380CC4-5D6E-409C-BE32-E72D297353CC}">
              <c16:uniqueId val="{0000000D-7A15-4136-9B4A-E9646AF02CC5}"/>
            </c:ext>
          </c:extLst>
        </c:ser>
        <c:ser>
          <c:idx val="15"/>
          <c:order val="15"/>
          <c:tx>
            <c:strRef>
              <c:f>'Appendix Potential by Option'!$B$25</c:f>
              <c:strCache>
                <c:ptCount val="1"/>
                <c:pt idx="0">
                  <c:v>Variable Peak Pricing Rates</c:v>
                </c:pt>
              </c:strCache>
            </c:strRef>
          </c:tx>
          <c:spPr>
            <a:solidFill>
              <a:schemeClr val="accent4">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Option'!$C$25:$G$25</c:f>
              <c:numCache>
                <c:formatCode>#,##0.0;\-#,##0.0;\-;@</c:formatCode>
                <c:ptCount val="5"/>
                <c:pt idx="0">
                  <c:v>0.57369426306493787</c:v>
                </c:pt>
                <c:pt idx="1">
                  <c:v>1.6339084643730408</c:v>
                </c:pt>
                <c:pt idx="2">
                  <c:v>3.5892340649338399</c:v>
                </c:pt>
                <c:pt idx="3">
                  <c:v>6.4812837400279379</c:v>
                </c:pt>
                <c:pt idx="4">
                  <c:v>7.1714587994909271</c:v>
                </c:pt>
              </c:numCache>
            </c:numRef>
          </c:val>
          <c:extLst>
            <c:ext xmlns:c16="http://schemas.microsoft.com/office/drawing/2014/chart" uri="{C3380CC4-5D6E-409C-BE32-E72D297353CC}">
              <c16:uniqueId val="{0000000E-7A15-4136-9B4A-E9646AF02CC5}"/>
            </c:ext>
          </c:extLst>
        </c:ser>
        <c:ser>
          <c:idx val="16"/>
          <c:order val="16"/>
          <c:tx>
            <c:v>Peak Time Rebate</c:v>
          </c:tx>
          <c:spPr>
            <a:solidFill>
              <a:schemeClr val="accent5">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Option'!$C$26:$G$26</c:f>
              <c:numCache>
                <c:formatCode>#,##0.0;\-#,##0.0;\-;@</c:formatCode>
                <c:ptCount val="5"/>
                <c:pt idx="0">
                  <c:v>0.30190042256770511</c:v>
                </c:pt>
                <c:pt idx="1">
                  <c:v>0.7141457962818798</c:v>
                </c:pt>
                <c:pt idx="2">
                  <c:v>1.9454754517432478</c:v>
                </c:pt>
                <c:pt idx="3">
                  <c:v>7.5751917357803027</c:v>
                </c:pt>
                <c:pt idx="4">
                  <c:v>7.9011890508763418</c:v>
                </c:pt>
              </c:numCache>
            </c:numRef>
          </c:val>
          <c:extLst>
            <c:ext xmlns:c16="http://schemas.microsoft.com/office/drawing/2014/chart" uri="{C3380CC4-5D6E-409C-BE32-E72D297353CC}">
              <c16:uniqueId val="{0000000F-7A15-4136-9B4A-E9646AF02CC5}"/>
            </c:ext>
          </c:extLst>
        </c:ser>
        <c:dLbls>
          <c:showLegendKey val="0"/>
          <c:showVal val="0"/>
          <c:showCatName val="0"/>
          <c:showSerName val="0"/>
          <c:showPercent val="0"/>
          <c:showBubbleSize val="0"/>
        </c:dLbls>
        <c:gapWidth val="100"/>
        <c:overlap val="100"/>
        <c:axId val="436130320"/>
        <c:axId val="436130880"/>
        <c:extLst>
          <c:ext xmlns:c15="http://schemas.microsoft.com/office/drawing/2012/chart" uri="{02D57815-91ED-43cb-92C2-25804820EDAC}">
            <c15:filteredBarSeries>
              <c15:ser>
                <c:idx val="8"/>
                <c:order val="8"/>
                <c:tx>
                  <c:strRef>
                    <c:extLst>
                      <c:ext uri="{02D57815-91ED-43cb-92C2-25804820EDAC}">
                        <c15:formulaRef>
                          <c15:sqref>'Appendix Potential by Option'!$B$18</c15:sqref>
                        </c15:formulaRef>
                      </c:ext>
                    </c:extLst>
                    <c:strCache>
                      <c:ptCount val="1"/>
                      <c:pt idx="0">
                        <c:v>DLC Smart Thermostats - Heating</c:v>
                      </c:pt>
                    </c:strCache>
                  </c:strRef>
                </c:tx>
                <c:spPr>
                  <a:solidFill>
                    <a:schemeClr val="accent3">
                      <a:lumMod val="60000"/>
                    </a:schemeClr>
                  </a:solidFill>
                  <a:ln>
                    <a:noFill/>
                  </a:ln>
                  <a:effectLst/>
                </c:spPr>
                <c:invertIfNegative val="0"/>
                <c:cat>
                  <c:numRef>
                    <c:extLst>
                      <c:ext uri="{02D57815-91ED-43cb-92C2-25804820EDAC}">
                        <c15:formulaRef>
                          <c15:sqref>'Appendix Potential by Option'!$C$39:$G$39</c15:sqref>
                        </c15:formulaRef>
                      </c:ext>
                    </c:extLst>
                    <c:numCache>
                      <c:formatCode>General</c:formatCode>
                      <c:ptCount val="5"/>
                      <c:pt idx="0">
                        <c:v>2026</c:v>
                      </c:pt>
                      <c:pt idx="1">
                        <c:v>2027</c:v>
                      </c:pt>
                      <c:pt idx="2">
                        <c:v>2028</c:v>
                      </c:pt>
                      <c:pt idx="3">
                        <c:v>2035</c:v>
                      </c:pt>
                      <c:pt idx="4">
                        <c:v>2045</c:v>
                      </c:pt>
                    </c:numCache>
                  </c:numRef>
                </c:cat>
                <c:val>
                  <c:numRef>
                    <c:extLst>
                      <c:ext uri="{02D57815-91ED-43cb-92C2-25804820EDAC}">
                        <c15:formulaRef>
                          <c15:sqref>'Appendix Potential by Option'!$C$18:$G$18</c15:sqref>
                        </c15:formulaRef>
                      </c:ext>
                    </c:extLst>
                    <c:numCache>
                      <c:formatCode>#,##0.0;\-#,##0.0;\-;@</c:formatCode>
                      <c:ptCount val="5"/>
                      <c:pt idx="0">
                        <c:v>0</c:v>
                      </c:pt>
                      <c:pt idx="1">
                        <c:v>0</c:v>
                      </c:pt>
                      <c:pt idx="2">
                        <c:v>0</c:v>
                      </c:pt>
                      <c:pt idx="3">
                        <c:v>0</c:v>
                      </c:pt>
                      <c:pt idx="4">
                        <c:v>0</c:v>
                      </c:pt>
                    </c:numCache>
                  </c:numRef>
                </c:val>
                <c:extLst>
                  <c:ext xmlns:c16="http://schemas.microsoft.com/office/drawing/2014/chart" uri="{C3380CC4-5D6E-409C-BE32-E72D297353CC}">
                    <c16:uniqueId val="{00000010-7A15-4136-9B4A-E9646AF02CC5}"/>
                  </c:ext>
                </c:extLst>
              </c15:ser>
            </c15:filteredBarSeries>
          </c:ext>
        </c:extLst>
      </c:barChart>
      <c:catAx>
        <c:axId val="4361303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880"/>
        <c:crosses val="autoZero"/>
        <c:auto val="1"/>
        <c:lblAlgn val="ctr"/>
        <c:lblOffset val="100"/>
        <c:noMultiLvlLbl val="0"/>
      </c:catAx>
      <c:valAx>
        <c:axId val="436130880"/>
        <c:scaling>
          <c:orientation val="minMax"/>
          <c:max val="210"/>
          <c:min val="0"/>
        </c:scaling>
        <c:delete val="0"/>
        <c:axPos val="l"/>
        <c:majorGridlines>
          <c:spPr>
            <a:ln w="9525" cap="flat" cmpd="sng" algn="ctr">
              <a:solidFill>
                <a:schemeClr val="tx1">
                  <a:tint val="75000"/>
                  <a:shade val="95000"/>
                  <a:satMod val="105000"/>
                </a:schemeClr>
              </a:solidFill>
              <a:prstDash val="solid"/>
              <a:round/>
            </a:ln>
            <a:effectLst/>
          </c:spPr>
        </c:majorGridlines>
        <c:title>
          <c:tx>
            <c:strRef>
              <c:f>"Achievable Potential (MW)"</c:f>
              <c:strCache>
                <c:ptCount val="1"/>
                <c:pt idx="0">
                  <c:v>Achievable Potential (MW)</c:v>
                </c:pt>
              </c:strCache>
            </c:strRef>
          </c:tx>
          <c:layout>
            <c:manualLayout>
              <c:xMode val="edge"/>
              <c:yMode val="edge"/>
              <c:x val="1.8206302643542106E-3"/>
              <c:y val="0.33993714601464287"/>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320"/>
        <c:crosses val="autoZero"/>
        <c:crossBetween val="between"/>
        <c:majorUnit val="20"/>
      </c:valAx>
      <c:spPr>
        <a:solidFill>
          <a:schemeClr val="bg1"/>
        </a:solidFill>
        <a:ln>
          <a:noFill/>
        </a:ln>
        <a:effectLst/>
      </c:spPr>
    </c:plotArea>
    <c:legend>
      <c:legendPos val="r"/>
      <c:layout>
        <c:manualLayout>
          <c:xMode val="edge"/>
          <c:yMode val="edge"/>
          <c:x val="0.70162455183298178"/>
          <c:y val="0"/>
          <c:w val="0.29837544816701833"/>
          <c:h val="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603533429289083"/>
          <c:y val="5.2112272635716356E-2"/>
          <c:w val="0.42822340755792621"/>
          <c:h val="0.83030193274655495"/>
        </c:manualLayout>
      </c:layout>
      <c:barChart>
        <c:barDir val="col"/>
        <c:grouping val="stacked"/>
        <c:varyColors val="0"/>
        <c:ser>
          <c:idx val="1"/>
          <c:order val="0"/>
          <c:tx>
            <c:strRef>
              <c:f>'Potential by Class for Report'!$B$6</c:f>
              <c:strCache>
                <c:ptCount val="1"/>
                <c:pt idx="0">
                  <c:v>Residential</c:v>
                </c:pt>
              </c:strCache>
            </c:strRef>
          </c:tx>
          <c:spPr>
            <a:solidFill>
              <a:schemeClr val="accent2"/>
            </a:solidFill>
            <a:ln>
              <a:noFill/>
            </a:ln>
            <a:effectLst/>
          </c:spPr>
          <c:invertIfNegative val="0"/>
          <c:cat>
            <c:numRef>
              <c:f>'Potential by Class for Report'!$C$3:$G$3</c:f>
              <c:numCache>
                <c:formatCode>General</c:formatCode>
                <c:ptCount val="5"/>
                <c:pt idx="0">
                  <c:v>2026</c:v>
                </c:pt>
                <c:pt idx="1">
                  <c:v>2027</c:v>
                </c:pt>
                <c:pt idx="2">
                  <c:v>2028</c:v>
                </c:pt>
                <c:pt idx="3">
                  <c:v>2035</c:v>
                </c:pt>
                <c:pt idx="4">
                  <c:v>2045</c:v>
                </c:pt>
              </c:numCache>
            </c:numRef>
          </c:cat>
          <c:val>
            <c:numRef>
              <c:f>'Potential by Class for Report'!$C$6:$G$6</c:f>
              <c:numCache>
                <c:formatCode>#,##0.0;\-#,##0.0;\-;@</c:formatCode>
                <c:ptCount val="5"/>
                <c:pt idx="0">
                  <c:v>5.0429450468383088</c:v>
                </c:pt>
                <c:pt idx="1">
                  <c:v>13.53953662287385</c:v>
                </c:pt>
                <c:pt idx="2">
                  <c:v>27.003573794917223</c:v>
                </c:pt>
                <c:pt idx="3">
                  <c:v>61.31132585220071</c:v>
                </c:pt>
                <c:pt idx="4">
                  <c:v>99.091494920349405</c:v>
                </c:pt>
              </c:numCache>
            </c:numRef>
          </c:val>
          <c:extLst>
            <c:ext xmlns:c16="http://schemas.microsoft.com/office/drawing/2014/chart" uri="{C3380CC4-5D6E-409C-BE32-E72D297353CC}">
              <c16:uniqueId val="{00000000-4568-40A8-855C-B27EEF171F72}"/>
            </c:ext>
          </c:extLst>
        </c:ser>
        <c:ser>
          <c:idx val="2"/>
          <c:order val="1"/>
          <c:tx>
            <c:strRef>
              <c:f>'Potential by Class for Report'!$B$7</c:f>
              <c:strCache>
                <c:ptCount val="1"/>
                <c:pt idx="0">
                  <c:v>General Service</c:v>
                </c:pt>
              </c:strCache>
            </c:strRef>
          </c:tx>
          <c:spPr>
            <a:solidFill>
              <a:schemeClr val="accent3"/>
            </a:solidFill>
            <a:ln>
              <a:noFill/>
            </a:ln>
            <a:effectLst/>
          </c:spPr>
          <c:invertIfNegative val="0"/>
          <c:cat>
            <c:numRef>
              <c:f>'Potential by Class for Report'!$C$3:$G$3</c:f>
              <c:numCache>
                <c:formatCode>General</c:formatCode>
                <c:ptCount val="5"/>
                <c:pt idx="0">
                  <c:v>2026</c:v>
                </c:pt>
                <c:pt idx="1">
                  <c:v>2027</c:v>
                </c:pt>
                <c:pt idx="2">
                  <c:v>2028</c:v>
                </c:pt>
                <c:pt idx="3">
                  <c:v>2035</c:v>
                </c:pt>
                <c:pt idx="4">
                  <c:v>2045</c:v>
                </c:pt>
              </c:numCache>
            </c:numRef>
          </c:cat>
          <c:val>
            <c:numRef>
              <c:f>'Potential by Class for Report'!$C$7:$G$7</c:f>
              <c:numCache>
                <c:formatCode>#,##0.0;\-#,##0.0;\-;@</c:formatCode>
                <c:ptCount val="5"/>
                <c:pt idx="0">
                  <c:v>0.42438227642749943</c:v>
                </c:pt>
                <c:pt idx="1">
                  <c:v>1.032863738141258</c:v>
                </c:pt>
                <c:pt idx="2">
                  <c:v>2.315656336550028</c:v>
                </c:pt>
                <c:pt idx="3">
                  <c:v>9.8510776794474584</c:v>
                </c:pt>
                <c:pt idx="4">
                  <c:v>15.24828095641432</c:v>
                </c:pt>
              </c:numCache>
            </c:numRef>
          </c:val>
          <c:extLst xmlns:c15="http://schemas.microsoft.com/office/drawing/2012/chart">
            <c:ext xmlns:c16="http://schemas.microsoft.com/office/drawing/2014/chart" uri="{C3380CC4-5D6E-409C-BE32-E72D297353CC}">
              <c16:uniqueId val="{00000001-4568-40A8-855C-B27EEF171F72}"/>
            </c:ext>
          </c:extLst>
        </c:ser>
        <c:ser>
          <c:idx val="3"/>
          <c:order val="2"/>
          <c:tx>
            <c:strRef>
              <c:f>'Potential by Class for Report'!$B$8</c:f>
              <c:strCache>
                <c:ptCount val="1"/>
                <c:pt idx="0">
                  <c:v>Large General Service</c:v>
                </c:pt>
              </c:strCache>
            </c:strRef>
          </c:tx>
          <c:spPr>
            <a:solidFill>
              <a:schemeClr val="accent4"/>
            </a:solidFill>
            <a:ln>
              <a:noFill/>
            </a:ln>
            <a:effectLst/>
          </c:spPr>
          <c:invertIfNegative val="0"/>
          <c:cat>
            <c:numRef>
              <c:f>'Potential by Class for Report'!$C$3:$G$3</c:f>
              <c:numCache>
                <c:formatCode>General</c:formatCode>
                <c:ptCount val="5"/>
                <c:pt idx="0">
                  <c:v>2026</c:v>
                </c:pt>
                <c:pt idx="1">
                  <c:v>2027</c:v>
                </c:pt>
                <c:pt idx="2">
                  <c:v>2028</c:v>
                </c:pt>
                <c:pt idx="3">
                  <c:v>2035</c:v>
                </c:pt>
                <c:pt idx="4">
                  <c:v>2045</c:v>
                </c:pt>
              </c:numCache>
            </c:numRef>
          </c:cat>
          <c:val>
            <c:numRef>
              <c:f>'Potential by Class for Report'!$C$8:$G$8</c:f>
              <c:numCache>
                <c:formatCode>#,##0.0;\-#,##0.0;\-;@</c:formatCode>
                <c:ptCount val="5"/>
                <c:pt idx="0">
                  <c:v>5.1036394197415591</c:v>
                </c:pt>
                <c:pt idx="1">
                  <c:v>8.3884176706191536</c:v>
                </c:pt>
                <c:pt idx="2">
                  <c:v>11.012565654392835</c:v>
                </c:pt>
                <c:pt idx="3">
                  <c:v>15.486196639864502</c:v>
                </c:pt>
                <c:pt idx="4">
                  <c:v>21.218895125057237</c:v>
                </c:pt>
              </c:numCache>
            </c:numRef>
          </c:val>
          <c:extLst>
            <c:ext xmlns:c16="http://schemas.microsoft.com/office/drawing/2014/chart" uri="{C3380CC4-5D6E-409C-BE32-E72D297353CC}">
              <c16:uniqueId val="{00000002-4568-40A8-855C-B27EEF171F72}"/>
            </c:ext>
          </c:extLst>
        </c:ser>
        <c:ser>
          <c:idx val="4"/>
          <c:order val="3"/>
          <c:tx>
            <c:strRef>
              <c:f>'Potential by Class for Report'!$B$9</c:f>
              <c:strCache>
                <c:ptCount val="1"/>
                <c:pt idx="0">
                  <c:v>Extra Large General Service</c:v>
                </c:pt>
              </c:strCache>
            </c:strRef>
          </c:tx>
          <c:spPr>
            <a:solidFill>
              <a:schemeClr val="accent5"/>
            </a:solidFill>
            <a:ln>
              <a:noFill/>
            </a:ln>
            <a:effectLst/>
          </c:spPr>
          <c:invertIfNegative val="0"/>
          <c:cat>
            <c:numRef>
              <c:f>'Potential by Class for Report'!$C$3:$G$3</c:f>
              <c:numCache>
                <c:formatCode>General</c:formatCode>
                <c:ptCount val="5"/>
                <c:pt idx="0">
                  <c:v>2026</c:v>
                </c:pt>
                <c:pt idx="1">
                  <c:v>2027</c:v>
                </c:pt>
                <c:pt idx="2">
                  <c:v>2028</c:v>
                </c:pt>
                <c:pt idx="3">
                  <c:v>2035</c:v>
                </c:pt>
                <c:pt idx="4">
                  <c:v>2045</c:v>
                </c:pt>
              </c:numCache>
            </c:numRef>
          </c:cat>
          <c:val>
            <c:numRef>
              <c:f>'Potential by Class for Report'!$C$9:$G$9</c:f>
              <c:numCache>
                <c:formatCode>#,##0.0;\-#,##0.0;\-;@</c:formatCode>
                <c:ptCount val="5"/>
                <c:pt idx="0">
                  <c:v>3.3505800938524612</c:v>
                </c:pt>
                <c:pt idx="1">
                  <c:v>5.5705756562540891</c:v>
                </c:pt>
                <c:pt idx="2">
                  <c:v>7.4583254793165512</c:v>
                </c:pt>
                <c:pt idx="3">
                  <c:v>8.1981196172096169</c:v>
                </c:pt>
                <c:pt idx="4">
                  <c:v>8.5481039359431819</c:v>
                </c:pt>
              </c:numCache>
            </c:numRef>
          </c:val>
          <c:extLst>
            <c:ext xmlns:c16="http://schemas.microsoft.com/office/drawing/2014/chart" uri="{C3380CC4-5D6E-409C-BE32-E72D297353CC}">
              <c16:uniqueId val="{00000003-4568-40A8-855C-B27EEF171F72}"/>
            </c:ext>
          </c:extLst>
        </c:ser>
        <c:dLbls>
          <c:showLegendKey val="0"/>
          <c:showVal val="0"/>
          <c:showCatName val="0"/>
          <c:showSerName val="0"/>
          <c:showPercent val="0"/>
          <c:showBubbleSize val="0"/>
        </c:dLbls>
        <c:gapWidth val="100"/>
        <c:overlap val="100"/>
        <c:axId val="436130320"/>
        <c:axId val="436130880"/>
        <c:extLst/>
      </c:barChart>
      <c:catAx>
        <c:axId val="4361303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880"/>
        <c:crosses val="autoZero"/>
        <c:auto val="1"/>
        <c:lblAlgn val="ctr"/>
        <c:lblOffset val="100"/>
        <c:noMultiLvlLbl val="0"/>
      </c:catAx>
      <c:valAx>
        <c:axId val="43613088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strRef>
              <c:f>"Achievable Potential (MW)"</c:f>
              <c:strCache>
                <c:ptCount val="1"/>
                <c:pt idx="0">
                  <c:v>Achievable Potential (MW)</c:v>
                </c:pt>
              </c:strCache>
            </c:strRef>
          </c:tx>
          <c:layout>
            <c:manualLayout>
              <c:xMode val="edge"/>
              <c:yMode val="edge"/>
              <c:x val="3.4468809678360143E-4"/>
              <c:y val="0.36256359177820441"/>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320"/>
        <c:crosses val="autoZero"/>
        <c:crossBetween val="between"/>
      </c:valAx>
      <c:spPr>
        <a:solidFill>
          <a:schemeClr val="bg1"/>
        </a:solidFill>
        <a:ln>
          <a:noFill/>
        </a:ln>
        <a:effectLst/>
      </c:spPr>
    </c:plotArea>
    <c:legend>
      <c:legendPos val="r"/>
      <c:layout>
        <c:manualLayout>
          <c:xMode val="edge"/>
          <c:yMode val="edge"/>
          <c:x val="0.70179343173501163"/>
          <c:y val="0.2112180239380427"/>
          <c:w val="0.2954035315478038"/>
          <c:h val="0.554095282797465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512092238470191"/>
          <c:y val="6.1442061829024008E-2"/>
          <c:w val="0.42550356205474316"/>
          <c:h val="0.84452908216484668"/>
        </c:manualLayout>
      </c:layout>
      <c:barChart>
        <c:barDir val="col"/>
        <c:grouping val="stacked"/>
        <c:varyColors val="0"/>
        <c:ser>
          <c:idx val="1"/>
          <c:order val="0"/>
          <c:tx>
            <c:strRef>
              <c:f>'Potential by Class for Report'!$B$6</c:f>
              <c:strCache>
                <c:ptCount val="1"/>
                <c:pt idx="0">
                  <c:v>Residential</c:v>
                </c:pt>
              </c:strCache>
            </c:strRef>
          </c:tx>
          <c:spPr>
            <a:solidFill>
              <a:schemeClr val="accent2"/>
            </a:solidFill>
            <a:ln>
              <a:noFill/>
            </a:ln>
            <a:effectLst/>
          </c:spPr>
          <c:invertIfNegative val="0"/>
          <c:cat>
            <c:numRef>
              <c:f>'Potential by Class for Report'!$J$3:$N$3</c:f>
              <c:numCache>
                <c:formatCode>General</c:formatCode>
                <c:ptCount val="5"/>
                <c:pt idx="0">
                  <c:v>2026</c:v>
                </c:pt>
                <c:pt idx="1">
                  <c:v>2027</c:v>
                </c:pt>
                <c:pt idx="2">
                  <c:v>2028</c:v>
                </c:pt>
                <c:pt idx="3">
                  <c:v>2035</c:v>
                </c:pt>
                <c:pt idx="4">
                  <c:v>2045</c:v>
                </c:pt>
              </c:numCache>
            </c:numRef>
          </c:cat>
          <c:val>
            <c:numRef>
              <c:f>'Potential by Class for Report'!$J$6:$N$6</c:f>
              <c:numCache>
                <c:formatCode>#,##0.0;\-#,##0.0;\-;@</c:formatCode>
                <c:ptCount val="5"/>
                <c:pt idx="0">
                  <c:v>1.4666420059445087</c:v>
                </c:pt>
                <c:pt idx="1">
                  <c:v>4.4493739522252556</c:v>
                </c:pt>
                <c:pt idx="2">
                  <c:v>10.442584607968215</c:v>
                </c:pt>
                <c:pt idx="3">
                  <c:v>21.07835654757492</c:v>
                </c:pt>
                <c:pt idx="4">
                  <c:v>25.717011789636796</c:v>
                </c:pt>
              </c:numCache>
            </c:numRef>
          </c:val>
          <c:extLst>
            <c:ext xmlns:c16="http://schemas.microsoft.com/office/drawing/2014/chart" uri="{C3380CC4-5D6E-409C-BE32-E72D297353CC}">
              <c16:uniqueId val="{00000000-A024-444C-9DFF-813A8EBC9ACA}"/>
            </c:ext>
          </c:extLst>
        </c:ser>
        <c:ser>
          <c:idx val="2"/>
          <c:order val="1"/>
          <c:tx>
            <c:strRef>
              <c:f>'Potential by Class for Report'!$B$7</c:f>
              <c:strCache>
                <c:ptCount val="1"/>
                <c:pt idx="0">
                  <c:v>General Service</c:v>
                </c:pt>
              </c:strCache>
            </c:strRef>
          </c:tx>
          <c:spPr>
            <a:solidFill>
              <a:schemeClr val="accent3"/>
            </a:solidFill>
            <a:ln>
              <a:noFill/>
            </a:ln>
            <a:effectLst/>
          </c:spPr>
          <c:invertIfNegative val="0"/>
          <c:cat>
            <c:numRef>
              <c:f>'Potential by Class for Report'!$J$3:$N$3</c:f>
              <c:numCache>
                <c:formatCode>General</c:formatCode>
                <c:ptCount val="5"/>
                <c:pt idx="0">
                  <c:v>2026</c:v>
                </c:pt>
                <c:pt idx="1">
                  <c:v>2027</c:v>
                </c:pt>
                <c:pt idx="2">
                  <c:v>2028</c:v>
                </c:pt>
                <c:pt idx="3">
                  <c:v>2035</c:v>
                </c:pt>
                <c:pt idx="4">
                  <c:v>2045</c:v>
                </c:pt>
              </c:numCache>
            </c:numRef>
          </c:cat>
          <c:val>
            <c:numRef>
              <c:f>'Potential by Class for Report'!$J$7:$N$7</c:f>
              <c:numCache>
                <c:formatCode>#,##0.0;\-#,##0.0;\-;@</c:formatCode>
                <c:ptCount val="5"/>
                <c:pt idx="0">
                  <c:v>0.1293516116685815</c:v>
                </c:pt>
                <c:pt idx="1">
                  <c:v>0.39627987352350119</c:v>
                </c:pt>
                <c:pt idx="2">
                  <c:v>0.93313385028329032</c:v>
                </c:pt>
                <c:pt idx="3">
                  <c:v>3.4937210572977326</c:v>
                </c:pt>
                <c:pt idx="4">
                  <c:v>5.5580740435580411</c:v>
                </c:pt>
              </c:numCache>
            </c:numRef>
          </c:val>
          <c:extLst xmlns:c15="http://schemas.microsoft.com/office/drawing/2012/chart">
            <c:ext xmlns:c16="http://schemas.microsoft.com/office/drawing/2014/chart" uri="{C3380CC4-5D6E-409C-BE32-E72D297353CC}">
              <c16:uniqueId val="{00000001-A024-444C-9DFF-813A8EBC9ACA}"/>
            </c:ext>
          </c:extLst>
        </c:ser>
        <c:ser>
          <c:idx val="3"/>
          <c:order val="2"/>
          <c:tx>
            <c:strRef>
              <c:f>'Potential by Class for Report'!$B$8</c:f>
              <c:strCache>
                <c:ptCount val="1"/>
                <c:pt idx="0">
                  <c:v>Large General Service</c:v>
                </c:pt>
              </c:strCache>
            </c:strRef>
          </c:tx>
          <c:spPr>
            <a:solidFill>
              <a:schemeClr val="accent4"/>
            </a:solidFill>
            <a:ln>
              <a:noFill/>
            </a:ln>
            <a:effectLst/>
          </c:spPr>
          <c:invertIfNegative val="0"/>
          <c:cat>
            <c:numRef>
              <c:f>'Potential by Class for Report'!$J$3:$N$3</c:f>
              <c:numCache>
                <c:formatCode>General</c:formatCode>
                <c:ptCount val="5"/>
                <c:pt idx="0">
                  <c:v>2026</c:v>
                </c:pt>
                <c:pt idx="1">
                  <c:v>2027</c:v>
                </c:pt>
                <c:pt idx="2">
                  <c:v>2028</c:v>
                </c:pt>
                <c:pt idx="3">
                  <c:v>2035</c:v>
                </c:pt>
                <c:pt idx="4">
                  <c:v>2045</c:v>
                </c:pt>
              </c:numCache>
            </c:numRef>
          </c:cat>
          <c:val>
            <c:numRef>
              <c:f>'Potential by Class for Report'!$J$8:$N$8</c:f>
              <c:numCache>
                <c:formatCode>#,##0.0;\-#,##0.0;\-;@</c:formatCode>
                <c:ptCount val="5"/>
                <c:pt idx="0">
                  <c:v>7.6726379422175273E-4</c:v>
                </c:pt>
                <c:pt idx="1">
                  <c:v>2.1657614151742153E-3</c:v>
                </c:pt>
                <c:pt idx="2">
                  <c:v>3.6037410409201776E-3</c:v>
                </c:pt>
                <c:pt idx="3">
                  <c:v>4.3986144511953817</c:v>
                </c:pt>
                <c:pt idx="4">
                  <c:v>5.292967684334374</c:v>
                </c:pt>
              </c:numCache>
            </c:numRef>
          </c:val>
          <c:extLst>
            <c:ext xmlns:c16="http://schemas.microsoft.com/office/drawing/2014/chart" uri="{C3380CC4-5D6E-409C-BE32-E72D297353CC}">
              <c16:uniqueId val="{00000002-A024-444C-9DFF-813A8EBC9ACA}"/>
            </c:ext>
          </c:extLst>
        </c:ser>
        <c:ser>
          <c:idx val="4"/>
          <c:order val="3"/>
          <c:tx>
            <c:strRef>
              <c:f>'Potential by Class for Report'!$B$9</c:f>
              <c:strCache>
                <c:ptCount val="1"/>
                <c:pt idx="0">
                  <c:v>Extra Large General Service</c:v>
                </c:pt>
              </c:strCache>
            </c:strRef>
          </c:tx>
          <c:spPr>
            <a:solidFill>
              <a:schemeClr val="accent5"/>
            </a:solidFill>
            <a:ln>
              <a:noFill/>
            </a:ln>
            <a:effectLst/>
          </c:spPr>
          <c:invertIfNegative val="0"/>
          <c:cat>
            <c:numRef>
              <c:f>'Potential by Class for Report'!$J$3:$N$3</c:f>
              <c:numCache>
                <c:formatCode>General</c:formatCode>
                <c:ptCount val="5"/>
                <c:pt idx="0">
                  <c:v>2026</c:v>
                </c:pt>
                <c:pt idx="1">
                  <c:v>2027</c:v>
                </c:pt>
                <c:pt idx="2">
                  <c:v>2028</c:v>
                </c:pt>
                <c:pt idx="3">
                  <c:v>2035</c:v>
                </c:pt>
                <c:pt idx="4">
                  <c:v>2045</c:v>
                </c:pt>
              </c:numCache>
            </c:numRef>
          </c:cat>
          <c:val>
            <c:numRef>
              <c:f>'Potential by Class for Report'!$J$9:$N$9</c:f>
              <c:numCache>
                <c:formatCode>#,##0.0;\-#,##0.0;\-;@</c:formatCode>
                <c:ptCount val="5"/>
                <c:pt idx="0">
                  <c:v>0.10862867373582838</c:v>
                </c:pt>
                <c:pt idx="1">
                  <c:v>0.32670853264764876</c:v>
                </c:pt>
                <c:pt idx="2">
                  <c:v>2.4381705096254875</c:v>
                </c:pt>
                <c:pt idx="3">
                  <c:v>3.8733028679786359</c:v>
                </c:pt>
                <c:pt idx="4">
                  <c:v>3.5653011687303584</c:v>
                </c:pt>
              </c:numCache>
            </c:numRef>
          </c:val>
          <c:extLst>
            <c:ext xmlns:c16="http://schemas.microsoft.com/office/drawing/2014/chart" uri="{C3380CC4-5D6E-409C-BE32-E72D297353CC}">
              <c16:uniqueId val="{00000003-A024-444C-9DFF-813A8EBC9ACA}"/>
            </c:ext>
          </c:extLst>
        </c:ser>
        <c:dLbls>
          <c:showLegendKey val="0"/>
          <c:showVal val="0"/>
          <c:showCatName val="0"/>
          <c:showSerName val="0"/>
          <c:showPercent val="0"/>
          <c:showBubbleSize val="0"/>
        </c:dLbls>
        <c:gapWidth val="100"/>
        <c:overlap val="100"/>
        <c:axId val="436130320"/>
        <c:axId val="436130880"/>
        <c:extLst/>
      </c:barChart>
      <c:catAx>
        <c:axId val="4361303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880"/>
        <c:crosses val="autoZero"/>
        <c:auto val="1"/>
        <c:lblAlgn val="ctr"/>
        <c:lblOffset val="100"/>
        <c:noMultiLvlLbl val="0"/>
      </c:catAx>
      <c:valAx>
        <c:axId val="436130880"/>
        <c:scaling>
          <c:orientation val="minMax"/>
          <c:max val="50"/>
          <c:min val="0"/>
        </c:scaling>
        <c:delete val="0"/>
        <c:axPos val="l"/>
        <c:majorGridlines>
          <c:spPr>
            <a:ln w="9525" cap="flat" cmpd="sng" algn="ctr">
              <a:solidFill>
                <a:schemeClr val="tx1">
                  <a:tint val="75000"/>
                  <a:shade val="95000"/>
                  <a:satMod val="105000"/>
                </a:schemeClr>
              </a:solidFill>
              <a:prstDash val="solid"/>
              <a:round/>
            </a:ln>
            <a:effectLst/>
          </c:spPr>
        </c:majorGridlines>
        <c:title>
          <c:tx>
            <c:strRef>
              <c:f>"Achievable Potential (MW)"</c:f>
              <c:strCache>
                <c:ptCount val="1"/>
                <c:pt idx="0">
                  <c:v>Achievable Potential (MW)</c:v>
                </c:pt>
              </c:strCache>
            </c:strRef>
          </c:tx>
          <c:layout>
            <c:manualLayout>
              <c:xMode val="edge"/>
              <c:yMode val="edge"/>
              <c:x val="4.0457442819647501E-4"/>
              <c:y val="0.36717800075693935"/>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320"/>
        <c:crosses val="autoZero"/>
        <c:crossBetween val="between"/>
        <c:majorUnit val="10"/>
      </c:valAx>
      <c:spPr>
        <a:solidFill>
          <a:srgbClr val="F6F6F7"/>
        </a:solidFill>
        <a:ln>
          <a:noFill/>
        </a:ln>
        <a:effectLst/>
      </c:spPr>
    </c:plotArea>
    <c:legend>
      <c:legendPos val="r"/>
      <c:layout>
        <c:manualLayout>
          <c:xMode val="edge"/>
          <c:yMode val="edge"/>
          <c:x val="0.69954049493813275"/>
          <c:y val="0.20986790484718132"/>
          <c:w val="0.30045950506186725"/>
          <c:h val="0.619202628979701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rgbClr val="F6F6F7"/>
    </a:solidFill>
    <a:ln w="9525" cap="flat" cmpd="sng" algn="ctr">
      <a:noFill/>
      <a:prstDash val="solid"/>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303569896900142"/>
          <c:y val="3.1721838700488475E-2"/>
          <c:w val="0.4053814351637417"/>
          <c:h val="0.87515939694675282"/>
        </c:manualLayout>
      </c:layout>
      <c:barChart>
        <c:barDir val="col"/>
        <c:grouping val="stacked"/>
        <c:varyColors val="0"/>
        <c:ser>
          <c:idx val="1"/>
          <c:order val="0"/>
          <c:tx>
            <c:strRef>
              <c:f>'Appendix Potential by Option'!$B$43</c:f>
              <c:strCache>
                <c:ptCount val="1"/>
                <c:pt idx="0">
                  <c:v>Battery Energy Storage</c:v>
                </c:pt>
              </c:strCache>
            </c:strRef>
          </c:tx>
          <c:spPr>
            <a:solidFill>
              <a:schemeClr val="accent2"/>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Option'!$C$43:$G$43</c:f>
              <c:numCache>
                <c:formatCode>#,##0.0;\-#,##0.0;\-;@</c:formatCode>
                <c:ptCount val="5"/>
                <c:pt idx="0">
                  <c:v>2.8144613623647813E-2</c:v>
                </c:pt>
                <c:pt idx="1">
                  <c:v>9.7169889409204152E-2</c:v>
                </c:pt>
                <c:pt idx="2">
                  <c:v>0.23104382733003864</c:v>
                </c:pt>
                <c:pt idx="3">
                  <c:v>6.618014019426365</c:v>
                </c:pt>
                <c:pt idx="4">
                  <c:v>13.005268231968262</c:v>
                </c:pt>
              </c:numCache>
            </c:numRef>
          </c:val>
          <c:extLst>
            <c:ext xmlns:c16="http://schemas.microsoft.com/office/drawing/2014/chart" uri="{C3380CC4-5D6E-409C-BE32-E72D297353CC}">
              <c16:uniqueId val="{00000000-A3C4-4F86-AF39-DCD853553DFC}"/>
            </c:ext>
          </c:extLst>
        </c:ser>
        <c:ser>
          <c:idx val="2"/>
          <c:order val="1"/>
          <c:tx>
            <c:strRef>
              <c:f>'Appendix Potential by Option'!$B$44</c:f>
              <c:strCache>
                <c:ptCount val="1"/>
                <c:pt idx="0">
                  <c:v>Behavioral</c:v>
                </c:pt>
              </c:strCache>
            </c:strRef>
          </c:tx>
          <c:spPr>
            <a:solidFill>
              <a:schemeClr val="accent3"/>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Option'!$C$44:$G$44</c:f>
              <c:numCache>
                <c:formatCode>#,##0.0;\-#,##0.0;\-;@</c:formatCode>
                <c:ptCount val="5"/>
                <c:pt idx="0">
                  <c:v>1.4189230566198023</c:v>
                </c:pt>
                <c:pt idx="1">
                  <c:v>2.2072484365552452</c:v>
                </c:pt>
                <c:pt idx="2">
                  <c:v>2.5062122313876829</c:v>
                </c:pt>
                <c:pt idx="3">
                  <c:v>3.0374481380036737</c:v>
                </c:pt>
                <c:pt idx="4">
                  <c:v>3.1948622031001279</c:v>
                </c:pt>
              </c:numCache>
            </c:numRef>
          </c:val>
          <c:extLst xmlns:c15="http://schemas.microsoft.com/office/drawing/2012/chart">
            <c:ext xmlns:c16="http://schemas.microsoft.com/office/drawing/2014/chart" uri="{C3380CC4-5D6E-409C-BE32-E72D297353CC}">
              <c16:uniqueId val="{00000001-A3C4-4F86-AF39-DCD853553DFC}"/>
            </c:ext>
          </c:extLst>
        </c:ser>
        <c:ser>
          <c:idx val="3"/>
          <c:order val="2"/>
          <c:tx>
            <c:v>CTA-2045 HPWH</c:v>
          </c:tx>
          <c:spPr>
            <a:solidFill>
              <a:schemeClr val="accent4"/>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Option'!$C$45:$G$45</c:f>
              <c:numCache>
                <c:formatCode>#,##0.0;\-#,##0.0;\-;@</c:formatCode>
                <c:ptCount val="5"/>
                <c:pt idx="0">
                  <c:v>9.2934254011776997E-3</c:v>
                </c:pt>
                <c:pt idx="1">
                  <c:v>4.8607980711050873E-2</c:v>
                </c:pt>
                <c:pt idx="2">
                  <c:v>0.14690752490943118</c:v>
                </c:pt>
                <c:pt idx="3">
                  <c:v>5.5135476950469027</c:v>
                </c:pt>
                <c:pt idx="4">
                  <c:v>13.169332395861096</c:v>
                </c:pt>
              </c:numCache>
            </c:numRef>
          </c:val>
          <c:extLst>
            <c:ext xmlns:c16="http://schemas.microsoft.com/office/drawing/2014/chart" uri="{C3380CC4-5D6E-409C-BE32-E72D297353CC}">
              <c16:uniqueId val="{00000002-A3C4-4F86-AF39-DCD853553DFC}"/>
            </c:ext>
          </c:extLst>
        </c:ser>
        <c:ser>
          <c:idx val="4"/>
          <c:order val="3"/>
          <c:tx>
            <c:v>CTA-2045 ERWH</c:v>
          </c:tx>
          <c:spPr>
            <a:solidFill>
              <a:schemeClr val="accent5"/>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Option'!$C$46:$G$46</c:f>
              <c:numCache>
                <c:formatCode>#,##0.0;\-#,##0.0;\-;@</c:formatCode>
                <c:ptCount val="5"/>
                <c:pt idx="0">
                  <c:v>0.14703921401586487</c:v>
                </c:pt>
                <c:pt idx="1">
                  <c:v>0.45620664795729038</c:v>
                </c:pt>
                <c:pt idx="2">
                  <c:v>1.106464339412182</c:v>
                </c:pt>
                <c:pt idx="3">
                  <c:v>11.440170702861852</c:v>
                </c:pt>
                <c:pt idx="4">
                  <c:v>5.5898978423295098</c:v>
                </c:pt>
              </c:numCache>
            </c:numRef>
          </c:val>
          <c:extLst>
            <c:ext xmlns:c16="http://schemas.microsoft.com/office/drawing/2014/chart" uri="{C3380CC4-5D6E-409C-BE32-E72D297353CC}">
              <c16:uniqueId val="{00000003-A3C4-4F86-AF39-DCD853553DFC}"/>
            </c:ext>
          </c:extLst>
        </c:ser>
        <c:ser>
          <c:idx val="5"/>
          <c:order val="5"/>
          <c:tx>
            <c:strRef>
              <c:f>'Appendix Potential by Option'!$B$48</c:f>
              <c:strCache>
                <c:ptCount val="1"/>
                <c:pt idx="0">
                  <c:v>DLC Electric Vehicle Charging</c:v>
                </c:pt>
              </c:strCache>
            </c:strRef>
          </c:tx>
          <c:spPr>
            <a:solidFill>
              <a:schemeClr val="accent6"/>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Option'!$C$48:$G$48</c:f>
              <c:numCache>
                <c:formatCode>#,##0.0;\-#,##0.0;\-;@</c:formatCode>
                <c:ptCount val="5"/>
                <c:pt idx="0">
                  <c:v>1.2119294093908013</c:v>
                </c:pt>
                <c:pt idx="1">
                  <c:v>3.6147176053478494</c:v>
                </c:pt>
                <c:pt idx="2">
                  <c:v>5.7621399037023853</c:v>
                </c:pt>
                <c:pt idx="3">
                  <c:v>18.77242600937694</c:v>
                </c:pt>
                <c:pt idx="4">
                  <c:v>47.140504664033614</c:v>
                </c:pt>
              </c:numCache>
            </c:numRef>
          </c:val>
          <c:extLst>
            <c:ext xmlns:c16="http://schemas.microsoft.com/office/drawing/2014/chart" uri="{C3380CC4-5D6E-409C-BE32-E72D297353CC}">
              <c16:uniqueId val="{00000004-A3C4-4F86-AF39-DCD853553DFC}"/>
            </c:ext>
          </c:extLst>
        </c:ser>
        <c:ser>
          <c:idx val="6"/>
          <c:order val="6"/>
          <c:tx>
            <c:strRef>
              <c:f>'Appendix Potential by Option'!$B$49</c:f>
              <c:strCache>
                <c:ptCount val="1"/>
                <c:pt idx="0">
                  <c:v>DLC Smart Appliances</c:v>
                </c:pt>
              </c:strCache>
            </c:strRef>
          </c:tx>
          <c:spPr>
            <a:solidFill>
              <a:schemeClr val="accent1">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Option'!$C$49:$G$49</c:f>
              <c:numCache>
                <c:formatCode>#,##0.0;\-#,##0.0;\-;@</c:formatCode>
                <c:ptCount val="5"/>
                <c:pt idx="0">
                  <c:v>0.30744274866692589</c:v>
                </c:pt>
                <c:pt idx="1">
                  <c:v>0.93513729160958092</c:v>
                </c:pt>
                <c:pt idx="2">
                  <c:v>2.2137209821946993</c:v>
                </c:pt>
                <c:pt idx="3">
                  <c:v>3.4753132012355055</c:v>
                </c:pt>
                <c:pt idx="4">
                  <c:v>3.9846203006802883</c:v>
                </c:pt>
              </c:numCache>
            </c:numRef>
          </c:val>
          <c:extLst>
            <c:ext xmlns:c16="http://schemas.microsoft.com/office/drawing/2014/chart" uri="{C3380CC4-5D6E-409C-BE32-E72D297353CC}">
              <c16:uniqueId val="{00000005-A3C4-4F86-AF39-DCD853553DFC}"/>
            </c:ext>
          </c:extLst>
        </c:ser>
        <c:ser>
          <c:idx val="8"/>
          <c:order val="8"/>
          <c:tx>
            <c:strRef>
              <c:f>'Appendix Potential by Option'!$B$51</c:f>
              <c:strCache>
                <c:ptCount val="1"/>
                <c:pt idx="0">
                  <c:v>DLC Smart Thermostats - Heating</c:v>
                </c:pt>
              </c:strCache>
            </c:strRef>
          </c:tx>
          <c:spPr>
            <a:solidFill>
              <a:schemeClr val="accent3">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Option'!$C$51:$G$51</c:f>
              <c:numCache>
                <c:formatCode>#,##0.0;\-#,##0.0;\-;@</c:formatCode>
                <c:ptCount val="5"/>
                <c:pt idx="0">
                  <c:v>0.82772993172727283</c:v>
                </c:pt>
                <c:pt idx="1">
                  <c:v>2.5303201025558528</c:v>
                </c:pt>
                <c:pt idx="2">
                  <c:v>6.0217826643103685</c:v>
                </c:pt>
                <c:pt idx="3">
                  <c:v>10.862742831976846</c:v>
                </c:pt>
                <c:pt idx="4">
                  <c:v>14.600662268737393</c:v>
                </c:pt>
              </c:numCache>
            </c:numRef>
          </c:val>
          <c:extLst xmlns:c15="http://schemas.microsoft.com/office/drawing/2012/chart">
            <c:ext xmlns:c16="http://schemas.microsoft.com/office/drawing/2014/chart" uri="{C3380CC4-5D6E-409C-BE32-E72D297353CC}">
              <c16:uniqueId val="{00000006-A3C4-4F86-AF39-DCD853553DFC}"/>
            </c:ext>
          </c:extLst>
        </c:ser>
        <c:ser>
          <c:idx val="9"/>
          <c:order val="9"/>
          <c:tx>
            <c:strRef>
              <c:f>'Appendix Potential by Option'!$B$52</c:f>
              <c:strCache>
                <c:ptCount val="1"/>
                <c:pt idx="0">
                  <c:v>DLC Water Heating</c:v>
                </c:pt>
              </c:strCache>
            </c:strRef>
          </c:tx>
          <c:spPr>
            <a:solidFill>
              <a:schemeClr val="accent4">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Option'!$C$52:$G$52</c:f>
              <c:numCache>
                <c:formatCode>#,##0.0;\-#,##0.0;\-;@</c:formatCode>
                <c:ptCount val="5"/>
                <c:pt idx="0">
                  <c:v>0.25973274181985073</c:v>
                </c:pt>
                <c:pt idx="1">
                  <c:v>0.7922144409400862</c:v>
                </c:pt>
                <c:pt idx="2">
                  <c:v>1.8801675614296265</c:v>
                </c:pt>
                <c:pt idx="3">
                  <c:v>3.005318213005447</c:v>
                </c:pt>
                <c:pt idx="4">
                  <c:v>3.5113491538218309</c:v>
                </c:pt>
              </c:numCache>
            </c:numRef>
          </c:val>
          <c:extLst xmlns:c15="http://schemas.microsoft.com/office/drawing/2012/chart">
            <c:ext xmlns:c16="http://schemas.microsoft.com/office/drawing/2014/chart" uri="{C3380CC4-5D6E-409C-BE32-E72D297353CC}">
              <c16:uniqueId val="{00000007-A3C4-4F86-AF39-DCD853553DFC}"/>
            </c:ext>
          </c:extLst>
        </c:ser>
        <c:ser>
          <c:idx val="10"/>
          <c:order val="10"/>
          <c:tx>
            <c:strRef>
              <c:f>'Appendix Potential by Option'!$B$53</c:f>
              <c:strCache>
                <c:ptCount val="1"/>
                <c:pt idx="0">
                  <c:v>Electric Vehicle TOU Opt-in</c:v>
                </c:pt>
              </c:strCache>
            </c:strRef>
          </c:tx>
          <c:spPr>
            <a:solidFill>
              <a:schemeClr val="accent5">
                <a:lumMod val="6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Option'!$C$53:$G$53</c:f>
              <c:numCache>
                <c:formatCode>#,##0.0;\-#,##0.0;\-;@</c:formatCode>
                <c:ptCount val="5"/>
                <c:pt idx="0">
                  <c:v>0.1002733922651904</c:v>
                </c:pt>
                <c:pt idx="1">
                  <c:v>0.33340403633215926</c:v>
                </c:pt>
                <c:pt idx="2">
                  <c:v>0.59662073463835774</c:v>
                </c:pt>
                <c:pt idx="3">
                  <c:v>3.1260749754029127</c:v>
                </c:pt>
                <c:pt idx="4">
                  <c:v>9.636313303922579</c:v>
                </c:pt>
              </c:numCache>
            </c:numRef>
          </c:val>
          <c:extLst>
            <c:ext xmlns:c16="http://schemas.microsoft.com/office/drawing/2014/chart" uri="{C3380CC4-5D6E-409C-BE32-E72D297353CC}">
              <c16:uniqueId val="{00000008-A3C4-4F86-AF39-DCD853553DFC}"/>
            </c:ext>
          </c:extLst>
        </c:ser>
        <c:ser>
          <c:idx val="12"/>
          <c:order val="12"/>
          <c:tx>
            <c:strRef>
              <c:f>'Appendix Potential by Option'!$B$55</c:f>
              <c:strCache>
                <c:ptCount val="1"/>
                <c:pt idx="0">
                  <c:v>Third Party Contracts</c:v>
                </c:pt>
              </c:strCache>
            </c:strRef>
          </c:tx>
          <c:spPr>
            <a:solidFill>
              <a:schemeClr val="accent1">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Option'!$C$55:$G$55</c:f>
              <c:numCache>
                <c:formatCode>#,##0.0;\-#,##0.0;\-;@</c:formatCode>
                <c:ptCount val="5"/>
                <c:pt idx="0">
                  <c:v>5.8249859213315958</c:v>
                </c:pt>
                <c:pt idx="1">
                  <c:v>9.2875567045726619</c:v>
                </c:pt>
                <c:pt idx="2">
                  <c:v>12.558394685543311</c:v>
                </c:pt>
                <c:pt idx="3">
                  <c:v>16.750681115891823</c:v>
                </c:pt>
                <c:pt idx="4">
                  <c:v>20.979700973430763</c:v>
                </c:pt>
              </c:numCache>
            </c:numRef>
          </c:val>
          <c:extLst>
            <c:ext xmlns:c16="http://schemas.microsoft.com/office/drawing/2014/chart" uri="{C3380CC4-5D6E-409C-BE32-E72D297353CC}">
              <c16:uniqueId val="{00000009-A3C4-4F86-AF39-DCD853553DFC}"/>
            </c:ext>
          </c:extLst>
        </c:ser>
        <c:ser>
          <c:idx val="13"/>
          <c:order val="13"/>
          <c:tx>
            <c:v>Time-of-Use Opt-in</c:v>
          </c:tx>
          <c:spPr>
            <a:solidFill>
              <a:schemeClr val="accent2">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Option'!$C$56:$G$56</c:f>
              <c:numCache>
                <c:formatCode>#,##0.0;\-#,##0.0;\-;@</c:formatCode>
                <c:ptCount val="5"/>
                <c:pt idx="0">
                  <c:v>0.24367883307596136</c:v>
                </c:pt>
                <c:pt idx="1">
                  <c:v>0.56909535586918114</c:v>
                </c:pt>
                <c:pt idx="2">
                  <c:v>0.99993114901955715</c:v>
                </c:pt>
                <c:pt idx="3">
                  <c:v>4.0202379659137168</c:v>
                </c:pt>
                <c:pt idx="4">
                  <c:v>4.2345221867977916</c:v>
                </c:pt>
              </c:numCache>
            </c:numRef>
          </c:val>
          <c:extLst xmlns:c15="http://schemas.microsoft.com/office/drawing/2012/chart">
            <c:ext xmlns:c16="http://schemas.microsoft.com/office/drawing/2014/chart" uri="{C3380CC4-5D6E-409C-BE32-E72D297353CC}">
              <c16:uniqueId val="{0000000A-A3C4-4F86-AF39-DCD853553DFC}"/>
            </c:ext>
          </c:extLst>
        </c:ser>
        <c:ser>
          <c:idx val="14"/>
          <c:order val="14"/>
          <c:tx>
            <c:strRef>
              <c:f>'Appendix Potential by Option'!$B$57</c:f>
              <c:strCache>
                <c:ptCount val="1"/>
                <c:pt idx="0">
                  <c:v>Time-of-Use Opt-out</c:v>
                </c:pt>
              </c:strCache>
            </c:strRef>
          </c:tx>
          <c:spPr>
            <a:solidFill>
              <a:schemeClr val="accent3">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Option'!$C$57:$G$57</c:f>
              <c:numCache>
                <c:formatCode>#,##0.0;\-#,##0.0;\-;@</c:formatCode>
                <c:ptCount val="5"/>
                <c:pt idx="0">
                  <c:v>0</c:v>
                </c:pt>
                <c:pt idx="1">
                  <c:v>0</c:v>
                </c:pt>
                <c:pt idx="2">
                  <c:v>0</c:v>
                </c:pt>
                <c:pt idx="3">
                  <c:v>0</c:v>
                </c:pt>
                <c:pt idx="4">
                  <c:v>0</c:v>
                </c:pt>
              </c:numCache>
            </c:numRef>
          </c:val>
          <c:extLst>
            <c:ext xmlns:c16="http://schemas.microsoft.com/office/drawing/2014/chart" uri="{C3380CC4-5D6E-409C-BE32-E72D297353CC}">
              <c16:uniqueId val="{0000000B-A3C4-4F86-AF39-DCD853553DFC}"/>
            </c:ext>
          </c:extLst>
        </c:ser>
        <c:ser>
          <c:idx val="15"/>
          <c:order val="15"/>
          <c:tx>
            <c:strRef>
              <c:f>'Appendix Potential by Option'!$B$58</c:f>
              <c:strCache>
                <c:ptCount val="1"/>
                <c:pt idx="0">
                  <c:v>Variable Peak Pricing Rates</c:v>
                </c:pt>
              </c:strCache>
            </c:strRef>
          </c:tx>
          <c:spPr>
            <a:solidFill>
              <a:schemeClr val="accent4">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Option'!$C$58:$G$58</c:f>
              <c:numCache>
                <c:formatCode>#,##0.0;\-#,##0.0;\-;@</c:formatCode>
                <c:ptCount val="5"/>
                <c:pt idx="0">
                  <c:v>0.41259785601056881</c:v>
                </c:pt>
                <c:pt idx="1">
                  <c:v>1.1863481728165235</c:v>
                </c:pt>
                <c:pt idx="2">
                  <c:v>2.6182891580620216</c:v>
                </c:pt>
                <c:pt idx="3">
                  <c:v>4.5113592023362452</c:v>
                </c:pt>
                <c:pt idx="4">
                  <c:v>5.6528723546343116</c:v>
                </c:pt>
              </c:numCache>
            </c:numRef>
          </c:val>
          <c:extLst>
            <c:ext xmlns:c16="http://schemas.microsoft.com/office/drawing/2014/chart" uri="{C3380CC4-5D6E-409C-BE32-E72D297353CC}">
              <c16:uniqueId val="{0000000C-A3C4-4F86-AF39-DCD853553DFC}"/>
            </c:ext>
          </c:extLst>
        </c:ser>
        <c:ser>
          <c:idx val="16"/>
          <c:order val="16"/>
          <c:tx>
            <c:v>Peak Time Rebate</c:v>
          </c:tx>
          <c:spPr>
            <a:solidFill>
              <a:schemeClr val="accent5">
                <a:lumMod val="80000"/>
                <a:lumOff val="20000"/>
              </a:schemeClr>
            </a:solidFill>
            <a:ln>
              <a:noFill/>
            </a:ln>
            <a:effectLst/>
          </c:spPr>
          <c:invertIfNegative val="0"/>
          <c:cat>
            <c:numRef>
              <c:f>'Appendix Potential by Option'!$C$39:$G$39</c:f>
              <c:numCache>
                <c:formatCode>General</c:formatCode>
                <c:ptCount val="5"/>
                <c:pt idx="0">
                  <c:v>2026</c:v>
                </c:pt>
                <c:pt idx="1">
                  <c:v>2027</c:v>
                </c:pt>
                <c:pt idx="2">
                  <c:v>2028</c:v>
                </c:pt>
                <c:pt idx="3">
                  <c:v>2035</c:v>
                </c:pt>
                <c:pt idx="4">
                  <c:v>2045</c:v>
                </c:pt>
              </c:numCache>
            </c:numRef>
          </c:cat>
          <c:val>
            <c:numRef>
              <c:f>'Appendix Potential by Option'!$C$59:$G$59</c:f>
              <c:numCache>
                <c:formatCode>#,##0.0;\-#,##0.0;\-;@</c:formatCode>
                <c:ptCount val="5"/>
                <c:pt idx="0">
                  <c:v>0.33164813659981957</c:v>
                </c:pt>
                <c:pt idx="1">
                  <c:v>0.89972820420619171</c:v>
                </c:pt>
                <c:pt idx="2">
                  <c:v>2.4215083176949856</c:v>
                </c:pt>
                <c:pt idx="3">
                  <c:v>9.4162298970441753</c:v>
                </c:pt>
                <c:pt idx="4">
                  <c:v>10.146976273396044</c:v>
                </c:pt>
              </c:numCache>
            </c:numRef>
          </c:val>
          <c:extLst>
            <c:ext xmlns:c16="http://schemas.microsoft.com/office/drawing/2014/chart" uri="{C3380CC4-5D6E-409C-BE32-E72D297353CC}">
              <c16:uniqueId val="{0000000D-A3C4-4F86-AF39-DCD853553DFC}"/>
            </c:ext>
          </c:extLst>
        </c:ser>
        <c:dLbls>
          <c:showLegendKey val="0"/>
          <c:showVal val="0"/>
          <c:showCatName val="0"/>
          <c:showSerName val="0"/>
          <c:showPercent val="0"/>
          <c:showBubbleSize val="0"/>
        </c:dLbls>
        <c:gapWidth val="100"/>
        <c:overlap val="100"/>
        <c:axId val="436130320"/>
        <c:axId val="436130880"/>
        <c:extLst>
          <c:ext xmlns:c15="http://schemas.microsoft.com/office/drawing/2012/chart" uri="{02D57815-91ED-43cb-92C2-25804820EDAC}">
            <c15:filteredBarSeries>
              <c15:ser>
                <c:idx val="0"/>
                <c:order val="4"/>
                <c:tx>
                  <c:strRef>
                    <c:extLst>
                      <c:ext uri="{02D57815-91ED-43cb-92C2-25804820EDAC}">
                        <c15:formulaRef>
                          <c15:sqref>'Appendix Potential by Option'!$B$47</c15:sqref>
                        </c15:formulaRef>
                      </c:ext>
                    </c:extLst>
                    <c:strCache>
                      <c:ptCount val="1"/>
                      <c:pt idx="0">
                        <c:v>DLC Central AC</c:v>
                      </c:pt>
                    </c:strCache>
                  </c:strRef>
                </c:tx>
                <c:spPr>
                  <a:solidFill>
                    <a:schemeClr val="accent1"/>
                  </a:solidFill>
                  <a:ln>
                    <a:noFill/>
                  </a:ln>
                  <a:effectLst/>
                </c:spPr>
                <c:invertIfNegative val="0"/>
                <c:cat>
                  <c:numRef>
                    <c:extLst>
                      <c:ext uri="{02D57815-91ED-43cb-92C2-25804820EDAC}">
                        <c15:formulaRef>
                          <c15:sqref>'Appendix Potential by Option'!$C$39:$G$39</c15:sqref>
                        </c15:formulaRef>
                      </c:ext>
                    </c:extLst>
                    <c:numCache>
                      <c:formatCode>General</c:formatCode>
                      <c:ptCount val="5"/>
                      <c:pt idx="0">
                        <c:v>2026</c:v>
                      </c:pt>
                      <c:pt idx="1">
                        <c:v>2027</c:v>
                      </c:pt>
                      <c:pt idx="2">
                        <c:v>2028</c:v>
                      </c:pt>
                      <c:pt idx="3">
                        <c:v>2035</c:v>
                      </c:pt>
                      <c:pt idx="4">
                        <c:v>2045</c:v>
                      </c:pt>
                    </c:numCache>
                  </c:numRef>
                </c:cat>
                <c:val>
                  <c:numRef>
                    <c:extLst>
                      <c:ext uri="{02D57815-91ED-43cb-92C2-25804820EDAC}">
                        <c15:formulaRef>
                          <c15:sqref>'Appendix Potential by Option'!$C$47:$G$47</c15:sqref>
                        </c15:formulaRef>
                      </c:ext>
                    </c:extLst>
                    <c:numCache>
                      <c:formatCode>#,##0.0;\-#,##0.0;\-;@</c:formatCode>
                      <c:ptCount val="5"/>
                      <c:pt idx="0">
                        <c:v>0</c:v>
                      </c:pt>
                      <c:pt idx="1">
                        <c:v>0</c:v>
                      </c:pt>
                      <c:pt idx="2">
                        <c:v>0</c:v>
                      </c:pt>
                      <c:pt idx="3">
                        <c:v>0</c:v>
                      </c:pt>
                      <c:pt idx="4">
                        <c:v>0</c:v>
                      </c:pt>
                    </c:numCache>
                  </c:numRef>
                </c:val>
                <c:extLst>
                  <c:ext xmlns:c16="http://schemas.microsoft.com/office/drawing/2014/chart" uri="{C3380CC4-5D6E-409C-BE32-E72D297353CC}">
                    <c16:uniqueId val="{0000000E-A3C4-4F86-AF39-DCD853553DFC}"/>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'Appendix Potential by Option'!$B$50</c15:sqref>
                        </c15:formulaRef>
                      </c:ext>
                    </c:extLst>
                    <c:strCache>
                      <c:ptCount val="1"/>
                      <c:pt idx="0">
                        <c:v>DLC Smart Thermostats - Cooling</c:v>
                      </c:pt>
                    </c:strCache>
                  </c:strRef>
                </c:tx>
                <c:spPr>
                  <a:solidFill>
                    <a:schemeClr val="accent2">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'Appendix Potential by Option'!$C$39:$G$39</c15:sqref>
                        </c15:formulaRef>
                      </c:ext>
                    </c:extLst>
                    <c:numCache>
                      <c:formatCode>General</c:formatCode>
                      <c:ptCount val="5"/>
                      <c:pt idx="0">
                        <c:v>2026</c:v>
                      </c:pt>
                      <c:pt idx="1">
                        <c:v>2027</c:v>
                      </c:pt>
                      <c:pt idx="2">
                        <c:v>2028</c:v>
                      </c:pt>
                      <c:pt idx="3">
                        <c:v>2035</c:v>
                      </c:pt>
                      <c:pt idx="4">
                        <c:v>2045</c:v>
                      </c:pt>
                    </c:numCache>
                  </c:numRef>
                </c:cat>
                <c:val>
                  <c:numRef>
                    <c:extLst xmlns:c15="http://schemas.microsoft.com/office/drawing/2012/chart">
                      <c:ext xmlns:c15="http://schemas.microsoft.com/office/drawing/2012/chart" uri="{02D57815-91ED-43cb-92C2-25804820EDAC}">
                        <c15:formulaRef>
                          <c15:sqref>'Appendix Potential by Option'!$C$50:$G$50</c15:sqref>
                        </c15:formulaRef>
                      </c:ext>
                    </c:extLst>
                    <c:numCache>
                      <c:formatCode>#,##0.0;\-#,##0.0;\-;@</c:formatCode>
                      <c:ptCount val="5"/>
                      <c:pt idx="0">
                        <c:v>0</c:v>
                      </c:pt>
                      <c:pt idx="1">
                        <c:v>0</c:v>
                      </c:pt>
                      <c:pt idx="2">
                        <c:v>0</c:v>
                      </c:pt>
                      <c:pt idx="3">
                        <c:v>0</c:v>
                      </c:pt>
                      <c:pt idx="4">
                        <c:v>0</c:v>
                      </c:pt>
                    </c:numCache>
                  </c:numRef>
                </c:val>
                <c:extLst xmlns:c15="http://schemas.microsoft.com/office/drawing/2012/chart">
                  <c:ext xmlns:c16="http://schemas.microsoft.com/office/drawing/2014/chart" uri="{C3380CC4-5D6E-409C-BE32-E72D297353CC}">
                    <c16:uniqueId val="{0000000F-A3C4-4F86-AF39-DCD853553DFC}"/>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'Appendix Potential by Option'!$B$54</c15:sqref>
                        </c15:formulaRef>
                      </c:ext>
                    </c:extLst>
                    <c:strCache>
                      <c:ptCount val="1"/>
                      <c:pt idx="0">
                        <c:v>Thermal Energy Storage</c:v>
                      </c:pt>
                    </c:strCache>
                  </c:strRef>
                </c:tx>
                <c:spPr>
                  <a:solidFill>
                    <a:schemeClr val="accent6">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'Appendix Potential by Option'!$C$39:$G$39</c15:sqref>
                        </c15:formulaRef>
                      </c:ext>
                    </c:extLst>
                    <c:numCache>
                      <c:formatCode>General</c:formatCode>
                      <c:ptCount val="5"/>
                      <c:pt idx="0">
                        <c:v>2026</c:v>
                      </c:pt>
                      <c:pt idx="1">
                        <c:v>2027</c:v>
                      </c:pt>
                      <c:pt idx="2">
                        <c:v>2028</c:v>
                      </c:pt>
                      <c:pt idx="3">
                        <c:v>2035</c:v>
                      </c:pt>
                      <c:pt idx="4">
                        <c:v>2045</c:v>
                      </c:pt>
                    </c:numCache>
                  </c:numRef>
                </c:cat>
                <c:val>
                  <c:numRef>
                    <c:extLst xmlns:c15="http://schemas.microsoft.com/office/drawing/2012/chart">
                      <c:ext xmlns:c15="http://schemas.microsoft.com/office/drawing/2012/chart" uri="{02D57815-91ED-43cb-92C2-25804820EDAC}">
                        <c15:formulaRef>
                          <c15:sqref>'Appendix Potential by Option'!$C$54:$G$54</c15:sqref>
                        </c15:formulaRef>
                      </c:ext>
                    </c:extLst>
                    <c:numCache>
                      <c:formatCode>#,##0.0;\-#,##0.0;\-;@</c:formatCode>
                      <c:ptCount val="5"/>
                      <c:pt idx="0">
                        <c:v>0</c:v>
                      </c:pt>
                      <c:pt idx="1">
                        <c:v>0</c:v>
                      </c:pt>
                      <c:pt idx="2">
                        <c:v>0</c:v>
                      </c:pt>
                      <c:pt idx="3">
                        <c:v>0</c:v>
                      </c:pt>
                      <c:pt idx="4">
                        <c:v>0</c:v>
                      </c:pt>
                    </c:numCache>
                  </c:numRef>
                </c:val>
                <c:extLst xmlns:c15="http://schemas.microsoft.com/office/drawing/2012/chart">
                  <c:ext xmlns:c16="http://schemas.microsoft.com/office/drawing/2014/chart" uri="{C3380CC4-5D6E-409C-BE32-E72D297353CC}">
                    <c16:uniqueId val="{00000010-A3C4-4F86-AF39-DCD853553DFC}"/>
                  </c:ext>
                </c:extLst>
              </c15:ser>
            </c15:filteredBarSeries>
          </c:ext>
        </c:extLst>
      </c:barChart>
      <c:catAx>
        <c:axId val="4361303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880"/>
        <c:crosses val="autoZero"/>
        <c:auto val="1"/>
        <c:lblAlgn val="ctr"/>
        <c:lblOffset val="100"/>
        <c:noMultiLvlLbl val="0"/>
      </c:catAx>
      <c:valAx>
        <c:axId val="436130880"/>
        <c:scaling>
          <c:orientation val="minMax"/>
          <c:max val="180"/>
          <c:min val="0"/>
        </c:scaling>
        <c:delete val="0"/>
        <c:axPos val="l"/>
        <c:majorGridlines>
          <c:spPr>
            <a:ln w="9525" cap="flat" cmpd="sng" algn="ctr">
              <a:solidFill>
                <a:schemeClr val="tx1">
                  <a:tint val="75000"/>
                  <a:shade val="95000"/>
                  <a:satMod val="105000"/>
                </a:schemeClr>
              </a:solidFill>
              <a:prstDash val="solid"/>
              <a:round/>
            </a:ln>
            <a:effectLst/>
          </c:spPr>
        </c:majorGridlines>
        <c:title>
          <c:tx>
            <c:strRef>
              <c:f>"Achievable Potential (MW)"</c:f>
              <c:strCache>
                <c:ptCount val="1"/>
                <c:pt idx="0">
                  <c:v>Achievable Potential (MW)</c:v>
                </c:pt>
              </c:strCache>
            </c:strRef>
          </c:tx>
          <c:layout>
            <c:manualLayout>
              <c:xMode val="edge"/>
              <c:yMode val="edge"/>
              <c:x val="1.8206302643542106E-3"/>
              <c:y val="0.35869676071643347"/>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320"/>
        <c:crosses val="autoZero"/>
        <c:crossBetween val="between"/>
      </c:valAx>
      <c:spPr>
        <a:solidFill>
          <a:schemeClr val="bg1"/>
        </a:solidFill>
        <a:ln>
          <a:noFill/>
        </a:ln>
        <a:effectLst/>
      </c:spPr>
    </c:plotArea>
    <c:legend>
      <c:legendPos val="r"/>
      <c:layout>
        <c:manualLayout>
          <c:xMode val="edge"/>
          <c:yMode val="edge"/>
          <c:x val="0.64795189816959153"/>
          <c:y val="0"/>
          <c:w val="0.3402871699861047"/>
          <c:h val="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0"/>
          <c:tx>
            <c:strRef>
              <c:f>'Potential by Class for Report'!$B$19</c:f>
              <c:strCache>
                <c:ptCount val="1"/>
                <c:pt idx="0">
                  <c:v>Residential</c:v>
                </c:pt>
              </c:strCache>
            </c:strRef>
          </c:tx>
          <c:spPr>
            <a:solidFill>
              <a:schemeClr val="accent2"/>
            </a:solidFill>
            <a:ln>
              <a:noFill/>
            </a:ln>
            <a:effectLst/>
          </c:spPr>
          <c:invertIfNegative val="0"/>
          <c:cat>
            <c:numRef>
              <c:f>'Potential by Class for Report'!$C$16:$G$16</c:f>
              <c:numCache>
                <c:formatCode>General</c:formatCode>
                <c:ptCount val="5"/>
                <c:pt idx="0">
                  <c:v>2026</c:v>
                </c:pt>
                <c:pt idx="1">
                  <c:v>2027</c:v>
                </c:pt>
                <c:pt idx="2">
                  <c:v>2028</c:v>
                </c:pt>
                <c:pt idx="3">
                  <c:v>2035</c:v>
                </c:pt>
                <c:pt idx="4">
                  <c:v>2045</c:v>
                </c:pt>
              </c:numCache>
            </c:numRef>
          </c:cat>
          <c:val>
            <c:numRef>
              <c:f>'Potential by Class for Report'!$C$19:$G$19</c:f>
              <c:numCache>
                <c:formatCode>#,##0.0;\-#,##0.0;\-;@</c:formatCode>
                <c:ptCount val="5"/>
                <c:pt idx="0">
                  <c:v>3.9453292287794017</c:v>
                </c:pt>
                <c:pt idx="1">
                  <c:v>9.7789917042404255</c:v>
                </c:pt>
                <c:pt idx="2">
                  <c:v>17.61521253142454</c:v>
                </c:pt>
                <c:pt idx="3">
                  <c:v>53.0562613864181</c:v>
                </c:pt>
                <c:pt idx="4">
                  <c:v>87.563651650181811</c:v>
                </c:pt>
              </c:numCache>
            </c:numRef>
          </c:val>
          <c:extLst>
            <c:ext xmlns:c16="http://schemas.microsoft.com/office/drawing/2014/chart" uri="{C3380CC4-5D6E-409C-BE32-E72D297353CC}">
              <c16:uniqueId val="{00000000-DDE9-4F7D-A390-73F75EE64A37}"/>
            </c:ext>
          </c:extLst>
        </c:ser>
        <c:ser>
          <c:idx val="2"/>
          <c:order val="1"/>
          <c:tx>
            <c:strRef>
              <c:f>'Potential by Class for Report'!$B$20</c:f>
              <c:strCache>
                <c:ptCount val="1"/>
                <c:pt idx="0">
                  <c:v>General Service</c:v>
                </c:pt>
              </c:strCache>
            </c:strRef>
          </c:tx>
          <c:spPr>
            <a:solidFill>
              <a:schemeClr val="accent3"/>
            </a:solidFill>
            <a:ln>
              <a:noFill/>
            </a:ln>
            <a:effectLst/>
          </c:spPr>
          <c:invertIfNegative val="0"/>
          <c:cat>
            <c:numRef>
              <c:f>'Potential by Class for Report'!$C$16:$G$16</c:f>
              <c:numCache>
                <c:formatCode>General</c:formatCode>
                <c:ptCount val="5"/>
                <c:pt idx="0">
                  <c:v>2026</c:v>
                </c:pt>
                <c:pt idx="1">
                  <c:v>2027</c:v>
                </c:pt>
                <c:pt idx="2">
                  <c:v>2028</c:v>
                </c:pt>
                <c:pt idx="3">
                  <c:v>2035</c:v>
                </c:pt>
                <c:pt idx="4">
                  <c:v>2045</c:v>
                </c:pt>
              </c:numCache>
            </c:numRef>
          </c:cat>
          <c:val>
            <c:numRef>
              <c:f>'Potential by Class for Report'!$C$20:$G$20</c:f>
              <c:numCache>
                <c:formatCode>#,##0.0;\-#,##0.0;\-;@</c:formatCode>
                <c:ptCount val="5"/>
                <c:pt idx="0">
                  <c:v>0.25627798767523735</c:v>
                </c:pt>
                <c:pt idx="1">
                  <c:v>0.60532159874290703</c:v>
                </c:pt>
                <c:pt idx="2">
                  <c:v>1.3219544662702978</c:v>
                </c:pt>
                <c:pt idx="3">
                  <c:v>9.7592786448577478</c:v>
                </c:pt>
                <c:pt idx="4">
                  <c:v>15.629692057103714</c:v>
                </c:pt>
              </c:numCache>
            </c:numRef>
          </c:val>
          <c:extLst xmlns:c15="http://schemas.microsoft.com/office/drawing/2012/chart">
            <c:ext xmlns:c16="http://schemas.microsoft.com/office/drawing/2014/chart" uri="{C3380CC4-5D6E-409C-BE32-E72D297353CC}">
              <c16:uniqueId val="{00000001-DDE9-4F7D-A390-73F75EE64A37}"/>
            </c:ext>
          </c:extLst>
        </c:ser>
        <c:ser>
          <c:idx val="3"/>
          <c:order val="2"/>
          <c:tx>
            <c:strRef>
              <c:f>'Potential by Class for Report'!$B$21</c:f>
              <c:strCache>
                <c:ptCount val="1"/>
                <c:pt idx="0">
                  <c:v>Large General Service</c:v>
                </c:pt>
              </c:strCache>
            </c:strRef>
          </c:tx>
          <c:spPr>
            <a:solidFill>
              <a:schemeClr val="accent4"/>
            </a:solidFill>
            <a:ln>
              <a:noFill/>
            </a:ln>
            <a:effectLst/>
          </c:spPr>
          <c:invertIfNegative val="0"/>
          <c:cat>
            <c:numRef>
              <c:f>'Potential by Class for Report'!$C$16:$G$16</c:f>
              <c:numCache>
                <c:formatCode>General</c:formatCode>
                <c:ptCount val="5"/>
                <c:pt idx="0">
                  <c:v>2026</c:v>
                </c:pt>
                <c:pt idx="1">
                  <c:v>2027</c:v>
                </c:pt>
                <c:pt idx="2">
                  <c:v>2028</c:v>
                </c:pt>
                <c:pt idx="3">
                  <c:v>2035</c:v>
                </c:pt>
                <c:pt idx="4">
                  <c:v>2045</c:v>
                </c:pt>
              </c:numCache>
            </c:numRef>
          </c:cat>
          <c:val>
            <c:numRef>
              <c:f>'Potential by Class for Report'!$C$21:$G$21</c:f>
              <c:numCache>
                <c:formatCode>#,##0.0;\-#,##0.0;\-;@</c:formatCode>
                <c:ptCount val="5"/>
                <c:pt idx="0">
                  <c:v>3.9081756187391794</c:v>
                </c:pt>
                <c:pt idx="1">
                  <c:v>6.5115141486560013</c:v>
                </c:pt>
                <c:pt idx="2">
                  <c:v>8.5725496688368921</c:v>
                </c:pt>
                <c:pt idx="3">
                  <c:v>11.339192893407326</c:v>
                </c:pt>
                <c:pt idx="4">
                  <c:v>18.599895214570775</c:v>
                </c:pt>
              </c:numCache>
            </c:numRef>
          </c:val>
          <c:extLst>
            <c:ext xmlns:c16="http://schemas.microsoft.com/office/drawing/2014/chart" uri="{C3380CC4-5D6E-409C-BE32-E72D297353CC}">
              <c16:uniqueId val="{00000002-DDE9-4F7D-A390-73F75EE64A37}"/>
            </c:ext>
          </c:extLst>
        </c:ser>
        <c:ser>
          <c:idx val="4"/>
          <c:order val="3"/>
          <c:tx>
            <c:strRef>
              <c:f>'Potential by Class for Report'!$B$22</c:f>
              <c:strCache>
                <c:ptCount val="1"/>
                <c:pt idx="0">
                  <c:v>Extra Large General Service</c:v>
                </c:pt>
              </c:strCache>
            </c:strRef>
          </c:tx>
          <c:spPr>
            <a:solidFill>
              <a:schemeClr val="accent5"/>
            </a:solidFill>
            <a:ln>
              <a:noFill/>
            </a:ln>
            <a:effectLst/>
          </c:spPr>
          <c:invertIfNegative val="0"/>
          <c:cat>
            <c:numRef>
              <c:f>'Potential by Class for Report'!$C$16:$G$16</c:f>
              <c:numCache>
                <c:formatCode>General</c:formatCode>
                <c:ptCount val="5"/>
                <c:pt idx="0">
                  <c:v>2026</c:v>
                </c:pt>
                <c:pt idx="1">
                  <c:v>2027</c:v>
                </c:pt>
                <c:pt idx="2">
                  <c:v>2028</c:v>
                </c:pt>
                <c:pt idx="3">
                  <c:v>2035</c:v>
                </c:pt>
                <c:pt idx="4">
                  <c:v>2045</c:v>
                </c:pt>
              </c:numCache>
            </c:numRef>
          </c:cat>
          <c:val>
            <c:numRef>
              <c:f>'Potential by Class for Report'!$C$22:$G$22</c:f>
              <c:numCache>
                <c:formatCode>#,##0.0;\-#,##0.0;\-;@</c:formatCode>
                <c:ptCount val="5"/>
                <c:pt idx="0">
                  <c:v>2.2794439909958801</c:v>
                </c:pt>
                <c:pt idx="1">
                  <c:v>3.8203200251191962</c:v>
                </c:pt>
                <c:pt idx="2">
                  <c:v>5.1290423348537661</c:v>
                </c:pt>
                <c:pt idx="3">
                  <c:v>5.2224553271903975</c:v>
                </c:pt>
                <c:pt idx="4">
                  <c:v>6.1554530978983992</c:v>
                </c:pt>
              </c:numCache>
            </c:numRef>
          </c:val>
          <c:extLst xmlns:c15="http://schemas.microsoft.com/office/drawing/2012/chart">
            <c:ext xmlns:c16="http://schemas.microsoft.com/office/drawing/2014/chart" uri="{C3380CC4-5D6E-409C-BE32-E72D297353CC}">
              <c16:uniqueId val="{00000003-DDE9-4F7D-A390-73F75EE64A37}"/>
            </c:ext>
          </c:extLst>
        </c:ser>
        <c:dLbls>
          <c:showLegendKey val="0"/>
          <c:showVal val="0"/>
          <c:showCatName val="0"/>
          <c:showSerName val="0"/>
          <c:showPercent val="0"/>
          <c:showBubbleSize val="0"/>
        </c:dLbls>
        <c:gapWidth val="100"/>
        <c:overlap val="100"/>
        <c:axId val="436130320"/>
        <c:axId val="436130880"/>
        <c:extLst/>
      </c:barChart>
      <c:catAx>
        <c:axId val="4361303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880"/>
        <c:crosses val="autoZero"/>
        <c:auto val="1"/>
        <c:lblAlgn val="ctr"/>
        <c:lblOffset val="100"/>
        <c:noMultiLvlLbl val="0"/>
      </c:catAx>
      <c:valAx>
        <c:axId val="43613088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strRef>
              <c:f>"Achievable Potential (MW)"</c:f>
              <c:strCache>
                <c:ptCount val="1"/>
                <c:pt idx="0">
                  <c:v>Achievable Potential (MW)</c:v>
                </c:pt>
              </c:strCache>
            </c:strRef>
          </c:tx>
          <c:layout>
            <c:manualLayout>
              <c:xMode val="edge"/>
              <c:yMode val="edge"/>
              <c:x val="1.0399507344302688E-3"/>
              <c:y val="0.37815948682090422"/>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320"/>
        <c:crosses val="autoZero"/>
        <c:crossBetween val="between"/>
      </c:valAx>
      <c:spPr>
        <a:solidFill>
          <a:schemeClr val="bg1"/>
        </a:solidFill>
        <a:ln>
          <a:noFill/>
        </a:ln>
        <a:effectLst/>
      </c:spPr>
    </c:plotArea>
    <c:legend>
      <c:legendPos val="r"/>
      <c:layout>
        <c:manualLayout>
          <c:xMode val="edge"/>
          <c:yMode val="edge"/>
          <c:x val="0.70735382035578886"/>
          <c:y val="0.26060034916449926"/>
          <c:w val="0.28869677748614758"/>
          <c:h val="0.4108700609256422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0"/>
          <c:tx>
            <c:strRef>
              <c:f>'Potential by Class for Report'!$B$19</c:f>
              <c:strCache>
                <c:ptCount val="1"/>
                <c:pt idx="0">
                  <c:v>Residential</c:v>
                </c:pt>
              </c:strCache>
            </c:strRef>
          </c:tx>
          <c:spPr>
            <a:solidFill>
              <a:schemeClr val="accent2"/>
            </a:solidFill>
            <a:ln>
              <a:noFill/>
            </a:ln>
            <a:effectLst/>
          </c:spPr>
          <c:invertIfNegative val="0"/>
          <c:cat>
            <c:numRef>
              <c:f>'Potential by Class for Report'!$J$16:$N$16</c:f>
              <c:numCache>
                <c:formatCode>General</c:formatCode>
                <c:ptCount val="5"/>
                <c:pt idx="0">
                  <c:v>2026</c:v>
                </c:pt>
                <c:pt idx="1">
                  <c:v>2027</c:v>
                </c:pt>
                <c:pt idx="2">
                  <c:v>2028</c:v>
                </c:pt>
                <c:pt idx="3">
                  <c:v>2035</c:v>
                </c:pt>
                <c:pt idx="4">
                  <c:v>2045</c:v>
                </c:pt>
              </c:numCache>
            </c:numRef>
          </c:cat>
          <c:val>
            <c:numRef>
              <c:f>'Potential by Class for Report'!$J$19:$N$19</c:f>
              <c:numCache>
                <c:formatCode>#,##0.0;\-#,##0.0;\-;@</c:formatCode>
                <c:ptCount val="5"/>
                <c:pt idx="0">
                  <c:v>0.61247267367552127</c:v>
                </c:pt>
                <c:pt idx="1">
                  <c:v>1.8708984542596179</c:v>
                </c:pt>
                <c:pt idx="2">
                  <c:v>4.447767121408579</c:v>
                </c:pt>
                <c:pt idx="3">
                  <c:v>13.312067306767098</c:v>
                </c:pt>
                <c:pt idx="4">
                  <c:v>16.836628986256226</c:v>
                </c:pt>
              </c:numCache>
            </c:numRef>
          </c:val>
          <c:extLst>
            <c:ext xmlns:c16="http://schemas.microsoft.com/office/drawing/2014/chart" uri="{C3380CC4-5D6E-409C-BE32-E72D297353CC}">
              <c16:uniqueId val="{00000000-E225-4276-BD93-93DD9400BBBB}"/>
            </c:ext>
          </c:extLst>
        </c:ser>
        <c:ser>
          <c:idx val="2"/>
          <c:order val="1"/>
          <c:tx>
            <c:strRef>
              <c:f>'Potential by Class for Report'!$B$20</c:f>
              <c:strCache>
                <c:ptCount val="1"/>
                <c:pt idx="0">
                  <c:v>General Service</c:v>
                </c:pt>
              </c:strCache>
            </c:strRef>
          </c:tx>
          <c:spPr>
            <a:solidFill>
              <a:schemeClr val="accent3"/>
            </a:solidFill>
            <a:ln>
              <a:noFill/>
            </a:ln>
            <a:effectLst/>
          </c:spPr>
          <c:invertIfNegative val="0"/>
          <c:cat>
            <c:numRef>
              <c:f>'Potential by Class for Report'!$J$16:$N$16</c:f>
              <c:numCache>
                <c:formatCode>General</c:formatCode>
                <c:ptCount val="5"/>
                <c:pt idx="0">
                  <c:v>2026</c:v>
                </c:pt>
                <c:pt idx="1">
                  <c:v>2027</c:v>
                </c:pt>
                <c:pt idx="2">
                  <c:v>2028</c:v>
                </c:pt>
                <c:pt idx="3">
                  <c:v>2035</c:v>
                </c:pt>
                <c:pt idx="4">
                  <c:v>2045</c:v>
                </c:pt>
              </c:numCache>
            </c:numRef>
          </c:cat>
          <c:val>
            <c:numRef>
              <c:f>'Potential by Class for Report'!$J$20:$N$20</c:f>
              <c:numCache>
                <c:formatCode>#,##0.0;\-#,##0.0;\-;@</c:formatCode>
                <c:ptCount val="5"/>
                <c:pt idx="0">
                  <c:v>4.9455462153773826E-2</c:v>
                </c:pt>
                <c:pt idx="1">
                  <c:v>0.15283658471964262</c:v>
                </c:pt>
                <c:pt idx="2">
                  <c:v>0.35826997058745425</c:v>
                </c:pt>
                <c:pt idx="3">
                  <c:v>2.0240695283559034</c:v>
                </c:pt>
                <c:pt idx="4">
                  <c:v>3.6089011983144346</c:v>
                </c:pt>
              </c:numCache>
            </c:numRef>
          </c:val>
          <c:extLst xmlns:c15="http://schemas.microsoft.com/office/drawing/2012/chart">
            <c:ext xmlns:c16="http://schemas.microsoft.com/office/drawing/2014/chart" uri="{C3380CC4-5D6E-409C-BE32-E72D297353CC}">
              <c16:uniqueId val="{00000001-E225-4276-BD93-93DD9400BBBB}"/>
            </c:ext>
          </c:extLst>
        </c:ser>
        <c:ser>
          <c:idx val="3"/>
          <c:order val="2"/>
          <c:tx>
            <c:strRef>
              <c:f>'Potential by Class for Report'!$B$21</c:f>
              <c:strCache>
                <c:ptCount val="1"/>
                <c:pt idx="0">
                  <c:v>Large General Service</c:v>
                </c:pt>
              </c:strCache>
            </c:strRef>
          </c:tx>
          <c:spPr>
            <a:solidFill>
              <a:schemeClr val="accent4"/>
            </a:solidFill>
            <a:ln>
              <a:noFill/>
            </a:ln>
            <a:effectLst/>
          </c:spPr>
          <c:invertIfNegative val="0"/>
          <c:cat>
            <c:numRef>
              <c:f>'Potential by Class for Report'!$J$16:$N$16</c:f>
              <c:numCache>
                <c:formatCode>General</c:formatCode>
                <c:ptCount val="5"/>
                <c:pt idx="0">
                  <c:v>2026</c:v>
                </c:pt>
                <c:pt idx="1">
                  <c:v>2027</c:v>
                </c:pt>
                <c:pt idx="2">
                  <c:v>2028</c:v>
                </c:pt>
                <c:pt idx="3">
                  <c:v>2035</c:v>
                </c:pt>
                <c:pt idx="4">
                  <c:v>2045</c:v>
                </c:pt>
              </c:numCache>
            </c:numRef>
          </c:cat>
          <c:val>
            <c:numRef>
              <c:f>'Potential by Class for Report'!$J$21:$N$21</c:f>
              <c:numCache>
                <c:formatCode>#,##0.0;\-#,##0.0;\-;@</c:formatCode>
                <c:ptCount val="5"/>
                <c:pt idx="0">
                  <c:v>7.6726379422175273E-4</c:v>
                </c:pt>
                <c:pt idx="1">
                  <c:v>2.1657614151742153E-3</c:v>
                </c:pt>
                <c:pt idx="2">
                  <c:v>3.6037410409201776E-3</c:v>
                </c:pt>
                <c:pt idx="3">
                  <c:v>3.33270347637488</c:v>
                </c:pt>
                <c:pt idx="4">
                  <c:v>4.1092829188577751</c:v>
                </c:pt>
              </c:numCache>
            </c:numRef>
          </c:val>
          <c:extLst>
            <c:ext xmlns:c16="http://schemas.microsoft.com/office/drawing/2014/chart" uri="{C3380CC4-5D6E-409C-BE32-E72D297353CC}">
              <c16:uniqueId val="{00000002-E225-4276-BD93-93DD9400BBBB}"/>
            </c:ext>
          </c:extLst>
        </c:ser>
        <c:ser>
          <c:idx val="4"/>
          <c:order val="3"/>
          <c:tx>
            <c:strRef>
              <c:f>'Potential by Class for Report'!$B$22</c:f>
              <c:strCache>
                <c:ptCount val="1"/>
                <c:pt idx="0">
                  <c:v>Extra Large General Service</c:v>
                </c:pt>
              </c:strCache>
            </c:strRef>
          </c:tx>
          <c:spPr>
            <a:solidFill>
              <a:schemeClr val="accent5"/>
            </a:solidFill>
            <a:ln>
              <a:noFill/>
            </a:ln>
            <a:effectLst/>
          </c:spPr>
          <c:invertIfNegative val="0"/>
          <c:cat>
            <c:numRef>
              <c:f>'Potential by Class for Report'!$J$16:$N$16</c:f>
              <c:numCache>
                <c:formatCode>General</c:formatCode>
                <c:ptCount val="5"/>
                <c:pt idx="0">
                  <c:v>2026</c:v>
                </c:pt>
                <c:pt idx="1">
                  <c:v>2027</c:v>
                </c:pt>
                <c:pt idx="2">
                  <c:v>2028</c:v>
                </c:pt>
                <c:pt idx="3">
                  <c:v>2035</c:v>
                </c:pt>
                <c:pt idx="4">
                  <c:v>2045</c:v>
                </c:pt>
              </c:numCache>
            </c:numRef>
          </c:cat>
          <c:val>
            <c:numRef>
              <c:f>'Potential by Class for Report'!$J$22:$N$22</c:f>
              <c:numCache>
                <c:formatCode>#,##0.0;\-#,##0.0;\-;@</c:formatCode>
                <c:ptCount val="5"/>
                <c:pt idx="0">
                  <c:v>7.1497054735264423E-2</c:v>
                </c:pt>
                <c:pt idx="1">
                  <c:v>0.21570659172991194</c:v>
                </c:pt>
                <c:pt idx="2">
                  <c:v>1.6147832452121991</c:v>
                </c:pt>
                <c:pt idx="3">
                  <c:v>2.5035354041509534</c:v>
                </c:pt>
                <c:pt idx="4">
                  <c:v>2.3433770295304885</c:v>
                </c:pt>
              </c:numCache>
            </c:numRef>
          </c:val>
          <c:extLst xmlns:c15="http://schemas.microsoft.com/office/drawing/2012/chart">
            <c:ext xmlns:c16="http://schemas.microsoft.com/office/drawing/2014/chart" uri="{C3380CC4-5D6E-409C-BE32-E72D297353CC}">
              <c16:uniqueId val="{00000003-E225-4276-BD93-93DD9400BBBB}"/>
            </c:ext>
          </c:extLst>
        </c:ser>
        <c:dLbls>
          <c:showLegendKey val="0"/>
          <c:showVal val="0"/>
          <c:showCatName val="0"/>
          <c:showSerName val="0"/>
          <c:showPercent val="0"/>
          <c:showBubbleSize val="0"/>
        </c:dLbls>
        <c:gapWidth val="100"/>
        <c:overlap val="100"/>
        <c:axId val="436130320"/>
        <c:axId val="436130880"/>
        <c:extLst/>
      </c:barChart>
      <c:catAx>
        <c:axId val="4361303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880"/>
        <c:crosses val="autoZero"/>
        <c:auto val="1"/>
        <c:lblAlgn val="ctr"/>
        <c:lblOffset val="100"/>
        <c:noMultiLvlLbl val="0"/>
      </c:catAx>
      <c:valAx>
        <c:axId val="436130880"/>
        <c:scaling>
          <c:orientation val="minMax"/>
          <c:max val="30"/>
          <c:min val="0"/>
        </c:scaling>
        <c:delete val="0"/>
        <c:axPos val="l"/>
        <c:majorGridlines>
          <c:spPr>
            <a:ln w="9525" cap="flat" cmpd="sng" algn="ctr">
              <a:solidFill>
                <a:schemeClr val="tx1">
                  <a:tint val="75000"/>
                  <a:shade val="95000"/>
                  <a:satMod val="105000"/>
                </a:schemeClr>
              </a:solidFill>
              <a:prstDash val="solid"/>
              <a:round/>
            </a:ln>
            <a:effectLst/>
          </c:spPr>
        </c:majorGridlines>
        <c:title>
          <c:tx>
            <c:strRef>
              <c:f>"Achievable Potential (MW)"</c:f>
              <c:strCache>
                <c:ptCount val="1"/>
                <c:pt idx="0">
                  <c:v>Achievable Potential (MW)</c:v>
                </c:pt>
              </c:strCache>
            </c:strRef>
          </c:tx>
          <c:layout>
            <c:manualLayout>
              <c:xMode val="edge"/>
              <c:yMode val="edge"/>
              <c:x val="8.7312931770373566E-4"/>
              <c:y val="0.37768512834200801"/>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6130320"/>
        <c:crosses val="autoZero"/>
        <c:crossBetween val="between"/>
      </c:valAx>
      <c:spPr>
        <a:solidFill>
          <a:srgbClr val="F6F6F7"/>
        </a:solidFill>
        <a:ln>
          <a:noFill/>
        </a:ln>
        <a:effectLst/>
      </c:spPr>
    </c:plotArea>
    <c:legend>
      <c:legendPos val="r"/>
      <c:layout>
        <c:manualLayout>
          <c:xMode val="edge"/>
          <c:yMode val="edge"/>
          <c:x val="0.66802118322505755"/>
          <c:y val="0.2695425953111793"/>
          <c:w val="0.32802787017120949"/>
          <c:h val="0.456374749766448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rgbClr val="F6F6F7"/>
    </a:solidFill>
    <a:ln w="9525" cap="flat" cmpd="sng" algn="ctr">
      <a:noFill/>
      <a:prstDash val="solid"/>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Winter Peak</a:t>
            </a:r>
            <a:r>
              <a:rPr lang="en-US" sz="1200" baseline="0"/>
              <a:t> Demand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01F5-4E6B-A40B-D8D6915D22E2}"/>
              </c:ext>
            </c:extLst>
          </c:dPt>
          <c:dPt>
            <c:idx val="1"/>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01F5-4E6B-A40B-D8D6915D22E2}"/>
              </c:ext>
            </c:extLst>
          </c:dPt>
          <c:dPt>
            <c:idx val="2"/>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01F5-4E6B-A40B-D8D6915D22E2}"/>
              </c:ext>
            </c:extLst>
          </c:dPt>
          <c:dPt>
            <c:idx val="3"/>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01F5-4E6B-A40B-D8D6915D22E2}"/>
              </c:ext>
            </c:extLst>
          </c:dPt>
          <c:dPt>
            <c:idx val="4"/>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01F5-4E6B-A40B-D8D6915D22E2}"/>
              </c:ext>
            </c:extLst>
          </c:dPt>
          <c:dPt>
            <c:idx val="5"/>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01F5-4E6B-A40B-D8D6915D22E2}"/>
              </c:ext>
            </c:extLst>
          </c:dPt>
          <c:dPt>
            <c:idx val="6"/>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01F5-4E6B-A40B-D8D6915D22E2}"/>
              </c:ext>
            </c:extLst>
          </c:dPt>
          <c:dLbls>
            <c:dLbl>
              <c:idx val="0"/>
              <c:layout>
                <c:manualLayout>
                  <c:x val="-0.23733600166246693"/>
                  <c:y val="2.2228692071887962E-2"/>
                </c:manualLayout>
              </c:layout>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1F5-4E6B-A40B-D8D6915D22E2}"/>
                </c:ext>
              </c:extLst>
            </c:dLbl>
            <c:dLbl>
              <c:idx val="1"/>
              <c:layout>
                <c:manualLayout>
                  <c:x val="0.22935825636565887"/>
                  <c:y val="-4.2698503335937971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1F5-4E6B-A40B-D8D6915D22E2}"/>
                </c:ext>
              </c:extLst>
            </c:dLbl>
            <c:dLbl>
              <c:idx val="2"/>
              <c:layout>
                <c:manualLayout>
                  <c:x val="-1.3455503690781171E-2"/>
                  <c:y val="-1.6183341373272934E-2"/>
                </c:manualLayout>
              </c:layout>
              <c:showLegendKey val="0"/>
              <c:showVal val="0"/>
              <c:showCatName val="1"/>
              <c:showSerName val="0"/>
              <c:showPercent val="1"/>
              <c:showBubbleSize val="0"/>
              <c:extLst>
                <c:ext xmlns:c15="http://schemas.microsoft.com/office/drawing/2012/chart" uri="{CE6537A1-D6FC-4f65-9D91-7224C49458BB}">
                  <c15:layout>
                    <c:manualLayout>
                      <c:w val="0.34978931026835219"/>
                      <c:h val="0.17461787864752198"/>
                    </c:manualLayout>
                  </c15:layout>
                </c:ext>
                <c:ext xmlns:c16="http://schemas.microsoft.com/office/drawing/2014/chart" uri="{C3380CC4-5D6E-409C-BE32-E72D297353CC}">
                  <c16:uniqueId val="{00000005-01F5-4E6B-A40B-D8D6915D22E2}"/>
                </c:ext>
              </c:extLst>
            </c:dLbl>
            <c:dLbl>
              <c:idx val="3"/>
              <c:layout>
                <c:manualLayout>
                  <c:x val="-8.6265439374968347E-2"/>
                  <c:y val="-0.10707373745721374"/>
                </c:manualLayout>
              </c:layout>
              <c:showLegendKey val="0"/>
              <c:showVal val="0"/>
              <c:showCatName val="1"/>
              <c:showSerName val="0"/>
              <c:showPercent val="1"/>
              <c:showBubbleSize val="0"/>
              <c:extLst>
                <c:ext xmlns:c15="http://schemas.microsoft.com/office/drawing/2012/chart" uri="{CE6537A1-D6FC-4f65-9D91-7224C49458BB}">
                  <c15:layout>
                    <c:manualLayout>
                      <c:w val="0.15471279662896428"/>
                      <c:h val="0.18528210578510487"/>
                    </c:manualLayout>
                  </c15:layout>
                </c:ext>
                <c:ext xmlns:c16="http://schemas.microsoft.com/office/drawing/2014/chart" uri="{C3380CC4-5D6E-409C-BE32-E72D297353CC}">
                  <c16:uniqueId val="{00000007-01F5-4E6B-A40B-D8D6915D22E2}"/>
                </c:ext>
              </c:extLst>
            </c:dLbl>
            <c:dLbl>
              <c:idx val="4"/>
              <c:layout>
                <c:manualLayout>
                  <c:x val="0.13084941228653804"/>
                  <c:y val="-6.1610473574864648E-2"/>
                </c:manualLayout>
              </c:layout>
              <c:showLegendKey val="0"/>
              <c:showVal val="0"/>
              <c:showCatName val="1"/>
              <c:showSerName val="0"/>
              <c:showPercent val="1"/>
              <c:showBubbleSize val="0"/>
              <c:extLst>
                <c:ext xmlns:c15="http://schemas.microsoft.com/office/drawing/2012/chart" uri="{CE6537A1-D6FC-4f65-9D91-7224C49458BB}">
                  <c15:layout>
                    <c:manualLayout>
                      <c:w val="0.33266799733865604"/>
                      <c:h val="0.19488467651575278"/>
                    </c:manualLayout>
                  </c15:layout>
                </c:ext>
                <c:ext xmlns:c16="http://schemas.microsoft.com/office/drawing/2014/chart" uri="{C3380CC4-5D6E-409C-BE32-E72D297353CC}">
                  <c16:uniqueId val="{00000009-01F5-4E6B-A40B-D8D6915D22E2}"/>
                </c:ext>
              </c:extLst>
            </c:dLbl>
            <c:dLbl>
              <c:idx val="5"/>
              <c:layout>
                <c:manualLayout>
                  <c:x val="-1.330671989354624E-2"/>
                  <c:y val="4.1594037386548056E-3"/>
                </c:manualLayout>
              </c:layout>
              <c:showLegendKey val="0"/>
              <c:showVal val="0"/>
              <c:showCatName val="1"/>
              <c:showSerName val="0"/>
              <c:showPercent val="1"/>
              <c:showBubbleSize val="0"/>
              <c:extLst>
                <c:ext xmlns:c15="http://schemas.microsoft.com/office/drawing/2012/chart" uri="{CE6537A1-D6FC-4f65-9D91-7224C49458BB}">
                  <c15:layout>
                    <c:manualLayout>
                      <c:w val="0.23397649146152141"/>
                      <c:h val="0.17056297709923665"/>
                    </c:manualLayout>
                  </c15:layout>
                </c:ext>
                <c:ext xmlns:c16="http://schemas.microsoft.com/office/drawing/2014/chart" uri="{C3380CC4-5D6E-409C-BE32-E72D297353CC}">
                  <c16:uniqueId val="{0000000B-01F5-4E6B-A40B-D8D6915D22E2}"/>
                </c:ext>
              </c:extLst>
            </c:dLbl>
            <c:dLbl>
              <c:idx val="6"/>
              <c:layout>
                <c:manualLayout>
                  <c:x val="3.1785597658576109E-2"/>
                  <c:y val="6.4725836989841912E-2"/>
                </c:manualLayout>
              </c:layout>
              <c:showLegendKey val="0"/>
              <c:showVal val="0"/>
              <c:showCatName val="1"/>
              <c:showSerName val="0"/>
              <c:showPercent val="1"/>
              <c:showBubbleSize val="0"/>
              <c:extLst>
                <c:ext xmlns:c15="http://schemas.microsoft.com/office/drawing/2012/chart" uri="{CE6537A1-D6FC-4f65-9D91-7224C49458BB}">
                  <c15:layout>
                    <c:manualLayout>
                      <c:w val="0.29157223610521738"/>
                      <c:h val="0.17154121836869629"/>
                    </c:manualLayout>
                  </c15:layout>
                </c:ext>
                <c:ext xmlns:c16="http://schemas.microsoft.com/office/drawing/2014/chart" uri="{C3380CC4-5D6E-409C-BE32-E72D297353CC}">
                  <c16:uniqueId val="{0000000D-01F5-4E6B-A40B-D8D6915D22E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WINTER'!$B$7:$B$13</c:f>
              <c:strCache>
                <c:ptCount val="7"/>
                <c:pt idx="0">
                  <c:v>Space Heating</c:v>
                </c:pt>
                <c:pt idx="1">
                  <c:v>Water Heating</c:v>
                </c:pt>
                <c:pt idx="2">
                  <c:v>Interior Lighting</c:v>
                </c:pt>
                <c:pt idx="3">
                  <c:v>Exterior Lighting</c:v>
                </c:pt>
                <c:pt idx="4">
                  <c:v>Appliances</c:v>
                </c:pt>
                <c:pt idx="5">
                  <c:v>Electronics</c:v>
                </c:pt>
                <c:pt idx="6">
                  <c:v>Miscellaneous</c:v>
                </c:pt>
              </c:strCache>
            </c:strRef>
          </c:cat>
          <c:val>
            <c:numRef>
              <c:f>'End Use Intensity - WINTER'!$I$7:$I$13</c:f>
              <c:numCache>
                <c:formatCode>_(* #,##0_);_(* \(#,##0\);_(* "-"??_);_(@_)</c:formatCode>
                <c:ptCount val="7"/>
                <c:pt idx="0">
                  <c:v>1253.2581634233229</c:v>
                </c:pt>
                <c:pt idx="1">
                  <c:v>232.56170174502748</c:v>
                </c:pt>
                <c:pt idx="2">
                  <c:v>285.90879400722713</c:v>
                </c:pt>
                <c:pt idx="3">
                  <c:v>43.227803122917997</c:v>
                </c:pt>
                <c:pt idx="4">
                  <c:v>321.23594830099813</c:v>
                </c:pt>
                <c:pt idx="5">
                  <c:v>153.19181816599436</c:v>
                </c:pt>
                <c:pt idx="6">
                  <c:v>506.37373671566985</c:v>
                </c:pt>
              </c:numCache>
            </c:numRef>
          </c:val>
          <c:extLst>
            <c:ext xmlns:c16="http://schemas.microsoft.com/office/drawing/2014/chart" uri="{C3380CC4-5D6E-409C-BE32-E72D297353CC}">
              <c16:uniqueId val="{0000000E-01F5-4E6B-A40B-D8D6915D22E2}"/>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Annual</a:t>
            </a:r>
            <a:r>
              <a:rPr lang="en-US" sz="1200" baseline="0"/>
              <a:t> Use by End Use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CC53-42CB-8D4F-0C7F14C78782}"/>
              </c:ext>
            </c:extLst>
          </c:dPt>
          <c:dPt>
            <c:idx val="1"/>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CC53-42CB-8D4F-0C7F14C78782}"/>
              </c:ext>
            </c:extLst>
          </c:dPt>
          <c:dPt>
            <c:idx val="2"/>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CC53-42CB-8D4F-0C7F14C78782}"/>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CC53-42CB-8D4F-0C7F14C78782}"/>
              </c:ext>
            </c:extLst>
          </c:dPt>
          <c:dPt>
            <c:idx val="4"/>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CC53-42CB-8D4F-0C7F14C78782}"/>
              </c:ext>
            </c:extLst>
          </c:dPt>
          <c:dPt>
            <c:idx val="5"/>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CC53-42CB-8D4F-0C7F14C78782}"/>
              </c:ext>
            </c:extLst>
          </c:dPt>
          <c:dPt>
            <c:idx val="6"/>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CC53-42CB-8D4F-0C7F14C78782}"/>
              </c:ext>
            </c:extLst>
          </c:dPt>
          <c:dPt>
            <c:idx val="7"/>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CC53-42CB-8D4F-0C7F14C78782}"/>
              </c:ext>
            </c:extLst>
          </c:dPt>
          <c:dLbls>
            <c:dLbl>
              <c:idx val="0"/>
              <c:layout>
                <c:manualLayout>
                  <c:x val="7.7559895760360917E-2"/>
                  <c:y val="1.023902386033521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C53-42CB-8D4F-0C7F14C78782}"/>
                </c:ext>
              </c:extLst>
            </c:dLbl>
            <c:dLbl>
              <c:idx val="1"/>
              <c:layout>
                <c:manualLayout>
                  <c:x val="-0.20450028276852134"/>
                  <c:y val="7.9527957134781863E-2"/>
                </c:manualLayout>
              </c:layout>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C53-42CB-8D4F-0C7F14C78782}"/>
                </c:ext>
              </c:extLst>
            </c:dLbl>
            <c:dLbl>
              <c:idx val="2"/>
              <c:layout>
                <c:manualLayout>
                  <c:x val="-0.13879601513899167"/>
                  <c:y val="-0.1620232000828005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C53-42CB-8D4F-0C7F14C78782}"/>
                </c:ext>
              </c:extLst>
            </c:dLbl>
            <c:dLbl>
              <c:idx val="3"/>
              <c:layout>
                <c:manualLayout>
                  <c:x val="0.18673878690039258"/>
                  <c:y val="-1.900322997741874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C53-42CB-8D4F-0C7F14C78782}"/>
                </c:ext>
              </c:extLst>
            </c:dLbl>
            <c:dLbl>
              <c:idx val="4"/>
              <c:layout>
                <c:manualLayout>
                  <c:x val="-0.17602331752729805"/>
                  <c:y val="-2.180083278265646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C53-42CB-8D4F-0C7F14C78782}"/>
                </c:ext>
              </c:extLst>
            </c:dLbl>
            <c:dLbl>
              <c:idx val="5"/>
              <c:layout>
                <c:manualLayout>
                  <c:x val="0.22099447513812154"/>
                  <c:y val="-0.17057093602944612"/>
                </c:manualLayout>
              </c:layout>
              <c:showLegendKey val="0"/>
              <c:showVal val="0"/>
              <c:showCatName val="1"/>
              <c:showSerName val="0"/>
              <c:showPercent val="1"/>
              <c:showBubbleSize val="0"/>
              <c:extLst>
                <c:ext xmlns:c15="http://schemas.microsoft.com/office/drawing/2012/chart" uri="{CE6537A1-D6FC-4f65-9D91-7224C49458BB}">
                  <c15:layout>
                    <c:manualLayout>
                      <c:w val="0.28176795580110497"/>
                      <c:h val="0.14082840236686389"/>
                    </c:manualLayout>
                  </c15:layout>
                </c:ext>
                <c:ext xmlns:c16="http://schemas.microsoft.com/office/drawing/2014/chart" uri="{C3380CC4-5D6E-409C-BE32-E72D297353CC}">
                  <c16:uniqueId val="{0000000B-CC53-42CB-8D4F-0C7F14C78782}"/>
                </c:ext>
              </c:extLst>
            </c:dLbl>
            <c:dLbl>
              <c:idx val="6"/>
              <c:layout>
                <c:manualLayout>
                  <c:x val="0"/>
                  <c:y val="-3.0218142850486886E-2"/>
                </c:manualLayout>
              </c:layout>
              <c:showLegendKey val="0"/>
              <c:showVal val="0"/>
              <c:showCatName val="1"/>
              <c:showSerName val="0"/>
              <c:showPercent val="1"/>
              <c:showBubbleSize val="0"/>
              <c:extLst>
                <c:ext xmlns:c15="http://schemas.microsoft.com/office/drawing/2012/chart" uri="{CE6537A1-D6FC-4f65-9D91-7224C49458BB}">
                  <c15:layout>
                    <c:manualLayout>
                      <c:w val="0.2168189249130176"/>
                      <c:h val="0.15311807997094531"/>
                    </c:manualLayout>
                  </c15:layout>
                </c:ext>
                <c:ext xmlns:c16="http://schemas.microsoft.com/office/drawing/2014/chart" uri="{C3380CC4-5D6E-409C-BE32-E72D297353CC}">
                  <c16:uniqueId val="{0000000D-CC53-42CB-8D4F-0C7F14C78782}"/>
                </c:ext>
              </c:extLst>
            </c:dLbl>
            <c:dLbl>
              <c:idx val="7"/>
              <c:layout>
                <c:manualLayout>
                  <c:x val="6.4738678383434112E-2"/>
                  <c:y val="4.2464882591235119E-2"/>
                </c:manualLayout>
              </c:layout>
              <c:showLegendKey val="0"/>
              <c:showVal val="0"/>
              <c:showCatName val="1"/>
              <c:showSerName val="0"/>
              <c:showPercent val="1"/>
              <c:showBubbleSize val="0"/>
              <c:extLst>
                <c:ext xmlns:c15="http://schemas.microsoft.com/office/drawing/2012/chart" uri="{CE6537A1-D6FC-4f65-9D91-7224C49458BB}">
                  <c15:layout>
                    <c:manualLayout>
                      <c:w val="0.35012137294992812"/>
                      <c:h val="0.17792338179331146"/>
                    </c:manualLayout>
                  </c15:layout>
                </c:ext>
                <c:ext xmlns:c16="http://schemas.microsoft.com/office/drawing/2014/chart" uri="{C3380CC4-5D6E-409C-BE32-E72D297353CC}">
                  <c16:uniqueId val="{0000000F-CC53-42CB-8D4F-0C7F14C7878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Base Year'!$B$6:$B$13</c:f>
              <c:strCache>
                <c:ptCount val="8"/>
                <c:pt idx="0">
                  <c:v>Cooling</c:v>
                </c:pt>
                <c:pt idx="1">
                  <c:v>Space Heating</c:v>
                </c:pt>
                <c:pt idx="2">
                  <c:v>Water Heating</c:v>
                </c:pt>
                <c:pt idx="3">
                  <c:v>Interior Lighting</c:v>
                </c:pt>
                <c:pt idx="4">
                  <c:v>Exterior Lighting</c:v>
                </c:pt>
                <c:pt idx="5">
                  <c:v>Appliances</c:v>
                </c:pt>
                <c:pt idx="6">
                  <c:v>Electronics</c:v>
                </c:pt>
                <c:pt idx="7">
                  <c:v>Miscellaneous</c:v>
                </c:pt>
              </c:strCache>
            </c:strRef>
          </c:cat>
          <c:val>
            <c:numRef>
              <c:f>'End Use Intensity - Base Year'!$I$6:$I$13</c:f>
              <c:numCache>
                <c:formatCode>_(* #,##0_);_(* \(#,##0\);_(* "-"??_);_(@_)</c:formatCode>
                <c:ptCount val="8"/>
                <c:pt idx="0">
                  <c:v>708.25614345321492</c:v>
                </c:pt>
                <c:pt idx="1">
                  <c:v>3003.6991341047906</c:v>
                </c:pt>
                <c:pt idx="2">
                  <c:v>1222.259541959191</c:v>
                </c:pt>
                <c:pt idx="3">
                  <c:v>938.37405221313418</c:v>
                </c:pt>
                <c:pt idx="4">
                  <c:v>233.8323795172121</c:v>
                </c:pt>
                <c:pt idx="5">
                  <c:v>1900.1471073422624</c:v>
                </c:pt>
                <c:pt idx="6">
                  <c:v>941.6051701402472</c:v>
                </c:pt>
                <c:pt idx="7">
                  <c:v>2335.326107822129</c:v>
                </c:pt>
              </c:numCache>
            </c:numRef>
          </c:val>
          <c:extLst>
            <c:ext xmlns:c16="http://schemas.microsoft.com/office/drawing/2014/chart" uri="{C3380CC4-5D6E-409C-BE32-E72D297353CC}">
              <c16:uniqueId val="{00000010-CC53-42CB-8D4F-0C7F14C78782}"/>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12-CC53-42CB-8D4F-0C7F14C787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CC53-42CB-8D4F-0C7F14C7878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CC53-42CB-8D4F-0C7F14C7878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CC53-42CB-8D4F-0C7F14C7878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CC53-42CB-8D4F-0C7F14C7878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CC53-42CB-8D4F-0C7F14C78782}"/>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'Market Overview'!$B$5:$B$10</c:f>
              <c:strCache>
                <c:ptCount val="6"/>
                <c:pt idx="0">
                  <c:v> Single Family </c:v>
                </c:pt>
                <c:pt idx="1">
                  <c:v> Multi-Family </c:v>
                </c:pt>
                <c:pt idx="2">
                  <c:v> Mobile Home </c:v>
                </c:pt>
                <c:pt idx="3">
                  <c:v> LI - Single Family </c:v>
                </c:pt>
                <c:pt idx="4">
                  <c:v> LI - Multi-Family </c:v>
                </c:pt>
                <c:pt idx="5">
                  <c:v> LI - Mobile Home </c:v>
                </c:pt>
              </c:strCache>
            </c:strRef>
          </c:cat>
          <c:val>
            <c:numRef>
              <c:f>'Market Overview'!$D$5:$D$10</c:f>
              <c:numCache>
                <c:formatCode>_(* #,##0_);_(* \(#,##0\);_(* "-"??_);_(@_)</c:formatCode>
                <c:ptCount val="6"/>
                <c:pt idx="0">
                  <c:v>177143.65181128052</c:v>
                </c:pt>
                <c:pt idx="1">
                  <c:v>25776.448232650204</c:v>
                </c:pt>
                <c:pt idx="2">
                  <c:v>16978.894402853526</c:v>
                </c:pt>
                <c:pt idx="3">
                  <c:v>72603.161548693941</c:v>
                </c:pt>
                <c:pt idx="4">
                  <c:v>52151.053875273188</c:v>
                </c:pt>
                <c:pt idx="5">
                  <c:v>9984.0401292486422</c:v>
                </c:pt>
              </c:numCache>
            </c:numRef>
          </c:val>
          <c:extLst>
            <c:ext xmlns:c16="http://schemas.microsoft.com/office/drawing/2014/chart" uri="{C3380CC4-5D6E-409C-BE32-E72D297353CC}">
              <c16:uniqueId val="{0000001D-CC53-42CB-8D4F-0C7F14C78782}"/>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Winter Peak</a:t>
            </a:r>
            <a:r>
              <a:rPr lang="en-US" sz="1200" baseline="0"/>
              <a:t> Demand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effectLst>
              <a:outerShdw blurRad="50800" dist="38100" dir="2700000" algn="tl" rotWithShape="0">
                <a:prstClr val="black">
                  <a:alpha val="40000"/>
                </a:prstClr>
              </a:outerShdw>
            </a:effectLst>
          </c:spPr>
          <c:dPt>
            <c:idx val="0"/>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8749-4795-BD95-42046C999293}"/>
              </c:ext>
            </c:extLst>
          </c:dPt>
          <c:dPt>
            <c:idx val="1"/>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8749-4795-BD95-42046C999293}"/>
              </c:ext>
            </c:extLst>
          </c:dPt>
          <c:dPt>
            <c:idx val="2"/>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8749-4795-BD95-42046C999293}"/>
              </c:ext>
            </c:extLst>
          </c:dPt>
          <c:dPt>
            <c:idx val="3"/>
            <c:bubble3D val="0"/>
            <c:spPr>
              <a:solidFill>
                <a:schemeClr val="accent4">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8749-4795-BD95-42046C999293}"/>
              </c:ext>
            </c:extLst>
          </c:dPt>
          <c:dPt>
            <c:idx val="4"/>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8749-4795-BD95-42046C999293}"/>
              </c:ext>
            </c:extLst>
          </c:dPt>
          <c:dPt>
            <c:idx val="5"/>
            <c:bubble3D val="0"/>
            <c:spPr>
              <a:solidFill>
                <a:schemeClr val="tx2">
                  <a:lumMod val="60000"/>
                  <a:lumOff val="4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8749-4795-BD95-42046C999293}"/>
              </c:ext>
            </c:extLst>
          </c:dPt>
          <c:dPt>
            <c:idx val="6"/>
            <c:bubble3D val="0"/>
            <c:spPr>
              <a:solidFill>
                <a:schemeClr val="bg1">
                  <a:lumMod val="50000"/>
                </a:schemeClr>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8749-4795-BD95-42046C999293}"/>
              </c:ext>
            </c:extLst>
          </c:dPt>
          <c:dLbls>
            <c:dLbl>
              <c:idx val="0"/>
              <c:layout>
                <c:manualLayout>
                  <c:x val="-0.23663308461988111"/>
                  <c:y val="7.8439057029859122E-2"/>
                </c:manualLayout>
              </c:layout>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749-4795-BD95-42046C999293}"/>
                </c:ext>
              </c:extLst>
            </c:dLbl>
            <c:dLbl>
              <c:idx val="1"/>
              <c:layout>
                <c:manualLayout>
                  <c:x val="5.0859877321964508E-2"/>
                  <c:y val="-1.047540972545526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749-4795-BD95-42046C999293}"/>
                </c:ext>
              </c:extLst>
            </c:dLbl>
            <c:dLbl>
              <c:idx val="2"/>
              <c:layout>
                <c:manualLayout>
                  <c:x val="0.10750806977857046"/>
                  <c:y val="-0.1311900761762106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749-4795-BD95-42046C999293}"/>
                </c:ext>
              </c:extLst>
            </c:dLbl>
            <c:dLbl>
              <c:idx val="3"/>
              <c:layout>
                <c:manualLayout>
                  <c:x val="-1.9889502762430927E-2"/>
                  <c:y val="-1.713796058269066E-2"/>
                </c:manualLayout>
              </c:layout>
              <c:showLegendKey val="0"/>
              <c:showVal val="0"/>
              <c:showCatName val="1"/>
              <c:showSerName val="0"/>
              <c:showPercent val="1"/>
              <c:showBubbleSize val="0"/>
              <c:extLst>
                <c:ext xmlns:c15="http://schemas.microsoft.com/office/drawing/2012/chart" uri="{CE6537A1-D6FC-4f65-9D91-7224C49458BB}">
                  <c15:layout>
                    <c:manualLayout>
                      <c:w val="0.18952486187845305"/>
                      <c:h val="0.24290798804391098"/>
                    </c:manualLayout>
                  </c15:layout>
                </c:ext>
                <c:ext xmlns:c16="http://schemas.microsoft.com/office/drawing/2014/chart" uri="{C3380CC4-5D6E-409C-BE32-E72D297353CC}">
                  <c16:uniqueId val="{00000007-8749-4795-BD95-42046C999293}"/>
                </c:ext>
              </c:extLst>
            </c:dLbl>
            <c:dLbl>
              <c:idx val="4"/>
              <c:layout>
                <c:manualLayout>
                  <c:x val="0.15504970348023894"/>
                  <c:y val="-6.370009669843911E-2"/>
                </c:manualLayout>
              </c:layout>
              <c:showLegendKey val="0"/>
              <c:showVal val="0"/>
              <c:showCatName val="1"/>
              <c:showSerName val="0"/>
              <c:showPercent val="1"/>
              <c:showBubbleSize val="0"/>
              <c:extLst>
                <c:ext xmlns:c15="http://schemas.microsoft.com/office/drawing/2012/chart" uri="{CE6537A1-D6FC-4f65-9D91-7224C49458BB}">
                  <c15:layout>
                    <c:manualLayout>
                      <c:w val="0.31270718232044198"/>
                      <c:h val="0.17740011926058438"/>
                    </c:manualLayout>
                  </c15:layout>
                </c:ext>
                <c:ext xmlns:c16="http://schemas.microsoft.com/office/drawing/2014/chart" uri="{C3380CC4-5D6E-409C-BE32-E72D297353CC}">
                  <c16:uniqueId val="{00000009-8749-4795-BD95-42046C999293}"/>
                </c:ext>
              </c:extLst>
            </c:dLbl>
            <c:dLbl>
              <c:idx val="5"/>
              <c:layout>
                <c:manualLayout>
                  <c:x val="0"/>
                  <c:y val="-4.6805018588614723E-2"/>
                </c:manualLayout>
              </c:layout>
              <c:showLegendKey val="0"/>
              <c:showVal val="0"/>
              <c:showCatName val="1"/>
              <c:showSerName val="0"/>
              <c:showPercent val="1"/>
              <c:showBubbleSize val="0"/>
              <c:extLst>
                <c:ext xmlns:c15="http://schemas.microsoft.com/office/drawing/2012/chart" uri="{CE6537A1-D6FC-4f65-9D91-7224C49458BB}">
                  <c15:layout>
                    <c:manualLayout>
                      <c:w val="0.21988950276243094"/>
                      <c:h val="0.13623362953666779"/>
                    </c:manualLayout>
                  </c15:layout>
                </c:ext>
                <c:ext xmlns:c16="http://schemas.microsoft.com/office/drawing/2014/chart" uri="{C3380CC4-5D6E-409C-BE32-E72D297353CC}">
                  <c16:uniqueId val="{0000000B-8749-4795-BD95-42046C999293}"/>
                </c:ext>
              </c:extLst>
            </c:dLbl>
            <c:dLbl>
              <c:idx val="6"/>
              <c:layout>
                <c:manualLayout>
                  <c:x val="5.589888665588634E-2"/>
                  <c:y val="3.1329030529866048E-2"/>
                </c:manualLayout>
              </c:layout>
              <c:showLegendKey val="0"/>
              <c:showVal val="0"/>
              <c:showCatName val="1"/>
              <c:showSerName val="0"/>
              <c:showPercent val="1"/>
              <c:showBubbleSize val="0"/>
              <c:extLst>
                <c:ext xmlns:c15="http://schemas.microsoft.com/office/drawing/2012/chart" uri="{CE6537A1-D6FC-4f65-9D91-7224C49458BB}">
                  <c15:layout>
                    <c:manualLayout>
                      <c:w val="0.35896115195545303"/>
                      <c:h val="0.21440095032843615"/>
                    </c:manualLayout>
                  </c15:layout>
                </c:ext>
                <c:ext xmlns:c16="http://schemas.microsoft.com/office/drawing/2014/chart" uri="{C3380CC4-5D6E-409C-BE32-E72D297353CC}">
                  <c16:uniqueId val="{0000000D-8749-4795-BD95-42046C99929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'End Use Intensity - WINTER'!$B$7:$B$13</c:f>
              <c:strCache>
                <c:ptCount val="7"/>
                <c:pt idx="0">
                  <c:v>Space Heating</c:v>
                </c:pt>
                <c:pt idx="1">
                  <c:v>Water Heating</c:v>
                </c:pt>
                <c:pt idx="2">
                  <c:v>Interior Lighting</c:v>
                </c:pt>
                <c:pt idx="3">
                  <c:v>Exterior Lighting</c:v>
                </c:pt>
                <c:pt idx="4">
                  <c:v>Appliances</c:v>
                </c:pt>
                <c:pt idx="5">
                  <c:v>Electronics</c:v>
                </c:pt>
                <c:pt idx="6">
                  <c:v>Miscellaneous</c:v>
                </c:pt>
              </c:strCache>
            </c:strRef>
          </c:cat>
          <c:val>
            <c:numRef>
              <c:f>'End Use Intensity - WINTER'!$I$7:$I$13</c:f>
              <c:numCache>
                <c:formatCode>_(* #,##0_);_(* \(#,##0\);_(* "-"??_);_(@_)</c:formatCode>
                <c:ptCount val="7"/>
                <c:pt idx="0">
                  <c:v>343.31910341436446</c:v>
                </c:pt>
                <c:pt idx="1">
                  <c:v>70.896638688604952</c:v>
                </c:pt>
                <c:pt idx="2">
                  <c:v>135.06540571464291</c:v>
                </c:pt>
                <c:pt idx="3">
                  <c:v>20.39094245623226</c:v>
                </c:pt>
                <c:pt idx="4">
                  <c:v>112.14188215640557</c:v>
                </c:pt>
                <c:pt idx="5">
                  <c:v>53.555073350365319</c:v>
                </c:pt>
                <c:pt idx="6">
                  <c:v>151.03214237588054</c:v>
                </c:pt>
              </c:numCache>
            </c:numRef>
          </c:val>
          <c:extLst>
            <c:ext xmlns:c16="http://schemas.microsoft.com/office/drawing/2014/chart" uri="{C3380CC4-5D6E-409C-BE32-E72D297353CC}">
              <c16:uniqueId val="{0000000E-8749-4795-BD95-42046C999293}"/>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6F6F7"/>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090473984869537"/>
          <c:y val="6.7280196694780733E-2"/>
          <c:w val="0.62410615339749198"/>
          <c:h val="0.68147863434066791"/>
        </c:manualLayout>
      </c:layout>
      <c:barChart>
        <c:barDir val="col"/>
        <c:grouping val="stacked"/>
        <c:varyColors val="0"/>
        <c:ser>
          <c:idx val="1"/>
          <c:order val="1"/>
          <c:tx>
            <c:strRef>
              <c:f>'End Use Intensity - Base Year'!$B$13</c:f>
              <c:strCache>
                <c:ptCount val="1"/>
                <c:pt idx="0">
                  <c:v>Miscellaneous</c:v>
                </c:pt>
              </c:strCache>
            </c:strRef>
          </c:tx>
          <c:spPr>
            <a:solidFill>
              <a:schemeClr val="bg1">
                <a:lumMod val="50000"/>
              </a:schemeClr>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Year'!$C$13:$H$13</c:f>
              <c:numCache>
                <c:formatCode>_(* #,##0_);_(* \(#,##0\);_(* "-"??_);_(@_)</c:formatCode>
                <c:ptCount val="6"/>
                <c:pt idx="0">
                  <c:v>3446.431533746354</c:v>
                </c:pt>
                <c:pt idx="1">
                  <c:v>1052.9288261140919</c:v>
                </c:pt>
                <c:pt idx="2">
                  <c:v>2190.8833243115614</c:v>
                </c:pt>
                <c:pt idx="3">
                  <c:v>2536.8849301769601</c:v>
                </c:pt>
                <c:pt idx="4">
                  <c:v>284.22765451728498</c:v>
                </c:pt>
                <c:pt idx="5">
                  <c:v>1863.3407191549852</c:v>
                </c:pt>
              </c:numCache>
              <c:extLst/>
            </c:numRef>
          </c:val>
          <c:extLst>
            <c:ext xmlns:c16="http://schemas.microsoft.com/office/drawing/2014/chart" uri="{C3380CC4-5D6E-409C-BE32-E72D297353CC}">
              <c16:uniqueId val="{00000000-DDFA-407A-A3F2-FB892DA45A70}"/>
            </c:ext>
          </c:extLst>
        </c:ser>
        <c:ser>
          <c:idx val="2"/>
          <c:order val="2"/>
          <c:tx>
            <c:strRef>
              <c:f>'End Use Intensity - Base Year'!$B$12</c:f>
              <c:strCache>
                <c:ptCount val="1"/>
                <c:pt idx="0">
                  <c:v>Electronics</c:v>
                </c:pt>
              </c:strCache>
            </c:strRef>
          </c:tx>
          <c:spPr>
            <a:solidFill>
              <a:schemeClr val="tx2">
                <a:lumMod val="60000"/>
                <a:lumOff val="40000"/>
              </a:schemeClr>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Year'!$C$12:$H$12</c:f>
              <c:numCache>
                <c:formatCode>_(* #,##0_);_(* \(#,##0\);_(* "-"??_);_(@_)</c:formatCode>
                <c:ptCount val="6"/>
                <c:pt idx="0">
                  <c:v>996.27930719636674</c:v>
                </c:pt>
                <c:pt idx="1">
                  <c:v>753.72116009651836</c:v>
                </c:pt>
                <c:pt idx="2">
                  <c:v>952.26365470132441</c:v>
                </c:pt>
                <c:pt idx="3">
                  <c:v>996.27930719636697</c:v>
                </c:pt>
                <c:pt idx="4">
                  <c:v>753.72116009651825</c:v>
                </c:pt>
                <c:pt idx="5">
                  <c:v>952.2636547013243</c:v>
                </c:pt>
              </c:numCache>
              <c:extLst/>
            </c:numRef>
          </c:val>
          <c:extLst>
            <c:ext xmlns:c16="http://schemas.microsoft.com/office/drawing/2014/chart" uri="{C3380CC4-5D6E-409C-BE32-E72D297353CC}">
              <c16:uniqueId val="{00000001-DDFA-407A-A3F2-FB892DA45A70}"/>
            </c:ext>
          </c:extLst>
        </c:ser>
        <c:ser>
          <c:idx val="3"/>
          <c:order val="3"/>
          <c:tx>
            <c:strRef>
              <c:f>'End Use Intensity - Base Year'!$B$11</c:f>
              <c:strCache>
                <c:ptCount val="1"/>
                <c:pt idx="0">
                  <c:v>Appliances</c:v>
                </c:pt>
              </c:strCache>
            </c:strRef>
          </c:tx>
          <c:spPr>
            <a:solidFill>
              <a:srgbClr val="3CD39C"/>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Year'!$C$11:$H$11</c:f>
              <c:numCache>
                <c:formatCode>_(* #,##0_);_(* \(#,##0\);_(* "-"??_);_(@_)</c:formatCode>
                <c:ptCount val="6"/>
                <c:pt idx="0">
                  <c:v>2173.70151250552</c:v>
                </c:pt>
                <c:pt idx="1">
                  <c:v>1021.4508245686078</c:v>
                </c:pt>
                <c:pt idx="2">
                  <c:v>2012.8585415615714</c:v>
                </c:pt>
                <c:pt idx="3">
                  <c:v>2173.70151250552</c:v>
                </c:pt>
                <c:pt idx="4">
                  <c:v>1021.4508245686078</c:v>
                </c:pt>
                <c:pt idx="5">
                  <c:v>2012.8585415615728</c:v>
                </c:pt>
              </c:numCache>
              <c:extLst/>
            </c:numRef>
          </c:val>
          <c:extLst>
            <c:ext xmlns:c16="http://schemas.microsoft.com/office/drawing/2014/chart" uri="{C3380CC4-5D6E-409C-BE32-E72D297353CC}">
              <c16:uniqueId val="{00000002-DDFA-407A-A3F2-FB892DA45A70}"/>
            </c:ext>
          </c:extLst>
        </c:ser>
        <c:ser>
          <c:idx val="4"/>
          <c:order val="4"/>
          <c:tx>
            <c:strRef>
              <c:f>'End Use Intensity - Base Year'!$B$10</c:f>
              <c:strCache>
                <c:ptCount val="1"/>
                <c:pt idx="0">
                  <c:v>Exterior Lighting</c:v>
                </c:pt>
              </c:strCache>
            </c:strRef>
          </c:tx>
          <c:spPr>
            <a:solidFill>
              <a:schemeClr val="accent4">
                <a:lumMod val="50000"/>
              </a:schemeClr>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Year'!$C$10:$H$10</c:f>
              <c:numCache>
                <c:formatCode>_(* #,##0_);_(* \(#,##0\);_(* "-"??_);_(@_)</c:formatCode>
                <c:ptCount val="6"/>
                <c:pt idx="0">
                  <c:v>258.06619598428449</c:v>
                </c:pt>
                <c:pt idx="1">
                  <c:v>77.817288233362447</c:v>
                </c:pt>
                <c:pt idx="2">
                  <c:v>157.16355716241526</c:v>
                </c:pt>
                <c:pt idx="3">
                  <c:v>258.06619598428443</c:v>
                </c:pt>
                <c:pt idx="4">
                  <c:v>77.817288233362447</c:v>
                </c:pt>
                <c:pt idx="5">
                  <c:v>157.16355716241526</c:v>
                </c:pt>
              </c:numCache>
              <c:extLst/>
            </c:numRef>
          </c:val>
          <c:extLst>
            <c:ext xmlns:c16="http://schemas.microsoft.com/office/drawing/2014/chart" uri="{C3380CC4-5D6E-409C-BE32-E72D297353CC}">
              <c16:uniqueId val="{00000003-DDFA-407A-A3F2-FB892DA45A70}"/>
            </c:ext>
          </c:extLst>
        </c:ser>
        <c:ser>
          <c:idx val="5"/>
          <c:order val="5"/>
          <c:tx>
            <c:strRef>
              <c:f>'End Use Intensity - Base Year'!$B$9</c:f>
              <c:strCache>
                <c:ptCount val="1"/>
                <c:pt idx="0">
                  <c:v>Interior Lighting</c:v>
                </c:pt>
              </c:strCache>
            </c:strRef>
          </c:tx>
          <c:spPr>
            <a:solidFill>
              <a:schemeClr val="accent4"/>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Year'!$C$9:$H$9</c:f>
              <c:numCache>
                <c:formatCode>_(* #,##0_);_(* \(#,##0\);_(* "-"??_);_(@_)</c:formatCode>
                <c:ptCount val="6"/>
                <c:pt idx="0">
                  <c:v>952.10932853244321</c:v>
                </c:pt>
                <c:pt idx="1">
                  <c:v>420.98291831273013</c:v>
                </c:pt>
                <c:pt idx="2">
                  <c:v>1012.2705488986905</c:v>
                </c:pt>
                <c:pt idx="3">
                  <c:v>952.10932853244321</c:v>
                </c:pt>
                <c:pt idx="4">
                  <c:v>420.98291831273013</c:v>
                </c:pt>
                <c:pt idx="5">
                  <c:v>1012.2705488986903</c:v>
                </c:pt>
              </c:numCache>
              <c:extLst/>
            </c:numRef>
          </c:val>
          <c:extLst>
            <c:ext xmlns:c16="http://schemas.microsoft.com/office/drawing/2014/chart" uri="{C3380CC4-5D6E-409C-BE32-E72D297353CC}">
              <c16:uniqueId val="{00000004-DDFA-407A-A3F2-FB892DA45A70}"/>
            </c:ext>
          </c:extLst>
        </c:ser>
        <c:ser>
          <c:idx val="6"/>
          <c:order val="6"/>
          <c:tx>
            <c:strRef>
              <c:f>'End Use Intensity - Base Year'!$B$8</c:f>
              <c:strCache>
                <c:ptCount val="1"/>
                <c:pt idx="0">
                  <c:v>Water Heating</c:v>
                </c:pt>
              </c:strCache>
            </c:strRef>
          </c:tx>
          <c:spPr>
            <a:solidFill>
              <a:schemeClr val="accent5"/>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Year'!$C$8:$H$8</c:f>
              <c:numCache>
                <c:formatCode>_(* #,##0_);_(* \(#,##0\);_(* "-"??_);_(@_)</c:formatCode>
                <c:ptCount val="6"/>
                <c:pt idx="0">
                  <c:v>1132.118692701345</c:v>
                </c:pt>
                <c:pt idx="1">
                  <c:v>1568.0557516841957</c:v>
                </c:pt>
                <c:pt idx="2">
                  <c:v>1849.6616347540617</c:v>
                </c:pt>
                <c:pt idx="3">
                  <c:v>1230.6251174973779</c:v>
                </c:pt>
                <c:pt idx="4">
                  <c:v>1298.5056720558355</c:v>
                </c:pt>
                <c:pt idx="5">
                  <c:v>1580.5316191217996</c:v>
                </c:pt>
              </c:numCache>
              <c:extLst/>
            </c:numRef>
          </c:val>
          <c:extLst>
            <c:ext xmlns:c16="http://schemas.microsoft.com/office/drawing/2014/chart" uri="{C3380CC4-5D6E-409C-BE32-E72D297353CC}">
              <c16:uniqueId val="{00000005-DDFA-407A-A3F2-FB892DA45A70}"/>
            </c:ext>
          </c:extLst>
        </c:ser>
        <c:ser>
          <c:idx val="7"/>
          <c:order val="7"/>
          <c:tx>
            <c:strRef>
              <c:f>'End Use Intensity - Base Year'!$B$7</c:f>
              <c:strCache>
                <c:ptCount val="1"/>
                <c:pt idx="0">
                  <c:v>Space Heating</c:v>
                </c:pt>
              </c:strCache>
            </c:strRef>
          </c:tx>
          <c:spPr>
            <a:solidFill>
              <a:schemeClr val="accent3"/>
            </a:solidFill>
            <a:ln>
              <a:solidFill>
                <a:schemeClr val="bg1"/>
              </a:solidFill>
            </a:ln>
            <a:effectLst>
              <a:outerShdw blurRad="50800" dist="38100" dir="2700000" algn="tl" rotWithShape="0">
                <a:prstClr val="black">
                  <a:alpha val="40000"/>
                </a:prstClr>
              </a:outerShdw>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Year'!$C$7:$H$7</c:f>
              <c:numCache>
                <c:formatCode>_(* #,##0_);_(* \(#,##0\);_(* "-"??_);_(@_)</c:formatCode>
                <c:ptCount val="6"/>
                <c:pt idx="0">
                  <c:v>3403.4063520799236</c:v>
                </c:pt>
                <c:pt idx="1">
                  <c:v>2259.838228531094</c:v>
                </c:pt>
                <c:pt idx="2">
                  <c:v>9020.9969013856717</c:v>
                </c:pt>
                <c:pt idx="3">
                  <c:v>3556.4164700545457</c:v>
                </c:pt>
                <c:pt idx="4">
                  <c:v>941.69834716836169</c:v>
                </c:pt>
                <c:pt idx="5">
                  <c:v>6315.0804726734996</c:v>
                </c:pt>
              </c:numCache>
              <c:extLst/>
            </c:numRef>
          </c:val>
          <c:extLst>
            <c:ext xmlns:c16="http://schemas.microsoft.com/office/drawing/2014/chart" uri="{C3380CC4-5D6E-409C-BE32-E72D297353CC}">
              <c16:uniqueId val="{00000006-DDFA-407A-A3F2-FB892DA45A70}"/>
            </c:ext>
          </c:extLst>
        </c:ser>
        <c:ser>
          <c:idx val="0"/>
          <c:order val="8"/>
          <c:tx>
            <c:strRef>
              <c:f>'End Use Intensity - Base Year'!$B$6</c:f>
              <c:strCache>
                <c:ptCount val="1"/>
                <c:pt idx="0">
                  <c:v>Cooling</c:v>
                </c:pt>
              </c:strCache>
            </c:strRef>
          </c:tx>
          <c:spPr>
            <a:solidFill>
              <a:schemeClr val="accent6"/>
            </a:solidFill>
            <a:ln>
              <a:solidFill>
                <a:schemeClr val="bg1"/>
              </a:solidFill>
            </a:ln>
            <a:effectLst/>
          </c:spPr>
          <c:invertIfNegative val="0"/>
          <c:cat>
            <c:strRef>
              <c:f>'End Use Intensity - Base Year'!$C$5:$H$5</c:f>
              <c:strCache>
                <c:ptCount val="6"/>
                <c:pt idx="0">
                  <c:v>Single Family</c:v>
                </c:pt>
                <c:pt idx="1">
                  <c:v>Multi-Family</c:v>
                </c:pt>
                <c:pt idx="2">
                  <c:v>Mobile Home</c:v>
                </c:pt>
                <c:pt idx="3">
                  <c:v>LI - Single Family</c:v>
                </c:pt>
                <c:pt idx="4">
                  <c:v>LI - Multi-Family</c:v>
                </c:pt>
                <c:pt idx="5">
                  <c:v>LI - Mobile Home</c:v>
                </c:pt>
              </c:strCache>
              <c:extLst/>
            </c:strRef>
          </c:cat>
          <c:val>
            <c:numRef>
              <c:f>'End Use Intensity - Base Year'!$C$6:$H$6</c:f>
              <c:numCache>
                <c:formatCode>_(* #,##0_);_(* \(#,##0\);_(* "-"??_);_(@_)</c:formatCode>
                <c:ptCount val="6"/>
                <c:pt idx="0">
                  <c:v>1101.0026945640534</c:v>
                </c:pt>
                <c:pt idx="1">
                  <c:v>304.07448763090781</c:v>
                </c:pt>
                <c:pt idx="2">
                  <c:v>557.41512921224091</c:v>
                </c:pt>
                <c:pt idx="3">
                  <c:v>900.85801627351134</c:v>
                </c:pt>
                <c:pt idx="4">
                  <c:v>57.912151680171327</c:v>
                </c:pt>
                <c:pt idx="5">
                  <c:v>354.67036487065133</c:v>
                </c:pt>
              </c:numCache>
              <c:extLst/>
            </c:numRef>
          </c:val>
          <c:extLst xmlns:c15="http://schemas.microsoft.com/office/drawing/2012/chart">
            <c:ext xmlns:c16="http://schemas.microsoft.com/office/drawing/2014/chart" uri="{C3380CC4-5D6E-409C-BE32-E72D297353CC}">
              <c16:uniqueId val="{00000007-DDFA-407A-A3F2-FB892DA45A70}"/>
            </c:ext>
          </c:extLst>
        </c:ser>
        <c:dLbls>
          <c:showLegendKey val="0"/>
          <c:showVal val="0"/>
          <c:showCatName val="0"/>
          <c:showSerName val="0"/>
          <c:showPercent val="0"/>
          <c:showBubbleSize val="0"/>
        </c:dLbls>
        <c:gapWidth val="70"/>
        <c:overlap val="100"/>
        <c:axId val="1802141535"/>
        <c:axId val="1802143199"/>
        <c:extLst>
          <c:ext xmlns:c15="http://schemas.microsoft.com/office/drawing/2012/chart" uri="{02D57815-91ED-43cb-92C2-25804820EDAC}">
            <c15:filteredBarSeries>
              <c15:ser>
                <c:idx val="8"/>
                <c:order val="0"/>
                <c:tx>
                  <c:strRef>
                    <c:extLst>
                      <c:ext uri="{02D57815-91ED-43cb-92C2-25804820EDAC}">
                        <c15:formulaRef>
                          <c15:sqref>'End Use Intensity - Base Year'!$B$14</c15:sqref>
                        </c15:formulaRef>
                      </c:ext>
                    </c:extLst>
                    <c:strCache>
                      <c:ptCount val="1"/>
                      <c:pt idx="0">
                        <c:v>Generation</c:v>
                      </c:pt>
                    </c:strCache>
                  </c:strRef>
                </c:tx>
                <c:spPr>
                  <a:pattFill prst="dkDnDiag">
                    <a:fgClr>
                      <a:srgbClr val="7F7F7F"/>
                    </a:fgClr>
                    <a:bgClr>
                      <a:schemeClr val="bg1"/>
                    </a:bgClr>
                  </a:pattFill>
                  <a:ln>
                    <a:noFill/>
                  </a:ln>
                  <a:effectLst/>
                </c:spPr>
                <c:invertIfNegative val="0"/>
                <c:cat>
                  <c:strRef>
                    <c:extLst>
                      <c:ext uri="{02D57815-91ED-43cb-92C2-25804820EDAC}">
                        <c15:formulaRef>
                          <c15:sqref>'End Use Intensity - Base Year'!$C$5:$H$5</c15:sqref>
                        </c15:formulaRef>
                      </c:ext>
                    </c:extLst>
                    <c:strCache>
                      <c:ptCount val="6"/>
                      <c:pt idx="0">
                        <c:v>Single Family</c:v>
                      </c:pt>
                      <c:pt idx="1">
                        <c:v>Multi-Family</c:v>
                      </c:pt>
                      <c:pt idx="2">
                        <c:v>Mobile Home</c:v>
                      </c:pt>
                      <c:pt idx="3">
                        <c:v>LI - Single Family</c:v>
                      </c:pt>
                      <c:pt idx="4">
                        <c:v>LI - Multi-Family</c:v>
                      </c:pt>
                      <c:pt idx="5">
                        <c:v>LI - Mobile Home</c:v>
                      </c:pt>
                    </c:strCache>
                  </c:strRef>
                </c:cat>
                <c:val>
                  <c:numRef>
                    <c:extLst>
                      <c:ext uri="{02D57815-91ED-43cb-92C2-25804820EDAC}">
                        <c15:formulaRef>
                          <c15:sqref>'End Use Intensity - Base Year'!$C$14:$H$14</c15:sqref>
                        </c15:formulaRef>
                      </c:ext>
                    </c:extLst>
                    <c:numCache>
                      <c:formatCode>_(* #,##0_);_(* \(#,##0\);_(* "-"??_);_(@_)</c:formatCode>
                      <c:ptCount val="6"/>
                      <c:pt idx="0">
                        <c:v>-100.66702717857534</c:v>
                      </c:pt>
                      <c:pt idx="1">
                        <c:v>0</c:v>
                      </c:pt>
                      <c:pt idx="2">
                        <c:v>0</c:v>
                      </c:pt>
                      <c:pt idx="3">
                        <c:v>0</c:v>
                      </c:pt>
                      <c:pt idx="4">
                        <c:v>0</c:v>
                      </c:pt>
                      <c:pt idx="5">
                        <c:v>0</c:v>
                      </c:pt>
                    </c:numCache>
                  </c:numRef>
                </c:val>
                <c:extLst>
                  <c:ext xmlns:c16="http://schemas.microsoft.com/office/drawing/2014/chart" uri="{C3380CC4-5D6E-409C-BE32-E72D297353CC}">
                    <c16:uniqueId val="{00000008-DDFA-407A-A3F2-FB892DA45A70}"/>
                  </c:ext>
                </c:extLst>
              </c15:ser>
            </c15:filteredBarSeries>
          </c:ext>
        </c:extLst>
      </c:barChart>
      <c:catAx>
        <c:axId val="1802141535"/>
        <c:scaling>
          <c:orientation val="minMax"/>
        </c:scaling>
        <c:delete val="0"/>
        <c:axPos val="b"/>
        <c:numFmt formatCode="General" sourceLinked="1"/>
        <c:majorTickMark val="in"/>
        <c:minorTickMark val="none"/>
        <c:tickLblPos val="low"/>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3199"/>
        <c:crosses val="autoZero"/>
        <c:auto val="1"/>
        <c:lblAlgn val="ctr"/>
        <c:lblOffset val="100"/>
        <c:tickMarkSkip val="3"/>
        <c:noMultiLvlLbl val="0"/>
      </c:catAx>
      <c:valAx>
        <c:axId val="1802143199"/>
        <c:scaling>
          <c:orientation val="minMax"/>
        </c:scaling>
        <c:delete val="0"/>
        <c:axPos val="l"/>
        <c:majorGridlines>
          <c:spPr>
            <a:ln w="9525" cap="flat" cmpd="sng" algn="ctr">
              <a:solidFill>
                <a:schemeClr val="bg1">
                  <a:lumMod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kWh</a:t>
                </a:r>
                <a:r>
                  <a:rPr lang="en-US" baseline="0"/>
                  <a:t> per</a:t>
                </a:r>
                <a:br>
                  <a:rPr lang="en-US" baseline="0"/>
                </a:br>
                <a:r>
                  <a:rPr lang="en-US" baseline="0"/>
                  <a:t>Household</a:t>
                </a:r>
                <a:endParaRPr lang="en-US"/>
              </a:p>
            </c:rich>
          </c:tx>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141535"/>
        <c:crosses val="autoZero"/>
        <c:crossBetween val="between"/>
      </c:valAx>
      <c:spPr>
        <a:noFill/>
        <a:ln>
          <a:noFill/>
        </a:ln>
        <a:effectLst/>
      </c:spPr>
    </c:plotArea>
    <c:legend>
      <c:legendPos val="r"/>
      <c:layout>
        <c:manualLayout>
          <c:xMode val="edge"/>
          <c:yMode val="edge"/>
          <c:x val="0.79653406047496866"/>
          <c:y val="0.15961387604352673"/>
          <c:w val="0.18523129937007551"/>
          <c:h val="0.664809711286089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EAF28A-D850-476A-9C9A-58BD86EE77B0}" type="doc">
      <dgm:prSet loTypeId="urn:microsoft.com/office/officeart/2005/8/layout/hList1" loCatId="list" qsTypeId="urn:microsoft.com/office/officeart/2005/8/quickstyle/simple3" qsCatId="simple" csTypeId="urn:microsoft.com/office/officeart/2005/8/colors/colorful1" csCatId="colorful" phldr="1"/>
      <dgm:spPr/>
      <dgm:t>
        <a:bodyPr/>
        <a:lstStyle/>
        <a:p>
          <a:endParaRPr lang="en-US"/>
        </a:p>
      </dgm:t>
    </dgm:pt>
    <dgm:pt modelId="{9E9653C3-C8F6-4797-99A7-918A878DEEC5}">
      <dgm:prSet phldrT="[Text]"/>
      <dgm:spPr>
        <a:xfrm>
          <a:off x="2754" y="438461"/>
          <a:ext cx="1056009" cy="325501"/>
        </a:xfrm>
        <a:prstGeom prst="rect">
          <a:avLst/>
        </a:prstGeom>
        <a:gradFill rotWithShape="0">
          <a:gsLst>
            <a:gs pos="0">
              <a:srgbClr val="1E13A6">
                <a:hueOff val="0"/>
                <a:satOff val="0"/>
                <a:lumOff val="0"/>
                <a:alphaOff val="0"/>
                <a:lumMod val="110000"/>
                <a:satMod val="105000"/>
                <a:tint val="67000"/>
              </a:srgbClr>
            </a:gs>
            <a:gs pos="50000">
              <a:srgbClr val="1E13A6">
                <a:hueOff val="0"/>
                <a:satOff val="0"/>
                <a:lumOff val="0"/>
                <a:alphaOff val="0"/>
                <a:lumMod val="105000"/>
                <a:satMod val="103000"/>
                <a:tint val="73000"/>
              </a:srgbClr>
            </a:gs>
            <a:gs pos="100000">
              <a:srgbClr val="1E13A6">
                <a:hueOff val="0"/>
                <a:satOff val="0"/>
                <a:lumOff val="0"/>
                <a:alphaOff val="0"/>
                <a:lumMod val="105000"/>
                <a:satMod val="109000"/>
                <a:tint val="81000"/>
              </a:srgbClr>
            </a:gs>
          </a:gsLst>
          <a:lin ang="5400000" scaled="0"/>
        </a:gradFill>
        <a:ln w="6350" cap="flat" cmpd="sng" algn="ctr">
          <a:solidFill>
            <a:srgbClr val="1E13A6">
              <a:hueOff val="0"/>
              <a:satOff val="0"/>
              <a:lumOff val="0"/>
              <a:alphaOff val="0"/>
            </a:srgbClr>
          </a:solidFill>
          <a:prstDash val="solid"/>
          <a:miter lim="800000"/>
        </a:ln>
        <a:effectLst/>
      </dgm:spPr>
      <dgm:t>
        <a:bodyPr/>
        <a:lstStyle/>
        <a:p>
          <a:pPr>
            <a:buNone/>
          </a:pPr>
          <a:r>
            <a:rPr lang="en-US" b="1">
              <a:solidFill>
                <a:srgbClr val="19172B"/>
              </a:solidFill>
              <a:latin typeface="Aptos" panose="020B0004020202020204" pitchFamily="34" charset="0"/>
              <a:ea typeface="+mn-ea"/>
              <a:cs typeface="Calibri Light" panose="020F0302020204030204" pitchFamily="34" charset="0"/>
            </a:rPr>
            <a:t>Market Profiles</a:t>
          </a:r>
        </a:p>
      </dgm:t>
    </dgm:pt>
    <dgm:pt modelId="{12F2D22C-A36C-4214-ADAA-DD747D0241E3}" type="parTrans" cxnId="{497D2DCC-9AA8-49E1-99A4-3FD122E69887}">
      <dgm:prSet/>
      <dgm:spPr/>
      <dgm:t>
        <a:bodyPr/>
        <a:lstStyle/>
        <a:p>
          <a:endParaRPr lang="en-US">
            <a:latin typeface="Aptos" panose="020B0004020202020204" pitchFamily="34" charset="0"/>
            <a:cs typeface="Calibri Light" panose="020F0302020204030204" pitchFamily="34" charset="0"/>
          </a:endParaRPr>
        </a:p>
      </dgm:t>
    </dgm:pt>
    <dgm:pt modelId="{E9E06FF0-C740-45F7-91C0-02DE2600A22B}" type="sibTrans" cxnId="{497D2DCC-9AA8-49E1-99A4-3FD122E69887}">
      <dgm:prSet/>
      <dgm:spPr/>
      <dgm:t>
        <a:bodyPr/>
        <a:lstStyle/>
        <a:p>
          <a:endParaRPr lang="en-US">
            <a:latin typeface="Aptos" panose="020B0004020202020204" pitchFamily="34" charset="0"/>
            <a:cs typeface="Calibri Light" panose="020F0302020204030204" pitchFamily="34" charset="0"/>
          </a:endParaRPr>
        </a:p>
      </dgm:t>
    </dgm:pt>
    <dgm:pt modelId="{85ACA162-A05A-4504-9673-32F36ABBE277}">
      <dgm:prSet phldrT="[Text]" custT="1"/>
      <dgm:spPr>
        <a:xfrm>
          <a:off x="2754" y="763963"/>
          <a:ext cx="1056009" cy="1760231"/>
        </a:xfrm>
        <a:prstGeom prst="rect">
          <a:avLst/>
        </a:prstGeom>
        <a:solidFill>
          <a:srgbClr val="1E13A6">
            <a:tint val="40000"/>
            <a:alpha val="90000"/>
            <a:hueOff val="0"/>
            <a:satOff val="0"/>
            <a:lumOff val="0"/>
            <a:alphaOff val="0"/>
          </a:srgbClr>
        </a:solidFill>
        <a:ln w="6350" cap="flat" cmpd="sng" algn="ctr">
          <a:solidFill>
            <a:srgbClr val="1E13A6">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Market size and segmentation</a:t>
          </a:r>
        </a:p>
      </dgm:t>
    </dgm:pt>
    <dgm:pt modelId="{60009D47-C8A5-41FA-855D-72957FD7AD83}" type="parTrans" cxnId="{61316D96-89EE-428A-829E-11BE79AB7315}">
      <dgm:prSet/>
      <dgm:spPr/>
      <dgm:t>
        <a:bodyPr/>
        <a:lstStyle/>
        <a:p>
          <a:endParaRPr lang="en-US">
            <a:latin typeface="Aptos" panose="020B0004020202020204" pitchFamily="34" charset="0"/>
            <a:cs typeface="Calibri Light" panose="020F0302020204030204" pitchFamily="34" charset="0"/>
          </a:endParaRPr>
        </a:p>
      </dgm:t>
    </dgm:pt>
    <dgm:pt modelId="{F8E9010C-C77B-422B-9929-E478AFA77C1A}" type="sibTrans" cxnId="{61316D96-89EE-428A-829E-11BE79AB7315}">
      <dgm:prSet/>
      <dgm:spPr/>
      <dgm:t>
        <a:bodyPr/>
        <a:lstStyle/>
        <a:p>
          <a:endParaRPr lang="en-US">
            <a:latin typeface="Aptos" panose="020B0004020202020204" pitchFamily="34" charset="0"/>
            <a:cs typeface="Calibri Light" panose="020F0302020204030204" pitchFamily="34" charset="0"/>
          </a:endParaRPr>
        </a:p>
      </dgm:t>
    </dgm:pt>
    <dgm:pt modelId="{E7EC8171-951D-4865-9FE9-842B73744621}">
      <dgm:prSet phldrT="[Text]"/>
      <dgm:spPr>
        <a:xfrm>
          <a:off x="1206606" y="438461"/>
          <a:ext cx="1056009" cy="325501"/>
        </a:xfrm>
        <a:prstGeom prst="rect">
          <a:avLst/>
        </a:prstGeom>
        <a:gradFill rotWithShape="0">
          <a:gsLst>
            <a:gs pos="0">
              <a:srgbClr val="00B3FF">
                <a:hueOff val="0"/>
                <a:satOff val="0"/>
                <a:lumOff val="0"/>
                <a:alphaOff val="0"/>
                <a:lumMod val="110000"/>
                <a:satMod val="105000"/>
                <a:tint val="67000"/>
              </a:srgbClr>
            </a:gs>
            <a:gs pos="50000">
              <a:srgbClr val="00B3FF">
                <a:hueOff val="0"/>
                <a:satOff val="0"/>
                <a:lumOff val="0"/>
                <a:alphaOff val="0"/>
                <a:lumMod val="105000"/>
                <a:satMod val="103000"/>
                <a:tint val="73000"/>
              </a:srgbClr>
            </a:gs>
            <a:gs pos="100000">
              <a:srgbClr val="00B3FF">
                <a:hueOff val="0"/>
                <a:satOff val="0"/>
                <a:lumOff val="0"/>
                <a:alphaOff val="0"/>
                <a:lumMod val="105000"/>
                <a:satMod val="109000"/>
                <a:tint val="81000"/>
              </a:srgbClr>
            </a:gs>
          </a:gsLst>
          <a:lin ang="5400000" scaled="0"/>
        </a:gradFill>
        <a:ln w="6350" cap="flat" cmpd="sng" algn="ctr">
          <a:solidFill>
            <a:srgbClr val="00B3FF">
              <a:hueOff val="0"/>
              <a:satOff val="0"/>
              <a:lumOff val="0"/>
              <a:alphaOff val="0"/>
            </a:srgbClr>
          </a:solidFill>
          <a:prstDash val="solid"/>
          <a:miter lim="800000"/>
        </a:ln>
        <a:effectLst/>
      </dgm:spPr>
      <dgm:t>
        <a:bodyPr/>
        <a:lstStyle/>
        <a:p>
          <a:pPr>
            <a:buNone/>
          </a:pPr>
          <a:r>
            <a:rPr lang="en-US" b="1">
              <a:solidFill>
                <a:srgbClr val="19172B"/>
              </a:solidFill>
              <a:latin typeface="Aptos" panose="020B0004020202020204" pitchFamily="34" charset="0"/>
              <a:ea typeface="+mn-ea"/>
              <a:cs typeface="Calibri Light" panose="020F0302020204030204" pitchFamily="34" charset="0"/>
            </a:rPr>
            <a:t>Base-year Energy Consumption</a:t>
          </a:r>
        </a:p>
      </dgm:t>
    </dgm:pt>
    <dgm:pt modelId="{6A1456A1-08A2-49BA-B66B-D9B216BA83ED}" type="parTrans" cxnId="{EE7249C1-9958-487A-A97B-DB68BEC9E7B0}">
      <dgm:prSet/>
      <dgm:spPr/>
      <dgm:t>
        <a:bodyPr/>
        <a:lstStyle/>
        <a:p>
          <a:endParaRPr lang="en-US">
            <a:latin typeface="Aptos" panose="020B0004020202020204" pitchFamily="34" charset="0"/>
            <a:cs typeface="Calibri Light" panose="020F0302020204030204" pitchFamily="34" charset="0"/>
          </a:endParaRPr>
        </a:p>
      </dgm:t>
    </dgm:pt>
    <dgm:pt modelId="{E07842D5-9223-4367-9151-FC2AAF0AA535}" type="sibTrans" cxnId="{EE7249C1-9958-487A-A97B-DB68BEC9E7B0}">
      <dgm:prSet/>
      <dgm:spPr/>
      <dgm:t>
        <a:bodyPr/>
        <a:lstStyle/>
        <a:p>
          <a:endParaRPr lang="en-US">
            <a:latin typeface="Aptos" panose="020B0004020202020204" pitchFamily="34" charset="0"/>
            <a:cs typeface="Calibri Light" panose="020F0302020204030204" pitchFamily="34" charset="0"/>
          </a:endParaRPr>
        </a:p>
      </dgm:t>
    </dgm:pt>
    <dgm:pt modelId="{9345C419-3096-4F91-AFF1-7DA5FBAFFABD}">
      <dgm:prSet phldrT="[Text]" custT="1"/>
      <dgm:spPr>
        <a:xfrm>
          <a:off x="1206606" y="763963"/>
          <a:ext cx="1056009" cy="1760231"/>
        </a:xfrm>
        <a:prstGeom prst="rect">
          <a:avLst/>
        </a:prstGeom>
        <a:solidFill>
          <a:srgbClr val="00B3FF">
            <a:tint val="40000"/>
            <a:alpha val="90000"/>
            <a:hueOff val="0"/>
            <a:satOff val="0"/>
            <a:lumOff val="0"/>
            <a:alphaOff val="0"/>
          </a:srgbClr>
        </a:solidFill>
        <a:ln w="6350" cap="flat" cmpd="sng" algn="ctr">
          <a:solidFill>
            <a:srgbClr val="00B3FF">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By energy source, technology, </a:t>
          </a:r>
          <a:b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b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end use, segment, vintage and sector</a:t>
          </a:r>
        </a:p>
      </dgm:t>
    </dgm:pt>
    <dgm:pt modelId="{ECDD805A-36FD-4DEA-B488-89BDEE688095}" type="parTrans" cxnId="{0A2221D9-05C7-40DD-8BD7-57DA896A7B3A}">
      <dgm:prSet/>
      <dgm:spPr/>
      <dgm:t>
        <a:bodyPr/>
        <a:lstStyle/>
        <a:p>
          <a:endParaRPr lang="en-US">
            <a:latin typeface="Aptos" panose="020B0004020202020204" pitchFamily="34" charset="0"/>
            <a:cs typeface="Calibri Light" panose="020F0302020204030204" pitchFamily="34" charset="0"/>
          </a:endParaRPr>
        </a:p>
      </dgm:t>
    </dgm:pt>
    <dgm:pt modelId="{F8D56D51-4D77-4460-BBA6-0808C964CE6E}" type="sibTrans" cxnId="{0A2221D9-05C7-40DD-8BD7-57DA896A7B3A}">
      <dgm:prSet/>
      <dgm:spPr/>
      <dgm:t>
        <a:bodyPr/>
        <a:lstStyle/>
        <a:p>
          <a:endParaRPr lang="en-US">
            <a:latin typeface="Aptos" panose="020B0004020202020204" pitchFamily="34" charset="0"/>
            <a:cs typeface="Calibri Light" panose="020F0302020204030204" pitchFamily="34" charset="0"/>
          </a:endParaRPr>
        </a:p>
      </dgm:t>
    </dgm:pt>
    <dgm:pt modelId="{3D842D6F-C473-44B0-9C70-16840DA28668}">
      <dgm:prSet phldrT="[Text]"/>
      <dgm:spPr>
        <a:xfrm>
          <a:off x="2410457" y="438461"/>
          <a:ext cx="1056009" cy="325501"/>
        </a:xfrm>
        <a:prstGeom prst="rect">
          <a:avLst/>
        </a:prstGeom>
        <a:gradFill rotWithShape="0">
          <a:gsLst>
            <a:gs pos="0">
              <a:srgbClr val="7140D1">
                <a:hueOff val="0"/>
                <a:satOff val="0"/>
                <a:lumOff val="0"/>
                <a:alphaOff val="0"/>
                <a:lumMod val="110000"/>
                <a:satMod val="105000"/>
                <a:tint val="67000"/>
              </a:srgbClr>
            </a:gs>
            <a:gs pos="50000">
              <a:srgbClr val="7140D1">
                <a:hueOff val="0"/>
                <a:satOff val="0"/>
                <a:lumOff val="0"/>
                <a:alphaOff val="0"/>
                <a:lumMod val="105000"/>
                <a:satMod val="103000"/>
                <a:tint val="73000"/>
              </a:srgbClr>
            </a:gs>
            <a:gs pos="100000">
              <a:srgbClr val="7140D1">
                <a:hueOff val="0"/>
                <a:satOff val="0"/>
                <a:lumOff val="0"/>
                <a:alphaOff val="0"/>
                <a:lumMod val="105000"/>
                <a:satMod val="109000"/>
                <a:tint val="81000"/>
              </a:srgbClr>
            </a:gs>
          </a:gsLst>
          <a:lin ang="5400000" scaled="0"/>
        </a:gradFill>
        <a:ln w="6350" cap="flat" cmpd="sng" algn="ctr">
          <a:solidFill>
            <a:srgbClr val="7140D1">
              <a:hueOff val="0"/>
              <a:satOff val="0"/>
              <a:lumOff val="0"/>
              <a:alphaOff val="0"/>
            </a:srgbClr>
          </a:solidFill>
          <a:prstDash val="solid"/>
          <a:miter lim="800000"/>
        </a:ln>
        <a:effectLst/>
      </dgm:spPr>
      <dgm:t>
        <a:bodyPr/>
        <a:lstStyle/>
        <a:p>
          <a:pPr>
            <a:buNone/>
          </a:pPr>
          <a:r>
            <a:rPr lang="en-US" b="1">
              <a:solidFill>
                <a:srgbClr val="19172B"/>
              </a:solidFill>
              <a:latin typeface="Aptos" panose="020B0004020202020204" pitchFamily="34" charset="0"/>
              <a:ea typeface="+mn-ea"/>
              <a:cs typeface="Calibri Light" panose="020F0302020204030204" pitchFamily="34" charset="0"/>
            </a:rPr>
            <a:t>Forecast Assumptions</a:t>
          </a:r>
        </a:p>
      </dgm:t>
    </dgm:pt>
    <dgm:pt modelId="{E1FD361C-2D8B-4E64-9B4D-D93C0A9F95C1}" type="parTrans" cxnId="{19C9ABBA-66C4-406D-9E98-47BB8E553472}">
      <dgm:prSet/>
      <dgm:spPr/>
      <dgm:t>
        <a:bodyPr/>
        <a:lstStyle/>
        <a:p>
          <a:endParaRPr lang="en-US">
            <a:latin typeface="Aptos" panose="020B0004020202020204" pitchFamily="34" charset="0"/>
            <a:cs typeface="Calibri Light" panose="020F0302020204030204" pitchFamily="34" charset="0"/>
          </a:endParaRPr>
        </a:p>
      </dgm:t>
    </dgm:pt>
    <dgm:pt modelId="{8448BC1F-4908-4F9B-B1B1-583CD358D96C}" type="sibTrans" cxnId="{19C9ABBA-66C4-406D-9E98-47BB8E553472}">
      <dgm:prSet/>
      <dgm:spPr/>
      <dgm:t>
        <a:bodyPr/>
        <a:lstStyle/>
        <a:p>
          <a:endParaRPr lang="en-US">
            <a:latin typeface="Aptos" panose="020B0004020202020204" pitchFamily="34" charset="0"/>
            <a:cs typeface="Calibri Light" panose="020F0302020204030204" pitchFamily="34" charset="0"/>
          </a:endParaRPr>
        </a:p>
      </dgm:t>
    </dgm:pt>
    <dgm:pt modelId="{8EBE47AB-2D48-472E-A8C6-4CEDA15CF202}">
      <dgm:prSet phldrT="[Text]" custT="1"/>
      <dgm:spPr>
        <a:xfrm>
          <a:off x="2410457" y="763963"/>
          <a:ext cx="1056009" cy="1760231"/>
        </a:xfrm>
        <a:prstGeom prst="rect">
          <a:avLst/>
        </a:prstGeom>
        <a:solidFill>
          <a:srgbClr val="7140D1">
            <a:tint val="40000"/>
            <a:alpha val="90000"/>
            <a:hueOff val="0"/>
            <a:satOff val="0"/>
            <a:lumOff val="0"/>
            <a:alphaOff val="0"/>
          </a:srgbClr>
        </a:solidFill>
        <a:ln w="6350" cap="flat" cmpd="sng" algn="ctr">
          <a:solidFill>
            <a:srgbClr val="7140D1">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Customer, growth, energy prices, elasticities</a:t>
          </a:r>
          <a:endParaRPr lang="en-US" sz="900" b="1">
            <a:solidFill>
              <a:srgbClr val="19172B">
                <a:hueOff val="0"/>
                <a:satOff val="0"/>
                <a:lumOff val="0"/>
                <a:alphaOff val="0"/>
              </a:srgbClr>
            </a:solidFill>
            <a:latin typeface="Aptos" panose="020B0004020202020204" pitchFamily="34" charset="0"/>
            <a:ea typeface="+mn-ea"/>
            <a:cs typeface="Calibri Light" panose="020F0302020204030204" pitchFamily="34" charset="0"/>
          </a:endParaRPr>
        </a:p>
      </dgm:t>
    </dgm:pt>
    <dgm:pt modelId="{4A213B72-A25F-42B1-A8F7-0FC1F2CB1446}" type="parTrans" cxnId="{7F065D26-0983-4836-B3AC-EEA7B336E566}">
      <dgm:prSet/>
      <dgm:spPr/>
      <dgm:t>
        <a:bodyPr/>
        <a:lstStyle/>
        <a:p>
          <a:endParaRPr lang="en-US">
            <a:latin typeface="Aptos" panose="020B0004020202020204" pitchFamily="34" charset="0"/>
            <a:cs typeface="Calibri Light" panose="020F0302020204030204" pitchFamily="34" charset="0"/>
          </a:endParaRPr>
        </a:p>
      </dgm:t>
    </dgm:pt>
    <dgm:pt modelId="{58162AF0-A010-4A34-8574-9B1F6DD6A047}" type="sibTrans" cxnId="{7F065D26-0983-4836-B3AC-EEA7B336E566}">
      <dgm:prSet/>
      <dgm:spPr/>
      <dgm:t>
        <a:bodyPr/>
        <a:lstStyle/>
        <a:p>
          <a:endParaRPr lang="en-US">
            <a:latin typeface="Aptos" panose="020B0004020202020204" pitchFamily="34" charset="0"/>
            <a:cs typeface="Calibri Light" panose="020F0302020204030204" pitchFamily="34" charset="0"/>
          </a:endParaRPr>
        </a:p>
      </dgm:t>
    </dgm:pt>
    <dgm:pt modelId="{8ABF7066-0C83-486D-A5AE-68CEEDF5B2E3}">
      <dgm:prSet phldrT="[Text]"/>
      <dgm:spPr>
        <a:xfrm>
          <a:off x="3614308" y="438461"/>
          <a:ext cx="1056009" cy="325501"/>
        </a:xfrm>
        <a:prstGeom prst="rect">
          <a:avLst/>
        </a:prstGeom>
        <a:gradFill rotWithShape="0">
          <a:gsLst>
            <a:gs pos="0">
              <a:srgbClr val="FFA35B">
                <a:hueOff val="0"/>
                <a:satOff val="0"/>
                <a:lumOff val="0"/>
                <a:alphaOff val="0"/>
                <a:lumMod val="110000"/>
                <a:satMod val="105000"/>
                <a:tint val="67000"/>
              </a:srgbClr>
            </a:gs>
            <a:gs pos="50000">
              <a:srgbClr val="FFA35B">
                <a:hueOff val="0"/>
                <a:satOff val="0"/>
                <a:lumOff val="0"/>
                <a:alphaOff val="0"/>
                <a:lumMod val="105000"/>
                <a:satMod val="103000"/>
                <a:tint val="73000"/>
              </a:srgbClr>
            </a:gs>
            <a:gs pos="100000">
              <a:srgbClr val="FFA35B">
                <a:hueOff val="0"/>
                <a:satOff val="0"/>
                <a:lumOff val="0"/>
                <a:alphaOff val="0"/>
                <a:lumMod val="105000"/>
                <a:satMod val="109000"/>
                <a:tint val="81000"/>
              </a:srgbClr>
            </a:gs>
          </a:gsLst>
          <a:lin ang="5400000" scaled="0"/>
        </a:gradFill>
        <a:ln w="6350" cap="flat" cmpd="sng" algn="ctr">
          <a:solidFill>
            <a:srgbClr val="FFA35B">
              <a:hueOff val="0"/>
              <a:satOff val="0"/>
              <a:lumOff val="0"/>
              <a:alphaOff val="0"/>
            </a:srgbClr>
          </a:solidFill>
          <a:prstDash val="solid"/>
          <a:miter lim="800000"/>
        </a:ln>
        <a:effectLst/>
      </dgm:spPr>
      <dgm:t>
        <a:bodyPr/>
        <a:lstStyle/>
        <a:p>
          <a:pPr>
            <a:buNone/>
          </a:pPr>
          <a:r>
            <a:rPr lang="en-US" b="1">
              <a:solidFill>
                <a:srgbClr val="19172B"/>
              </a:solidFill>
              <a:latin typeface="Aptos" panose="020B0004020202020204" pitchFamily="34" charset="0"/>
              <a:ea typeface="+mn-ea"/>
              <a:cs typeface="Calibri Light" panose="020F0302020204030204" pitchFamily="34" charset="0"/>
            </a:rPr>
            <a:t>Energy Efficiency Analysis</a:t>
          </a:r>
        </a:p>
      </dgm:t>
    </dgm:pt>
    <dgm:pt modelId="{2E2A8851-A282-4DD7-B0F4-600E82F17D7C}" type="parTrans" cxnId="{CE7A0CC9-1B93-4AC2-8FA5-83E6EEC764F2}">
      <dgm:prSet/>
      <dgm:spPr/>
      <dgm:t>
        <a:bodyPr/>
        <a:lstStyle/>
        <a:p>
          <a:endParaRPr lang="en-US">
            <a:latin typeface="Aptos" panose="020B0004020202020204" pitchFamily="34" charset="0"/>
            <a:cs typeface="Calibri Light" panose="020F0302020204030204" pitchFamily="34" charset="0"/>
          </a:endParaRPr>
        </a:p>
      </dgm:t>
    </dgm:pt>
    <dgm:pt modelId="{8B5EBE4D-8671-4BAE-9C0F-A6C1D36A7902}" type="sibTrans" cxnId="{CE7A0CC9-1B93-4AC2-8FA5-83E6EEC764F2}">
      <dgm:prSet/>
      <dgm:spPr/>
      <dgm:t>
        <a:bodyPr/>
        <a:lstStyle/>
        <a:p>
          <a:endParaRPr lang="en-US">
            <a:latin typeface="Aptos" panose="020B0004020202020204" pitchFamily="34" charset="0"/>
            <a:cs typeface="Calibri Light" panose="020F0302020204030204" pitchFamily="34" charset="0"/>
          </a:endParaRPr>
        </a:p>
      </dgm:t>
    </dgm:pt>
    <dgm:pt modelId="{11782B45-161E-463F-BAFD-F45BD2A1BA45}">
      <dgm:prSet phldrT="[Text]"/>
      <dgm:spPr>
        <a:xfrm>
          <a:off x="4818160" y="438461"/>
          <a:ext cx="1056009" cy="325501"/>
        </a:xfrm>
        <a:prstGeom prst="rect">
          <a:avLst/>
        </a:prstGeom>
        <a:gradFill rotWithShape="0">
          <a:gsLst>
            <a:gs pos="0">
              <a:srgbClr val="3CD39C">
                <a:hueOff val="0"/>
                <a:satOff val="0"/>
                <a:lumOff val="0"/>
                <a:alphaOff val="0"/>
                <a:lumMod val="110000"/>
                <a:satMod val="105000"/>
                <a:tint val="67000"/>
              </a:srgbClr>
            </a:gs>
            <a:gs pos="50000">
              <a:srgbClr val="3CD39C">
                <a:hueOff val="0"/>
                <a:satOff val="0"/>
                <a:lumOff val="0"/>
                <a:alphaOff val="0"/>
                <a:lumMod val="105000"/>
                <a:satMod val="103000"/>
                <a:tint val="73000"/>
              </a:srgbClr>
            </a:gs>
            <a:gs pos="100000">
              <a:srgbClr val="3CD39C">
                <a:hueOff val="0"/>
                <a:satOff val="0"/>
                <a:lumOff val="0"/>
                <a:alphaOff val="0"/>
                <a:lumMod val="105000"/>
                <a:satMod val="109000"/>
                <a:tint val="81000"/>
              </a:srgbClr>
            </a:gs>
          </a:gsLst>
          <a:lin ang="5400000" scaled="0"/>
        </a:gradFill>
        <a:ln w="6350" cap="flat" cmpd="sng" algn="ctr">
          <a:solidFill>
            <a:srgbClr val="3CD39C">
              <a:hueOff val="0"/>
              <a:satOff val="0"/>
              <a:lumOff val="0"/>
              <a:alphaOff val="0"/>
            </a:srgbClr>
          </a:solidFill>
          <a:prstDash val="solid"/>
          <a:miter lim="800000"/>
        </a:ln>
        <a:effectLst/>
      </dgm:spPr>
      <dgm:t>
        <a:bodyPr/>
        <a:lstStyle/>
        <a:p>
          <a:pPr>
            <a:buNone/>
          </a:pPr>
          <a:r>
            <a:rPr lang="en-US" b="1">
              <a:solidFill>
                <a:srgbClr val="19172B"/>
              </a:solidFill>
              <a:latin typeface="Aptos" panose="020B0004020202020204" pitchFamily="34" charset="0"/>
              <a:ea typeface="+mn-ea"/>
              <a:cs typeface="Calibri Light" panose="020F0302020204030204" pitchFamily="34" charset="0"/>
            </a:rPr>
            <a:t>Forecast Results</a:t>
          </a:r>
        </a:p>
      </dgm:t>
    </dgm:pt>
    <dgm:pt modelId="{9F2E2E65-892C-4314-AC92-185A16CF8FE0}" type="parTrans" cxnId="{A640D8AA-03C0-4B3E-BD44-374676A801C2}">
      <dgm:prSet/>
      <dgm:spPr/>
      <dgm:t>
        <a:bodyPr/>
        <a:lstStyle/>
        <a:p>
          <a:endParaRPr lang="en-US">
            <a:latin typeface="Aptos" panose="020B0004020202020204" pitchFamily="34" charset="0"/>
            <a:cs typeface="Calibri Light" panose="020F0302020204030204" pitchFamily="34" charset="0"/>
          </a:endParaRPr>
        </a:p>
      </dgm:t>
    </dgm:pt>
    <dgm:pt modelId="{BAFECE52-0E81-44DD-91BD-E31DA5F7789A}" type="sibTrans" cxnId="{A640D8AA-03C0-4B3E-BD44-374676A801C2}">
      <dgm:prSet/>
      <dgm:spPr/>
      <dgm:t>
        <a:bodyPr/>
        <a:lstStyle/>
        <a:p>
          <a:endParaRPr lang="en-US">
            <a:latin typeface="Aptos" panose="020B0004020202020204" pitchFamily="34" charset="0"/>
            <a:cs typeface="Calibri Light" panose="020F0302020204030204" pitchFamily="34" charset="0"/>
          </a:endParaRPr>
        </a:p>
      </dgm:t>
    </dgm:pt>
    <dgm:pt modelId="{95917B4E-9421-4CB3-AF7F-38931DE00E77}">
      <dgm:prSet phldrT="[Text]" custT="1"/>
      <dgm:spPr>
        <a:xfrm>
          <a:off x="2754" y="763963"/>
          <a:ext cx="1056009" cy="1760231"/>
        </a:xfrm>
        <a:prstGeom prst="rect">
          <a:avLst/>
        </a:prstGeom>
        <a:solidFill>
          <a:srgbClr val="1E13A6">
            <a:tint val="40000"/>
            <a:alpha val="90000"/>
            <a:hueOff val="0"/>
            <a:satOff val="0"/>
            <a:lumOff val="0"/>
            <a:alphaOff val="0"/>
          </a:srgbClr>
        </a:solidFill>
        <a:ln w="6350" cap="flat" cmpd="sng" algn="ctr">
          <a:solidFill>
            <a:srgbClr val="1E13A6">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Equipment saturation</a:t>
          </a:r>
        </a:p>
      </dgm:t>
    </dgm:pt>
    <dgm:pt modelId="{93C0C44D-3018-4CEE-9445-052600744DDB}" type="parTrans" cxnId="{414680BB-4A30-4D7C-9B53-6D0447319C3E}">
      <dgm:prSet/>
      <dgm:spPr/>
      <dgm:t>
        <a:bodyPr/>
        <a:lstStyle/>
        <a:p>
          <a:endParaRPr lang="en-US">
            <a:latin typeface="Aptos" panose="020B0004020202020204" pitchFamily="34" charset="0"/>
            <a:cs typeface="Calibri Light" panose="020F0302020204030204" pitchFamily="34" charset="0"/>
          </a:endParaRPr>
        </a:p>
      </dgm:t>
    </dgm:pt>
    <dgm:pt modelId="{8C04B903-07CE-49BB-AFBD-14A3ECF52F4A}" type="sibTrans" cxnId="{414680BB-4A30-4D7C-9B53-6D0447319C3E}">
      <dgm:prSet/>
      <dgm:spPr/>
      <dgm:t>
        <a:bodyPr/>
        <a:lstStyle/>
        <a:p>
          <a:endParaRPr lang="en-US">
            <a:latin typeface="Aptos" panose="020B0004020202020204" pitchFamily="34" charset="0"/>
            <a:cs typeface="Calibri Light" panose="020F0302020204030204" pitchFamily="34" charset="0"/>
          </a:endParaRPr>
        </a:p>
      </dgm:t>
    </dgm:pt>
    <dgm:pt modelId="{ABEF86CA-2ED5-4D6A-B5D4-133B367AD23E}">
      <dgm:prSet phldrT="[Text]" custT="1"/>
      <dgm:spPr>
        <a:xfrm>
          <a:off x="2754" y="763963"/>
          <a:ext cx="1056009" cy="1760231"/>
        </a:xfrm>
        <a:prstGeom prst="rect">
          <a:avLst/>
        </a:prstGeom>
        <a:solidFill>
          <a:srgbClr val="1E13A6">
            <a:tint val="40000"/>
            <a:alpha val="90000"/>
            <a:hueOff val="0"/>
            <a:satOff val="0"/>
            <a:lumOff val="0"/>
            <a:alphaOff val="0"/>
          </a:srgbClr>
        </a:solidFill>
        <a:ln w="6350" cap="flat" cmpd="sng" algn="ctr">
          <a:solidFill>
            <a:srgbClr val="1E13A6">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Vintage distribution</a:t>
          </a:r>
        </a:p>
      </dgm:t>
    </dgm:pt>
    <dgm:pt modelId="{AABE1A86-A451-4481-97AD-900908E0561B}" type="parTrans" cxnId="{4ACE8C5D-F434-43D1-8229-B1099900C6B5}">
      <dgm:prSet/>
      <dgm:spPr/>
      <dgm:t>
        <a:bodyPr/>
        <a:lstStyle/>
        <a:p>
          <a:endParaRPr lang="en-US">
            <a:latin typeface="Aptos" panose="020B0004020202020204" pitchFamily="34" charset="0"/>
            <a:cs typeface="Calibri Light" panose="020F0302020204030204" pitchFamily="34" charset="0"/>
          </a:endParaRPr>
        </a:p>
      </dgm:t>
    </dgm:pt>
    <dgm:pt modelId="{734640E8-7485-43D4-82B2-205832C9B1A9}" type="sibTrans" cxnId="{4ACE8C5D-F434-43D1-8229-B1099900C6B5}">
      <dgm:prSet/>
      <dgm:spPr/>
      <dgm:t>
        <a:bodyPr/>
        <a:lstStyle/>
        <a:p>
          <a:endParaRPr lang="en-US">
            <a:latin typeface="Aptos" panose="020B0004020202020204" pitchFamily="34" charset="0"/>
            <a:cs typeface="Calibri Light" panose="020F0302020204030204" pitchFamily="34" charset="0"/>
          </a:endParaRPr>
        </a:p>
      </dgm:t>
    </dgm:pt>
    <dgm:pt modelId="{0155A345-DF4D-420A-A732-80D01BC7524C}">
      <dgm:prSet phldrT="[Text]" custT="1"/>
      <dgm:spPr>
        <a:xfrm>
          <a:off x="2754" y="763963"/>
          <a:ext cx="1056009" cy="1760231"/>
        </a:xfrm>
        <a:prstGeom prst="rect">
          <a:avLst/>
        </a:prstGeom>
        <a:solidFill>
          <a:srgbClr val="1E13A6">
            <a:tint val="40000"/>
            <a:alpha val="90000"/>
            <a:hueOff val="0"/>
            <a:satOff val="0"/>
            <a:lumOff val="0"/>
            <a:alphaOff val="0"/>
          </a:srgbClr>
        </a:solidFill>
        <a:ln w="6350" cap="flat" cmpd="sng" algn="ctr">
          <a:solidFill>
            <a:srgbClr val="1E13A6">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Unit energy consumption</a:t>
          </a:r>
        </a:p>
      </dgm:t>
    </dgm:pt>
    <dgm:pt modelId="{DA8B7620-817A-4BC0-95FE-530CFBD6EB58}" type="parTrans" cxnId="{98F98E48-E543-4064-A049-A532F76D1272}">
      <dgm:prSet/>
      <dgm:spPr/>
      <dgm:t>
        <a:bodyPr/>
        <a:lstStyle/>
        <a:p>
          <a:endParaRPr lang="en-US">
            <a:latin typeface="Aptos" panose="020B0004020202020204" pitchFamily="34" charset="0"/>
            <a:cs typeface="Calibri Light" panose="020F0302020204030204" pitchFamily="34" charset="0"/>
          </a:endParaRPr>
        </a:p>
      </dgm:t>
    </dgm:pt>
    <dgm:pt modelId="{F78D4279-3CE7-446A-A06D-6C5C13A51E76}" type="sibTrans" cxnId="{98F98E48-E543-4064-A049-A532F76D1272}">
      <dgm:prSet/>
      <dgm:spPr/>
      <dgm:t>
        <a:bodyPr/>
        <a:lstStyle/>
        <a:p>
          <a:endParaRPr lang="en-US">
            <a:latin typeface="Aptos" panose="020B0004020202020204" pitchFamily="34" charset="0"/>
            <a:cs typeface="Calibri Light" panose="020F0302020204030204" pitchFamily="34" charset="0"/>
          </a:endParaRPr>
        </a:p>
      </dgm:t>
    </dgm:pt>
    <dgm:pt modelId="{BC712E23-1D31-4342-B962-9C24BCCC39C3}">
      <dgm:prSet phldrT="[Text]" custT="1"/>
      <dgm:spPr>
        <a:xfrm>
          <a:off x="2754" y="763963"/>
          <a:ext cx="1056009" cy="1760231"/>
        </a:xfrm>
        <a:prstGeom prst="rect">
          <a:avLst/>
        </a:prstGeom>
        <a:solidFill>
          <a:srgbClr val="1E13A6">
            <a:tint val="40000"/>
            <a:alpha val="90000"/>
            <a:hueOff val="0"/>
            <a:satOff val="0"/>
            <a:lumOff val="0"/>
            <a:alphaOff val="0"/>
          </a:srgbClr>
        </a:solidFill>
        <a:ln w="6350" cap="flat" cmpd="sng" algn="ctr">
          <a:solidFill>
            <a:srgbClr val="1E13A6">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Existing and new construction</a:t>
          </a:r>
        </a:p>
      </dgm:t>
    </dgm:pt>
    <dgm:pt modelId="{D01F9E82-6EA8-43CE-BA41-8038242BDE54}" type="parTrans" cxnId="{54169C8D-7389-4AEF-96E7-D15AB58E86D8}">
      <dgm:prSet/>
      <dgm:spPr/>
      <dgm:t>
        <a:bodyPr/>
        <a:lstStyle/>
        <a:p>
          <a:endParaRPr lang="en-US">
            <a:latin typeface="Aptos" panose="020B0004020202020204" pitchFamily="34" charset="0"/>
            <a:cs typeface="Calibri Light" panose="020F0302020204030204" pitchFamily="34" charset="0"/>
          </a:endParaRPr>
        </a:p>
      </dgm:t>
    </dgm:pt>
    <dgm:pt modelId="{41375DF7-E1AB-4684-8953-1B2635067E48}" type="sibTrans" cxnId="{54169C8D-7389-4AEF-96E7-D15AB58E86D8}">
      <dgm:prSet/>
      <dgm:spPr/>
      <dgm:t>
        <a:bodyPr/>
        <a:lstStyle/>
        <a:p>
          <a:endParaRPr lang="en-US">
            <a:latin typeface="Aptos" panose="020B0004020202020204" pitchFamily="34" charset="0"/>
            <a:cs typeface="Calibri Light" panose="020F0302020204030204" pitchFamily="34" charset="0"/>
          </a:endParaRPr>
        </a:p>
      </dgm:t>
    </dgm:pt>
    <dgm:pt modelId="{18F7088C-16D4-4165-A2D1-7102032B8430}">
      <dgm:prSet phldrT="[Text]" custT="1"/>
      <dgm:spPr>
        <a:xfrm>
          <a:off x="2410457" y="763963"/>
          <a:ext cx="1056009" cy="1760231"/>
        </a:xfrm>
        <a:prstGeom prst="rect">
          <a:avLst/>
        </a:prstGeom>
        <a:solidFill>
          <a:srgbClr val="7140D1">
            <a:tint val="40000"/>
            <a:alpha val="90000"/>
            <a:hueOff val="0"/>
            <a:satOff val="0"/>
            <a:lumOff val="0"/>
            <a:alphaOff val="0"/>
          </a:srgbClr>
        </a:solidFill>
        <a:ln w="6350" cap="flat" cmpd="sng" algn="ctr">
          <a:solidFill>
            <a:srgbClr val="7140D1">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Efficiency options, codes and standards, purchase shares</a:t>
          </a:r>
        </a:p>
      </dgm:t>
    </dgm:pt>
    <dgm:pt modelId="{93E0DC09-0CC6-43D0-BA59-1412AECFF004}" type="parTrans" cxnId="{2C2E4B4F-9BD3-48DD-83B1-EA6357792065}">
      <dgm:prSet/>
      <dgm:spPr/>
      <dgm:t>
        <a:bodyPr/>
        <a:lstStyle/>
        <a:p>
          <a:endParaRPr lang="en-US">
            <a:latin typeface="Aptos" panose="020B0004020202020204" pitchFamily="34" charset="0"/>
            <a:cs typeface="Calibri Light" panose="020F0302020204030204" pitchFamily="34" charset="0"/>
          </a:endParaRPr>
        </a:p>
      </dgm:t>
    </dgm:pt>
    <dgm:pt modelId="{93A8534E-93A4-4050-BD98-55B8712783B2}" type="sibTrans" cxnId="{2C2E4B4F-9BD3-48DD-83B1-EA6357792065}">
      <dgm:prSet/>
      <dgm:spPr/>
      <dgm:t>
        <a:bodyPr/>
        <a:lstStyle/>
        <a:p>
          <a:endParaRPr lang="en-US">
            <a:latin typeface="Aptos" panose="020B0004020202020204" pitchFamily="34" charset="0"/>
            <a:cs typeface="Calibri Light" panose="020F0302020204030204" pitchFamily="34" charset="0"/>
          </a:endParaRPr>
        </a:p>
      </dgm:t>
    </dgm:pt>
    <dgm:pt modelId="{FE992E19-F910-4962-86BC-4EFF637CDA41}">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List of measures</a:t>
          </a:r>
        </a:p>
      </dgm:t>
    </dgm:pt>
    <dgm:pt modelId="{392486A5-3427-4011-8AA1-56319BB0AB38}" type="parTrans" cxnId="{CD690A85-812B-4BB8-930E-AEEDE4FA7BF8}">
      <dgm:prSet/>
      <dgm:spPr/>
      <dgm:t>
        <a:bodyPr/>
        <a:lstStyle/>
        <a:p>
          <a:endParaRPr lang="en-US">
            <a:latin typeface="Aptos" panose="020B0004020202020204" pitchFamily="34" charset="0"/>
            <a:cs typeface="Calibri Light" panose="020F0302020204030204" pitchFamily="34" charset="0"/>
          </a:endParaRPr>
        </a:p>
      </dgm:t>
    </dgm:pt>
    <dgm:pt modelId="{266B4F95-1AC9-4601-B9B4-37C2B864C1B4}" type="sibTrans" cxnId="{CD690A85-812B-4BB8-930E-AEEDE4FA7BF8}">
      <dgm:prSet/>
      <dgm:spPr/>
      <dgm:t>
        <a:bodyPr/>
        <a:lstStyle/>
        <a:p>
          <a:endParaRPr lang="en-US">
            <a:latin typeface="Aptos" panose="020B0004020202020204" pitchFamily="34" charset="0"/>
            <a:cs typeface="Calibri Light" panose="020F0302020204030204" pitchFamily="34" charset="0"/>
          </a:endParaRPr>
        </a:p>
      </dgm:t>
    </dgm:pt>
    <dgm:pt modelId="{C606EEFE-09AA-4EF1-93D4-AC4D884F8852}">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Saturations and applicabilities</a:t>
          </a:r>
        </a:p>
      </dgm:t>
    </dgm:pt>
    <dgm:pt modelId="{2B7E028C-17EA-4D77-B7A3-EE2378ABA940}" type="parTrans" cxnId="{FBBA8761-5720-4799-BFB8-2BDED1DC71C6}">
      <dgm:prSet/>
      <dgm:spPr/>
      <dgm:t>
        <a:bodyPr/>
        <a:lstStyle/>
        <a:p>
          <a:endParaRPr lang="en-US">
            <a:latin typeface="Aptos" panose="020B0004020202020204" pitchFamily="34" charset="0"/>
            <a:cs typeface="Calibri Light" panose="020F0302020204030204" pitchFamily="34" charset="0"/>
          </a:endParaRPr>
        </a:p>
      </dgm:t>
    </dgm:pt>
    <dgm:pt modelId="{3915867E-FECF-4FBA-9624-7170D0C3D012}" type="sibTrans" cxnId="{FBBA8761-5720-4799-BFB8-2BDED1DC71C6}">
      <dgm:prSet/>
      <dgm:spPr/>
      <dgm:t>
        <a:bodyPr/>
        <a:lstStyle/>
        <a:p>
          <a:endParaRPr lang="en-US">
            <a:latin typeface="Aptos" panose="020B0004020202020204" pitchFamily="34" charset="0"/>
            <a:cs typeface="Calibri Light" panose="020F0302020204030204" pitchFamily="34" charset="0"/>
          </a:endParaRPr>
        </a:p>
      </dgm:t>
    </dgm:pt>
    <dgm:pt modelId="{B7974453-C284-4A4E-9E84-E095390A24EA}">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Adoption rates</a:t>
          </a:r>
        </a:p>
      </dgm:t>
    </dgm:pt>
    <dgm:pt modelId="{998028FB-134D-440D-A205-8DC8821D72E6}" type="parTrans" cxnId="{08A1EEE7-40F5-4949-B1E1-052D7022960D}">
      <dgm:prSet/>
      <dgm:spPr/>
      <dgm:t>
        <a:bodyPr/>
        <a:lstStyle/>
        <a:p>
          <a:endParaRPr lang="en-US">
            <a:latin typeface="Aptos" panose="020B0004020202020204" pitchFamily="34" charset="0"/>
            <a:cs typeface="Calibri Light" panose="020F0302020204030204" pitchFamily="34" charset="0"/>
          </a:endParaRPr>
        </a:p>
      </dgm:t>
    </dgm:pt>
    <dgm:pt modelId="{09B2B538-7A36-48D9-A909-54E3E438D165}" type="sibTrans" cxnId="{08A1EEE7-40F5-4949-B1E1-052D7022960D}">
      <dgm:prSet/>
      <dgm:spPr/>
      <dgm:t>
        <a:bodyPr/>
        <a:lstStyle/>
        <a:p>
          <a:endParaRPr lang="en-US">
            <a:latin typeface="Aptos" panose="020B0004020202020204" pitchFamily="34" charset="0"/>
            <a:cs typeface="Calibri Light" panose="020F0302020204030204" pitchFamily="34" charset="0"/>
          </a:endParaRPr>
        </a:p>
      </dgm:t>
    </dgm:pt>
    <dgm:pt modelId="{017268A7-EF18-4EEB-9BB0-B23A1F50C214}">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Avoided costs</a:t>
          </a:r>
        </a:p>
      </dgm:t>
    </dgm:pt>
    <dgm:pt modelId="{1F072C47-1FDA-48FA-B306-0997754DBE02}" type="parTrans" cxnId="{AA2DA431-1030-45C5-9B00-65AF9356A88A}">
      <dgm:prSet/>
      <dgm:spPr/>
      <dgm:t>
        <a:bodyPr/>
        <a:lstStyle/>
        <a:p>
          <a:endParaRPr lang="en-US">
            <a:latin typeface="Aptos" panose="020B0004020202020204" pitchFamily="34" charset="0"/>
            <a:cs typeface="Calibri Light" panose="020F0302020204030204" pitchFamily="34" charset="0"/>
          </a:endParaRPr>
        </a:p>
      </dgm:t>
    </dgm:pt>
    <dgm:pt modelId="{CD0FAB5A-F5B3-40F5-BF7F-BC7DF25E13AF}" type="sibTrans" cxnId="{AA2DA431-1030-45C5-9B00-65AF9356A88A}">
      <dgm:prSet/>
      <dgm:spPr/>
      <dgm:t>
        <a:bodyPr/>
        <a:lstStyle/>
        <a:p>
          <a:endParaRPr lang="en-US">
            <a:latin typeface="Aptos" panose="020B0004020202020204" pitchFamily="34" charset="0"/>
            <a:cs typeface="Calibri Light" panose="020F0302020204030204" pitchFamily="34" charset="0"/>
          </a:endParaRPr>
        </a:p>
      </dgm:t>
    </dgm:pt>
    <dgm:pt modelId="{FB5C1690-C31B-4F01-A8BF-E2E7B120D2FC}">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Cost-effectiveness</a:t>
          </a:r>
        </a:p>
      </dgm:t>
    </dgm:pt>
    <dgm:pt modelId="{134DA7E7-1442-4546-951B-FD27566FAC8C}" type="parTrans" cxnId="{0E73D207-A139-4159-8EAE-9E5CE95CC2C7}">
      <dgm:prSet/>
      <dgm:spPr/>
      <dgm:t>
        <a:bodyPr/>
        <a:lstStyle/>
        <a:p>
          <a:endParaRPr lang="en-US">
            <a:latin typeface="Aptos" panose="020B0004020202020204" pitchFamily="34" charset="0"/>
            <a:cs typeface="Calibri Light" panose="020F0302020204030204" pitchFamily="34" charset="0"/>
          </a:endParaRPr>
        </a:p>
      </dgm:t>
    </dgm:pt>
    <dgm:pt modelId="{62719901-DE3A-42F9-83EE-B06823D4ECDA}" type="sibTrans" cxnId="{0E73D207-A139-4159-8EAE-9E5CE95CC2C7}">
      <dgm:prSet/>
      <dgm:spPr/>
      <dgm:t>
        <a:bodyPr/>
        <a:lstStyle/>
        <a:p>
          <a:endParaRPr lang="en-US">
            <a:latin typeface="Aptos" panose="020B0004020202020204" pitchFamily="34" charset="0"/>
            <a:cs typeface="Calibri Light" panose="020F0302020204030204" pitchFamily="34" charset="0"/>
          </a:endParaRPr>
        </a:p>
      </dgm:t>
    </dgm:pt>
    <dgm:pt modelId="{21AF56C5-0A52-4ACF-90EF-306DFDBC2043}">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91440" indent="-91440">
            <a:buChar char="•"/>
          </a:pPr>
          <a:r>
            <a:rPr lang="en-US" sz="900" b="0">
              <a:solidFill>
                <a:srgbClr val="19172B">
                  <a:hueOff val="0"/>
                  <a:satOff val="0"/>
                  <a:lumOff val="0"/>
                  <a:alphaOff val="0"/>
                </a:srgbClr>
              </a:solidFill>
              <a:latin typeface="Aptos" panose="020B0004020202020204" pitchFamily="34" charset="0"/>
              <a:ea typeface="+mn-ea"/>
              <a:cs typeface="Calibri Light" panose="020F0302020204030204" pitchFamily="34" charset="0"/>
            </a:rPr>
            <a:t>Baseline end use projection</a:t>
          </a:r>
        </a:p>
      </dgm:t>
    </dgm:pt>
    <dgm:pt modelId="{CC71D9A3-416A-447E-851B-BA631EB395CC}" type="parTrans" cxnId="{B4299FA3-62BF-4316-84DF-3178BA20F835}">
      <dgm:prSet/>
      <dgm:spPr/>
      <dgm:t>
        <a:bodyPr/>
        <a:lstStyle/>
        <a:p>
          <a:endParaRPr lang="en-US">
            <a:latin typeface="Aptos" panose="020B0004020202020204" pitchFamily="34" charset="0"/>
            <a:cs typeface="Calibri Light" panose="020F0302020204030204" pitchFamily="34" charset="0"/>
          </a:endParaRPr>
        </a:p>
      </dgm:t>
    </dgm:pt>
    <dgm:pt modelId="{6311945E-2C28-4797-BEA4-7EF7E583B216}" type="sibTrans" cxnId="{B4299FA3-62BF-4316-84DF-3178BA20F835}">
      <dgm:prSet/>
      <dgm:spPr/>
      <dgm:t>
        <a:bodyPr/>
        <a:lstStyle/>
        <a:p>
          <a:endParaRPr lang="en-US">
            <a:latin typeface="Aptos" panose="020B0004020202020204" pitchFamily="34" charset="0"/>
            <a:cs typeface="Calibri Light" panose="020F0302020204030204" pitchFamily="34" charset="0"/>
          </a:endParaRPr>
        </a:p>
      </dgm:t>
    </dgm:pt>
    <dgm:pt modelId="{953B61C8-952E-4ACE-9D2E-83F57D87A4E8}">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91440" indent="-91440">
            <a:buChar char="•"/>
          </a:pPr>
          <a:r>
            <a:rPr lang="en-US" sz="900" b="0">
              <a:solidFill>
                <a:srgbClr val="19172B">
                  <a:hueOff val="0"/>
                  <a:satOff val="0"/>
                  <a:lumOff val="0"/>
                  <a:alphaOff val="0"/>
                </a:srgbClr>
              </a:solidFill>
              <a:latin typeface="Aptos" panose="020B0004020202020204" pitchFamily="34" charset="0"/>
              <a:ea typeface="+mn-ea"/>
              <a:cs typeface="Calibri Light" panose="020F0302020204030204" pitchFamily="34" charset="0"/>
            </a:rPr>
            <a:t>Energy efficiency projections</a:t>
          </a:r>
        </a:p>
      </dgm:t>
    </dgm:pt>
    <dgm:pt modelId="{9F3D35AE-ADEB-4B73-A397-E5F4F610F67B}" type="parTrans" cxnId="{82BB7754-2E75-403E-A466-28D869D650C0}">
      <dgm:prSet/>
      <dgm:spPr/>
      <dgm:t>
        <a:bodyPr/>
        <a:lstStyle/>
        <a:p>
          <a:endParaRPr lang="en-US">
            <a:latin typeface="Aptos" panose="020B0004020202020204" pitchFamily="34" charset="0"/>
            <a:cs typeface="Calibri Light" panose="020F0302020204030204" pitchFamily="34" charset="0"/>
          </a:endParaRPr>
        </a:p>
      </dgm:t>
    </dgm:pt>
    <dgm:pt modelId="{9719F231-3C67-4381-8B86-2EBF78CD3BC1}" type="sibTrans" cxnId="{82BB7754-2E75-403E-A466-28D869D650C0}">
      <dgm:prSet/>
      <dgm:spPr/>
      <dgm:t>
        <a:bodyPr/>
        <a:lstStyle/>
        <a:p>
          <a:endParaRPr lang="en-US">
            <a:latin typeface="Aptos" panose="020B0004020202020204" pitchFamily="34" charset="0"/>
            <a:cs typeface="Calibri Light" panose="020F0302020204030204" pitchFamily="34" charset="0"/>
          </a:endParaRPr>
        </a:p>
      </dgm:t>
    </dgm:pt>
    <dgm:pt modelId="{78E5133C-AAD9-46B6-8E44-D9ACC31F8582}">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18288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 Technical</a:t>
          </a:r>
        </a:p>
      </dgm:t>
    </dgm:pt>
    <dgm:pt modelId="{BB0B4469-683A-421A-96E2-5C90BC7601BB}" type="parTrans" cxnId="{7BF8D7A0-2AB6-4533-9BEE-21436E9A3420}">
      <dgm:prSet/>
      <dgm:spPr/>
      <dgm:t>
        <a:bodyPr/>
        <a:lstStyle/>
        <a:p>
          <a:endParaRPr lang="en-US">
            <a:latin typeface="Aptos" panose="020B0004020202020204" pitchFamily="34" charset="0"/>
            <a:cs typeface="Calibri Light" panose="020F0302020204030204" pitchFamily="34" charset="0"/>
          </a:endParaRPr>
        </a:p>
      </dgm:t>
    </dgm:pt>
    <dgm:pt modelId="{6EA27F50-D453-4334-836E-4EE2F8B2B5A8}" type="sibTrans" cxnId="{7BF8D7A0-2AB6-4533-9BEE-21436E9A3420}">
      <dgm:prSet/>
      <dgm:spPr/>
      <dgm:t>
        <a:bodyPr/>
        <a:lstStyle/>
        <a:p>
          <a:endParaRPr lang="en-US">
            <a:latin typeface="Aptos" panose="020B0004020202020204" pitchFamily="34" charset="0"/>
            <a:cs typeface="Calibri Light" panose="020F0302020204030204" pitchFamily="34" charset="0"/>
          </a:endParaRPr>
        </a:p>
      </dgm:t>
    </dgm:pt>
    <dgm:pt modelId="{1437EB27-F862-42DA-8721-E52208CCCFC3}">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18288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 Achievable Techical</a:t>
          </a:r>
        </a:p>
      </dgm:t>
    </dgm:pt>
    <dgm:pt modelId="{07A4E444-5C47-4029-B027-4B2CBE8CFFE0}" type="parTrans" cxnId="{F82F4970-2D37-48D8-89CA-A711582674C4}">
      <dgm:prSet/>
      <dgm:spPr/>
      <dgm:t>
        <a:bodyPr/>
        <a:lstStyle/>
        <a:p>
          <a:endParaRPr lang="en-US">
            <a:latin typeface="Aptos" panose="020B0004020202020204" pitchFamily="34" charset="0"/>
            <a:cs typeface="Calibri Light" panose="020F0302020204030204" pitchFamily="34" charset="0"/>
          </a:endParaRPr>
        </a:p>
      </dgm:t>
    </dgm:pt>
    <dgm:pt modelId="{7AD5A3A9-8251-4E25-A0D3-9979ECE5D255}" type="sibTrans" cxnId="{F82F4970-2D37-48D8-89CA-A711582674C4}">
      <dgm:prSet/>
      <dgm:spPr/>
      <dgm:t>
        <a:bodyPr/>
        <a:lstStyle/>
        <a:p>
          <a:endParaRPr lang="en-US">
            <a:latin typeface="Aptos" panose="020B0004020202020204" pitchFamily="34" charset="0"/>
            <a:cs typeface="Calibri Light" panose="020F0302020204030204" pitchFamily="34" charset="0"/>
          </a:endParaRPr>
        </a:p>
      </dgm:t>
    </dgm:pt>
    <dgm:pt modelId="{06B91EF0-5858-4564-91E1-B9E5778F6905}">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18288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IRP Inputs</a:t>
          </a:r>
        </a:p>
      </dgm:t>
    </dgm:pt>
    <dgm:pt modelId="{93945E6A-A8DB-41BE-A3E9-73DAEB90D6C2}" type="parTrans" cxnId="{1402C232-C63A-4888-8031-923F7A365853}">
      <dgm:prSet/>
      <dgm:spPr/>
      <dgm:t>
        <a:bodyPr/>
        <a:lstStyle/>
        <a:p>
          <a:endParaRPr lang="en-US"/>
        </a:p>
      </dgm:t>
    </dgm:pt>
    <dgm:pt modelId="{BFAD04BC-CF76-4EE4-AC05-97344E524A47}" type="sibTrans" cxnId="{1402C232-C63A-4888-8031-923F7A365853}">
      <dgm:prSet/>
      <dgm:spPr/>
      <dgm:t>
        <a:bodyPr/>
        <a:lstStyle/>
        <a:p>
          <a:endParaRPr lang="en-US"/>
        </a:p>
      </dgm:t>
    </dgm:pt>
    <dgm:pt modelId="{C7160D9C-C895-4AC3-B839-D0070D272C64}">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18288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Utility Costs</a:t>
          </a:r>
        </a:p>
      </dgm:t>
    </dgm:pt>
    <dgm:pt modelId="{EDAAB97C-7F0A-45D6-BE80-764CCF6E4134}" type="parTrans" cxnId="{564F4843-6B41-4A7E-BD8A-9726382B6513}">
      <dgm:prSet/>
      <dgm:spPr/>
      <dgm:t>
        <a:bodyPr/>
        <a:lstStyle/>
        <a:p>
          <a:endParaRPr lang="en-US"/>
        </a:p>
      </dgm:t>
    </dgm:pt>
    <dgm:pt modelId="{866633CE-3C14-4983-8F13-9BDE4E72087E}" type="sibTrans" cxnId="{564F4843-6B41-4A7E-BD8A-9726382B6513}">
      <dgm:prSet/>
      <dgm:spPr/>
      <dgm:t>
        <a:bodyPr/>
        <a:lstStyle/>
        <a:p>
          <a:endParaRPr lang="en-US"/>
        </a:p>
      </dgm:t>
    </dgm:pt>
    <dgm:pt modelId="{125C6B19-1392-48C5-8A3A-A28E84F9A8CA}">
      <dgm:prSet phldrT="[Text]" custT="1"/>
      <dgm: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gm:spPr>
      <dgm:t>
        <a:bodyPr/>
        <a:lstStyle/>
        <a:p>
          <a:pPr marL="18288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Levelized cost of energy ($/MWh)</a:t>
          </a:r>
        </a:p>
      </dgm:t>
    </dgm:pt>
    <dgm:pt modelId="{E519C4BB-86EA-4CD8-8955-599DC8E55C3E}" type="parTrans" cxnId="{27846B0B-4D47-4649-8FA1-7CBC89AB1B96}">
      <dgm:prSet/>
      <dgm:spPr/>
      <dgm:t>
        <a:bodyPr/>
        <a:lstStyle/>
        <a:p>
          <a:endParaRPr lang="en-US"/>
        </a:p>
      </dgm:t>
    </dgm:pt>
    <dgm:pt modelId="{DC73C7A7-5B2D-46AF-B6FD-76778E299144}" type="sibTrans" cxnId="{27846B0B-4D47-4649-8FA1-7CBC89AB1B96}">
      <dgm:prSet/>
      <dgm:spPr/>
      <dgm:t>
        <a:bodyPr/>
        <a:lstStyle/>
        <a:p>
          <a:endParaRPr lang="en-US"/>
        </a:p>
      </dgm:t>
    </dgm:pt>
    <dgm:pt modelId="{B4619C35-3DCF-444D-8A57-EEE691819F1C}">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Measure costs</a:t>
          </a:r>
        </a:p>
      </dgm:t>
    </dgm:pt>
    <dgm:pt modelId="{C50FDB7A-EA45-4886-84F9-820536F4AA13}" type="parTrans" cxnId="{74C1392E-9E71-416B-870E-9F1A8004DA16}">
      <dgm:prSet/>
      <dgm:spPr/>
      <dgm:t>
        <a:bodyPr/>
        <a:lstStyle/>
        <a:p>
          <a:endParaRPr lang="en-US"/>
        </a:p>
      </dgm:t>
    </dgm:pt>
    <dgm:pt modelId="{2B0B1C27-F307-482D-96BB-08B5322723F3}" type="sibTrans" cxnId="{74C1392E-9E71-416B-870E-9F1A8004DA16}">
      <dgm:prSet/>
      <dgm:spPr/>
      <dgm:t>
        <a:bodyPr/>
        <a:lstStyle/>
        <a:p>
          <a:endParaRPr lang="en-US"/>
        </a:p>
      </dgm:t>
    </dgm:pt>
    <dgm:pt modelId="{1D3F23F6-00C4-4794-A572-F6C292F25FF1}">
      <dgm:prSet phldrT="[Text]" custT="1"/>
      <dgm: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gm:spPr>
      <dgm:t>
        <a:bodyPr/>
        <a:lstStyle/>
        <a:p>
          <a:pPr marL="91440" indent="-91440">
            <a:buChar char="•"/>
          </a:pPr>
          <a:r>
            <a:rPr lang="en-US" sz="900">
              <a:solidFill>
                <a:srgbClr val="19172B">
                  <a:hueOff val="0"/>
                  <a:satOff val="0"/>
                  <a:lumOff val="0"/>
                  <a:alphaOff val="0"/>
                </a:srgbClr>
              </a:solidFill>
              <a:latin typeface="Aptos" panose="020B0004020202020204" pitchFamily="34" charset="0"/>
              <a:ea typeface="+mn-ea"/>
              <a:cs typeface="Calibri Light" panose="020F0302020204030204" pitchFamily="34" charset="0"/>
            </a:rPr>
            <a:t>Lifetime</a:t>
          </a:r>
        </a:p>
      </dgm:t>
    </dgm:pt>
    <dgm:pt modelId="{83B36701-6F92-46F6-BC9F-3B74D8DC73AB}" type="parTrans" cxnId="{6EAC83CE-F3F5-415C-AA84-3FF55287BA85}">
      <dgm:prSet/>
      <dgm:spPr/>
      <dgm:t>
        <a:bodyPr/>
        <a:lstStyle/>
        <a:p>
          <a:endParaRPr lang="en-US"/>
        </a:p>
      </dgm:t>
    </dgm:pt>
    <dgm:pt modelId="{A00E566E-5D4D-4024-A138-8A85B11C2F50}" type="sibTrans" cxnId="{6EAC83CE-F3F5-415C-AA84-3FF55287BA85}">
      <dgm:prSet/>
      <dgm:spPr/>
      <dgm:t>
        <a:bodyPr/>
        <a:lstStyle/>
        <a:p>
          <a:endParaRPr lang="en-US"/>
        </a:p>
      </dgm:t>
    </dgm:pt>
    <dgm:pt modelId="{421DBE31-EF64-430F-A6BB-CC2920C9C0FA}" type="pres">
      <dgm:prSet presAssocID="{81EAF28A-D850-476A-9C9A-58BD86EE77B0}" presName="Name0" presStyleCnt="0">
        <dgm:presLayoutVars>
          <dgm:dir/>
          <dgm:animLvl val="lvl"/>
          <dgm:resizeHandles val="exact"/>
        </dgm:presLayoutVars>
      </dgm:prSet>
      <dgm:spPr/>
    </dgm:pt>
    <dgm:pt modelId="{9DD0EC4B-7825-443C-B3A9-2447F66EA4B4}" type="pres">
      <dgm:prSet presAssocID="{9E9653C3-C8F6-4797-99A7-918A878DEEC5}" presName="composite" presStyleCnt="0"/>
      <dgm:spPr/>
    </dgm:pt>
    <dgm:pt modelId="{EA5D54F0-B35C-4F9B-8079-C7911D0D1854}" type="pres">
      <dgm:prSet presAssocID="{9E9653C3-C8F6-4797-99A7-918A878DEEC5}" presName="parTx" presStyleLbl="alignNode1" presStyleIdx="0" presStyleCnt="5">
        <dgm:presLayoutVars>
          <dgm:chMax val="0"/>
          <dgm:chPref val="0"/>
          <dgm:bulletEnabled val="1"/>
        </dgm:presLayoutVars>
      </dgm:prSet>
      <dgm:spPr/>
    </dgm:pt>
    <dgm:pt modelId="{D33E5DED-7DBC-43DF-A34D-5EF3DA977DEE}" type="pres">
      <dgm:prSet presAssocID="{9E9653C3-C8F6-4797-99A7-918A878DEEC5}" presName="desTx" presStyleLbl="alignAccFollowNode1" presStyleIdx="0" presStyleCnt="5">
        <dgm:presLayoutVars>
          <dgm:bulletEnabled val="1"/>
        </dgm:presLayoutVars>
      </dgm:prSet>
      <dgm:spPr/>
    </dgm:pt>
    <dgm:pt modelId="{B346103F-0F07-4798-AD3D-28E8D080E9FC}" type="pres">
      <dgm:prSet presAssocID="{E9E06FF0-C740-45F7-91C0-02DE2600A22B}" presName="space" presStyleCnt="0"/>
      <dgm:spPr/>
    </dgm:pt>
    <dgm:pt modelId="{6594C91F-CFA7-4375-9634-B69B89BF0269}" type="pres">
      <dgm:prSet presAssocID="{E7EC8171-951D-4865-9FE9-842B73744621}" presName="composite" presStyleCnt="0"/>
      <dgm:spPr/>
    </dgm:pt>
    <dgm:pt modelId="{8D0CBE84-E83F-4DAB-B9F4-F82F5010C8C3}" type="pres">
      <dgm:prSet presAssocID="{E7EC8171-951D-4865-9FE9-842B73744621}" presName="parTx" presStyleLbl="alignNode1" presStyleIdx="1" presStyleCnt="5">
        <dgm:presLayoutVars>
          <dgm:chMax val="0"/>
          <dgm:chPref val="0"/>
          <dgm:bulletEnabled val="1"/>
        </dgm:presLayoutVars>
      </dgm:prSet>
      <dgm:spPr/>
    </dgm:pt>
    <dgm:pt modelId="{94379ECC-AABF-4C02-92E5-D89006204918}" type="pres">
      <dgm:prSet presAssocID="{E7EC8171-951D-4865-9FE9-842B73744621}" presName="desTx" presStyleLbl="alignAccFollowNode1" presStyleIdx="1" presStyleCnt="5">
        <dgm:presLayoutVars>
          <dgm:bulletEnabled val="1"/>
        </dgm:presLayoutVars>
      </dgm:prSet>
      <dgm:spPr/>
    </dgm:pt>
    <dgm:pt modelId="{32774CE2-E94D-4959-83B0-D0C8536A3535}" type="pres">
      <dgm:prSet presAssocID="{E07842D5-9223-4367-9151-FC2AAF0AA535}" presName="space" presStyleCnt="0"/>
      <dgm:spPr/>
    </dgm:pt>
    <dgm:pt modelId="{FFED3A6C-38A7-4A1C-A97D-8B53A12A0AE5}" type="pres">
      <dgm:prSet presAssocID="{3D842D6F-C473-44B0-9C70-16840DA28668}" presName="composite" presStyleCnt="0"/>
      <dgm:spPr/>
    </dgm:pt>
    <dgm:pt modelId="{A1A0CF2C-45BC-424B-8B78-4F87E3156136}" type="pres">
      <dgm:prSet presAssocID="{3D842D6F-C473-44B0-9C70-16840DA28668}" presName="parTx" presStyleLbl="alignNode1" presStyleIdx="2" presStyleCnt="5">
        <dgm:presLayoutVars>
          <dgm:chMax val="0"/>
          <dgm:chPref val="0"/>
          <dgm:bulletEnabled val="1"/>
        </dgm:presLayoutVars>
      </dgm:prSet>
      <dgm:spPr/>
    </dgm:pt>
    <dgm:pt modelId="{226076BC-0069-4ED6-8EF7-24655550A96C}" type="pres">
      <dgm:prSet presAssocID="{3D842D6F-C473-44B0-9C70-16840DA28668}" presName="desTx" presStyleLbl="alignAccFollowNode1" presStyleIdx="2" presStyleCnt="5">
        <dgm:presLayoutVars>
          <dgm:bulletEnabled val="1"/>
        </dgm:presLayoutVars>
      </dgm:prSet>
      <dgm:spPr/>
    </dgm:pt>
    <dgm:pt modelId="{5FCC6E81-73FE-476D-BB07-8C93A68EFF71}" type="pres">
      <dgm:prSet presAssocID="{8448BC1F-4908-4F9B-B1B1-583CD358D96C}" presName="space" presStyleCnt="0"/>
      <dgm:spPr/>
    </dgm:pt>
    <dgm:pt modelId="{568EDA16-3641-48F3-8A63-6D8E630D3422}" type="pres">
      <dgm:prSet presAssocID="{8ABF7066-0C83-486D-A5AE-68CEEDF5B2E3}" presName="composite" presStyleCnt="0"/>
      <dgm:spPr/>
    </dgm:pt>
    <dgm:pt modelId="{A923DA04-A6BE-4C26-B145-71E615F5EC42}" type="pres">
      <dgm:prSet presAssocID="{8ABF7066-0C83-486D-A5AE-68CEEDF5B2E3}" presName="parTx" presStyleLbl="alignNode1" presStyleIdx="3" presStyleCnt="5">
        <dgm:presLayoutVars>
          <dgm:chMax val="0"/>
          <dgm:chPref val="0"/>
          <dgm:bulletEnabled val="1"/>
        </dgm:presLayoutVars>
      </dgm:prSet>
      <dgm:spPr/>
    </dgm:pt>
    <dgm:pt modelId="{A93DD95E-DB6B-43DF-8B0D-08440C90A68F}" type="pres">
      <dgm:prSet presAssocID="{8ABF7066-0C83-486D-A5AE-68CEEDF5B2E3}" presName="desTx" presStyleLbl="alignAccFollowNode1" presStyleIdx="3" presStyleCnt="5">
        <dgm:presLayoutVars>
          <dgm:bulletEnabled val="1"/>
        </dgm:presLayoutVars>
      </dgm:prSet>
      <dgm:spPr/>
    </dgm:pt>
    <dgm:pt modelId="{0584AD91-009B-4F09-A6BF-B5F368129FAC}" type="pres">
      <dgm:prSet presAssocID="{8B5EBE4D-8671-4BAE-9C0F-A6C1D36A7902}" presName="space" presStyleCnt="0"/>
      <dgm:spPr/>
    </dgm:pt>
    <dgm:pt modelId="{C8A14075-4FDA-4F9F-8C56-08DEAF9E8392}" type="pres">
      <dgm:prSet presAssocID="{11782B45-161E-463F-BAFD-F45BD2A1BA45}" presName="composite" presStyleCnt="0"/>
      <dgm:spPr/>
    </dgm:pt>
    <dgm:pt modelId="{34F26884-0B72-40C2-804D-3CE0FB48D0F8}" type="pres">
      <dgm:prSet presAssocID="{11782B45-161E-463F-BAFD-F45BD2A1BA45}" presName="parTx" presStyleLbl="alignNode1" presStyleIdx="4" presStyleCnt="5">
        <dgm:presLayoutVars>
          <dgm:chMax val="0"/>
          <dgm:chPref val="0"/>
          <dgm:bulletEnabled val="1"/>
        </dgm:presLayoutVars>
      </dgm:prSet>
      <dgm:spPr/>
    </dgm:pt>
    <dgm:pt modelId="{483CC475-C8EB-4282-A06C-4EB925FFE8CE}" type="pres">
      <dgm:prSet presAssocID="{11782B45-161E-463F-BAFD-F45BD2A1BA45}" presName="desTx" presStyleLbl="alignAccFollowNode1" presStyleIdx="4" presStyleCnt="5">
        <dgm:presLayoutVars>
          <dgm:bulletEnabled val="1"/>
        </dgm:presLayoutVars>
      </dgm:prSet>
      <dgm:spPr/>
    </dgm:pt>
  </dgm:ptLst>
  <dgm:cxnLst>
    <dgm:cxn modelId="{0E73D207-A139-4159-8EAE-9E5CE95CC2C7}" srcId="{8ABF7066-0C83-486D-A5AE-68CEEDF5B2E3}" destId="{FB5C1690-C31B-4F01-A8BF-E2E7B120D2FC}" srcOrd="6" destOrd="0" parTransId="{134DA7E7-1442-4546-951B-FD27566FAC8C}" sibTransId="{62719901-DE3A-42F9-83EE-B06823D4ECDA}"/>
    <dgm:cxn modelId="{27846B0B-4D47-4649-8FA1-7CBC89AB1B96}" srcId="{06B91EF0-5858-4564-91E1-B9E5778F6905}" destId="{125C6B19-1392-48C5-8A3A-A28E84F9A8CA}" srcOrd="1" destOrd="0" parTransId="{E519C4BB-86EA-4CD8-8955-599DC8E55C3E}" sibTransId="{DC73C7A7-5B2D-46AF-B6FD-76778E299144}"/>
    <dgm:cxn modelId="{9669450E-2447-4174-8A1C-69FF2A34411C}" type="presOf" srcId="{8ABF7066-0C83-486D-A5AE-68CEEDF5B2E3}" destId="{A923DA04-A6BE-4C26-B145-71E615F5EC42}" srcOrd="0" destOrd="0" presId="urn:microsoft.com/office/officeart/2005/8/layout/hList1"/>
    <dgm:cxn modelId="{7F065D26-0983-4836-B3AC-EEA7B336E566}" srcId="{3D842D6F-C473-44B0-9C70-16840DA28668}" destId="{8EBE47AB-2D48-472E-A8C6-4CEDA15CF202}" srcOrd="0" destOrd="0" parTransId="{4A213B72-A25F-42B1-A8F7-0FC1F2CB1446}" sibTransId="{58162AF0-A010-4A34-8574-9B1F6DD6A047}"/>
    <dgm:cxn modelId="{74C1392E-9E71-416B-870E-9F1A8004DA16}" srcId="{8ABF7066-0C83-486D-A5AE-68CEEDF5B2E3}" destId="{B4619C35-3DCF-444D-8A57-EEE691819F1C}" srcOrd="2" destOrd="0" parTransId="{C50FDB7A-EA45-4886-84F9-820536F4AA13}" sibTransId="{2B0B1C27-F307-482D-96BB-08B5322723F3}"/>
    <dgm:cxn modelId="{AA2DA431-1030-45C5-9B00-65AF9356A88A}" srcId="{8ABF7066-0C83-486D-A5AE-68CEEDF5B2E3}" destId="{017268A7-EF18-4EEB-9BB0-B23A1F50C214}" srcOrd="5" destOrd="0" parTransId="{1F072C47-1FDA-48FA-B306-0997754DBE02}" sibTransId="{CD0FAB5A-F5B3-40F5-BF7F-BC7DF25E13AF}"/>
    <dgm:cxn modelId="{1402C232-C63A-4888-8031-923F7A365853}" srcId="{11782B45-161E-463F-BAFD-F45BD2A1BA45}" destId="{06B91EF0-5858-4564-91E1-B9E5778F6905}" srcOrd="2" destOrd="0" parTransId="{93945E6A-A8DB-41BE-A3E9-73DAEB90D6C2}" sibTransId="{BFAD04BC-CF76-4EE4-AC05-97344E524A47}"/>
    <dgm:cxn modelId="{E20BE632-A535-4FB1-8999-5E4402A3E508}" type="presOf" srcId="{1437EB27-F862-42DA-8721-E52208CCCFC3}" destId="{483CC475-C8EB-4282-A06C-4EB925FFE8CE}" srcOrd="0" destOrd="3" presId="urn:microsoft.com/office/officeart/2005/8/layout/hList1"/>
    <dgm:cxn modelId="{0EFF9F33-2CD4-4D32-A475-235DE19BF0AB}" type="presOf" srcId="{125C6B19-1392-48C5-8A3A-A28E84F9A8CA}" destId="{483CC475-C8EB-4282-A06C-4EB925FFE8CE}" srcOrd="0" destOrd="6" presId="urn:microsoft.com/office/officeart/2005/8/layout/hList1"/>
    <dgm:cxn modelId="{64E46536-907E-444D-8C2F-7BFE9DB0900E}" type="presOf" srcId="{C7160D9C-C895-4AC3-B839-D0070D272C64}" destId="{483CC475-C8EB-4282-A06C-4EB925FFE8CE}" srcOrd="0" destOrd="5" presId="urn:microsoft.com/office/officeart/2005/8/layout/hList1"/>
    <dgm:cxn modelId="{4ACE8C5D-F434-43D1-8229-B1099900C6B5}" srcId="{9E9653C3-C8F6-4797-99A7-918A878DEEC5}" destId="{ABEF86CA-2ED5-4D6A-B5D4-133B367AD23E}" srcOrd="2" destOrd="0" parTransId="{AABE1A86-A451-4481-97AD-900908E0561B}" sibTransId="{734640E8-7485-43D4-82B2-205832C9B1A9}"/>
    <dgm:cxn modelId="{EA6BA65F-D64C-4955-8A42-720BB1638603}" type="presOf" srcId="{ABEF86CA-2ED5-4D6A-B5D4-133B367AD23E}" destId="{D33E5DED-7DBC-43DF-A34D-5EF3DA977DEE}" srcOrd="0" destOrd="2" presId="urn:microsoft.com/office/officeart/2005/8/layout/hList1"/>
    <dgm:cxn modelId="{FBBA8761-5720-4799-BFB8-2BDED1DC71C6}" srcId="{8ABF7066-0C83-486D-A5AE-68CEEDF5B2E3}" destId="{C606EEFE-09AA-4EF1-93D4-AC4D884F8852}" srcOrd="1" destOrd="0" parTransId="{2B7E028C-17EA-4D77-B7A3-EE2378ABA940}" sibTransId="{3915867E-FECF-4FBA-9624-7170D0C3D012}"/>
    <dgm:cxn modelId="{564F4843-6B41-4A7E-BD8A-9726382B6513}" srcId="{06B91EF0-5858-4564-91E1-B9E5778F6905}" destId="{C7160D9C-C895-4AC3-B839-D0070D272C64}" srcOrd="0" destOrd="0" parTransId="{EDAAB97C-7F0A-45D6-BE80-764CCF6E4134}" sibTransId="{866633CE-3C14-4983-8F13-9BDE4E72087E}"/>
    <dgm:cxn modelId="{6A315A65-275B-494E-ADAB-29E43F50AE51}" type="presOf" srcId="{BC712E23-1D31-4342-B962-9C24BCCC39C3}" destId="{D33E5DED-7DBC-43DF-A34D-5EF3DA977DEE}" srcOrd="0" destOrd="4" presId="urn:microsoft.com/office/officeart/2005/8/layout/hList1"/>
    <dgm:cxn modelId="{98F98E48-E543-4064-A049-A532F76D1272}" srcId="{9E9653C3-C8F6-4797-99A7-918A878DEEC5}" destId="{0155A345-DF4D-420A-A732-80D01BC7524C}" srcOrd="3" destOrd="0" parTransId="{DA8B7620-817A-4BC0-95FE-530CFBD6EB58}" sibTransId="{F78D4279-3CE7-446A-A06D-6C5C13A51E76}"/>
    <dgm:cxn modelId="{7485746A-F290-4BBF-9905-1942B5B78B57}" type="presOf" srcId="{3D842D6F-C473-44B0-9C70-16840DA28668}" destId="{A1A0CF2C-45BC-424B-8B78-4F87E3156136}" srcOrd="0" destOrd="0" presId="urn:microsoft.com/office/officeart/2005/8/layout/hList1"/>
    <dgm:cxn modelId="{2C2E4B4F-9BD3-48DD-83B1-EA6357792065}" srcId="{3D842D6F-C473-44B0-9C70-16840DA28668}" destId="{18F7088C-16D4-4165-A2D1-7102032B8430}" srcOrd="1" destOrd="0" parTransId="{93E0DC09-0CC6-43D0-BA59-1412AECFF004}" sibTransId="{93A8534E-93A4-4050-BD98-55B8712783B2}"/>
    <dgm:cxn modelId="{F82F4970-2D37-48D8-89CA-A711582674C4}" srcId="{953B61C8-952E-4ACE-9D2E-83F57D87A4E8}" destId="{1437EB27-F862-42DA-8721-E52208CCCFC3}" srcOrd="1" destOrd="0" parTransId="{07A4E444-5C47-4029-B027-4B2CBE8CFFE0}" sibTransId="{7AD5A3A9-8251-4E25-A0D3-9979ECE5D255}"/>
    <dgm:cxn modelId="{90E53674-734C-413F-BAA1-5E4A29FE7881}" type="presOf" srcId="{78E5133C-AAD9-46B6-8E44-D9ACC31F8582}" destId="{483CC475-C8EB-4282-A06C-4EB925FFE8CE}" srcOrd="0" destOrd="2" presId="urn:microsoft.com/office/officeart/2005/8/layout/hList1"/>
    <dgm:cxn modelId="{82BB7754-2E75-403E-A466-28D869D650C0}" srcId="{11782B45-161E-463F-BAFD-F45BD2A1BA45}" destId="{953B61C8-952E-4ACE-9D2E-83F57D87A4E8}" srcOrd="1" destOrd="0" parTransId="{9F3D35AE-ADEB-4B73-A397-E5F4F610F67B}" sibTransId="{9719F231-3C67-4381-8B86-2EBF78CD3BC1}"/>
    <dgm:cxn modelId="{C2580176-A9E2-4ABD-A073-C6146491FB0F}" type="presOf" srcId="{95917B4E-9421-4CB3-AF7F-38931DE00E77}" destId="{D33E5DED-7DBC-43DF-A34D-5EF3DA977DEE}" srcOrd="0" destOrd="1" presId="urn:microsoft.com/office/officeart/2005/8/layout/hList1"/>
    <dgm:cxn modelId="{1CD07B58-EC01-499C-B8E0-8C748680600E}" type="presOf" srcId="{C606EEFE-09AA-4EF1-93D4-AC4D884F8852}" destId="{A93DD95E-DB6B-43DF-8B0D-08440C90A68F}" srcOrd="0" destOrd="1" presId="urn:microsoft.com/office/officeart/2005/8/layout/hList1"/>
    <dgm:cxn modelId="{6735DC78-66A7-439B-815B-91D7C57598A6}" type="presOf" srcId="{FB5C1690-C31B-4F01-A8BF-E2E7B120D2FC}" destId="{A93DD95E-DB6B-43DF-8B0D-08440C90A68F}" srcOrd="0" destOrd="6" presId="urn:microsoft.com/office/officeart/2005/8/layout/hList1"/>
    <dgm:cxn modelId="{CD690A85-812B-4BB8-930E-AEEDE4FA7BF8}" srcId="{8ABF7066-0C83-486D-A5AE-68CEEDF5B2E3}" destId="{FE992E19-F910-4962-86BC-4EFF637CDA41}" srcOrd="0" destOrd="0" parTransId="{392486A5-3427-4011-8AA1-56319BB0AB38}" sibTransId="{266B4F95-1AC9-4601-B9B4-37C2B864C1B4}"/>
    <dgm:cxn modelId="{FF7A2389-E983-4510-972E-52980EC7BC83}" type="presOf" srcId="{1D3F23F6-00C4-4794-A572-F6C292F25FF1}" destId="{A93DD95E-DB6B-43DF-8B0D-08440C90A68F}" srcOrd="0" destOrd="3" presId="urn:microsoft.com/office/officeart/2005/8/layout/hList1"/>
    <dgm:cxn modelId="{0A29C389-99B9-4EC2-B134-74008BFDB7B2}" type="presOf" srcId="{85ACA162-A05A-4504-9673-32F36ABBE277}" destId="{D33E5DED-7DBC-43DF-A34D-5EF3DA977DEE}" srcOrd="0" destOrd="0" presId="urn:microsoft.com/office/officeart/2005/8/layout/hList1"/>
    <dgm:cxn modelId="{62881F8A-29CE-4697-BEA5-80ACFF98B29F}" type="presOf" srcId="{21AF56C5-0A52-4ACF-90EF-306DFDBC2043}" destId="{483CC475-C8EB-4282-A06C-4EB925FFE8CE}" srcOrd="0" destOrd="0" presId="urn:microsoft.com/office/officeart/2005/8/layout/hList1"/>
    <dgm:cxn modelId="{8576BE8A-E443-4721-A58D-92811F2B8801}" type="presOf" srcId="{81EAF28A-D850-476A-9C9A-58BD86EE77B0}" destId="{421DBE31-EF64-430F-A6BB-CC2920C9C0FA}" srcOrd="0" destOrd="0" presId="urn:microsoft.com/office/officeart/2005/8/layout/hList1"/>
    <dgm:cxn modelId="{1BD14D8B-68BB-4BC8-8EAA-91E7AE193F6E}" type="presOf" srcId="{8EBE47AB-2D48-472E-A8C6-4CEDA15CF202}" destId="{226076BC-0069-4ED6-8EF7-24655550A96C}" srcOrd="0" destOrd="0" presId="urn:microsoft.com/office/officeart/2005/8/layout/hList1"/>
    <dgm:cxn modelId="{54169C8D-7389-4AEF-96E7-D15AB58E86D8}" srcId="{9E9653C3-C8F6-4797-99A7-918A878DEEC5}" destId="{BC712E23-1D31-4342-B962-9C24BCCC39C3}" srcOrd="4" destOrd="0" parTransId="{D01F9E82-6EA8-43CE-BA41-8038242BDE54}" sibTransId="{41375DF7-E1AB-4684-8953-1B2635067E48}"/>
    <dgm:cxn modelId="{61316D96-89EE-428A-829E-11BE79AB7315}" srcId="{9E9653C3-C8F6-4797-99A7-918A878DEEC5}" destId="{85ACA162-A05A-4504-9673-32F36ABBE277}" srcOrd="0" destOrd="0" parTransId="{60009D47-C8A5-41FA-855D-72957FD7AD83}" sibTransId="{F8E9010C-C77B-422B-9929-E478AFA77C1A}"/>
    <dgm:cxn modelId="{7BF8D7A0-2AB6-4533-9BEE-21436E9A3420}" srcId="{953B61C8-952E-4ACE-9D2E-83F57D87A4E8}" destId="{78E5133C-AAD9-46B6-8E44-D9ACC31F8582}" srcOrd="0" destOrd="0" parTransId="{BB0B4469-683A-421A-96E2-5C90BC7601BB}" sibTransId="{6EA27F50-D453-4334-836E-4EE2F8B2B5A8}"/>
    <dgm:cxn modelId="{B4299FA3-62BF-4316-84DF-3178BA20F835}" srcId="{11782B45-161E-463F-BAFD-F45BD2A1BA45}" destId="{21AF56C5-0A52-4ACF-90EF-306DFDBC2043}" srcOrd="0" destOrd="0" parTransId="{CC71D9A3-416A-447E-851B-BA631EB395CC}" sibTransId="{6311945E-2C28-4797-BEA4-7EF7E583B216}"/>
    <dgm:cxn modelId="{16A5E7A5-4B4F-43A0-8272-C5E3910A8DF4}" type="presOf" srcId="{11782B45-161E-463F-BAFD-F45BD2A1BA45}" destId="{34F26884-0B72-40C2-804D-3CE0FB48D0F8}" srcOrd="0" destOrd="0" presId="urn:microsoft.com/office/officeart/2005/8/layout/hList1"/>
    <dgm:cxn modelId="{A640D8AA-03C0-4B3E-BD44-374676A801C2}" srcId="{81EAF28A-D850-476A-9C9A-58BD86EE77B0}" destId="{11782B45-161E-463F-BAFD-F45BD2A1BA45}" srcOrd="4" destOrd="0" parTransId="{9F2E2E65-892C-4314-AC92-185A16CF8FE0}" sibTransId="{BAFECE52-0E81-44DD-91BD-E31DA5F7789A}"/>
    <dgm:cxn modelId="{23325EB1-52D5-42F9-A00C-2462E57D88A8}" type="presOf" srcId="{0155A345-DF4D-420A-A732-80D01BC7524C}" destId="{D33E5DED-7DBC-43DF-A34D-5EF3DA977DEE}" srcOrd="0" destOrd="3" presId="urn:microsoft.com/office/officeart/2005/8/layout/hList1"/>
    <dgm:cxn modelId="{19C9ABBA-66C4-406D-9E98-47BB8E553472}" srcId="{81EAF28A-D850-476A-9C9A-58BD86EE77B0}" destId="{3D842D6F-C473-44B0-9C70-16840DA28668}" srcOrd="2" destOrd="0" parTransId="{E1FD361C-2D8B-4E64-9B4D-D93C0A9F95C1}" sibTransId="{8448BC1F-4908-4F9B-B1B1-583CD358D96C}"/>
    <dgm:cxn modelId="{414680BB-4A30-4D7C-9B53-6D0447319C3E}" srcId="{9E9653C3-C8F6-4797-99A7-918A878DEEC5}" destId="{95917B4E-9421-4CB3-AF7F-38931DE00E77}" srcOrd="1" destOrd="0" parTransId="{93C0C44D-3018-4CEE-9445-052600744DDB}" sibTransId="{8C04B903-07CE-49BB-AFBD-14A3ECF52F4A}"/>
    <dgm:cxn modelId="{EE7249C1-9958-487A-A97B-DB68BEC9E7B0}" srcId="{81EAF28A-D850-476A-9C9A-58BD86EE77B0}" destId="{E7EC8171-951D-4865-9FE9-842B73744621}" srcOrd="1" destOrd="0" parTransId="{6A1456A1-08A2-49BA-B66B-D9B216BA83ED}" sibTransId="{E07842D5-9223-4367-9151-FC2AAF0AA535}"/>
    <dgm:cxn modelId="{897F0EC4-7C3E-4F31-A1F0-9942B927456A}" type="presOf" srcId="{017268A7-EF18-4EEB-9BB0-B23A1F50C214}" destId="{A93DD95E-DB6B-43DF-8B0D-08440C90A68F}" srcOrd="0" destOrd="5" presId="urn:microsoft.com/office/officeart/2005/8/layout/hList1"/>
    <dgm:cxn modelId="{CE7A0CC9-1B93-4AC2-8FA5-83E6EEC764F2}" srcId="{81EAF28A-D850-476A-9C9A-58BD86EE77B0}" destId="{8ABF7066-0C83-486D-A5AE-68CEEDF5B2E3}" srcOrd="3" destOrd="0" parTransId="{2E2A8851-A282-4DD7-B0F4-600E82F17D7C}" sibTransId="{8B5EBE4D-8671-4BAE-9C0F-A6C1D36A7902}"/>
    <dgm:cxn modelId="{385897CA-BE88-466E-8C89-46CFEAB712F0}" type="presOf" srcId="{953B61C8-952E-4ACE-9D2E-83F57D87A4E8}" destId="{483CC475-C8EB-4282-A06C-4EB925FFE8CE}" srcOrd="0" destOrd="1" presId="urn:microsoft.com/office/officeart/2005/8/layout/hList1"/>
    <dgm:cxn modelId="{ABFB8DCB-D315-4F6D-AB69-7CF871B60C29}" type="presOf" srcId="{E7EC8171-951D-4865-9FE9-842B73744621}" destId="{8D0CBE84-E83F-4DAB-B9F4-F82F5010C8C3}" srcOrd="0" destOrd="0" presId="urn:microsoft.com/office/officeart/2005/8/layout/hList1"/>
    <dgm:cxn modelId="{6AB4C5CB-DADE-40A0-B3A3-F269DDBD3C3F}" type="presOf" srcId="{FE992E19-F910-4962-86BC-4EFF637CDA41}" destId="{A93DD95E-DB6B-43DF-8B0D-08440C90A68F}" srcOrd="0" destOrd="0" presId="urn:microsoft.com/office/officeart/2005/8/layout/hList1"/>
    <dgm:cxn modelId="{497D2DCC-9AA8-49E1-99A4-3FD122E69887}" srcId="{81EAF28A-D850-476A-9C9A-58BD86EE77B0}" destId="{9E9653C3-C8F6-4797-99A7-918A878DEEC5}" srcOrd="0" destOrd="0" parTransId="{12F2D22C-A36C-4214-ADAA-DD747D0241E3}" sibTransId="{E9E06FF0-C740-45F7-91C0-02DE2600A22B}"/>
    <dgm:cxn modelId="{F71CD6CD-DBD4-4DD5-A410-32D8AAAE2B2F}" type="presOf" srcId="{B4619C35-3DCF-444D-8A57-EEE691819F1C}" destId="{A93DD95E-DB6B-43DF-8B0D-08440C90A68F}" srcOrd="0" destOrd="2" presId="urn:microsoft.com/office/officeart/2005/8/layout/hList1"/>
    <dgm:cxn modelId="{6EAC83CE-F3F5-415C-AA84-3FF55287BA85}" srcId="{8ABF7066-0C83-486D-A5AE-68CEEDF5B2E3}" destId="{1D3F23F6-00C4-4794-A572-F6C292F25FF1}" srcOrd="3" destOrd="0" parTransId="{83B36701-6F92-46F6-BC9F-3B74D8DC73AB}" sibTransId="{A00E566E-5D4D-4024-A138-8A85B11C2F50}"/>
    <dgm:cxn modelId="{0A2221D9-05C7-40DD-8BD7-57DA896A7B3A}" srcId="{E7EC8171-951D-4865-9FE9-842B73744621}" destId="{9345C419-3096-4F91-AFF1-7DA5FBAFFABD}" srcOrd="0" destOrd="0" parTransId="{ECDD805A-36FD-4DEA-B488-89BDEE688095}" sibTransId="{F8D56D51-4D77-4460-BBA6-0808C964CE6E}"/>
    <dgm:cxn modelId="{50376BE4-9AFC-483A-967D-49BE74D3822F}" type="presOf" srcId="{9E9653C3-C8F6-4797-99A7-918A878DEEC5}" destId="{EA5D54F0-B35C-4F9B-8079-C7911D0D1854}" srcOrd="0" destOrd="0" presId="urn:microsoft.com/office/officeart/2005/8/layout/hList1"/>
    <dgm:cxn modelId="{66606CE5-670E-4471-9C99-4C750285AF4F}" type="presOf" srcId="{18F7088C-16D4-4165-A2D1-7102032B8430}" destId="{226076BC-0069-4ED6-8EF7-24655550A96C}" srcOrd="0" destOrd="1" presId="urn:microsoft.com/office/officeart/2005/8/layout/hList1"/>
    <dgm:cxn modelId="{08A1EEE7-40F5-4949-B1E1-052D7022960D}" srcId="{8ABF7066-0C83-486D-A5AE-68CEEDF5B2E3}" destId="{B7974453-C284-4A4E-9E84-E095390A24EA}" srcOrd="4" destOrd="0" parTransId="{998028FB-134D-440D-A205-8DC8821D72E6}" sibTransId="{09B2B538-7A36-48D9-A909-54E3E438D165}"/>
    <dgm:cxn modelId="{11A191EA-7633-4534-88DF-303D9F83E340}" type="presOf" srcId="{9345C419-3096-4F91-AFF1-7DA5FBAFFABD}" destId="{94379ECC-AABF-4C02-92E5-D89006204918}" srcOrd="0" destOrd="0" presId="urn:microsoft.com/office/officeart/2005/8/layout/hList1"/>
    <dgm:cxn modelId="{DEFA4AEC-9FD4-4A5D-BEE9-60EA2D1A7D20}" type="presOf" srcId="{06B91EF0-5858-4564-91E1-B9E5778F6905}" destId="{483CC475-C8EB-4282-A06C-4EB925FFE8CE}" srcOrd="0" destOrd="4" presId="urn:microsoft.com/office/officeart/2005/8/layout/hList1"/>
    <dgm:cxn modelId="{C90B6BF4-5593-4B81-9106-9AFA80A557B7}" type="presOf" srcId="{B7974453-C284-4A4E-9E84-E095390A24EA}" destId="{A93DD95E-DB6B-43DF-8B0D-08440C90A68F}" srcOrd="0" destOrd="4" presId="urn:microsoft.com/office/officeart/2005/8/layout/hList1"/>
    <dgm:cxn modelId="{365301F2-8BE6-4166-A511-8E3EFC5A365C}" type="presParOf" srcId="{421DBE31-EF64-430F-A6BB-CC2920C9C0FA}" destId="{9DD0EC4B-7825-443C-B3A9-2447F66EA4B4}" srcOrd="0" destOrd="0" presId="urn:microsoft.com/office/officeart/2005/8/layout/hList1"/>
    <dgm:cxn modelId="{E42516DE-23BB-4E70-8EED-6E67DCB040F4}" type="presParOf" srcId="{9DD0EC4B-7825-443C-B3A9-2447F66EA4B4}" destId="{EA5D54F0-B35C-4F9B-8079-C7911D0D1854}" srcOrd="0" destOrd="0" presId="urn:microsoft.com/office/officeart/2005/8/layout/hList1"/>
    <dgm:cxn modelId="{BDEF39CF-908D-4368-B71C-88ABD651BEDF}" type="presParOf" srcId="{9DD0EC4B-7825-443C-B3A9-2447F66EA4B4}" destId="{D33E5DED-7DBC-43DF-A34D-5EF3DA977DEE}" srcOrd="1" destOrd="0" presId="urn:microsoft.com/office/officeart/2005/8/layout/hList1"/>
    <dgm:cxn modelId="{69C3FF42-A9EB-43D0-BE16-E0C417958E18}" type="presParOf" srcId="{421DBE31-EF64-430F-A6BB-CC2920C9C0FA}" destId="{B346103F-0F07-4798-AD3D-28E8D080E9FC}" srcOrd="1" destOrd="0" presId="urn:microsoft.com/office/officeart/2005/8/layout/hList1"/>
    <dgm:cxn modelId="{3B15CD42-68A7-4791-A178-97A9C7F09451}" type="presParOf" srcId="{421DBE31-EF64-430F-A6BB-CC2920C9C0FA}" destId="{6594C91F-CFA7-4375-9634-B69B89BF0269}" srcOrd="2" destOrd="0" presId="urn:microsoft.com/office/officeart/2005/8/layout/hList1"/>
    <dgm:cxn modelId="{A04A109F-C47F-4578-B388-4B80BA97EF72}" type="presParOf" srcId="{6594C91F-CFA7-4375-9634-B69B89BF0269}" destId="{8D0CBE84-E83F-4DAB-B9F4-F82F5010C8C3}" srcOrd="0" destOrd="0" presId="urn:microsoft.com/office/officeart/2005/8/layout/hList1"/>
    <dgm:cxn modelId="{435ED0B2-7760-44D0-949A-7343C6FDB312}" type="presParOf" srcId="{6594C91F-CFA7-4375-9634-B69B89BF0269}" destId="{94379ECC-AABF-4C02-92E5-D89006204918}" srcOrd="1" destOrd="0" presId="urn:microsoft.com/office/officeart/2005/8/layout/hList1"/>
    <dgm:cxn modelId="{74EF5E68-6AF7-4834-9FA6-9FA02BD39235}" type="presParOf" srcId="{421DBE31-EF64-430F-A6BB-CC2920C9C0FA}" destId="{32774CE2-E94D-4959-83B0-D0C8536A3535}" srcOrd="3" destOrd="0" presId="urn:microsoft.com/office/officeart/2005/8/layout/hList1"/>
    <dgm:cxn modelId="{3E54CB27-8D3C-403D-A953-7174E2CE18E0}" type="presParOf" srcId="{421DBE31-EF64-430F-A6BB-CC2920C9C0FA}" destId="{FFED3A6C-38A7-4A1C-A97D-8B53A12A0AE5}" srcOrd="4" destOrd="0" presId="urn:microsoft.com/office/officeart/2005/8/layout/hList1"/>
    <dgm:cxn modelId="{A96D0559-4CDB-49B7-9D9E-25A581667499}" type="presParOf" srcId="{FFED3A6C-38A7-4A1C-A97D-8B53A12A0AE5}" destId="{A1A0CF2C-45BC-424B-8B78-4F87E3156136}" srcOrd="0" destOrd="0" presId="urn:microsoft.com/office/officeart/2005/8/layout/hList1"/>
    <dgm:cxn modelId="{1EFC2CD7-708E-4930-B727-4B10C14D55D7}" type="presParOf" srcId="{FFED3A6C-38A7-4A1C-A97D-8B53A12A0AE5}" destId="{226076BC-0069-4ED6-8EF7-24655550A96C}" srcOrd="1" destOrd="0" presId="urn:microsoft.com/office/officeart/2005/8/layout/hList1"/>
    <dgm:cxn modelId="{319D0113-C53A-4466-8C97-71DA1682945B}" type="presParOf" srcId="{421DBE31-EF64-430F-A6BB-CC2920C9C0FA}" destId="{5FCC6E81-73FE-476D-BB07-8C93A68EFF71}" srcOrd="5" destOrd="0" presId="urn:microsoft.com/office/officeart/2005/8/layout/hList1"/>
    <dgm:cxn modelId="{B245D169-71B3-4DF7-8A71-8F434FE5F441}" type="presParOf" srcId="{421DBE31-EF64-430F-A6BB-CC2920C9C0FA}" destId="{568EDA16-3641-48F3-8A63-6D8E630D3422}" srcOrd="6" destOrd="0" presId="urn:microsoft.com/office/officeart/2005/8/layout/hList1"/>
    <dgm:cxn modelId="{02CC33BE-A16E-4461-A6BB-089C4BC3D463}" type="presParOf" srcId="{568EDA16-3641-48F3-8A63-6D8E630D3422}" destId="{A923DA04-A6BE-4C26-B145-71E615F5EC42}" srcOrd="0" destOrd="0" presId="urn:microsoft.com/office/officeart/2005/8/layout/hList1"/>
    <dgm:cxn modelId="{B655AC26-4596-4DAB-9BA4-D7004C9A849B}" type="presParOf" srcId="{568EDA16-3641-48F3-8A63-6D8E630D3422}" destId="{A93DD95E-DB6B-43DF-8B0D-08440C90A68F}" srcOrd="1" destOrd="0" presId="urn:microsoft.com/office/officeart/2005/8/layout/hList1"/>
    <dgm:cxn modelId="{50449332-050D-4764-8A71-79300D3B0046}" type="presParOf" srcId="{421DBE31-EF64-430F-A6BB-CC2920C9C0FA}" destId="{0584AD91-009B-4F09-A6BF-B5F368129FAC}" srcOrd="7" destOrd="0" presId="urn:microsoft.com/office/officeart/2005/8/layout/hList1"/>
    <dgm:cxn modelId="{694DB2EB-63F0-4936-8DF8-95D92187D8D5}" type="presParOf" srcId="{421DBE31-EF64-430F-A6BB-CC2920C9C0FA}" destId="{C8A14075-4FDA-4F9F-8C56-08DEAF9E8392}" srcOrd="8" destOrd="0" presId="urn:microsoft.com/office/officeart/2005/8/layout/hList1"/>
    <dgm:cxn modelId="{0C5A5A86-66F2-4696-86A1-76B4E7C98B5E}" type="presParOf" srcId="{C8A14075-4FDA-4F9F-8C56-08DEAF9E8392}" destId="{34F26884-0B72-40C2-804D-3CE0FB48D0F8}" srcOrd="0" destOrd="0" presId="urn:microsoft.com/office/officeart/2005/8/layout/hList1"/>
    <dgm:cxn modelId="{03AB6D62-F260-4B14-8EDD-C2A4F9DF945B}" type="presParOf" srcId="{C8A14075-4FDA-4F9F-8C56-08DEAF9E8392}" destId="{483CC475-C8EB-4282-A06C-4EB925FFE8CE}" srcOrd="1" destOrd="0" presId="urn:microsoft.com/office/officeart/2005/8/layout/hList1"/>
  </dgm:cxnLst>
  <dgm:bg>
    <a:noFill/>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92308ED-6289-438F-95DE-76B9F262AFF1}" type="doc">
      <dgm:prSet loTypeId="urn:microsoft.com/office/officeart/2005/8/layout/process3" loCatId="process" qsTypeId="urn:microsoft.com/office/officeart/2005/8/quickstyle/simple1" qsCatId="simple" csTypeId="urn:microsoft.com/office/officeart/2005/8/colors/colorful1" csCatId="colorful" phldr="1"/>
      <dgm:spPr/>
      <dgm:t>
        <a:bodyPr/>
        <a:lstStyle/>
        <a:p>
          <a:endParaRPr lang="en-US"/>
        </a:p>
      </dgm:t>
    </dgm:pt>
    <dgm:pt modelId="{81CB577F-181C-4CC2-9CBF-D560A4EF3581}">
      <dgm:prSet phldrT="[Text]" custT="1"/>
      <dgm:spPr/>
      <dgm:t>
        <a:bodyPr/>
        <a:lstStyle/>
        <a:p>
          <a:pPr algn="ctr"/>
          <a:r>
            <a:rPr lang="en-US" sz="850">
              <a:latin typeface="+mj-lt"/>
              <a:cs typeface="Calibri" panose="020F0502020204030204" pitchFamily="34" charset="0"/>
            </a:rPr>
            <a:t>Market Characterization</a:t>
          </a:r>
        </a:p>
      </dgm:t>
    </dgm:pt>
    <dgm:pt modelId="{DDBB4798-2CE2-4C25-BBC7-0FFD96D01614}" type="parTrans" cxnId="{9A54F9C2-48C4-4FAF-9671-60BF34E77DBA}">
      <dgm:prSet/>
      <dgm:spPr/>
      <dgm:t>
        <a:bodyPr/>
        <a:lstStyle/>
        <a:p>
          <a:pPr algn="ctr"/>
          <a:endParaRPr lang="en-US" sz="900">
            <a:latin typeface="Calibri" panose="020F0502020204030204" pitchFamily="34" charset="0"/>
            <a:cs typeface="Calibri" panose="020F0502020204030204" pitchFamily="34" charset="0"/>
          </a:endParaRPr>
        </a:p>
      </dgm:t>
    </dgm:pt>
    <dgm:pt modelId="{BD04E0B6-62D5-47C0-A5C2-01C30F44D8F7}" type="sibTrans" cxnId="{9A54F9C2-48C4-4FAF-9671-60BF34E77DBA}">
      <dgm:prSet custT="1"/>
      <dgm:spPr/>
      <dgm:t>
        <a:bodyPr/>
        <a:lstStyle/>
        <a:p>
          <a:pPr algn="ctr"/>
          <a:endParaRPr lang="en-US" sz="900">
            <a:latin typeface="Calibri" panose="020F0502020204030204" pitchFamily="34" charset="0"/>
            <a:cs typeface="Calibri" panose="020F0502020204030204" pitchFamily="34" charset="0"/>
          </a:endParaRPr>
        </a:p>
      </dgm:t>
    </dgm:pt>
    <dgm:pt modelId="{504B4804-83F6-4C04-9B72-73B9191EF65F}">
      <dgm:prSet phldrT="[Text]" custT="1"/>
      <dgm:spPr/>
      <dgm:t>
        <a:bodyPr/>
        <a:lstStyle/>
        <a:p>
          <a:pPr algn="ctr"/>
          <a:r>
            <a:rPr lang="en-US" sz="900">
              <a:latin typeface="+mn-lt"/>
              <a:cs typeface="Calibri" panose="020F0502020204030204" pitchFamily="34" charset="0"/>
            </a:rPr>
            <a:t>Segment by Sector, Geography and Size</a:t>
          </a:r>
        </a:p>
      </dgm:t>
    </dgm:pt>
    <dgm:pt modelId="{4EAF3955-AB32-4074-83EE-21A084361F80}" type="parTrans" cxnId="{8502F1F1-24B0-48DE-B97C-4BD2B925EE7C}">
      <dgm:prSet/>
      <dgm:spPr/>
      <dgm:t>
        <a:bodyPr/>
        <a:lstStyle/>
        <a:p>
          <a:pPr algn="ctr"/>
          <a:endParaRPr lang="en-US" sz="900">
            <a:latin typeface="Calibri" panose="020F0502020204030204" pitchFamily="34" charset="0"/>
            <a:cs typeface="Calibri" panose="020F0502020204030204" pitchFamily="34" charset="0"/>
          </a:endParaRPr>
        </a:p>
      </dgm:t>
    </dgm:pt>
    <dgm:pt modelId="{B45ED736-6FA4-403A-ACD4-920D9EC75170}" type="sibTrans" cxnId="{8502F1F1-24B0-48DE-B97C-4BD2B925EE7C}">
      <dgm:prSet/>
      <dgm:spPr/>
      <dgm:t>
        <a:bodyPr/>
        <a:lstStyle/>
        <a:p>
          <a:pPr algn="ctr"/>
          <a:endParaRPr lang="en-US" sz="900">
            <a:latin typeface="Calibri" panose="020F0502020204030204" pitchFamily="34" charset="0"/>
            <a:cs typeface="Calibri" panose="020F0502020204030204" pitchFamily="34" charset="0"/>
          </a:endParaRPr>
        </a:p>
      </dgm:t>
    </dgm:pt>
    <dgm:pt modelId="{38C2BE61-E665-40CF-8573-D4D499040A13}">
      <dgm:prSet phldrT="[Text]" custT="1"/>
      <dgm:spPr/>
      <dgm:t>
        <a:bodyPr/>
        <a:lstStyle/>
        <a:p>
          <a:pPr algn="ctr"/>
          <a:r>
            <a:rPr lang="en-US" sz="850">
              <a:latin typeface="+mj-lt"/>
              <a:cs typeface="Calibri" panose="020F0502020204030204" pitchFamily="34" charset="0"/>
            </a:rPr>
            <a:t>Characterize DSM Options</a:t>
          </a:r>
        </a:p>
      </dgm:t>
    </dgm:pt>
    <dgm:pt modelId="{3F6E00A9-DE66-49C5-AADE-888DC2BF3BD1}" type="parTrans" cxnId="{7D2E4BBF-D469-4E9E-9708-ECAB87727215}">
      <dgm:prSet/>
      <dgm:spPr/>
      <dgm:t>
        <a:bodyPr/>
        <a:lstStyle/>
        <a:p>
          <a:pPr algn="ctr"/>
          <a:endParaRPr lang="en-US" sz="900">
            <a:latin typeface="Calibri" panose="020F0502020204030204" pitchFamily="34" charset="0"/>
            <a:cs typeface="Calibri" panose="020F0502020204030204" pitchFamily="34" charset="0"/>
          </a:endParaRPr>
        </a:p>
      </dgm:t>
    </dgm:pt>
    <dgm:pt modelId="{BE5F6F3F-20A4-4786-8B8B-84F671175104}" type="sibTrans" cxnId="{7D2E4BBF-D469-4E9E-9708-ECAB87727215}">
      <dgm:prSet custT="1"/>
      <dgm:spPr/>
      <dgm:t>
        <a:bodyPr/>
        <a:lstStyle/>
        <a:p>
          <a:pPr algn="ctr"/>
          <a:endParaRPr lang="en-US" sz="900">
            <a:latin typeface="Calibri" panose="020F0502020204030204" pitchFamily="34" charset="0"/>
            <a:cs typeface="Calibri" panose="020F0502020204030204" pitchFamily="34" charset="0"/>
          </a:endParaRPr>
        </a:p>
      </dgm:t>
    </dgm:pt>
    <dgm:pt modelId="{45F84123-C3EB-45F5-8C6E-340D9C96B27F}">
      <dgm:prSet phldrT="[Text]" custT="1"/>
      <dgm:spPr/>
      <dgm:t>
        <a:bodyPr/>
        <a:lstStyle/>
        <a:p>
          <a:pPr algn="ctr"/>
          <a:r>
            <a:rPr lang="en-US" sz="900">
              <a:latin typeface="+mn-lt"/>
              <a:cs typeface="Calibri" panose="020F0502020204030204" pitchFamily="34" charset="0"/>
            </a:rPr>
            <a:t> DSR Options</a:t>
          </a:r>
        </a:p>
      </dgm:t>
    </dgm:pt>
    <dgm:pt modelId="{E8D9F0EF-EB3A-47A3-A207-D143CDD549D3}" type="parTrans" cxnId="{4CE44929-819B-4A1C-AB0A-38F5F5F48AF3}">
      <dgm:prSet/>
      <dgm:spPr/>
      <dgm:t>
        <a:bodyPr/>
        <a:lstStyle/>
        <a:p>
          <a:pPr algn="ctr"/>
          <a:endParaRPr lang="en-US" sz="900">
            <a:latin typeface="Calibri" panose="020F0502020204030204" pitchFamily="34" charset="0"/>
            <a:cs typeface="Calibri" panose="020F0502020204030204" pitchFamily="34" charset="0"/>
          </a:endParaRPr>
        </a:p>
      </dgm:t>
    </dgm:pt>
    <dgm:pt modelId="{FA2B11E7-B7F3-46B2-BA13-6E9E27404561}" type="sibTrans" cxnId="{4CE44929-819B-4A1C-AB0A-38F5F5F48AF3}">
      <dgm:prSet/>
      <dgm:spPr/>
      <dgm:t>
        <a:bodyPr/>
        <a:lstStyle/>
        <a:p>
          <a:pPr algn="ctr"/>
          <a:endParaRPr lang="en-US" sz="900">
            <a:latin typeface="Calibri" panose="020F0502020204030204" pitchFamily="34" charset="0"/>
            <a:cs typeface="Calibri" panose="020F0502020204030204" pitchFamily="34" charset="0"/>
          </a:endParaRPr>
        </a:p>
      </dgm:t>
    </dgm:pt>
    <dgm:pt modelId="{CFC5DA68-6CF6-4111-8808-45412B3923B7}">
      <dgm:prSet phldrT="[Text]" custT="1"/>
      <dgm:spPr/>
      <dgm:t>
        <a:bodyPr/>
        <a:lstStyle/>
        <a:p>
          <a:pPr algn="ctr"/>
          <a:r>
            <a:rPr lang="en-US" sz="850">
              <a:latin typeface="+mj-lt"/>
              <a:cs typeface="Calibri" panose="020F0502020204030204" pitchFamily="34" charset="0"/>
            </a:rPr>
            <a:t>Baseline Projection</a:t>
          </a:r>
        </a:p>
      </dgm:t>
    </dgm:pt>
    <dgm:pt modelId="{F2407AAD-1EA7-4AFB-B82D-9654095B9B82}" type="parTrans" cxnId="{987BA268-0329-4FC0-8521-3B5F5AFC9C67}">
      <dgm:prSet/>
      <dgm:spPr/>
      <dgm:t>
        <a:bodyPr/>
        <a:lstStyle/>
        <a:p>
          <a:pPr algn="ctr"/>
          <a:endParaRPr lang="en-US" sz="900">
            <a:latin typeface="Calibri" panose="020F0502020204030204" pitchFamily="34" charset="0"/>
            <a:cs typeface="Calibri" panose="020F0502020204030204" pitchFamily="34" charset="0"/>
          </a:endParaRPr>
        </a:p>
      </dgm:t>
    </dgm:pt>
    <dgm:pt modelId="{E4E0D162-9692-4CCE-A435-744A099C7985}" type="sibTrans" cxnId="{987BA268-0329-4FC0-8521-3B5F5AFC9C67}">
      <dgm:prSet custT="1"/>
      <dgm:spPr/>
      <dgm:t>
        <a:bodyPr/>
        <a:lstStyle/>
        <a:p>
          <a:pPr algn="ctr"/>
          <a:endParaRPr lang="en-US" sz="900">
            <a:latin typeface="Calibri" panose="020F0502020204030204" pitchFamily="34" charset="0"/>
            <a:cs typeface="Calibri" panose="020F0502020204030204" pitchFamily="34" charset="0"/>
          </a:endParaRPr>
        </a:p>
      </dgm:t>
    </dgm:pt>
    <dgm:pt modelId="{2C4A3386-6974-4345-A652-26DE46D9F265}">
      <dgm:prSet phldrT="[Text]" custT="1"/>
      <dgm:spPr/>
      <dgm:t>
        <a:bodyPr/>
        <a:lstStyle/>
        <a:p>
          <a:pPr algn="ctr"/>
          <a:r>
            <a:rPr lang="en-US" sz="900">
              <a:latin typeface="GT Eesti Display Light" panose="00000400000000000000" pitchFamily="50" charset="0"/>
              <a:cs typeface="Calibri" panose="020F0502020204030204" pitchFamily="34" charset="0"/>
            </a:rPr>
            <a:t> </a:t>
          </a:r>
          <a:r>
            <a:rPr lang="en-US" sz="900">
              <a:latin typeface="+mn-lt"/>
              <a:cs typeface="Calibri" panose="020F0502020204030204" pitchFamily="34" charset="0"/>
            </a:rPr>
            <a:t>Align with efficiency analysis </a:t>
          </a:r>
        </a:p>
      </dgm:t>
    </dgm:pt>
    <dgm:pt modelId="{0F297711-74E0-4DA5-9442-2587676F0A83}" type="parTrans" cxnId="{3790F33A-6BB0-4EBC-AD75-82D919A86536}">
      <dgm:prSet/>
      <dgm:spPr/>
      <dgm:t>
        <a:bodyPr/>
        <a:lstStyle/>
        <a:p>
          <a:pPr algn="ctr"/>
          <a:endParaRPr lang="en-US" sz="900">
            <a:latin typeface="Calibri" panose="020F0502020204030204" pitchFamily="34" charset="0"/>
            <a:cs typeface="Calibri" panose="020F0502020204030204" pitchFamily="34" charset="0"/>
          </a:endParaRPr>
        </a:p>
      </dgm:t>
    </dgm:pt>
    <dgm:pt modelId="{B4E83423-33C9-42FD-9A29-5033EBB85C5E}" type="sibTrans" cxnId="{3790F33A-6BB0-4EBC-AD75-82D919A86536}">
      <dgm:prSet/>
      <dgm:spPr/>
      <dgm:t>
        <a:bodyPr/>
        <a:lstStyle/>
        <a:p>
          <a:pPr algn="ctr"/>
          <a:endParaRPr lang="en-US" sz="900">
            <a:latin typeface="Calibri" panose="020F0502020204030204" pitchFamily="34" charset="0"/>
            <a:cs typeface="Calibri" panose="020F0502020204030204" pitchFamily="34" charset="0"/>
          </a:endParaRPr>
        </a:p>
      </dgm:t>
    </dgm:pt>
    <dgm:pt modelId="{E1C77653-A4CD-4B17-99BD-74376D6C8F4F}">
      <dgm:prSet phldrT="[Text]" custT="1"/>
      <dgm:spPr/>
      <dgm:t>
        <a:bodyPr/>
        <a:lstStyle/>
        <a:p>
          <a:pPr algn="ctr"/>
          <a:r>
            <a:rPr lang="en-US" sz="850">
              <a:latin typeface="+mj-lt"/>
              <a:cs typeface="Calibri" panose="020F0502020204030204" pitchFamily="34" charset="0"/>
            </a:rPr>
            <a:t>Potential Estimation</a:t>
          </a:r>
        </a:p>
      </dgm:t>
    </dgm:pt>
    <dgm:pt modelId="{E5405736-1732-4A68-9C98-96E32AD6419C}" type="parTrans" cxnId="{89A96ADE-85FA-4DD0-9521-91A60C4D2831}">
      <dgm:prSet/>
      <dgm:spPr/>
      <dgm:t>
        <a:bodyPr/>
        <a:lstStyle/>
        <a:p>
          <a:pPr algn="ctr"/>
          <a:endParaRPr lang="en-US" sz="900">
            <a:latin typeface="Calibri" panose="020F0502020204030204" pitchFamily="34" charset="0"/>
            <a:cs typeface="Calibri" panose="020F0502020204030204" pitchFamily="34" charset="0"/>
          </a:endParaRPr>
        </a:p>
      </dgm:t>
    </dgm:pt>
    <dgm:pt modelId="{EF432AE9-482E-465E-80EA-6CD281AE36DA}" type="sibTrans" cxnId="{89A96ADE-85FA-4DD0-9521-91A60C4D2831}">
      <dgm:prSet/>
      <dgm:spPr/>
      <dgm:t>
        <a:bodyPr/>
        <a:lstStyle/>
        <a:p>
          <a:pPr algn="ctr"/>
          <a:endParaRPr lang="en-US" sz="900">
            <a:latin typeface="Calibri" panose="020F0502020204030204" pitchFamily="34" charset="0"/>
            <a:cs typeface="Calibri" panose="020F0502020204030204" pitchFamily="34" charset="0"/>
          </a:endParaRPr>
        </a:p>
      </dgm:t>
    </dgm:pt>
    <dgm:pt modelId="{6F695178-0097-43EE-B0E6-8D9CF8DAFDB9}">
      <dgm:prSet phldrT="[Text]" custT="1"/>
      <dgm:spPr/>
      <dgm:t>
        <a:bodyPr/>
        <a:lstStyle/>
        <a:p>
          <a:pPr algn="ctr"/>
          <a:r>
            <a:rPr lang="en-US" sz="900">
              <a:latin typeface="+mn-lt"/>
              <a:cs typeface="Calibri" panose="020F0502020204030204" pitchFamily="34" charset="0"/>
            </a:rPr>
            <a:t>Achievable Technical</a:t>
          </a:r>
        </a:p>
      </dgm:t>
    </dgm:pt>
    <dgm:pt modelId="{973887E6-319D-45B1-A31E-FD777DBBD04B}" type="parTrans" cxnId="{6082F7D4-1D87-41F8-9353-514C8BBDC670}">
      <dgm:prSet/>
      <dgm:spPr/>
      <dgm:t>
        <a:bodyPr/>
        <a:lstStyle/>
        <a:p>
          <a:pPr algn="ctr"/>
          <a:endParaRPr lang="en-US" sz="900">
            <a:latin typeface="Calibri" panose="020F0502020204030204" pitchFamily="34" charset="0"/>
            <a:cs typeface="Calibri" panose="020F0502020204030204" pitchFamily="34" charset="0"/>
          </a:endParaRPr>
        </a:p>
      </dgm:t>
    </dgm:pt>
    <dgm:pt modelId="{AFB13960-EBAC-4D68-A740-B492912DA152}" type="sibTrans" cxnId="{6082F7D4-1D87-41F8-9353-514C8BBDC670}">
      <dgm:prSet/>
      <dgm:spPr/>
      <dgm:t>
        <a:bodyPr/>
        <a:lstStyle/>
        <a:p>
          <a:pPr algn="ctr"/>
          <a:endParaRPr lang="en-US" sz="900">
            <a:latin typeface="Calibri" panose="020F0502020204030204" pitchFamily="34" charset="0"/>
            <a:cs typeface="Calibri" panose="020F0502020204030204" pitchFamily="34" charset="0"/>
          </a:endParaRPr>
        </a:p>
      </dgm:t>
    </dgm:pt>
    <dgm:pt modelId="{D500B0A6-BF43-4FF0-B17B-1889760B040F}">
      <dgm:prSet phldrT="[Text]" custT="1"/>
      <dgm:spPr/>
      <dgm:t>
        <a:bodyPr/>
        <a:lstStyle/>
        <a:p>
          <a:pPr algn="ctr"/>
          <a:r>
            <a:rPr lang="en-US" sz="900">
              <a:latin typeface="GT Eesti Display Light" panose="00000400000000000000" pitchFamily="50" charset="0"/>
              <a:cs typeface="Calibri" panose="020F0502020204030204" pitchFamily="34" charset="0"/>
            </a:rPr>
            <a:t> </a:t>
          </a:r>
          <a:r>
            <a:rPr lang="en-US" sz="900">
              <a:latin typeface="+mn-lt"/>
              <a:cs typeface="Calibri" panose="020F0502020204030204" pitchFamily="34" charset="0"/>
            </a:rPr>
            <a:t>DLC Measure Options</a:t>
          </a:r>
        </a:p>
      </dgm:t>
    </dgm:pt>
    <dgm:pt modelId="{461CAE8E-7A4E-4A52-841C-250291A03731}" type="parTrans" cxnId="{26FF962E-0DDD-4061-9A75-5E96EB5D8C92}">
      <dgm:prSet/>
      <dgm:spPr/>
      <dgm:t>
        <a:bodyPr/>
        <a:lstStyle/>
        <a:p>
          <a:pPr algn="ctr"/>
          <a:endParaRPr lang="en-US" sz="900">
            <a:latin typeface="Calibri" panose="020F0502020204030204" pitchFamily="34" charset="0"/>
            <a:cs typeface="Calibri" panose="020F0502020204030204" pitchFamily="34" charset="0"/>
          </a:endParaRPr>
        </a:p>
      </dgm:t>
    </dgm:pt>
    <dgm:pt modelId="{288EA321-94EB-42A0-B0FE-3409BA920032}" type="sibTrans" cxnId="{26FF962E-0DDD-4061-9A75-5E96EB5D8C92}">
      <dgm:prSet/>
      <dgm:spPr/>
      <dgm:t>
        <a:bodyPr/>
        <a:lstStyle/>
        <a:p>
          <a:pPr algn="ctr"/>
          <a:endParaRPr lang="en-US" sz="900">
            <a:latin typeface="Calibri" panose="020F0502020204030204" pitchFamily="34" charset="0"/>
            <a:cs typeface="Calibri" panose="020F0502020204030204" pitchFamily="34" charset="0"/>
          </a:endParaRPr>
        </a:p>
      </dgm:t>
    </dgm:pt>
    <dgm:pt modelId="{9F16F9E8-6F2C-40FE-BEF3-4961F36E9A27}">
      <dgm:prSet phldrT="[Text]" custT="1"/>
      <dgm:spPr/>
      <dgm:t>
        <a:bodyPr/>
        <a:lstStyle/>
        <a:p>
          <a:pPr algn="ctr"/>
          <a:r>
            <a:rPr lang="en-US" sz="900">
              <a:latin typeface="+mn-lt"/>
              <a:cs typeface="Calibri" panose="020F0502020204030204" pitchFamily="34" charset="0"/>
            </a:rPr>
            <a:t> Account for Interactions</a:t>
          </a:r>
        </a:p>
      </dgm:t>
    </dgm:pt>
    <dgm:pt modelId="{2C7D7261-A3B4-4717-8286-AEC865DC2C4B}" type="parTrans" cxnId="{643E149E-4F81-4A4E-964D-2A29DD3F018D}">
      <dgm:prSet/>
      <dgm:spPr/>
      <dgm:t>
        <a:bodyPr/>
        <a:lstStyle/>
        <a:p>
          <a:pPr algn="ctr"/>
          <a:endParaRPr lang="en-US" sz="900">
            <a:latin typeface="Calibri" panose="020F0502020204030204" pitchFamily="34" charset="0"/>
            <a:cs typeface="Calibri" panose="020F0502020204030204" pitchFamily="34" charset="0"/>
          </a:endParaRPr>
        </a:p>
      </dgm:t>
    </dgm:pt>
    <dgm:pt modelId="{9234D902-32A8-4998-8C5B-5AA2706C0F1E}" type="sibTrans" cxnId="{643E149E-4F81-4A4E-964D-2A29DD3F018D}">
      <dgm:prSet/>
      <dgm:spPr/>
      <dgm:t>
        <a:bodyPr/>
        <a:lstStyle/>
        <a:p>
          <a:pPr algn="ctr"/>
          <a:endParaRPr lang="en-US" sz="900">
            <a:latin typeface="Calibri" panose="020F0502020204030204" pitchFamily="34" charset="0"/>
            <a:cs typeface="Calibri" panose="020F0502020204030204" pitchFamily="34" charset="0"/>
          </a:endParaRPr>
        </a:p>
      </dgm:t>
    </dgm:pt>
    <dgm:pt modelId="{6E247F71-8055-49A8-91B0-4750C76E9F3E}">
      <dgm:prSet phldrT="[Text]" custT="1"/>
      <dgm:spPr/>
      <dgm:t>
        <a:bodyPr/>
        <a:lstStyle/>
        <a:p>
          <a:pPr algn="ctr"/>
          <a:r>
            <a:rPr lang="en-US" sz="900">
              <a:latin typeface="+mn-lt"/>
              <a:cs typeface="Calibri" panose="020F0502020204030204" pitchFamily="34" charset="0"/>
            </a:rPr>
            <a:t>Pilot Realistic Achievable</a:t>
          </a:r>
        </a:p>
      </dgm:t>
    </dgm:pt>
    <dgm:pt modelId="{5F0D7FC7-BA0C-4409-83F0-3ACD890E70F9}" type="parTrans" cxnId="{F5FA6132-AEB9-4227-A396-DCAE34C92640}">
      <dgm:prSet/>
      <dgm:spPr/>
      <dgm:t>
        <a:bodyPr/>
        <a:lstStyle/>
        <a:p>
          <a:pPr algn="ctr"/>
          <a:endParaRPr lang="en-US" sz="900">
            <a:latin typeface="Calibri" panose="020F0502020204030204" pitchFamily="34" charset="0"/>
            <a:cs typeface="Calibri" panose="020F0502020204030204" pitchFamily="34" charset="0"/>
          </a:endParaRPr>
        </a:p>
      </dgm:t>
    </dgm:pt>
    <dgm:pt modelId="{84EE9F7F-9A24-4671-BE80-68CACD3188DA}" type="sibTrans" cxnId="{F5FA6132-AEB9-4227-A396-DCAE34C92640}">
      <dgm:prSet/>
      <dgm:spPr/>
      <dgm:t>
        <a:bodyPr/>
        <a:lstStyle/>
        <a:p>
          <a:pPr algn="ctr"/>
          <a:endParaRPr lang="en-US" sz="900">
            <a:latin typeface="Calibri" panose="020F0502020204030204" pitchFamily="34" charset="0"/>
            <a:cs typeface="Calibri" panose="020F0502020204030204" pitchFamily="34" charset="0"/>
          </a:endParaRPr>
        </a:p>
      </dgm:t>
    </dgm:pt>
    <dgm:pt modelId="{376232BB-3B2F-4E00-B386-D2BE7F12148A}">
      <dgm:prSet phldrT="[Text]" custT="1"/>
      <dgm:spPr/>
      <dgm:t>
        <a:bodyPr/>
        <a:lstStyle/>
        <a:p>
          <a:pPr algn="ctr"/>
          <a:r>
            <a:rPr lang="en-US" sz="900">
              <a:latin typeface="+mn-lt"/>
              <a:cs typeface="Calibri" panose="020F0502020204030204" pitchFamily="34" charset="0"/>
            </a:rPr>
            <a:t> DR Economic  Options</a:t>
          </a:r>
        </a:p>
      </dgm:t>
    </dgm:pt>
    <dgm:pt modelId="{10A16AB2-33C0-4740-8AAA-50959FD7A9E3}" type="parTrans" cxnId="{BBD46DE0-6B2E-4E11-AA67-6C1EB2B1BBD8}">
      <dgm:prSet/>
      <dgm:spPr/>
      <dgm:t>
        <a:bodyPr/>
        <a:lstStyle/>
        <a:p>
          <a:pPr algn="ctr"/>
          <a:endParaRPr lang="en-US" sz="900">
            <a:latin typeface="Calibri" panose="020F0502020204030204" pitchFamily="34" charset="0"/>
            <a:cs typeface="Calibri" panose="020F0502020204030204" pitchFamily="34" charset="0"/>
          </a:endParaRPr>
        </a:p>
      </dgm:t>
    </dgm:pt>
    <dgm:pt modelId="{0EF3668C-4A57-40B8-AE33-8ECDD4704445}" type="sibTrans" cxnId="{BBD46DE0-6B2E-4E11-AA67-6C1EB2B1BBD8}">
      <dgm:prSet/>
      <dgm:spPr/>
      <dgm:t>
        <a:bodyPr/>
        <a:lstStyle/>
        <a:p>
          <a:pPr algn="ctr"/>
          <a:endParaRPr lang="en-US" sz="900">
            <a:latin typeface="Calibri" panose="020F0502020204030204" pitchFamily="34" charset="0"/>
            <a:cs typeface="Calibri" panose="020F0502020204030204" pitchFamily="34" charset="0"/>
          </a:endParaRPr>
        </a:p>
      </dgm:t>
    </dgm:pt>
    <dgm:pt modelId="{56156F62-C672-4A4F-8286-6B14D47C8937}">
      <dgm:prSet phldrT="[Text]" custT="1"/>
      <dgm:spPr/>
      <dgm:t>
        <a:bodyPr/>
        <a:lstStyle/>
        <a:p>
          <a:pPr algn="ctr"/>
          <a:r>
            <a:rPr lang="en-US" sz="900">
              <a:latin typeface="+mn-lt"/>
              <a:cs typeface="Calibri" panose="020F0502020204030204" pitchFamily="34" charset="0"/>
            </a:rPr>
            <a:t>Realistic Achievable</a:t>
          </a:r>
        </a:p>
      </dgm:t>
    </dgm:pt>
    <dgm:pt modelId="{D6B78E14-40C0-4701-8084-29E1003AF0AD}" type="parTrans" cxnId="{1BCDE26E-920D-4A66-A979-DE7A88BCD919}">
      <dgm:prSet/>
      <dgm:spPr/>
      <dgm:t>
        <a:bodyPr/>
        <a:lstStyle/>
        <a:p>
          <a:pPr algn="ctr"/>
          <a:endParaRPr lang="en-US" sz="900">
            <a:latin typeface="Calibri" panose="020F0502020204030204" pitchFamily="34" charset="0"/>
            <a:cs typeface="Calibri" panose="020F0502020204030204" pitchFamily="34" charset="0"/>
          </a:endParaRPr>
        </a:p>
      </dgm:t>
    </dgm:pt>
    <dgm:pt modelId="{A0D65E3F-2750-4433-87A0-11F609D90E4B}" type="sibTrans" cxnId="{1BCDE26E-920D-4A66-A979-DE7A88BCD919}">
      <dgm:prSet/>
      <dgm:spPr/>
      <dgm:t>
        <a:bodyPr/>
        <a:lstStyle/>
        <a:p>
          <a:pPr algn="ctr"/>
          <a:endParaRPr lang="en-US" sz="900">
            <a:latin typeface="Calibri" panose="020F0502020204030204" pitchFamily="34" charset="0"/>
            <a:cs typeface="Calibri" panose="020F0502020204030204" pitchFamily="34" charset="0"/>
          </a:endParaRPr>
        </a:p>
      </dgm:t>
    </dgm:pt>
    <dgm:pt modelId="{F470CB57-2B92-4309-BC29-53D04354A1E5}">
      <dgm:prSet phldrT="[Text]" custT="1"/>
      <dgm:spPr/>
      <dgm:t>
        <a:bodyPr/>
        <a:lstStyle/>
        <a:p>
          <a:pPr algn="ctr"/>
          <a:r>
            <a:rPr lang="en-US" sz="900">
              <a:latin typeface="+mn-lt"/>
              <a:cs typeface="Calibri" panose="020F0502020204030204" pitchFamily="34" charset="0"/>
            </a:rPr>
            <a:t>Use DR Segmentation</a:t>
          </a:r>
        </a:p>
      </dgm:t>
    </dgm:pt>
    <dgm:pt modelId="{5CEF36C6-D003-4254-9179-6BA434110E50}" type="parTrans" cxnId="{551FBE23-949D-45B5-91FF-8DB6B6B09998}">
      <dgm:prSet/>
      <dgm:spPr/>
      <dgm:t>
        <a:bodyPr/>
        <a:lstStyle/>
        <a:p>
          <a:pPr algn="ctr"/>
          <a:endParaRPr lang="en-US" sz="900">
            <a:latin typeface="Calibri" panose="020F0502020204030204" pitchFamily="34" charset="0"/>
            <a:cs typeface="Calibri" panose="020F0502020204030204" pitchFamily="34" charset="0"/>
          </a:endParaRPr>
        </a:p>
      </dgm:t>
    </dgm:pt>
    <dgm:pt modelId="{22053744-E373-48D8-ACB5-D6D6E88A1EF9}" type="sibTrans" cxnId="{551FBE23-949D-45B5-91FF-8DB6B6B09998}">
      <dgm:prSet/>
      <dgm:spPr/>
      <dgm:t>
        <a:bodyPr/>
        <a:lstStyle/>
        <a:p>
          <a:pPr algn="ctr"/>
          <a:endParaRPr lang="en-US" sz="900">
            <a:latin typeface="Calibri" panose="020F0502020204030204" pitchFamily="34" charset="0"/>
            <a:cs typeface="Calibri" panose="020F0502020204030204" pitchFamily="34" charset="0"/>
          </a:endParaRPr>
        </a:p>
      </dgm:t>
    </dgm:pt>
    <dgm:pt modelId="{93393712-BFCD-44BB-9AAA-A68262B504CB}">
      <dgm:prSet phldrT="[Text]" custT="1"/>
      <dgm:spPr/>
      <dgm:t>
        <a:bodyPr/>
        <a:lstStyle/>
        <a:p>
          <a:pPr algn="ctr"/>
          <a:r>
            <a:rPr lang="en-US" sz="900">
              <a:latin typeface="+mn-lt"/>
              <a:cs typeface="Calibri" panose="020F0502020204030204" pitchFamily="34" charset="0"/>
            </a:rPr>
            <a:t>Align with EE Analysis</a:t>
          </a:r>
        </a:p>
      </dgm:t>
    </dgm:pt>
    <dgm:pt modelId="{EEEB3E15-8EEE-4BB2-A95C-AD0BCFC6E3CF}" type="parTrans" cxnId="{BEE1C9A8-ECAE-4937-8F67-A8CBF41396F3}">
      <dgm:prSet/>
      <dgm:spPr/>
      <dgm:t>
        <a:bodyPr/>
        <a:lstStyle/>
        <a:p>
          <a:pPr algn="ctr"/>
          <a:endParaRPr lang="en-US"/>
        </a:p>
      </dgm:t>
    </dgm:pt>
    <dgm:pt modelId="{13E1F887-4516-4054-8730-7188AFB89581}" type="sibTrans" cxnId="{BEE1C9A8-ECAE-4937-8F67-A8CBF41396F3}">
      <dgm:prSet/>
      <dgm:spPr/>
      <dgm:t>
        <a:bodyPr/>
        <a:lstStyle/>
        <a:p>
          <a:pPr algn="ctr"/>
          <a:endParaRPr lang="en-US"/>
        </a:p>
      </dgm:t>
    </dgm:pt>
    <dgm:pt modelId="{B16FA2D1-43C9-4A97-B134-BA777D28020E}" type="pres">
      <dgm:prSet presAssocID="{C92308ED-6289-438F-95DE-76B9F262AFF1}" presName="linearFlow" presStyleCnt="0">
        <dgm:presLayoutVars>
          <dgm:dir/>
          <dgm:animLvl val="lvl"/>
          <dgm:resizeHandles val="exact"/>
        </dgm:presLayoutVars>
      </dgm:prSet>
      <dgm:spPr/>
    </dgm:pt>
    <dgm:pt modelId="{2B98FF42-F374-466C-A928-89F1B08C00AD}" type="pres">
      <dgm:prSet presAssocID="{81CB577F-181C-4CC2-9CBF-D560A4EF3581}" presName="composite" presStyleCnt="0"/>
      <dgm:spPr/>
    </dgm:pt>
    <dgm:pt modelId="{485EB7FB-13A2-4B47-A5D5-F42402B12C88}" type="pres">
      <dgm:prSet presAssocID="{81CB577F-181C-4CC2-9CBF-D560A4EF3581}" presName="parTx" presStyleLbl="node1" presStyleIdx="0" presStyleCnt="4">
        <dgm:presLayoutVars>
          <dgm:chMax val="0"/>
          <dgm:chPref val="0"/>
          <dgm:bulletEnabled val="1"/>
        </dgm:presLayoutVars>
      </dgm:prSet>
      <dgm:spPr/>
    </dgm:pt>
    <dgm:pt modelId="{998F7209-D7C5-40C4-B2EC-97C0C4D4D047}" type="pres">
      <dgm:prSet presAssocID="{81CB577F-181C-4CC2-9CBF-D560A4EF3581}" presName="parSh" presStyleLbl="node1" presStyleIdx="0" presStyleCnt="4"/>
      <dgm:spPr/>
    </dgm:pt>
    <dgm:pt modelId="{20A52E23-BD05-4E7A-87EE-E6C7011A6533}" type="pres">
      <dgm:prSet presAssocID="{81CB577F-181C-4CC2-9CBF-D560A4EF3581}" presName="desTx" presStyleLbl="fgAcc1" presStyleIdx="0" presStyleCnt="4">
        <dgm:presLayoutVars>
          <dgm:bulletEnabled val="1"/>
        </dgm:presLayoutVars>
      </dgm:prSet>
      <dgm:spPr/>
    </dgm:pt>
    <dgm:pt modelId="{4701A909-1E14-4357-ACC1-C8C34ADDA470}" type="pres">
      <dgm:prSet presAssocID="{BD04E0B6-62D5-47C0-A5C2-01C30F44D8F7}" presName="sibTrans" presStyleLbl="sibTrans2D1" presStyleIdx="0" presStyleCnt="3"/>
      <dgm:spPr/>
    </dgm:pt>
    <dgm:pt modelId="{409FCDC0-6864-4C42-A0CE-2A46B41E4B70}" type="pres">
      <dgm:prSet presAssocID="{BD04E0B6-62D5-47C0-A5C2-01C30F44D8F7}" presName="connTx" presStyleLbl="sibTrans2D1" presStyleIdx="0" presStyleCnt="3"/>
      <dgm:spPr/>
    </dgm:pt>
    <dgm:pt modelId="{8A4560A8-19D0-4A9C-BA06-33A6B9F89F37}" type="pres">
      <dgm:prSet presAssocID="{CFC5DA68-6CF6-4111-8808-45412B3923B7}" presName="composite" presStyleCnt="0"/>
      <dgm:spPr/>
    </dgm:pt>
    <dgm:pt modelId="{2A350132-8186-4E94-A31D-99C15DA863CA}" type="pres">
      <dgm:prSet presAssocID="{CFC5DA68-6CF6-4111-8808-45412B3923B7}" presName="parTx" presStyleLbl="node1" presStyleIdx="0" presStyleCnt="4">
        <dgm:presLayoutVars>
          <dgm:chMax val="0"/>
          <dgm:chPref val="0"/>
          <dgm:bulletEnabled val="1"/>
        </dgm:presLayoutVars>
      </dgm:prSet>
      <dgm:spPr/>
    </dgm:pt>
    <dgm:pt modelId="{6175BD2C-BEA0-4B3C-8139-AECEEAA99B88}" type="pres">
      <dgm:prSet presAssocID="{CFC5DA68-6CF6-4111-8808-45412B3923B7}" presName="parSh" presStyleLbl="node1" presStyleIdx="1" presStyleCnt="4"/>
      <dgm:spPr/>
    </dgm:pt>
    <dgm:pt modelId="{EAD6325B-5D79-48B0-835C-B03171468C5B}" type="pres">
      <dgm:prSet presAssocID="{CFC5DA68-6CF6-4111-8808-45412B3923B7}" presName="desTx" presStyleLbl="fgAcc1" presStyleIdx="1" presStyleCnt="4">
        <dgm:presLayoutVars>
          <dgm:bulletEnabled val="1"/>
        </dgm:presLayoutVars>
      </dgm:prSet>
      <dgm:spPr/>
    </dgm:pt>
    <dgm:pt modelId="{8269DBEF-5940-48DD-AA8F-7105D4239A0F}" type="pres">
      <dgm:prSet presAssocID="{E4E0D162-9692-4CCE-A435-744A099C7985}" presName="sibTrans" presStyleLbl="sibTrans2D1" presStyleIdx="1" presStyleCnt="3"/>
      <dgm:spPr/>
    </dgm:pt>
    <dgm:pt modelId="{BFDFC5E7-4832-4A91-9546-F478D162608C}" type="pres">
      <dgm:prSet presAssocID="{E4E0D162-9692-4CCE-A435-744A099C7985}" presName="connTx" presStyleLbl="sibTrans2D1" presStyleIdx="1" presStyleCnt="3"/>
      <dgm:spPr/>
    </dgm:pt>
    <dgm:pt modelId="{7B538D36-F69E-400D-95AC-2024A9E57407}" type="pres">
      <dgm:prSet presAssocID="{38C2BE61-E665-40CF-8573-D4D499040A13}" presName="composite" presStyleCnt="0"/>
      <dgm:spPr/>
    </dgm:pt>
    <dgm:pt modelId="{5D815463-B326-4A11-927B-740621C45E97}" type="pres">
      <dgm:prSet presAssocID="{38C2BE61-E665-40CF-8573-D4D499040A13}" presName="parTx" presStyleLbl="node1" presStyleIdx="1" presStyleCnt="4">
        <dgm:presLayoutVars>
          <dgm:chMax val="0"/>
          <dgm:chPref val="0"/>
          <dgm:bulletEnabled val="1"/>
        </dgm:presLayoutVars>
      </dgm:prSet>
      <dgm:spPr/>
    </dgm:pt>
    <dgm:pt modelId="{5C1EDC57-B7FC-4306-8774-675A983F99E6}" type="pres">
      <dgm:prSet presAssocID="{38C2BE61-E665-40CF-8573-D4D499040A13}" presName="parSh" presStyleLbl="node1" presStyleIdx="2" presStyleCnt="4"/>
      <dgm:spPr/>
    </dgm:pt>
    <dgm:pt modelId="{0931E3EF-CE5B-4D16-AC3C-B0B76E05645A}" type="pres">
      <dgm:prSet presAssocID="{38C2BE61-E665-40CF-8573-D4D499040A13}" presName="desTx" presStyleLbl="fgAcc1" presStyleIdx="2" presStyleCnt="4">
        <dgm:presLayoutVars>
          <dgm:bulletEnabled val="1"/>
        </dgm:presLayoutVars>
      </dgm:prSet>
      <dgm:spPr/>
    </dgm:pt>
    <dgm:pt modelId="{7CE9C1D2-C395-4016-9664-AD17A42F7439}" type="pres">
      <dgm:prSet presAssocID="{BE5F6F3F-20A4-4786-8B8B-84F671175104}" presName="sibTrans" presStyleLbl="sibTrans2D1" presStyleIdx="2" presStyleCnt="3"/>
      <dgm:spPr/>
    </dgm:pt>
    <dgm:pt modelId="{BF1728A6-9832-4B12-A5C9-629F806AA1F9}" type="pres">
      <dgm:prSet presAssocID="{BE5F6F3F-20A4-4786-8B8B-84F671175104}" presName="connTx" presStyleLbl="sibTrans2D1" presStyleIdx="2" presStyleCnt="3"/>
      <dgm:spPr/>
    </dgm:pt>
    <dgm:pt modelId="{94D25326-2E7A-4D2D-BD19-26BE999C5A43}" type="pres">
      <dgm:prSet presAssocID="{E1C77653-A4CD-4B17-99BD-74376D6C8F4F}" presName="composite" presStyleCnt="0"/>
      <dgm:spPr/>
    </dgm:pt>
    <dgm:pt modelId="{A1D241DD-0C82-4E87-9BA9-C080071FFDB6}" type="pres">
      <dgm:prSet presAssocID="{E1C77653-A4CD-4B17-99BD-74376D6C8F4F}" presName="parTx" presStyleLbl="node1" presStyleIdx="2" presStyleCnt="4">
        <dgm:presLayoutVars>
          <dgm:chMax val="0"/>
          <dgm:chPref val="0"/>
          <dgm:bulletEnabled val="1"/>
        </dgm:presLayoutVars>
      </dgm:prSet>
      <dgm:spPr/>
    </dgm:pt>
    <dgm:pt modelId="{DAE58A93-7C38-4316-B51E-D1FB3817687D}" type="pres">
      <dgm:prSet presAssocID="{E1C77653-A4CD-4B17-99BD-74376D6C8F4F}" presName="parSh" presStyleLbl="node1" presStyleIdx="3" presStyleCnt="4"/>
      <dgm:spPr/>
    </dgm:pt>
    <dgm:pt modelId="{67E5556E-616A-46E4-91B0-ACC0C1BAE10B}" type="pres">
      <dgm:prSet presAssocID="{E1C77653-A4CD-4B17-99BD-74376D6C8F4F}" presName="desTx" presStyleLbl="fgAcc1" presStyleIdx="3" presStyleCnt="4">
        <dgm:presLayoutVars>
          <dgm:bulletEnabled val="1"/>
        </dgm:presLayoutVars>
      </dgm:prSet>
      <dgm:spPr/>
    </dgm:pt>
  </dgm:ptLst>
  <dgm:cxnLst>
    <dgm:cxn modelId="{D0448D0E-B979-4EF2-9DFC-6E3C11365AEF}" type="presOf" srcId="{6F695178-0097-43EE-B0E6-8D9CF8DAFDB9}" destId="{67E5556E-616A-46E4-91B0-ACC0C1BAE10B}" srcOrd="0" destOrd="0" presId="urn:microsoft.com/office/officeart/2005/8/layout/process3"/>
    <dgm:cxn modelId="{7EF1A521-DB2A-4096-A2DC-29E3DAC98CD2}" type="presOf" srcId="{E1C77653-A4CD-4B17-99BD-74376D6C8F4F}" destId="{DAE58A93-7C38-4316-B51E-D1FB3817687D}" srcOrd="1" destOrd="0" presId="urn:microsoft.com/office/officeart/2005/8/layout/process3"/>
    <dgm:cxn modelId="{551FBE23-949D-45B5-91FF-8DB6B6B09998}" srcId="{CFC5DA68-6CF6-4111-8808-45412B3923B7}" destId="{F470CB57-2B92-4309-BC29-53D04354A1E5}" srcOrd="1" destOrd="0" parTransId="{5CEF36C6-D003-4254-9179-6BA434110E50}" sibTransId="{22053744-E373-48D8-ACB5-D6D6E88A1EF9}"/>
    <dgm:cxn modelId="{4CE44929-819B-4A1C-AB0A-38F5F5F48AF3}" srcId="{38C2BE61-E665-40CF-8573-D4D499040A13}" destId="{45F84123-C3EB-45F5-8C6E-340D9C96B27F}" srcOrd="2" destOrd="0" parTransId="{E8D9F0EF-EB3A-47A3-A207-D143CDD549D3}" sibTransId="{FA2B11E7-B7F3-46B2-BA13-6E9E27404561}"/>
    <dgm:cxn modelId="{AC12E929-3896-4A38-8F62-12DC259FDD3A}" type="presOf" srcId="{45F84123-C3EB-45F5-8C6E-340D9C96B27F}" destId="{0931E3EF-CE5B-4D16-AC3C-B0B76E05645A}" srcOrd="0" destOrd="2" presId="urn:microsoft.com/office/officeart/2005/8/layout/process3"/>
    <dgm:cxn modelId="{26FF962E-0DDD-4061-9A75-5E96EB5D8C92}" srcId="{38C2BE61-E665-40CF-8573-D4D499040A13}" destId="{D500B0A6-BF43-4FF0-B17B-1889760B040F}" srcOrd="0" destOrd="0" parTransId="{461CAE8E-7A4E-4A52-841C-250291A03731}" sibTransId="{288EA321-94EB-42A0-B0FE-3409BA920032}"/>
    <dgm:cxn modelId="{F5FA6132-AEB9-4227-A396-DCAE34C92640}" srcId="{E1C77653-A4CD-4B17-99BD-74376D6C8F4F}" destId="{6E247F71-8055-49A8-91B0-4750C76E9F3E}" srcOrd="2" destOrd="0" parTransId="{5F0D7FC7-BA0C-4409-83F0-3ACD890E70F9}" sibTransId="{84EE9F7F-9A24-4671-BE80-68CACD3188DA}"/>
    <dgm:cxn modelId="{3790F33A-6BB0-4EBC-AD75-82D919A86536}" srcId="{CFC5DA68-6CF6-4111-8808-45412B3923B7}" destId="{2C4A3386-6974-4345-A652-26DE46D9F265}" srcOrd="0" destOrd="0" parTransId="{0F297711-74E0-4DA5-9442-2587676F0A83}" sibTransId="{B4E83423-33C9-42FD-9A29-5033EBB85C5E}"/>
    <dgm:cxn modelId="{3A98595B-8052-4401-AB09-17F4321E52AB}" type="presOf" srcId="{E1C77653-A4CD-4B17-99BD-74376D6C8F4F}" destId="{A1D241DD-0C82-4E87-9BA9-C080071FFDB6}" srcOrd="0" destOrd="0" presId="urn:microsoft.com/office/officeart/2005/8/layout/process3"/>
    <dgm:cxn modelId="{E35A8E61-B42C-40DB-8FF7-AA7191DFD407}" type="presOf" srcId="{BE5F6F3F-20A4-4786-8B8B-84F671175104}" destId="{7CE9C1D2-C395-4016-9664-AD17A42F7439}" srcOrd="0" destOrd="0" presId="urn:microsoft.com/office/officeart/2005/8/layout/process3"/>
    <dgm:cxn modelId="{FC557C42-E9AE-434E-9BAA-8F9CC59AD5F5}" type="presOf" srcId="{D500B0A6-BF43-4FF0-B17B-1889760B040F}" destId="{0931E3EF-CE5B-4D16-AC3C-B0B76E05645A}" srcOrd="0" destOrd="0" presId="urn:microsoft.com/office/officeart/2005/8/layout/process3"/>
    <dgm:cxn modelId="{9E7F2363-6FCB-4B6A-9656-AA4F2EB25A24}" type="presOf" srcId="{BD04E0B6-62D5-47C0-A5C2-01C30F44D8F7}" destId="{409FCDC0-6864-4C42-A0CE-2A46B41E4B70}" srcOrd="1" destOrd="0" presId="urn:microsoft.com/office/officeart/2005/8/layout/process3"/>
    <dgm:cxn modelId="{E60F2B66-0E50-4463-B30E-CB74732E1C47}" type="presOf" srcId="{BE5F6F3F-20A4-4786-8B8B-84F671175104}" destId="{BF1728A6-9832-4B12-A5C9-629F806AA1F9}" srcOrd="1" destOrd="0" presId="urn:microsoft.com/office/officeart/2005/8/layout/process3"/>
    <dgm:cxn modelId="{987BA268-0329-4FC0-8521-3B5F5AFC9C67}" srcId="{C92308ED-6289-438F-95DE-76B9F262AFF1}" destId="{CFC5DA68-6CF6-4111-8808-45412B3923B7}" srcOrd="1" destOrd="0" parTransId="{F2407AAD-1EA7-4AFB-B82D-9654095B9B82}" sibTransId="{E4E0D162-9692-4CCE-A435-744A099C7985}"/>
    <dgm:cxn modelId="{7DDFA66E-2F11-4866-BC34-6C71C713EEA8}" type="presOf" srcId="{81CB577F-181C-4CC2-9CBF-D560A4EF3581}" destId="{485EB7FB-13A2-4B47-A5D5-F42402B12C88}" srcOrd="0" destOrd="0" presId="urn:microsoft.com/office/officeart/2005/8/layout/process3"/>
    <dgm:cxn modelId="{1BCDE26E-920D-4A66-A979-DE7A88BCD919}" srcId="{E1C77653-A4CD-4B17-99BD-74376D6C8F4F}" destId="{56156F62-C672-4A4F-8286-6B14D47C8937}" srcOrd="1" destOrd="0" parTransId="{D6B78E14-40C0-4701-8084-29E1003AF0AD}" sibTransId="{A0D65E3F-2750-4433-87A0-11F609D90E4B}"/>
    <dgm:cxn modelId="{A3E5334F-C313-44B7-AD80-144724C6ECAB}" type="presOf" srcId="{C92308ED-6289-438F-95DE-76B9F262AFF1}" destId="{B16FA2D1-43C9-4A97-B134-BA777D28020E}" srcOrd="0" destOrd="0" presId="urn:microsoft.com/office/officeart/2005/8/layout/process3"/>
    <dgm:cxn modelId="{70B1DA74-4EF7-4608-BF50-C465A916EA2E}" type="presOf" srcId="{38C2BE61-E665-40CF-8573-D4D499040A13}" destId="{5D815463-B326-4A11-927B-740621C45E97}" srcOrd="0" destOrd="0" presId="urn:microsoft.com/office/officeart/2005/8/layout/process3"/>
    <dgm:cxn modelId="{DF05A057-F5FE-4B72-B6A3-D8B3BEA5767D}" type="presOf" srcId="{CFC5DA68-6CF6-4111-8808-45412B3923B7}" destId="{2A350132-8186-4E94-A31D-99C15DA863CA}" srcOrd="0" destOrd="0" presId="urn:microsoft.com/office/officeart/2005/8/layout/process3"/>
    <dgm:cxn modelId="{BC1FC380-147A-43B9-999E-B83DC7EA965B}" type="presOf" srcId="{376232BB-3B2F-4E00-B386-D2BE7F12148A}" destId="{0931E3EF-CE5B-4D16-AC3C-B0B76E05645A}" srcOrd="0" destOrd="1" presId="urn:microsoft.com/office/officeart/2005/8/layout/process3"/>
    <dgm:cxn modelId="{81441A82-B593-493B-A39C-8CB9392CFF54}" type="presOf" srcId="{9F16F9E8-6F2C-40FE-BEF3-4961F36E9A27}" destId="{EAD6325B-5D79-48B0-835C-B03171468C5B}" srcOrd="0" destOrd="2" presId="urn:microsoft.com/office/officeart/2005/8/layout/process3"/>
    <dgm:cxn modelId="{643E149E-4F81-4A4E-964D-2A29DD3F018D}" srcId="{CFC5DA68-6CF6-4111-8808-45412B3923B7}" destId="{9F16F9E8-6F2C-40FE-BEF3-4961F36E9A27}" srcOrd="2" destOrd="0" parTransId="{2C7D7261-A3B4-4717-8286-AEC865DC2C4B}" sibTransId="{9234D902-32A8-4998-8C5B-5AA2706C0F1E}"/>
    <dgm:cxn modelId="{F3D7E4A7-C80F-4B37-9050-C47CEE502871}" type="presOf" srcId="{F470CB57-2B92-4309-BC29-53D04354A1E5}" destId="{EAD6325B-5D79-48B0-835C-B03171468C5B}" srcOrd="0" destOrd="1" presId="urn:microsoft.com/office/officeart/2005/8/layout/process3"/>
    <dgm:cxn modelId="{BEE1C9A8-ECAE-4937-8F67-A8CBF41396F3}" srcId="{81CB577F-181C-4CC2-9CBF-D560A4EF3581}" destId="{93393712-BFCD-44BB-9AAA-A68262B504CB}" srcOrd="1" destOrd="0" parTransId="{EEEB3E15-8EEE-4BB2-A95C-AD0BCFC6E3CF}" sibTransId="{13E1F887-4516-4054-8730-7188AFB89581}"/>
    <dgm:cxn modelId="{85CAB6AD-46A0-44BB-A498-36D52F2C89DB}" type="presOf" srcId="{6E247F71-8055-49A8-91B0-4750C76E9F3E}" destId="{67E5556E-616A-46E4-91B0-ACC0C1BAE10B}" srcOrd="0" destOrd="2" presId="urn:microsoft.com/office/officeart/2005/8/layout/process3"/>
    <dgm:cxn modelId="{DA55CDAE-6547-4F09-85DA-784FB5E8E54F}" type="presOf" srcId="{2C4A3386-6974-4345-A652-26DE46D9F265}" destId="{EAD6325B-5D79-48B0-835C-B03171468C5B}" srcOrd="0" destOrd="0" presId="urn:microsoft.com/office/officeart/2005/8/layout/process3"/>
    <dgm:cxn modelId="{97F0D1B1-AB24-4069-80C1-4687BA3D9E43}" type="presOf" srcId="{E4E0D162-9692-4CCE-A435-744A099C7985}" destId="{BFDFC5E7-4832-4A91-9546-F478D162608C}" srcOrd="1" destOrd="0" presId="urn:microsoft.com/office/officeart/2005/8/layout/process3"/>
    <dgm:cxn modelId="{7D2E4BBF-D469-4E9E-9708-ECAB87727215}" srcId="{C92308ED-6289-438F-95DE-76B9F262AFF1}" destId="{38C2BE61-E665-40CF-8573-D4D499040A13}" srcOrd="2" destOrd="0" parTransId="{3F6E00A9-DE66-49C5-AADE-888DC2BF3BD1}" sibTransId="{BE5F6F3F-20A4-4786-8B8B-84F671175104}"/>
    <dgm:cxn modelId="{9A54F9C2-48C4-4FAF-9671-60BF34E77DBA}" srcId="{C92308ED-6289-438F-95DE-76B9F262AFF1}" destId="{81CB577F-181C-4CC2-9CBF-D560A4EF3581}" srcOrd="0" destOrd="0" parTransId="{DDBB4798-2CE2-4C25-BBC7-0FFD96D01614}" sibTransId="{BD04E0B6-62D5-47C0-A5C2-01C30F44D8F7}"/>
    <dgm:cxn modelId="{6F0CCAC5-100A-4B6C-9047-772D56E581AD}" type="presOf" srcId="{93393712-BFCD-44BB-9AAA-A68262B504CB}" destId="{20A52E23-BD05-4E7A-87EE-E6C7011A6533}" srcOrd="0" destOrd="1" presId="urn:microsoft.com/office/officeart/2005/8/layout/process3"/>
    <dgm:cxn modelId="{113211C7-AD9E-4F5D-841F-29815CBC1A91}" type="presOf" srcId="{504B4804-83F6-4C04-9B72-73B9191EF65F}" destId="{20A52E23-BD05-4E7A-87EE-E6C7011A6533}" srcOrd="0" destOrd="0" presId="urn:microsoft.com/office/officeart/2005/8/layout/process3"/>
    <dgm:cxn modelId="{6082F7D4-1D87-41F8-9353-514C8BBDC670}" srcId="{E1C77653-A4CD-4B17-99BD-74376D6C8F4F}" destId="{6F695178-0097-43EE-B0E6-8D9CF8DAFDB9}" srcOrd="0" destOrd="0" parTransId="{973887E6-319D-45B1-A31E-FD777DBBD04B}" sibTransId="{AFB13960-EBAC-4D68-A740-B492912DA152}"/>
    <dgm:cxn modelId="{89A96ADE-85FA-4DD0-9521-91A60C4D2831}" srcId="{C92308ED-6289-438F-95DE-76B9F262AFF1}" destId="{E1C77653-A4CD-4B17-99BD-74376D6C8F4F}" srcOrd="3" destOrd="0" parTransId="{E5405736-1732-4A68-9C98-96E32AD6419C}" sibTransId="{EF432AE9-482E-465E-80EA-6CD281AE36DA}"/>
    <dgm:cxn modelId="{BBD46DE0-6B2E-4E11-AA67-6C1EB2B1BBD8}" srcId="{38C2BE61-E665-40CF-8573-D4D499040A13}" destId="{376232BB-3B2F-4E00-B386-D2BE7F12148A}" srcOrd="1" destOrd="0" parTransId="{10A16AB2-33C0-4740-8AAA-50959FD7A9E3}" sibTransId="{0EF3668C-4A57-40B8-AE33-8ECDD4704445}"/>
    <dgm:cxn modelId="{552883E9-637F-4707-A985-95507CC38B0C}" type="presOf" srcId="{56156F62-C672-4A4F-8286-6B14D47C8937}" destId="{67E5556E-616A-46E4-91B0-ACC0C1BAE10B}" srcOrd="0" destOrd="1" presId="urn:microsoft.com/office/officeart/2005/8/layout/process3"/>
    <dgm:cxn modelId="{073312EA-B4A7-4C6D-BD1E-20288C7CAA24}" type="presOf" srcId="{81CB577F-181C-4CC2-9CBF-D560A4EF3581}" destId="{998F7209-D7C5-40C4-B2EC-97C0C4D4D047}" srcOrd="1" destOrd="0" presId="urn:microsoft.com/office/officeart/2005/8/layout/process3"/>
    <dgm:cxn modelId="{8502F1F1-24B0-48DE-B97C-4BD2B925EE7C}" srcId="{81CB577F-181C-4CC2-9CBF-D560A4EF3581}" destId="{504B4804-83F6-4C04-9B72-73B9191EF65F}" srcOrd="0" destOrd="0" parTransId="{4EAF3955-AB32-4074-83EE-21A084361F80}" sibTransId="{B45ED736-6FA4-403A-ACD4-920D9EC75170}"/>
    <dgm:cxn modelId="{28C630F2-A7B9-4CA2-8C2B-A2144BC68A49}" type="presOf" srcId="{BD04E0B6-62D5-47C0-A5C2-01C30F44D8F7}" destId="{4701A909-1E14-4357-ACC1-C8C34ADDA470}" srcOrd="0" destOrd="0" presId="urn:microsoft.com/office/officeart/2005/8/layout/process3"/>
    <dgm:cxn modelId="{12D8ADF5-C81F-4AC0-A5ED-B576007F6CCE}" type="presOf" srcId="{CFC5DA68-6CF6-4111-8808-45412B3923B7}" destId="{6175BD2C-BEA0-4B3C-8139-AECEEAA99B88}" srcOrd="1" destOrd="0" presId="urn:microsoft.com/office/officeart/2005/8/layout/process3"/>
    <dgm:cxn modelId="{58B4E1FE-9EBB-4700-B5FA-21682A2581E6}" type="presOf" srcId="{38C2BE61-E665-40CF-8573-D4D499040A13}" destId="{5C1EDC57-B7FC-4306-8774-675A983F99E6}" srcOrd="1" destOrd="0" presId="urn:microsoft.com/office/officeart/2005/8/layout/process3"/>
    <dgm:cxn modelId="{019466FF-F4A9-42B5-B77B-69D82504466F}" type="presOf" srcId="{E4E0D162-9692-4CCE-A435-744A099C7985}" destId="{8269DBEF-5940-48DD-AA8F-7105D4239A0F}" srcOrd="0" destOrd="0" presId="urn:microsoft.com/office/officeart/2005/8/layout/process3"/>
    <dgm:cxn modelId="{9AE51B8C-5618-4D5A-A476-69103B68FC7B}" type="presParOf" srcId="{B16FA2D1-43C9-4A97-B134-BA777D28020E}" destId="{2B98FF42-F374-466C-A928-89F1B08C00AD}" srcOrd="0" destOrd="0" presId="urn:microsoft.com/office/officeart/2005/8/layout/process3"/>
    <dgm:cxn modelId="{FB0EA2E0-F98D-4BC4-90DF-C752CC1F5362}" type="presParOf" srcId="{2B98FF42-F374-466C-A928-89F1B08C00AD}" destId="{485EB7FB-13A2-4B47-A5D5-F42402B12C88}" srcOrd="0" destOrd="0" presId="urn:microsoft.com/office/officeart/2005/8/layout/process3"/>
    <dgm:cxn modelId="{72D29D74-2315-4F93-8FEA-C083516DDEF8}" type="presParOf" srcId="{2B98FF42-F374-466C-A928-89F1B08C00AD}" destId="{998F7209-D7C5-40C4-B2EC-97C0C4D4D047}" srcOrd="1" destOrd="0" presId="urn:microsoft.com/office/officeart/2005/8/layout/process3"/>
    <dgm:cxn modelId="{DFFC4759-0D9B-4CF2-BF49-7DA3EC63692C}" type="presParOf" srcId="{2B98FF42-F374-466C-A928-89F1B08C00AD}" destId="{20A52E23-BD05-4E7A-87EE-E6C7011A6533}" srcOrd="2" destOrd="0" presId="urn:microsoft.com/office/officeart/2005/8/layout/process3"/>
    <dgm:cxn modelId="{D1779D9B-23E6-477D-8517-A4AD4C72AD7B}" type="presParOf" srcId="{B16FA2D1-43C9-4A97-B134-BA777D28020E}" destId="{4701A909-1E14-4357-ACC1-C8C34ADDA470}" srcOrd="1" destOrd="0" presId="urn:microsoft.com/office/officeart/2005/8/layout/process3"/>
    <dgm:cxn modelId="{66962F6F-137D-4130-852F-20154EAC83C3}" type="presParOf" srcId="{4701A909-1E14-4357-ACC1-C8C34ADDA470}" destId="{409FCDC0-6864-4C42-A0CE-2A46B41E4B70}" srcOrd="0" destOrd="0" presId="urn:microsoft.com/office/officeart/2005/8/layout/process3"/>
    <dgm:cxn modelId="{309BBF48-1104-4DD1-9725-A8249A269644}" type="presParOf" srcId="{B16FA2D1-43C9-4A97-B134-BA777D28020E}" destId="{8A4560A8-19D0-4A9C-BA06-33A6B9F89F37}" srcOrd="2" destOrd="0" presId="urn:microsoft.com/office/officeart/2005/8/layout/process3"/>
    <dgm:cxn modelId="{54EBA399-F4C4-457E-9A47-6F44AA23233D}" type="presParOf" srcId="{8A4560A8-19D0-4A9C-BA06-33A6B9F89F37}" destId="{2A350132-8186-4E94-A31D-99C15DA863CA}" srcOrd="0" destOrd="0" presId="urn:microsoft.com/office/officeart/2005/8/layout/process3"/>
    <dgm:cxn modelId="{06D90ACF-EEA8-4F8A-895C-D7DB566BB2D0}" type="presParOf" srcId="{8A4560A8-19D0-4A9C-BA06-33A6B9F89F37}" destId="{6175BD2C-BEA0-4B3C-8139-AECEEAA99B88}" srcOrd="1" destOrd="0" presId="urn:microsoft.com/office/officeart/2005/8/layout/process3"/>
    <dgm:cxn modelId="{06BB4AA0-CA4F-481C-A730-B84ACE07726B}" type="presParOf" srcId="{8A4560A8-19D0-4A9C-BA06-33A6B9F89F37}" destId="{EAD6325B-5D79-48B0-835C-B03171468C5B}" srcOrd="2" destOrd="0" presId="urn:microsoft.com/office/officeart/2005/8/layout/process3"/>
    <dgm:cxn modelId="{78066B49-47B3-4A51-BA97-38473EAEA2DF}" type="presParOf" srcId="{B16FA2D1-43C9-4A97-B134-BA777D28020E}" destId="{8269DBEF-5940-48DD-AA8F-7105D4239A0F}" srcOrd="3" destOrd="0" presId="urn:microsoft.com/office/officeart/2005/8/layout/process3"/>
    <dgm:cxn modelId="{0D167CD9-920B-44AF-B40D-E3D5E47FD0DB}" type="presParOf" srcId="{8269DBEF-5940-48DD-AA8F-7105D4239A0F}" destId="{BFDFC5E7-4832-4A91-9546-F478D162608C}" srcOrd="0" destOrd="0" presId="urn:microsoft.com/office/officeart/2005/8/layout/process3"/>
    <dgm:cxn modelId="{EF895A4C-80EF-45F7-818C-3203317E2CB7}" type="presParOf" srcId="{B16FA2D1-43C9-4A97-B134-BA777D28020E}" destId="{7B538D36-F69E-400D-95AC-2024A9E57407}" srcOrd="4" destOrd="0" presId="urn:microsoft.com/office/officeart/2005/8/layout/process3"/>
    <dgm:cxn modelId="{32608A54-6092-46CF-A150-771DBBBEB84C}" type="presParOf" srcId="{7B538D36-F69E-400D-95AC-2024A9E57407}" destId="{5D815463-B326-4A11-927B-740621C45E97}" srcOrd="0" destOrd="0" presId="urn:microsoft.com/office/officeart/2005/8/layout/process3"/>
    <dgm:cxn modelId="{94BD8241-24A9-4640-89EE-0A3B6474255A}" type="presParOf" srcId="{7B538D36-F69E-400D-95AC-2024A9E57407}" destId="{5C1EDC57-B7FC-4306-8774-675A983F99E6}" srcOrd="1" destOrd="0" presId="urn:microsoft.com/office/officeart/2005/8/layout/process3"/>
    <dgm:cxn modelId="{9DE99C04-83D3-4C9C-91F5-105B5DA82079}" type="presParOf" srcId="{7B538D36-F69E-400D-95AC-2024A9E57407}" destId="{0931E3EF-CE5B-4D16-AC3C-B0B76E05645A}" srcOrd="2" destOrd="0" presId="urn:microsoft.com/office/officeart/2005/8/layout/process3"/>
    <dgm:cxn modelId="{7F61A556-C1F5-47CC-A5D9-2C653F0AAA6A}" type="presParOf" srcId="{B16FA2D1-43C9-4A97-B134-BA777D28020E}" destId="{7CE9C1D2-C395-4016-9664-AD17A42F7439}" srcOrd="5" destOrd="0" presId="urn:microsoft.com/office/officeart/2005/8/layout/process3"/>
    <dgm:cxn modelId="{DD71EB91-1DFB-4A0E-9BA6-C89E0520BEB7}" type="presParOf" srcId="{7CE9C1D2-C395-4016-9664-AD17A42F7439}" destId="{BF1728A6-9832-4B12-A5C9-629F806AA1F9}" srcOrd="0" destOrd="0" presId="urn:microsoft.com/office/officeart/2005/8/layout/process3"/>
    <dgm:cxn modelId="{292E9A52-B9BC-41B3-B21B-EB5A0E18015D}" type="presParOf" srcId="{B16FA2D1-43C9-4A97-B134-BA777D28020E}" destId="{94D25326-2E7A-4D2D-BD19-26BE999C5A43}" srcOrd="6" destOrd="0" presId="urn:microsoft.com/office/officeart/2005/8/layout/process3"/>
    <dgm:cxn modelId="{2F8A3D06-28EF-4F3A-B250-54B87056E106}" type="presParOf" srcId="{94D25326-2E7A-4D2D-BD19-26BE999C5A43}" destId="{A1D241DD-0C82-4E87-9BA9-C080071FFDB6}" srcOrd="0" destOrd="0" presId="urn:microsoft.com/office/officeart/2005/8/layout/process3"/>
    <dgm:cxn modelId="{9320F400-32B8-44AA-BC81-893EB39E13E0}" type="presParOf" srcId="{94D25326-2E7A-4D2D-BD19-26BE999C5A43}" destId="{DAE58A93-7C38-4316-B51E-D1FB3817687D}" srcOrd="1" destOrd="0" presId="urn:microsoft.com/office/officeart/2005/8/layout/process3"/>
    <dgm:cxn modelId="{A6062A7E-C6F6-40F1-B7CF-A31C29EAA41C}" type="presParOf" srcId="{94D25326-2E7A-4D2D-BD19-26BE999C5A43}" destId="{67E5556E-616A-46E4-91B0-ACC0C1BAE10B}" srcOrd="2" destOrd="0" presId="urn:microsoft.com/office/officeart/2005/8/layout/process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5D54F0-B35C-4F9B-8079-C7911D0D1854}">
      <dsp:nvSpPr>
        <dsp:cNvPr id="0" name=""/>
        <dsp:cNvSpPr/>
      </dsp:nvSpPr>
      <dsp:spPr>
        <a:xfrm>
          <a:off x="2754" y="438461"/>
          <a:ext cx="1056009" cy="325501"/>
        </a:xfrm>
        <a:prstGeom prst="rect">
          <a:avLst/>
        </a:prstGeom>
        <a:gradFill rotWithShape="0">
          <a:gsLst>
            <a:gs pos="0">
              <a:srgbClr val="1E13A6">
                <a:hueOff val="0"/>
                <a:satOff val="0"/>
                <a:lumOff val="0"/>
                <a:alphaOff val="0"/>
                <a:lumMod val="110000"/>
                <a:satMod val="105000"/>
                <a:tint val="67000"/>
              </a:srgbClr>
            </a:gs>
            <a:gs pos="50000">
              <a:srgbClr val="1E13A6">
                <a:hueOff val="0"/>
                <a:satOff val="0"/>
                <a:lumOff val="0"/>
                <a:alphaOff val="0"/>
                <a:lumMod val="105000"/>
                <a:satMod val="103000"/>
                <a:tint val="73000"/>
              </a:srgbClr>
            </a:gs>
            <a:gs pos="100000">
              <a:srgbClr val="1E13A6">
                <a:hueOff val="0"/>
                <a:satOff val="0"/>
                <a:lumOff val="0"/>
                <a:alphaOff val="0"/>
                <a:lumMod val="105000"/>
                <a:satMod val="109000"/>
                <a:tint val="81000"/>
              </a:srgbClr>
            </a:gs>
          </a:gsLst>
          <a:lin ang="5400000" scaled="0"/>
        </a:gradFill>
        <a:ln w="6350" cap="flat" cmpd="sng" algn="ctr">
          <a:solidFill>
            <a:srgbClr val="1E13A6">
              <a:hueOff val="0"/>
              <a:satOff val="0"/>
              <a:lumOff val="0"/>
              <a:alphaOff val="0"/>
            </a:srgb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64008" tIns="36576" rIns="64008" bIns="36576"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19172B"/>
              </a:solidFill>
              <a:latin typeface="Aptos" panose="020B0004020202020204" pitchFamily="34" charset="0"/>
              <a:ea typeface="+mn-ea"/>
              <a:cs typeface="Calibri Light" panose="020F0302020204030204" pitchFamily="34" charset="0"/>
            </a:rPr>
            <a:t>Market Profiles</a:t>
          </a:r>
        </a:p>
      </dsp:txBody>
      <dsp:txXfrm>
        <a:off x="2754" y="438461"/>
        <a:ext cx="1056009" cy="325501"/>
      </dsp:txXfrm>
    </dsp:sp>
    <dsp:sp modelId="{D33E5DED-7DBC-43DF-A34D-5EF3DA977DEE}">
      <dsp:nvSpPr>
        <dsp:cNvPr id="0" name=""/>
        <dsp:cNvSpPr/>
      </dsp:nvSpPr>
      <dsp:spPr>
        <a:xfrm>
          <a:off x="2754" y="763963"/>
          <a:ext cx="1056009" cy="1760231"/>
        </a:xfrm>
        <a:prstGeom prst="rect">
          <a:avLst/>
        </a:prstGeom>
        <a:solidFill>
          <a:srgbClr val="1E13A6">
            <a:tint val="40000"/>
            <a:alpha val="90000"/>
            <a:hueOff val="0"/>
            <a:satOff val="0"/>
            <a:lumOff val="0"/>
            <a:alphaOff val="0"/>
          </a:srgbClr>
        </a:solidFill>
        <a:ln w="6350" cap="flat" cmpd="sng" algn="ctr">
          <a:solidFill>
            <a:srgbClr val="1E13A6">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Market size and segmentation</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Equipment saturation</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Vintage distribution</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Unit energy consumption</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Existing and new construction</a:t>
          </a:r>
        </a:p>
      </dsp:txBody>
      <dsp:txXfrm>
        <a:off x="2754" y="763963"/>
        <a:ext cx="1056009" cy="1760231"/>
      </dsp:txXfrm>
    </dsp:sp>
    <dsp:sp modelId="{8D0CBE84-E83F-4DAB-B9F4-F82F5010C8C3}">
      <dsp:nvSpPr>
        <dsp:cNvPr id="0" name=""/>
        <dsp:cNvSpPr/>
      </dsp:nvSpPr>
      <dsp:spPr>
        <a:xfrm>
          <a:off x="1206606" y="438461"/>
          <a:ext cx="1056009" cy="325501"/>
        </a:xfrm>
        <a:prstGeom prst="rect">
          <a:avLst/>
        </a:prstGeom>
        <a:gradFill rotWithShape="0">
          <a:gsLst>
            <a:gs pos="0">
              <a:srgbClr val="00B3FF">
                <a:hueOff val="0"/>
                <a:satOff val="0"/>
                <a:lumOff val="0"/>
                <a:alphaOff val="0"/>
                <a:lumMod val="110000"/>
                <a:satMod val="105000"/>
                <a:tint val="67000"/>
              </a:srgbClr>
            </a:gs>
            <a:gs pos="50000">
              <a:srgbClr val="00B3FF">
                <a:hueOff val="0"/>
                <a:satOff val="0"/>
                <a:lumOff val="0"/>
                <a:alphaOff val="0"/>
                <a:lumMod val="105000"/>
                <a:satMod val="103000"/>
                <a:tint val="73000"/>
              </a:srgbClr>
            </a:gs>
            <a:gs pos="100000">
              <a:srgbClr val="00B3FF">
                <a:hueOff val="0"/>
                <a:satOff val="0"/>
                <a:lumOff val="0"/>
                <a:alphaOff val="0"/>
                <a:lumMod val="105000"/>
                <a:satMod val="109000"/>
                <a:tint val="81000"/>
              </a:srgbClr>
            </a:gs>
          </a:gsLst>
          <a:lin ang="5400000" scaled="0"/>
        </a:gradFill>
        <a:ln w="6350" cap="flat" cmpd="sng" algn="ctr">
          <a:solidFill>
            <a:srgbClr val="00B3FF">
              <a:hueOff val="0"/>
              <a:satOff val="0"/>
              <a:lumOff val="0"/>
              <a:alphaOff val="0"/>
            </a:srgb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64008" tIns="36576" rIns="64008" bIns="36576"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19172B"/>
              </a:solidFill>
              <a:latin typeface="Aptos" panose="020B0004020202020204" pitchFamily="34" charset="0"/>
              <a:ea typeface="+mn-ea"/>
              <a:cs typeface="Calibri Light" panose="020F0302020204030204" pitchFamily="34" charset="0"/>
            </a:rPr>
            <a:t>Base-year Energy Consumption</a:t>
          </a:r>
        </a:p>
      </dsp:txBody>
      <dsp:txXfrm>
        <a:off x="1206606" y="438461"/>
        <a:ext cx="1056009" cy="325501"/>
      </dsp:txXfrm>
    </dsp:sp>
    <dsp:sp modelId="{94379ECC-AABF-4C02-92E5-D89006204918}">
      <dsp:nvSpPr>
        <dsp:cNvPr id="0" name=""/>
        <dsp:cNvSpPr/>
      </dsp:nvSpPr>
      <dsp:spPr>
        <a:xfrm>
          <a:off x="1206606" y="763963"/>
          <a:ext cx="1056009" cy="1760231"/>
        </a:xfrm>
        <a:prstGeom prst="rect">
          <a:avLst/>
        </a:prstGeom>
        <a:solidFill>
          <a:srgbClr val="00B3FF">
            <a:tint val="40000"/>
            <a:alpha val="90000"/>
            <a:hueOff val="0"/>
            <a:satOff val="0"/>
            <a:lumOff val="0"/>
            <a:alphaOff val="0"/>
          </a:srgbClr>
        </a:solidFill>
        <a:ln w="6350" cap="flat" cmpd="sng" algn="ctr">
          <a:solidFill>
            <a:srgbClr val="00B3FF">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By energy source, technology, </a:t>
          </a:r>
          <a:b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b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end use, segment, vintage and sector</a:t>
          </a:r>
        </a:p>
      </dsp:txBody>
      <dsp:txXfrm>
        <a:off x="1206606" y="763963"/>
        <a:ext cx="1056009" cy="1760231"/>
      </dsp:txXfrm>
    </dsp:sp>
    <dsp:sp modelId="{A1A0CF2C-45BC-424B-8B78-4F87E3156136}">
      <dsp:nvSpPr>
        <dsp:cNvPr id="0" name=""/>
        <dsp:cNvSpPr/>
      </dsp:nvSpPr>
      <dsp:spPr>
        <a:xfrm>
          <a:off x="2410457" y="438461"/>
          <a:ext cx="1056009" cy="325501"/>
        </a:xfrm>
        <a:prstGeom prst="rect">
          <a:avLst/>
        </a:prstGeom>
        <a:gradFill rotWithShape="0">
          <a:gsLst>
            <a:gs pos="0">
              <a:srgbClr val="7140D1">
                <a:hueOff val="0"/>
                <a:satOff val="0"/>
                <a:lumOff val="0"/>
                <a:alphaOff val="0"/>
                <a:lumMod val="110000"/>
                <a:satMod val="105000"/>
                <a:tint val="67000"/>
              </a:srgbClr>
            </a:gs>
            <a:gs pos="50000">
              <a:srgbClr val="7140D1">
                <a:hueOff val="0"/>
                <a:satOff val="0"/>
                <a:lumOff val="0"/>
                <a:alphaOff val="0"/>
                <a:lumMod val="105000"/>
                <a:satMod val="103000"/>
                <a:tint val="73000"/>
              </a:srgbClr>
            </a:gs>
            <a:gs pos="100000">
              <a:srgbClr val="7140D1">
                <a:hueOff val="0"/>
                <a:satOff val="0"/>
                <a:lumOff val="0"/>
                <a:alphaOff val="0"/>
                <a:lumMod val="105000"/>
                <a:satMod val="109000"/>
                <a:tint val="81000"/>
              </a:srgbClr>
            </a:gs>
          </a:gsLst>
          <a:lin ang="5400000" scaled="0"/>
        </a:gradFill>
        <a:ln w="6350" cap="flat" cmpd="sng" algn="ctr">
          <a:solidFill>
            <a:srgbClr val="7140D1">
              <a:hueOff val="0"/>
              <a:satOff val="0"/>
              <a:lumOff val="0"/>
              <a:alphaOff val="0"/>
            </a:srgb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64008" tIns="36576" rIns="64008" bIns="36576"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19172B"/>
              </a:solidFill>
              <a:latin typeface="Aptos" panose="020B0004020202020204" pitchFamily="34" charset="0"/>
              <a:ea typeface="+mn-ea"/>
              <a:cs typeface="Calibri Light" panose="020F0302020204030204" pitchFamily="34" charset="0"/>
            </a:rPr>
            <a:t>Forecast Assumptions</a:t>
          </a:r>
        </a:p>
      </dsp:txBody>
      <dsp:txXfrm>
        <a:off x="2410457" y="438461"/>
        <a:ext cx="1056009" cy="325501"/>
      </dsp:txXfrm>
    </dsp:sp>
    <dsp:sp modelId="{226076BC-0069-4ED6-8EF7-24655550A96C}">
      <dsp:nvSpPr>
        <dsp:cNvPr id="0" name=""/>
        <dsp:cNvSpPr/>
      </dsp:nvSpPr>
      <dsp:spPr>
        <a:xfrm>
          <a:off x="2410457" y="763963"/>
          <a:ext cx="1056009" cy="1760231"/>
        </a:xfrm>
        <a:prstGeom prst="rect">
          <a:avLst/>
        </a:prstGeom>
        <a:solidFill>
          <a:srgbClr val="7140D1">
            <a:tint val="40000"/>
            <a:alpha val="90000"/>
            <a:hueOff val="0"/>
            <a:satOff val="0"/>
            <a:lumOff val="0"/>
            <a:alphaOff val="0"/>
          </a:srgbClr>
        </a:solidFill>
        <a:ln w="6350" cap="flat" cmpd="sng" algn="ctr">
          <a:solidFill>
            <a:srgbClr val="7140D1">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Customer, growth, energy prices, elasticities</a:t>
          </a:r>
          <a:endParaRPr lang="en-US" sz="900" b="1" kern="1200">
            <a:solidFill>
              <a:srgbClr val="19172B">
                <a:hueOff val="0"/>
                <a:satOff val="0"/>
                <a:lumOff val="0"/>
                <a:alphaOff val="0"/>
              </a:srgbClr>
            </a:solidFill>
            <a:latin typeface="Aptos" panose="020B0004020202020204" pitchFamily="34" charset="0"/>
            <a:ea typeface="+mn-ea"/>
            <a:cs typeface="Calibri Light" panose="020F0302020204030204" pitchFamily="34" charset="0"/>
          </a:endParaRP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Efficiency options, codes and standards, purchase shares</a:t>
          </a:r>
        </a:p>
      </dsp:txBody>
      <dsp:txXfrm>
        <a:off x="2410457" y="763963"/>
        <a:ext cx="1056009" cy="1760231"/>
      </dsp:txXfrm>
    </dsp:sp>
    <dsp:sp modelId="{A923DA04-A6BE-4C26-B145-71E615F5EC42}">
      <dsp:nvSpPr>
        <dsp:cNvPr id="0" name=""/>
        <dsp:cNvSpPr/>
      </dsp:nvSpPr>
      <dsp:spPr>
        <a:xfrm>
          <a:off x="3614308" y="438461"/>
          <a:ext cx="1056009" cy="325501"/>
        </a:xfrm>
        <a:prstGeom prst="rect">
          <a:avLst/>
        </a:prstGeom>
        <a:gradFill rotWithShape="0">
          <a:gsLst>
            <a:gs pos="0">
              <a:srgbClr val="FFA35B">
                <a:hueOff val="0"/>
                <a:satOff val="0"/>
                <a:lumOff val="0"/>
                <a:alphaOff val="0"/>
                <a:lumMod val="110000"/>
                <a:satMod val="105000"/>
                <a:tint val="67000"/>
              </a:srgbClr>
            </a:gs>
            <a:gs pos="50000">
              <a:srgbClr val="FFA35B">
                <a:hueOff val="0"/>
                <a:satOff val="0"/>
                <a:lumOff val="0"/>
                <a:alphaOff val="0"/>
                <a:lumMod val="105000"/>
                <a:satMod val="103000"/>
                <a:tint val="73000"/>
              </a:srgbClr>
            </a:gs>
            <a:gs pos="100000">
              <a:srgbClr val="FFA35B">
                <a:hueOff val="0"/>
                <a:satOff val="0"/>
                <a:lumOff val="0"/>
                <a:alphaOff val="0"/>
                <a:lumMod val="105000"/>
                <a:satMod val="109000"/>
                <a:tint val="81000"/>
              </a:srgbClr>
            </a:gs>
          </a:gsLst>
          <a:lin ang="5400000" scaled="0"/>
        </a:gradFill>
        <a:ln w="6350" cap="flat" cmpd="sng" algn="ctr">
          <a:solidFill>
            <a:srgbClr val="FFA35B">
              <a:hueOff val="0"/>
              <a:satOff val="0"/>
              <a:lumOff val="0"/>
              <a:alphaOff val="0"/>
            </a:srgb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64008" tIns="36576" rIns="64008" bIns="36576"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19172B"/>
              </a:solidFill>
              <a:latin typeface="Aptos" panose="020B0004020202020204" pitchFamily="34" charset="0"/>
              <a:ea typeface="+mn-ea"/>
              <a:cs typeface="Calibri Light" panose="020F0302020204030204" pitchFamily="34" charset="0"/>
            </a:rPr>
            <a:t>Energy Efficiency Analysis</a:t>
          </a:r>
        </a:p>
      </dsp:txBody>
      <dsp:txXfrm>
        <a:off x="3614308" y="438461"/>
        <a:ext cx="1056009" cy="325501"/>
      </dsp:txXfrm>
    </dsp:sp>
    <dsp:sp modelId="{A93DD95E-DB6B-43DF-8B0D-08440C90A68F}">
      <dsp:nvSpPr>
        <dsp:cNvPr id="0" name=""/>
        <dsp:cNvSpPr/>
      </dsp:nvSpPr>
      <dsp:spPr>
        <a:xfrm>
          <a:off x="3614308" y="763963"/>
          <a:ext cx="1056009" cy="1760231"/>
        </a:xfrm>
        <a:prstGeom prst="rect">
          <a:avLst/>
        </a:prstGeom>
        <a:solidFill>
          <a:srgbClr val="FFA35B">
            <a:tint val="40000"/>
            <a:alpha val="90000"/>
            <a:hueOff val="0"/>
            <a:satOff val="0"/>
            <a:lumOff val="0"/>
            <a:alphaOff val="0"/>
          </a:srgbClr>
        </a:solidFill>
        <a:ln w="6350" cap="flat" cmpd="sng" algn="ctr">
          <a:solidFill>
            <a:srgbClr val="FFA35B">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List of measures</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Saturations and applicabilities</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Measure costs</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Lifetime</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Adoption rates</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Avoided costs</a:t>
          </a:r>
        </a:p>
        <a:p>
          <a:pPr marL="9144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Cost-effectiveness</a:t>
          </a:r>
        </a:p>
      </dsp:txBody>
      <dsp:txXfrm>
        <a:off x="3614308" y="763963"/>
        <a:ext cx="1056009" cy="1760231"/>
      </dsp:txXfrm>
    </dsp:sp>
    <dsp:sp modelId="{34F26884-0B72-40C2-804D-3CE0FB48D0F8}">
      <dsp:nvSpPr>
        <dsp:cNvPr id="0" name=""/>
        <dsp:cNvSpPr/>
      </dsp:nvSpPr>
      <dsp:spPr>
        <a:xfrm>
          <a:off x="4818160" y="438461"/>
          <a:ext cx="1056009" cy="325501"/>
        </a:xfrm>
        <a:prstGeom prst="rect">
          <a:avLst/>
        </a:prstGeom>
        <a:gradFill rotWithShape="0">
          <a:gsLst>
            <a:gs pos="0">
              <a:srgbClr val="3CD39C">
                <a:hueOff val="0"/>
                <a:satOff val="0"/>
                <a:lumOff val="0"/>
                <a:alphaOff val="0"/>
                <a:lumMod val="110000"/>
                <a:satMod val="105000"/>
                <a:tint val="67000"/>
              </a:srgbClr>
            </a:gs>
            <a:gs pos="50000">
              <a:srgbClr val="3CD39C">
                <a:hueOff val="0"/>
                <a:satOff val="0"/>
                <a:lumOff val="0"/>
                <a:alphaOff val="0"/>
                <a:lumMod val="105000"/>
                <a:satMod val="103000"/>
                <a:tint val="73000"/>
              </a:srgbClr>
            </a:gs>
            <a:gs pos="100000">
              <a:srgbClr val="3CD39C">
                <a:hueOff val="0"/>
                <a:satOff val="0"/>
                <a:lumOff val="0"/>
                <a:alphaOff val="0"/>
                <a:lumMod val="105000"/>
                <a:satMod val="109000"/>
                <a:tint val="81000"/>
              </a:srgbClr>
            </a:gs>
          </a:gsLst>
          <a:lin ang="5400000" scaled="0"/>
        </a:gradFill>
        <a:ln w="6350" cap="flat" cmpd="sng" algn="ctr">
          <a:solidFill>
            <a:srgbClr val="3CD39C">
              <a:hueOff val="0"/>
              <a:satOff val="0"/>
              <a:lumOff val="0"/>
              <a:alphaOff val="0"/>
            </a:srgb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64008" tIns="36576" rIns="64008" bIns="36576"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19172B"/>
              </a:solidFill>
              <a:latin typeface="Aptos" panose="020B0004020202020204" pitchFamily="34" charset="0"/>
              <a:ea typeface="+mn-ea"/>
              <a:cs typeface="Calibri Light" panose="020F0302020204030204" pitchFamily="34" charset="0"/>
            </a:rPr>
            <a:t>Forecast Results</a:t>
          </a:r>
        </a:p>
      </dsp:txBody>
      <dsp:txXfrm>
        <a:off x="4818160" y="438461"/>
        <a:ext cx="1056009" cy="325501"/>
      </dsp:txXfrm>
    </dsp:sp>
    <dsp:sp modelId="{483CC475-C8EB-4282-A06C-4EB925FFE8CE}">
      <dsp:nvSpPr>
        <dsp:cNvPr id="0" name=""/>
        <dsp:cNvSpPr/>
      </dsp:nvSpPr>
      <dsp:spPr>
        <a:xfrm>
          <a:off x="4818160" y="763963"/>
          <a:ext cx="1056009" cy="1760231"/>
        </a:xfrm>
        <a:prstGeom prst="rect">
          <a:avLst/>
        </a:prstGeom>
        <a:solidFill>
          <a:srgbClr val="3CD39C">
            <a:tint val="40000"/>
            <a:alpha val="90000"/>
            <a:hueOff val="0"/>
            <a:satOff val="0"/>
            <a:lumOff val="0"/>
            <a:alphaOff val="0"/>
          </a:srgbClr>
        </a:solidFill>
        <a:ln w="6350" cap="flat" cmpd="sng" algn="ctr">
          <a:solidFill>
            <a:srgbClr val="3CD39C">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91440" lvl="1" indent="-91440" algn="l" defTabSz="400050">
            <a:lnSpc>
              <a:spcPct val="90000"/>
            </a:lnSpc>
            <a:spcBef>
              <a:spcPct val="0"/>
            </a:spcBef>
            <a:spcAft>
              <a:spcPct val="15000"/>
            </a:spcAft>
            <a:buChar char="•"/>
          </a:pPr>
          <a:r>
            <a:rPr lang="en-US" sz="900" b="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Baseline end use projection</a:t>
          </a:r>
        </a:p>
        <a:p>
          <a:pPr marL="91440" lvl="1" indent="-91440" algn="l" defTabSz="400050">
            <a:lnSpc>
              <a:spcPct val="90000"/>
            </a:lnSpc>
            <a:spcBef>
              <a:spcPct val="0"/>
            </a:spcBef>
            <a:spcAft>
              <a:spcPct val="15000"/>
            </a:spcAft>
            <a:buChar char="•"/>
          </a:pPr>
          <a:r>
            <a:rPr lang="en-US" sz="900" b="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Energy efficiency projections</a:t>
          </a:r>
        </a:p>
        <a:p>
          <a:pPr marL="182880" lvl="2"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 Technical</a:t>
          </a:r>
        </a:p>
        <a:p>
          <a:pPr marL="182880" lvl="2"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 Achievable Techical</a:t>
          </a:r>
        </a:p>
        <a:p>
          <a:pPr marL="182880" lvl="1"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IRP Inputs</a:t>
          </a:r>
        </a:p>
        <a:p>
          <a:pPr marL="182880" lvl="2"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Utility Costs</a:t>
          </a:r>
        </a:p>
        <a:p>
          <a:pPr marL="182880" lvl="2" indent="-91440" algn="l" defTabSz="400050">
            <a:lnSpc>
              <a:spcPct val="90000"/>
            </a:lnSpc>
            <a:spcBef>
              <a:spcPct val="0"/>
            </a:spcBef>
            <a:spcAft>
              <a:spcPct val="15000"/>
            </a:spcAft>
            <a:buChar char="•"/>
          </a:pPr>
          <a:r>
            <a:rPr lang="en-US" sz="900" kern="1200">
              <a:solidFill>
                <a:srgbClr val="19172B">
                  <a:hueOff val="0"/>
                  <a:satOff val="0"/>
                  <a:lumOff val="0"/>
                  <a:alphaOff val="0"/>
                </a:srgbClr>
              </a:solidFill>
              <a:latin typeface="Aptos" panose="020B0004020202020204" pitchFamily="34" charset="0"/>
              <a:ea typeface="+mn-ea"/>
              <a:cs typeface="Calibri Light" panose="020F0302020204030204" pitchFamily="34" charset="0"/>
            </a:rPr>
            <a:t>Levelized cost of energy ($/MWh)</a:t>
          </a:r>
        </a:p>
      </dsp:txBody>
      <dsp:txXfrm>
        <a:off x="4818160" y="763963"/>
        <a:ext cx="1056009" cy="17602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8F7209-D7C5-40C4-B2EC-97C0C4D4D047}">
      <dsp:nvSpPr>
        <dsp:cNvPr id="0" name=""/>
        <dsp:cNvSpPr/>
      </dsp:nvSpPr>
      <dsp:spPr>
        <a:xfrm>
          <a:off x="769" y="9740"/>
          <a:ext cx="967427" cy="86400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marL="0" lvl="0" indent="0" algn="ctr" defTabSz="377825">
            <a:lnSpc>
              <a:spcPct val="90000"/>
            </a:lnSpc>
            <a:spcBef>
              <a:spcPct val="0"/>
            </a:spcBef>
            <a:spcAft>
              <a:spcPct val="35000"/>
            </a:spcAft>
            <a:buNone/>
          </a:pPr>
          <a:r>
            <a:rPr lang="en-US" sz="850" kern="1200">
              <a:latin typeface="+mj-lt"/>
              <a:cs typeface="Calibri" panose="020F0502020204030204" pitchFamily="34" charset="0"/>
            </a:rPr>
            <a:t>Market Characterization</a:t>
          </a:r>
        </a:p>
      </dsp:txBody>
      <dsp:txXfrm>
        <a:off x="769" y="9740"/>
        <a:ext cx="967427" cy="386971"/>
      </dsp:txXfrm>
    </dsp:sp>
    <dsp:sp modelId="{20A52E23-BD05-4E7A-87EE-E6C7011A6533}">
      <dsp:nvSpPr>
        <dsp:cNvPr id="0" name=""/>
        <dsp:cNvSpPr/>
      </dsp:nvSpPr>
      <dsp:spPr>
        <a:xfrm>
          <a:off x="198917" y="396712"/>
          <a:ext cx="967427" cy="1152000"/>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Segment by Sector, Geography and Size</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Align with EE Analysis</a:t>
          </a:r>
        </a:p>
      </dsp:txBody>
      <dsp:txXfrm>
        <a:off x="227252" y="425047"/>
        <a:ext cx="910757" cy="1095330"/>
      </dsp:txXfrm>
    </dsp:sp>
    <dsp:sp modelId="{4701A909-1E14-4357-ACC1-C8C34ADDA470}">
      <dsp:nvSpPr>
        <dsp:cNvPr id="0" name=""/>
        <dsp:cNvSpPr/>
      </dsp:nvSpPr>
      <dsp:spPr>
        <a:xfrm>
          <a:off x="1114855" y="82795"/>
          <a:ext cx="310916" cy="240861"/>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Calibri" panose="020F0502020204030204" pitchFamily="34" charset="0"/>
            <a:cs typeface="Calibri" panose="020F0502020204030204" pitchFamily="34" charset="0"/>
          </a:endParaRPr>
        </a:p>
      </dsp:txBody>
      <dsp:txXfrm>
        <a:off x="1114855" y="130967"/>
        <a:ext cx="238658" cy="144517"/>
      </dsp:txXfrm>
    </dsp:sp>
    <dsp:sp modelId="{6175BD2C-BEA0-4B3C-8139-AECEEAA99B88}">
      <dsp:nvSpPr>
        <dsp:cNvPr id="0" name=""/>
        <dsp:cNvSpPr/>
      </dsp:nvSpPr>
      <dsp:spPr>
        <a:xfrm>
          <a:off x="1554831" y="9740"/>
          <a:ext cx="967427" cy="864000"/>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marL="0" lvl="0" indent="0" algn="ctr" defTabSz="377825">
            <a:lnSpc>
              <a:spcPct val="90000"/>
            </a:lnSpc>
            <a:spcBef>
              <a:spcPct val="0"/>
            </a:spcBef>
            <a:spcAft>
              <a:spcPct val="35000"/>
            </a:spcAft>
            <a:buNone/>
          </a:pPr>
          <a:r>
            <a:rPr lang="en-US" sz="850" kern="1200">
              <a:latin typeface="+mj-lt"/>
              <a:cs typeface="Calibri" panose="020F0502020204030204" pitchFamily="34" charset="0"/>
            </a:rPr>
            <a:t>Baseline Projection</a:t>
          </a:r>
        </a:p>
      </dsp:txBody>
      <dsp:txXfrm>
        <a:off x="1554831" y="9740"/>
        <a:ext cx="967427" cy="386971"/>
      </dsp:txXfrm>
    </dsp:sp>
    <dsp:sp modelId="{EAD6325B-5D79-48B0-835C-B03171468C5B}">
      <dsp:nvSpPr>
        <dsp:cNvPr id="0" name=""/>
        <dsp:cNvSpPr/>
      </dsp:nvSpPr>
      <dsp:spPr>
        <a:xfrm>
          <a:off x="1752979" y="396712"/>
          <a:ext cx="967427" cy="11520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ctr" defTabSz="400050">
            <a:lnSpc>
              <a:spcPct val="90000"/>
            </a:lnSpc>
            <a:spcBef>
              <a:spcPct val="0"/>
            </a:spcBef>
            <a:spcAft>
              <a:spcPct val="15000"/>
            </a:spcAft>
            <a:buChar char="•"/>
          </a:pPr>
          <a:r>
            <a:rPr lang="en-US" sz="900" kern="1200">
              <a:latin typeface="GT Eesti Display Light" panose="00000400000000000000" pitchFamily="50" charset="0"/>
              <a:cs typeface="Calibri" panose="020F0502020204030204" pitchFamily="34" charset="0"/>
            </a:rPr>
            <a:t> </a:t>
          </a:r>
          <a:r>
            <a:rPr lang="en-US" sz="900" kern="1200">
              <a:latin typeface="+mn-lt"/>
              <a:cs typeface="Calibri" panose="020F0502020204030204" pitchFamily="34" charset="0"/>
            </a:rPr>
            <a:t>Align with efficiency analysis </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Use DR Segmentation</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 Account for Interactions</a:t>
          </a:r>
        </a:p>
      </dsp:txBody>
      <dsp:txXfrm>
        <a:off x="1781314" y="425047"/>
        <a:ext cx="910757" cy="1095330"/>
      </dsp:txXfrm>
    </dsp:sp>
    <dsp:sp modelId="{8269DBEF-5940-48DD-AA8F-7105D4239A0F}">
      <dsp:nvSpPr>
        <dsp:cNvPr id="0" name=""/>
        <dsp:cNvSpPr/>
      </dsp:nvSpPr>
      <dsp:spPr>
        <a:xfrm>
          <a:off x="2668917" y="82795"/>
          <a:ext cx="310916" cy="240861"/>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Calibri" panose="020F0502020204030204" pitchFamily="34" charset="0"/>
            <a:cs typeface="Calibri" panose="020F0502020204030204" pitchFamily="34" charset="0"/>
          </a:endParaRPr>
        </a:p>
      </dsp:txBody>
      <dsp:txXfrm>
        <a:off x="2668917" y="130967"/>
        <a:ext cx="238658" cy="144517"/>
      </dsp:txXfrm>
    </dsp:sp>
    <dsp:sp modelId="{5C1EDC57-B7FC-4306-8774-675A983F99E6}">
      <dsp:nvSpPr>
        <dsp:cNvPr id="0" name=""/>
        <dsp:cNvSpPr/>
      </dsp:nvSpPr>
      <dsp:spPr>
        <a:xfrm>
          <a:off x="3108893" y="9740"/>
          <a:ext cx="967427" cy="86400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marL="0" lvl="0" indent="0" algn="ctr" defTabSz="377825">
            <a:lnSpc>
              <a:spcPct val="90000"/>
            </a:lnSpc>
            <a:spcBef>
              <a:spcPct val="0"/>
            </a:spcBef>
            <a:spcAft>
              <a:spcPct val="35000"/>
            </a:spcAft>
            <a:buNone/>
          </a:pPr>
          <a:r>
            <a:rPr lang="en-US" sz="850" kern="1200">
              <a:latin typeface="+mj-lt"/>
              <a:cs typeface="Calibri" panose="020F0502020204030204" pitchFamily="34" charset="0"/>
            </a:rPr>
            <a:t>Characterize DSM Options</a:t>
          </a:r>
        </a:p>
      </dsp:txBody>
      <dsp:txXfrm>
        <a:off x="3108893" y="9740"/>
        <a:ext cx="967427" cy="386971"/>
      </dsp:txXfrm>
    </dsp:sp>
    <dsp:sp modelId="{0931E3EF-CE5B-4D16-AC3C-B0B76E05645A}">
      <dsp:nvSpPr>
        <dsp:cNvPr id="0" name=""/>
        <dsp:cNvSpPr/>
      </dsp:nvSpPr>
      <dsp:spPr>
        <a:xfrm>
          <a:off x="3307040" y="396712"/>
          <a:ext cx="967427" cy="1152000"/>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ctr" defTabSz="400050">
            <a:lnSpc>
              <a:spcPct val="90000"/>
            </a:lnSpc>
            <a:spcBef>
              <a:spcPct val="0"/>
            </a:spcBef>
            <a:spcAft>
              <a:spcPct val="15000"/>
            </a:spcAft>
            <a:buChar char="•"/>
          </a:pPr>
          <a:r>
            <a:rPr lang="en-US" sz="900" kern="1200">
              <a:latin typeface="GT Eesti Display Light" panose="00000400000000000000" pitchFamily="50" charset="0"/>
              <a:cs typeface="Calibri" panose="020F0502020204030204" pitchFamily="34" charset="0"/>
            </a:rPr>
            <a:t> </a:t>
          </a:r>
          <a:r>
            <a:rPr lang="en-US" sz="900" kern="1200">
              <a:latin typeface="+mn-lt"/>
              <a:cs typeface="Calibri" panose="020F0502020204030204" pitchFamily="34" charset="0"/>
            </a:rPr>
            <a:t>DLC Measure Options</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 DR Economic  Options</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 DSR Options</a:t>
          </a:r>
        </a:p>
      </dsp:txBody>
      <dsp:txXfrm>
        <a:off x="3335375" y="425047"/>
        <a:ext cx="910757" cy="1095330"/>
      </dsp:txXfrm>
    </dsp:sp>
    <dsp:sp modelId="{7CE9C1D2-C395-4016-9664-AD17A42F7439}">
      <dsp:nvSpPr>
        <dsp:cNvPr id="0" name=""/>
        <dsp:cNvSpPr/>
      </dsp:nvSpPr>
      <dsp:spPr>
        <a:xfrm>
          <a:off x="4222979" y="82795"/>
          <a:ext cx="310916" cy="240861"/>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latin typeface="Calibri" panose="020F0502020204030204" pitchFamily="34" charset="0"/>
            <a:cs typeface="Calibri" panose="020F0502020204030204" pitchFamily="34" charset="0"/>
          </a:endParaRPr>
        </a:p>
      </dsp:txBody>
      <dsp:txXfrm>
        <a:off x="4222979" y="130967"/>
        <a:ext cx="238658" cy="144517"/>
      </dsp:txXfrm>
    </dsp:sp>
    <dsp:sp modelId="{DAE58A93-7C38-4316-B51E-D1FB3817687D}">
      <dsp:nvSpPr>
        <dsp:cNvPr id="0" name=""/>
        <dsp:cNvSpPr/>
      </dsp:nvSpPr>
      <dsp:spPr>
        <a:xfrm>
          <a:off x="4662954" y="9740"/>
          <a:ext cx="967427" cy="86400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marL="0" lvl="0" indent="0" algn="ctr" defTabSz="377825">
            <a:lnSpc>
              <a:spcPct val="90000"/>
            </a:lnSpc>
            <a:spcBef>
              <a:spcPct val="0"/>
            </a:spcBef>
            <a:spcAft>
              <a:spcPct val="35000"/>
            </a:spcAft>
            <a:buNone/>
          </a:pPr>
          <a:r>
            <a:rPr lang="en-US" sz="850" kern="1200">
              <a:latin typeface="+mj-lt"/>
              <a:cs typeface="Calibri" panose="020F0502020204030204" pitchFamily="34" charset="0"/>
            </a:rPr>
            <a:t>Potential Estimation</a:t>
          </a:r>
        </a:p>
      </dsp:txBody>
      <dsp:txXfrm>
        <a:off x="4662954" y="9740"/>
        <a:ext cx="967427" cy="386971"/>
      </dsp:txXfrm>
    </dsp:sp>
    <dsp:sp modelId="{67E5556E-616A-46E4-91B0-ACC0C1BAE10B}">
      <dsp:nvSpPr>
        <dsp:cNvPr id="0" name=""/>
        <dsp:cNvSpPr/>
      </dsp:nvSpPr>
      <dsp:spPr>
        <a:xfrm>
          <a:off x="4861102" y="396712"/>
          <a:ext cx="967427" cy="1152000"/>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Achievable Technical</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Realistic Achievable</a:t>
          </a:r>
        </a:p>
        <a:p>
          <a:pPr marL="57150" lvl="1" indent="-57150" algn="ctr" defTabSz="400050">
            <a:lnSpc>
              <a:spcPct val="90000"/>
            </a:lnSpc>
            <a:spcBef>
              <a:spcPct val="0"/>
            </a:spcBef>
            <a:spcAft>
              <a:spcPct val="15000"/>
            </a:spcAft>
            <a:buChar char="•"/>
          </a:pPr>
          <a:r>
            <a:rPr lang="en-US" sz="900" kern="1200">
              <a:latin typeface="+mn-lt"/>
              <a:cs typeface="Calibri" panose="020F0502020204030204" pitchFamily="34" charset="0"/>
            </a:rPr>
            <a:t>Pilot Realistic Achievable</a:t>
          </a:r>
        </a:p>
      </dsp:txBody>
      <dsp:txXfrm>
        <a:off x="4889437" y="425047"/>
        <a:ext cx="910757" cy="109533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AEG Word Theme">
  <a:themeElements>
    <a:clrScheme name="AEG Colors">
      <a:dk1>
        <a:srgbClr val="19172B"/>
      </a:dk1>
      <a:lt1>
        <a:srgbClr val="F6F6F7"/>
      </a:lt1>
      <a:dk2>
        <a:srgbClr val="444C5E"/>
      </a:dk2>
      <a:lt2>
        <a:srgbClr val="F6F6F7"/>
      </a:lt2>
      <a:accent1>
        <a:srgbClr val="F26549"/>
      </a:accent1>
      <a:accent2>
        <a:srgbClr val="1E13A6"/>
      </a:accent2>
      <a:accent3>
        <a:srgbClr val="00B3FF"/>
      </a:accent3>
      <a:accent4>
        <a:srgbClr val="7140D1"/>
      </a:accent4>
      <a:accent5>
        <a:srgbClr val="FFA35B"/>
      </a:accent5>
      <a:accent6>
        <a:srgbClr val="3CD39C"/>
      </a:accent6>
      <a:hlink>
        <a:srgbClr val="2B21E2"/>
      </a:hlink>
      <a:folHlink>
        <a:srgbClr val="E36E53"/>
      </a:folHlink>
    </a:clrScheme>
    <a:fontScheme name="AEG (Internal)">
      <a:majorFont>
        <a:latin typeface="Aptos Semibold"/>
        <a:ea typeface=""/>
        <a:cs typeface=""/>
      </a:majorFont>
      <a:minorFont>
        <a:latin typeface="Aptos"/>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AEG Theme" id="{495F6F2E-A476-4F91-9185-118E10EB2DBC}" vid="{212B1E5A-ADF7-459B-B6BA-00AFA89031DB}"/>
    </a:ext>
  </a:extLst>
</a:theme>
</file>

<file path=word/theme/themeOverride1.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AEG Primaries">
    <a:dk1>
      <a:sysClr val="windowText" lastClr="000000"/>
    </a:dk1>
    <a:lt1>
      <a:sysClr val="window" lastClr="FFFFFF"/>
    </a:lt1>
    <a:dk2>
      <a:srgbClr val="44546A"/>
    </a:dk2>
    <a:lt2>
      <a:srgbClr val="E7E6E6"/>
    </a:lt2>
    <a:accent1>
      <a:srgbClr val="F26549"/>
    </a:accent1>
    <a:accent2>
      <a:srgbClr val="1E13A6"/>
    </a:accent2>
    <a:accent3>
      <a:srgbClr val="19172B"/>
    </a:accent3>
    <a:accent4>
      <a:srgbClr val="444C5E"/>
    </a:accent4>
    <a:accent5>
      <a:srgbClr val="BEBEC6"/>
    </a:accent5>
    <a:accent6>
      <a:srgbClr val="7140D1"/>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AEG Theme 2020">
    <a:dk1>
      <a:srgbClr val="19172B"/>
    </a:dk1>
    <a:lt1>
      <a:sysClr val="window" lastClr="FFFFFF"/>
    </a:lt1>
    <a:dk2>
      <a:srgbClr val="7140D1"/>
    </a:dk2>
    <a:lt2>
      <a:srgbClr val="BEBEC6"/>
    </a:lt2>
    <a:accent1>
      <a:srgbClr val="3CD39C"/>
    </a:accent1>
    <a:accent2>
      <a:srgbClr val="1E13A6"/>
    </a:accent2>
    <a:accent3>
      <a:srgbClr val="E03F3F"/>
    </a:accent3>
    <a:accent4>
      <a:srgbClr val="FFDA00"/>
    </a:accent4>
    <a:accent5>
      <a:srgbClr val="FFA35B"/>
    </a:accent5>
    <a:accent6>
      <a:srgbClr val="00B3FF"/>
    </a:accent6>
    <a:hlink>
      <a:srgbClr val="F26548"/>
    </a:hlink>
    <a:folHlink>
      <a:srgbClr val="7F7F7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Plan</DocumentSetType>
    <Visibility xmlns="dc463f71-b30c-4ab2-9473-d307f9d35888">Full Visibility</Visibility>
    <IsConfidential xmlns="dc463f71-b30c-4ab2-9473-d307f9d35888">false</IsConfidential>
    <AgendaOrder xmlns="dc463f71-b30c-4ab2-9473-d307f9d35888">false</AgendaOrder>
    <CaseType xmlns="dc463f71-b30c-4ab2-9473-d307f9d35888">Plan</CaseType>
    <IndustryCode xmlns="dc463f71-b30c-4ab2-9473-d307f9d35888">140</IndustryCode>
    <CaseStatus xmlns="dc463f71-b30c-4ab2-9473-d307f9d35888">Pending</CaseStatus>
    <OpenedDate xmlns="dc463f71-b30c-4ab2-9473-d307f9d35888">2023-09-27T07:00:00+00:00</OpenedDate>
    <SignificantOrder xmlns="dc463f71-b30c-4ab2-9473-d307f9d35888">false</SignificantOrder>
    <Date1 xmlns="dc463f71-b30c-4ab2-9473-d307f9d35888">2024-10-01T07:00:00+00:00</Date1>
    <IsDocumentOrder xmlns="dc463f71-b30c-4ab2-9473-d307f9d35888">false</IsDocumentOrder>
    <IsHighlyConfidential xmlns="dc463f71-b30c-4ab2-9473-d307f9d35888">false</IsHighlyConfidential>
    <CaseCompanyNames xmlns="dc463f71-b30c-4ab2-9473-d307f9d35888">Avista Corporation</CaseCompanyNames>
    <Nickname xmlns="http://schemas.microsoft.com/sharepoint/v3" xsi:nil="true"/>
    <DocketNumber xmlns="dc463f71-b30c-4ab2-9473-d307f9d35888">230793</DocketNumber>
    <DelegatedOrder xmlns="dc463f71-b30c-4ab2-9473-d307f9d35888">false</DelegatedOrder>
  </documentManagement>
</p:properties>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BCCD375AA95B414DBEFD00C5E3F3E6CF" ma:contentTypeVersion="24" ma:contentTypeDescription="" ma:contentTypeScope="" ma:versionID="608a3a8a7c3f5762aaf45079893c26ab">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3d1e58e9723df997e85f06fba2dda68"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015f1b76-b32e-440f-80a7-f0ca4d8a872c" ContentTypeId="0x0101006E56B4D1795A2E4DB2F0B01679ED314A" PreviousValue="true"/>
</file>

<file path=customXml/itemProps1.xml><?xml version="1.0" encoding="utf-8"?>
<ds:datastoreItem xmlns:ds="http://schemas.openxmlformats.org/officeDocument/2006/customXml" ds:itemID="{769F662A-838F-4B98-89BB-269585168799}">
  <ds:schemaRefs>
    <ds:schemaRef ds:uri="http://schemas.microsoft.com/sharepoint/v3/contenttype/forms"/>
  </ds:schemaRefs>
</ds:datastoreItem>
</file>

<file path=customXml/itemProps2.xml><?xml version="1.0" encoding="utf-8"?>
<ds:datastoreItem xmlns:ds="http://schemas.openxmlformats.org/officeDocument/2006/customXml" ds:itemID="{35AE1CF9-0AEF-490F-BD7B-E7F4DF6AF96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C7B002E-23AF-4E65-B78B-10C987CDC7C5}"/>
</file>

<file path=customXml/itemProps4.xml><?xml version="1.0" encoding="utf-8"?>
<ds:datastoreItem xmlns:ds="http://schemas.openxmlformats.org/officeDocument/2006/customXml" ds:itemID="{9221B3E5-6EAE-4C72-AF95-AA83B78B147D}">
  <ds:schemaRefs>
    <ds:schemaRef ds:uri="http://schemas.openxmlformats.org/officeDocument/2006/bibliography"/>
  </ds:schemaRefs>
</ds:datastoreItem>
</file>

<file path=customXml/itemProps5.xml><?xml version="1.0" encoding="utf-8"?>
<ds:datastoreItem xmlns:ds="http://schemas.openxmlformats.org/officeDocument/2006/customXml" ds:itemID="{11558D29-212D-45E7-8323-3044E6983662}"/>
</file>

<file path=docProps/app.xml><?xml version="1.0" encoding="utf-8"?>
<Properties xmlns="http://schemas.openxmlformats.org/officeDocument/2006/extended-properties" xmlns:vt="http://schemas.openxmlformats.org/officeDocument/2006/docPropsVTypes">
  <Template>Report Template 2024.dotx</Template>
  <TotalTime>0</TotalTime>
  <Pages>61</Pages>
  <Words>21992</Words>
  <Characters>125357</Characters>
  <Application>Microsoft Office Word</Application>
  <DocSecurity>0</DocSecurity>
  <Lines>1044</Lines>
  <Paragraphs>294</Paragraphs>
  <ScaleCrop>false</ScaleCrop>
  <HeadingPairs>
    <vt:vector size="2" baseType="variant">
      <vt:variant>
        <vt:lpstr>Title</vt:lpstr>
      </vt:variant>
      <vt:variant>
        <vt:i4>1</vt:i4>
      </vt:variant>
    </vt:vector>
  </HeadingPairs>
  <TitlesOfParts>
    <vt:vector size="1" baseType="lpstr">
      <vt:lpstr>Report Title Here</vt:lpstr>
    </vt:vector>
  </TitlesOfParts>
  <Company>AMERESCO</Company>
  <LinksUpToDate>false</LinksUpToDate>
  <CharactersWithSpaces>147055</CharactersWithSpaces>
  <SharedDoc>false</SharedDoc>
  <HLinks>
    <vt:vector size="1182" baseType="variant">
      <vt:variant>
        <vt:i4>720978</vt:i4>
      </vt:variant>
      <vt:variant>
        <vt:i4>1041</vt:i4>
      </vt:variant>
      <vt:variant>
        <vt:i4>0</vt:i4>
      </vt:variant>
      <vt:variant>
        <vt:i4>5</vt:i4>
      </vt:variant>
      <vt:variant>
        <vt:lpwstr>https://nwcouncil.app.box.com/s/gacr21z8i89hh8ppk11rdzgm6fz4xlz3</vt:lpwstr>
      </vt:variant>
      <vt:variant>
        <vt:lpwstr/>
      </vt:variant>
      <vt:variant>
        <vt:i4>131102</vt:i4>
      </vt:variant>
      <vt:variant>
        <vt:i4>1038</vt:i4>
      </vt:variant>
      <vt:variant>
        <vt:i4>0</vt:i4>
      </vt:variant>
      <vt:variant>
        <vt:i4>5</vt:i4>
      </vt:variant>
      <vt:variant>
        <vt:lpwstr>https://nwcouncil.box.com/s/u0dgjxkoxoj2tttym81uka3wrjcy6bo6</vt:lpwstr>
      </vt:variant>
      <vt:variant>
        <vt:lpwstr/>
      </vt:variant>
      <vt:variant>
        <vt:i4>4325451</vt:i4>
      </vt:variant>
      <vt:variant>
        <vt:i4>1035</vt:i4>
      </vt:variant>
      <vt:variant>
        <vt:i4>0</vt:i4>
      </vt:variant>
      <vt:variant>
        <vt:i4>5</vt:i4>
      </vt:variant>
      <vt:variant>
        <vt:lpwstr>http://www.nwcouncil.org/energy/rtf/measures/Default.asp</vt:lpwstr>
      </vt:variant>
      <vt:variant>
        <vt:lpwstr/>
      </vt:variant>
      <vt:variant>
        <vt:i4>5636183</vt:i4>
      </vt:variant>
      <vt:variant>
        <vt:i4>1032</vt:i4>
      </vt:variant>
      <vt:variant>
        <vt:i4>0</vt:i4>
      </vt:variant>
      <vt:variant>
        <vt:i4>5</vt:i4>
      </vt:variant>
      <vt:variant>
        <vt:lpwstr>http://neea.org/docs/default-source/reports/2014-industrial-facilities-stock-assessment-final-report.pdf?sfvrsn=6</vt:lpwstr>
      </vt:variant>
      <vt:variant>
        <vt:lpwstr/>
      </vt:variant>
      <vt:variant>
        <vt:i4>7602236</vt:i4>
      </vt:variant>
      <vt:variant>
        <vt:i4>1029</vt:i4>
      </vt:variant>
      <vt:variant>
        <vt:i4>0</vt:i4>
      </vt:variant>
      <vt:variant>
        <vt:i4>5</vt:i4>
      </vt:variant>
      <vt:variant>
        <vt:lpwstr>https://neea.org/resources/cbsa-4-2019-final-report</vt:lpwstr>
      </vt:variant>
      <vt:variant>
        <vt:lpwstr/>
      </vt:variant>
      <vt:variant>
        <vt:i4>6357044</vt:i4>
      </vt:variant>
      <vt:variant>
        <vt:i4>1026</vt:i4>
      </vt:variant>
      <vt:variant>
        <vt:i4>0</vt:i4>
      </vt:variant>
      <vt:variant>
        <vt:i4>5</vt:i4>
      </vt:variant>
      <vt:variant>
        <vt:lpwstr>https://neea.org/img/documents/Residential-Building-Stock-Assessment-II-Multifamily-Homes-Report-2016-2017.pdf</vt:lpwstr>
      </vt:variant>
      <vt:variant>
        <vt:lpwstr/>
      </vt:variant>
      <vt:variant>
        <vt:i4>4390914</vt:i4>
      </vt:variant>
      <vt:variant>
        <vt:i4>1023</vt:i4>
      </vt:variant>
      <vt:variant>
        <vt:i4>0</vt:i4>
      </vt:variant>
      <vt:variant>
        <vt:i4>5</vt:i4>
      </vt:variant>
      <vt:variant>
        <vt:lpwstr>https://neea.org/img/uploads/Residential-Building-Stock-Assessment-II-Manufactured-Homes-Report-2016-2017.pdf</vt:lpwstr>
      </vt:variant>
      <vt:variant>
        <vt:lpwstr/>
      </vt:variant>
      <vt:variant>
        <vt:i4>7798896</vt:i4>
      </vt:variant>
      <vt:variant>
        <vt:i4>1020</vt:i4>
      </vt:variant>
      <vt:variant>
        <vt:i4>0</vt:i4>
      </vt:variant>
      <vt:variant>
        <vt:i4>5</vt:i4>
      </vt:variant>
      <vt:variant>
        <vt:lpwstr>https://neea.org/img/uploads/Residential-Building-Stock-Assessment-II-Single-Family-Homes-Report-2016-2017.pdf</vt:lpwstr>
      </vt:variant>
      <vt:variant>
        <vt:lpwstr/>
      </vt:variant>
      <vt:variant>
        <vt:i4>1703984</vt:i4>
      </vt:variant>
      <vt:variant>
        <vt:i4>965</vt:i4>
      </vt:variant>
      <vt:variant>
        <vt:i4>0</vt:i4>
      </vt:variant>
      <vt:variant>
        <vt:i4>5</vt:i4>
      </vt:variant>
      <vt:variant>
        <vt:lpwstr/>
      </vt:variant>
      <vt:variant>
        <vt:lpwstr>_Toc175912515</vt:lpwstr>
      </vt:variant>
      <vt:variant>
        <vt:i4>1703985</vt:i4>
      </vt:variant>
      <vt:variant>
        <vt:i4>956</vt:i4>
      </vt:variant>
      <vt:variant>
        <vt:i4>0</vt:i4>
      </vt:variant>
      <vt:variant>
        <vt:i4>5</vt:i4>
      </vt:variant>
      <vt:variant>
        <vt:lpwstr/>
      </vt:variant>
      <vt:variant>
        <vt:lpwstr>_Toc175912415</vt:lpwstr>
      </vt:variant>
      <vt:variant>
        <vt:i4>1703985</vt:i4>
      </vt:variant>
      <vt:variant>
        <vt:i4>950</vt:i4>
      </vt:variant>
      <vt:variant>
        <vt:i4>0</vt:i4>
      </vt:variant>
      <vt:variant>
        <vt:i4>5</vt:i4>
      </vt:variant>
      <vt:variant>
        <vt:lpwstr/>
      </vt:variant>
      <vt:variant>
        <vt:lpwstr>_Toc175912414</vt:lpwstr>
      </vt:variant>
      <vt:variant>
        <vt:i4>1703985</vt:i4>
      </vt:variant>
      <vt:variant>
        <vt:i4>944</vt:i4>
      </vt:variant>
      <vt:variant>
        <vt:i4>0</vt:i4>
      </vt:variant>
      <vt:variant>
        <vt:i4>5</vt:i4>
      </vt:variant>
      <vt:variant>
        <vt:lpwstr/>
      </vt:variant>
      <vt:variant>
        <vt:lpwstr>_Toc175912413</vt:lpwstr>
      </vt:variant>
      <vt:variant>
        <vt:i4>1703985</vt:i4>
      </vt:variant>
      <vt:variant>
        <vt:i4>938</vt:i4>
      </vt:variant>
      <vt:variant>
        <vt:i4>0</vt:i4>
      </vt:variant>
      <vt:variant>
        <vt:i4>5</vt:i4>
      </vt:variant>
      <vt:variant>
        <vt:lpwstr/>
      </vt:variant>
      <vt:variant>
        <vt:lpwstr>_Toc175912412</vt:lpwstr>
      </vt:variant>
      <vt:variant>
        <vt:i4>1703985</vt:i4>
      </vt:variant>
      <vt:variant>
        <vt:i4>932</vt:i4>
      </vt:variant>
      <vt:variant>
        <vt:i4>0</vt:i4>
      </vt:variant>
      <vt:variant>
        <vt:i4>5</vt:i4>
      </vt:variant>
      <vt:variant>
        <vt:lpwstr/>
      </vt:variant>
      <vt:variant>
        <vt:lpwstr>_Toc175912411</vt:lpwstr>
      </vt:variant>
      <vt:variant>
        <vt:i4>1703985</vt:i4>
      </vt:variant>
      <vt:variant>
        <vt:i4>926</vt:i4>
      </vt:variant>
      <vt:variant>
        <vt:i4>0</vt:i4>
      </vt:variant>
      <vt:variant>
        <vt:i4>5</vt:i4>
      </vt:variant>
      <vt:variant>
        <vt:lpwstr/>
      </vt:variant>
      <vt:variant>
        <vt:lpwstr>_Toc175912410</vt:lpwstr>
      </vt:variant>
      <vt:variant>
        <vt:i4>1769521</vt:i4>
      </vt:variant>
      <vt:variant>
        <vt:i4>920</vt:i4>
      </vt:variant>
      <vt:variant>
        <vt:i4>0</vt:i4>
      </vt:variant>
      <vt:variant>
        <vt:i4>5</vt:i4>
      </vt:variant>
      <vt:variant>
        <vt:lpwstr/>
      </vt:variant>
      <vt:variant>
        <vt:lpwstr>_Toc175912409</vt:lpwstr>
      </vt:variant>
      <vt:variant>
        <vt:i4>1769521</vt:i4>
      </vt:variant>
      <vt:variant>
        <vt:i4>914</vt:i4>
      </vt:variant>
      <vt:variant>
        <vt:i4>0</vt:i4>
      </vt:variant>
      <vt:variant>
        <vt:i4>5</vt:i4>
      </vt:variant>
      <vt:variant>
        <vt:lpwstr/>
      </vt:variant>
      <vt:variant>
        <vt:lpwstr>_Toc175912408</vt:lpwstr>
      </vt:variant>
      <vt:variant>
        <vt:i4>1769521</vt:i4>
      </vt:variant>
      <vt:variant>
        <vt:i4>908</vt:i4>
      </vt:variant>
      <vt:variant>
        <vt:i4>0</vt:i4>
      </vt:variant>
      <vt:variant>
        <vt:i4>5</vt:i4>
      </vt:variant>
      <vt:variant>
        <vt:lpwstr/>
      </vt:variant>
      <vt:variant>
        <vt:lpwstr>_Toc175912407</vt:lpwstr>
      </vt:variant>
      <vt:variant>
        <vt:i4>1769521</vt:i4>
      </vt:variant>
      <vt:variant>
        <vt:i4>902</vt:i4>
      </vt:variant>
      <vt:variant>
        <vt:i4>0</vt:i4>
      </vt:variant>
      <vt:variant>
        <vt:i4>5</vt:i4>
      </vt:variant>
      <vt:variant>
        <vt:lpwstr/>
      </vt:variant>
      <vt:variant>
        <vt:lpwstr>_Toc175912406</vt:lpwstr>
      </vt:variant>
      <vt:variant>
        <vt:i4>1769521</vt:i4>
      </vt:variant>
      <vt:variant>
        <vt:i4>896</vt:i4>
      </vt:variant>
      <vt:variant>
        <vt:i4>0</vt:i4>
      </vt:variant>
      <vt:variant>
        <vt:i4>5</vt:i4>
      </vt:variant>
      <vt:variant>
        <vt:lpwstr/>
      </vt:variant>
      <vt:variant>
        <vt:lpwstr>_Toc175912405</vt:lpwstr>
      </vt:variant>
      <vt:variant>
        <vt:i4>1769521</vt:i4>
      </vt:variant>
      <vt:variant>
        <vt:i4>890</vt:i4>
      </vt:variant>
      <vt:variant>
        <vt:i4>0</vt:i4>
      </vt:variant>
      <vt:variant>
        <vt:i4>5</vt:i4>
      </vt:variant>
      <vt:variant>
        <vt:lpwstr/>
      </vt:variant>
      <vt:variant>
        <vt:lpwstr>_Toc175912404</vt:lpwstr>
      </vt:variant>
      <vt:variant>
        <vt:i4>1769521</vt:i4>
      </vt:variant>
      <vt:variant>
        <vt:i4>884</vt:i4>
      </vt:variant>
      <vt:variant>
        <vt:i4>0</vt:i4>
      </vt:variant>
      <vt:variant>
        <vt:i4>5</vt:i4>
      </vt:variant>
      <vt:variant>
        <vt:lpwstr/>
      </vt:variant>
      <vt:variant>
        <vt:lpwstr>_Toc175912403</vt:lpwstr>
      </vt:variant>
      <vt:variant>
        <vt:i4>1769521</vt:i4>
      </vt:variant>
      <vt:variant>
        <vt:i4>878</vt:i4>
      </vt:variant>
      <vt:variant>
        <vt:i4>0</vt:i4>
      </vt:variant>
      <vt:variant>
        <vt:i4>5</vt:i4>
      </vt:variant>
      <vt:variant>
        <vt:lpwstr/>
      </vt:variant>
      <vt:variant>
        <vt:lpwstr>_Toc175912402</vt:lpwstr>
      </vt:variant>
      <vt:variant>
        <vt:i4>1769521</vt:i4>
      </vt:variant>
      <vt:variant>
        <vt:i4>872</vt:i4>
      </vt:variant>
      <vt:variant>
        <vt:i4>0</vt:i4>
      </vt:variant>
      <vt:variant>
        <vt:i4>5</vt:i4>
      </vt:variant>
      <vt:variant>
        <vt:lpwstr/>
      </vt:variant>
      <vt:variant>
        <vt:lpwstr>_Toc175912401</vt:lpwstr>
      </vt:variant>
      <vt:variant>
        <vt:i4>1769521</vt:i4>
      </vt:variant>
      <vt:variant>
        <vt:i4>866</vt:i4>
      </vt:variant>
      <vt:variant>
        <vt:i4>0</vt:i4>
      </vt:variant>
      <vt:variant>
        <vt:i4>5</vt:i4>
      </vt:variant>
      <vt:variant>
        <vt:lpwstr/>
      </vt:variant>
      <vt:variant>
        <vt:lpwstr>_Toc175912400</vt:lpwstr>
      </vt:variant>
      <vt:variant>
        <vt:i4>1179702</vt:i4>
      </vt:variant>
      <vt:variant>
        <vt:i4>860</vt:i4>
      </vt:variant>
      <vt:variant>
        <vt:i4>0</vt:i4>
      </vt:variant>
      <vt:variant>
        <vt:i4>5</vt:i4>
      </vt:variant>
      <vt:variant>
        <vt:lpwstr/>
      </vt:variant>
      <vt:variant>
        <vt:lpwstr>_Toc175912399</vt:lpwstr>
      </vt:variant>
      <vt:variant>
        <vt:i4>1179702</vt:i4>
      </vt:variant>
      <vt:variant>
        <vt:i4>854</vt:i4>
      </vt:variant>
      <vt:variant>
        <vt:i4>0</vt:i4>
      </vt:variant>
      <vt:variant>
        <vt:i4>5</vt:i4>
      </vt:variant>
      <vt:variant>
        <vt:lpwstr/>
      </vt:variant>
      <vt:variant>
        <vt:lpwstr>_Toc175912398</vt:lpwstr>
      </vt:variant>
      <vt:variant>
        <vt:i4>1179702</vt:i4>
      </vt:variant>
      <vt:variant>
        <vt:i4>848</vt:i4>
      </vt:variant>
      <vt:variant>
        <vt:i4>0</vt:i4>
      </vt:variant>
      <vt:variant>
        <vt:i4>5</vt:i4>
      </vt:variant>
      <vt:variant>
        <vt:lpwstr/>
      </vt:variant>
      <vt:variant>
        <vt:lpwstr>_Toc175912397</vt:lpwstr>
      </vt:variant>
      <vt:variant>
        <vt:i4>1179702</vt:i4>
      </vt:variant>
      <vt:variant>
        <vt:i4>842</vt:i4>
      </vt:variant>
      <vt:variant>
        <vt:i4>0</vt:i4>
      </vt:variant>
      <vt:variant>
        <vt:i4>5</vt:i4>
      </vt:variant>
      <vt:variant>
        <vt:lpwstr/>
      </vt:variant>
      <vt:variant>
        <vt:lpwstr>_Toc175912396</vt:lpwstr>
      </vt:variant>
      <vt:variant>
        <vt:i4>1179702</vt:i4>
      </vt:variant>
      <vt:variant>
        <vt:i4>836</vt:i4>
      </vt:variant>
      <vt:variant>
        <vt:i4>0</vt:i4>
      </vt:variant>
      <vt:variant>
        <vt:i4>5</vt:i4>
      </vt:variant>
      <vt:variant>
        <vt:lpwstr/>
      </vt:variant>
      <vt:variant>
        <vt:lpwstr>_Toc175912395</vt:lpwstr>
      </vt:variant>
      <vt:variant>
        <vt:i4>1179702</vt:i4>
      </vt:variant>
      <vt:variant>
        <vt:i4>830</vt:i4>
      </vt:variant>
      <vt:variant>
        <vt:i4>0</vt:i4>
      </vt:variant>
      <vt:variant>
        <vt:i4>5</vt:i4>
      </vt:variant>
      <vt:variant>
        <vt:lpwstr/>
      </vt:variant>
      <vt:variant>
        <vt:lpwstr>_Toc175912394</vt:lpwstr>
      </vt:variant>
      <vt:variant>
        <vt:i4>1179702</vt:i4>
      </vt:variant>
      <vt:variant>
        <vt:i4>824</vt:i4>
      </vt:variant>
      <vt:variant>
        <vt:i4>0</vt:i4>
      </vt:variant>
      <vt:variant>
        <vt:i4>5</vt:i4>
      </vt:variant>
      <vt:variant>
        <vt:lpwstr/>
      </vt:variant>
      <vt:variant>
        <vt:lpwstr>_Toc175912393</vt:lpwstr>
      </vt:variant>
      <vt:variant>
        <vt:i4>1179702</vt:i4>
      </vt:variant>
      <vt:variant>
        <vt:i4>818</vt:i4>
      </vt:variant>
      <vt:variant>
        <vt:i4>0</vt:i4>
      </vt:variant>
      <vt:variant>
        <vt:i4>5</vt:i4>
      </vt:variant>
      <vt:variant>
        <vt:lpwstr/>
      </vt:variant>
      <vt:variant>
        <vt:lpwstr>_Toc175912392</vt:lpwstr>
      </vt:variant>
      <vt:variant>
        <vt:i4>1179702</vt:i4>
      </vt:variant>
      <vt:variant>
        <vt:i4>812</vt:i4>
      </vt:variant>
      <vt:variant>
        <vt:i4>0</vt:i4>
      </vt:variant>
      <vt:variant>
        <vt:i4>5</vt:i4>
      </vt:variant>
      <vt:variant>
        <vt:lpwstr/>
      </vt:variant>
      <vt:variant>
        <vt:lpwstr>_Toc175912391</vt:lpwstr>
      </vt:variant>
      <vt:variant>
        <vt:i4>1179702</vt:i4>
      </vt:variant>
      <vt:variant>
        <vt:i4>806</vt:i4>
      </vt:variant>
      <vt:variant>
        <vt:i4>0</vt:i4>
      </vt:variant>
      <vt:variant>
        <vt:i4>5</vt:i4>
      </vt:variant>
      <vt:variant>
        <vt:lpwstr/>
      </vt:variant>
      <vt:variant>
        <vt:lpwstr>_Toc175912390</vt:lpwstr>
      </vt:variant>
      <vt:variant>
        <vt:i4>1245238</vt:i4>
      </vt:variant>
      <vt:variant>
        <vt:i4>800</vt:i4>
      </vt:variant>
      <vt:variant>
        <vt:i4>0</vt:i4>
      </vt:variant>
      <vt:variant>
        <vt:i4>5</vt:i4>
      </vt:variant>
      <vt:variant>
        <vt:lpwstr/>
      </vt:variant>
      <vt:variant>
        <vt:lpwstr>_Toc175912389</vt:lpwstr>
      </vt:variant>
      <vt:variant>
        <vt:i4>1245238</vt:i4>
      </vt:variant>
      <vt:variant>
        <vt:i4>794</vt:i4>
      </vt:variant>
      <vt:variant>
        <vt:i4>0</vt:i4>
      </vt:variant>
      <vt:variant>
        <vt:i4>5</vt:i4>
      </vt:variant>
      <vt:variant>
        <vt:lpwstr/>
      </vt:variant>
      <vt:variant>
        <vt:lpwstr>_Toc175912388</vt:lpwstr>
      </vt:variant>
      <vt:variant>
        <vt:i4>1245238</vt:i4>
      </vt:variant>
      <vt:variant>
        <vt:i4>788</vt:i4>
      </vt:variant>
      <vt:variant>
        <vt:i4>0</vt:i4>
      </vt:variant>
      <vt:variant>
        <vt:i4>5</vt:i4>
      </vt:variant>
      <vt:variant>
        <vt:lpwstr/>
      </vt:variant>
      <vt:variant>
        <vt:lpwstr>_Toc175912387</vt:lpwstr>
      </vt:variant>
      <vt:variant>
        <vt:i4>1245238</vt:i4>
      </vt:variant>
      <vt:variant>
        <vt:i4>782</vt:i4>
      </vt:variant>
      <vt:variant>
        <vt:i4>0</vt:i4>
      </vt:variant>
      <vt:variant>
        <vt:i4>5</vt:i4>
      </vt:variant>
      <vt:variant>
        <vt:lpwstr/>
      </vt:variant>
      <vt:variant>
        <vt:lpwstr>_Toc175912386</vt:lpwstr>
      </vt:variant>
      <vt:variant>
        <vt:i4>1245238</vt:i4>
      </vt:variant>
      <vt:variant>
        <vt:i4>776</vt:i4>
      </vt:variant>
      <vt:variant>
        <vt:i4>0</vt:i4>
      </vt:variant>
      <vt:variant>
        <vt:i4>5</vt:i4>
      </vt:variant>
      <vt:variant>
        <vt:lpwstr/>
      </vt:variant>
      <vt:variant>
        <vt:lpwstr>_Toc175912385</vt:lpwstr>
      </vt:variant>
      <vt:variant>
        <vt:i4>1245238</vt:i4>
      </vt:variant>
      <vt:variant>
        <vt:i4>770</vt:i4>
      </vt:variant>
      <vt:variant>
        <vt:i4>0</vt:i4>
      </vt:variant>
      <vt:variant>
        <vt:i4>5</vt:i4>
      </vt:variant>
      <vt:variant>
        <vt:lpwstr/>
      </vt:variant>
      <vt:variant>
        <vt:lpwstr>_Toc175912384</vt:lpwstr>
      </vt:variant>
      <vt:variant>
        <vt:i4>1245238</vt:i4>
      </vt:variant>
      <vt:variant>
        <vt:i4>764</vt:i4>
      </vt:variant>
      <vt:variant>
        <vt:i4>0</vt:i4>
      </vt:variant>
      <vt:variant>
        <vt:i4>5</vt:i4>
      </vt:variant>
      <vt:variant>
        <vt:lpwstr/>
      </vt:variant>
      <vt:variant>
        <vt:lpwstr>_Toc175912383</vt:lpwstr>
      </vt:variant>
      <vt:variant>
        <vt:i4>1245238</vt:i4>
      </vt:variant>
      <vt:variant>
        <vt:i4>758</vt:i4>
      </vt:variant>
      <vt:variant>
        <vt:i4>0</vt:i4>
      </vt:variant>
      <vt:variant>
        <vt:i4>5</vt:i4>
      </vt:variant>
      <vt:variant>
        <vt:lpwstr/>
      </vt:variant>
      <vt:variant>
        <vt:lpwstr>_Toc175912382</vt:lpwstr>
      </vt:variant>
      <vt:variant>
        <vt:i4>1245238</vt:i4>
      </vt:variant>
      <vt:variant>
        <vt:i4>752</vt:i4>
      </vt:variant>
      <vt:variant>
        <vt:i4>0</vt:i4>
      </vt:variant>
      <vt:variant>
        <vt:i4>5</vt:i4>
      </vt:variant>
      <vt:variant>
        <vt:lpwstr/>
      </vt:variant>
      <vt:variant>
        <vt:lpwstr>_Toc175912381</vt:lpwstr>
      </vt:variant>
      <vt:variant>
        <vt:i4>1245238</vt:i4>
      </vt:variant>
      <vt:variant>
        <vt:i4>746</vt:i4>
      </vt:variant>
      <vt:variant>
        <vt:i4>0</vt:i4>
      </vt:variant>
      <vt:variant>
        <vt:i4>5</vt:i4>
      </vt:variant>
      <vt:variant>
        <vt:lpwstr/>
      </vt:variant>
      <vt:variant>
        <vt:lpwstr>_Toc175912380</vt:lpwstr>
      </vt:variant>
      <vt:variant>
        <vt:i4>1835062</vt:i4>
      </vt:variant>
      <vt:variant>
        <vt:i4>740</vt:i4>
      </vt:variant>
      <vt:variant>
        <vt:i4>0</vt:i4>
      </vt:variant>
      <vt:variant>
        <vt:i4>5</vt:i4>
      </vt:variant>
      <vt:variant>
        <vt:lpwstr/>
      </vt:variant>
      <vt:variant>
        <vt:lpwstr>_Toc175912379</vt:lpwstr>
      </vt:variant>
      <vt:variant>
        <vt:i4>1835062</vt:i4>
      </vt:variant>
      <vt:variant>
        <vt:i4>734</vt:i4>
      </vt:variant>
      <vt:variant>
        <vt:i4>0</vt:i4>
      </vt:variant>
      <vt:variant>
        <vt:i4>5</vt:i4>
      </vt:variant>
      <vt:variant>
        <vt:lpwstr/>
      </vt:variant>
      <vt:variant>
        <vt:lpwstr>_Toc175912378</vt:lpwstr>
      </vt:variant>
      <vt:variant>
        <vt:i4>1835062</vt:i4>
      </vt:variant>
      <vt:variant>
        <vt:i4>728</vt:i4>
      </vt:variant>
      <vt:variant>
        <vt:i4>0</vt:i4>
      </vt:variant>
      <vt:variant>
        <vt:i4>5</vt:i4>
      </vt:variant>
      <vt:variant>
        <vt:lpwstr/>
      </vt:variant>
      <vt:variant>
        <vt:lpwstr>_Toc175912377</vt:lpwstr>
      </vt:variant>
      <vt:variant>
        <vt:i4>1835062</vt:i4>
      </vt:variant>
      <vt:variant>
        <vt:i4>722</vt:i4>
      </vt:variant>
      <vt:variant>
        <vt:i4>0</vt:i4>
      </vt:variant>
      <vt:variant>
        <vt:i4>5</vt:i4>
      </vt:variant>
      <vt:variant>
        <vt:lpwstr/>
      </vt:variant>
      <vt:variant>
        <vt:lpwstr>_Toc175912376</vt:lpwstr>
      </vt:variant>
      <vt:variant>
        <vt:i4>1835062</vt:i4>
      </vt:variant>
      <vt:variant>
        <vt:i4>716</vt:i4>
      </vt:variant>
      <vt:variant>
        <vt:i4>0</vt:i4>
      </vt:variant>
      <vt:variant>
        <vt:i4>5</vt:i4>
      </vt:variant>
      <vt:variant>
        <vt:lpwstr/>
      </vt:variant>
      <vt:variant>
        <vt:lpwstr>_Toc175912375</vt:lpwstr>
      </vt:variant>
      <vt:variant>
        <vt:i4>1835062</vt:i4>
      </vt:variant>
      <vt:variant>
        <vt:i4>710</vt:i4>
      </vt:variant>
      <vt:variant>
        <vt:i4>0</vt:i4>
      </vt:variant>
      <vt:variant>
        <vt:i4>5</vt:i4>
      </vt:variant>
      <vt:variant>
        <vt:lpwstr/>
      </vt:variant>
      <vt:variant>
        <vt:lpwstr>_Toc175912374</vt:lpwstr>
      </vt:variant>
      <vt:variant>
        <vt:i4>1835062</vt:i4>
      </vt:variant>
      <vt:variant>
        <vt:i4>704</vt:i4>
      </vt:variant>
      <vt:variant>
        <vt:i4>0</vt:i4>
      </vt:variant>
      <vt:variant>
        <vt:i4>5</vt:i4>
      </vt:variant>
      <vt:variant>
        <vt:lpwstr/>
      </vt:variant>
      <vt:variant>
        <vt:lpwstr>_Toc175912373</vt:lpwstr>
      </vt:variant>
      <vt:variant>
        <vt:i4>1835062</vt:i4>
      </vt:variant>
      <vt:variant>
        <vt:i4>698</vt:i4>
      </vt:variant>
      <vt:variant>
        <vt:i4>0</vt:i4>
      </vt:variant>
      <vt:variant>
        <vt:i4>5</vt:i4>
      </vt:variant>
      <vt:variant>
        <vt:lpwstr/>
      </vt:variant>
      <vt:variant>
        <vt:lpwstr>_Toc175912372</vt:lpwstr>
      </vt:variant>
      <vt:variant>
        <vt:i4>1835062</vt:i4>
      </vt:variant>
      <vt:variant>
        <vt:i4>692</vt:i4>
      </vt:variant>
      <vt:variant>
        <vt:i4>0</vt:i4>
      </vt:variant>
      <vt:variant>
        <vt:i4>5</vt:i4>
      </vt:variant>
      <vt:variant>
        <vt:lpwstr/>
      </vt:variant>
      <vt:variant>
        <vt:lpwstr>_Toc175912371</vt:lpwstr>
      </vt:variant>
      <vt:variant>
        <vt:i4>1835062</vt:i4>
      </vt:variant>
      <vt:variant>
        <vt:i4>686</vt:i4>
      </vt:variant>
      <vt:variant>
        <vt:i4>0</vt:i4>
      </vt:variant>
      <vt:variant>
        <vt:i4>5</vt:i4>
      </vt:variant>
      <vt:variant>
        <vt:lpwstr/>
      </vt:variant>
      <vt:variant>
        <vt:lpwstr>_Toc175912370</vt:lpwstr>
      </vt:variant>
      <vt:variant>
        <vt:i4>1900598</vt:i4>
      </vt:variant>
      <vt:variant>
        <vt:i4>680</vt:i4>
      </vt:variant>
      <vt:variant>
        <vt:i4>0</vt:i4>
      </vt:variant>
      <vt:variant>
        <vt:i4>5</vt:i4>
      </vt:variant>
      <vt:variant>
        <vt:lpwstr/>
      </vt:variant>
      <vt:variant>
        <vt:lpwstr>_Toc175912369</vt:lpwstr>
      </vt:variant>
      <vt:variant>
        <vt:i4>1900598</vt:i4>
      </vt:variant>
      <vt:variant>
        <vt:i4>674</vt:i4>
      </vt:variant>
      <vt:variant>
        <vt:i4>0</vt:i4>
      </vt:variant>
      <vt:variant>
        <vt:i4>5</vt:i4>
      </vt:variant>
      <vt:variant>
        <vt:lpwstr/>
      </vt:variant>
      <vt:variant>
        <vt:lpwstr>_Toc175912368</vt:lpwstr>
      </vt:variant>
      <vt:variant>
        <vt:i4>1900598</vt:i4>
      </vt:variant>
      <vt:variant>
        <vt:i4>668</vt:i4>
      </vt:variant>
      <vt:variant>
        <vt:i4>0</vt:i4>
      </vt:variant>
      <vt:variant>
        <vt:i4>5</vt:i4>
      </vt:variant>
      <vt:variant>
        <vt:lpwstr/>
      </vt:variant>
      <vt:variant>
        <vt:lpwstr>_Toc175912367</vt:lpwstr>
      </vt:variant>
      <vt:variant>
        <vt:i4>1900598</vt:i4>
      </vt:variant>
      <vt:variant>
        <vt:i4>662</vt:i4>
      </vt:variant>
      <vt:variant>
        <vt:i4>0</vt:i4>
      </vt:variant>
      <vt:variant>
        <vt:i4>5</vt:i4>
      </vt:variant>
      <vt:variant>
        <vt:lpwstr/>
      </vt:variant>
      <vt:variant>
        <vt:lpwstr>_Toc175912366</vt:lpwstr>
      </vt:variant>
      <vt:variant>
        <vt:i4>1900598</vt:i4>
      </vt:variant>
      <vt:variant>
        <vt:i4>656</vt:i4>
      </vt:variant>
      <vt:variant>
        <vt:i4>0</vt:i4>
      </vt:variant>
      <vt:variant>
        <vt:i4>5</vt:i4>
      </vt:variant>
      <vt:variant>
        <vt:lpwstr/>
      </vt:variant>
      <vt:variant>
        <vt:lpwstr>_Toc175912365</vt:lpwstr>
      </vt:variant>
      <vt:variant>
        <vt:i4>1900598</vt:i4>
      </vt:variant>
      <vt:variant>
        <vt:i4>650</vt:i4>
      </vt:variant>
      <vt:variant>
        <vt:i4>0</vt:i4>
      </vt:variant>
      <vt:variant>
        <vt:i4>5</vt:i4>
      </vt:variant>
      <vt:variant>
        <vt:lpwstr/>
      </vt:variant>
      <vt:variant>
        <vt:lpwstr>_Toc175912364</vt:lpwstr>
      </vt:variant>
      <vt:variant>
        <vt:i4>1900598</vt:i4>
      </vt:variant>
      <vt:variant>
        <vt:i4>644</vt:i4>
      </vt:variant>
      <vt:variant>
        <vt:i4>0</vt:i4>
      </vt:variant>
      <vt:variant>
        <vt:i4>5</vt:i4>
      </vt:variant>
      <vt:variant>
        <vt:lpwstr/>
      </vt:variant>
      <vt:variant>
        <vt:lpwstr>_Toc175912363</vt:lpwstr>
      </vt:variant>
      <vt:variant>
        <vt:i4>1900598</vt:i4>
      </vt:variant>
      <vt:variant>
        <vt:i4>638</vt:i4>
      </vt:variant>
      <vt:variant>
        <vt:i4>0</vt:i4>
      </vt:variant>
      <vt:variant>
        <vt:i4>5</vt:i4>
      </vt:variant>
      <vt:variant>
        <vt:lpwstr/>
      </vt:variant>
      <vt:variant>
        <vt:lpwstr>_Toc175912362</vt:lpwstr>
      </vt:variant>
      <vt:variant>
        <vt:i4>1703984</vt:i4>
      </vt:variant>
      <vt:variant>
        <vt:i4>629</vt:i4>
      </vt:variant>
      <vt:variant>
        <vt:i4>0</vt:i4>
      </vt:variant>
      <vt:variant>
        <vt:i4>5</vt:i4>
      </vt:variant>
      <vt:variant>
        <vt:lpwstr/>
      </vt:variant>
      <vt:variant>
        <vt:lpwstr>_Toc175904471</vt:lpwstr>
      </vt:variant>
      <vt:variant>
        <vt:i4>1703984</vt:i4>
      </vt:variant>
      <vt:variant>
        <vt:i4>623</vt:i4>
      </vt:variant>
      <vt:variant>
        <vt:i4>0</vt:i4>
      </vt:variant>
      <vt:variant>
        <vt:i4>5</vt:i4>
      </vt:variant>
      <vt:variant>
        <vt:lpwstr/>
      </vt:variant>
      <vt:variant>
        <vt:lpwstr>_Toc175904470</vt:lpwstr>
      </vt:variant>
      <vt:variant>
        <vt:i4>1769520</vt:i4>
      </vt:variant>
      <vt:variant>
        <vt:i4>617</vt:i4>
      </vt:variant>
      <vt:variant>
        <vt:i4>0</vt:i4>
      </vt:variant>
      <vt:variant>
        <vt:i4>5</vt:i4>
      </vt:variant>
      <vt:variant>
        <vt:lpwstr/>
      </vt:variant>
      <vt:variant>
        <vt:lpwstr>_Toc175904469</vt:lpwstr>
      </vt:variant>
      <vt:variant>
        <vt:i4>1769520</vt:i4>
      </vt:variant>
      <vt:variant>
        <vt:i4>611</vt:i4>
      </vt:variant>
      <vt:variant>
        <vt:i4>0</vt:i4>
      </vt:variant>
      <vt:variant>
        <vt:i4>5</vt:i4>
      </vt:variant>
      <vt:variant>
        <vt:lpwstr/>
      </vt:variant>
      <vt:variant>
        <vt:lpwstr>_Toc175904468</vt:lpwstr>
      </vt:variant>
      <vt:variant>
        <vt:i4>1769520</vt:i4>
      </vt:variant>
      <vt:variant>
        <vt:i4>605</vt:i4>
      </vt:variant>
      <vt:variant>
        <vt:i4>0</vt:i4>
      </vt:variant>
      <vt:variant>
        <vt:i4>5</vt:i4>
      </vt:variant>
      <vt:variant>
        <vt:lpwstr/>
      </vt:variant>
      <vt:variant>
        <vt:lpwstr>_Toc175904467</vt:lpwstr>
      </vt:variant>
      <vt:variant>
        <vt:i4>1769520</vt:i4>
      </vt:variant>
      <vt:variant>
        <vt:i4>599</vt:i4>
      </vt:variant>
      <vt:variant>
        <vt:i4>0</vt:i4>
      </vt:variant>
      <vt:variant>
        <vt:i4>5</vt:i4>
      </vt:variant>
      <vt:variant>
        <vt:lpwstr/>
      </vt:variant>
      <vt:variant>
        <vt:lpwstr>_Toc175904466</vt:lpwstr>
      </vt:variant>
      <vt:variant>
        <vt:i4>1769520</vt:i4>
      </vt:variant>
      <vt:variant>
        <vt:i4>593</vt:i4>
      </vt:variant>
      <vt:variant>
        <vt:i4>0</vt:i4>
      </vt:variant>
      <vt:variant>
        <vt:i4>5</vt:i4>
      </vt:variant>
      <vt:variant>
        <vt:lpwstr/>
      </vt:variant>
      <vt:variant>
        <vt:lpwstr>_Toc175904465</vt:lpwstr>
      </vt:variant>
      <vt:variant>
        <vt:i4>1769520</vt:i4>
      </vt:variant>
      <vt:variant>
        <vt:i4>587</vt:i4>
      </vt:variant>
      <vt:variant>
        <vt:i4>0</vt:i4>
      </vt:variant>
      <vt:variant>
        <vt:i4>5</vt:i4>
      </vt:variant>
      <vt:variant>
        <vt:lpwstr/>
      </vt:variant>
      <vt:variant>
        <vt:lpwstr>_Toc175904464</vt:lpwstr>
      </vt:variant>
      <vt:variant>
        <vt:i4>1769520</vt:i4>
      </vt:variant>
      <vt:variant>
        <vt:i4>581</vt:i4>
      </vt:variant>
      <vt:variant>
        <vt:i4>0</vt:i4>
      </vt:variant>
      <vt:variant>
        <vt:i4>5</vt:i4>
      </vt:variant>
      <vt:variant>
        <vt:lpwstr/>
      </vt:variant>
      <vt:variant>
        <vt:lpwstr>_Toc175904463</vt:lpwstr>
      </vt:variant>
      <vt:variant>
        <vt:i4>1769520</vt:i4>
      </vt:variant>
      <vt:variant>
        <vt:i4>575</vt:i4>
      </vt:variant>
      <vt:variant>
        <vt:i4>0</vt:i4>
      </vt:variant>
      <vt:variant>
        <vt:i4>5</vt:i4>
      </vt:variant>
      <vt:variant>
        <vt:lpwstr/>
      </vt:variant>
      <vt:variant>
        <vt:lpwstr>_Toc175904462</vt:lpwstr>
      </vt:variant>
      <vt:variant>
        <vt:i4>1769520</vt:i4>
      </vt:variant>
      <vt:variant>
        <vt:i4>569</vt:i4>
      </vt:variant>
      <vt:variant>
        <vt:i4>0</vt:i4>
      </vt:variant>
      <vt:variant>
        <vt:i4>5</vt:i4>
      </vt:variant>
      <vt:variant>
        <vt:lpwstr/>
      </vt:variant>
      <vt:variant>
        <vt:lpwstr>_Toc175904461</vt:lpwstr>
      </vt:variant>
      <vt:variant>
        <vt:i4>1769520</vt:i4>
      </vt:variant>
      <vt:variant>
        <vt:i4>563</vt:i4>
      </vt:variant>
      <vt:variant>
        <vt:i4>0</vt:i4>
      </vt:variant>
      <vt:variant>
        <vt:i4>5</vt:i4>
      </vt:variant>
      <vt:variant>
        <vt:lpwstr/>
      </vt:variant>
      <vt:variant>
        <vt:lpwstr>_Toc175904460</vt:lpwstr>
      </vt:variant>
      <vt:variant>
        <vt:i4>1572912</vt:i4>
      </vt:variant>
      <vt:variant>
        <vt:i4>557</vt:i4>
      </vt:variant>
      <vt:variant>
        <vt:i4>0</vt:i4>
      </vt:variant>
      <vt:variant>
        <vt:i4>5</vt:i4>
      </vt:variant>
      <vt:variant>
        <vt:lpwstr/>
      </vt:variant>
      <vt:variant>
        <vt:lpwstr>_Toc175904459</vt:lpwstr>
      </vt:variant>
      <vt:variant>
        <vt:i4>1572912</vt:i4>
      </vt:variant>
      <vt:variant>
        <vt:i4>551</vt:i4>
      </vt:variant>
      <vt:variant>
        <vt:i4>0</vt:i4>
      </vt:variant>
      <vt:variant>
        <vt:i4>5</vt:i4>
      </vt:variant>
      <vt:variant>
        <vt:lpwstr/>
      </vt:variant>
      <vt:variant>
        <vt:lpwstr>_Toc175904458</vt:lpwstr>
      </vt:variant>
      <vt:variant>
        <vt:i4>1572912</vt:i4>
      </vt:variant>
      <vt:variant>
        <vt:i4>545</vt:i4>
      </vt:variant>
      <vt:variant>
        <vt:i4>0</vt:i4>
      </vt:variant>
      <vt:variant>
        <vt:i4>5</vt:i4>
      </vt:variant>
      <vt:variant>
        <vt:lpwstr/>
      </vt:variant>
      <vt:variant>
        <vt:lpwstr>_Toc175904457</vt:lpwstr>
      </vt:variant>
      <vt:variant>
        <vt:i4>1572912</vt:i4>
      </vt:variant>
      <vt:variant>
        <vt:i4>539</vt:i4>
      </vt:variant>
      <vt:variant>
        <vt:i4>0</vt:i4>
      </vt:variant>
      <vt:variant>
        <vt:i4>5</vt:i4>
      </vt:variant>
      <vt:variant>
        <vt:lpwstr/>
      </vt:variant>
      <vt:variant>
        <vt:lpwstr>_Toc175904456</vt:lpwstr>
      </vt:variant>
      <vt:variant>
        <vt:i4>1572912</vt:i4>
      </vt:variant>
      <vt:variant>
        <vt:i4>533</vt:i4>
      </vt:variant>
      <vt:variant>
        <vt:i4>0</vt:i4>
      </vt:variant>
      <vt:variant>
        <vt:i4>5</vt:i4>
      </vt:variant>
      <vt:variant>
        <vt:lpwstr/>
      </vt:variant>
      <vt:variant>
        <vt:lpwstr>_Toc175904455</vt:lpwstr>
      </vt:variant>
      <vt:variant>
        <vt:i4>1572912</vt:i4>
      </vt:variant>
      <vt:variant>
        <vt:i4>527</vt:i4>
      </vt:variant>
      <vt:variant>
        <vt:i4>0</vt:i4>
      </vt:variant>
      <vt:variant>
        <vt:i4>5</vt:i4>
      </vt:variant>
      <vt:variant>
        <vt:lpwstr/>
      </vt:variant>
      <vt:variant>
        <vt:lpwstr>_Toc175904454</vt:lpwstr>
      </vt:variant>
      <vt:variant>
        <vt:i4>1572912</vt:i4>
      </vt:variant>
      <vt:variant>
        <vt:i4>521</vt:i4>
      </vt:variant>
      <vt:variant>
        <vt:i4>0</vt:i4>
      </vt:variant>
      <vt:variant>
        <vt:i4>5</vt:i4>
      </vt:variant>
      <vt:variant>
        <vt:lpwstr/>
      </vt:variant>
      <vt:variant>
        <vt:lpwstr>_Toc175904453</vt:lpwstr>
      </vt:variant>
      <vt:variant>
        <vt:i4>1572912</vt:i4>
      </vt:variant>
      <vt:variant>
        <vt:i4>515</vt:i4>
      </vt:variant>
      <vt:variant>
        <vt:i4>0</vt:i4>
      </vt:variant>
      <vt:variant>
        <vt:i4>5</vt:i4>
      </vt:variant>
      <vt:variant>
        <vt:lpwstr/>
      </vt:variant>
      <vt:variant>
        <vt:lpwstr>_Toc175904452</vt:lpwstr>
      </vt:variant>
      <vt:variant>
        <vt:i4>1572912</vt:i4>
      </vt:variant>
      <vt:variant>
        <vt:i4>509</vt:i4>
      </vt:variant>
      <vt:variant>
        <vt:i4>0</vt:i4>
      </vt:variant>
      <vt:variant>
        <vt:i4>5</vt:i4>
      </vt:variant>
      <vt:variant>
        <vt:lpwstr/>
      </vt:variant>
      <vt:variant>
        <vt:lpwstr>_Toc175904451</vt:lpwstr>
      </vt:variant>
      <vt:variant>
        <vt:i4>1572912</vt:i4>
      </vt:variant>
      <vt:variant>
        <vt:i4>503</vt:i4>
      </vt:variant>
      <vt:variant>
        <vt:i4>0</vt:i4>
      </vt:variant>
      <vt:variant>
        <vt:i4>5</vt:i4>
      </vt:variant>
      <vt:variant>
        <vt:lpwstr/>
      </vt:variant>
      <vt:variant>
        <vt:lpwstr>_Toc175904450</vt:lpwstr>
      </vt:variant>
      <vt:variant>
        <vt:i4>1638448</vt:i4>
      </vt:variant>
      <vt:variant>
        <vt:i4>497</vt:i4>
      </vt:variant>
      <vt:variant>
        <vt:i4>0</vt:i4>
      </vt:variant>
      <vt:variant>
        <vt:i4>5</vt:i4>
      </vt:variant>
      <vt:variant>
        <vt:lpwstr/>
      </vt:variant>
      <vt:variant>
        <vt:lpwstr>_Toc175904449</vt:lpwstr>
      </vt:variant>
      <vt:variant>
        <vt:i4>1638448</vt:i4>
      </vt:variant>
      <vt:variant>
        <vt:i4>491</vt:i4>
      </vt:variant>
      <vt:variant>
        <vt:i4>0</vt:i4>
      </vt:variant>
      <vt:variant>
        <vt:i4>5</vt:i4>
      </vt:variant>
      <vt:variant>
        <vt:lpwstr/>
      </vt:variant>
      <vt:variant>
        <vt:lpwstr>_Toc175904448</vt:lpwstr>
      </vt:variant>
      <vt:variant>
        <vt:i4>1638448</vt:i4>
      </vt:variant>
      <vt:variant>
        <vt:i4>485</vt:i4>
      </vt:variant>
      <vt:variant>
        <vt:i4>0</vt:i4>
      </vt:variant>
      <vt:variant>
        <vt:i4>5</vt:i4>
      </vt:variant>
      <vt:variant>
        <vt:lpwstr/>
      </vt:variant>
      <vt:variant>
        <vt:lpwstr>_Toc175904447</vt:lpwstr>
      </vt:variant>
      <vt:variant>
        <vt:i4>1638448</vt:i4>
      </vt:variant>
      <vt:variant>
        <vt:i4>479</vt:i4>
      </vt:variant>
      <vt:variant>
        <vt:i4>0</vt:i4>
      </vt:variant>
      <vt:variant>
        <vt:i4>5</vt:i4>
      </vt:variant>
      <vt:variant>
        <vt:lpwstr/>
      </vt:variant>
      <vt:variant>
        <vt:lpwstr>_Toc175904446</vt:lpwstr>
      </vt:variant>
      <vt:variant>
        <vt:i4>1638448</vt:i4>
      </vt:variant>
      <vt:variant>
        <vt:i4>473</vt:i4>
      </vt:variant>
      <vt:variant>
        <vt:i4>0</vt:i4>
      </vt:variant>
      <vt:variant>
        <vt:i4>5</vt:i4>
      </vt:variant>
      <vt:variant>
        <vt:lpwstr/>
      </vt:variant>
      <vt:variant>
        <vt:lpwstr>_Toc175904445</vt:lpwstr>
      </vt:variant>
      <vt:variant>
        <vt:i4>1638448</vt:i4>
      </vt:variant>
      <vt:variant>
        <vt:i4>467</vt:i4>
      </vt:variant>
      <vt:variant>
        <vt:i4>0</vt:i4>
      </vt:variant>
      <vt:variant>
        <vt:i4>5</vt:i4>
      </vt:variant>
      <vt:variant>
        <vt:lpwstr/>
      </vt:variant>
      <vt:variant>
        <vt:lpwstr>_Toc175904444</vt:lpwstr>
      </vt:variant>
      <vt:variant>
        <vt:i4>1638448</vt:i4>
      </vt:variant>
      <vt:variant>
        <vt:i4>461</vt:i4>
      </vt:variant>
      <vt:variant>
        <vt:i4>0</vt:i4>
      </vt:variant>
      <vt:variant>
        <vt:i4>5</vt:i4>
      </vt:variant>
      <vt:variant>
        <vt:lpwstr/>
      </vt:variant>
      <vt:variant>
        <vt:lpwstr>_Toc175904443</vt:lpwstr>
      </vt:variant>
      <vt:variant>
        <vt:i4>1638448</vt:i4>
      </vt:variant>
      <vt:variant>
        <vt:i4>455</vt:i4>
      </vt:variant>
      <vt:variant>
        <vt:i4>0</vt:i4>
      </vt:variant>
      <vt:variant>
        <vt:i4>5</vt:i4>
      </vt:variant>
      <vt:variant>
        <vt:lpwstr/>
      </vt:variant>
      <vt:variant>
        <vt:lpwstr>_Toc175904442</vt:lpwstr>
      </vt:variant>
      <vt:variant>
        <vt:i4>1638448</vt:i4>
      </vt:variant>
      <vt:variant>
        <vt:i4>449</vt:i4>
      </vt:variant>
      <vt:variant>
        <vt:i4>0</vt:i4>
      </vt:variant>
      <vt:variant>
        <vt:i4>5</vt:i4>
      </vt:variant>
      <vt:variant>
        <vt:lpwstr/>
      </vt:variant>
      <vt:variant>
        <vt:lpwstr>_Toc175904441</vt:lpwstr>
      </vt:variant>
      <vt:variant>
        <vt:i4>1638448</vt:i4>
      </vt:variant>
      <vt:variant>
        <vt:i4>443</vt:i4>
      </vt:variant>
      <vt:variant>
        <vt:i4>0</vt:i4>
      </vt:variant>
      <vt:variant>
        <vt:i4>5</vt:i4>
      </vt:variant>
      <vt:variant>
        <vt:lpwstr/>
      </vt:variant>
      <vt:variant>
        <vt:lpwstr>_Toc175904440</vt:lpwstr>
      </vt:variant>
      <vt:variant>
        <vt:i4>1966128</vt:i4>
      </vt:variant>
      <vt:variant>
        <vt:i4>437</vt:i4>
      </vt:variant>
      <vt:variant>
        <vt:i4>0</vt:i4>
      </vt:variant>
      <vt:variant>
        <vt:i4>5</vt:i4>
      </vt:variant>
      <vt:variant>
        <vt:lpwstr/>
      </vt:variant>
      <vt:variant>
        <vt:lpwstr>_Toc175904439</vt:lpwstr>
      </vt:variant>
      <vt:variant>
        <vt:i4>1966128</vt:i4>
      </vt:variant>
      <vt:variant>
        <vt:i4>431</vt:i4>
      </vt:variant>
      <vt:variant>
        <vt:i4>0</vt:i4>
      </vt:variant>
      <vt:variant>
        <vt:i4>5</vt:i4>
      </vt:variant>
      <vt:variant>
        <vt:lpwstr/>
      </vt:variant>
      <vt:variant>
        <vt:lpwstr>_Toc175904438</vt:lpwstr>
      </vt:variant>
      <vt:variant>
        <vt:i4>1966128</vt:i4>
      </vt:variant>
      <vt:variant>
        <vt:i4>425</vt:i4>
      </vt:variant>
      <vt:variant>
        <vt:i4>0</vt:i4>
      </vt:variant>
      <vt:variant>
        <vt:i4>5</vt:i4>
      </vt:variant>
      <vt:variant>
        <vt:lpwstr/>
      </vt:variant>
      <vt:variant>
        <vt:lpwstr>_Toc175904437</vt:lpwstr>
      </vt:variant>
      <vt:variant>
        <vt:i4>1966128</vt:i4>
      </vt:variant>
      <vt:variant>
        <vt:i4>419</vt:i4>
      </vt:variant>
      <vt:variant>
        <vt:i4>0</vt:i4>
      </vt:variant>
      <vt:variant>
        <vt:i4>5</vt:i4>
      </vt:variant>
      <vt:variant>
        <vt:lpwstr/>
      </vt:variant>
      <vt:variant>
        <vt:lpwstr>_Toc175904436</vt:lpwstr>
      </vt:variant>
      <vt:variant>
        <vt:i4>1966128</vt:i4>
      </vt:variant>
      <vt:variant>
        <vt:i4>413</vt:i4>
      </vt:variant>
      <vt:variant>
        <vt:i4>0</vt:i4>
      </vt:variant>
      <vt:variant>
        <vt:i4>5</vt:i4>
      </vt:variant>
      <vt:variant>
        <vt:lpwstr/>
      </vt:variant>
      <vt:variant>
        <vt:lpwstr>_Toc175904435</vt:lpwstr>
      </vt:variant>
      <vt:variant>
        <vt:i4>1966128</vt:i4>
      </vt:variant>
      <vt:variant>
        <vt:i4>407</vt:i4>
      </vt:variant>
      <vt:variant>
        <vt:i4>0</vt:i4>
      </vt:variant>
      <vt:variant>
        <vt:i4>5</vt:i4>
      </vt:variant>
      <vt:variant>
        <vt:lpwstr/>
      </vt:variant>
      <vt:variant>
        <vt:lpwstr>_Toc175904434</vt:lpwstr>
      </vt:variant>
      <vt:variant>
        <vt:i4>1966128</vt:i4>
      </vt:variant>
      <vt:variant>
        <vt:i4>401</vt:i4>
      </vt:variant>
      <vt:variant>
        <vt:i4>0</vt:i4>
      </vt:variant>
      <vt:variant>
        <vt:i4>5</vt:i4>
      </vt:variant>
      <vt:variant>
        <vt:lpwstr/>
      </vt:variant>
      <vt:variant>
        <vt:lpwstr>_Toc175904433</vt:lpwstr>
      </vt:variant>
      <vt:variant>
        <vt:i4>1966128</vt:i4>
      </vt:variant>
      <vt:variant>
        <vt:i4>395</vt:i4>
      </vt:variant>
      <vt:variant>
        <vt:i4>0</vt:i4>
      </vt:variant>
      <vt:variant>
        <vt:i4>5</vt:i4>
      </vt:variant>
      <vt:variant>
        <vt:lpwstr/>
      </vt:variant>
      <vt:variant>
        <vt:lpwstr>_Toc175904432</vt:lpwstr>
      </vt:variant>
      <vt:variant>
        <vt:i4>1966128</vt:i4>
      </vt:variant>
      <vt:variant>
        <vt:i4>389</vt:i4>
      </vt:variant>
      <vt:variant>
        <vt:i4>0</vt:i4>
      </vt:variant>
      <vt:variant>
        <vt:i4>5</vt:i4>
      </vt:variant>
      <vt:variant>
        <vt:lpwstr/>
      </vt:variant>
      <vt:variant>
        <vt:lpwstr>_Toc175904431</vt:lpwstr>
      </vt:variant>
      <vt:variant>
        <vt:i4>1966128</vt:i4>
      </vt:variant>
      <vt:variant>
        <vt:i4>383</vt:i4>
      </vt:variant>
      <vt:variant>
        <vt:i4>0</vt:i4>
      </vt:variant>
      <vt:variant>
        <vt:i4>5</vt:i4>
      </vt:variant>
      <vt:variant>
        <vt:lpwstr/>
      </vt:variant>
      <vt:variant>
        <vt:lpwstr>_Toc175904430</vt:lpwstr>
      </vt:variant>
      <vt:variant>
        <vt:i4>2031664</vt:i4>
      </vt:variant>
      <vt:variant>
        <vt:i4>377</vt:i4>
      </vt:variant>
      <vt:variant>
        <vt:i4>0</vt:i4>
      </vt:variant>
      <vt:variant>
        <vt:i4>5</vt:i4>
      </vt:variant>
      <vt:variant>
        <vt:lpwstr/>
      </vt:variant>
      <vt:variant>
        <vt:lpwstr>_Toc175904429</vt:lpwstr>
      </vt:variant>
      <vt:variant>
        <vt:i4>2031664</vt:i4>
      </vt:variant>
      <vt:variant>
        <vt:i4>371</vt:i4>
      </vt:variant>
      <vt:variant>
        <vt:i4>0</vt:i4>
      </vt:variant>
      <vt:variant>
        <vt:i4>5</vt:i4>
      </vt:variant>
      <vt:variant>
        <vt:lpwstr/>
      </vt:variant>
      <vt:variant>
        <vt:lpwstr>_Toc175904428</vt:lpwstr>
      </vt:variant>
      <vt:variant>
        <vt:i4>2031664</vt:i4>
      </vt:variant>
      <vt:variant>
        <vt:i4>365</vt:i4>
      </vt:variant>
      <vt:variant>
        <vt:i4>0</vt:i4>
      </vt:variant>
      <vt:variant>
        <vt:i4>5</vt:i4>
      </vt:variant>
      <vt:variant>
        <vt:lpwstr/>
      </vt:variant>
      <vt:variant>
        <vt:lpwstr>_Toc175904427</vt:lpwstr>
      </vt:variant>
      <vt:variant>
        <vt:i4>2031664</vt:i4>
      </vt:variant>
      <vt:variant>
        <vt:i4>359</vt:i4>
      </vt:variant>
      <vt:variant>
        <vt:i4>0</vt:i4>
      </vt:variant>
      <vt:variant>
        <vt:i4>5</vt:i4>
      </vt:variant>
      <vt:variant>
        <vt:lpwstr/>
      </vt:variant>
      <vt:variant>
        <vt:lpwstr>_Toc175904426</vt:lpwstr>
      </vt:variant>
      <vt:variant>
        <vt:i4>2031664</vt:i4>
      </vt:variant>
      <vt:variant>
        <vt:i4>353</vt:i4>
      </vt:variant>
      <vt:variant>
        <vt:i4>0</vt:i4>
      </vt:variant>
      <vt:variant>
        <vt:i4>5</vt:i4>
      </vt:variant>
      <vt:variant>
        <vt:lpwstr/>
      </vt:variant>
      <vt:variant>
        <vt:lpwstr>_Toc175904425</vt:lpwstr>
      </vt:variant>
      <vt:variant>
        <vt:i4>2031664</vt:i4>
      </vt:variant>
      <vt:variant>
        <vt:i4>347</vt:i4>
      </vt:variant>
      <vt:variant>
        <vt:i4>0</vt:i4>
      </vt:variant>
      <vt:variant>
        <vt:i4>5</vt:i4>
      </vt:variant>
      <vt:variant>
        <vt:lpwstr/>
      </vt:variant>
      <vt:variant>
        <vt:lpwstr>_Toc175904424</vt:lpwstr>
      </vt:variant>
      <vt:variant>
        <vt:i4>2031664</vt:i4>
      </vt:variant>
      <vt:variant>
        <vt:i4>341</vt:i4>
      </vt:variant>
      <vt:variant>
        <vt:i4>0</vt:i4>
      </vt:variant>
      <vt:variant>
        <vt:i4>5</vt:i4>
      </vt:variant>
      <vt:variant>
        <vt:lpwstr/>
      </vt:variant>
      <vt:variant>
        <vt:lpwstr>_Toc175904423</vt:lpwstr>
      </vt:variant>
      <vt:variant>
        <vt:i4>2031664</vt:i4>
      </vt:variant>
      <vt:variant>
        <vt:i4>335</vt:i4>
      </vt:variant>
      <vt:variant>
        <vt:i4>0</vt:i4>
      </vt:variant>
      <vt:variant>
        <vt:i4>5</vt:i4>
      </vt:variant>
      <vt:variant>
        <vt:lpwstr/>
      </vt:variant>
      <vt:variant>
        <vt:lpwstr>_Toc175904422</vt:lpwstr>
      </vt:variant>
      <vt:variant>
        <vt:i4>2031664</vt:i4>
      </vt:variant>
      <vt:variant>
        <vt:i4>329</vt:i4>
      </vt:variant>
      <vt:variant>
        <vt:i4>0</vt:i4>
      </vt:variant>
      <vt:variant>
        <vt:i4>5</vt:i4>
      </vt:variant>
      <vt:variant>
        <vt:lpwstr/>
      </vt:variant>
      <vt:variant>
        <vt:lpwstr>_Toc175904421</vt:lpwstr>
      </vt:variant>
      <vt:variant>
        <vt:i4>2031664</vt:i4>
      </vt:variant>
      <vt:variant>
        <vt:i4>323</vt:i4>
      </vt:variant>
      <vt:variant>
        <vt:i4>0</vt:i4>
      </vt:variant>
      <vt:variant>
        <vt:i4>5</vt:i4>
      </vt:variant>
      <vt:variant>
        <vt:lpwstr/>
      </vt:variant>
      <vt:variant>
        <vt:lpwstr>_Toc175904420</vt:lpwstr>
      </vt:variant>
      <vt:variant>
        <vt:i4>1310780</vt:i4>
      </vt:variant>
      <vt:variant>
        <vt:i4>314</vt:i4>
      </vt:variant>
      <vt:variant>
        <vt:i4>0</vt:i4>
      </vt:variant>
      <vt:variant>
        <vt:i4>5</vt:i4>
      </vt:variant>
      <vt:variant>
        <vt:lpwstr/>
      </vt:variant>
      <vt:variant>
        <vt:lpwstr>_Toc175904891</vt:lpwstr>
      </vt:variant>
      <vt:variant>
        <vt:i4>1310780</vt:i4>
      </vt:variant>
      <vt:variant>
        <vt:i4>308</vt:i4>
      </vt:variant>
      <vt:variant>
        <vt:i4>0</vt:i4>
      </vt:variant>
      <vt:variant>
        <vt:i4>5</vt:i4>
      </vt:variant>
      <vt:variant>
        <vt:lpwstr/>
      </vt:variant>
      <vt:variant>
        <vt:lpwstr>_Toc175904890</vt:lpwstr>
      </vt:variant>
      <vt:variant>
        <vt:i4>1376316</vt:i4>
      </vt:variant>
      <vt:variant>
        <vt:i4>302</vt:i4>
      </vt:variant>
      <vt:variant>
        <vt:i4>0</vt:i4>
      </vt:variant>
      <vt:variant>
        <vt:i4>5</vt:i4>
      </vt:variant>
      <vt:variant>
        <vt:lpwstr/>
      </vt:variant>
      <vt:variant>
        <vt:lpwstr>_Toc175904889</vt:lpwstr>
      </vt:variant>
      <vt:variant>
        <vt:i4>1376316</vt:i4>
      </vt:variant>
      <vt:variant>
        <vt:i4>296</vt:i4>
      </vt:variant>
      <vt:variant>
        <vt:i4>0</vt:i4>
      </vt:variant>
      <vt:variant>
        <vt:i4>5</vt:i4>
      </vt:variant>
      <vt:variant>
        <vt:lpwstr/>
      </vt:variant>
      <vt:variant>
        <vt:lpwstr>_Toc175904888</vt:lpwstr>
      </vt:variant>
      <vt:variant>
        <vt:i4>1376316</vt:i4>
      </vt:variant>
      <vt:variant>
        <vt:i4>290</vt:i4>
      </vt:variant>
      <vt:variant>
        <vt:i4>0</vt:i4>
      </vt:variant>
      <vt:variant>
        <vt:i4>5</vt:i4>
      </vt:variant>
      <vt:variant>
        <vt:lpwstr/>
      </vt:variant>
      <vt:variant>
        <vt:lpwstr>_Toc175904887</vt:lpwstr>
      </vt:variant>
      <vt:variant>
        <vt:i4>1376316</vt:i4>
      </vt:variant>
      <vt:variant>
        <vt:i4>284</vt:i4>
      </vt:variant>
      <vt:variant>
        <vt:i4>0</vt:i4>
      </vt:variant>
      <vt:variant>
        <vt:i4>5</vt:i4>
      </vt:variant>
      <vt:variant>
        <vt:lpwstr/>
      </vt:variant>
      <vt:variant>
        <vt:lpwstr>_Toc175904886</vt:lpwstr>
      </vt:variant>
      <vt:variant>
        <vt:i4>1376316</vt:i4>
      </vt:variant>
      <vt:variant>
        <vt:i4>278</vt:i4>
      </vt:variant>
      <vt:variant>
        <vt:i4>0</vt:i4>
      </vt:variant>
      <vt:variant>
        <vt:i4>5</vt:i4>
      </vt:variant>
      <vt:variant>
        <vt:lpwstr/>
      </vt:variant>
      <vt:variant>
        <vt:lpwstr>_Toc175904885</vt:lpwstr>
      </vt:variant>
      <vt:variant>
        <vt:i4>1376316</vt:i4>
      </vt:variant>
      <vt:variant>
        <vt:i4>272</vt:i4>
      </vt:variant>
      <vt:variant>
        <vt:i4>0</vt:i4>
      </vt:variant>
      <vt:variant>
        <vt:i4>5</vt:i4>
      </vt:variant>
      <vt:variant>
        <vt:lpwstr/>
      </vt:variant>
      <vt:variant>
        <vt:lpwstr>_Toc175904884</vt:lpwstr>
      </vt:variant>
      <vt:variant>
        <vt:i4>1376316</vt:i4>
      </vt:variant>
      <vt:variant>
        <vt:i4>266</vt:i4>
      </vt:variant>
      <vt:variant>
        <vt:i4>0</vt:i4>
      </vt:variant>
      <vt:variant>
        <vt:i4>5</vt:i4>
      </vt:variant>
      <vt:variant>
        <vt:lpwstr/>
      </vt:variant>
      <vt:variant>
        <vt:lpwstr>_Toc175904883</vt:lpwstr>
      </vt:variant>
      <vt:variant>
        <vt:i4>1376316</vt:i4>
      </vt:variant>
      <vt:variant>
        <vt:i4>260</vt:i4>
      </vt:variant>
      <vt:variant>
        <vt:i4>0</vt:i4>
      </vt:variant>
      <vt:variant>
        <vt:i4>5</vt:i4>
      </vt:variant>
      <vt:variant>
        <vt:lpwstr/>
      </vt:variant>
      <vt:variant>
        <vt:lpwstr>_Toc175904882</vt:lpwstr>
      </vt:variant>
      <vt:variant>
        <vt:i4>1376316</vt:i4>
      </vt:variant>
      <vt:variant>
        <vt:i4>254</vt:i4>
      </vt:variant>
      <vt:variant>
        <vt:i4>0</vt:i4>
      </vt:variant>
      <vt:variant>
        <vt:i4>5</vt:i4>
      </vt:variant>
      <vt:variant>
        <vt:lpwstr/>
      </vt:variant>
      <vt:variant>
        <vt:lpwstr>_Toc175904881</vt:lpwstr>
      </vt:variant>
      <vt:variant>
        <vt:i4>1376316</vt:i4>
      </vt:variant>
      <vt:variant>
        <vt:i4>248</vt:i4>
      </vt:variant>
      <vt:variant>
        <vt:i4>0</vt:i4>
      </vt:variant>
      <vt:variant>
        <vt:i4>5</vt:i4>
      </vt:variant>
      <vt:variant>
        <vt:lpwstr/>
      </vt:variant>
      <vt:variant>
        <vt:lpwstr>_Toc175904880</vt:lpwstr>
      </vt:variant>
      <vt:variant>
        <vt:i4>1703996</vt:i4>
      </vt:variant>
      <vt:variant>
        <vt:i4>242</vt:i4>
      </vt:variant>
      <vt:variant>
        <vt:i4>0</vt:i4>
      </vt:variant>
      <vt:variant>
        <vt:i4>5</vt:i4>
      </vt:variant>
      <vt:variant>
        <vt:lpwstr/>
      </vt:variant>
      <vt:variant>
        <vt:lpwstr>_Toc175904879</vt:lpwstr>
      </vt:variant>
      <vt:variant>
        <vt:i4>1703996</vt:i4>
      </vt:variant>
      <vt:variant>
        <vt:i4>236</vt:i4>
      </vt:variant>
      <vt:variant>
        <vt:i4>0</vt:i4>
      </vt:variant>
      <vt:variant>
        <vt:i4>5</vt:i4>
      </vt:variant>
      <vt:variant>
        <vt:lpwstr/>
      </vt:variant>
      <vt:variant>
        <vt:lpwstr>_Toc175904878</vt:lpwstr>
      </vt:variant>
      <vt:variant>
        <vt:i4>1703996</vt:i4>
      </vt:variant>
      <vt:variant>
        <vt:i4>230</vt:i4>
      </vt:variant>
      <vt:variant>
        <vt:i4>0</vt:i4>
      </vt:variant>
      <vt:variant>
        <vt:i4>5</vt:i4>
      </vt:variant>
      <vt:variant>
        <vt:lpwstr/>
      </vt:variant>
      <vt:variant>
        <vt:lpwstr>_Toc175904877</vt:lpwstr>
      </vt:variant>
      <vt:variant>
        <vt:i4>1703996</vt:i4>
      </vt:variant>
      <vt:variant>
        <vt:i4>224</vt:i4>
      </vt:variant>
      <vt:variant>
        <vt:i4>0</vt:i4>
      </vt:variant>
      <vt:variant>
        <vt:i4>5</vt:i4>
      </vt:variant>
      <vt:variant>
        <vt:lpwstr/>
      </vt:variant>
      <vt:variant>
        <vt:lpwstr>_Toc175904876</vt:lpwstr>
      </vt:variant>
      <vt:variant>
        <vt:i4>1703996</vt:i4>
      </vt:variant>
      <vt:variant>
        <vt:i4>218</vt:i4>
      </vt:variant>
      <vt:variant>
        <vt:i4>0</vt:i4>
      </vt:variant>
      <vt:variant>
        <vt:i4>5</vt:i4>
      </vt:variant>
      <vt:variant>
        <vt:lpwstr/>
      </vt:variant>
      <vt:variant>
        <vt:lpwstr>_Toc175904875</vt:lpwstr>
      </vt:variant>
      <vt:variant>
        <vt:i4>1703996</vt:i4>
      </vt:variant>
      <vt:variant>
        <vt:i4>212</vt:i4>
      </vt:variant>
      <vt:variant>
        <vt:i4>0</vt:i4>
      </vt:variant>
      <vt:variant>
        <vt:i4>5</vt:i4>
      </vt:variant>
      <vt:variant>
        <vt:lpwstr/>
      </vt:variant>
      <vt:variant>
        <vt:lpwstr>_Toc175904874</vt:lpwstr>
      </vt:variant>
      <vt:variant>
        <vt:i4>1703996</vt:i4>
      </vt:variant>
      <vt:variant>
        <vt:i4>206</vt:i4>
      </vt:variant>
      <vt:variant>
        <vt:i4>0</vt:i4>
      </vt:variant>
      <vt:variant>
        <vt:i4>5</vt:i4>
      </vt:variant>
      <vt:variant>
        <vt:lpwstr/>
      </vt:variant>
      <vt:variant>
        <vt:lpwstr>_Toc175904873</vt:lpwstr>
      </vt:variant>
      <vt:variant>
        <vt:i4>1703996</vt:i4>
      </vt:variant>
      <vt:variant>
        <vt:i4>200</vt:i4>
      </vt:variant>
      <vt:variant>
        <vt:i4>0</vt:i4>
      </vt:variant>
      <vt:variant>
        <vt:i4>5</vt:i4>
      </vt:variant>
      <vt:variant>
        <vt:lpwstr/>
      </vt:variant>
      <vt:variant>
        <vt:lpwstr>_Toc175904872</vt:lpwstr>
      </vt:variant>
      <vt:variant>
        <vt:i4>1703996</vt:i4>
      </vt:variant>
      <vt:variant>
        <vt:i4>194</vt:i4>
      </vt:variant>
      <vt:variant>
        <vt:i4>0</vt:i4>
      </vt:variant>
      <vt:variant>
        <vt:i4>5</vt:i4>
      </vt:variant>
      <vt:variant>
        <vt:lpwstr/>
      </vt:variant>
      <vt:variant>
        <vt:lpwstr>_Toc175904871</vt:lpwstr>
      </vt:variant>
      <vt:variant>
        <vt:i4>1703996</vt:i4>
      </vt:variant>
      <vt:variant>
        <vt:i4>188</vt:i4>
      </vt:variant>
      <vt:variant>
        <vt:i4>0</vt:i4>
      </vt:variant>
      <vt:variant>
        <vt:i4>5</vt:i4>
      </vt:variant>
      <vt:variant>
        <vt:lpwstr/>
      </vt:variant>
      <vt:variant>
        <vt:lpwstr>_Toc175904870</vt:lpwstr>
      </vt:variant>
      <vt:variant>
        <vt:i4>1769532</vt:i4>
      </vt:variant>
      <vt:variant>
        <vt:i4>182</vt:i4>
      </vt:variant>
      <vt:variant>
        <vt:i4>0</vt:i4>
      </vt:variant>
      <vt:variant>
        <vt:i4>5</vt:i4>
      </vt:variant>
      <vt:variant>
        <vt:lpwstr/>
      </vt:variant>
      <vt:variant>
        <vt:lpwstr>_Toc175904869</vt:lpwstr>
      </vt:variant>
      <vt:variant>
        <vt:i4>1769532</vt:i4>
      </vt:variant>
      <vt:variant>
        <vt:i4>176</vt:i4>
      </vt:variant>
      <vt:variant>
        <vt:i4>0</vt:i4>
      </vt:variant>
      <vt:variant>
        <vt:i4>5</vt:i4>
      </vt:variant>
      <vt:variant>
        <vt:lpwstr/>
      </vt:variant>
      <vt:variant>
        <vt:lpwstr>_Toc175904868</vt:lpwstr>
      </vt:variant>
      <vt:variant>
        <vt:i4>1769532</vt:i4>
      </vt:variant>
      <vt:variant>
        <vt:i4>170</vt:i4>
      </vt:variant>
      <vt:variant>
        <vt:i4>0</vt:i4>
      </vt:variant>
      <vt:variant>
        <vt:i4>5</vt:i4>
      </vt:variant>
      <vt:variant>
        <vt:lpwstr/>
      </vt:variant>
      <vt:variant>
        <vt:lpwstr>_Toc175904867</vt:lpwstr>
      </vt:variant>
      <vt:variant>
        <vt:i4>1769532</vt:i4>
      </vt:variant>
      <vt:variant>
        <vt:i4>164</vt:i4>
      </vt:variant>
      <vt:variant>
        <vt:i4>0</vt:i4>
      </vt:variant>
      <vt:variant>
        <vt:i4>5</vt:i4>
      </vt:variant>
      <vt:variant>
        <vt:lpwstr/>
      </vt:variant>
      <vt:variant>
        <vt:lpwstr>_Toc175904866</vt:lpwstr>
      </vt:variant>
      <vt:variant>
        <vt:i4>1769532</vt:i4>
      </vt:variant>
      <vt:variant>
        <vt:i4>158</vt:i4>
      </vt:variant>
      <vt:variant>
        <vt:i4>0</vt:i4>
      </vt:variant>
      <vt:variant>
        <vt:i4>5</vt:i4>
      </vt:variant>
      <vt:variant>
        <vt:lpwstr/>
      </vt:variant>
      <vt:variant>
        <vt:lpwstr>_Toc175904865</vt:lpwstr>
      </vt:variant>
      <vt:variant>
        <vt:i4>1769532</vt:i4>
      </vt:variant>
      <vt:variant>
        <vt:i4>152</vt:i4>
      </vt:variant>
      <vt:variant>
        <vt:i4>0</vt:i4>
      </vt:variant>
      <vt:variant>
        <vt:i4>5</vt:i4>
      </vt:variant>
      <vt:variant>
        <vt:lpwstr/>
      </vt:variant>
      <vt:variant>
        <vt:lpwstr>_Toc175904864</vt:lpwstr>
      </vt:variant>
      <vt:variant>
        <vt:i4>1769532</vt:i4>
      </vt:variant>
      <vt:variant>
        <vt:i4>146</vt:i4>
      </vt:variant>
      <vt:variant>
        <vt:i4>0</vt:i4>
      </vt:variant>
      <vt:variant>
        <vt:i4>5</vt:i4>
      </vt:variant>
      <vt:variant>
        <vt:lpwstr/>
      </vt:variant>
      <vt:variant>
        <vt:lpwstr>_Toc175904863</vt:lpwstr>
      </vt:variant>
      <vt:variant>
        <vt:i4>1769532</vt:i4>
      </vt:variant>
      <vt:variant>
        <vt:i4>140</vt:i4>
      </vt:variant>
      <vt:variant>
        <vt:i4>0</vt:i4>
      </vt:variant>
      <vt:variant>
        <vt:i4>5</vt:i4>
      </vt:variant>
      <vt:variant>
        <vt:lpwstr/>
      </vt:variant>
      <vt:variant>
        <vt:lpwstr>_Toc175904862</vt:lpwstr>
      </vt:variant>
      <vt:variant>
        <vt:i4>1769532</vt:i4>
      </vt:variant>
      <vt:variant>
        <vt:i4>134</vt:i4>
      </vt:variant>
      <vt:variant>
        <vt:i4>0</vt:i4>
      </vt:variant>
      <vt:variant>
        <vt:i4>5</vt:i4>
      </vt:variant>
      <vt:variant>
        <vt:lpwstr/>
      </vt:variant>
      <vt:variant>
        <vt:lpwstr>_Toc175904861</vt:lpwstr>
      </vt:variant>
      <vt:variant>
        <vt:i4>1769532</vt:i4>
      </vt:variant>
      <vt:variant>
        <vt:i4>128</vt:i4>
      </vt:variant>
      <vt:variant>
        <vt:i4>0</vt:i4>
      </vt:variant>
      <vt:variant>
        <vt:i4>5</vt:i4>
      </vt:variant>
      <vt:variant>
        <vt:lpwstr/>
      </vt:variant>
      <vt:variant>
        <vt:lpwstr>_Toc175904860</vt:lpwstr>
      </vt:variant>
      <vt:variant>
        <vt:i4>1572924</vt:i4>
      </vt:variant>
      <vt:variant>
        <vt:i4>122</vt:i4>
      </vt:variant>
      <vt:variant>
        <vt:i4>0</vt:i4>
      </vt:variant>
      <vt:variant>
        <vt:i4>5</vt:i4>
      </vt:variant>
      <vt:variant>
        <vt:lpwstr/>
      </vt:variant>
      <vt:variant>
        <vt:lpwstr>_Toc175904859</vt:lpwstr>
      </vt:variant>
      <vt:variant>
        <vt:i4>1572924</vt:i4>
      </vt:variant>
      <vt:variant>
        <vt:i4>116</vt:i4>
      </vt:variant>
      <vt:variant>
        <vt:i4>0</vt:i4>
      </vt:variant>
      <vt:variant>
        <vt:i4>5</vt:i4>
      </vt:variant>
      <vt:variant>
        <vt:lpwstr/>
      </vt:variant>
      <vt:variant>
        <vt:lpwstr>_Toc175904858</vt:lpwstr>
      </vt:variant>
      <vt:variant>
        <vt:i4>1572924</vt:i4>
      </vt:variant>
      <vt:variant>
        <vt:i4>110</vt:i4>
      </vt:variant>
      <vt:variant>
        <vt:i4>0</vt:i4>
      </vt:variant>
      <vt:variant>
        <vt:i4>5</vt:i4>
      </vt:variant>
      <vt:variant>
        <vt:lpwstr/>
      </vt:variant>
      <vt:variant>
        <vt:lpwstr>_Toc175904857</vt:lpwstr>
      </vt:variant>
      <vt:variant>
        <vt:i4>1572924</vt:i4>
      </vt:variant>
      <vt:variant>
        <vt:i4>104</vt:i4>
      </vt:variant>
      <vt:variant>
        <vt:i4>0</vt:i4>
      </vt:variant>
      <vt:variant>
        <vt:i4>5</vt:i4>
      </vt:variant>
      <vt:variant>
        <vt:lpwstr/>
      </vt:variant>
      <vt:variant>
        <vt:lpwstr>_Toc175904856</vt:lpwstr>
      </vt:variant>
      <vt:variant>
        <vt:i4>1572924</vt:i4>
      </vt:variant>
      <vt:variant>
        <vt:i4>98</vt:i4>
      </vt:variant>
      <vt:variant>
        <vt:i4>0</vt:i4>
      </vt:variant>
      <vt:variant>
        <vt:i4>5</vt:i4>
      </vt:variant>
      <vt:variant>
        <vt:lpwstr/>
      </vt:variant>
      <vt:variant>
        <vt:lpwstr>_Toc175904855</vt:lpwstr>
      </vt:variant>
      <vt:variant>
        <vt:i4>1572924</vt:i4>
      </vt:variant>
      <vt:variant>
        <vt:i4>92</vt:i4>
      </vt:variant>
      <vt:variant>
        <vt:i4>0</vt:i4>
      </vt:variant>
      <vt:variant>
        <vt:i4>5</vt:i4>
      </vt:variant>
      <vt:variant>
        <vt:lpwstr/>
      </vt:variant>
      <vt:variant>
        <vt:lpwstr>_Toc175904854</vt:lpwstr>
      </vt:variant>
      <vt:variant>
        <vt:i4>1572924</vt:i4>
      </vt:variant>
      <vt:variant>
        <vt:i4>86</vt:i4>
      </vt:variant>
      <vt:variant>
        <vt:i4>0</vt:i4>
      </vt:variant>
      <vt:variant>
        <vt:i4>5</vt:i4>
      </vt:variant>
      <vt:variant>
        <vt:lpwstr/>
      </vt:variant>
      <vt:variant>
        <vt:lpwstr>_Toc175904853</vt:lpwstr>
      </vt:variant>
      <vt:variant>
        <vt:i4>1572924</vt:i4>
      </vt:variant>
      <vt:variant>
        <vt:i4>80</vt:i4>
      </vt:variant>
      <vt:variant>
        <vt:i4>0</vt:i4>
      </vt:variant>
      <vt:variant>
        <vt:i4>5</vt:i4>
      </vt:variant>
      <vt:variant>
        <vt:lpwstr/>
      </vt:variant>
      <vt:variant>
        <vt:lpwstr>_Toc175904852</vt:lpwstr>
      </vt:variant>
      <vt:variant>
        <vt:i4>1572924</vt:i4>
      </vt:variant>
      <vt:variant>
        <vt:i4>74</vt:i4>
      </vt:variant>
      <vt:variant>
        <vt:i4>0</vt:i4>
      </vt:variant>
      <vt:variant>
        <vt:i4>5</vt:i4>
      </vt:variant>
      <vt:variant>
        <vt:lpwstr/>
      </vt:variant>
      <vt:variant>
        <vt:lpwstr>_Toc175904851</vt:lpwstr>
      </vt:variant>
      <vt:variant>
        <vt:i4>1572924</vt:i4>
      </vt:variant>
      <vt:variant>
        <vt:i4>68</vt:i4>
      </vt:variant>
      <vt:variant>
        <vt:i4>0</vt:i4>
      </vt:variant>
      <vt:variant>
        <vt:i4>5</vt:i4>
      </vt:variant>
      <vt:variant>
        <vt:lpwstr/>
      </vt:variant>
      <vt:variant>
        <vt:lpwstr>_Toc175904850</vt:lpwstr>
      </vt:variant>
      <vt:variant>
        <vt:i4>1638460</vt:i4>
      </vt:variant>
      <vt:variant>
        <vt:i4>62</vt:i4>
      </vt:variant>
      <vt:variant>
        <vt:i4>0</vt:i4>
      </vt:variant>
      <vt:variant>
        <vt:i4>5</vt:i4>
      </vt:variant>
      <vt:variant>
        <vt:lpwstr/>
      </vt:variant>
      <vt:variant>
        <vt:lpwstr>_Toc175904849</vt:lpwstr>
      </vt:variant>
      <vt:variant>
        <vt:i4>1638460</vt:i4>
      </vt:variant>
      <vt:variant>
        <vt:i4>56</vt:i4>
      </vt:variant>
      <vt:variant>
        <vt:i4>0</vt:i4>
      </vt:variant>
      <vt:variant>
        <vt:i4>5</vt:i4>
      </vt:variant>
      <vt:variant>
        <vt:lpwstr/>
      </vt:variant>
      <vt:variant>
        <vt:lpwstr>_Toc175904848</vt:lpwstr>
      </vt:variant>
      <vt:variant>
        <vt:i4>1638460</vt:i4>
      </vt:variant>
      <vt:variant>
        <vt:i4>50</vt:i4>
      </vt:variant>
      <vt:variant>
        <vt:i4>0</vt:i4>
      </vt:variant>
      <vt:variant>
        <vt:i4>5</vt:i4>
      </vt:variant>
      <vt:variant>
        <vt:lpwstr/>
      </vt:variant>
      <vt:variant>
        <vt:lpwstr>_Toc175904847</vt:lpwstr>
      </vt:variant>
      <vt:variant>
        <vt:i4>1638460</vt:i4>
      </vt:variant>
      <vt:variant>
        <vt:i4>44</vt:i4>
      </vt:variant>
      <vt:variant>
        <vt:i4>0</vt:i4>
      </vt:variant>
      <vt:variant>
        <vt:i4>5</vt:i4>
      </vt:variant>
      <vt:variant>
        <vt:lpwstr/>
      </vt:variant>
      <vt:variant>
        <vt:lpwstr>_Toc175904846</vt:lpwstr>
      </vt:variant>
      <vt:variant>
        <vt:i4>1638460</vt:i4>
      </vt:variant>
      <vt:variant>
        <vt:i4>38</vt:i4>
      </vt:variant>
      <vt:variant>
        <vt:i4>0</vt:i4>
      </vt:variant>
      <vt:variant>
        <vt:i4>5</vt:i4>
      </vt:variant>
      <vt:variant>
        <vt:lpwstr/>
      </vt:variant>
      <vt:variant>
        <vt:lpwstr>_Toc175904845</vt:lpwstr>
      </vt:variant>
      <vt:variant>
        <vt:i4>1638460</vt:i4>
      </vt:variant>
      <vt:variant>
        <vt:i4>32</vt:i4>
      </vt:variant>
      <vt:variant>
        <vt:i4>0</vt:i4>
      </vt:variant>
      <vt:variant>
        <vt:i4>5</vt:i4>
      </vt:variant>
      <vt:variant>
        <vt:lpwstr/>
      </vt:variant>
      <vt:variant>
        <vt:lpwstr>_Toc175904844</vt:lpwstr>
      </vt:variant>
      <vt:variant>
        <vt:i4>1638460</vt:i4>
      </vt:variant>
      <vt:variant>
        <vt:i4>26</vt:i4>
      </vt:variant>
      <vt:variant>
        <vt:i4>0</vt:i4>
      </vt:variant>
      <vt:variant>
        <vt:i4>5</vt:i4>
      </vt:variant>
      <vt:variant>
        <vt:lpwstr/>
      </vt:variant>
      <vt:variant>
        <vt:lpwstr>_Toc175904843</vt:lpwstr>
      </vt:variant>
      <vt:variant>
        <vt:i4>1638460</vt:i4>
      </vt:variant>
      <vt:variant>
        <vt:i4>20</vt:i4>
      </vt:variant>
      <vt:variant>
        <vt:i4>0</vt:i4>
      </vt:variant>
      <vt:variant>
        <vt:i4>5</vt:i4>
      </vt:variant>
      <vt:variant>
        <vt:lpwstr/>
      </vt:variant>
      <vt:variant>
        <vt:lpwstr>_Toc175904842</vt:lpwstr>
      </vt:variant>
      <vt:variant>
        <vt:i4>1638460</vt:i4>
      </vt:variant>
      <vt:variant>
        <vt:i4>14</vt:i4>
      </vt:variant>
      <vt:variant>
        <vt:i4>0</vt:i4>
      </vt:variant>
      <vt:variant>
        <vt:i4>5</vt:i4>
      </vt:variant>
      <vt:variant>
        <vt:lpwstr/>
      </vt:variant>
      <vt:variant>
        <vt:lpwstr>_Toc175904841</vt:lpwstr>
      </vt:variant>
      <vt:variant>
        <vt:i4>1638460</vt:i4>
      </vt:variant>
      <vt:variant>
        <vt:i4>8</vt:i4>
      </vt:variant>
      <vt:variant>
        <vt:i4>0</vt:i4>
      </vt:variant>
      <vt:variant>
        <vt:i4>5</vt:i4>
      </vt:variant>
      <vt:variant>
        <vt:lpwstr/>
      </vt:variant>
      <vt:variant>
        <vt:lpwstr>_Toc175904840</vt:lpwstr>
      </vt:variant>
      <vt:variant>
        <vt:i4>1966140</vt:i4>
      </vt:variant>
      <vt:variant>
        <vt:i4>2</vt:i4>
      </vt:variant>
      <vt:variant>
        <vt:i4>0</vt:i4>
      </vt:variant>
      <vt:variant>
        <vt:i4>5</vt:i4>
      </vt:variant>
      <vt:variant>
        <vt:lpwstr/>
      </vt:variant>
      <vt:variant>
        <vt:lpwstr>_Toc175904839</vt:lpwstr>
      </vt:variant>
      <vt:variant>
        <vt:i4>3604500</vt:i4>
      </vt:variant>
      <vt:variant>
        <vt:i4>84</vt:i4>
      </vt:variant>
      <vt:variant>
        <vt:i4>0</vt:i4>
      </vt:variant>
      <vt:variant>
        <vt:i4>5</vt:i4>
      </vt:variant>
      <vt:variant>
        <vt:lpwstr>mailto:fnguyen@ameresco.com</vt:lpwstr>
      </vt:variant>
      <vt:variant>
        <vt:lpwstr/>
      </vt:variant>
      <vt:variant>
        <vt:i4>3604500</vt:i4>
      </vt:variant>
      <vt:variant>
        <vt:i4>81</vt:i4>
      </vt:variant>
      <vt:variant>
        <vt:i4>0</vt:i4>
      </vt:variant>
      <vt:variant>
        <vt:i4>5</vt:i4>
      </vt:variant>
      <vt:variant>
        <vt:lpwstr>mailto:fnguyen@ameresco.com</vt:lpwstr>
      </vt:variant>
      <vt:variant>
        <vt:lpwstr/>
      </vt:variant>
      <vt:variant>
        <vt:i4>4325493</vt:i4>
      </vt:variant>
      <vt:variant>
        <vt:i4>78</vt:i4>
      </vt:variant>
      <vt:variant>
        <vt:i4>0</vt:i4>
      </vt:variant>
      <vt:variant>
        <vt:i4>5</vt:i4>
      </vt:variant>
      <vt:variant>
        <vt:lpwstr>mailto:twilliams@ameresco.com</vt:lpwstr>
      </vt:variant>
      <vt:variant>
        <vt:lpwstr/>
      </vt:variant>
      <vt:variant>
        <vt:i4>3407902</vt:i4>
      </vt:variant>
      <vt:variant>
        <vt:i4>75</vt:i4>
      </vt:variant>
      <vt:variant>
        <vt:i4>0</vt:i4>
      </vt:variant>
      <vt:variant>
        <vt:i4>5</vt:i4>
      </vt:variant>
      <vt:variant>
        <vt:lpwstr>mailto:ariordan@ameresco.com</vt:lpwstr>
      </vt:variant>
      <vt:variant>
        <vt:lpwstr/>
      </vt:variant>
      <vt:variant>
        <vt:i4>2949140</vt:i4>
      </vt:variant>
      <vt:variant>
        <vt:i4>72</vt:i4>
      </vt:variant>
      <vt:variant>
        <vt:i4>0</vt:i4>
      </vt:variant>
      <vt:variant>
        <vt:i4>5</vt:i4>
      </vt:variant>
      <vt:variant>
        <vt:lpwstr>mailto:kwalter@ameresco.com</vt:lpwstr>
      </vt:variant>
      <vt:variant>
        <vt:lpwstr/>
      </vt:variant>
      <vt:variant>
        <vt:i4>4325493</vt:i4>
      </vt:variant>
      <vt:variant>
        <vt:i4>69</vt:i4>
      </vt:variant>
      <vt:variant>
        <vt:i4>0</vt:i4>
      </vt:variant>
      <vt:variant>
        <vt:i4>5</vt:i4>
      </vt:variant>
      <vt:variant>
        <vt:lpwstr>mailto:twilliams@ameresco.com</vt:lpwstr>
      </vt:variant>
      <vt:variant>
        <vt:lpwstr/>
      </vt:variant>
      <vt:variant>
        <vt:i4>2949140</vt:i4>
      </vt:variant>
      <vt:variant>
        <vt:i4>66</vt:i4>
      </vt:variant>
      <vt:variant>
        <vt:i4>0</vt:i4>
      </vt:variant>
      <vt:variant>
        <vt:i4>5</vt:i4>
      </vt:variant>
      <vt:variant>
        <vt:lpwstr>mailto:kwalter@ameresco.com</vt:lpwstr>
      </vt:variant>
      <vt:variant>
        <vt:lpwstr/>
      </vt:variant>
      <vt:variant>
        <vt:i4>2621449</vt:i4>
      </vt:variant>
      <vt:variant>
        <vt:i4>63</vt:i4>
      </vt:variant>
      <vt:variant>
        <vt:i4>0</vt:i4>
      </vt:variant>
      <vt:variant>
        <vt:i4>5</vt:i4>
      </vt:variant>
      <vt:variant>
        <vt:lpwstr>mailto:ahudson@ameresco.com</vt:lpwstr>
      </vt:variant>
      <vt:variant>
        <vt:lpwstr/>
      </vt:variant>
      <vt:variant>
        <vt:i4>2555908</vt:i4>
      </vt:variant>
      <vt:variant>
        <vt:i4>60</vt:i4>
      </vt:variant>
      <vt:variant>
        <vt:i4>0</vt:i4>
      </vt:variant>
      <vt:variant>
        <vt:i4>5</vt:i4>
      </vt:variant>
      <vt:variant>
        <vt:lpwstr>mailto:caleblee@ameresco.com</vt:lpwstr>
      </vt:variant>
      <vt:variant>
        <vt:lpwstr/>
      </vt:variant>
      <vt:variant>
        <vt:i4>3604500</vt:i4>
      </vt:variant>
      <vt:variant>
        <vt:i4>57</vt:i4>
      </vt:variant>
      <vt:variant>
        <vt:i4>0</vt:i4>
      </vt:variant>
      <vt:variant>
        <vt:i4>5</vt:i4>
      </vt:variant>
      <vt:variant>
        <vt:lpwstr>mailto:fnguyen@ameresco.com</vt:lpwstr>
      </vt:variant>
      <vt:variant>
        <vt:lpwstr/>
      </vt:variant>
      <vt:variant>
        <vt:i4>2949140</vt:i4>
      </vt:variant>
      <vt:variant>
        <vt:i4>54</vt:i4>
      </vt:variant>
      <vt:variant>
        <vt:i4>0</vt:i4>
      </vt:variant>
      <vt:variant>
        <vt:i4>5</vt:i4>
      </vt:variant>
      <vt:variant>
        <vt:lpwstr>mailto:kwalter@ameresco.com</vt:lpwstr>
      </vt:variant>
      <vt:variant>
        <vt:lpwstr/>
      </vt:variant>
      <vt:variant>
        <vt:i4>3604500</vt:i4>
      </vt:variant>
      <vt:variant>
        <vt:i4>51</vt:i4>
      </vt:variant>
      <vt:variant>
        <vt:i4>0</vt:i4>
      </vt:variant>
      <vt:variant>
        <vt:i4>5</vt:i4>
      </vt:variant>
      <vt:variant>
        <vt:lpwstr>mailto:fnguyen@ameresco.com</vt:lpwstr>
      </vt:variant>
      <vt:variant>
        <vt:lpwstr/>
      </vt:variant>
      <vt:variant>
        <vt:i4>2621449</vt:i4>
      </vt:variant>
      <vt:variant>
        <vt:i4>48</vt:i4>
      </vt:variant>
      <vt:variant>
        <vt:i4>0</vt:i4>
      </vt:variant>
      <vt:variant>
        <vt:i4>5</vt:i4>
      </vt:variant>
      <vt:variant>
        <vt:lpwstr>mailto:ahudson@ameresco.com</vt:lpwstr>
      </vt:variant>
      <vt:variant>
        <vt:lpwstr/>
      </vt:variant>
      <vt:variant>
        <vt:i4>2555908</vt:i4>
      </vt:variant>
      <vt:variant>
        <vt:i4>45</vt:i4>
      </vt:variant>
      <vt:variant>
        <vt:i4>0</vt:i4>
      </vt:variant>
      <vt:variant>
        <vt:i4>5</vt:i4>
      </vt:variant>
      <vt:variant>
        <vt:lpwstr>mailto:caleblee@ameresco.com</vt:lpwstr>
      </vt:variant>
      <vt:variant>
        <vt:lpwstr/>
      </vt:variant>
      <vt:variant>
        <vt:i4>2555908</vt:i4>
      </vt:variant>
      <vt:variant>
        <vt:i4>42</vt:i4>
      </vt:variant>
      <vt:variant>
        <vt:i4>0</vt:i4>
      </vt:variant>
      <vt:variant>
        <vt:i4>5</vt:i4>
      </vt:variant>
      <vt:variant>
        <vt:lpwstr>mailto:caleblee@ameresco.com</vt:lpwstr>
      </vt:variant>
      <vt:variant>
        <vt:lpwstr/>
      </vt:variant>
      <vt:variant>
        <vt:i4>2555908</vt:i4>
      </vt:variant>
      <vt:variant>
        <vt:i4>39</vt:i4>
      </vt:variant>
      <vt:variant>
        <vt:i4>0</vt:i4>
      </vt:variant>
      <vt:variant>
        <vt:i4>5</vt:i4>
      </vt:variant>
      <vt:variant>
        <vt:lpwstr>mailto:caleblee@ameresco.com</vt:lpwstr>
      </vt:variant>
      <vt:variant>
        <vt:lpwstr/>
      </vt:variant>
      <vt:variant>
        <vt:i4>2555908</vt:i4>
      </vt:variant>
      <vt:variant>
        <vt:i4>36</vt:i4>
      </vt:variant>
      <vt:variant>
        <vt:i4>0</vt:i4>
      </vt:variant>
      <vt:variant>
        <vt:i4>5</vt:i4>
      </vt:variant>
      <vt:variant>
        <vt:lpwstr>mailto:caleblee@ameresco.com</vt:lpwstr>
      </vt:variant>
      <vt:variant>
        <vt:lpwstr/>
      </vt:variant>
      <vt:variant>
        <vt:i4>2621449</vt:i4>
      </vt:variant>
      <vt:variant>
        <vt:i4>33</vt:i4>
      </vt:variant>
      <vt:variant>
        <vt:i4>0</vt:i4>
      </vt:variant>
      <vt:variant>
        <vt:i4>5</vt:i4>
      </vt:variant>
      <vt:variant>
        <vt:lpwstr>mailto:ahudson@ameresco.com</vt:lpwstr>
      </vt:variant>
      <vt:variant>
        <vt:lpwstr/>
      </vt:variant>
      <vt:variant>
        <vt:i4>2949140</vt:i4>
      </vt:variant>
      <vt:variant>
        <vt:i4>30</vt:i4>
      </vt:variant>
      <vt:variant>
        <vt:i4>0</vt:i4>
      </vt:variant>
      <vt:variant>
        <vt:i4>5</vt:i4>
      </vt:variant>
      <vt:variant>
        <vt:lpwstr>mailto:kwalter@ameresco.com</vt:lpwstr>
      </vt:variant>
      <vt:variant>
        <vt:lpwstr/>
      </vt:variant>
      <vt:variant>
        <vt:i4>1769540</vt:i4>
      </vt:variant>
      <vt:variant>
        <vt:i4>27</vt:i4>
      </vt:variant>
      <vt:variant>
        <vt:i4>0</vt:i4>
      </vt:variant>
      <vt:variant>
        <vt:i4>5</vt:i4>
      </vt:variant>
      <vt:variant>
        <vt:lpwstr>\\EgnyteDrive\Ameresco Files\AEG\Clients\Avista Energy\1008250 CPA 2023\Deliverables\Report\Avista Baseline Forecast Development.docx</vt:lpwstr>
      </vt:variant>
      <vt:variant>
        <vt:lpwstr/>
      </vt:variant>
      <vt:variant>
        <vt:i4>2555908</vt:i4>
      </vt:variant>
      <vt:variant>
        <vt:i4>24</vt:i4>
      </vt:variant>
      <vt:variant>
        <vt:i4>0</vt:i4>
      </vt:variant>
      <vt:variant>
        <vt:i4>5</vt:i4>
      </vt:variant>
      <vt:variant>
        <vt:lpwstr>mailto:caleblee@ameresco.com</vt:lpwstr>
      </vt:variant>
      <vt:variant>
        <vt:lpwstr/>
      </vt:variant>
      <vt:variant>
        <vt:i4>2555908</vt:i4>
      </vt:variant>
      <vt:variant>
        <vt:i4>21</vt:i4>
      </vt:variant>
      <vt:variant>
        <vt:i4>0</vt:i4>
      </vt:variant>
      <vt:variant>
        <vt:i4>5</vt:i4>
      </vt:variant>
      <vt:variant>
        <vt:lpwstr>mailto:caleblee@ameresco.com</vt:lpwstr>
      </vt:variant>
      <vt:variant>
        <vt:lpwstr/>
      </vt:variant>
      <vt:variant>
        <vt:i4>3407902</vt:i4>
      </vt:variant>
      <vt:variant>
        <vt:i4>18</vt:i4>
      </vt:variant>
      <vt:variant>
        <vt:i4>0</vt:i4>
      </vt:variant>
      <vt:variant>
        <vt:i4>5</vt:i4>
      </vt:variant>
      <vt:variant>
        <vt:lpwstr>mailto:ariordan@ameresco.com</vt:lpwstr>
      </vt:variant>
      <vt:variant>
        <vt:lpwstr/>
      </vt:variant>
      <vt:variant>
        <vt:i4>3407902</vt:i4>
      </vt:variant>
      <vt:variant>
        <vt:i4>15</vt:i4>
      </vt:variant>
      <vt:variant>
        <vt:i4>0</vt:i4>
      </vt:variant>
      <vt:variant>
        <vt:i4>5</vt:i4>
      </vt:variant>
      <vt:variant>
        <vt:lpwstr>mailto:ariordan@ameresco.com</vt:lpwstr>
      </vt:variant>
      <vt:variant>
        <vt:lpwstr/>
      </vt:variant>
      <vt:variant>
        <vt:i4>3604500</vt:i4>
      </vt:variant>
      <vt:variant>
        <vt:i4>12</vt:i4>
      </vt:variant>
      <vt:variant>
        <vt:i4>0</vt:i4>
      </vt:variant>
      <vt:variant>
        <vt:i4>5</vt:i4>
      </vt:variant>
      <vt:variant>
        <vt:lpwstr>mailto:fnguyen@ameresco.com</vt:lpwstr>
      </vt:variant>
      <vt:variant>
        <vt:lpwstr/>
      </vt:variant>
      <vt:variant>
        <vt:i4>2949140</vt:i4>
      </vt:variant>
      <vt:variant>
        <vt:i4>9</vt:i4>
      </vt:variant>
      <vt:variant>
        <vt:i4>0</vt:i4>
      </vt:variant>
      <vt:variant>
        <vt:i4>5</vt:i4>
      </vt:variant>
      <vt:variant>
        <vt:lpwstr>mailto:kwalter@ameresco.com</vt:lpwstr>
      </vt:variant>
      <vt:variant>
        <vt:lpwstr/>
      </vt:variant>
      <vt:variant>
        <vt:i4>3604500</vt:i4>
      </vt:variant>
      <vt:variant>
        <vt:i4>6</vt:i4>
      </vt:variant>
      <vt:variant>
        <vt:i4>0</vt:i4>
      </vt:variant>
      <vt:variant>
        <vt:i4>5</vt:i4>
      </vt:variant>
      <vt:variant>
        <vt:lpwstr>mailto:fnguyen@ameresco.com</vt:lpwstr>
      </vt:variant>
      <vt:variant>
        <vt:lpwstr/>
      </vt:variant>
      <vt:variant>
        <vt:i4>2949140</vt:i4>
      </vt:variant>
      <vt:variant>
        <vt:i4>3</vt:i4>
      </vt:variant>
      <vt:variant>
        <vt:i4>0</vt:i4>
      </vt:variant>
      <vt:variant>
        <vt:i4>5</vt:i4>
      </vt:variant>
      <vt:variant>
        <vt:lpwstr>mailto:kwalter@ameresco.com</vt:lpwstr>
      </vt:variant>
      <vt:variant>
        <vt:lpwstr/>
      </vt:variant>
      <vt:variant>
        <vt:i4>3604500</vt:i4>
      </vt:variant>
      <vt:variant>
        <vt:i4>0</vt:i4>
      </vt:variant>
      <vt:variant>
        <vt:i4>0</vt:i4>
      </vt:variant>
      <vt:variant>
        <vt:i4>5</vt:i4>
      </vt:variant>
      <vt:variant>
        <vt:lpwstr>mailto:fnguyen@ameresco.com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Avista Electric Conservation Potential Assessment for 2026-2045</dc:title>
  <dc:subject/>
  <dc:creator>Riordan, Adriene</dc:creator>
  <cp:keywords/>
  <dc:description/>
  <cp:lastModifiedBy>Gall, James</cp:lastModifiedBy>
  <cp:revision>2</cp:revision>
  <cp:lastPrinted>2023-11-01T23:55:00Z</cp:lastPrinted>
  <dcterms:created xsi:type="dcterms:W3CDTF">2024-08-30T20:55:00Z</dcterms:created>
  <dcterms:modified xsi:type="dcterms:W3CDTF">2024-08-30T20:55:00Z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0x0101006E56B4D1795A2E4DB2F0B01679ED314A00BCCD375AA95B414DBEFD00C5E3F3E6CF</vt:lpwstr>
  </property>
  <property fmtid="{D5CDD505-2E9C-101B-9397-08002B2CF9AE}" pid="4" name="MSIP_Label_9d817c99-0b37-4a07-8277-96aa1f96b74b_Enabled">
    <vt:lpwstr>true</vt:lpwstr>
  </property>
  <property fmtid="{D5CDD505-2E9C-101B-9397-08002B2CF9AE}" pid="5" name="MSIP_Label_9d817c99-0b37-4a07-8277-96aa1f96b74b_SetDate">
    <vt:lpwstr>2024-08-23T17:40:33Z</vt:lpwstr>
  </property>
  <property fmtid="{D5CDD505-2E9C-101B-9397-08002B2CF9AE}" pid="6" name="MSIP_Label_9d817c99-0b37-4a07-8277-96aa1f96b74b_Method">
    <vt:lpwstr>Standard</vt:lpwstr>
  </property>
  <property fmtid="{D5CDD505-2E9C-101B-9397-08002B2CF9AE}" pid="7" name="MSIP_Label_9d817c99-0b37-4a07-8277-96aa1f96b74b_Name">
    <vt:lpwstr>9d817c99-0b37-4a07-8277-96aa1f96b74b</vt:lpwstr>
  </property>
  <property fmtid="{D5CDD505-2E9C-101B-9397-08002B2CF9AE}" pid="8" name="MSIP_Label_9d817c99-0b37-4a07-8277-96aa1f96b74b_SiteId">
    <vt:lpwstr>d11dfc6a-833a-4712-84db-fc468665e0e1</vt:lpwstr>
  </property>
  <property fmtid="{D5CDD505-2E9C-101B-9397-08002B2CF9AE}" pid="9" name="MSIP_Label_9d817c99-0b37-4a07-8277-96aa1f96b74b_ActionId">
    <vt:lpwstr>008946db-24ac-4f71-a195-1ed0d8179cd5</vt:lpwstr>
  </property>
  <property fmtid="{D5CDD505-2E9C-101B-9397-08002B2CF9AE}" pid="10" name="MSIP_Label_9d817c99-0b37-4a07-8277-96aa1f96b74b_ContentBits">
    <vt:lpwstr>0</vt:lpwstr>
  </property>
  <property fmtid="{D5CDD505-2E9C-101B-9397-08002B2CF9AE}" pid="11" name="_docset_NoMedatataSyncRequired">
    <vt:lpwstr>False</vt:lpwstr>
  </property>
</Properties>
</file>