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705E" w14:textId="77777777" w:rsidR="009A1907" w:rsidRDefault="009A1907" w:rsidP="0003084B">
      <w:pPr>
        <w:pStyle w:val="Header"/>
        <w:widowControl w:val="0"/>
        <w:tabs>
          <w:tab w:val="clear" w:pos="4320"/>
          <w:tab w:val="clear" w:pos="8640"/>
        </w:tabs>
        <w:spacing w:line="240" w:lineRule="exact"/>
        <w:rPr>
          <w:rFonts w:ascii="Times New Roman" w:hAnsi="Times New Roman"/>
        </w:rPr>
      </w:pPr>
    </w:p>
    <w:p w14:paraId="1C46AB2F" w14:textId="1D6FA261" w:rsidR="0003084B" w:rsidRDefault="0003084B" w:rsidP="0003084B">
      <w:pPr>
        <w:pStyle w:val="Header"/>
        <w:widowControl w:val="0"/>
        <w:tabs>
          <w:tab w:val="clear" w:pos="4320"/>
          <w:tab w:val="clear" w:pos="8640"/>
        </w:tabs>
        <w:spacing w:line="240" w:lineRule="exact"/>
        <w:rPr>
          <w:rFonts w:ascii="Times New Roman" w:hAnsi="Times New Roman"/>
        </w:rPr>
      </w:pPr>
    </w:p>
    <w:p w14:paraId="2DF4A521"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05BDCB85" w14:textId="513C59A1" w:rsidR="009E4CA8" w:rsidRDefault="009E4CA8" w:rsidP="0003084B">
      <w:pPr>
        <w:pStyle w:val="Header"/>
        <w:widowControl w:val="0"/>
        <w:tabs>
          <w:tab w:val="clear" w:pos="4320"/>
          <w:tab w:val="clear" w:pos="8640"/>
        </w:tabs>
        <w:spacing w:line="240" w:lineRule="exact"/>
        <w:rPr>
          <w:rFonts w:ascii="Times New Roman" w:hAnsi="Times New Roman"/>
        </w:rPr>
      </w:pPr>
    </w:p>
    <w:p w14:paraId="79DDE8E4" w14:textId="77777777" w:rsidR="009E4CA8" w:rsidRDefault="009E4CA8" w:rsidP="0003084B">
      <w:pPr>
        <w:pStyle w:val="Header"/>
        <w:widowControl w:val="0"/>
        <w:tabs>
          <w:tab w:val="clear" w:pos="4320"/>
          <w:tab w:val="clear" w:pos="8640"/>
        </w:tabs>
        <w:spacing w:line="240" w:lineRule="exact"/>
        <w:rPr>
          <w:rFonts w:ascii="Times New Roman" w:hAnsi="Times New Roman"/>
        </w:rPr>
      </w:pPr>
    </w:p>
    <w:p w14:paraId="22F93E24" w14:textId="77777777" w:rsidR="009E4CA8" w:rsidRDefault="009E4CA8" w:rsidP="0003084B">
      <w:pPr>
        <w:pStyle w:val="Header"/>
        <w:widowControl w:val="0"/>
        <w:tabs>
          <w:tab w:val="clear" w:pos="4320"/>
          <w:tab w:val="clear" w:pos="8640"/>
        </w:tabs>
        <w:spacing w:line="240" w:lineRule="exact"/>
        <w:rPr>
          <w:rFonts w:ascii="Times New Roman" w:hAnsi="Times New Roman"/>
        </w:rPr>
      </w:pPr>
    </w:p>
    <w:p w14:paraId="40377A6B" w14:textId="77777777" w:rsidR="009E4CA8" w:rsidRDefault="009E4CA8" w:rsidP="0003084B">
      <w:pPr>
        <w:pStyle w:val="Header"/>
        <w:widowControl w:val="0"/>
        <w:tabs>
          <w:tab w:val="clear" w:pos="4320"/>
          <w:tab w:val="clear" w:pos="8640"/>
        </w:tabs>
        <w:spacing w:line="240" w:lineRule="exact"/>
        <w:rPr>
          <w:rFonts w:ascii="Times New Roman" w:hAnsi="Times New Roman"/>
        </w:rPr>
      </w:pPr>
    </w:p>
    <w:p w14:paraId="5E3DCA85"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63D2745F"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5F25F394" w14:textId="77777777" w:rsidR="0003084B" w:rsidRDefault="0003084B" w:rsidP="0003084B">
      <w:pPr>
        <w:pStyle w:val="Header"/>
        <w:widowControl w:val="0"/>
        <w:tabs>
          <w:tab w:val="clear" w:pos="4320"/>
          <w:tab w:val="clear" w:pos="8640"/>
        </w:tabs>
        <w:spacing w:line="240" w:lineRule="exact"/>
        <w:rPr>
          <w:rFonts w:ascii="Times New Roman" w:hAnsi="Times New Roman"/>
        </w:rPr>
      </w:pPr>
    </w:p>
    <w:p w14:paraId="787D3837" w14:textId="77777777" w:rsidR="009A1907" w:rsidRDefault="009A1907" w:rsidP="0003084B">
      <w:pPr>
        <w:pStyle w:val="Header"/>
        <w:widowControl w:val="0"/>
        <w:tabs>
          <w:tab w:val="clear" w:pos="4320"/>
          <w:tab w:val="clear" w:pos="8640"/>
        </w:tabs>
        <w:spacing w:line="240" w:lineRule="exact"/>
        <w:rPr>
          <w:rFonts w:ascii="Times New Roman" w:hAnsi="Times New Roman"/>
        </w:rPr>
      </w:pPr>
    </w:p>
    <w:p w14:paraId="2953B8FD" w14:textId="77777777" w:rsidR="00DD5034" w:rsidRPr="009A1907" w:rsidRDefault="00DD5034" w:rsidP="0003084B">
      <w:pPr>
        <w:pStyle w:val="Header"/>
        <w:widowControl w:val="0"/>
        <w:tabs>
          <w:tab w:val="clear" w:pos="4320"/>
          <w:tab w:val="clear" w:pos="8640"/>
        </w:tabs>
        <w:spacing w:line="240" w:lineRule="exact"/>
        <w:rPr>
          <w:rFonts w:ascii="Times New Roman" w:hAnsi="Times New Roman"/>
        </w:rPr>
      </w:pPr>
      <w:r w:rsidRPr="009A1907">
        <w:rPr>
          <w:rFonts w:ascii="Times New Roman" w:hAnsi="Times New Roman"/>
        </w:rPr>
        <w:t>BEFORE THE WASHINGTON UTILITIES AND TRANSPORTATION COMMISSION</w:t>
      </w:r>
    </w:p>
    <w:p w14:paraId="0BEC8AAB" w14:textId="77777777" w:rsidR="00DD5034" w:rsidRPr="009A1907" w:rsidRDefault="00DD5034" w:rsidP="0003084B">
      <w:pPr>
        <w:pStyle w:val="Header"/>
        <w:widowControl w:val="0"/>
        <w:spacing w:line="240" w:lineRule="exact"/>
        <w:rPr>
          <w:rFonts w:ascii="Times New Roman" w:hAnsi="Times New Roman"/>
        </w:rPr>
      </w:pPr>
    </w:p>
    <w:p w14:paraId="0C9083E9" w14:textId="77777777" w:rsidR="00DD5034" w:rsidRPr="009A1907" w:rsidRDefault="00DD5034" w:rsidP="0003084B">
      <w:pPr>
        <w:pStyle w:val="Header"/>
        <w:widowControl w:val="0"/>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9A1907" w14:paraId="3AAF453E"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1F21478E"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WASHINGTON UTILITIES AND TRANSPORTATION COMMISSION,</w:t>
            </w:r>
          </w:p>
          <w:p w14:paraId="5AC2D81E"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7FE9E650"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ab/>
            </w:r>
            <w:r w:rsidRPr="009A1907">
              <w:rPr>
                <w:rFonts w:ascii="Times New Roman" w:hAnsi="Times New Roman"/>
              </w:rPr>
              <w:tab/>
              <w:t>Complainant,</w:t>
            </w:r>
          </w:p>
          <w:p w14:paraId="4B358F16"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60BF1AED"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v.</w:t>
            </w:r>
          </w:p>
          <w:p w14:paraId="1E78F16F"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20D2E20E"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WASTE CONTROL, INC.,</w:t>
            </w:r>
          </w:p>
          <w:p w14:paraId="5536E570"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p w14:paraId="360CD5ED"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r w:rsidRPr="009A1907">
              <w:rPr>
                <w:rFonts w:ascii="Times New Roman" w:hAnsi="Times New Roman"/>
              </w:rPr>
              <w:tab/>
            </w:r>
            <w:r w:rsidRPr="009A1907">
              <w:rPr>
                <w:rFonts w:ascii="Times New Roman" w:hAnsi="Times New Roman"/>
              </w:rPr>
              <w:tab/>
              <w:t>Respondent.</w:t>
            </w:r>
          </w:p>
          <w:p w14:paraId="2577AF94" w14:textId="77777777" w:rsidR="00DD5034" w:rsidRPr="009A1907" w:rsidRDefault="00DD5034" w:rsidP="0003084B">
            <w:pPr>
              <w:pStyle w:val="Header"/>
              <w:widowControl w:val="0"/>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B97895E" w14:textId="77777777" w:rsidR="00DD5034" w:rsidRPr="009A1907" w:rsidRDefault="00DD5034" w:rsidP="0003084B">
            <w:pPr>
              <w:pStyle w:val="Header"/>
              <w:widowControl w:val="0"/>
              <w:spacing w:line="240" w:lineRule="exact"/>
              <w:ind w:left="416"/>
              <w:rPr>
                <w:rFonts w:ascii="Times New Roman" w:hAnsi="Times New Roman"/>
              </w:rPr>
            </w:pPr>
            <w:r w:rsidRPr="009A1907">
              <w:rPr>
                <w:rFonts w:ascii="Times New Roman" w:hAnsi="Times New Roman"/>
              </w:rPr>
              <w:t>DOCKET TG-140560</w:t>
            </w:r>
          </w:p>
          <w:p w14:paraId="7F7DDBB9" w14:textId="77777777" w:rsidR="00DD5034" w:rsidRPr="009A1907" w:rsidRDefault="00DD5034" w:rsidP="0003084B">
            <w:pPr>
              <w:pStyle w:val="Header"/>
              <w:widowControl w:val="0"/>
              <w:spacing w:line="240" w:lineRule="exact"/>
              <w:ind w:left="416"/>
              <w:rPr>
                <w:rFonts w:ascii="Times New Roman" w:hAnsi="Times New Roman"/>
              </w:rPr>
            </w:pPr>
          </w:p>
          <w:p w14:paraId="6C1D4A10" w14:textId="647B2DEA" w:rsidR="00DD5034" w:rsidRPr="009A1907" w:rsidRDefault="00481F02" w:rsidP="002E564F">
            <w:pPr>
              <w:pStyle w:val="Header"/>
              <w:widowControl w:val="0"/>
              <w:spacing w:line="240" w:lineRule="exact"/>
              <w:ind w:left="416"/>
              <w:rPr>
                <w:rFonts w:ascii="Times New Roman" w:hAnsi="Times New Roman"/>
              </w:rPr>
            </w:pPr>
            <w:r>
              <w:rPr>
                <w:rFonts w:ascii="Times New Roman" w:hAnsi="Times New Roman"/>
              </w:rPr>
              <w:t xml:space="preserve">COMMISSION </w:t>
            </w:r>
            <w:r w:rsidR="0098282F">
              <w:rPr>
                <w:rFonts w:ascii="Times New Roman" w:hAnsi="Times New Roman"/>
              </w:rPr>
              <w:t xml:space="preserve">STAFF’S RESPONSE TO </w:t>
            </w:r>
            <w:r w:rsidR="002E564F">
              <w:rPr>
                <w:rFonts w:ascii="Times New Roman" w:hAnsi="Times New Roman"/>
              </w:rPr>
              <w:t>WRRA’S RESPONSE TO AND JOINDER IN RESPONDENT’S DISCOVERY MOTION</w:t>
            </w:r>
          </w:p>
        </w:tc>
      </w:tr>
    </w:tbl>
    <w:p w14:paraId="7100380F" w14:textId="77777777" w:rsidR="00DD5034" w:rsidRDefault="00DD5034" w:rsidP="0003084B">
      <w:pPr>
        <w:pStyle w:val="Header"/>
        <w:widowControl w:val="0"/>
        <w:rPr>
          <w:rFonts w:ascii="Times New Roman" w:hAnsi="Times New Roman"/>
        </w:rPr>
      </w:pPr>
    </w:p>
    <w:p w14:paraId="06822139" w14:textId="0D377EB2" w:rsidR="009E4CA8" w:rsidRPr="00481F02" w:rsidRDefault="00481F02" w:rsidP="00481F02">
      <w:pPr>
        <w:pStyle w:val="Header"/>
        <w:widowControl w:val="0"/>
        <w:spacing w:line="480" w:lineRule="auto"/>
        <w:jc w:val="center"/>
        <w:rPr>
          <w:rFonts w:ascii="Times New Roman" w:hAnsi="Times New Roman"/>
          <w:b/>
        </w:rPr>
      </w:pPr>
      <w:r>
        <w:rPr>
          <w:rFonts w:ascii="Times New Roman" w:hAnsi="Times New Roman"/>
          <w:b/>
        </w:rPr>
        <w:t>INTRODUCTION, BACKGROUND, AND DISCUSSION</w:t>
      </w:r>
    </w:p>
    <w:p w14:paraId="20B1809B" w14:textId="3EEC6413" w:rsidR="001F2685" w:rsidRDefault="009A1907" w:rsidP="0003084B">
      <w:pPr>
        <w:widowControl w:val="0"/>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t>Washington Utilities and Transportation Commission Staff (C</w:t>
      </w:r>
      <w:r w:rsidR="0098282F">
        <w:rPr>
          <w:rFonts w:ascii="Times New Roman" w:hAnsi="Times New Roman" w:cs="Times New Roman"/>
        </w:rPr>
        <w:t xml:space="preserve">ommission Staff or </w:t>
      </w:r>
      <w:r w:rsidR="00761125">
        <w:rPr>
          <w:rFonts w:ascii="Times New Roman" w:hAnsi="Times New Roman" w:cs="Times New Roman"/>
        </w:rPr>
        <w:t xml:space="preserve">Staff) files </w:t>
      </w:r>
      <w:r w:rsidR="00B155D4">
        <w:rPr>
          <w:rFonts w:ascii="Times New Roman" w:hAnsi="Times New Roman" w:cs="Times New Roman"/>
        </w:rPr>
        <w:t>this</w:t>
      </w:r>
      <w:r w:rsidR="00761125">
        <w:rPr>
          <w:rFonts w:ascii="Times New Roman" w:hAnsi="Times New Roman" w:cs="Times New Roman"/>
        </w:rPr>
        <w:t xml:space="preserve"> response to</w:t>
      </w:r>
      <w:r w:rsidR="0098282F">
        <w:rPr>
          <w:rFonts w:ascii="Times New Roman" w:hAnsi="Times New Roman" w:cs="Times New Roman"/>
        </w:rPr>
        <w:t xml:space="preserve"> </w:t>
      </w:r>
      <w:r w:rsidR="00B155D4">
        <w:rPr>
          <w:rFonts w:ascii="Times New Roman" w:hAnsi="Times New Roman" w:cs="Times New Roman"/>
        </w:rPr>
        <w:t xml:space="preserve">the Washington Refuse and Recycling Association’s </w:t>
      </w:r>
      <w:r w:rsidR="001C5730">
        <w:rPr>
          <w:rFonts w:ascii="Times New Roman" w:hAnsi="Times New Roman" w:cs="Times New Roman"/>
        </w:rPr>
        <w:t>(W</w:t>
      </w:r>
      <w:r w:rsidR="00B155D4">
        <w:rPr>
          <w:rFonts w:ascii="Times New Roman" w:hAnsi="Times New Roman" w:cs="Times New Roman"/>
        </w:rPr>
        <w:t>RRA</w:t>
      </w:r>
      <w:r w:rsidR="00481F02">
        <w:rPr>
          <w:rFonts w:ascii="Times New Roman" w:hAnsi="Times New Roman" w:cs="Times New Roman"/>
        </w:rPr>
        <w:t>’s</w:t>
      </w:r>
      <w:r w:rsidR="001F2685">
        <w:rPr>
          <w:rFonts w:ascii="Times New Roman" w:hAnsi="Times New Roman" w:cs="Times New Roman"/>
        </w:rPr>
        <w:t xml:space="preserve"> or the Association</w:t>
      </w:r>
      <w:r w:rsidR="00481F02">
        <w:rPr>
          <w:rFonts w:ascii="Times New Roman" w:hAnsi="Times New Roman" w:cs="Times New Roman"/>
        </w:rPr>
        <w:t>’s</w:t>
      </w:r>
      <w:r w:rsidR="001C5730">
        <w:rPr>
          <w:rFonts w:ascii="Times New Roman" w:hAnsi="Times New Roman" w:cs="Times New Roman"/>
        </w:rPr>
        <w:t>)</w:t>
      </w:r>
      <w:r w:rsidR="0098282F">
        <w:rPr>
          <w:rFonts w:ascii="Times New Roman" w:hAnsi="Times New Roman" w:cs="Times New Roman"/>
        </w:rPr>
        <w:t xml:space="preserve"> recent </w:t>
      </w:r>
      <w:r w:rsidR="002E564F">
        <w:rPr>
          <w:rFonts w:ascii="Times New Roman" w:hAnsi="Times New Roman" w:cs="Times New Roman"/>
        </w:rPr>
        <w:t>response to and joinder in Waste Control’s discovery motion</w:t>
      </w:r>
      <w:r w:rsidR="0098282F">
        <w:rPr>
          <w:rFonts w:ascii="Times New Roman" w:hAnsi="Times New Roman" w:cs="Times New Roman"/>
        </w:rPr>
        <w:t>.</w:t>
      </w:r>
      <w:r w:rsidR="001F2685">
        <w:rPr>
          <w:rFonts w:ascii="Times New Roman" w:hAnsi="Times New Roman" w:cs="Times New Roman"/>
        </w:rPr>
        <w:t xml:space="preserve">  The WRRA’s response contains several misstatements of fact that beg correction.</w:t>
      </w:r>
    </w:p>
    <w:p w14:paraId="3C15A354" w14:textId="27516183" w:rsidR="009A4990" w:rsidRPr="009A4990" w:rsidRDefault="009E4CA8" w:rsidP="001F2685">
      <w:pPr>
        <w:widowControl w:val="0"/>
        <w:numPr>
          <w:ilvl w:val="0"/>
          <w:numId w:val="20"/>
        </w:numPr>
        <w:tabs>
          <w:tab w:val="clear" w:pos="720"/>
        </w:tabs>
        <w:spacing w:line="480" w:lineRule="auto"/>
        <w:ind w:left="0"/>
        <w:rPr>
          <w:rFonts w:ascii="Times New Roman" w:hAnsi="Times New Roman" w:cs="Times New Roman"/>
          <w:b/>
        </w:rPr>
      </w:pPr>
      <w:r>
        <w:rPr>
          <w:rFonts w:ascii="Times New Roman" w:hAnsi="Times New Roman" w:cs="Times New Roman"/>
        </w:rPr>
        <w:tab/>
      </w:r>
      <w:r w:rsidR="001F2685">
        <w:rPr>
          <w:rFonts w:ascii="Times New Roman" w:hAnsi="Times New Roman" w:cs="Times New Roman"/>
        </w:rPr>
        <w:t xml:space="preserve">First, WRRA makes reference to “a seemingly endless volley of discovery from Staff.”  </w:t>
      </w:r>
      <w:r w:rsidR="009A4990">
        <w:rPr>
          <w:rFonts w:ascii="Times New Roman" w:hAnsi="Times New Roman" w:cs="Times New Roman"/>
        </w:rPr>
        <w:t>Quite t</w:t>
      </w:r>
      <w:r w:rsidR="001F2685">
        <w:rPr>
          <w:rFonts w:ascii="Times New Roman" w:hAnsi="Times New Roman" w:cs="Times New Roman"/>
        </w:rPr>
        <w:t xml:space="preserve">o the contrary, Staff has propounded </w:t>
      </w:r>
      <w:r w:rsidR="009A4990">
        <w:rPr>
          <w:rFonts w:ascii="Times New Roman" w:hAnsi="Times New Roman" w:cs="Times New Roman"/>
        </w:rPr>
        <w:t xml:space="preserve">but </w:t>
      </w:r>
      <w:r w:rsidR="001F2685">
        <w:rPr>
          <w:rFonts w:ascii="Times New Roman" w:hAnsi="Times New Roman" w:cs="Times New Roman"/>
        </w:rPr>
        <w:t>19 data requests to the Company, since the inception o</w:t>
      </w:r>
      <w:r w:rsidR="009A4990">
        <w:rPr>
          <w:rFonts w:ascii="Times New Roman" w:hAnsi="Times New Roman" w:cs="Times New Roman"/>
        </w:rPr>
        <w:t>f this case.</w:t>
      </w:r>
    </w:p>
    <w:p w14:paraId="2C4BE55C" w14:textId="786284AF" w:rsidR="001F2685" w:rsidRPr="009A4990" w:rsidRDefault="009E4CA8" w:rsidP="009E4CA8">
      <w:pPr>
        <w:numPr>
          <w:ilvl w:val="0"/>
          <w:numId w:val="20"/>
        </w:numPr>
        <w:tabs>
          <w:tab w:val="clear" w:pos="720"/>
        </w:tabs>
        <w:spacing w:line="480" w:lineRule="auto"/>
        <w:ind w:left="0"/>
        <w:rPr>
          <w:rFonts w:ascii="Times New Roman" w:hAnsi="Times New Roman" w:cs="Times New Roman"/>
          <w:b/>
        </w:rPr>
      </w:pPr>
      <w:r>
        <w:rPr>
          <w:rFonts w:ascii="Times New Roman" w:hAnsi="Times New Roman" w:cs="Times New Roman"/>
        </w:rPr>
        <w:tab/>
      </w:r>
      <w:r w:rsidR="009A4990">
        <w:rPr>
          <w:rFonts w:ascii="Times New Roman" w:hAnsi="Times New Roman" w:cs="Times New Roman"/>
        </w:rPr>
        <w:t>Second, the Association further expresses “surprise” at the adversarial nature of this proceeding, without consideration of the fact that the Company has refused to accept that it is required</w:t>
      </w:r>
      <w:r w:rsidR="00481F02">
        <w:rPr>
          <w:rFonts w:ascii="Times New Roman" w:hAnsi="Times New Roman" w:cs="Times New Roman"/>
        </w:rPr>
        <w:t xml:space="preserve"> by both statute and rule</w:t>
      </w:r>
      <w:r w:rsidR="009A4990">
        <w:rPr>
          <w:rFonts w:ascii="Times New Roman" w:hAnsi="Times New Roman" w:cs="Times New Roman"/>
        </w:rPr>
        <w:t xml:space="preserve"> to provide certain information to Staff to aid in Staff’s investigation of the Company’s general rate case filing.  There is no need for the Commission </w:t>
      </w:r>
      <w:r w:rsidR="009A4990">
        <w:rPr>
          <w:rFonts w:ascii="Times New Roman" w:hAnsi="Times New Roman" w:cs="Times New Roman"/>
        </w:rPr>
        <w:lastRenderedPageBreak/>
        <w:t>to appoint a “Discovery Master” in this case.  Rather, the Commission need only issue a written interpretation of the Commission’s general rate case rule</w:t>
      </w:r>
      <w:r w:rsidR="00630116">
        <w:rPr>
          <w:rFonts w:ascii="Times New Roman" w:hAnsi="Times New Roman" w:cs="Times New Roman"/>
        </w:rPr>
        <w:t xml:space="preserve">, </w:t>
      </w:r>
      <w:r w:rsidR="00481F02">
        <w:rPr>
          <w:rFonts w:ascii="Times New Roman" w:hAnsi="Times New Roman" w:cs="Times New Roman"/>
        </w:rPr>
        <w:t>WAC 480-07-520</w:t>
      </w:r>
      <w:r w:rsidR="009A4990">
        <w:rPr>
          <w:rFonts w:ascii="Times New Roman" w:hAnsi="Times New Roman" w:cs="Times New Roman"/>
        </w:rPr>
        <w:t>.</w:t>
      </w:r>
    </w:p>
    <w:p w14:paraId="46B7E156" w14:textId="76891C51" w:rsidR="009A4990" w:rsidRPr="002143B0" w:rsidRDefault="009E4CA8" w:rsidP="009E4CA8">
      <w:pPr>
        <w:numPr>
          <w:ilvl w:val="0"/>
          <w:numId w:val="20"/>
        </w:numPr>
        <w:tabs>
          <w:tab w:val="clear" w:pos="720"/>
        </w:tabs>
        <w:spacing w:line="480" w:lineRule="auto"/>
        <w:ind w:left="0"/>
        <w:rPr>
          <w:rFonts w:ascii="Times New Roman" w:hAnsi="Times New Roman" w:cs="Times New Roman"/>
          <w:b/>
        </w:rPr>
      </w:pPr>
      <w:r>
        <w:rPr>
          <w:rFonts w:ascii="Times New Roman" w:hAnsi="Times New Roman" w:cs="Times New Roman"/>
        </w:rPr>
        <w:tab/>
      </w:r>
      <w:r w:rsidR="009A4990">
        <w:rPr>
          <w:rFonts w:ascii="Times New Roman" w:hAnsi="Times New Roman" w:cs="Times New Roman"/>
        </w:rPr>
        <w:t>Third, the Association appears to be suffering under the misimpression that Staff has refused repeated overtures from the Company to meet to discuss discovery disputes.</w:t>
      </w:r>
      <w:r w:rsidR="001E7052">
        <w:rPr>
          <w:rStyle w:val="FootnoteReference"/>
          <w:rFonts w:ascii="Times New Roman" w:hAnsi="Times New Roman" w:cs="Times New Roman"/>
        </w:rPr>
        <w:footnoteReference w:id="2"/>
      </w:r>
      <w:r w:rsidR="009A4990">
        <w:rPr>
          <w:rFonts w:ascii="Times New Roman" w:hAnsi="Times New Roman" w:cs="Times New Roman"/>
        </w:rPr>
        <w:t xml:space="preserve">  </w:t>
      </w:r>
      <w:r w:rsidR="001E7052">
        <w:rPr>
          <w:rFonts w:ascii="Times New Roman" w:hAnsi="Times New Roman" w:cs="Times New Roman"/>
        </w:rPr>
        <w:t>That is flatly untrue</w:t>
      </w:r>
      <w:r w:rsidR="009A4990">
        <w:rPr>
          <w:rFonts w:ascii="Times New Roman" w:hAnsi="Times New Roman" w:cs="Times New Roman"/>
        </w:rPr>
        <w:t>.  In fact, Staff engaged in extensive</w:t>
      </w:r>
      <w:r w:rsidR="001E7052">
        <w:rPr>
          <w:rFonts w:ascii="Times New Roman" w:hAnsi="Times New Roman" w:cs="Times New Roman"/>
        </w:rPr>
        <w:t xml:space="preserve"> telephone,</w:t>
      </w:r>
      <w:r w:rsidR="009A4990">
        <w:rPr>
          <w:rFonts w:ascii="Times New Roman" w:hAnsi="Times New Roman" w:cs="Times New Roman"/>
        </w:rPr>
        <w:t xml:space="preserve"> technical conferences with the Company on </w:t>
      </w:r>
      <w:r w:rsidR="001E7052">
        <w:rPr>
          <w:rFonts w:ascii="Times New Roman" w:hAnsi="Times New Roman" w:cs="Times New Roman"/>
        </w:rPr>
        <w:t>May 9, 12, 13, 14, as well as</w:t>
      </w:r>
      <w:r w:rsidR="00481F02">
        <w:rPr>
          <w:rFonts w:ascii="Times New Roman" w:hAnsi="Times New Roman" w:cs="Times New Roman"/>
        </w:rPr>
        <w:t>,</w:t>
      </w:r>
      <w:r w:rsidR="001E7052">
        <w:rPr>
          <w:rFonts w:ascii="Times New Roman" w:hAnsi="Times New Roman" w:cs="Times New Roman"/>
        </w:rPr>
        <w:t xml:space="preserve"> all day on </w:t>
      </w:r>
      <w:r w:rsidR="009A4990">
        <w:rPr>
          <w:rFonts w:ascii="Times New Roman" w:hAnsi="Times New Roman" w:cs="Times New Roman"/>
        </w:rPr>
        <w:t>both May 15 and 16, 2014</w:t>
      </w:r>
      <w:r w:rsidR="002E0256">
        <w:rPr>
          <w:rFonts w:ascii="Times New Roman" w:hAnsi="Times New Roman" w:cs="Times New Roman"/>
        </w:rPr>
        <w:t xml:space="preserve">, the </w:t>
      </w:r>
      <w:r w:rsidR="00481F02">
        <w:rPr>
          <w:rFonts w:ascii="Times New Roman" w:hAnsi="Times New Roman" w:cs="Times New Roman"/>
        </w:rPr>
        <w:t xml:space="preserve">primary </w:t>
      </w:r>
      <w:r w:rsidR="002E0256">
        <w:rPr>
          <w:rFonts w:ascii="Times New Roman" w:hAnsi="Times New Roman" w:cs="Times New Roman"/>
        </w:rPr>
        <w:t>focus of which was Staff DR 11, which is the subject of Staff’s motion to compel</w:t>
      </w:r>
      <w:r w:rsidR="009A4990">
        <w:rPr>
          <w:rFonts w:ascii="Times New Roman" w:hAnsi="Times New Roman" w:cs="Times New Roman"/>
        </w:rPr>
        <w:t xml:space="preserve">.  </w:t>
      </w:r>
      <w:r w:rsidR="002E0256">
        <w:rPr>
          <w:rFonts w:ascii="Times New Roman" w:hAnsi="Times New Roman" w:cs="Times New Roman"/>
        </w:rPr>
        <w:t xml:space="preserve">Moreover, </w:t>
      </w:r>
      <w:r w:rsidR="009A4990">
        <w:rPr>
          <w:rFonts w:ascii="Times New Roman" w:hAnsi="Times New Roman" w:cs="Times New Roman"/>
        </w:rPr>
        <w:t xml:space="preserve">Staff and </w:t>
      </w:r>
      <w:r w:rsidR="002143B0">
        <w:rPr>
          <w:rFonts w:ascii="Times New Roman" w:hAnsi="Times New Roman" w:cs="Times New Roman"/>
        </w:rPr>
        <w:t xml:space="preserve">the </w:t>
      </w:r>
      <w:r w:rsidR="009A4990">
        <w:rPr>
          <w:rFonts w:ascii="Times New Roman" w:hAnsi="Times New Roman" w:cs="Times New Roman"/>
        </w:rPr>
        <w:t xml:space="preserve">Company have exchanged </w:t>
      </w:r>
      <w:r w:rsidR="001E7052">
        <w:rPr>
          <w:rFonts w:ascii="Times New Roman" w:hAnsi="Times New Roman" w:cs="Times New Roman"/>
        </w:rPr>
        <w:t xml:space="preserve">countless email messages </w:t>
      </w:r>
      <w:r w:rsidR="00481F02">
        <w:rPr>
          <w:rFonts w:ascii="Times New Roman" w:hAnsi="Times New Roman" w:cs="Times New Roman"/>
        </w:rPr>
        <w:t>concerning discovery</w:t>
      </w:r>
      <w:r w:rsidR="00630116">
        <w:rPr>
          <w:rFonts w:ascii="Times New Roman" w:hAnsi="Times New Roman" w:cs="Times New Roman"/>
        </w:rPr>
        <w:t>,</w:t>
      </w:r>
      <w:r w:rsidR="00481F02">
        <w:rPr>
          <w:rFonts w:ascii="Times New Roman" w:hAnsi="Times New Roman" w:cs="Times New Roman"/>
        </w:rPr>
        <w:t xml:space="preserve"> </w:t>
      </w:r>
      <w:r w:rsidR="001E7052">
        <w:rPr>
          <w:rFonts w:ascii="Times New Roman" w:hAnsi="Times New Roman" w:cs="Times New Roman"/>
        </w:rPr>
        <w:t>during the course of this second litigation.</w:t>
      </w:r>
    </w:p>
    <w:p w14:paraId="0891E270" w14:textId="39F63FB1" w:rsidR="002143B0" w:rsidRPr="008E5FC5" w:rsidRDefault="009E4CA8" w:rsidP="001F2685">
      <w:pPr>
        <w:widowControl w:val="0"/>
        <w:numPr>
          <w:ilvl w:val="0"/>
          <w:numId w:val="20"/>
        </w:numPr>
        <w:tabs>
          <w:tab w:val="clear" w:pos="720"/>
        </w:tabs>
        <w:spacing w:line="480" w:lineRule="auto"/>
        <w:ind w:left="0"/>
        <w:rPr>
          <w:rFonts w:ascii="Times New Roman" w:hAnsi="Times New Roman" w:cs="Times New Roman"/>
          <w:b/>
        </w:rPr>
      </w:pPr>
      <w:r>
        <w:rPr>
          <w:rFonts w:ascii="Times New Roman" w:hAnsi="Times New Roman" w:cs="Times New Roman"/>
        </w:rPr>
        <w:tab/>
      </w:r>
      <w:r w:rsidR="002143B0">
        <w:rPr>
          <w:rFonts w:ascii="Times New Roman" w:hAnsi="Times New Roman" w:cs="Times New Roman"/>
        </w:rPr>
        <w:t xml:space="preserve">Fourth, Commission Staff takes great umbrage at the Association’s insinuation that Staff has acted in bad faith in pursuing its right to legitimate discovery in </w:t>
      </w:r>
      <w:r w:rsidR="00E01016">
        <w:rPr>
          <w:rFonts w:ascii="Times New Roman" w:hAnsi="Times New Roman" w:cs="Times New Roman"/>
        </w:rPr>
        <w:t>this</w:t>
      </w:r>
      <w:r w:rsidR="002143B0">
        <w:rPr>
          <w:rFonts w:ascii="Times New Roman" w:hAnsi="Times New Roman" w:cs="Times New Roman"/>
        </w:rPr>
        <w:t xml:space="preserve"> contested case.</w:t>
      </w:r>
      <w:r w:rsidR="00E01016">
        <w:rPr>
          <w:rStyle w:val="FootnoteReference"/>
          <w:rFonts w:ascii="Times New Roman" w:hAnsi="Times New Roman" w:cs="Times New Roman"/>
        </w:rPr>
        <w:footnoteReference w:id="3"/>
      </w:r>
    </w:p>
    <w:p w14:paraId="6131C9E3" w14:textId="0A87C9A4" w:rsidR="008E5FC5" w:rsidRPr="008E5FC5" w:rsidRDefault="009E4CA8" w:rsidP="001F2685">
      <w:pPr>
        <w:widowControl w:val="0"/>
        <w:numPr>
          <w:ilvl w:val="0"/>
          <w:numId w:val="20"/>
        </w:numPr>
        <w:tabs>
          <w:tab w:val="clear" w:pos="720"/>
        </w:tabs>
        <w:spacing w:line="480" w:lineRule="auto"/>
        <w:ind w:left="0"/>
        <w:rPr>
          <w:rFonts w:ascii="Times New Roman" w:hAnsi="Times New Roman" w:cs="Times New Roman"/>
          <w:b/>
        </w:rPr>
      </w:pPr>
      <w:r>
        <w:rPr>
          <w:rFonts w:ascii="Times New Roman" w:hAnsi="Times New Roman" w:cs="Times New Roman"/>
        </w:rPr>
        <w:tab/>
      </w:r>
      <w:r w:rsidR="008E5FC5">
        <w:rPr>
          <w:rFonts w:ascii="Times New Roman" w:hAnsi="Times New Roman" w:cs="Times New Roman"/>
        </w:rPr>
        <w:t xml:space="preserve">Fifth, as the relevant facts here demonstrate, Waste Control is not </w:t>
      </w:r>
      <w:r w:rsidR="00481F02">
        <w:rPr>
          <w:rFonts w:ascii="Times New Roman" w:hAnsi="Times New Roman" w:cs="Times New Roman"/>
        </w:rPr>
        <w:t>a company that</w:t>
      </w:r>
      <w:r w:rsidR="008E5FC5">
        <w:rPr>
          <w:rFonts w:ascii="Times New Roman" w:hAnsi="Times New Roman" w:cs="Times New Roman"/>
        </w:rPr>
        <w:t xml:space="preserve"> WRRA </w:t>
      </w:r>
      <w:r w:rsidR="00481F02">
        <w:rPr>
          <w:rFonts w:ascii="Times New Roman" w:hAnsi="Times New Roman" w:cs="Times New Roman"/>
        </w:rPr>
        <w:t>contemplates</w:t>
      </w:r>
      <w:r w:rsidR="008E5FC5">
        <w:rPr>
          <w:rFonts w:ascii="Times New Roman" w:hAnsi="Times New Roman" w:cs="Times New Roman"/>
        </w:rPr>
        <w:t xml:space="preserve"> as filing for a rate adjustment and expecting to produce documentation and willingly doing so.  WRRA Response, at 3, ll. 6-7.</w:t>
      </w:r>
    </w:p>
    <w:p w14:paraId="69CE1BF3" w14:textId="000CAAF8" w:rsidR="00481F02" w:rsidRPr="00481F02" w:rsidRDefault="009E4CA8" w:rsidP="009E4CA8">
      <w:pPr>
        <w:widowControl w:val="0"/>
        <w:numPr>
          <w:ilvl w:val="0"/>
          <w:numId w:val="20"/>
        </w:numPr>
        <w:tabs>
          <w:tab w:val="clear" w:pos="720"/>
        </w:tabs>
        <w:spacing w:line="480" w:lineRule="auto"/>
        <w:ind w:left="0"/>
        <w:rPr>
          <w:rFonts w:ascii="Times New Roman" w:hAnsi="Times New Roman" w:cs="Times New Roman"/>
        </w:rPr>
      </w:pPr>
      <w:r w:rsidRPr="00481F02">
        <w:rPr>
          <w:rFonts w:ascii="Times New Roman" w:hAnsi="Times New Roman" w:cs="Times New Roman"/>
        </w:rPr>
        <w:tab/>
      </w:r>
      <w:r w:rsidR="008E5FC5" w:rsidRPr="00481F02">
        <w:rPr>
          <w:rFonts w:ascii="Times New Roman" w:hAnsi="Times New Roman" w:cs="Times New Roman"/>
        </w:rPr>
        <w:t>Finally, Commission Staff agrees with the Association that one of the Commission’s most significant roles is to set rates that are fair, just, reasonable, and sufficient.  Staff, however, does not agree that its motion to compel reasonable discovery in this case</w:t>
      </w:r>
      <w:r w:rsidR="008E5FC5">
        <w:rPr>
          <w:rFonts w:ascii="Times New Roman" w:hAnsi="Times New Roman" w:cs="Times New Roman"/>
        </w:rPr>
        <w:t xml:space="preserve"> </w:t>
      </w:r>
      <w:r w:rsidR="008E5FC5" w:rsidRPr="00481F02">
        <w:rPr>
          <w:rFonts w:ascii="Times New Roman" w:hAnsi="Times New Roman" w:cs="Times New Roman"/>
        </w:rPr>
        <w:t xml:space="preserve">constitutes “unreasonable and unjustified, adversarial bickering over procedural or discovery matters,” compromising the Commission’s important role.  </w:t>
      </w:r>
      <w:r w:rsidR="008E5FC5" w:rsidRPr="00481F02">
        <w:rPr>
          <w:rFonts w:ascii="Times New Roman" w:hAnsi="Times New Roman" w:cs="Times New Roman"/>
          <w:i/>
        </w:rPr>
        <w:t>Id.</w:t>
      </w:r>
      <w:r w:rsidR="008E5FC5" w:rsidRPr="00481F02">
        <w:rPr>
          <w:rFonts w:ascii="Times New Roman" w:hAnsi="Times New Roman" w:cs="Times New Roman"/>
        </w:rPr>
        <w:t>, at 3, ll. 9-10.</w:t>
      </w:r>
      <w:r w:rsidR="00481F02" w:rsidRPr="00481F02">
        <w:rPr>
          <w:rFonts w:ascii="Times New Roman" w:hAnsi="Times New Roman" w:cs="Times New Roman"/>
        </w:rPr>
        <w:t xml:space="preserve">  </w:t>
      </w:r>
    </w:p>
    <w:p w14:paraId="1CCE585C" w14:textId="3C07B7E1" w:rsidR="00481F02" w:rsidRDefault="00481F02" w:rsidP="00481F02">
      <w:pPr>
        <w:keepNext/>
        <w:widowControl w:val="0"/>
        <w:spacing w:line="480" w:lineRule="auto"/>
        <w:jc w:val="center"/>
        <w:rPr>
          <w:rFonts w:ascii="Times New Roman" w:hAnsi="Times New Roman" w:cs="Times New Roman"/>
        </w:rPr>
      </w:pPr>
      <w:r>
        <w:rPr>
          <w:rFonts w:ascii="Times New Roman" w:hAnsi="Times New Roman" w:cs="Times New Roman"/>
          <w:b/>
        </w:rPr>
        <w:lastRenderedPageBreak/>
        <w:t>CONCLUSION</w:t>
      </w:r>
    </w:p>
    <w:p w14:paraId="637C8BB0" w14:textId="72073D88" w:rsidR="00481F02" w:rsidRPr="00481F02" w:rsidRDefault="00481F02" w:rsidP="00481F02">
      <w:pPr>
        <w:pStyle w:val="Numberedparagraph"/>
        <w:tabs>
          <w:tab w:val="clear" w:pos="720"/>
        </w:tabs>
        <w:spacing w:after="0" w:line="480" w:lineRule="auto"/>
        <w:ind w:left="0"/>
      </w:pPr>
      <w:r>
        <w:tab/>
        <w:t xml:space="preserve">For the </w:t>
      </w:r>
      <w:r w:rsidR="002B4436">
        <w:t>above reasons, Waste Control’s m</w:t>
      </w:r>
      <w:bookmarkStart w:id="0" w:name="_GoBack"/>
      <w:bookmarkEnd w:id="0"/>
      <w:r w:rsidR="002B4436">
        <w:t>otion for the a</w:t>
      </w:r>
      <w:r>
        <w:t xml:space="preserve">ppointment of a Discovery Master should be denied.  </w:t>
      </w:r>
    </w:p>
    <w:p w14:paraId="3F99E65C" w14:textId="3BAFBBFF" w:rsidR="009A1907" w:rsidRPr="009A1907" w:rsidRDefault="009A1907" w:rsidP="00481F02">
      <w:pPr>
        <w:widowControl w:val="0"/>
        <w:spacing w:line="480" w:lineRule="auto"/>
        <w:rPr>
          <w:rFonts w:ascii="Times New Roman" w:hAnsi="Times New Roman" w:cs="Times New Roman"/>
        </w:rPr>
      </w:pPr>
      <w:r>
        <w:rPr>
          <w:rFonts w:ascii="Times New Roman" w:hAnsi="Times New Roman" w:cs="Times New Roman"/>
        </w:rPr>
        <w:tab/>
      </w:r>
      <w:r w:rsidR="002E564F">
        <w:rPr>
          <w:rFonts w:ascii="Times New Roman" w:hAnsi="Times New Roman" w:cs="Times New Roman"/>
        </w:rPr>
        <w:t>DATED this 23</w:t>
      </w:r>
      <w:r w:rsidR="002E564F" w:rsidRPr="002E564F">
        <w:rPr>
          <w:rFonts w:ascii="Times New Roman" w:hAnsi="Times New Roman" w:cs="Times New Roman"/>
          <w:vertAlign w:val="superscript"/>
        </w:rPr>
        <w:t>rd</w:t>
      </w:r>
      <w:r w:rsidR="002E564F">
        <w:rPr>
          <w:rFonts w:ascii="Times New Roman" w:hAnsi="Times New Roman" w:cs="Times New Roman"/>
        </w:rPr>
        <w:t xml:space="preserve"> </w:t>
      </w:r>
      <w:r w:rsidRPr="009A1907">
        <w:rPr>
          <w:rFonts w:ascii="Times New Roman" w:hAnsi="Times New Roman" w:cs="Times New Roman"/>
        </w:rPr>
        <w:t>day of June 2014.</w:t>
      </w:r>
    </w:p>
    <w:p w14:paraId="0F159A79"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Respectfully submitted, </w:t>
      </w:r>
    </w:p>
    <w:p w14:paraId="4AD3DA3D" w14:textId="77777777" w:rsidR="009A1907" w:rsidRPr="009A1907" w:rsidRDefault="009A1907" w:rsidP="0003084B">
      <w:pPr>
        <w:widowControl w:val="0"/>
        <w:ind w:left="4320"/>
        <w:rPr>
          <w:rFonts w:ascii="Times New Roman" w:hAnsi="Times New Roman" w:cs="Times New Roman"/>
        </w:rPr>
      </w:pPr>
    </w:p>
    <w:p w14:paraId="3C683E89"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 xml:space="preserve">ROBERT W. FERGUSON </w:t>
      </w:r>
    </w:p>
    <w:p w14:paraId="0633E896" w14:textId="77777777" w:rsidR="009A1907" w:rsidRDefault="009A1907" w:rsidP="0003084B">
      <w:pPr>
        <w:widowControl w:val="0"/>
        <w:ind w:left="4320"/>
        <w:rPr>
          <w:rFonts w:ascii="Times New Roman" w:hAnsi="Times New Roman" w:cs="Times New Roman"/>
        </w:rPr>
      </w:pPr>
      <w:r w:rsidRPr="009A1907">
        <w:rPr>
          <w:rFonts w:ascii="Times New Roman" w:hAnsi="Times New Roman" w:cs="Times New Roman"/>
        </w:rPr>
        <w:t>Attorney General</w:t>
      </w:r>
    </w:p>
    <w:p w14:paraId="2AB7CD8D" w14:textId="77777777" w:rsidR="0003084B" w:rsidRPr="009A1907" w:rsidRDefault="0003084B" w:rsidP="0003084B">
      <w:pPr>
        <w:widowControl w:val="0"/>
        <w:ind w:left="4320"/>
        <w:rPr>
          <w:rFonts w:ascii="Times New Roman" w:hAnsi="Times New Roman" w:cs="Times New Roman"/>
        </w:rPr>
      </w:pPr>
    </w:p>
    <w:p w14:paraId="798AF2EF" w14:textId="77777777" w:rsidR="009A1907" w:rsidRPr="009A1907" w:rsidRDefault="009A1907" w:rsidP="0003084B">
      <w:pPr>
        <w:widowControl w:val="0"/>
        <w:ind w:left="4320"/>
        <w:rPr>
          <w:rFonts w:ascii="Times New Roman" w:hAnsi="Times New Roman" w:cs="Times New Roman"/>
        </w:rPr>
      </w:pPr>
    </w:p>
    <w:p w14:paraId="4CB27025"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______________________________________</w:t>
      </w:r>
    </w:p>
    <w:p w14:paraId="74851AD2" w14:textId="02F85C83" w:rsidR="009A1907" w:rsidRPr="009A1907" w:rsidRDefault="002E564F" w:rsidP="0003084B">
      <w:pPr>
        <w:widowControl w:val="0"/>
        <w:ind w:left="4320"/>
        <w:rPr>
          <w:rFonts w:ascii="Times New Roman" w:hAnsi="Times New Roman" w:cs="Times New Roman"/>
        </w:rPr>
      </w:pPr>
      <w:r>
        <w:rPr>
          <w:rFonts w:ascii="Times New Roman" w:hAnsi="Times New Roman" w:cs="Times New Roman"/>
        </w:rPr>
        <w:t xml:space="preserve">SALLY BROWN </w:t>
      </w:r>
    </w:p>
    <w:p w14:paraId="3162F342" w14:textId="08B009AE" w:rsidR="009A1907" w:rsidRPr="009A1907" w:rsidRDefault="002E564F" w:rsidP="0003084B">
      <w:pPr>
        <w:widowControl w:val="0"/>
        <w:ind w:left="4320"/>
        <w:rPr>
          <w:rFonts w:ascii="Times New Roman" w:hAnsi="Times New Roman" w:cs="Times New Roman"/>
        </w:rPr>
      </w:pPr>
      <w:r>
        <w:rPr>
          <w:rFonts w:ascii="Times New Roman" w:hAnsi="Times New Roman" w:cs="Times New Roman"/>
        </w:rPr>
        <w:t xml:space="preserve">Senior </w:t>
      </w:r>
      <w:r w:rsidR="009A1907" w:rsidRPr="009A1907">
        <w:rPr>
          <w:rFonts w:ascii="Times New Roman" w:hAnsi="Times New Roman" w:cs="Times New Roman"/>
        </w:rPr>
        <w:t>Assistant Attorney General</w:t>
      </w:r>
    </w:p>
    <w:p w14:paraId="73CE1502" w14:textId="77777777" w:rsidR="009A1907"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Counsel for Washington Utilities and</w:t>
      </w:r>
    </w:p>
    <w:p w14:paraId="018DFBB2" w14:textId="60BB86CB" w:rsidR="00A9023E" w:rsidRPr="009A1907" w:rsidRDefault="009A1907" w:rsidP="0003084B">
      <w:pPr>
        <w:widowControl w:val="0"/>
        <w:ind w:left="4320"/>
        <w:rPr>
          <w:rFonts w:ascii="Times New Roman" w:hAnsi="Times New Roman" w:cs="Times New Roman"/>
        </w:rPr>
      </w:pPr>
      <w:r w:rsidRPr="009A1907">
        <w:rPr>
          <w:rFonts w:ascii="Times New Roman" w:hAnsi="Times New Roman" w:cs="Times New Roman"/>
        </w:rPr>
        <w:t>Transportation Commission Staff</w:t>
      </w:r>
    </w:p>
    <w:sectPr w:rsidR="00A9023E" w:rsidRPr="009A1907" w:rsidSect="00FB2BD2">
      <w:footerReference w:type="default" r:id="rId12"/>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3035E" w14:textId="77777777" w:rsidR="008E5FC5" w:rsidRDefault="008E5FC5" w:rsidP="00A2173A">
      <w:r>
        <w:separator/>
      </w:r>
    </w:p>
  </w:endnote>
  <w:endnote w:type="continuationSeparator" w:id="0">
    <w:p w14:paraId="0B44F8FE" w14:textId="77777777" w:rsidR="008E5FC5" w:rsidRDefault="008E5FC5" w:rsidP="00A2173A">
      <w:r>
        <w:continuationSeparator/>
      </w:r>
    </w:p>
  </w:endnote>
  <w:endnote w:type="continuationNotice" w:id="1">
    <w:p w14:paraId="517AAA0B" w14:textId="77777777" w:rsidR="008E5FC5" w:rsidRDefault="008E5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1BAD" w14:textId="724311A8" w:rsidR="008E5FC5" w:rsidRDefault="00481F02" w:rsidP="002E564F">
    <w:pPr>
      <w:pStyle w:val="Footer"/>
      <w:rPr>
        <w:rFonts w:ascii="Times New Roman" w:hAnsi="Times New Roman"/>
        <w:sz w:val="20"/>
        <w:szCs w:val="20"/>
      </w:rPr>
    </w:pPr>
    <w:r>
      <w:rPr>
        <w:rFonts w:ascii="Times New Roman" w:hAnsi="Times New Roman"/>
        <w:sz w:val="20"/>
        <w:szCs w:val="20"/>
      </w:rPr>
      <w:t xml:space="preserve">COMMISSION </w:t>
    </w:r>
    <w:r w:rsidR="008E5FC5">
      <w:rPr>
        <w:rFonts w:ascii="Times New Roman" w:hAnsi="Times New Roman"/>
        <w:sz w:val="20"/>
        <w:szCs w:val="20"/>
      </w:rPr>
      <w:t xml:space="preserve">STAFF’S RESPONSE TO WRRA’s RESPONSE TO AND </w:t>
    </w:r>
  </w:p>
  <w:p w14:paraId="326E7DC1" w14:textId="4D78A8A9" w:rsidR="008E5FC5" w:rsidRPr="00E7138A" w:rsidRDefault="008E5FC5" w:rsidP="002E564F">
    <w:pPr>
      <w:pStyle w:val="Footer"/>
      <w:rPr>
        <w:rFonts w:ascii="Times New Roman" w:hAnsi="Times New Roman"/>
        <w:sz w:val="20"/>
        <w:szCs w:val="20"/>
      </w:rPr>
    </w:pPr>
    <w:r>
      <w:rPr>
        <w:rFonts w:ascii="Times New Roman" w:hAnsi="Times New Roman"/>
        <w:sz w:val="20"/>
        <w:szCs w:val="20"/>
      </w:rPr>
      <w:t xml:space="preserve">JOINDER IN RESPONDENT’S DISCOVERY MOTION - </w:t>
    </w:r>
    <w:r w:rsidRPr="00590F7A">
      <w:rPr>
        <w:rFonts w:ascii="Times New Roman" w:hAnsi="Times New Roman"/>
        <w:sz w:val="20"/>
        <w:szCs w:val="20"/>
      </w:rPr>
      <w:fldChar w:fldCharType="begin"/>
    </w:r>
    <w:r w:rsidRPr="00590F7A">
      <w:rPr>
        <w:rFonts w:ascii="Times New Roman" w:hAnsi="Times New Roman"/>
        <w:sz w:val="20"/>
        <w:szCs w:val="20"/>
      </w:rPr>
      <w:instrText xml:space="preserve"> PAGE   \* MERGEFORMAT </w:instrText>
    </w:r>
    <w:r w:rsidRPr="00590F7A">
      <w:rPr>
        <w:rFonts w:ascii="Times New Roman" w:hAnsi="Times New Roman"/>
        <w:sz w:val="20"/>
        <w:szCs w:val="20"/>
      </w:rPr>
      <w:fldChar w:fldCharType="separate"/>
    </w:r>
    <w:r w:rsidR="002B4436">
      <w:rPr>
        <w:rFonts w:ascii="Times New Roman" w:hAnsi="Times New Roman"/>
        <w:noProof/>
        <w:sz w:val="20"/>
        <w:szCs w:val="20"/>
      </w:rPr>
      <w:t>3</w:t>
    </w:r>
    <w:r w:rsidRPr="00590F7A">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5570C" w14:textId="77777777" w:rsidR="008E5FC5" w:rsidRDefault="008E5FC5" w:rsidP="00A2173A">
      <w:r>
        <w:separator/>
      </w:r>
    </w:p>
  </w:footnote>
  <w:footnote w:type="continuationSeparator" w:id="0">
    <w:p w14:paraId="3BE1E68B" w14:textId="77777777" w:rsidR="008E5FC5" w:rsidRDefault="008E5FC5" w:rsidP="00A2173A">
      <w:r>
        <w:continuationSeparator/>
      </w:r>
    </w:p>
  </w:footnote>
  <w:footnote w:type="continuationNotice" w:id="1">
    <w:p w14:paraId="593BF919" w14:textId="77777777" w:rsidR="008E5FC5" w:rsidRDefault="008E5FC5"/>
  </w:footnote>
  <w:footnote w:id="2">
    <w:p w14:paraId="77252CA2" w14:textId="227D8B8A" w:rsidR="008E5FC5" w:rsidRDefault="008E5FC5">
      <w:pPr>
        <w:pStyle w:val="FootnoteText"/>
      </w:pPr>
      <w:r>
        <w:rPr>
          <w:rStyle w:val="FootnoteReference"/>
        </w:rPr>
        <w:footnoteRef/>
      </w:r>
      <w:r>
        <w:t xml:space="preserve"> The WRRA argues that “The question here is not whether there should </w:t>
      </w:r>
      <w:r w:rsidR="00630116">
        <w:t>have been informal and serious ‘</w:t>
      </w:r>
      <w:r>
        <w:t>face-to-face</w:t>
      </w:r>
      <w:r w:rsidR="00630116">
        <w:t>’</w:t>
      </w:r>
      <w:r>
        <w:t xml:space="preserve"> discovery discussions already, but why not?”  WRRA Response, at 2, ll. 5-6.  The irony here is that after facing dismissal of its case, Waste Control requested that this second case head directly to suspension and formal adjudication, effectively side-stepping the typical informal discovery process.</w:t>
      </w:r>
    </w:p>
  </w:footnote>
  <w:footnote w:id="3">
    <w:p w14:paraId="261DBB4C" w14:textId="64EA7917" w:rsidR="008E5FC5" w:rsidRDefault="008E5FC5">
      <w:pPr>
        <w:pStyle w:val="FootnoteText"/>
      </w:pPr>
      <w:r>
        <w:rPr>
          <w:rStyle w:val="FootnoteReference"/>
        </w:rPr>
        <w:footnoteRef/>
      </w:r>
      <w:r>
        <w:t xml:space="preserve"> “The more time it takes because of a lack of a good faith effort by either party to informally resolve these issues, the further away that goal [fair rate-setting] recedes.”  WRRA Response, at 2, ll. 22-23.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34253"/>
    <w:multiLevelType w:val="hybridMultilevel"/>
    <w:tmpl w:val="4E5A62C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67CDA"/>
    <w:multiLevelType w:val="hybridMultilevel"/>
    <w:tmpl w:val="44969D92"/>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043FCF"/>
    <w:multiLevelType w:val="hybridMultilevel"/>
    <w:tmpl w:val="552CF7C8"/>
    <w:lvl w:ilvl="0" w:tplc="72242922">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12"/>
  </w:num>
  <w:num w:numId="5">
    <w:abstractNumId w:val="15"/>
  </w:num>
  <w:num w:numId="6">
    <w:abstractNumId w:val="6"/>
  </w:num>
  <w:num w:numId="7">
    <w:abstractNumId w:val="13"/>
  </w:num>
  <w:num w:numId="8">
    <w:abstractNumId w:val="16"/>
  </w:num>
  <w:num w:numId="9">
    <w:abstractNumId w:val="18"/>
  </w:num>
  <w:num w:numId="10">
    <w:abstractNumId w:val="9"/>
  </w:num>
  <w:num w:numId="11">
    <w:abstractNumId w:val="1"/>
  </w:num>
  <w:num w:numId="12">
    <w:abstractNumId w:val="0"/>
  </w:num>
  <w:num w:numId="13">
    <w:abstractNumId w:val="3"/>
  </w:num>
  <w:num w:numId="14">
    <w:abstractNumId w:val="14"/>
  </w:num>
  <w:num w:numId="15">
    <w:abstractNumId w:val="4"/>
  </w:num>
  <w:num w:numId="16">
    <w:abstractNumId w:val="8"/>
  </w:num>
  <w:num w:numId="17">
    <w:abstractNumId w:val="19"/>
  </w:num>
  <w:num w:numId="18">
    <w:abstractNumId w:val="20"/>
  </w:num>
  <w:num w:numId="19">
    <w:abstractNumId w:val="1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FA"/>
    <w:rsid w:val="0003084B"/>
    <w:rsid w:val="00040935"/>
    <w:rsid w:val="00093E89"/>
    <w:rsid w:val="000A4339"/>
    <w:rsid w:val="000C0B12"/>
    <w:rsid w:val="000E45A4"/>
    <w:rsid w:val="000F0C2A"/>
    <w:rsid w:val="000F58DE"/>
    <w:rsid w:val="00111488"/>
    <w:rsid w:val="0011234F"/>
    <w:rsid w:val="001400F6"/>
    <w:rsid w:val="00142017"/>
    <w:rsid w:val="00153587"/>
    <w:rsid w:val="00157C76"/>
    <w:rsid w:val="001748B1"/>
    <w:rsid w:val="00181032"/>
    <w:rsid w:val="001A3C17"/>
    <w:rsid w:val="001A79DE"/>
    <w:rsid w:val="001B38BC"/>
    <w:rsid w:val="001C5135"/>
    <w:rsid w:val="001C5730"/>
    <w:rsid w:val="001C7E2B"/>
    <w:rsid w:val="001E7052"/>
    <w:rsid w:val="001F0C51"/>
    <w:rsid w:val="001F2685"/>
    <w:rsid w:val="001F7AC4"/>
    <w:rsid w:val="002143B0"/>
    <w:rsid w:val="00226EBC"/>
    <w:rsid w:val="00237659"/>
    <w:rsid w:val="00240F33"/>
    <w:rsid w:val="00245BF2"/>
    <w:rsid w:val="00254C2E"/>
    <w:rsid w:val="00281E1C"/>
    <w:rsid w:val="002B4436"/>
    <w:rsid w:val="002E0256"/>
    <w:rsid w:val="002E2F6D"/>
    <w:rsid w:val="002E564F"/>
    <w:rsid w:val="003130E6"/>
    <w:rsid w:val="00320BC8"/>
    <w:rsid w:val="00351108"/>
    <w:rsid w:val="00360D0C"/>
    <w:rsid w:val="003669CA"/>
    <w:rsid w:val="0038240C"/>
    <w:rsid w:val="003961A6"/>
    <w:rsid w:val="003C4EC2"/>
    <w:rsid w:val="003E5E2F"/>
    <w:rsid w:val="003F2270"/>
    <w:rsid w:val="003F2ECA"/>
    <w:rsid w:val="003F3CA0"/>
    <w:rsid w:val="003F49E6"/>
    <w:rsid w:val="004023C1"/>
    <w:rsid w:val="0042090D"/>
    <w:rsid w:val="004349F1"/>
    <w:rsid w:val="00462BF5"/>
    <w:rsid w:val="004638CB"/>
    <w:rsid w:val="00473C62"/>
    <w:rsid w:val="00481F02"/>
    <w:rsid w:val="004A3277"/>
    <w:rsid w:val="004E3050"/>
    <w:rsid w:val="00511252"/>
    <w:rsid w:val="0052588D"/>
    <w:rsid w:val="00527FD4"/>
    <w:rsid w:val="00531E5C"/>
    <w:rsid w:val="00533618"/>
    <w:rsid w:val="00563EE5"/>
    <w:rsid w:val="0057304D"/>
    <w:rsid w:val="00581742"/>
    <w:rsid w:val="00585BE2"/>
    <w:rsid w:val="00590F7A"/>
    <w:rsid w:val="005A5F9A"/>
    <w:rsid w:val="005C1B88"/>
    <w:rsid w:val="005E3496"/>
    <w:rsid w:val="00615293"/>
    <w:rsid w:val="00615DA7"/>
    <w:rsid w:val="00620785"/>
    <w:rsid w:val="00630116"/>
    <w:rsid w:val="00633595"/>
    <w:rsid w:val="0067004B"/>
    <w:rsid w:val="006862FC"/>
    <w:rsid w:val="006C5484"/>
    <w:rsid w:val="006F7F37"/>
    <w:rsid w:val="007047BF"/>
    <w:rsid w:val="007164DB"/>
    <w:rsid w:val="007209CA"/>
    <w:rsid w:val="007367C3"/>
    <w:rsid w:val="007536ED"/>
    <w:rsid w:val="00761125"/>
    <w:rsid w:val="0077578E"/>
    <w:rsid w:val="00781DE2"/>
    <w:rsid w:val="007854BB"/>
    <w:rsid w:val="00787C77"/>
    <w:rsid w:val="007A1CA4"/>
    <w:rsid w:val="007A4B58"/>
    <w:rsid w:val="007C6E95"/>
    <w:rsid w:val="00864DE4"/>
    <w:rsid w:val="008928D5"/>
    <w:rsid w:val="008E5979"/>
    <w:rsid w:val="008E5FC5"/>
    <w:rsid w:val="00903393"/>
    <w:rsid w:val="00915EB8"/>
    <w:rsid w:val="00917840"/>
    <w:rsid w:val="0092738B"/>
    <w:rsid w:val="00940C54"/>
    <w:rsid w:val="00953648"/>
    <w:rsid w:val="00955FBB"/>
    <w:rsid w:val="00977168"/>
    <w:rsid w:val="0098282F"/>
    <w:rsid w:val="009A1907"/>
    <w:rsid w:val="009A4990"/>
    <w:rsid w:val="009B065D"/>
    <w:rsid w:val="009B5DB3"/>
    <w:rsid w:val="009C4223"/>
    <w:rsid w:val="009C4755"/>
    <w:rsid w:val="009E4CA8"/>
    <w:rsid w:val="009F2A96"/>
    <w:rsid w:val="00A2173A"/>
    <w:rsid w:val="00A32519"/>
    <w:rsid w:val="00A35C6A"/>
    <w:rsid w:val="00A72011"/>
    <w:rsid w:val="00A9023E"/>
    <w:rsid w:val="00AA3400"/>
    <w:rsid w:val="00AB055A"/>
    <w:rsid w:val="00AB08EC"/>
    <w:rsid w:val="00AB45AB"/>
    <w:rsid w:val="00AE6806"/>
    <w:rsid w:val="00AF1CAB"/>
    <w:rsid w:val="00B043F8"/>
    <w:rsid w:val="00B155D4"/>
    <w:rsid w:val="00B26A78"/>
    <w:rsid w:val="00B47685"/>
    <w:rsid w:val="00B634A7"/>
    <w:rsid w:val="00B660F1"/>
    <w:rsid w:val="00B703CF"/>
    <w:rsid w:val="00B93D2B"/>
    <w:rsid w:val="00BC03CD"/>
    <w:rsid w:val="00C32E86"/>
    <w:rsid w:val="00C43E84"/>
    <w:rsid w:val="00C56884"/>
    <w:rsid w:val="00C76498"/>
    <w:rsid w:val="00C80C1C"/>
    <w:rsid w:val="00C83B86"/>
    <w:rsid w:val="00C97269"/>
    <w:rsid w:val="00CB02B0"/>
    <w:rsid w:val="00CC1A93"/>
    <w:rsid w:val="00CD47A3"/>
    <w:rsid w:val="00CD5AC8"/>
    <w:rsid w:val="00CE2EFA"/>
    <w:rsid w:val="00D0645F"/>
    <w:rsid w:val="00D1067B"/>
    <w:rsid w:val="00D76890"/>
    <w:rsid w:val="00D83F49"/>
    <w:rsid w:val="00D91A42"/>
    <w:rsid w:val="00D94758"/>
    <w:rsid w:val="00DD293C"/>
    <w:rsid w:val="00DD5034"/>
    <w:rsid w:val="00DE2644"/>
    <w:rsid w:val="00DF3E2D"/>
    <w:rsid w:val="00DF6A6A"/>
    <w:rsid w:val="00E01016"/>
    <w:rsid w:val="00E07F35"/>
    <w:rsid w:val="00E1636A"/>
    <w:rsid w:val="00E206A5"/>
    <w:rsid w:val="00E2078C"/>
    <w:rsid w:val="00E351F4"/>
    <w:rsid w:val="00E35ADE"/>
    <w:rsid w:val="00E35B3E"/>
    <w:rsid w:val="00E35DB7"/>
    <w:rsid w:val="00E511ED"/>
    <w:rsid w:val="00E70155"/>
    <w:rsid w:val="00E7138A"/>
    <w:rsid w:val="00EA78FD"/>
    <w:rsid w:val="00ED5F49"/>
    <w:rsid w:val="00EF57A6"/>
    <w:rsid w:val="00F20597"/>
    <w:rsid w:val="00F26BCA"/>
    <w:rsid w:val="00F32138"/>
    <w:rsid w:val="00F37CFA"/>
    <w:rsid w:val="00F53D01"/>
    <w:rsid w:val="00FB2BD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2014-06-23T07:00:00+00:00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B895A-67C4-43E6-8D48-D328DF359C2E}"/>
</file>

<file path=customXml/itemProps2.xml><?xml version="1.0" encoding="utf-8"?>
<ds:datastoreItem xmlns:ds="http://schemas.openxmlformats.org/officeDocument/2006/customXml" ds:itemID="{FFBB022B-B648-42FB-806A-26738DDA40C6}"/>
</file>

<file path=customXml/itemProps3.xml><?xml version="1.0" encoding="utf-8"?>
<ds:datastoreItem xmlns:ds="http://schemas.openxmlformats.org/officeDocument/2006/customXml" ds:itemID="{EFC67877-F264-4424-9B9D-856D0C8F6AA0}"/>
</file>

<file path=customXml/itemProps4.xml><?xml version="1.0" encoding="utf-8"?>
<ds:datastoreItem xmlns:ds="http://schemas.openxmlformats.org/officeDocument/2006/customXml" ds:itemID="{1BBDE62A-ED51-4BFF-B6A6-BF8B28E10B46}"/>
</file>

<file path=customXml/itemProps5.xml><?xml version="1.0" encoding="utf-8"?>
<ds:datastoreItem xmlns:ds="http://schemas.openxmlformats.org/officeDocument/2006/customXml" ds:itemID="{C65DF2D2-DBC1-4965-B003-0EF7D97AA3F3}"/>
</file>

<file path=docProps/app.xml><?xml version="1.0" encoding="utf-8"?>
<Properties xmlns="http://schemas.openxmlformats.org/officeDocument/2006/extended-properties" xmlns:vt="http://schemas.openxmlformats.org/officeDocument/2006/docPropsVTypes">
  <Template>Normal.dotm</Template>
  <TotalTime>161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Shearer</dc:creator>
  <cp:lastModifiedBy>Krista Gross</cp:lastModifiedBy>
  <cp:revision>14</cp:revision>
  <cp:lastPrinted>2014-06-17T21:45:00Z</cp:lastPrinted>
  <dcterms:created xsi:type="dcterms:W3CDTF">2014-06-23T18:33:00Z</dcterms:created>
  <dcterms:modified xsi:type="dcterms:W3CDTF">2014-06-23T21:43:00Z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