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05D" w:rsidRDefault="0091405D">
      <w:pPr>
        <w:rPr>
          <w:sz w:val="22"/>
          <w:szCs w:val="22"/>
        </w:rPr>
      </w:pPr>
    </w:p>
    <w:tbl>
      <w:tblPr>
        <w:tblW w:w="0" w:type="auto"/>
        <w:tblBorders>
          <w:insideH w:val="single" w:sz="4" w:space="0" w:color="auto"/>
        </w:tblBorders>
        <w:tblLayout w:type="fixed"/>
        <w:tblLook w:val="0000"/>
      </w:tblPr>
      <w:tblGrid>
        <w:gridCol w:w="4788"/>
        <w:gridCol w:w="4788"/>
      </w:tblGrid>
      <w:tr w:rsidR="0091405D" w:rsidTr="008F5AF8">
        <w:tc>
          <w:tcPr>
            <w:tcW w:w="4788" w:type="dxa"/>
          </w:tcPr>
          <w:p w:rsidR="0091405D" w:rsidRDefault="0091405D" w:rsidP="008F5AF8">
            <w:pPr>
              <w:pStyle w:val="Header"/>
              <w:rPr>
                <w:rFonts w:ascii="Arial" w:hAnsi="Arial" w:cs="Arial"/>
                <w:b/>
                <w:bCs/>
                <w:sz w:val="18"/>
                <w:szCs w:val="18"/>
              </w:rPr>
            </w:pPr>
            <w:r>
              <w:rPr>
                <w:rFonts w:ascii="Arial" w:hAnsi="Arial" w:cs="Arial"/>
                <w:b/>
                <w:bCs/>
                <w:sz w:val="18"/>
                <w:szCs w:val="18"/>
              </w:rPr>
              <w:t>Avista Corp.</w:t>
            </w:r>
          </w:p>
          <w:p w:rsidR="0091405D" w:rsidRDefault="0091405D" w:rsidP="008F5AF8">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rsidR="0091405D" w:rsidRDefault="0091405D" w:rsidP="008F5AF8">
            <w:pPr>
              <w:pStyle w:val="Header"/>
              <w:rPr>
                <w:rFonts w:ascii="Arial" w:hAnsi="Arial" w:cs="Arial"/>
                <w:sz w:val="18"/>
                <w:szCs w:val="18"/>
              </w:rPr>
            </w:pPr>
            <w:r>
              <w:rPr>
                <w:rFonts w:ascii="Arial" w:hAnsi="Arial" w:cs="Arial"/>
                <w:sz w:val="18"/>
                <w:szCs w:val="18"/>
              </w:rPr>
              <w:t xml:space="preserve">Spokane,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rsidR="0091405D" w:rsidRDefault="0091405D" w:rsidP="008F5AF8">
            <w:pPr>
              <w:pStyle w:val="Header"/>
              <w:rPr>
                <w:rFonts w:ascii="Arial" w:hAnsi="Arial" w:cs="Arial"/>
                <w:sz w:val="18"/>
                <w:szCs w:val="18"/>
              </w:rPr>
            </w:pPr>
            <w:r>
              <w:rPr>
                <w:rFonts w:ascii="Arial" w:hAnsi="Arial" w:cs="Arial"/>
                <w:sz w:val="18"/>
                <w:szCs w:val="18"/>
              </w:rPr>
              <w:t>Telephone 509-489-0500</w:t>
            </w:r>
          </w:p>
          <w:p w:rsidR="0091405D" w:rsidRDefault="0091405D" w:rsidP="008F5AF8">
            <w:pPr>
              <w:pStyle w:val="Header"/>
              <w:rPr>
                <w:sz w:val="18"/>
                <w:szCs w:val="18"/>
              </w:rPr>
            </w:pPr>
            <w:r>
              <w:rPr>
                <w:rFonts w:ascii="Arial" w:hAnsi="Arial" w:cs="Arial"/>
                <w:sz w:val="18"/>
                <w:szCs w:val="18"/>
              </w:rPr>
              <w:t>Toll Free   800-727-9170</w:t>
            </w:r>
          </w:p>
          <w:p w:rsidR="0091405D" w:rsidRDefault="0091405D" w:rsidP="008F5AF8">
            <w:pPr>
              <w:pStyle w:val="Header"/>
              <w:rPr>
                <w:rFonts w:ascii="Arial" w:hAnsi="Arial" w:cs="Arial"/>
                <w:b/>
                <w:bCs/>
                <w:sz w:val="18"/>
                <w:szCs w:val="18"/>
              </w:rPr>
            </w:pPr>
          </w:p>
        </w:tc>
        <w:tc>
          <w:tcPr>
            <w:tcW w:w="4788" w:type="dxa"/>
          </w:tcPr>
          <w:p w:rsidR="0091405D" w:rsidRDefault="0091405D" w:rsidP="008F5AF8">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p>
        </w:tc>
      </w:tr>
    </w:tbl>
    <w:p w:rsidR="0091405D" w:rsidRPr="008D7C4B" w:rsidRDefault="0091405D">
      <w:pPr>
        <w:rPr>
          <w:b/>
          <w:sz w:val="24"/>
          <w:szCs w:val="24"/>
        </w:rPr>
      </w:pPr>
      <w:r w:rsidRPr="008D7C4B">
        <w:rPr>
          <w:b/>
          <w:sz w:val="24"/>
          <w:szCs w:val="24"/>
        </w:rPr>
        <w:t>VIA – Electronic</w:t>
      </w:r>
      <w:r w:rsidR="002B6DD9">
        <w:rPr>
          <w:b/>
          <w:sz w:val="24"/>
          <w:szCs w:val="24"/>
        </w:rPr>
        <w:t xml:space="preserve"> and Overnight</w:t>
      </w:r>
      <w:r w:rsidRPr="008D7C4B">
        <w:rPr>
          <w:b/>
          <w:sz w:val="24"/>
          <w:szCs w:val="24"/>
        </w:rPr>
        <w:t xml:space="preserve"> Mail</w:t>
      </w:r>
    </w:p>
    <w:p w:rsidR="0091405D" w:rsidRPr="008D7C4B" w:rsidRDefault="0091405D">
      <w:pPr>
        <w:rPr>
          <w:sz w:val="24"/>
          <w:szCs w:val="24"/>
        </w:rPr>
      </w:pPr>
    </w:p>
    <w:p w:rsidR="00FD1C3C" w:rsidRPr="008D7C4B" w:rsidRDefault="000B76B2">
      <w:pPr>
        <w:rPr>
          <w:sz w:val="24"/>
          <w:szCs w:val="24"/>
        </w:rPr>
      </w:pPr>
      <w:r w:rsidRPr="008D7C4B">
        <w:rPr>
          <w:sz w:val="24"/>
          <w:szCs w:val="24"/>
        </w:rPr>
        <w:t>January 7, 2016</w:t>
      </w:r>
    </w:p>
    <w:p w:rsidR="00FD1C3C" w:rsidRPr="008D7C4B" w:rsidRDefault="00FD1C3C">
      <w:pPr>
        <w:rPr>
          <w:sz w:val="24"/>
          <w:szCs w:val="24"/>
        </w:rPr>
      </w:pPr>
    </w:p>
    <w:p w:rsidR="00303B74" w:rsidRPr="008D7C4B" w:rsidRDefault="00303B74">
      <w:pPr>
        <w:rPr>
          <w:sz w:val="24"/>
          <w:szCs w:val="24"/>
        </w:rPr>
      </w:pPr>
      <w:r w:rsidRPr="008D7C4B">
        <w:rPr>
          <w:sz w:val="24"/>
          <w:szCs w:val="24"/>
        </w:rPr>
        <w:t>Washington Utilities and Transportation Commission</w:t>
      </w:r>
    </w:p>
    <w:p w:rsidR="00F62593" w:rsidRPr="008D7C4B" w:rsidRDefault="00F62593">
      <w:pPr>
        <w:rPr>
          <w:sz w:val="24"/>
          <w:szCs w:val="24"/>
        </w:rPr>
      </w:pPr>
      <w:r w:rsidRPr="008D7C4B">
        <w:rPr>
          <w:sz w:val="24"/>
          <w:szCs w:val="24"/>
        </w:rPr>
        <w:t xml:space="preserve">Attention:  </w:t>
      </w:r>
      <w:r w:rsidR="00447153" w:rsidRPr="008D7C4B">
        <w:rPr>
          <w:sz w:val="24"/>
          <w:szCs w:val="24"/>
        </w:rPr>
        <w:t>Mr. Steven V. King</w:t>
      </w:r>
      <w:r w:rsidRPr="008D7C4B">
        <w:rPr>
          <w:sz w:val="24"/>
          <w:szCs w:val="24"/>
        </w:rPr>
        <w:t xml:space="preserve">, Executive </w:t>
      </w:r>
      <w:r w:rsidR="00F502AE" w:rsidRPr="008D7C4B">
        <w:rPr>
          <w:sz w:val="24"/>
          <w:szCs w:val="24"/>
        </w:rPr>
        <w:t>Director &amp;</w:t>
      </w:r>
      <w:r w:rsidRPr="008D7C4B">
        <w:rPr>
          <w:sz w:val="24"/>
          <w:szCs w:val="24"/>
        </w:rPr>
        <w:t xml:space="preserve"> Secretary</w:t>
      </w:r>
    </w:p>
    <w:p w:rsidR="00303B74" w:rsidRPr="008D7C4B" w:rsidRDefault="00303B74">
      <w:pPr>
        <w:rPr>
          <w:sz w:val="24"/>
          <w:szCs w:val="24"/>
        </w:rPr>
      </w:pPr>
      <w:r w:rsidRPr="008D7C4B">
        <w:rPr>
          <w:sz w:val="24"/>
          <w:szCs w:val="24"/>
        </w:rPr>
        <w:t>1300 S. Evergreen Park Drive S. W.</w:t>
      </w:r>
    </w:p>
    <w:p w:rsidR="00303B74" w:rsidRPr="008D7C4B" w:rsidRDefault="00303B74">
      <w:pPr>
        <w:rPr>
          <w:sz w:val="24"/>
          <w:szCs w:val="24"/>
        </w:rPr>
      </w:pPr>
      <w:r w:rsidRPr="008D7C4B">
        <w:rPr>
          <w:sz w:val="24"/>
          <w:szCs w:val="24"/>
        </w:rPr>
        <w:t>P.O. Box 47250</w:t>
      </w:r>
    </w:p>
    <w:p w:rsidR="00303B74" w:rsidRPr="008D7C4B" w:rsidRDefault="00303B74">
      <w:pPr>
        <w:rPr>
          <w:sz w:val="24"/>
          <w:szCs w:val="24"/>
        </w:rPr>
      </w:pPr>
      <w:r w:rsidRPr="008D7C4B">
        <w:rPr>
          <w:sz w:val="24"/>
          <w:szCs w:val="24"/>
        </w:rPr>
        <w:t>Olympia, Washington 98504-7250</w:t>
      </w:r>
    </w:p>
    <w:p w:rsidR="00303B74" w:rsidRPr="008D7C4B" w:rsidRDefault="00303B74">
      <w:pPr>
        <w:rPr>
          <w:sz w:val="24"/>
          <w:szCs w:val="24"/>
        </w:rPr>
      </w:pPr>
    </w:p>
    <w:p w:rsidR="003E1511" w:rsidRPr="008D7C4B" w:rsidRDefault="003E1511" w:rsidP="00663140">
      <w:pPr>
        <w:jc w:val="both"/>
        <w:rPr>
          <w:b/>
          <w:sz w:val="24"/>
          <w:szCs w:val="24"/>
        </w:rPr>
      </w:pPr>
      <w:r w:rsidRPr="008D7C4B">
        <w:rPr>
          <w:b/>
          <w:sz w:val="24"/>
          <w:szCs w:val="24"/>
        </w:rPr>
        <w:t xml:space="preserve">RE: </w:t>
      </w:r>
      <w:r w:rsidRPr="008D7C4B">
        <w:rPr>
          <w:b/>
          <w:sz w:val="24"/>
          <w:szCs w:val="24"/>
        </w:rPr>
        <w:tab/>
        <w:t xml:space="preserve">Avista Corporation </w:t>
      </w:r>
      <w:r w:rsidR="000B76B2" w:rsidRPr="008D7C4B">
        <w:rPr>
          <w:b/>
          <w:sz w:val="24"/>
          <w:szCs w:val="24"/>
        </w:rPr>
        <w:t>–</w:t>
      </w:r>
      <w:r w:rsidR="00D46B38" w:rsidRPr="008D7C4B">
        <w:rPr>
          <w:b/>
          <w:sz w:val="24"/>
          <w:szCs w:val="24"/>
        </w:rPr>
        <w:t xml:space="preserve"> </w:t>
      </w:r>
      <w:r w:rsidRPr="008D7C4B">
        <w:rPr>
          <w:b/>
          <w:sz w:val="24"/>
          <w:szCs w:val="24"/>
        </w:rPr>
        <w:t>Docket</w:t>
      </w:r>
      <w:r w:rsidR="000B76B2" w:rsidRPr="008D7C4B">
        <w:rPr>
          <w:b/>
          <w:sz w:val="24"/>
          <w:szCs w:val="24"/>
        </w:rPr>
        <w:t xml:space="preserve"> No</w:t>
      </w:r>
      <w:r w:rsidR="00D46B38" w:rsidRPr="008D7C4B">
        <w:rPr>
          <w:b/>
          <w:sz w:val="24"/>
          <w:szCs w:val="24"/>
        </w:rPr>
        <w:t>s</w:t>
      </w:r>
      <w:r w:rsidR="000B76B2" w:rsidRPr="008D7C4B">
        <w:rPr>
          <w:b/>
          <w:sz w:val="24"/>
          <w:szCs w:val="24"/>
        </w:rPr>
        <w:t>.</w:t>
      </w:r>
      <w:r w:rsidRPr="008D7C4B">
        <w:rPr>
          <w:b/>
          <w:sz w:val="24"/>
          <w:szCs w:val="24"/>
        </w:rPr>
        <w:t xml:space="preserve"> UE-</w:t>
      </w:r>
      <w:r w:rsidR="00125590" w:rsidRPr="008D7C4B">
        <w:rPr>
          <w:b/>
          <w:sz w:val="24"/>
          <w:szCs w:val="24"/>
        </w:rPr>
        <w:t>1</w:t>
      </w:r>
      <w:r w:rsidR="0011534B" w:rsidRPr="008D7C4B">
        <w:rPr>
          <w:b/>
          <w:sz w:val="24"/>
          <w:szCs w:val="24"/>
        </w:rPr>
        <w:t>50204</w:t>
      </w:r>
      <w:r w:rsidR="00125590" w:rsidRPr="008D7C4B">
        <w:rPr>
          <w:b/>
          <w:sz w:val="24"/>
          <w:szCs w:val="24"/>
        </w:rPr>
        <w:t xml:space="preserve"> and</w:t>
      </w:r>
      <w:r w:rsidR="00283C1A" w:rsidRPr="008D7C4B">
        <w:rPr>
          <w:b/>
          <w:sz w:val="24"/>
          <w:szCs w:val="24"/>
        </w:rPr>
        <w:t xml:space="preserve"> </w:t>
      </w:r>
      <w:r w:rsidR="00FD1C3C" w:rsidRPr="008D7C4B">
        <w:rPr>
          <w:b/>
          <w:sz w:val="24"/>
          <w:szCs w:val="24"/>
        </w:rPr>
        <w:t>UG-</w:t>
      </w:r>
      <w:r w:rsidR="00125590" w:rsidRPr="008D7C4B">
        <w:rPr>
          <w:b/>
          <w:sz w:val="24"/>
          <w:szCs w:val="24"/>
        </w:rPr>
        <w:t>1</w:t>
      </w:r>
      <w:r w:rsidR="0011534B" w:rsidRPr="008D7C4B">
        <w:rPr>
          <w:b/>
          <w:sz w:val="24"/>
          <w:szCs w:val="24"/>
        </w:rPr>
        <w:t>50205 –</w:t>
      </w:r>
      <w:r w:rsidR="00756AF9" w:rsidRPr="008D7C4B">
        <w:rPr>
          <w:b/>
          <w:sz w:val="24"/>
          <w:szCs w:val="24"/>
        </w:rPr>
        <w:t>C</w:t>
      </w:r>
      <w:r w:rsidR="00666246" w:rsidRPr="008D7C4B">
        <w:rPr>
          <w:b/>
          <w:sz w:val="24"/>
          <w:szCs w:val="24"/>
        </w:rPr>
        <w:t xml:space="preserve">ompliance </w:t>
      </w:r>
      <w:r w:rsidR="00137AF5">
        <w:rPr>
          <w:b/>
          <w:sz w:val="24"/>
          <w:szCs w:val="24"/>
        </w:rPr>
        <w:t>Filing</w:t>
      </w:r>
    </w:p>
    <w:p w:rsidR="00303B74" w:rsidRPr="008D7C4B" w:rsidRDefault="00303B74" w:rsidP="00663140">
      <w:pPr>
        <w:jc w:val="both"/>
        <w:rPr>
          <w:sz w:val="24"/>
          <w:szCs w:val="24"/>
        </w:rPr>
      </w:pPr>
    </w:p>
    <w:p w:rsidR="00670D1E" w:rsidRPr="008D7C4B" w:rsidRDefault="0011534B" w:rsidP="00663140">
      <w:pPr>
        <w:jc w:val="both"/>
        <w:rPr>
          <w:sz w:val="24"/>
          <w:szCs w:val="24"/>
        </w:rPr>
      </w:pPr>
      <w:r w:rsidRPr="008D7C4B">
        <w:rPr>
          <w:sz w:val="24"/>
          <w:szCs w:val="24"/>
        </w:rPr>
        <w:t>A</w:t>
      </w:r>
      <w:r w:rsidR="00670D1E" w:rsidRPr="008D7C4B">
        <w:rPr>
          <w:sz w:val="24"/>
          <w:szCs w:val="24"/>
        </w:rPr>
        <w:t xml:space="preserve">ttached for filing with the Commission is an </w:t>
      </w:r>
      <w:r w:rsidR="002B6DD9">
        <w:rPr>
          <w:sz w:val="24"/>
          <w:szCs w:val="24"/>
        </w:rPr>
        <w:t>original and seven copies</w:t>
      </w:r>
      <w:r w:rsidR="00670D1E" w:rsidRPr="008D7C4B">
        <w:rPr>
          <w:sz w:val="24"/>
          <w:szCs w:val="24"/>
        </w:rPr>
        <w:t xml:space="preserve"> of the Company’s revisions to the following tariff sheets in compliance with the Commission’s Order No. </w:t>
      </w:r>
      <w:r w:rsidR="00DD0212" w:rsidRPr="008D7C4B">
        <w:rPr>
          <w:sz w:val="24"/>
          <w:szCs w:val="24"/>
        </w:rPr>
        <w:t>0</w:t>
      </w:r>
      <w:r w:rsidR="00C51D9F" w:rsidRPr="008D7C4B">
        <w:rPr>
          <w:sz w:val="24"/>
          <w:szCs w:val="24"/>
        </w:rPr>
        <w:t>5</w:t>
      </w:r>
      <w:r w:rsidR="00670D1E" w:rsidRPr="008D7C4B">
        <w:rPr>
          <w:sz w:val="24"/>
          <w:szCs w:val="24"/>
        </w:rPr>
        <w:t xml:space="preserve"> in the above </w:t>
      </w:r>
      <w:r w:rsidR="00B32BE0" w:rsidRPr="008D7C4B">
        <w:rPr>
          <w:sz w:val="24"/>
          <w:szCs w:val="24"/>
        </w:rPr>
        <w:t>reference</w:t>
      </w:r>
      <w:r w:rsidR="00670D1E" w:rsidRPr="008D7C4B">
        <w:rPr>
          <w:sz w:val="24"/>
          <w:szCs w:val="24"/>
        </w:rPr>
        <w:t>d dockets.</w:t>
      </w:r>
      <w:r w:rsidR="00865BDB">
        <w:rPr>
          <w:sz w:val="24"/>
          <w:szCs w:val="24"/>
        </w:rPr>
        <w:t xml:space="preserve">  The tariff sheets reflect a reduction in electric base </w:t>
      </w:r>
      <w:r w:rsidR="00526D0F">
        <w:rPr>
          <w:sz w:val="24"/>
          <w:szCs w:val="24"/>
        </w:rPr>
        <w:t>revenue</w:t>
      </w:r>
      <w:r w:rsidR="00865BDB">
        <w:rPr>
          <w:sz w:val="24"/>
          <w:szCs w:val="24"/>
        </w:rPr>
        <w:t xml:space="preserve"> of $8.1 million and an increase in natural gas base </w:t>
      </w:r>
      <w:r w:rsidR="00526D0F">
        <w:rPr>
          <w:sz w:val="24"/>
          <w:szCs w:val="24"/>
        </w:rPr>
        <w:t>revenue</w:t>
      </w:r>
      <w:r w:rsidR="00865BDB">
        <w:rPr>
          <w:sz w:val="24"/>
          <w:szCs w:val="24"/>
        </w:rPr>
        <w:t xml:space="preserve"> of $10.8 million, as approved by the Commission.</w:t>
      </w:r>
    </w:p>
    <w:p w:rsidR="00670D1E" w:rsidRPr="0006075B" w:rsidRDefault="00670D1E" w:rsidP="001D3FDE">
      <w:pPr>
        <w:jc w:val="both"/>
        <w:rPr>
          <w:sz w:val="22"/>
          <w:szCs w:val="22"/>
        </w:rPr>
      </w:pPr>
    </w:p>
    <w:tbl>
      <w:tblPr>
        <w:tblW w:w="8760" w:type="dxa"/>
        <w:tblInd w:w="7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762"/>
        <w:gridCol w:w="1278"/>
        <w:gridCol w:w="3720"/>
      </w:tblGrid>
      <w:tr w:rsidR="002B6DD9" w:rsidRPr="00C55523" w:rsidTr="00A34541">
        <w:tc>
          <w:tcPr>
            <w:tcW w:w="3762" w:type="dxa"/>
          </w:tcPr>
          <w:p w:rsidR="002B6DD9" w:rsidRPr="002B6DD9" w:rsidRDefault="002B6DD9" w:rsidP="008F74FE">
            <w:pPr>
              <w:rPr>
                <w:b/>
                <w:sz w:val="22"/>
                <w:szCs w:val="22"/>
              </w:rPr>
            </w:pPr>
            <w:r w:rsidRPr="002B6DD9">
              <w:rPr>
                <w:b/>
                <w:sz w:val="22"/>
                <w:szCs w:val="22"/>
              </w:rPr>
              <w:t>ELECTRIC TARIFFS</w:t>
            </w:r>
          </w:p>
        </w:tc>
        <w:tc>
          <w:tcPr>
            <w:tcW w:w="1278" w:type="dxa"/>
          </w:tcPr>
          <w:p w:rsidR="002B6DD9" w:rsidRDefault="002B6DD9" w:rsidP="008F74FE">
            <w:pPr>
              <w:rPr>
                <w:sz w:val="22"/>
                <w:szCs w:val="22"/>
              </w:rPr>
            </w:pPr>
          </w:p>
        </w:tc>
        <w:tc>
          <w:tcPr>
            <w:tcW w:w="3720" w:type="dxa"/>
          </w:tcPr>
          <w:p w:rsidR="002B6DD9" w:rsidRDefault="002B6DD9" w:rsidP="008F74FE">
            <w:pPr>
              <w:rPr>
                <w:sz w:val="22"/>
                <w:szCs w:val="22"/>
              </w:rPr>
            </w:pPr>
          </w:p>
        </w:tc>
      </w:tr>
      <w:tr w:rsidR="004A3431" w:rsidRPr="00C55523" w:rsidTr="00A34541">
        <w:tc>
          <w:tcPr>
            <w:tcW w:w="3762" w:type="dxa"/>
          </w:tcPr>
          <w:p w:rsidR="004A3431" w:rsidRPr="00FD7F4B" w:rsidRDefault="004A3431" w:rsidP="008F74FE">
            <w:pPr>
              <w:rPr>
                <w:sz w:val="22"/>
                <w:szCs w:val="22"/>
              </w:rPr>
            </w:pPr>
            <w:r>
              <w:rPr>
                <w:sz w:val="22"/>
                <w:szCs w:val="22"/>
              </w:rPr>
              <w:t>Substitute 2</w:t>
            </w:r>
            <w:r w:rsidRPr="004A3431">
              <w:rPr>
                <w:sz w:val="22"/>
                <w:szCs w:val="22"/>
                <w:vertAlign w:val="superscript"/>
              </w:rPr>
              <w:t>nd</w:t>
            </w:r>
            <w:r>
              <w:rPr>
                <w:sz w:val="22"/>
                <w:szCs w:val="22"/>
              </w:rPr>
              <w:t xml:space="preserve"> Revision Sheet B</w:t>
            </w:r>
          </w:p>
        </w:tc>
        <w:tc>
          <w:tcPr>
            <w:tcW w:w="1278" w:type="dxa"/>
          </w:tcPr>
          <w:p w:rsidR="004A3431" w:rsidRPr="00FD7F4B" w:rsidRDefault="004A3431" w:rsidP="008F74FE">
            <w:pPr>
              <w:rPr>
                <w:sz w:val="22"/>
                <w:szCs w:val="22"/>
              </w:rPr>
            </w:pPr>
            <w:r>
              <w:rPr>
                <w:sz w:val="22"/>
                <w:szCs w:val="22"/>
              </w:rPr>
              <w:t>Canceling</w:t>
            </w:r>
          </w:p>
        </w:tc>
        <w:tc>
          <w:tcPr>
            <w:tcW w:w="3720" w:type="dxa"/>
          </w:tcPr>
          <w:p w:rsidR="004A3431" w:rsidRDefault="004A3431" w:rsidP="008F74FE">
            <w:pPr>
              <w:rPr>
                <w:sz w:val="22"/>
                <w:szCs w:val="22"/>
              </w:rPr>
            </w:pPr>
            <w:r>
              <w:rPr>
                <w:sz w:val="22"/>
                <w:szCs w:val="22"/>
              </w:rPr>
              <w:t>1</w:t>
            </w:r>
            <w:r w:rsidRPr="004A3431">
              <w:rPr>
                <w:sz w:val="22"/>
                <w:szCs w:val="22"/>
                <w:vertAlign w:val="superscript"/>
              </w:rPr>
              <w:t>st</w:t>
            </w:r>
            <w:r>
              <w:rPr>
                <w:sz w:val="22"/>
                <w:szCs w:val="22"/>
              </w:rPr>
              <w:t xml:space="preserve"> Revision Sheet B</w:t>
            </w:r>
          </w:p>
        </w:tc>
      </w:tr>
      <w:tr w:rsidR="0013371B" w:rsidRPr="00C55523" w:rsidTr="00A34541">
        <w:tc>
          <w:tcPr>
            <w:tcW w:w="3762" w:type="dxa"/>
          </w:tcPr>
          <w:p w:rsidR="0013371B" w:rsidRPr="00FD7F4B" w:rsidRDefault="0013371B" w:rsidP="0013371B">
            <w:pPr>
              <w:rPr>
                <w:sz w:val="22"/>
                <w:szCs w:val="22"/>
              </w:rPr>
            </w:pPr>
            <w:r>
              <w:rPr>
                <w:sz w:val="22"/>
                <w:szCs w:val="22"/>
              </w:rPr>
              <w:t>1</w:t>
            </w:r>
            <w:r w:rsidR="00985AD2">
              <w:rPr>
                <w:sz w:val="22"/>
                <w:szCs w:val="22"/>
              </w:rPr>
              <w:t>8</w:t>
            </w:r>
            <w:r w:rsidRPr="0013371B">
              <w:rPr>
                <w:sz w:val="22"/>
                <w:szCs w:val="22"/>
                <w:vertAlign w:val="superscript"/>
              </w:rPr>
              <w:t>th</w:t>
            </w:r>
            <w:r>
              <w:rPr>
                <w:sz w:val="22"/>
                <w:szCs w:val="22"/>
              </w:rPr>
              <w:t xml:space="preserve"> Revision Sheet B</w:t>
            </w:r>
            <w:r w:rsidR="00722E59">
              <w:rPr>
                <w:sz w:val="22"/>
                <w:szCs w:val="22"/>
              </w:rPr>
              <w:t>-1</w:t>
            </w:r>
          </w:p>
        </w:tc>
        <w:tc>
          <w:tcPr>
            <w:tcW w:w="1278" w:type="dxa"/>
          </w:tcPr>
          <w:p w:rsidR="0013371B" w:rsidRPr="00FD7F4B" w:rsidRDefault="0013371B" w:rsidP="00FB3DC8">
            <w:pPr>
              <w:rPr>
                <w:sz w:val="22"/>
                <w:szCs w:val="22"/>
              </w:rPr>
            </w:pPr>
            <w:r>
              <w:rPr>
                <w:sz w:val="22"/>
                <w:szCs w:val="22"/>
              </w:rPr>
              <w:t>Canceling</w:t>
            </w:r>
          </w:p>
        </w:tc>
        <w:tc>
          <w:tcPr>
            <w:tcW w:w="3720" w:type="dxa"/>
          </w:tcPr>
          <w:p w:rsidR="0013371B" w:rsidRDefault="0013371B" w:rsidP="00FB3DC8">
            <w:pPr>
              <w:rPr>
                <w:sz w:val="22"/>
                <w:szCs w:val="22"/>
              </w:rPr>
            </w:pPr>
            <w:r>
              <w:rPr>
                <w:sz w:val="22"/>
                <w:szCs w:val="22"/>
              </w:rPr>
              <w:t>1</w:t>
            </w:r>
            <w:r w:rsidR="00985AD2">
              <w:rPr>
                <w:sz w:val="22"/>
                <w:szCs w:val="22"/>
              </w:rPr>
              <w:t>7</w:t>
            </w:r>
            <w:r w:rsidRPr="0013371B">
              <w:rPr>
                <w:sz w:val="22"/>
                <w:szCs w:val="22"/>
                <w:vertAlign w:val="superscript"/>
              </w:rPr>
              <w:t>th</w:t>
            </w:r>
            <w:r>
              <w:rPr>
                <w:sz w:val="22"/>
                <w:szCs w:val="22"/>
              </w:rPr>
              <w:t xml:space="preserve"> Revision Sheet B</w:t>
            </w:r>
            <w:r w:rsidR="00722E59">
              <w:rPr>
                <w:sz w:val="22"/>
                <w:szCs w:val="22"/>
              </w:rPr>
              <w:t>-1</w:t>
            </w:r>
          </w:p>
        </w:tc>
      </w:tr>
      <w:tr w:rsidR="0013371B" w:rsidRPr="00C55523" w:rsidTr="00A34541">
        <w:tc>
          <w:tcPr>
            <w:tcW w:w="3762" w:type="dxa"/>
          </w:tcPr>
          <w:p w:rsidR="0013371B" w:rsidRPr="00FD7F4B" w:rsidRDefault="0013371B" w:rsidP="008F74FE">
            <w:pPr>
              <w:rPr>
                <w:sz w:val="22"/>
                <w:szCs w:val="22"/>
              </w:rPr>
            </w:pPr>
            <w:r w:rsidRPr="00FD7F4B">
              <w:rPr>
                <w:sz w:val="22"/>
                <w:szCs w:val="22"/>
              </w:rPr>
              <w:t>Sub</w:t>
            </w:r>
            <w:r>
              <w:rPr>
                <w:sz w:val="22"/>
                <w:szCs w:val="22"/>
              </w:rPr>
              <w:t xml:space="preserve">stitute </w:t>
            </w:r>
            <w:r w:rsidRPr="00FD7F4B">
              <w:rPr>
                <w:sz w:val="22"/>
                <w:szCs w:val="22"/>
              </w:rPr>
              <w:t>1</w:t>
            </w:r>
            <w:r>
              <w:rPr>
                <w:sz w:val="22"/>
                <w:szCs w:val="22"/>
              </w:rPr>
              <w:t>3</w:t>
            </w:r>
            <w:r w:rsidRPr="00FD7F4B">
              <w:rPr>
                <w:sz w:val="22"/>
                <w:szCs w:val="22"/>
                <w:vertAlign w:val="superscript"/>
              </w:rPr>
              <w:t>th</w:t>
            </w:r>
            <w:r w:rsidRPr="00FD7F4B">
              <w:rPr>
                <w:sz w:val="22"/>
                <w:szCs w:val="22"/>
              </w:rPr>
              <w:t xml:space="preserve"> Revision Sheet 1</w:t>
            </w:r>
          </w:p>
        </w:tc>
        <w:tc>
          <w:tcPr>
            <w:tcW w:w="1278" w:type="dxa"/>
          </w:tcPr>
          <w:p w:rsidR="0013371B" w:rsidRPr="00FD7F4B" w:rsidRDefault="0013371B" w:rsidP="008F74FE">
            <w:pPr>
              <w:rPr>
                <w:sz w:val="22"/>
                <w:szCs w:val="22"/>
              </w:rPr>
            </w:pPr>
            <w:bookmarkStart w:id="0" w:name="OLE_LINK1"/>
            <w:r w:rsidRPr="00FD7F4B">
              <w:rPr>
                <w:sz w:val="22"/>
                <w:szCs w:val="22"/>
              </w:rPr>
              <w:t>Canceling</w:t>
            </w:r>
            <w:bookmarkEnd w:id="0"/>
          </w:p>
        </w:tc>
        <w:tc>
          <w:tcPr>
            <w:tcW w:w="3720" w:type="dxa"/>
          </w:tcPr>
          <w:p w:rsidR="0013371B" w:rsidRPr="00FD7F4B" w:rsidRDefault="0013371B" w:rsidP="008F74FE">
            <w:pPr>
              <w:rPr>
                <w:sz w:val="22"/>
                <w:szCs w:val="22"/>
              </w:rPr>
            </w:pPr>
            <w:r>
              <w:rPr>
                <w:sz w:val="22"/>
                <w:szCs w:val="22"/>
              </w:rPr>
              <w:t xml:space="preserve">Substitute </w:t>
            </w:r>
            <w:r w:rsidRPr="00FD7F4B">
              <w:rPr>
                <w:sz w:val="22"/>
                <w:szCs w:val="22"/>
              </w:rPr>
              <w:t>1</w:t>
            </w:r>
            <w:r>
              <w:rPr>
                <w:sz w:val="22"/>
                <w:szCs w:val="22"/>
              </w:rPr>
              <w:t>2</w:t>
            </w:r>
            <w:r w:rsidRPr="00FD7F4B">
              <w:rPr>
                <w:sz w:val="22"/>
                <w:szCs w:val="22"/>
                <w:vertAlign w:val="superscript"/>
              </w:rPr>
              <w:t>th</w:t>
            </w:r>
            <w:r w:rsidRPr="00FD7F4B">
              <w:rPr>
                <w:sz w:val="22"/>
                <w:szCs w:val="22"/>
              </w:rPr>
              <w:t xml:space="preserve"> Revision Sheet 1</w:t>
            </w:r>
          </w:p>
        </w:tc>
      </w:tr>
      <w:tr w:rsidR="0013371B" w:rsidRPr="00C55523" w:rsidTr="00A34541">
        <w:tc>
          <w:tcPr>
            <w:tcW w:w="3762" w:type="dxa"/>
          </w:tcPr>
          <w:p w:rsidR="0013371B" w:rsidRPr="00FD7F4B" w:rsidRDefault="0013371B" w:rsidP="008F74FE">
            <w:pPr>
              <w:rPr>
                <w:sz w:val="22"/>
                <w:szCs w:val="22"/>
              </w:rPr>
            </w:pPr>
            <w:r>
              <w:rPr>
                <w:sz w:val="22"/>
                <w:szCs w:val="22"/>
              </w:rPr>
              <w:t>Substitute</w:t>
            </w:r>
            <w:r w:rsidRPr="00FD7F4B">
              <w:rPr>
                <w:sz w:val="22"/>
                <w:szCs w:val="22"/>
              </w:rPr>
              <w:t xml:space="preserve"> 1</w:t>
            </w:r>
            <w:r>
              <w:rPr>
                <w:sz w:val="22"/>
                <w:szCs w:val="22"/>
              </w:rPr>
              <w:t>3</w:t>
            </w:r>
            <w:r w:rsidRPr="00FD7F4B">
              <w:rPr>
                <w:sz w:val="22"/>
                <w:szCs w:val="22"/>
                <w:vertAlign w:val="superscript"/>
              </w:rPr>
              <w:t>th</w:t>
            </w:r>
            <w:r w:rsidRPr="00FD7F4B">
              <w:rPr>
                <w:sz w:val="22"/>
                <w:szCs w:val="22"/>
              </w:rPr>
              <w:t xml:space="preserve"> Revision Sheet 11</w:t>
            </w:r>
          </w:p>
        </w:tc>
        <w:tc>
          <w:tcPr>
            <w:tcW w:w="1278" w:type="dxa"/>
          </w:tcPr>
          <w:p w:rsidR="0013371B" w:rsidRPr="00FD7F4B" w:rsidRDefault="0013371B" w:rsidP="008F74FE">
            <w:pPr>
              <w:rPr>
                <w:sz w:val="22"/>
                <w:szCs w:val="22"/>
              </w:rPr>
            </w:pPr>
            <w:r w:rsidRPr="00FD7F4B">
              <w:rPr>
                <w:sz w:val="22"/>
                <w:szCs w:val="22"/>
              </w:rPr>
              <w:t>Canceling</w:t>
            </w:r>
          </w:p>
        </w:tc>
        <w:tc>
          <w:tcPr>
            <w:tcW w:w="3720" w:type="dxa"/>
          </w:tcPr>
          <w:p w:rsidR="0013371B" w:rsidRPr="00FD7F4B" w:rsidRDefault="0013371B" w:rsidP="008F74FE">
            <w:pPr>
              <w:rPr>
                <w:sz w:val="22"/>
                <w:szCs w:val="22"/>
              </w:rPr>
            </w:pPr>
            <w:r>
              <w:rPr>
                <w:sz w:val="22"/>
                <w:szCs w:val="22"/>
              </w:rPr>
              <w:t xml:space="preserve">Substitute </w:t>
            </w:r>
            <w:r w:rsidRPr="00FD7F4B">
              <w:rPr>
                <w:sz w:val="22"/>
                <w:szCs w:val="22"/>
              </w:rPr>
              <w:t>1</w:t>
            </w:r>
            <w:r>
              <w:rPr>
                <w:sz w:val="22"/>
                <w:szCs w:val="22"/>
              </w:rPr>
              <w:t>2</w:t>
            </w:r>
            <w:r w:rsidRPr="00FD7F4B">
              <w:rPr>
                <w:sz w:val="22"/>
                <w:szCs w:val="22"/>
                <w:vertAlign w:val="superscript"/>
              </w:rPr>
              <w:t>th</w:t>
            </w:r>
            <w:r w:rsidRPr="00FD7F4B">
              <w:rPr>
                <w:sz w:val="22"/>
                <w:szCs w:val="22"/>
              </w:rPr>
              <w:t xml:space="preserve"> Revision Sheet 11</w:t>
            </w:r>
          </w:p>
        </w:tc>
      </w:tr>
      <w:tr w:rsidR="0013371B" w:rsidRPr="00C55523" w:rsidTr="00A34541">
        <w:tc>
          <w:tcPr>
            <w:tcW w:w="3762" w:type="dxa"/>
          </w:tcPr>
          <w:p w:rsidR="0013371B" w:rsidRPr="00FD7F4B" w:rsidRDefault="0013371B" w:rsidP="008F74FE">
            <w:pPr>
              <w:rPr>
                <w:sz w:val="22"/>
                <w:szCs w:val="22"/>
              </w:rPr>
            </w:pPr>
            <w:r>
              <w:rPr>
                <w:sz w:val="22"/>
                <w:szCs w:val="22"/>
              </w:rPr>
              <w:t>Substitute</w:t>
            </w:r>
            <w:r w:rsidRPr="00FD7F4B">
              <w:rPr>
                <w:sz w:val="22"/>
                <w:szCs w:val="22"/>
              </w:rPr>
              <w:t xml:space="preserve"> 1</w:t>
            </w:r>
            <w:r>
              <w:rPr>
                <w:sz w:val="22"/>
                <w:szCs w:val="22"/>
              </w:rPr>
              <w:t>3</w:t>
            </w:r>
            <w:r w:rsidRPr="00FD7F4B">
              <w:rPr>
                <w:sz w:val="22"/>
                <w:szCs w:val="22"/>
                <w:vertAlign w:val="superscript"/>
              </w:rPr>
              <w:t>th</w:t>
            </w:r>
            <w:r w:rsidRPr="00FD7F4B">
              <w:rPr>
                <w:sz w:val="22"/>
                <w:szCs w:val="22"/>
              </w:rPr>
              <w:t xml:space="preserve"> Revision Sheet 21</w:t>
            </w:r>
          </w:p>
        </w:tc>
        <w:tc>
          <w:tcPr>
            <w:tcW w:w="1278" w:type="dxa"/>
          </w:tcPr>
          <w:p w:rsidR="0013371B" w:rsidRPr="00FD7F4B" w:rsidRDefault="0013371B" w:rsidP="008F74FE">
            <w:pPr>
              <w:rPr>
                <w:sz w:val="22"/>
                <w:szCs w:val="22"/>
              </w:rPr>
            </w:pPr>
            <w:r w:rsidRPr="00FD7F4B">
              <w:rPr>
                <w:sz w:val="22"/>
                <w:szCs w:val="22"/>
              </w:rPr>
              <w:t>Canceling</w:t>
            </w:r>
          </w:p>
        </w:tc>
        <w:tc>
          <w:tcPr>
            <w:tcW w:w="3720" w:type="dxa"/>
          </w:tcPr>
          <w:p w:rsidR="0013371B" w:rsidRPr="00FD7F4B" w:rsidRDefault="0013371B" w:rsidP="008F74FE">
            <w:pPr>
              <w:rPr>
                <w:sz w:val="22"/>
                <w:szCs w:val="22"/>
              </w:rPr>
            </w:pPr>
            <w:r>
              <w:rPr>
                <w:sz w:val="22"/>
                <w:szCs w:val="22"/>
              </w:rPr>
              <w:t>Substitute 12</w:t>
            </w:r>
            <w:r w:rsidRPr="00FD7F4B">
              <w:rPr>
                <w:sz w:val="22"/>
                <w:szCs w:val="22"/>
                <w:vertAlign w:val="superscript"/>
              </w:rPr>
              <w:t>th</w:t>
            </w:r>
            <w:r w:rsidRPr="00FD7F4B">
              <w:rPr>
                <w:sz w:val="22"/>
                <w:szCs w:val="22"/>
              </w:rPr>
              <w:t xml:space="preserve"> Revision Sheet 21</w:t>
            </w:r>
          </w:p>
        </w:tc>
      </w:tr>
      <w:tr w:rsidR="0013371B" w:rsidRPr="00C55523" w:rsidTr="00A34541">
        <w:tc>
          <w:tcPr>
            <w:tcW w:w="3762" w:type="dxa"/>
          </w:tcPr>
          <w:p w:rsidR="0013371B" w:rsidRPr="00FD7F4B" w:rsidRDefault="0013371B" w:rsidP="008F74FE">
            <w:pPr>
              <w:rPr>
                <w:sz w:val="22"/>
                <w:szCs w:val="22"/>
              </w:rPr>
            </w:pPr>
            <w:r>
              <w:rPr>
                <w:sz w:val="22"/>
                <w:szCs w:val="22"/>
              </w:rPr>
              <w:t>Substitute</w:t>
            </w:r>
            <w:r w:rsidRPr="00FD7F4B">
              <w:rPr>
                <w:sz w:val="22"/>
                <w:szCs w:val="22"/>
              </w:rPr>
              <w:t xml:space="preserve"> 1</w:t>
            </w:r>
            <w:r>
              <w:rPr>
                <w:sz w:val="22"/>
                <w:szCs w:val="22"/>
              </w:rPr>
              <w:t>3</w:t>
            </w:r>
            <w:r w:rsidRPr="00FD7F4B">
              <w:rPr>
                <w:sz w:val="22"/>
                <w:szCs w:val="22"/>
                <w:vertAlign w:val="superscript"/>
              </w:rPr>
              <w:t>th</w:t>
            </w:r>
            <w:r w:rsidRPr="00FD7F4B">
              <w:rPr>
                <w:sz w:val="22"/>
                <w:szCs w:val="22"/>
              </w:rPr>
              <w:t xml:space="preserve"> Revision Sheet 25</w:t>
            </w:r>
          </w:p>
        </w:tc>
        <w:tc>
          <w:tcPr>
            <w:tcW w:w="1278" w:type="dxa"/>
          </w:tcPr>
          <w:p w:rsidR="0013371B" w:rsidRPr="00FD7F4B" w:rsidRDefault="0013371B" w:rsidP="008F74FE">
            <w:pPr>
              <w:rPr>
                <w:sz w:val="22"/>
                <w:szCs w:val="22"/>
              </w:rPr>
            </w:pPr>
            <w:r w:rsidRPr="00FD7F4B">
              <w:rPr>
                <w:sz w:val="22"/>
                <w:szCs w:val="22"/>
              </w:rPr>
              <w:t>Canceling</w:t>
            </w:r>
          </w:p>
        </w:tc>
        <w:tc>
          <w:tcPr>
            <w:tcW w:w="3720" w:type="dxa"/>
          </w:tcPr>
          <w:p w:rsidR="0013371B" w:rsidRPr="00FD7F4B" w:rsidRDefault="0013371B" w:rsidP="008F74FE">
            <w:pPr>
              <w:rPr>
                <w:sz w:val="22"/>
                <w:szCs w:val="22"/>
              </w:rPr>
            </w:pPr>
            <w:r>
              <w:rPr>
                <w:sz w:val="22"/>
                <w:szCs w:val="22"/>
              </w:rPr>
              <w:t>Substitute 12</w:t>
            </w:r>
            <w:r w:rsidRPr="00FD7F4B">
              <w:rPr>
                <w:sz w:val="22"/>
                <w:szCs w:val="22"/>
                <w:vertAlign w:val="superscript"/>
              </w:rPr>
              <w:t>th</w:t>
            </w:r>
            <w:r w:rsidRPr="00FD7F4B">
              <w:rPr>
                <w:sz w:val="22"/>
                <w:szCs w:val="22"/>
              </w:rPr>
              <w:t xml:space="preserve"> Revision Sheet 25</w:t>
            </w:r>
          </w:p>
        </w:tc>
      </w:tr>
      <w:tr w:rsidR="0013371B" w:rsidRPr="00C55523" w:rsidTr="00A34541">
        <w:tc>
          <w:tcPr>
            <w:tcW w:w="3762" w:type="dxa"/>
          </w:tcPr>
          <w:p w:rsidR="0013371B" w:rsidRPr="00FD7F4B" w:rsidRDefault="0013371B" w:rsidP="008F74FE">
            <w:pPr>
              <w:rPr>
                <w:sz w:val="22"/>
                <w:szCs w:val="22"/>
              </w:rPr>
            </w:pPr>
            <w:r>
              <w:rPr>
                <w:sz w:val="22"/>
                <w:szCs w:val="22"/>
              </w:rPr>
              <w:t>Substitute</w:t>
            </w:r>
            <w:r w:rsidRPr="00FD7F4B">
              <w:rPr>
                <w:sz w:val="22"/>
                <w:szCs w:val="22"/>
              </w:rPr>
              <w:t xml:space="preserve"> </w:t>
            </w:r>
            <w:r>
              <w:rPr>
                <w:sz w:val="22"/>
                <w:szCs w:val="22"/>
              </w:rPr>
              <w:t>10</w:t>
            </w:r>
            <w:r w:rsidRPr="00FD7F4B">
              <w:rPr>
                <w:sz w:val="22"/>
                <w:szCs w:val="22"/>
                <w:vertAlign w:val="superscript"/>
              </w:rPr>
              <w:t>th</w:t>
            </w:r>
            <w:r w:rsidRPr="00FD7F4B">
              <w:rPr>
                <w:sz w:val="22"/>
                <w:szCs w:val="22"/>
              </w:rPr>
              <w:t xml:space="preserve"> Revision Sheet 25A</w:t>
            </w:r>
          </w:p>
        </w:tc>
        <w:tc>
          <w:tcPr>
            <w:tcW w:w="1278" w:type="dxa"/>
          </w:tcPr>
          <w:p w:rsidR="0013371B" w:rsidRPr="00FD7F4B" w:rsidRDefault="0013371B" w:rsidP="008F74FE">
            <w:pPr>
              <w:rPr>
                <w:sz w:val="22"/>
                <w:szCs w:val="22"/>
              </w:rPr>
            </w:pPr>
            <w:r w:rsidRPr="00FD7F4B">
              <w:rPr>
                <w:sz w:val="22"/>
                <w:szCs w:val="22"/>
              </w:rPr>
              <w:t>Canceling</w:t>
            </w:r>
          </w:p>
        </w:tc>
        <w:tc>
          <w:tcPr>
            <w:tcW w:w="3720" w:type="dxa"/>
          </w:tcPr>
          <w:p w:rsidR="0013371B" w:rsidRPr="00FD7F4B" w:rsidRDefault="0013371B" w:rsidP="008F74FE">
            <w:pPr>
              <w:rPr>
                <w:sz w:val="22"/>
                <w:szCs w:val="22"/>
              </w:rPr>
            </w:pPr>
            <w:r>
              <w:rPr>
                <w:sz w:val="22"/>
                <w:szCs w:val="22"/>
              </w:rPr>
              <w:t>Substitute 9</w:t>
            </w:r>
            <w:r w:rsidRPr="00FD7F4B">
              <w:rPr>
                <w:sz w:val="22"/>
                <w:szCs w:val="22"/>
                <w:vertAlign w:val="superscript"/>
              </w:rPr>
              <w:t>th</w:t>
            </w:r>
            <w:r w:rsidRPr="00FD7F4B">
              <w:rPr>
                <w:sz w:val="22"/>
                <w:szCs w:val="22"/>
              </w:rPr>
              <w:t xml:space="preserve"> Revision Sheet 25A</w:t>
            </w:r>
          </w:p>
        </w:tc>
      </w:tr>
      <w:tr w:rsidR="0013371B" w:rsidRPr="00C55523" w:rsidTr="00A34541">
        <w:tc>
          <w:tcPr>
            <w:tcW w:w="3762" w:type="dxa"/>
          </w:tcPr>
          <w:p w:rsidR="0013371B" w:rsidRPr="00FD7F4B" w:rsidRDefault="0013371B" w:rsidP="008F74FE">
            <w:pPr>
              <w:rPr>
                <w:sz w:val="22"/>
                <w:szCs w:val="22"/>
              </w:rPr>
            </w:pPr>
            <w:r>
              <w:rPr>
                <w:sz w:val="22"/>
                <w:szCs w:val="22"/>
              </w:rPr>
              <w:t>Substitute</w:t>
            </w:r>
            <w:r w:rsidRPr="00FD7F4B">
              <w:rPr>
                <w:sz w:val="22"/>
                <w:szCs w:val="22"/>
              </w:rPr>
              <w:t xml:space="preserve"> 1</w:t>
            </w:r>
            <w:r>
              <w:rPr>
                <w:sz w:val="22"/>
                <w:szCs w:val="22"/>
              </w:rPr>
              <w:t>3</w:t>
            </w:r>
            <w:r w:rsidRPr="00FD7F4B">
              <w:rPr>
                <w:sz w:val="22"/>
                <w:szCs w:val="22"/>
                <w:vertAlign w:val="superscript"/>
              </w:rPr>
              <w:t>th</w:t>
            </w:r>
            <w:r w:rsidRPr="00FD7F4B">
              <w:rPr>
                <w:sz w:val="22"/>
                <w:szCs w:val="22"/>
              </w:rPr>
              <w:t xml:space="preserve"> Revision Sheet 31</w:t>
            </w:r>
          </w:p>
        </w:tc>
        <w:tc>
          <w:tcPr>
            <w:tcW w:w="1278" w:type="dxa"/>
          </w:tcPr>
          <w:p w:rsidR="0013371B" w:rsidRPr="00FD7F4B" w:rsidRDefault="0013371B" w:rsidP="008F74FE">
            <w:pPr>
              <w:rPr>
                <w:sz w:val="22"/>
                <w:szCs w:val="22"/>
              </w:rPr>
            </w:pPr>
            <w:r w:rsidRPr="00FD7F4B">
              <w:rPr>
                <w:sz w:val="22"/>
                <w:szCs w:val="22"/>
              </w:rPr>
              <w:t>Canceling</w:t>
            </w:r>
          </w:p>
        </w:tc>
        <w:tc>
          <w:tcPr>
            <w:tcW w:w="3720" w:type="dxa"/>
          </w:tcPr>
          <w:p w:rsidR="0013371B" w:rsidRPr="00FD7F4B" w:rsidRDefault="0013371B" w:rsidP="008F74FE">
            <w:pPr>
              <w:rPr>
                <w:sz w:val="22"/>
                <w:szCs w:val="22"/>
              </w:rPr>
            </w:pPr>
            <w:r>
              <w:rPr>
                <w:sz w:val="22"/>
                <w:szCs w:val="22"/>
              </w:rPr>
              <w:t xml:space="preserve">Substitute </w:t>
            </w:r>
            <w:r w:rsidRPr="00FD7F4B">
              <w:rPr>
                <w:sz w:val="22"/>
                <w:szCs w:val="22"/>
              </w:rPr>
              <w:t>1</w:t>
            </w:r>
            <w:r>
              <w:rPr>
                <w:sz w:val="22"/>
                <w:szCs w:val="22"/>
              </w:rPr>
              <w:t>2</w:t>
            </w:r>
            <w:r w:rsidRPr="00FD7F4B">
              <w:rPr>
                <w:sz w:val="22"/>
                <w:szCs w:val="22"/>
                <w:vertAlign w:val="superscript"/>
              </w:rPr>
              <w:t>th</w:t>
            </w:r>
            <w:r w:rsidRPr="00FD7F4B">
              <w:rPr>
                <w:sz w:val="22"/>
                <w:szCs w:val="22"/>
              </w:rPr>
              <w:t xml:space="preserve"> Revision Sheet 31</w:t>
            </w:r>
          </w:p>
        </w:tc>
      </w:tr>
      <w:tr w:rsidR="0013371B" w:rsidRPr="00C55523" w:rsidTr="00A34541">
        <w:tc>
          <w:tcPr>
            <w:tcW w:w="3762" w:type="dxa"/>
          </w:tcPr>
          <w:p w:rsidR="0013371B" w:rsidRPr="00FD7F4B" w:rsidRDefault="0013371B" w:rsidP="008F74FE">
            <w:pPr>
              <w:rPr>
                <w:sz w:val="22"/>
                <w:szCs w:val="22"/>
              </w:rPr>
            </w:pPr>
            <w:r>
              <w:rPr>
                <w:sz w:val="22"/>
                <w:szCs w:val="22"/>
              </w:rPr>
              <w:t>Substitute</w:t>
            </w:r>
            <w:r w:rsidRPr="00FD7F4B">
              <w:rPr>
                <w:sz w:val="22"/>
                <w:szCs w:val="22"/>
              </w:rPr>
              <w:t xml:space="preserve"> 1</w:t>
            </w:r>
            <w:r>
              <w:rPr>
                <w:sz w:val="22"/>
                <w:szCs w:val="22"/>
              </w:rPr>
              <w:t>2</w:t>
            </w:r>
            <w:r w:rsidRPr="00FD7F4B">
              <w:rPr>
                <w:sz w:val="22"/>
                <w:szCs w:val="22"/>
                <w:vertAlign w:val="superscript"/>
              </w:rPr>
              <w:t>th</w:t>
            </w:r>
            <w:r w:rsidRPr="00FD7F4B">
              <w:rPr>
                <w:sz w:val="22"/>
                <w:szCs w:val="22"/>
              </w:rPr>
              <w:t xml:space="preserve"> Revision Sheet 41</w:t>
            </w:r>
          </w:p>
        </w:tc>
        <w:tc>
          <w:tcPr>
            <w:tcW w:w="1278" w:type="dxa"/>
          </w:tcPr>
          <w:p w:rsidR="0013371B" w:rsidRPr="00FD7F4B" w:rsidRDefault="0013371B" w:rsidP="008F74FE">
            <w:pPr>
              <w:rPr>
                <w:sz w:val="22"/>
                <w:szCs w:val="22"/>
              </w:rPr>
            </w:pPr>
            <w:r w:rsidRPr="00FD7F4B">
              <w:rPr>
                <w:sz w:val="22"/>
                <w:szCs w:val="22"/>
              </w:rPr>
              <w:t>Canceling</w:t>
            </w:r>
          </w:p>
        </w:tc>
        <w:tc>
          <w:tcPr>
            <w:tcW w:w="3720" w:type="dxa"/>
          </w:tcPr>
          <w:p w:rsidR="0013371B" w:rsidRPr="00FD7F4B" w:rsidRDefault="0013371B" w:rsidP="008F74FE">
            <w:pPr>
              <w:rPr>
                <w:sz w:val="22"/>
                <w:szCs w:val="22"/>
              </w:rPr>
            </w:pPr>
            <w:r>
              <w:rPr>
                <w:sz w:val="22"/>
                <w:szCs w:val="22"/>
              </w:rPr>
              <w:t>Substitute 11</w:t>
            </w:r>
            <w:r w:rsidRPr="00FD7F4B">
              <w:rPr>
                <w:sz w:val="22"/>
                <w:szCs w:val="22"/>
                <w:vertAlign w:val="superscript"/>
              </w:rPr>
              <w:t>th</w:t>
            </w:r>
            <w:r w:rsidRPr="00FD7F4B">
              <w:rPr>
                <w:sz w:val="22"/>
                <w:szCs w:val="22"/>
              </w:rPr>
              <w:t xml:space="preserve"> Revision Sheet 41</w:t>
            </w:r>
          </w:p>
        </w:tc>
      </w:tr>
      <w:tr w:rsidR="0013371B" w:rsidRPr="00C55523" w:rsidTr="00A34541">
        <w:tc>
          <w:tcPr>
            <w:tcW w:w="3762" w:type="dxa"/>
          </w:tcPr>
          <w:p w:rsidR="0013371B" w:rsidRPr="00FD7F4B" w:rsidRDefault="0013371B" w:rsidP="008F74FE">
            <w:pPr>
              <w:rPr>
                <w:sz w:val="22"/>
                <w:szCs w:val="22"/>
              </w:rPr>
            </w:pPr>
            <w:r>
              <w:rPr>
                <w:sz w:val="22"/>
                <w:szCs w:val="22"/>
              </w:rPr>
              <w:t>Substitute</w:t>
            </w:r>
            <w:r w:rsidRPr="00FD7F4B">
              <w:rPr>
                <w:sz w:val="22"/>
                <w:szCs w:val="22"/>
              </w:rPr>
              <w:t xml:space="preserve"> 1</w:t>
            </w:r>
            <w:r>
              <w:rPr>
                <w:sz w:val="22"/>
                <w:szCs w:val="22"/>
              </w:rPr>
              <w:t>2</w:t>
            </w:r>
            <w:r w:rsidRPr="00FD7F4B">
              <w:rPr>
                <w:sz w:val="22"/>
                <w:szCs w:val="22"/>
                <w:vertAlign w:val="superscript"/>
              </w:rPr>
              <w:t>th</w:t>
            </w:r>
            <w:r w:rsidRPr="00FD7F4B">
              <w:rPr>
                <w:sz w:val="22"/>
                <w:szCs w:val="22"/>
              </w:rPr>
              <w:t xml:space="preserve"> Revision Sheet 42</w:t>
            </w:r>
          </w:p>
        </w:tc>
        <w:tc>
          <w:tcPr>
            <w:tcW w:w="1278" w:type="dxa"/>
          </w:tcPr>
          <w:p w:rsidR="0013371B" w:rsidRPr="00FD7F4B" w:rsidRDefault="0013371B" w:rsidP="008F74FE">
            <w:pPr>
              <w:rPr>
                <w:sz w:val="22"/>
                <w:szCs w:val="22"/>
              </w:rPr>
            </w:pPr>
            <w:r w:rsidRPr="00FD7F4B">
              <w:rPr>
                <w:sz w:val="22"/>
                <w:szCs w:val="22"/>
              </w:rPr>
              <w:t>Canceling</w:t>
            </w:r>
          </w:p>
        </w:tc>
        <w:tc>
          <w:tcPr>
            <w:tcW w:w="3720" w:type="dxa"/>
          </w:tcPr>
          <w:p w:rsidR="0013371B" w:rsidRPr="00FD7F4B" w:rsidRDefault="0013371B" w:rsidP="008F74FE">
            <w:pPr>
              <w:rPr>
                <w:sz w:val="22"/>
                <w:szCs w:val="22"/>
              </w:rPr>
            </w:pPr>
            <w:r>
              <w:rPr>
                <w:sz w:val="22"/>
                <w:szCs w:val="22"/>
              </w:rPr>
              <w:t>Substitute 11</w:t>
            </w:r>
            <w:r w:rsidRPr="00FD7F4B">
              <w:rPr>
                <w:sz w:val="22"/>
                <w:szCs w:val="22"/>
                <w:vertAlign w:val="superscript"/>
              </w:rPr>
              <w:t>th</w:t>
            </w:r>
            <w:r w:rsidRPr="00FD7F4B">
              <w:rPr>
                <w:sz w:val="22"/>
                <w:szCs w:val="22"/>
              </w:rPr>
              <w:t xml:space="preserve"> Revision Sheet 42</w:t>
            </w:r>
          </w:p>
        </w:tc>
      </w:tr>
      <w:tr w:rsidR="0013371B" w:rsidRPr="00C55523" w:rsidTr="00A34541">
        <w:tc>
          <w:tcPr>
            <w:tcW w:w="3762" w:type="dxa"/>
          </w:tcPr>
          <w:p w:rsidR="0013371B" w:rsidRPr="00FD7F4B" w:rsidRDefault="0013371B" w:rsidP="008F74FE">
            <w:pPr>
              <w:rPr>
                <w:sz w:val="22"/>
                <w:szCs w:val="22"/>
              </w:rPr>
            </w:pPr>
            <w:r>
              <w:rPr>
                <w:sz w:val="22"/>
                <w:szCs w:val="22"/>
              </w:rPr>
              <w:t>Substitute</w:t>
            </w:r>
            <w:r w:rsidRPr="00FD7F4B">
              <w:rPr>
                <w:sz w:val="22"/>
                <w:szCs w:val="22"/>
              </w:rPr>
              <w:t xml:space="preserve"> </w:t>
            </w:r>
            <w:r>
              <w:rPr>
                <w:sz w:val="22"/>
                <w:szCs w:val="22"/>
              </w:rPr>
              <w:t>6</w:t>
            </w:r>
            <w:r w:rsidRPr="00FD7F4B">
              <w:rPr>
                <w:sz w:val="22"/>
                <w:szCs w:val="22"/>
                <w:vertAlign w:val="superscript"/>
              </w:rPr>
              <w:t>th</w:t>
            </w:r>
            <w:r w:rsidRPr="00FD7F4B">
              <w:rPr>
                <w:sz w:val="22"/>
                <w:szCs w:val="22"/>
              </w:rPr>
              <w:t xml:space="preserve"> Revision Sheet 42A</w:t>
            </w:r>
          </w:p>
        </w:tc>
        <w:tc>
          <w:tcPr>
            <w:tcW w:w="1278" w:type="dxa"/>
          </w:tcPr>
          <w:p w:rsidR="0013371B" w:rsidRPr="00FD7F4B" w:rsidRDefault="0013371B" w:rsidP="008F74FE">
            <w:pPr>
              <w:rPr>
                <w:sz w:val="22"/>
                <w:szCs w:val="22"/>
              </w:rPr>
            </w:pPr>
            <w:r w:rsidRPr="00FD7F4B">
              <w:rPr>
                <w:sz w:val="22"/>
                <w:szCs w:val="22"/>
              </w:rPr>
              <w:t>Canceling</w:t>
            </w:r>
          </w:p>
        </w:tc>
        <w:tc>
          <w:tcPr>
            <w:tcW w:w="3720" w:type="dxa"/>
          </w:tcPr>
          <w:p w:rsidR="0013371B" w:rsidRPr="00FD7F4B" w:rsidRDefault="0013371B" w:rsidP="008F74FE">
            <w:pPr>
              <w:rPr>
                <w:sz w:val="22"/>
                <w:szCs w:val="22"/>
              </w:rPr>
            </w:pPr>
            <w:r>
              <w:rPr>
                <w:sz w:val="22"/>
                <w:szCs w:val="22"/>
              </w:rPr>
              <w:t>Substitute 5</w:t>
            </w:r>
            <w:r w:rsidRPr="00FD7F4B">
              <w:rPr>
                <w:sz w:val="22"/>
                <w:szCs w:val="22"/>
                <w:vertAlign w:val="superscript"/>
              </w:rPr>
              <w:t>th</w:t>
            </w:r>
            <w:r w:rsidRPr="00FD7F4B">
              <w:rPr>
                <w:sz w:val="22"/>
                <w:szCs w:val="22"/>
              </w:rPr>
              <w:t xml:space="preserve"> Revision Sheet 42A</w:t>
            </w:r>
          </w:p>
        </w:tc>
      </w:tr>
      <w:tr w:rsidR="0013371B" w:rsidRPr="00C55523" w:rsidTr="00A34541">
        <w:tc>
          <w:tcPr>
            <w:tcW w:w="3762" w:type="dxa"/>
          </w:tcPr>
          <w:p w:rsidR="0013371B" w:rsidRPr="00FD7F4B" w:rsidRDefault="0013371B" w:rsidP="008F74FE">
            <w:pPr>
              <w:rPr>
                <w:sz w:val="22"/>
                <w:szCs w:val="22"/>
              </w:rPr>
            </w:pPr>
            <w:r w:rsidRPr="00FD7F4B">
              <w:rPr>
                <w:sz w:val="22"/>
                <w:szCs w:val="22"/>
              </w:rPr>
              <w:t>Su</w:t>
            </w:r>
            <w:r>
              <w:rPr>
                <w:sz w:val="22"/>
                <w:szCs w:val="22"/>
              </w:rPr>
              <w:t>bstitute</w:t>
            </w:r>
            <w:r w:rsidRPr="00FD7F4B">
              <w:rPr>
                <w:sz w:val="22"/>
                <w:szCs w:val="22"/>
              </w:rPr>
              <w:t xml:space="preserve"> 1</w:t>
            </w:r>
            <w:r>
              <w:rPr>
                <w:sz w:val="22"/>
                <w:szCs w:val="22"/>
              </w:rPr>
              <w:t>2</w:t>
            </w:r>
            <w:r w:rsidRPr="00FD7F4B">
              <w:rPr>
                <w:sz w:val="22"/>
                <w:szCs w:val="22"/>
                <w:vertAlign w:val="superscript"/>
              </w:rPr>
              <w:t>th</w:t>
            </w:r>
            <w:r w:rsidRPr="00FD7F4B">
              <w:rPr>
                <w:sz w:val="22"/>
                <w:szCs w:val="22"/>
              </w:rPr>
              <w:t xml:space="preserve"> Revision Sheet 44</w:t>
            </w:r>
          </w:p>
        </w:tc>
        <w:tc>
          <w:tcPr>
            <w:tcW w:w="1278" w:type="dxa"/>
          </w:tcPr>
          <w:p w:rsidR="0013371B" w:rsidRPr="00FD7F4B" w:rsidRDefault="0013371B" w:rsidP="008F74FE">
            <w:pPr>
              <w:rPr>
                <w:sz w:val="22"/>
                <w:szCs w:val="22"/>
              </w:rPr>
            </w:pPr>
            <w:r w:rsidRPr="00FD7F4B">
              <w:rPr>
                <w:sz w:val="22"/>
                <w:szCs w:val="22"/>
              </w:rPr>
              <w:t>Canceling</w:t>
            </w:r>
          </w:p>
        </w:tc>
        <w:tc>
          <w:tcPr>
            <w:tcW w:w="3720" w:type="dxa"/>
          </w:tcPr>
          <w:p w:rsidR="0013371B" w:rsidRPr="00FD7F4B" w:rsidRDefault="0013371B" w:rsidP="008F74FE">
            <w:pPr>
              <w:rPr>
                <w:sz w:val="22"/>
                <w:szCs w:val="22"/>
              </w:rPr>
            </w:pPr>
            <w:r>
              <w:rPr>
                <w:sz w:val="22"/>
                <w:szCs w:val="22"/>
              </w:rPr>
              <w:t>Substitute 11</w:t>
            </w:r>
            <w:r w:rsidRPr="00FD7F4B">
              <w:rPr>
                <w:sz w:val="22"/>
                <w:szCs w:val="22"/>
                <w:vertAlign w:val="superscript"/>
              </w:rPr>
              <w:t>th</w:t>
            </w:r>
            <w:r w:rsidRPr="00FD7F4B">
              <w:rPr>
                <w:sz w:val="22"/>
                <w:szCs w:val="22"/>
              </w:rPr>
              <w:t xml:space="preserve"> Revision Sheet 44</w:t>
            </w:r>
          </w:p>
        </w:tc>
      </w:tr>
      <w:tr w:rsidR="0013371B" w:rsidRPr="00C55523" w:rsidTr="00A34541">
        <w:tc>
          <w:tcPr>
            <w:tcW w:w="3762" w:type="dxa"/>
          </w:tcPr>
          <w:p w:rsidR="0013371B" w:rsidRPr="00FD7F4B" w:rsidRDefault="0013371B" w:rsidP="008F74FE">
            <w:pPr>
              <w:rPr>
                <w:sz w:val="22"/>
                <w:szCs w:val="22"/>
              </w:rPr>
            </w:pPr>
            <w:r>
              <w:rPr>
                <w:sz w:val="22"/>
                <w:szCs w:val="22"/>
              </w:rPr>
              <w:t>Substitute</w:t>
            </w:r>
            <w:r w:rsidRPr="00FD7F4B">
              <w:rPr>
                <w:sz w:val="22"/>
                <w:szCs w:val="22"/>
              </w:rPr>
              <w:t xml:space="preserve"> 1</w:t>
            </w:r>
            <w:r>
              <w:rPr>
                <w:sz w:val="22"/>
                <w:szCs w:val="22"/>
              </w:rPr>
              <w:t>3</w:t>
            </w:r>
            <w:r w:rsidRPr="00FD7F4B">
              <w:rPr>
                <w:sz w:val="22"/>
                <w:szCs w:val="22"/>
                <w:vertAlign w:val="superscript"/>
              </w:rPr>
              <w:t>th</w:t>
            </w:r>
            <w:r w:rsidRPr="00FD7F4B">
              <w:rPr>
                <w:sz w:val="22"/>
                <w:szCs w:val="22"/>
              </w:rPr>
              <w:t xml:space="preserve"> Revision Sheet 45</w:t>
            </w:r>
          </w:p>
        </w:tc>
        <w:tc>
          <w:tcPr>
            <w:tcW w:w="1278" w:type="dxa"/>
          </w:tcPr>
          <w:p w:rsidR="0013371B" w:rsidRPr="00FD7F4B" w:rsidRDefault="0013371B" w:rsidP="008F74FE">
            <w:pPr>
              <w:rPr>
                <w:sz w:val="22"/>
                <w:szCs w:val="22"/>
              </w:rPr>
            </w:pPr>
            <w:r w:rsidRPr="00FD7F4B">
              <w:rPr>
                <w:sz w:val="22"/>
                <w:szCs w:val="22"/>
              </w:rPr>
              <w:t>Canceling</w:t>
            </w:r>
          </w:p>
        </w:tc>
        <w:tc>
          <w:tcPr>
            <w:tcW w:w="3720" w:type="dxa"/>
          </w:tcPr>
          <w:p w:rsidR="0013371B" w:rsidRPr="00FD7F4B" w:rsidRDefault="0013371B" w:rsidP="008F74FE">
            <w:pPr>
              <w:rPr>
                <w:sz w:val="22"/>
                <w:szCs w:val="22"/>
              </w:rPr>
            </w:pPr>
            <w:r>
              <w:rPr>
                <w:sz w:val="22"/>
                <w:szCs w:val="22"/>
              </w:rPr>
              <w:t>Substitute 12</w:t>
            </w:r>
            <w:r w:rsidRPr="00FD7F4B">
              <w:rPr>
                <w:sz w:val="22"/>
                <w:szCs w:val="22"/>
                <w:vertAlign w:val="superscript"/>
              </w:rPr>
              <w:t>th</w:t>
            </w:r>
            <w:r w:rsidRPr="00FD7F4B">
              <w:rPr>
                <w:sz w:val="22"/>
                <w:szCs w:val="22"/>
              </w:rPr>
              <w:t xml:space="preserve"> Revision Sheet 45</w:t>
            </w:r>
          </w:p>
        </w:tc>
      </w:tr>
      <w:tr w:rsidR="0013371B" w:rsidRPr="00C55523" w:rsidTr="00A34541">
        <w:tc>
          <w:tcPr>
            <w:tcW w:w="3762" w:type="dxa"/>
          </w:tcPr>
          <w:p w:rsidR="0013371B" w:rsidRPr="00FD7F4B" w:rsidRDefault="0013371B" w:rsidP="008F74FE">
            <w:pPr>
              <w:rPr>
                <w:sz w:val="22"/>
                <w:szCs w:val="22"/>
              </w:rPr>
            </w:pPr>
            <w:r>
              <w:rPr>
                <w:sz w:val="22"/>
                <w:szCs w:val="22"/>
              </w:rPr>
              <w:t>Substitute</w:t>
            </w:r>
            <w:r w:rsidRPr="00FD7F4B">
              <w:rPr>
                <w:sz w:val="22"/>
                <w:szCs w:val="22"/>
              </w:rPr>
              <w:t xml:space="preserve"> </w:t>
            </w:r>
            <w:r>
              <w:rPr>
                <w:sz w:val="22"/>
                <w:szCs w:val="22"/>
              </w:rPr>
              <w:t>13</w:t>
            </w:r>
            <w:r w:rsidRPr="00FD7F4B">
              <w:rPr>
                <w:sz w:val="22"/>
                <w:szCs w:val="22"/>
                <w:vertAlign w:val="superscript"/>
              </w:rPr>
              <w:t>th</w:t>
            </w:r>
            <w:r w:rsidRPr="00FD7F4B">
              <w:rPr>
                <w:sz w:val="22"/>
                <w:szCs w:val="22"/>
              </w:rPr>
              <w:t xml:space="preserve"> Revision Sheet 46</w:t>
            </w:r>
          </w:p>
        </w:tc>
        <w:tc>
          <w:tcPr>
            <w:tcW w:w="1278" w:type="dxa"/>
          </w:tcPr>
          <w:p w:rsidR="0013371B" w:rsidRPr="00FD7F4B" w:rsidRDefault="0013371B" w:rsidP="008F74FE">
            <w:pPr>
              <w:rPr>
                <w:sz w:val="22"/>
                <w:szCs w:val="22"/>
              </w:rPr>
            </w:pPr>
            <w:r w:rsidRPr="00FD7F4B">
              <w:rPr>
                <w:sz w:val="22"/>
                <w:szCs w:val="22"/>
              </w:rPr>
              <w:t>Canceling</w:t>
            </w:r>
          </w:p>
        </w:tc>
        <w:tc>
          <w:tcPr>
            <w:tcW w:w="3720" w:type="dxa"/>
          </w:tcPr>
          <w:p w:rsidR="0013371B" w:rsidRPr="00FD7F4B" w:rsidRDefault="0013371B" w:rsidP="008F74FE">
            <w:pPr>
              <w:rPr>
                <w:sz w:val="22"/>
                <w:szCs w:val="22"/>
              </w:rPr>
            </w:pPr>
            <w:r>
              <w:rPr>
                <w:sz w:val="22"/>
                <w:szCs w:val="22"/>
              </w:rPr>
              <w:t>Substitute 12</w:t>
            </w:r>
            <w:r w:rsidRPr="00FD7F4B">
              <w:rPr>
                <w:sz w:val="22"/>
                <w:szCs w:val="22"/>
                <w:vertAlign w:val="superscript"/>
              </w:rPr>
              <w:t>th</w:t>
            </w:r>
            <w:r w:rsidRPr="00FD7F4B">
              <w:rPr>
                <w:sz w:val="22"/>
                <w:szCs w:val="22"/>
              </w:rPr>
              <w:t xml:space="preserve"> Revision Sheet 46</w:t>
            </w:r>
          </w:p>
        </w:tc>
      </w:tr>
      <w:tr w:rsidR="0013371B" w:rsidRPr="00C55523" w:rsidTr="00A34541">
        <w:tc>
          <w:tcPr>
            <w:tcW w:w="3762" w:type="dxa"/>
          </w:tcPr>
          <w:p w:rsidR="0013371B" w:rsidRPr="00FD7F4B" w:rsidRDefault="0013371B" w:rsidP="008F74FE">
            <w:pPr>
              <w:rPr>
                <w:sz w:val="22"/>
                <w:szCs w:val="22"/>
              </w:rPr>
            </w:pPr>
            <w:r>
              <w:rPr>
                <w:sz w:val="22"/>
                <w:szCs w:val="22"/>
              </w:rPr>
              <w:t>Substitute</w:t>
            </w:r>
            <w:r w:rsidRPr="00FD7F4B">
              <w:rPr>
                <w:sz w:val="22"/>
                <w:szCs w:val="22"/>
              </w:rPr>
              <w:t xml:space="preserve"> 1</w:t>
            </w:r>
            <w:r>
              <w:rPr>
                <w:sz w:val="22"/>
                <w:szCs w:val="22"/>
              </w:rPr>
              <w:t>2</w:t>
            </w:r>
            <w:r w:rsidRPr="00FD7F4B">
              <w:rPr>
                <w:sz w:val="22"/>
                <w:szCs w:val="22"/>
                <w:vertAlign w:val="superscript"/>
              </w:rPr>
              <w:t>th</w:t>
            </w:r>
            <w:r w:rsidRPr="00FD7F4B">
              <w:rPr>
                <w:sz w:val="22"/>
                <w:szCs w:val="22"/>
              </w:rPr>
              <w:t xml:space="preserve"> Revision Sheet 47</w:t>
            </w:r>
          </w:p>
        </w:tc>
        <w:tc>
          <w:tcPr>
            <w:tcW w:w="1278" w:type="dxa"/>
          </w:tcPr>
          <w:p w:rsidR="0013371B" w:rsidRPr="00FD7F4B" w:rsidRDefault="0013371B" w:rsidP="008F74FE">
            <w:pPr>
              <w:rPr>
                <w:sz w:val="22"/>
                <w:szCs w:val="22"/>
              </w:rPr>
            </w:pPr>
            <w:r w:rsidRPr="00FD7F4B">
              <w:rPr>
                <w:sz w:val="22"/>
                <w:szCs w:val="22"/>
              </w:rPr>
              <w:t>Canceling</w:t>
            </w:r>
          </w:p>
        </w:tc>
        <w:tc>
          <w:tcPr>
            <w:tcW w:w="3720" w:type="dxa"/>
          </w:tcPr>
          <w:p w:rsidR="0013371B" w:rsidRPr="00FD7F4B" w:rsidRDefault="0013371B" w:rsidP="008F74FE">
            <w:pPr>
              <w:rPr>
                <w:sz w:val="22"/>
                <w:szCs w:val="22"/>
              </w:rPr>
            </w:pPr>
            <w:r>
              <w:rPr>
                <w:sz w:val="22"/>
                <w:szCs w:val="22"/>
              </w:rPr>
              <w:t>Substitute 11</w:t>
            </w:r>
            <w:r w:rsidRPr="00FD7F4B">
              <w:rPr>
                <w:sz w:val="22"/>
                <w:szCs w:val="22"/>
                <w:vertAlign w:val="superscript"/>
              </w:rPr>
              <w:t>th</w:t>
            </w:r>
            <w:r w:rsidRPr="00FD7F4B">
              <w:rPr>
                <w:sz w:val="22"/>
                <w:szCs w:val="22"/>
              </w:rPr>
              <w:t xml:space="preserve"> Revision Sheet 47</w:t>
            </w:r>
          </w:p>
        </w:tc>
      </w:tr>
      <w:tr w:rsidR="0013371B" w:rsidRPr="00C55523" w:rsidTr="00A34541">
        <w:tc>
          <w:tcPr>
            <w:tcW w:w="3762" w:type="dxa"/>
          </w:tcPr>
          <w:p w:rsidR="0013371B" w:rsidRPr="00FD7F4B" w:rsidRDefault="0013371B" w:rsidP="008F74FE">
            <w:pPr>
              <w:rPr>
                <w:sz w:val="22"/>
                <w:szCs w:val="22"/>
              </w:rPr>
            </w:pPr>
            <w:r>
              <w:rPr>
                <w:sz w:val="22"/>
                <w:szCs w:val="22"/>
              </w:rPr>
              <w:t>Substitute</w:t>
            </w:r>
            <w:r w:rsidRPr="00FD7F4B">
              <w:rPr>
                <w:sz w:val="22"/>
                <w:szCs w:val="22"/>
              </w:rPr>
              <w:t xml:space="preserve">  </w:t>
            </w:r>
            <w:r>
              <w:rPr>
                <w:sz w:val="22"/>
                <w:szCs w:val="22"/>
              </w:rPr>
              <w:t>13</w:t>
            </w:r>
            <w:r w:rsidRPr="00FD7F4B">
              <w:rPr>
                <w:sz w:val="22"/>
                <w:szCs w:val="22"/>
                <w:vertAlign w:val="superscript"/>
              </w:rPr>
              <w:t>th</w:t>
            </w:r>
            <w:r w:rsidRPr="00FD7F4B">
              <w:rPr>
                <w:sz w:val="22"/>
                <w:szCs w:val="22"/>
              </w:rPr>
              <w:t xml:space="preserve"> Revision Sheet</w:t>
            </w:r>
            <w:r w:rsidR="000135F3">
              <w:rPr>
                <w:sz w:val="22"/>
                <w:szCs w:val="22"/>
              </w:rPr>
              <w:t xml:space="preserve"> </w:t>
            </w:r>
            <w:r w:rsidRPr="00FD7F4B">
              <w:rPr>
                <w:sz w:val="22"/>
                <w:szCs w:val="22"/>
              </w:rPr>
              <w:t>47A</w:t>
            </w:r>
          </w:p>
        </w:tc>
        <w:tc>
          <w:tcPr>
            <w:tcW w:w="1278" w:type="dxa"/>
          </w:tcPr>
          <w:p w:rsidR="0013371B" w:rsidRPr="00FD7F4B" w:rsidRDefault="0013371B" w:rsidP="008F74FE">
            <w:pPr>
              <w:rPr>
                <w:sz w:val="22"/>
                <w:szCs w:val="22"/>
              </w:rPr>
            </w:pPr>
            <w:r w:rsidRPr="00FD7F4B">
              <w:rPr>
                <w:sz w:val="22"/>
                <w:szCs w:val="22"/>
              </w:rPr>
              <w:t>Canceling</w:t>
            </w:r>
          </w:p>
        </w:tc>
        <w:tc>
          <w:tcPr>
            <w:tcW w:w="3720" w:type="dxa"/>
          </w:tcPr>
          <w:p w:rsidR="0013371B" w:rsidRPr="00FD7F4B" w:rsidRDefault="0013371B" w:rsidP="008F74FE">
            <w:pPr>
              <w:rPr>
                <w:sz w:val="22"/>
                <w:szCs w:val="22"/>
              </w:rPr>
            </w:pPr>
            <w:r>
              <w:rPr>
                <w:sz w:val="22"/>
                <w:szCs w:val="22"/>
              </w:rPr>
              <w:t>Substitute 12</w:t>
            </w:r>
            <w:r w:rsidRPr="00FD7F4B">
              <w:rPr>
                <w:sz w:val="22"/>
                <w:szCs w:val="22"/>
                <w:vertAlign w:val="superscript"/>
              </w:rPr>
              <w:t>th</w:t>
            </w:r>
            <w:r w:rsidRPr="00FD7F4B">
              <w:rPr>
                <w:sz w:val="22"/>
                <w:szCs w:val="22"/>
              </w:rPr>
              <w:t xml:space="preserve"> Revision Sheet 47A</w:t>
            </w:r>
          </w:p>
        </w:tc>
      </w:tr>
      <w:tr w:rsidR="0013371B" w:rsidRPr="00C55523" w:rsidTr="00A34541">
        <w:tc>
          <w:tcPr>
            <w:tcW w:w="3762" w:type="dxa"/>
          </w:tcPr>
          <w:p w:rsidR="0013371B" w:rsidRDefault="0013371B" w:rsidP="004A3431">
            <w:pPr>
              <w:rPr>
                <w:sz w:val="22"/>
                <w:szCs w:val="22"/>
              </w:rPr>
            </w:pPr>
            <w:r>
              <w:rPr>
                <w:sz w:val="22"/>
                <w:szCs w:val="22"/>
              </w:rPr>
              <w:t>Substitute Original Sheet 47B</w:t>
            </w:r>
          </w:p>
        </w:tc>
        <w:tc>
          <w:tcPr>
            <w:tcW w:w="1278" w:type="dxa"/>
          </w:tcPr>
          <w:p w:rsidR="0013371B" w:rsidRPr="00FD7F4B" w:rsidRDefault="0013371B" w:rsidP="008F74FE">
            <w:pPr>
              <w:rPr>
                <w:sz w:val="22"/>
                <w:szCs w:val="22"/>
              </w:rPr>
            </w:pPr>
          </w:p>
        </w:tc>
        <w:tc>
          <w:tcPr>
            <w:tcW w:w="3720" w:type="dxa"/>
          </w:tcPr>
          <w:p w:rsidR="0013371B" w:rsidRPr="00FD7F4B" w:rsidRDefault="0013371B" w:rsidP="008F74FE">
            <w:pPr>
              <w:rPr>
                <w:sz w:val="22"/>
                <w:szCs w:val="22"/>
              </w:rPr>
            </w:pPr>
          </w:p>
        </w:tc>
      </w:tr>
      <w:tr w:rsidR="0013371B" w:rsidRPr="00C55523" w:rsidTr="00A34541">
        <w:tc>
          <w:tcPr>
            <w:tcW w:w="3762" w:type="dxa"/>
          </w:tcPr>
          <w:p w:rsidR="0013371B" w:rsidRDefault="0013371B" w:rsidP="00967E0E">
            <w:pPr>
              <w:rPr>
                <w:sz w:val="22"/>
                <w:szCs w:val="22"/>
              </w:rPr>
            </w:pPr>
            <w:r>
              <w:rPr>
                <w:sz w:val="22"/>
                <w:szCs w:val="22"/>
              </w:rPr>
              <w:t>1</w:t>
            </w:r>
            <w:r w:rsidRPr="002B05D1">
              <w:rPr>
                <w:sz w:val="22"/>
                <w:szCs w:val="22"/>
                <w:vertAlign w:val="superscript"/>
              </w:rPr>
              <w:t>st</w:t>
            </w:r>
            <w:r>
              <w:rPr>
                <w:sz w:val="22"/>
                <w:szCs w:val="22"/>
              </w:rPr>
              <w:t xml:space="preserve"> Revision Sheet 75D</w:t>
            </w:r>
          </w:p>
        </w:tc>
        <w:tc>
          <w:tcPr>
            <w:tcW w:w="1278" w:type="dxa"/>
          </w:tcPr>
          <w:p w:rsidR="0013371B" w:rsidRPr="00A34541" w:rsidRDefault="0013371B" w:rsidP="00967E0E">
            <w:pPr>
              <w:rPr>
                <w:sz w:val="22"/>
                <w:szCs w:val="22"/>
              </w:rPr>
            </w:pPr>
            <w:r>
              <w:rPr>
                <w:sz w:val="22"/>
                <w:szCs w:val="22"/>
              </w:rPr>
              <w:t>Canceling</w:t>
            </w:r>
          </w:p>
        </w:tc>
        <w:tc>
          <w:tcPr>
            <w:tcW w:w="3720" w:type="dxa"/>
          </w:tcPr>
          <w:p w:rsidR="0013371B" w:rsidRPr="00A34541" w:rsidRDefault="0013371B" w:rsidP="00A34541">
            <w:pPr>
              <w:rPr>
                <w:sz w:val="22"/>
                <w:szCs w:val="22"/>
              </w:rPr>
            </w:pPr>
            <w:r>
              <w:rPr>
                <w:sz w:val="22"/>
                <w:szCs w:val="22"/>
              </w:rPr>
              <w:t>Original Sheet 75D</w:t>
            </w:r>
          </w:p>
        </w:tc>
      </w:tr>
      <w:tr w:rsidR="0013371B" w:rsidRPr="00C55523" w:rsidTr="00A34541">
        <w:tc>
          <w:tcPr>
            <w:tcW w:w="3762" w:type="dxa"/>
          </w:tcPr>
          <w:p w:rsidR="0013371B" w:rsidRPr="00A34541" w:rsidRDefault="0013371B" w:rsidP="00967E0E">
            <w:pPr>
              <w:rPr>
                <w:sz w:val="22"/>
                <w:szCs w:val="22"/>
              </w:rPr>
            </w:pPr>
            <w:r>
              <w:rPr>
                <w:sz w:val="22"/>
                <w:szCs w:val="22"/>
              </w:rPr>
              <w:t>3</w:t>
            </w:r>
            <w:r w:rsidRPr="00A34541">
              <w:rPr>
                <w:sz w:val="22"/>
                <w:szCs w:val="22"/>
                <w:vertAlign w:val="superscript"/>
              </w:rPr>
              <w:t>rd</w:t>
            </w:r>
            <w:r>
              <w:rPr>
                <w:sz w:val="22"/>
                <w:szCs w:val="22"/>
              </w:rPr>
              <w:t xml:space="preserve"> Revision Sheet 92</w:t>
            </w:r>
          </w:p>
        </w:tc>
        <w:tc>
          <w:tcPr>
            <w:tcW w:w="1278" w:type="dxa"/>
          </w:tcPr>
          <w:p w:rsidR="0013371B" w:rsidRPr="00A34541" w:rsidRDefault="0013371B" w:rsidP="00967E0E">
            <w:pPr>
              <w:rPr>
                <w:sz w:val="22"/>
                <w:szCs w:val="22"/>
              </w:rPr>
            </w:pPr>
            <w:r w:rsidRPr="00A34541">
              <w:rPr>
                <w:sz w:val="22"/>
                <w:szCs w:val="22"/>
              </w:rPr>
              <w:t>Canceling</w:t>
            </w:r>
          </w:p>
        </w:tc>
        <w:tc>
          <w:tcPr>
            <w:tcW w:w="3720" w:type="dxa"/>
          </w:tcPr>
          <w:p w:rsidR="0013371B" w:rsidRPr="00A34541" w:rsidRDefault="0013371B" w:rsidP="00A34541">
            <w:pPr>
              <w:rPr>
                <w:sz w:val="22"/>
                <w:szCs w:val="22"/>
              </w:rPr>
            </w:pPr>
            <w:r w:rsidRPr="00A34541">
              <w:rPr>
                <w:sz w:val="22"/>
                <w:szCs w:val="22"/>
              </w:rPr>
              <w:t>2</w:t>
            </w:r>
            <w:r w:rsidRPr="00A34541">
              <w:rPr>
                <w:sz w:val="22"/>
                <w:szCs w:val="22"/>
                <w:vertAlign w:val="superscript"/>
              </w:rPr>
              <w:t>nd</w:t>
            </w:r>
            <w:r>
              <w:rPr>
                <w:sz w:val="22"/>
                <w:szCs w:val="22"/>
              </w:rPr>
              <w:t xml:space="preserve"> Revision Sheet 92</w:t>
            </w:r>
          </w:p>
        </w:tc>
      </w:tr>
      <w:tr w:rsidR="0013371B" w:rsidRPr="00C55523" w:rsidTr="00A34541">
        <w:tc>
          <w:tcPr>
            <w:tcW w:w="3762" w:type="dxa"/>
          </w:tcPr>
          <w:p w:rsidR="0013371B" w:rsidRDefault="0013371B" w:rsidP="008F74FE">
            <w:pPr>
              <w:rPr>
                <w:sz w:val="22"/>
                <w:szCs w:val="22"/>
              </w:rPr>
            </w:pPr>
            <w:r>
              <w:rPr>
                <w:sz w:val="22"/>
                <w:szCs w:val="22"/>
              </w:rPr>
              <w:t>Original Sheet 92A</w:t>
            </w:r>
          </w:p>
        </w:tc>
        <w:tc>
          <w:tcPr>
            <w:tcW w:w="1278" w:type="dxa"/>
          </w:tcPr>
          <w:p w:rsidR="0013371B" w:rsidRDefault="0013371B" w:rsidP="008F74FE">
            <w:pPr>
              <w:rPr>
                <w:sz w:val="22"/>
                <w:szCs w:val="22"/>
              </w:rPr>
            </w:pPr>
          </w:p>
        </w:tc>
        <w:tc>
          <w:tcPr>
            <w:tcW w:w="3720" w:type="dxa"/>
          </w:tcPr>
          <w:p w:rsidR="0013371B" w:rsidRDefault="0013371B" w:rsidP="008F74FE">
            <w:pPr>
              <w:rPr>
                <w:sz w:val="22"/>
                <w:szCs w:val="22"/>
              </w:rPr>
            </w:pPr>
          </w:p>
        </w:tc>
      </w:tr>
      <w:tr w:rsidR="0013371B" w:rsidRPr="00C55523" w:rsidTr="00A34541">
        <w:tc>
          <w:tcPr>
            <w:tcW w:w="3762" w:type="dxa"/>
          </w:tcPr>
          <w:p w:rsidR="0013371B" w:rsidRPr="00A34541" w:rsidRDefault="0013371B" w:rsidP="008F74FE">
            <w:pPr>
              <w:rPr>
                <w:sz w:val="22"/>
                <w:szCs w:val="22"/>
              </w:rPr>
            </w:pPr>
            <w:r>
              <w:rPr>
                <w:sz w:val="22"/>
                <w:szCs w:val="22"/>
              </w:rPr>
              <w:t>12</w:t>
            </w:r>
            <w:r w:rsidRPr="00D77FD4">
              <w:rPr>
                <w:sz w:val="22"/>
                <w:szCs w:val="22"/>
                <w:vertAlign w:val="superscript"/>
              </w:rPr>
              <w:t>th</w:t>
            </w:r>
            <w:r>
              <w:rPr>
                <w:sz w:val="22"/>
                <w:szCs w:val="22"/>
              </w:rPr>
              <w:t xml:space="preserve"> Revision Sheet 93</w:t>
            </w:r>
          </w:p>
        </w:tc>
        <w:tc>
          <w:tcPr>
            <w:tcW w:w="1278" w:type="dxa"/>
          </w:tcPr>
          <w:p w:rsidR="0013371B" w:rsidRPr="00A34541" w:rsidRDefault="0013371B" w:rsidP="008F74FE">
            <w:pPr>
              <w:rPr>
                <w:sz w:val="22"/>
                <w:szCs w:val="22"/>
              </w:rPr>
            </w:pPr>
            <w:r>
              <w:rPr>
                <w:sz w:val="22"/>
                <w:szCs w:val="22"/>
              </w:rPr>
              <w:t>Canceling</w:t>
            </w:r>
          </w:p>
        </w:tc>
        <w:tc>
          <w:tcPr>
            <w:tcW w:w="3720" w:type="dxa"/>
          </w:tcPr>
          <w:p w:rsidR="0013371B" w:rsidRPr="00A34541" w:rsidRDefault="0013371B" w:rsidP="008F74FE">
            <w:pPr>
              <w:rPr>
                <w:sz w:val="22"/>
                <w:szCs w:val="22"/>
              </w:rPr>
            </w:pPr>
            <w:r>
              <w:rPr>
                <w:sz w:val="22"/>
                <w:szCs w:val="22"/>
              </w:rPr>
              <w:t>11</w:t>
            </w:r>
            <w:r w:rsidRPr="00D77FD4">
              <w:rPr>
                <w:sz w:val="22"/>
                <w:szCs w:val="22"/>
                <w:vertAlign w:val="superscript"/>
              </w:rPr>
              <w:t>th</w:t>
            </w:r>
            <w:r>
              <w:rPr>
                <w:sz w:val="22"/>
                <w:szCs w:val="22"/>
              </w:rPr>
              <w:t xml:space="preserve"> Revision Sheet 93</w:t>
            </w:r>
          </w:p>
        </w:tc>
      </w:tr>
      <w:tr w:rsidR="002B6DD9" w:rsidRPr="00C55523" w:rsidTr="00A34541">
        <w:tc>
          <w:tcPr>
            <w:tcW w:w="3762" w:type="dxa"/>
          </w:tcPr>
          <w:p w:rsidR="002B6DD9" w:rsidRPr="002B6DD9" w:rsidRDefault="002B6DD9" w:rsidP="00722E59">
            <w:pPr>
              <w:rPr>
                <w:b/>
                <w:sz w:val="22"/>
                <w:szCs w:val="22"/>
              </w:rPr>
            </w:pPr>
            <w:r w:rsidRPr="002B6DD9">
              <w:rPr>
                <w:b/>
                <w:sz w:val="22"/>
                <w:szCs w:val="22"/>
              </w:rPr>
              <w:lastRenderedPageBreak/>
              <w:t>NATURAL GAS TARIFFS</w:t>
            </w:r>
          </w:p>
        </w:tc>
        <w:tc>
          <w:tcPr>
            <w:tcW w:w="1278" w:type="dxa"/>
          </w:tcPr>
          <w:p w:rsidR="002B6DD9" w:rsidRDefault="002B6DD9" w:rsidP="008F74FE">
            <w:pPr>
              <w:rPr>
                <w:sz w:val="22"/>
                <w:szCs w:val="22"/>
              </w:rPr>
            </w:pPr>
          </w:p>
        </w:tc>
        <w:tc>
          <w:tcPr>
            <w:tcW w:w="3720" w:type="dxa"/>
          </w:tcPr>
          <w:p w:rsidR="002B6DD9" w:rsidRDefault="002B6DD9" w:rsidP="008F74FE">
            <w:pPr>
              <w:rPr>
                <w:sz w:val="22"/>
                <w:szCs w:val="22"/>
              </w:rPr>
            </w:pPr>
          </w:p>
        </w:tc>
      </w:tr>
      <w:tr w:rsidR="00722E59" w:rsidRPr="00C55523" w:rsidTr="00A34541">
        <w:tc>
          <w:tcPr>
            <w:tcW w:w="3762" w:type="dxa"/>
          </w:tcPr>
          <w:p w:rsidR="00722E59" w:rsidRPr="00A34541" w:rsidRDefault="00722E59" w:rsidP="00722E59">
            <w:pPr>
              <w:rPr>
                <w:sz w:val="22"/>
                <w:szCs w:val="22"/>
              </w:rPr>
            </w:pPr>
            <w:r>
              <w:rPr>
                <w:sz w:val="22"/>
                <w:szCs w:val="22"/>
              </w:rPr>
              <w:t>12</w:t>
            </w:r>
            <w:r w:rsidRPr="00722E59">
              <w:rPr>
                <w:sz w:val="22"/>
                <w:szCs w:val="22"/>
                <w:vertAlign w:val="superscript"/>
              </w:rPr>
              <w:t>th</w:t>
            </w:r>
            <w:r>
              <w:rPr>
                <w:sz w:val="22"/>
                <w:szCs w:val="22"/>
              </w:rPr>
              <w:t xml:space="preserve"> Revision Sheet B</w:t>
            </w:r>
          </w:p>
        </w:tc>
        <w:tc>
          <w:tcPr>
            <w:tcW w:w="1278" w:type="dxa"/>
          </w:tcPr>
          <w:p w:rsidR="00722E59" w:rsidRPr="00A34541" w:rsidRDefault="00722E59" w:rsidP="008F74FE">
            <w:pPr>
              <w:rPr>
                <w:sz w:val="22"/>
                <w:szCs w:val="22"/>
              </w:rPr>
            </w:pPr>
            <w:r>
              <w:rPr>
                <w:sz w:val="22"/>
                <w:szCs w:val="22"/>
              </w:rPr>
              <w:t>Canceling</w:t>
            </w:r>
          </w:p>
        </w:tc>
        <w:tc>
          <w:tcPr>
            <w:tcW w:w="3720" w:type="dxa"/>
          </w:tcPr>
          <w:p w:rsidR="00722E59" w:rsidRPr="00A34541" w:rsidRDefault="00722E59" w:rsidP="008F74FE">
            <w:pPr>
              <w:rPr>
                <w:sz w:val="22"/>
                <w:szCs w:val="22"/>
              </w:rPr>
            </w:pPr>
            <w:r>
              <w:rPr>
                <w:sz w:val="22"/>
                <w:szCs w:val="22"/>
              </w:rPr>
              <w:t>11</w:t>
            </w:r>
            <w:r w:rsidRPr="00722E59">
              <w:rPr>
                <w:sz w:val="22"/>
                <w:szCs w:val="22"/>
                <w:vertAlign w:val="superscript"/>
              </w:rPr>
              <w:t>th</w:t>
            </w:r>
            <w:r>
              <w:rPr>
                <w:sz w:val="22"/>
                <w:szCs w:val="22"/>
              </w:rPr>
              <w:t xml:space="preserve"> Revision Sheet B</w:t>
            </w:r>
          </w:p>
        </w:tc>
      </w:tr>
      <w:tr w:rsidR="0013371B" w:rsidRPr="00C55523" w:rsidTr="00A34541">
        <w:tc>
          <w:tcPr>
            <w:tcW w:w="3762" w:type="dxa"/>
          </w:tcPr>
          <w:p w:rsidR="0013371B" w:rsidRPr="00A34541" w:rsidRDefault="0013371B" w:rsidP="008F74FE">
            <w:pPr>
              <w:rPr>
                <w:sz w:val="22"/>
                <w:szCs w:val="22"/>
              </w:rPr>
            </w:pPr>
            <w:r w:rsidRPr="00A34541">
              <w:rPr>
                <w:sz w:val="22"/>
                <w:szCs w:val="22"/>
              </w:rPr>
              <w:t>Substitute 14</w:t>
            </w:r>
            <w:r w:rsidRPr="00A34541">
              <w:rPr>
                <w:sz w:val="22"/>
                <w:szCs w:val="22"/>
                <w:vertAlign w:val="superscript"/>
              </w:rPr>
              <w:t>th</w:t>
            </w:r>
            <w:r w:rsidRPr="00A34541">
              <w:rPr>
                <w:sz w:val="22"/>
                <w:szCs w:val="22"/>
              </w:rPr>
              <w:t xml:space="preserve"> Revision Sheet 101</w:t>
            </w:r>
          </w:p>
        </w:tc>
        <w:tc>
          <w:tcPr>
            <w:tcW w:w="1278" w:type="dxa"/>
          </w:tcPr>
          <w:p w:rsidR="0013371B" w:rsidRPr="00A34541" w:rsidRDefault="0013371B" w:rsidP="008F74FE">
            <w:pPr>
              <w:rPr>
                <w:sz w:val="22"/>
                <w:szCs w:val="22"/>
              </w:rPr>
            </w:pPr>
            <w:r w:rsidRPr="00A34541">
              <w:rPr>
                <w:sz w:val="22"/>
                <w:szCs w:val="22"/>
              </w:rPr>
              <w:t>Canceling</w:t>
            </w:r>
          </w:p>
        </w:tc>
        <w:tc>
          <w:tcPr>
            <w:tcW w:w="3720" w:type="dxa"/>
          </w:tcPr>
          <w:p w:rsidR="0013371B" w:rsidRPr="00A34541" w:rsidRDefault="0013371B" w:rsidP="008F74FE">
            <w:pPr>
              <w:rPr>
                <w:sz w:val="22"/>
                <w:szCs w:val="22"/>
              </w:rPr>
            </w:pPr>
            <w:r w:rsidRPr="00A34541">
              <w:rPr>
                <w:sz w:val="22"/>
                <w:szCs w:val="22"/>
              </w:rPr>
              <w:t>2</w:t>
            </w:r>
            <w:r w:rsidRPr="00A34541">
              <w:rPr>
                <w:sz w:val="22"/>
                <w:szCs w:val="22"/>
                <w:vertAlign w:val="superscript"/>
              </w:rPr>
              <w:t>nd</w:t>
            </w:r>
            <w:r w:rsidRPr="00A34541">
              <w:rPr>
                <w:sz w:val="22"/>
                <w:szCs w:val="22"/>
              </w:rPr>
              <w:t xml:space="preserve"> Substitute 13</w:t>
            </w:r>
            <w:r w:rsidRPr="00A34541">
              <w:rPr>
                <w:sz w:val="22"/>
                <w:szCs w:val="22"/>
                <w:vertAlign w:val="superscript"/>
              </w:rPr>
              <w:t>th</w:t>
            </w:r>
            <w:r w:rsidRPr="00A34541">
              <w:rPr>
                <w:sz w:val="22"/>
                <w:szCs w:val="22"/>
              </w:rPr>
              <w:t xml:space="preserve"> Revision Sheet 101</w:t>
            </w:r>
          </w:p>
        </w:tc>
      </w:tr>
      <w:tr w:rsidR="0013371B" w:rsidRPr="00C55523" w:rsidTr="00A34541">
        <w:tc>
          <w:tcPr>
            <w:tcW w:w="3762" w:type="dxa"/>
          </w:tcPr>
          <w:p w:rsidR="0013371B" w:rsidRPr="00A34541" w:rsidRDefault="0013371B" w:rsidP="008F74FE">
            <w:pPr>
              <w:rPr>
                <w:sz w:val="22"/>
                <w:szCs w:val="22"/>
              </w:rPr>
            </w:pPr>
            <w:r w:rsidRPr="00A34541">
              <w:rPr>
                <w:sz w:val="22"/>
                <w:szCs w:val="22"/>
              </w:rPr>
              <w:t>Substitute 14</w:t>
            </w:r>
            <w:r w:rsidRPr="00A34541">
              <w:rPr>
                <w:sz w:val="22"/>
                <w:szCs w:val="22"/>
                <w:vertAlign w:val="superscript"/>
              </w:rPr>
              <w:t>th</w:t>
            </w:r>
            <w:r w:rsidRPr="00A34541">
              <w:rPr>
                <w:sz w:val="22"/>
                <w:szCs w:val="22"/>
              </w:rPr>
              <w:t xml:space="preserve"> Revision Sheet 111</w:t>
            </w:r>
          </w:p>
        </w:tc>
        <w:tc>
          <w:tcPr>
            <w:tcW w:w="1278" w:type="dxa"/>
          </w:tcPr>
          <w:p w:rsidR="0013371B" w:rsidRPr="00A34541" w:rsidRDefault="0013371B" w:rsidP="008F74FE">
            <w:pPr>
              <w:rPr>
                <w:sz w:val="22"/>
                <w:szCs w:val="22"/>
              </w:rPr>
            </w:pPr>
            <w:r w:rsidRPr="00A34541">
              <w:rPr>
                <w:sz w:val="22"/>
                <w:szCs w:val="22"/>
              </w:rPr>
              <w:t>Canceling</w:t>
            </w:r>
          </w:p>
        </w:tc>
        <w:tc>
          <w:tcPr>
            <w:tcW w:w="3720" w:type="dxa"/>
          </w:tcPr>
          <w:p w:rsidR="0013371B" w:rsidRPr="00A34541" w:rsidRDefault="0013371B" w:rsidP="008F74FE">
            <w:pPr>
              <w:rPr>
                <w:sz w:val="22"/>
                <w:szCs w:val="22"/>
              </w:rPr>
            </w:pPr>
            <w:r w:rsidRPr="00A34541">
              <w:rPr>
                <w:sz w:val="22"/>
                <w:szCs w:val="22"/>
              </w:rPr>
              <w:t>2</w:t>
            </w:r>
            <w:r w:rsidRPr="00A34541">
              <w:rPr>
                <w:sz w:val="22"/>
                <w:szCs w:val="22"/>
                <w:vertAlign w:val="superscript"/>
              </w:rPr>
              <w:t>nd</w:t>
            </w:r>
            <w:r w:rsidRPr="00A34541">
              <w:rPr>
                <w:sz w:val="22"/>
                <w:szCs w:val="22"/>
              </w:rPr>
              <w:t xml:space="preserve"> Substitute 13</w:t>
            </w:r>
            <w:r w:rsidRPr="00A34541">
              <w:rPr>
                <w:sz w:val="22"/>
                <w:szCs w:val="22"/>
                <w:vertAlign w:val="superscript"/>
              </w:rPr>
              <w:t>th</w:t>
            </w:r>
            <w:r w:rsidRPr="00A34541">
              <w:rPr>
                <w:sz w:val="22"/>
                <w:szCs w:val="22"/>
              </w:rPr>
              <w:t xml:space="preserve"> Revision Sheet 111</w:t>
            </w:r>
          </w:p>
        </w:tc>
      </w:tr>
      <w:tr w:rsidR="0013371B" w:rsidRPr="00C55523" w:rsidTr="00A34541">
        <w:tc>
          <w:tcPr>
            <w:tcW w:w="3762" w:type="dxa"/>
          </w:tcPr>
          <w:p w:rsidR="0013371B" w:rsidRPr="00A34541" w:rsidRDefault="0013371B" w:rsidP="008F74FE">
            <w:pPr>
              <w:rPr>
                <w:sz w:val="22"/>
                <w:szCs w:val="22"/>
              </w:rPr>
            </w:pPr>
            <w:r w:rsidRPr="00A34541">
              <w:rPr>
                <w:sz w:val="22"/>
                <w:szCs w:val="22"/>
              </w:rPr>
              <w:t>Substitute 14</w:t>
            </w:r>
            <w:r w:rsidRPr="00A34541">
              <w:rPr>
                <w:sz w:val="22"/>
                <w:szCs w:val="22"/>
                <w:vertAlign w:val="superscript"/>
              </w:rPr>
              <w:t>th</w:t>
            </w:r>
            <w:r w:rsidRPr="00A34541">
              <w:rPr>
                <w:sz w:val="22"/>
                <w:szCs w:val="22"/>
              </w:rPr>
              <w:t xml:space="preserve"> Revision Sheet 112</w:t>
            </w:r>
          </w:p>
        </w:tc>
        <w:tc>
          <w:tcPr>
            <w:tcW w:w="1278" w:type="dxa"/>
          </w:tcPr>
          <w:p w:rsidR="0013371B" w:rsidRPr="00A34541" w:rsidRDefault="0013371B" w:rsidP="008F74FE">
            <w:pPr>
              <w:rPr>
                <w:sz w:val="22"/>
                <w:szCs w:val="22"/>
              </w:rPr>
            </w:pPr>
            <w:r w:rsidRPr="00A34541">
              <w:rPr>
                <w:sz w:val="22"/>
                <w:szCs w:val="22"/>
              </w:rPr>
              <w:t>Canceling</w:t>
            </w:r>
          </w:p>
        </w:tc>
        <w:tc>
          <w:tcPr>
            <w:tcW w:w="3720" w:type="dxa"/>
          </w:tcPr>
          <w:p w:rsidR="0013371B" w:rsidRPr="00A34541" w:rsidRDefault="0013371B" w:rsidP="008F74FE">
            <w:pPr>
              <w:rPr>
                <w:sz w:val="22"/>
                <w:szCs w:val="22"/>
              </w:rPr>
            </w:pPr>
            <w:r w:rsidRPr="00A34541">
              <w:rPr>
                <w:sz w:val="22"/>
                <w:szCs w:val="22"/>
              </w:rPr>
              <w:t>2</w:t>
            </w:r>
            <w:r w:rsidRPr="00A34541">
              <w:rPr>
                <w:sz w:val="22"/>
                <w:szCs w:val="22"/>
                <w:vertAlign w:val="superscript"/>
              </w:rPr>
              <w:t>nd</w:t>
            </w:r>
            <w:r w:rsidRPr="00A34541">
              <w:rPr>
                <w:sz w:val="22"/>
                <w:szCs w:val="22"/>
              </w:rPr>
              <w:t xml:space="preserve"> Substitute 13</w:t>
            </w:r>
            <w:r w:rsidRPr="00A34541">
              <w:rPr>
                <w:sz w:val="22"/>
                <w:szCs w:val="22"/>
                <w:vertAlign w:val="superscript"/>
              </w:rPr>
              <w:t>th</w:t>
            </w:r>
            <w:r w:rsidRPr="00A34541">
              <w:rPr>
                <w:sz w:val="22"/>
                <w:szCs w:val="22"/>
              </w:rPr>
              <w:t xml:space="preserve"> Revision Sheet 112</w:t>
            </w:r>
          </w:p>
        </w:tc>
      </w:tr>
      <w:tr w:rsidR="0013371B" w:rsidRPr="00C55523" w:rsidTr="00A34541">
        <w:tc>
          <w:tcPr>
            <w:tcW w:w="3762" w:type="dxa"/>
          </w:tcPr>
          <w:p w:rsidR="0013371B" w:rsidRPr="00A34541" w:rsidRDefault="0013371B" w:rsidP="008F74FE">
            <w:pPr>
              <w:rPr>
                <w:sz w:val="22"/>
                <w:szCs w:val="22"/>
              </w:rPr>
            </w:pPr>
            <w:r w:rsidRPr="00A34541">
              <w:rPr>
                <w:sz w:val="22"/>
                <w:szCs w:val="22"/>
              </w:rPr>
              <w:t>Substitute 14</w:t>
            </w:r>
            <w:r w:rsidRPr="00A34541">
              <w:rPr>
                <w:sz w:val="22"/>
                <w:szCs w:val="22"/>
                <w:vertAlign w:val="superscript"/>
              </w:rPr>
              <w:t>th</w:t>
            </w:r>
            <w:r w:rsidRPr="00A34541">
              <w:rPr>
                <w:sz w:val="22"/>
                <w:szCs w:val="22"/>
              </w:rPr>
              <w:t xml:space="preserve"> Revision Sheet 121</w:t>
            </w:r>
          </w:p>
        </w:tc>
        <w:tc>
          <w:tcPr>
            <w:tcW w:w="1278" w:type="dxa"/>
          </w:tcPr>
          <w:p w:rsidR="0013371B" w:rsidRPr="00A34541" w:rsidRDefault="0013371B" w:rsidP="008F74FE">
            <w:pPr>
              <w:rPr>
                <w:sz w:val="22"/>
                <w:szCs w:val="22"/>
              </w:rPr>
            </w:pPr>
            <w:r w:rsidRPr="00A34541">
              <w:rPr>
                <w:sz w:val="22"/>
                <w:szCs w:val="22"/>
              </w:rPr>
              <w:t>Canceling</w:t>
            </w:r>
          </w:p>
        </w:tc>
        <w:tc>
          <w:tcPr>
            <w:tcW w:w="3720" w:type="dxa"/>
          </w:tcPr>
          <w:p w:rsidR="0013371B" w:rsidRPr="00A34541" w:rsidRDefault="0013371B" w:rsidP="008F74FE">
            <w:pPr>
              <w:rPr>
                <w:sz w:val="22"/>
                <w:szCs w:val="22"/>
              </w:rPr>
            </w:pPr>
            <w:r w:rsidRPr="00A34541">
              <w:rPr>
                <w:sz w:val="22"/>
                <w:szCs w:val="22"/>
              </w:rPr>
              <w:t>2</w:t>
            </w:r>
            <w:r w:rsidRPr="00A34541">
              <w:rPr>
                <w:sz w:val="22"/>
                <w:szCs w:val="22"/>
                <w:vertAlign w:val="superscript"/>
              </w:rPr>
              <w:t>nd</w:t>
            </w:r>
            <w:r w:rsidRPr="00A34541">
              <w:rPr>
                <w:sz w:val="22"/>
                <w:szCs w:val="22"/>
              </w:rPr>
              <w:t xml:space="preserve"> Substitute 13</w:t>
            </w:r>
            <w:r w:rsidRPr="00A34541">
              <w:rPr>
                <w:sz w:val="22"/>
                <w:szCs w:val="22"/>
                <w:vertAlign w:val="superscript"/>
              </w:rPr>
              <w:t>th</w:t>
            </w:r>
            <w:r w:rsidRPr="00A34541">
              <w:rPr>
                <w:sz w:val="22"/>
                <w:szCs w:val="22"/>
              </w:rPr>
              <w:t xml:space="preserve"> Revision Sheet 121</w:t>
            </w:r>
          </w:p>
        </w:tc>
      </w:tr>
      <w:tr w:rsidR="0013371B" w:rsidRPr="00C55523" w:rsidTr="00A34541">
        <w:tc>
          <w:tcPr>
            <w:tcW w:w="3762" w:type="dxa"/>
          </w:tcPr>
          <w:p w:rsidR="0013371B" w:rsidRPr="00A34541" w:rsidRDefault="0013371B" w:rsidP="008F74FE">
            <w:pPr>
              <w:rPr>
                <w:sz w:val="22"/>
                <w:szCs w:val="22"/>
              </w:rPr>
            </w:pPr>
            <w:r w:rsidRPr="00A34541">
              <w:rPr>
                <w:sz w:val="22"/>
                <w:szCs w:val="22"/>
              </w:rPr>
              <w:t>Substitute 5</w:t>
            </w:r>
            <w:r w:rsidRPr="00A34541">
              <w:rPr>
                <w:sz w:val="22"/>
                <w:szCs w:val="22"/>
                <w:vertAlign w:val="superscript"/>
              </w:rPr>
              <w:t>th</w:t>
            </w:r>
            <w:r w:rsidRPr="00A34541">
              <w:rPr>
                <w:sz w:val="22"/>
                <w:szCs w:val="22"/>
              </w:rPr>
              <w:t xml:space="preserve"> Revision Sheet 121A</w:t>
            </w:r>
          </w:p>
        </w:tc>
        <w:tc>
          <w:tcPr>
            <w:tcW w:w="1278" w:type="dxa"/>
          </w:tcPr>
          <w:p w:rsidR="0013371B" w:rsidRPr="00A34541" w:rsidRDefault="0013371B" w:rsidP="008F74FE">
            <w:pPr>
              <w:rPr>
                <w:sz w:val="22"/>
                <w:szCs w:val="22"/>
              </w:rPr>
            </w:pPr>
            <w:r w:rsidRPr="00A34541">
              <w:rPr>
                <w:sz w:val="22"/>
                <w:szCs w:val="22"/>
              </w:rPr>
              <w:t>Canceling</w:t>
            </w:r>
          </w:p>
        </w:tc>
        <w:tc>
          <w:tcPr>
            <w:tcW w:w="3720" w:type="dxa"/>
          </w:tcPr>
          <w:p w:rsidR="0013371B" w:rsidRPr="00A34541" w:rsidRDefault="0013371B" w:rsidP="008F74FE">
            <w:pPr>
              <w:rPr>
                <w:sz w:val="22"/>
                <w:szCs w:val="22"/>
              </w:rPr>
            </w:pPr>
            <w:r w:rsidRPr="00A34541">
              <w:rPr>
                <w:sz w:val="22"/>
                <w:szCs w:val="22"/>
              </w:rPr>
              <w:t>Substitute 4</w:t>
            </w:r>
            <w:r w:rsidRPr="00A34541">
              <w:rPr>
                <w:sz w:val="22"/>
                <w:szCs w:val="22"/>
                <w:vertAlign w:val="superscript"/>
              </w:rPr>
              <w:t>th</w:t>
            </w:r>
            <w:r w:rsidRPr="00A34541">
              <w:rPr>
                <w:sz w:val="22"/>
                <w:szCs w:val="22"/>
              </w:rPr>
              <w:t xml:space="preserve"> Revision Sheet 121A</w:t>
            </w:r>
          </w:p>
        </w:tc>
      </w:tr>
      <w:tr w:rsidR="0013371B" w:rsidRPr="00C55523" w:rsidTr="00A34541">
        <w:tc>
          <w:tcPr>
            <w:tcW w:w="3762" w:type="dxa"/>
          </w:tcPr>
          <w:p w:rsidR="0013371B" w:rsidRPr="00A34541" w:rsidRDefault="0013371B" w:rsidP="008F74FE">
            <w:pPr>
              <w:rPr>
                <w:sz w:val="22"/>
                <w:szCs w:val="22"/>
              </w:rPr>
            </w:pPr>
            <w:r w:rsidRPr="00A34541">
              <w:rPr>
                <w:sz w:val="22"/>
                <w:szCs w:val="22"/>
              </w:rPr>
              <w:t>Substitute 14</w:t>
            </w:r>
            <w:r w:rsidRPr="00A34541">
              <w:rPr>
                <w:sz w:val="22"/>
                <w:szCs w:val="22"/>
                <w:vertAlign w:val="superscript"/>
              </w:rPr>
              <w:t>th</w:t>
            </w:r>
            <w:r w:rsidRPr="00A34541">
              <w:rPr>
                <w:sz w:val="22"/>
                <w:szCs w:val="22"/>
              </w:rPr>
              <w:t xml:space="preserve"> Revision Sheet 122</w:t>
            </w:r>
          </w:p>
        </w:tc>
        <w:tc>
          <w:tcPr>
            <w:tcW w:w="1278" w:type="dxa"/>
          </w:tcPr>
          <w:p w:rsidR="0013371B" w:rsidRPr="00A34541" w:rsidRDefault="0013371B" w:rsidP="008F74FE">
            <w:pPr>
              <w:rPr>
                <w:sz w:val="22"/>
                <w:szCs w:val="22"/>
              </w:rPr>
            </w:pPr>
            <w:r w:rsidRPr="00A34541">
              <w:rPr>
                <w:sz w:val="22"/>
                <w:szCs w:val="22"/>
              </w:rPr>
              <w:t>Canceling</w:t>
            </w:r>
          </w:p>
        </w:tc>
        <w:tc>
          <w:tcPr>
            <w:tcW w:w="3720" w:type="dxa"/>
          </w:tcPr>
          <w:p w:rsidR="0013371B" w:rsidRPr="00A34541" w:rsidRDefault="0013371B" w:rsidP="008F74FE">
            <w:pPr>
              <w:rPr>
                <w:sz w:val="22"/>
                <w:szCs w:val="22"/>
              </w:rPr>
            </w:pPr>
            <w:r w:rsidRPr="00A34541">
              <w:rPr>
                <w:sz w:val="22"/>
                <w:szCs w:val="22"/>
              </w:rPr>
              <w:t>2</w:t>
            </w:r>
            <w:r w:rsidRPr="00A34541">
              <w:rPr>
                <w:sz w:val="22"/>
                <w:szCs w:val="22"/>
                <w:vertAlign w:val="superscript"/>
              </w:rPr>
              <w:t>nd</w:t>
            </w:r>
            <w:r w:rsidRPr="00A34541">
              <w:rPr>
                <w:sz w:val="22"/>
                <w:szCs w:val="22"/>
              </w:rPr>
              <w:t xml:space="preserve"> Substitute 13</w:t>
            </w:r>
            <w:r w:rsidRPr="00A34541">
              <w:rPr>
                <w:sz w:val="22"/>
                <w:szCs w:val="22"/>
                <w:vertAlign w:val="superscript"/>
              </w:rPr>
              <w:t>th</w:t>
            </w:r>
            <w:r w:rsidRPr="00A34541">
              <w:rPr>
                <w:sz w:val="22"/>
                <w:szCs w:val="22"/>
              </w:rPr>
              <w:t xml:space="preserve"> Revision Sheet 122</w:t>
            </w:r>
          </w:p>
        </w:tc>
      </w:tr>
      <w:tr w:rsidR="0013371B" w:rsidRPr="00C55523" w:rsidTr="00A34541">
        <w:tc>
          <w:tcPr>
            <w:tcW w:w="3762" w:type="dxa"/>
          </w:tcPr>
          <w:p w:rsidR="0013371B" w:rsidRPr="00A34541" w:rsidRDefault="0013371B" w:rsidP="008F74FE">
            <w:pPr>
              <w:rPr>
                <w:sz w:val="22"/>
                <w:szCs w:val="22"/>
              </w:rPr>
            </w:pPr>
            <w:r w:rsidRPr="00A34541">
              <w:rPr>
                <w:sz w:val="22"/>
                <w:szCs w:val="22"/>
              </w:rPr>
              <w:t>Substitute 5</w:t>
            </w:r>
            <w:r w:rsidRPr="00A34541">
              <w:rPr>
                <w:sz w:val="22"/>
                <w:szCs w:val="22"/>
                <w:vertAlign w:val="superscript"/>
              </w:rPr>
              <w:t>th</w:t>
            </w:r>
            <w:r w:rsidRPr="00A34541">
              <w:rPr>
                <w:sz w:val="22"/>
                <w:szCs w:val="22"/>
              </w:rPr>
              <w:t xml:space="preserve"> Revision Sheet 122A</w:t>
            </w:r>
          </w:p>
        </w:tc>
        <w:tc>
          <w:tcPr>
            <w:tcW w:w="1278" w:type="dxa"/>
          </w:tcPr>
          <w:p w:rsidR="0013371B" w:rsidRPr="00A34541" w:rsidRDefault="0013371B" w:rsidP="008F74FE">
            <w:pPr>
              <w:rPr>
                <w:sz w:val="22"/>
                <w:szCs w:val="22"/>
              </w:rPr>
            </w:pPr>
            <w:r w:rsidRPr="00A34541">
              <w:rPr>
                <w:sz w:val="22"/>
                <w:szCs w:val="22"/>
              </w:rPr>
              <w:t>Canceling</w:t>
            </w:r>
          </w:p>
        </w:tc>
        <w:tc>
          <w:tcPr>
            <w:tcW w:w="3720" w:type="dxa"/>
          </w:tcPr>
          <w:p w:rsidR="0013371B" w:rsidRPr="00A34541" w:rsidRDefault="0013371B" w:rsidP="008F74FE">
            <w:pPr>
              <w:rPr>
                <w:sz w:val="22"/>
                <w:szCs w:val="22"/>
              </w:rPr>
            </w:pPr>
            <w:r w:rsidRPr="00A34541">
              <w:rPr>
                <w:sz w:val="22"/>
                <w:szCs w:val="22"/>
              </w:rPr>
              <w:t>Substitute 4</w:t>
            </w:r>
            <w:r w:rsidRPr="00A34541">
              <w:rPr>
                <w:sz w:val="22"/>
                <w:szCs w:val="22"/>
                <w:vertAlign w:val="superscript"/>
              </w:rPr>
              <w:t>th</w:t>
            </w:r>
            <w:r w:rsidRPr="00A34541">
              <w:rPr>
                <w:sz w:val="22"/>
                <w:szCs w:val="22"/>
              </w:rPr>
              <w:t xml:space="preserve"> Revision Sheet 122A</w:t>
            </w:r>
          </w:p>
        </w:tc>
      </w:tr>
      <w:tr w:rsidR="0013371B" w:rsidRPr="00C55523" w:rsidTr="00A34541">
        <w:tc>
          <w:tcPr>
            <w:tcW w:w="3762" w:type="dxa"/>
          </w:tcPr>
          <w:p w:rsidR="0013371B" w:rsidRPr="00A34541" w:rsidRDefault="0013371B" w:rsidP="008F74FE">
            <w:pPr>
              <w:rPr>
                <w:sz w:val="22"/>
                <w:szCs w:val="22"/>
              </w:rPr>
            </w:pPr>
            <w:r w:rsidRPr="00A34541">
              <w:rPr>
                <w:sz w:val="22"/>
                <w:szCs w:val="22"/>
              </w:rPr>
              <w:t>Substitute 14</w:t>
            </w:r>
            <w:r w:rsidRPr="00A34541">
              <w:rPr>
                <w:sz w:val="22"/>
                <w:szCs w:val="22"/>
                <w:vertAlign w:val="superscript"/>
              </w:rPr>
              <w:t>th</w:t>
            </w:r>
            <w:r w:rsidRPr="00A34541">
              <w:rPr>
                <w:sz w:val="22"/>
                <w:szCs w:val="22"/>
              </w:rPr>
              <w:t xml:space="preserve"> Revision Sheet 131</w:t>
            </w:r>
          </w:p>
        </w:tc>
        <w:tc>
          <w:tcPr>
            <w:tcW w:w="1278" w:type="dxa"/>
          </w:tcPr>
          <w:p w:rsidR="0013371B" w:rsidRPr="00A34541" w:rsidRDefault="0013371B" w:rsidP="008F74FE">
            <w:pPr>
              <w:rPr>
                <w:sz w:val="22"/>
                <w:szCs w:val="22"/>
              </w:rPr>
            </w:pPr>
            <w:r w:rsidRPr="00A34541">
              <w:rPr>
                <w:sz w:val="22"/>
                <w:szCs w:val="22"/>
              </w:rPr>
              <w:t>Canceling</w:t>
            </w:r>
          </w:p>
        </w:tc>
        <w:tc>
          <w:tcPr>
            <w:tcW w:w="3720" w:type="dxa"/>
          </w:tcPr>
          <w:p w:rsidR="0013371B" w:rsidRPr="00A34541" w:rsidRDefault="0013371B" w:rsidP="008F74FE">
            <w:pPr>
              <w:rPr>
                <w:sz w:val="22"/>
                <w:szCs w:val="22"/>
              </w:rPr>
            </w:pPr>
            <w:r w:rsidRPr="00A34541">
              <w:rPr>
                <w:sz w:val="22"/>
                <w:szCs w:val="22"/>
              </w:rPr>
              <w:t>2</w:t>
            </w:r>
            <w:r w:rsidRPr="00A34541">
              <w:rPr>
                <w:sz w:val="22"/>
                <w:szCs w:val="22"/>
                <w:vertAlign w:val="superscript"/>
              </w:rPr>
              <w:t>nd</w:t>
            </w:r>
            <w:r w:rsidRPr="00A34541">
              <w:rPr>
                <w:sz w:val="22"/>
                <w:szCs w:val="22"/>
              </w:rPr>
              <w:t xml:space="preserve"> Substitute 13</w:t>
            </w:r>
            <w:r w:rsidRPr="00A34541">
              <w:rPr>
                <w:sz w:val="22"/>
                <w:szCs w:val="22"/>
                <w:vertAlign w:val="superscript"/>
              </w:rPr>
              <w:t>th</w:t>
            </w:r>
            <w:r w:rsidRPr="00A34541">
              <w:rPr>
                <w:sz w:val="22"/>
                <w:szCs w:val="22"/>
              </w:rPr>
              <w:t xml:space="preserve"> Revision Sheet 131</w:t>
            </w:r>
          </w:p>
        </w:tc>
      </w:tr>
      <w:tr w:rsidR="0013371B" w:rsidRPr="00C55523" w:rsidTr="00A34541">
        <w:tc>
          <w:tcPr>
            <w:tcW w:w="3762" w:type="dxa"/>
          </w:tcPr>
          <w:p w:rsidR="0013371B" w:rsidRPr="00A34541" w:rsidRDefault="0013371B" w:rsidP="008F74FE">
            <w:pPr>
              <w:rPr>
                <w:sz w:val="22"/>
                <w:szCs w:val="22"/>
              </w:rPr>
            </w:pPr>
            <w:r w:rsidRPr="00A34541">
              <w:rPr>
                <w:sz w:val="22"/>
                <w:szCs w:val="22"/>
              </w:rPr>
              <w:t>Substitute 5</w:t>
            </w:r>
            <w:r w:rsidRPr="00A34541">
              <w:rPr>
                <w:sz w:val="22"/>
                <w:szCs w:val="22"/>
                <w:vertAlign w:val="superscript"/>
              </w:rPr>
              <w:t>th</w:t>
            </w:r>
            <w:r w:rsidRPr="00A34541">
              <w:rPr>
                <w:sz w:val="22"/>
                <w:szCs w:val="22"/>
              </w:rPr>
              <w:t xml:space="preserve"> Revision Sheet 131A</w:t>
            </w:r>
          </w:p>
        </w:tc>
        <w:tc>
          <w:tcPr>
            <w:tcW w:w="1278" w:type="dxa"/>
          </w:tcPr>
          <w:p w:rsidR="0013371B" w:rsidRPr="00A34541" w:rsidRDefault="0013371B" w:rsidP="008F74FE">
            <w:pPr>
              <w:rPr>
                <w:sz w:val="22"/>
                <w:szCs w:val="22"/>
              </w:rPr>
            </w:pPr>
            <w:r w:rsidRPr="00A34541">
              <w:rPr>
                <w:sz w:val="22"/>
                <w:szCs w:val="22"/>
              </w:rPr>
              <w:t>Canceling</w:t>
            </w:r>
          </w:p>
        </w:tc>
        <w:tc>
          <w:tcPr>
            <w:tcW w:w="3720" w:type="dxa"/>
          </w:tcPr>
          <w:p w:rsidR="0013371B" w:rsidRPr="00A34541" w:rsidRDefault="0013371B" w:rsidP="008F74FE">
            <w:pPr>
              <w:rPr>
                <w:sz w:val="22"/>
                <w:szCs w:val="22"/>
              </w:rPr>
            </w:pPr>
            <w:r w:rsidRPr="00A34541">
              <w:rPr>
                <w:sz w:val="22"/>
                <w:szCs w:val="22"/>
              </w:rPr>
              <w:t>2</w:t>
            </w:r>
            <w:r w:rsidRPr="00A34541">
              <w:rPr>
                <w:sz w:val="22"/>
                <w:szCs w:val="22"/>
                <w:vertAlign w:val="superscript"/>
              </w:rPr>
              <w:t>nd</w:t>
            </w:r>
            <w:r w:rsidRPr="00A34541">
              <w:rPr>
                <w:sz w:val="22"/>
                <w:szCs w:val="22"/>
              </w:rPr>
              <w:t xml:space="preserve"> Substitute 4</w:t>
            </w:r>
            <w:r w:rsidRPr="00A34541">
              <w:rPr>
                <w:sz w:val="22"/>
                <w:szCs w:val="22"/>
                <w:vertAlign w:val="superscript"/>
              </w:rPr>
              <w:t>th</w:t>
            </w:r>
            <w:r w:rsidRPr="00A34541">
              <w:rPr>
                <w:sz w:val="22"/>
                <w:szCs w:val="22"/>
              </w:rPr>
              <w:t xml:space="preserve">  Revision Sheet 131A</w:t>
            </w:r>
          </w:p>
        </w:tc>
      </w:tr>
      <w:tr w:rsidR="0013371B" w:rsidRPr="00C55523" w:rsidTr="00A34541">
        <w:tc>
          <w:tcPr>
            <w:tcW w:w="3762" w:type="dxa"/>
          </w:tcPr>
          <w:p w:rsidR="0013371B" w:rsidRPr="00A34541" w:rsidRDefault="0013371B" w:rsidP="008F74FE">
            <w:pPr>
              <w:rPr>
                <w:sz w:val="22"/>
                <w:szCs w:val="22"/>
              </w:rPr>
            </w:pPr>
            <w:r w:rsidRPr="00A34541">
              <w:rPr>
                <w:sz w:val="22"/>
                <w:szCs w:val="22"/>
              </w:rPr>
              <w:t>Substitute 14</w:t>
            </w:r>
            <w:r w:rsidRPr="00A34541">
              <w:rPr>
                <w:sz w:val="22"/>
                <w:szCs w:val="22"/>
                <w:vertAlign w:val="superscript"/>
              </w:rPr>
              <w:t>th</w:t>
            </w:r>
            <w:r w:rsidRPr="00A34541">
              <w:rPr>
                <w:sz w:val="22"/>
                <w:szCs w:val="22"/>
              </w:rPr>
              <w:t xml:space="preserve"> Revision Sheet 132</w:t>
            </w:r>
          </w:p>
        </w:tc>
        <w:tc>
          <w:tcPr>
            <w:tcW w:w="1278" w:type="dxa"/>
          </w:tcPr>
          <w:p w:rsidR="0013371B" w:rsidRPr="00A34541" w:rsidRDefault="0013371B" w:rsidP="008F74FE">
            <w:pPr>
              <w:rPr>
                <w:sz w:val="22"/>
                <w:szCs w:val="22"/>
              </w:rPr>
            </w:pPr>
            <w:r w:rsidRPr="00A34541">
              <w:rPr>
                <w:sz w:val="22"/>
                <w:szCs w:val="22"/>
              </w:rPr>
              <w:t>Canceling</w:t>
            </w:r>
          </w:p>
        </w:tc>
        <w:tc>
          <w:tcPr>
            <w:tcW w:w="3720" w:type="dxa"/>
          </w:tcPr>
          <w:p w:rsidR="0013371B" w:rsidRPr="00A34541" w:rsidRDefault="0013371B" w:rsidP="008F74FE">
            <w:pPr>
              <w:rPr>
                <w:sz w:val="22"/>
                <w:szCs w:val="22"/>
              </w:rPr>
            </w:pPr>
            <w:r w:rsidRPr="00A34541">
              <w:rPr>
                <w:sz w:val="22"/>
                <w:szCs w:val="22"/>
              </w:rPr>
              <w:t>2</w:t>
            </w:r>
            <w:r w:rsidRPr="00A34541">
              <w:rPr>
                <w:sz w:val="22"/>
                <w:szCs w:val="22"/>
                <w:vertAlign w:val="superscript"/>
              </w:rPr>
              <w:t>nd</w:t>
            </w:r>
            <w:r w:rsidRPr="00A34541">
              <w:rPr>
                <w:sz w:val="22"/>
                <w:szCs w:val="22"/>
              </w:rPr>
              <w:t xml:space="preserve"> Substitute 13</w:t>
            </w:r>
            <w:r w:rsidRPr="00A34541">
              <w:rPr>
                <w:sz w:val="22"/>
                <w:szCs w:val="22"/>
                <w:vertAlign w:val="superscript"/>
              </w:rPr>
              <w:t>th</w:t>
            </w:r>
            <w:r w:rsidRPr="00A34541">
              <w:rPr>
                <w:sz w:val="22"/>
                <w:szCs w:val="22"/>
              </w:rPr>
              <w:t xml:space="preserve"> Revision Sheet 132</w:t>
            </w:r>
          </w:p>
        </w:tc>
      </w:tr>
      <w:tr w:rsidR="0013371B" w:rsidRPr="00C55523" w:rsidTr="00A34541">
        <w:tc>
          <w:tcPr>
            <w:tcW w:w="3762" w:type="dxa"/>
          </w:tcPr>
          <w:p w:rsidR="0013371B" w:rsidRPr="00A34541" w:rsidRDefault="0013371B" w:rsidP="008F74FE">
            <w:pPr>
              <w:rPr>
                <w:sz w:val="22"/>
                <w:szCs w:val="22"/>
              </w:rPr>
            </w:pPr>
            <w:r w:rsidRPr="00A34541">
              <w:rPr>
                <w:sz w:val="22"/>
                <w:szCs w:val="22"/>
              </w:rPr>
              <w:t>Substitute 5</w:t>
            </w:r>
            <w:r w:rsidRPr="00A34541">
              <w:rPr>
                <w:sz w:val="22"/>
                <w:szCs w:val="22"/>
                <w:vertAlign w:val="superscript"/>
              </w:rPr>
              <w:t>th</w:t>
            </w:r>
            <w:r w:rsidRPr="00A34541">
              <w:rPr>
                <w:sz w:val="22"/>
                <w:szCs w:val="22"/>
              </w:rPr>
              <w:t xml:space="preserve"> Revision Sheet 132A</w:t>
            </w:r>
          </w:p>
        </w:tc>
        <w:tc>
          <w:tcPr>
            <w:tcW w:w="1278" w:type="dxa"/>
          </w:tcPr>
          <w:p w:rsidR="0013371B" w:rsidRPr="00A34541" w:rsidRDefault="0013371B" w:rsidP="008F74FE">
            <w:pPr>
              <w:rPr>
                <w:sz w:val="22"/>
                <w:szCs w:val="22"/>
              </w:rPr>
            </w:pPr>
            <w:r w:rsidRPr="00A34541">
              <w:rPr>
                <w:sz w:val="22"/>
                <w:szCs w:val="22"/>
              </w:rPr>
              <w:t>Canceling</w:t>
            </w:r>
          </w:p>
        </w:tc>
        <w:tc>
          <w:tcPr>
            <w:tcW w:w="3720" w:type="dxa"/>
          </w:tcPr>
          <w:p w:rsidR="0013371B" w:rsidRPr="00A34541" w:rsidRDefault="0013371B" w:rsidP="00A34541">
            <w:pPr>
              <w:rPr>
                <w:sz w:val="22"/>
                <w:szCs w:val="22"/>
              </w:rPr>
            </w:pPr>
            <w:r w:rsidRPr="00A34541">
              <w:rPr>
                <w:sz w:val="22"/>
                <w:szCs w:val="22"/>
              </w:rPr>
              <w:t>2</w:t>
            </w:r>
            <w:r w:rsidRPr="00A34541">
              <w:rPr>
                <w:sz w:val="22"/>
                <w:szCs w:val="22"/>
                <w:vertAlign w:val="superscript"/>
              </w:rPr>
              <w:t>nd</w:t>
            </w:r>
            <w:r w:rsidRPr="00A34541">
              <w:rPr>
                <w:sz w:val="22"/>
                <w:szCs w:val="22"/>
              </w:rPr>
              <w:t xml:space="preserve"> Substitute 4</w:t>
            </w:r>
            <w:r w:rsidRPr="00A34541">
              <w:rPr>
                <w:sz w:val="22"/>
                <w:szCs w:val="22"/>
                <w:vertAlign w:val="superscript"/>
              </w:rPr>
              <w:t>th</w:t>
            </w:r>
            <w:r w:rsidRPr="00A34541">
              <w:rPr>
                <w:sz w:val="22"/>
                <w:szCs w:val="22"/>
              </w:rPr>
              <w:t xml:space="preserve"> Revision Sheet 132A</w:t>
            </w:r>
          </w:p>
        </w:tc>
      </w:tr>
      <w:tr w:rsidR="0013371B" w:rsidRPr="00C55523" w:rsidTr="00A34541">
        <w:tc>
          <w:tcPr>
            <w:tcW w:w="3762" w:type="dxa"/>
          </w:tcPr>
          <w:p w:rsidR="0013371B" w:rsidRPr="00A34541" w:rsidRDefault="0013371B" w:rsidP="008F74FE">
            <w:pPr>
              <w:rPr>
                <w:sz w:val="22"/>
                <w:szCs w:val="22"/>
              </w:rPr>
            </w:pPr>
            <w:r w:rsidRPr="00A34541">
              <w:rPr>
                <w:sz w:val="22"/>
                <w:szCs w:val="22"/>
              </w:rPr>
              <w:t>Substitute 14</w:t>
            </w:r>
            <w:r w:rsidRPr="00A34541">
              <w:rPr>
                <w:sz w:val="22"/>
                <w:szCs w:val="22"/>
                <w:vertAlign w:val="superscript"/>
              </w:rPr>
              <w:t>th</w:t>
            </w:r>
            <w:r w:rsidRPr="00A34541">
              <w:rPr>
                <w:sz w:val="22"/>
                <w:szCs w:val="22"/>
              </w:rPr>
              <w:t xml:space="preserve"> Revision Sheet 146</w:t>
            </w:r>
          </w:p>
        </w:tc>
        <w:tc>
          <w:tcPr>
            <w:tcW w:w="1278" w:type="dxa"/>
          </w:tcPr>
          <w:p w:rsidR="0013371B" w:rsidRPr="00A34541" w:rsidRDefault="0013371B" w:rsidP="008F74FE">
            <w:pPr>
              <w:rPr>
                <w:sz w:val="22"/>
                <w:szCs w:val="22"/>
              </w:rPr>
            </w:pPr>
            <w:r w:rsidRPr="00A34541">
              <w:rPr>
                <w:sz w:val="22"/>
                <w:szCs w:val="22"/>
              </w:rPr>
              <w:t>Canceling</w:t>
            </w:r>
          </w:p>
        </w:tc>
        <w:tc>
          <w:tcPr>
            <w:tcW w:w="3720" w:type="dxa"/>
          </w:tcPr>
          <w:p w:rsidR="0013371B" w:rsidRPr="00A34541" w:rsidRDefault="0013371B" w:rsidP="008F74FE">
            <w:pPr>
              <w:rPr>
                <w:sz w:val="22"/>
                <w:szCs w:val="22"/>
              </w:rPr>
            </w:pPr>
            <w:r w:rsidRPr="00A34541">
              <w:rPr>
                <w:sz w:val="22"/>
                <w:szCs w:val="22"/>
              </w:rPr>
              <w:t>2</w:t>
            </w:r>
            <w:r w:rsidRPr="00A34541">
              <w:rPr>
                <w:sz w:val="22"/>
                <w:szCs w:val="22"/>
                <w:vertAlign w:val="superscript"/>
              </w:rPr>
              <w:t>nd</w:t>
            </w:r>
            <w:r w:rsidRPr="00A34541">
              <w:rPr>
                <w:sz w:val="22"/>
                <w:szCs w:val="22"/>
              </w:rPr>
              <w:t xml:space="preserve"> Substitute 13</w:t>
            </w:r>
            <w:r w:rsidRPr="00A34541">
              <w:rPr>
                <w:sz w:val="22"/>
                <w:szCs w:val="22"/>
                <w:vertAlign w:val="superscript"/>
              </w:rPr>
              <w:t>th</w:t>
            </w:r>
            <w:r w:rsidRPr="00A34541">
              <w:rPr>
                <w:sz w:val="22"/>
                <w:szCs w:val="22"/>
              </w:rPr>
              <w:t xml:space="preserve"> Revision Sheet 146</w:t>
            </w:r>
          </w:p>
        </w:tc>
      </w:tr>
      <w:tr w:rsidR="0013371B" w:rsidRPr="00C55523" w:rsidTr="00A34541">
        <w:tc>
          <w:tcPr>
            <w:tcW w:w="3762" w:type="dxa"/>
          </w:tcPr>
          <w:p w:rsidR="0013371B" w:rsidRPr="00A34541" w:rsidRDefault="0013371B" w:rsidP="008F74FE">
            <w:pPr>
              <w:rPr>
                <w:sz w:val="22"/>
                <w:szCs w:val="22"/>
              </w:rPr>
            </w:pPr>
            <w:r w:rsidRPr="00A34541">
              <w:rPr>
                <w:sz w:val="22"/>
                <w:szCs w:val="22"/>
              </w:rPr>
              <w:t>3</w:t>
            </w:r>
            <w:r w:rsidRPr="00A34541">
              <w:rPr>
                <w:sz w:val="22"/>
                <w:szCs w:val="22"/>
                <w:vertAlign w:val="superscript"/>
              </w:rPr>
              <w:t>rd</w:t>
            </w:r>
            <w:r w:rsidRPr="00A34541">
              <w:rPr>
                <w:sz w:val="22"/>
                <w:szCs w:val="22"/>
              </w:rPr>
              <w:t xml:space="preserve"> Revision Sheet 149</w:t>
            </w:r>
          </w:p>
        </w:tc>
        <w:tc>
          <w:tcPr>
            <w:tcW w:w="1278" w:type="dxa"/>
          </w:tcPr>
          <w:p w:rsidR="0013371B" w:rsidRPr="00A34541" w:rsidRDefault="0013371B" w:rsidP="008F74FE">
            <w:pPr>
              <w:rPr>
                <w:sz w:val="22"/>
                <w:szCs w:val="22"/>
              </w:rPr>
            </w:pPr>
            <w:r w:rsidRPr="00A34541">
              <w:rPr>
                <w:sz w:val="22"/>
                <w:szCs w:val="22"/>
              </w:rPr>
              <w:t>Canceling</w:t>
            </w:r>
          </w:p>
        </w:tc>
        <w:tc>
          <w:tcPr>
            <w:tcW w:w="3720" w:type="dxa"/>
          </w:tcPr>
          <w:p w:rsidR="0013371B" w:rsidRPr="00A34541" w:rsidRDefault="0013371B" w:rsidP="006B4C13">
            <w:pPr>
              <w:rPr>
                <w:sz w:val="22"/>
                <w:szCs w:val="22"/>
              </w:rPr>
            </w:pPr>
            <w:r>
              <w:rPr>
                <w:sz w:val="22"/>
                <w:szCs w:val="22"/>
              </w:rPr>
              <w:t>2</w:t>
            </w:r>
            <w:r w:rsidRPr="006B4C13">
              <w:rPr>
                <w:sz w:val="22"/>
                <w:szCs w:val="22"/>
                <w:vertAlign w:val="superscript"/>
              </w:rPr>
              <w:t>nd</w:t>
            </w:r>
            <w:r>
              <w:rPr>
                <w:sz w:val="22"/>
                <w:szCs w:val="22"/>
              </w:rPr>
              <w:t xml:space="preserve"> </w:t>
            </w:r>
            <w:r w:rsidRPr="00A34541">
              <w:rPr>
                <w:sz w:val="22"/>
                <w:szCs w:val="22"/>
              </w:rPr>
              <w:t>Revision Sheet 149</w:t>
            </w:r>
          </w:p>
        </w:tc>
      </w:tr>
      <w:tr w:rsidR="0013371B" w:rsidRPr="00C55523" w:rsidTr="00A34541">
        <w:tc>
          <w:tcPr>
            <w:tcW w:w="3762" w:type="dxa"/>
          </w:tcPr>
          <w:p w:rsidR="0013371B" w:rsidRDefault="0013371B" w:rsidP="00F30714">
            <w:pPr>
              <w:rPr>
                <w:sz w:val="22"/>
                <w:szCs w:val="22"/>
              </w:rPr>
            </w:pPr>
            <w:r>
              <w:rPr>
                <w:sz w:val="22"/>
                <w:szCs w:val="22"/>
              </w:rPr>
              <w:t>1</w:t>
            </w:r>
            <w:r w:rsidRPr="002B05D1">
              <w:rPr>
                <w:sz w:val="22"/>
                <w:szCs w:val="22"/>
                <w:vertAlign w:val="superscript"/>
              </w:rPr>
              <w:t>st</w:t>
            </w:r>
            <w:r>
              <w:rPr>
                <w:sz w:val="22"/>
                <w:szCs w:val="22"/>
              </w:rPr>
              <w:t xml:space="preserve"> Revision Sheet 175D</w:t>
            </w:r>
          </w:p>
        </w:tc>
        <w:tc>
          <w:tcPr>
            <w:tcW w:w="1278" w:type="dxa"/>
          </w:tcPr>
          <w:p w:rsidR="0013371B" w:rsidRPr="00A34541" w:rsidRDefault="0013371B" w:rsidP="00F30714">
            <w:pPr>
              <w:rPr>
                <w:sz w:val="22"/>
                <w:szCs w:val="22"/>
              </w:rPr>
            </w:pPr>
            <w:r>
              <w:rPr>
                <w:sz w:val="22"/>
                <w:szCs w:val="22"/>
              </w:rPr>
              <w:t>Canceling</w:t>
            </w:r>
          </w:p>
        </w:tc>
        <w:tc>
          <w:tcPr>
            <w:tcW w:w="3720" w:type="dxa"/>
          </w:tcPr>
          <w:p w:rsidR="0013371B" w:rsidRPr="00A34541" w:rsidRDefault="0013371B" w:rsidP="00F30714">
            <w:pPr>
              <w:rPr>
                <w:sz w:val="22"/>
                <w:szCs w:val="22"/>
              </w:rPr>
            </w:pPr>
            <w:r>
              <w:rPr>
                <w:sz w:val="22"/>
                <w:szCs w:val="22"/>
              </w:rPr>
              <w:t>Original Sheet 175D</w:t>
            </w:r>
          </w:p>
        </w:tc>
      </w:tr>
      <w:tr w:rsidR="0013371B" w:rsidRPr="00C55523" w:rsidTr="00A34541">
        <w:tc>
          <w:tcPr>
            <w:tcW w:w="3762" w:type="dxa"/>
          </w:tcPr>
          <w:p w:rsidR="0013371B" w:rsidRPr="00A34541" w:rsidRDefault="0013371B" w:rsidP="00967E0E">
            <w:pPr>
              <w:rPr>
                <w:sz w:val="22"/>
                <w:szCs w:val="22"/>
              </w:rPr>
            </w:pPr>
            <w:r w:rsidRPr="00A34541">
              <w:rPr>
                <w:sz w:val="22"/>
                <w:szCs w:val="22"/>
              </w:rPr>
              <w:t>3</w:t>
            </w:r>
            <w:r w:rsidRPr="00A34541">
              <w:rPr>
                <w:sz w:val="22"/>
                <w:szCs w:val="22"/>
                <w:vertAlign w:val="superscript"/>
              </w:rPr>
              <w:t>rd</w:t>
            </w:r>
            <w:r w:rsidRPr="00A34541">
              <w:rPr>
                <w:sz w:val="22"/>
                <w:szCs w:val="22"/>
              </w:rPr>
              <w:t xml:space="preserve"> Revision Sheet 192</w:t>
            </w:r>
          </w:p>
        </w:tc>
        <w:tc>
          <w:tcPr>
            <w:tcW w:w="1278" w:type="dxa"/>
          </w:tcPr>
          <w:p w:rsidR="0013371B" w:rsidRPr="00A34541" w:rsidRDefault="0013371B" w:rsidP="00967E0E">
            <w:pPr>
              <w:rPr>
                <w:sz w:val="22"/>
                <w:szCs w:val="22"/>
              </w:rPr>
            </w:pPr>
            <w:r w:rsidRPr="00A34541">
              <w:rPr>
                <w:sz w:val="22"/>
                <w:szCs w:val="22"/>
              </w:rPr>
              <w:t>Canceling</w:t>
            </w:r>
          </w:p>
        </w:tc>
        <w:tc>
          <w:tcPr>
            <w:tcW w:w="3720" w:type="dxa"/>
          </w:tcPr>
          <w:p w:rsidR="0013371B" w:rsidRPr="00A34541" w:rsidRDefault="0013371B" w:rsidP="00967E0E">
            <w:pPr>
              <w:rPr>
                <w:sz w:val="22"/>
                <w:szCs w:val="22"/>
              </w:rPr>
            </w:pPr>
            <w:r w:rsidRPr="00A34541">
              <w:rPr>
                <w:sz w:val="22"/>
                <w:szCs w:val="22"/>
              </w:rPr>
              <w:t>2</w:t>
            </w:r>
            <w:r w:rsidRPr="00A34541">
              <w:rPr>
                <w:sz w:val="22"/>
                <w:szCs w:val="22"/>
                <w:vertAlign w:val="superscript"/>
              </w:rPr>
              <w:t>nd</w:t>
            </w:r>
            <w:r w:rsidRPr="00A34541">
              <w:rPr>
                <w:sz w:val="22"/>
                <w:szCs w:val="22"/>
              </w:rPr>
              <w:t xml:space="preserve"> Revision Sheet 192</w:t>
            </w:r>
          </w:p>
        </w:tc>
      </w:tr>
      <w:tr w:rsidR="0013371B" w:rsidRPr="00C55523" w:rsidTr="00A34541">
        <w:tc>
          <w:tcPr>
            <w:tcW w:w="3762" w:type="dxa"/>
          </w:tcPr>
          <w:p w:rsidR="0013371B" w:rsidRPr="00A34541" w:rsidRDefault="0013371B" w:rsidP="00967E0E">
            <w:pPr>
              <w:rPr>
                <w:sz w:val="22"/>
                <w:szCs w:val="22"/>
              </w:rPr>
            </w:pPr>
            <w:r>
              <w:rPr>
                <w:sz w:val="22"/>
                <w:szCs w:val="22"/>
              </w:rPr>
              <w:t>Original Sheet 192A</w:t>
            </w:r>
          </w:p>
        </w:tc>
        <w:tc>
          <w:tcPr>
            <w:tcW w:w="1278" w:type="dxa"/>
          </w:tcPr>
          <w:p w:rsidR="0013371B" w:rsidRPr="00A34541" w:rsidRDefault="0013371B" w:rsidP="00967E0E">
            <w:pPr>
              <w:rPr>
                <w:sz w:val="22"/>
                <w:szCs w:val="22"/>
              </w:rPr>
            </w:pPr>
          </w:p>
        </w:tc>
        <w:tc>
          <w:tcPr>
            <w:tcW w:w="3720" w:type="dxa"/>
          </w:tcPr>
          <w:p w:rsidR="0013371B" w:rsidRPr="00A34541" w:rsidRDefault="0013371B" w:rsidP="00967E0E">
            <w:pPr>
              <w:rPr>
                <w:sz w:val="22"/>
                <w:szCs w:val="22"/>
              </w:rPr>
            </w:pPr>
          </w:p>
        </w:tc>
      </w:tr>
    </w:tbl>
    <w:p w:rsidR="00F92A4A" w:rsidRDefault="00F92A4A" w:rsidP="001D3FDE">
      <w:pPr>
        <w:jc w:val="both"/>
        <w:rPr>
          <w:sz w:val="22"/>
          <w:szCs w:val="22"/>
        </w:rPr>
      </w:pPr>
    </w:p>
    <w:p w:rsidR="00032908" w:rsidRPr="008D7C4B" w:rsidRDefault="00663140" w:rsidP="001D3FDE">
      <w:pPr>
        <w:jc w:val="both"/>
        <w:rPr>
          <w:sz w:val="24"/>
          <w:szCs w:val="24"/>
        </w:rPr>
      </w:pPr>
      <w:r w:rsidRPr="008D7C4B">
        <w:rPr>
          <w:sz w:val="24"/>
          <w:szCs w:val="24"/>
        </w:rPr>
        <w:t>In support of the tariff revisions, the Company is providing</w:t>
      </w:r>
      <w:r w:rsidR="00032908" w:rsidRPr="008D7C4B">
        <w:rPr>
          <w:sz w:val="24"/>
          <w:szCs w:val="24"/>
        </w:rPr>
        <w:t xml:space="preserve"> the following workpapers:</w:t>
      </w:r>
    </w:p>
    <w:p w:rsidR="00032908" w:rsidRPr="008D7C4B" w:rsidRDefault="00032908" w:rsidP="001D3FDE">
      <w:pPr>
        <w:jc w:val="both"/>
        <w:rPr>
          <w:sz w:val="24"/>
          <w:szCs w:val="24"/>
        </w:rPr>
      </w:pPr>
    </w:p>
    <w:p w:rsidR="003B0E05" w:rsidRPr="008D7C4B" w:rsidRDefault="00670D1E" w:rsidP="003B0E05">
      <w:pPr>
        <w:numPr>
          <w:ilvl w:val="0"/>
          <w:numId w:val="4"/>
        </w:numPr>
        <w:jc w:val="both"/>
        <w:rPr>
          <w:sz w:val="24"/>
          <w:szCs w:val="24"/>
        </w:rPr>
      </w:pPr>
      <w:r w:rsidRPr="008D7C4B">
        <w:rPr>
          <w:sz w:val="24"/>
          <w:szCs w:val="24"/>
        </w:rPr>
        <w:t xml:space="preserve">Attachment 1 </w:t>
      </w:r>
      <w:r w:rsidR="000135F3" w:rsidRPr="008D7C4B">
        <w:rPr>
          <w:sz w:val="24"/>
          <w:szCs w:val="24"/>
        </w:rPr>
        <w:t>contains</w:t>
      </w:r>
      <w:r w:rsidRPr="008D7C4B">
        <w:rPr>
          <w:sz w:val="24"/>
          <w:szCs w:val="24"/>
        </w:rPr>
        <w:t xml:space="preserve"> </w:t>
      </w:r>
      <w:r w:rsidR="00125590" w:rsidRPr="008D7C4B">
        <w:rPr>
          <w:sz w:val="24"/>
          <w:szCs w:val="24"/>
        </w:rPr>
        <w:t>the workpapers supporting the Compliance Tariffs</w:t>
      </w:r>
      <w:r w:rsidR="0001422F" w:rsidRPr="008D7C4B">
        <w:rPr>
          <w:sz w:val="24"/>
          <w:szCs w:val="24"/>
        </w:rPr>
        <w:t xml:space="preserve"> - Electric</w:t>
      </w:r>
      <w:r w:rsidR="00D46B38" w:rsidRPr="008D7C4B">
        <w:rPr>
          <w:sz w:val="24"/>
          <w:szCs w:val="24"/>
        </w:rPr>
        <w:t>.</w:t>
      </w:r>
      <w:r w:rsidRPr="008D7C4B">
        <w:rPr>
          <w:sz w:val="24"/>
          <w:szCs w:val="24"/>
        </w:rPr>
        <w:t xml:space="preserve"> </w:t>
      </w:r>
    </w:p>
    <w:p w:rsidR="003F78E9" w:rsidRPr="008D7C4B" w:rsidRDefault="00125590" w:rsidP="00735FE4">
      <w:pPr>
        <w:numPr>
          <w:ilvl w:val="0"/>
          <w:numId w:val="4"/>
        </w:numPr>
        <w:jc w:val="both"/>
        <w:rPr>
          <w:sz w:val="24"/>
          <w:szCs w:val="24"/>
        </w:rPr>
      </w:pPr>
      <w:r w:rsidRPr="008D7C4B">
        <w:rPr>
          <w:sz w:val="24"/>
          <w:szCs w:val="24"/>
        </w:rPr>
        <w:t xml:space="preserve">Attachment 2 </w:t>
      </w:r>
      <w:r w:rsidR="000135F3" w:rsidRPr="008D7C4B">
        <w:rPr>
          <w:sz w:val="24"/>
          <w:szCs w:val="24"/>
        </w:rPr>
        <w:t>contains</w:t>
      </w:r>
      <w:r w:rsidRPr="008D7C4B">
        <w:rPr>
          <w:sz w:val="24"/>
          <w:szCs w:val="24"/>
        </w:rPr>
        <w:t xml:space="preserve"> the workpapers supporting the Compliance Tariffs</w:t>
      </w:r>
      <w:r w:rsidR="0001422F" w:rsidRPr="008D7C4B">
        <w:rPr>
          <w:sz w:val="24"/>
          <w:szCs w:val="24"/>
        </w:rPr>
        <w:t xml:space="preserve"> - Natural Gas</w:t>
      </w:r>
      <w:r w:rsidRPr="008D7C4B">
        <w:rPr>
          <w:sz w:val="24"/>
          <w:szCs w:val="24"/>
        </w:rPr>
        <w:t>.</w:t>
      </w:r>
    </w:p>
    <w:p w:rsidR="0005737B" w:rsidRPr="008D7C4B" w:rsidRDefault="0005737B" w:rsidP="0005737B">
      <w:pPr>
        <w:numPr>
          <w:ilvl w:val="0"/>
          <w:numId w:val="4"/>
        </w:numPr>
        <w:jc w:val="both"/>
        <w:rPr>
          <w:sz w:val="24"/>
          <w:szCs w:val="24"/>
        </w:rPr>
      </w:pPr>
      <w:r w:rsidRPr="008D7C4B">
        <w:rPr>
          <w:sz w:val="24"/>
          <w:szCs w:val="24"/>
        </w:rPr>
        <w:t xml:space="preserve">Attachment 3 </w:t>
      </w:r>
      <w:r w:rsidR="000135F3" w:rsidRPr="008D7C4B">
        <w:rPr>
          <w:sz w:val="24"/>
          <w:szCs w:val="24"/>
        </w:rPr>
        <w:t>contains</w:t>
      </w:r>
      <w:r w:rsidRPr="008D7C4B">
        <w:rPr>
          <w:sz w:val="24"/>
          <w:szCs w:val="24"/>
        </w:rPr>
        <w:t xml:space="preserve"> the ERM Authorized Expense and Retail Sales, and contains the corrected Retail Revenue Adjustment Rate, as discussed below.</w:t>
      </w:r>
    </w:p>
    <w:p w:rsidR="00735FE4" w:rsidRPr="008D7C4B" w:rsidRDefault="003F78E9" w:rsidP="00735FE4">
      <w:pPr>
        <w:numPr>
          <w:ilvl w:val="0"/>
          <w:numId w:val="4"/>
        </w:numPr>
        <w:jc w:val="both"/>
        <w:rPr>
          <w:sz w:val="24"/>
          <w:szCs w:val="24"/>
        </w:rPr>
      </w:pPr>
      <w:r w:rsidRPr="008D7C4B">
        <w:rPr>
          <w:sz w:val="24"/>
          <w:szCs w:val="24"/>
        </w:rPr>
        <w:t xml:space="preserve">Attachment </w:t>
      </w:r>
      <w:r w:rsidR="000135F3" w:rsidRPr="008D7C4B">
        <w:rPr>
          <w:sz w:val="24"/>
          <w:szCs w:val="24"/>
        </w:rPr>
        <w:t>4 contains</w:t>
      </w:r>
      <w:r w:rsidRPr="008D7C4B">
        <w:rPr>
          <w:sz w:val="24"/>
          <w:szCs w:val="24"/>
        </w:rPr>
        <w:t xml:space="preserve"> the baseline revenue per customer calculations for Avista’s </w:t>
      </w:r>
      <w:r w:rsidR="0005737B" w:rsidRPr="008D7C4B">
        <w:rPr>
          <w:sz w:val="24"/>
          <w:szCs w:val="24"/>
        </w:rPr>
        <w:t>electric</w:t>
      </w:r>
      <w:r w:rsidRPr="008D7C4B">
        <w:rPr>
          <w:sz w:val="24"/>
          <w:szCs w:val="24"/>
        </w:rPr>
        <w:t xml:space="preserve"> decoupling mechanism. </w:t>
      </w:r>
      <w:r w:rsidR="00125590" w:rsidRPr="008D7C4B">
        <w:rPr>
          <w:sz w:val="24"/>
          <w:szCs w:val="24"/>
        </w:rPr>
        <w:t xml:space="preserve"> </w:t>
      </w:r>
    </w:p>
    <w:p w:rsidR="003F78E9" w:rsidRPr="008D7C4B" w:rsidRDefault="003F78E9" w:rsidP="00735FE4">
      <w:pPr>
        <w:numPr>
          <w:ilvl w:val="0"/>
          <w:numId w:val="4"/>
        </w:numPr>
        <w:jc w:val="both"/>
        <w:rPr>
          <w:sz w:val="24"/>
          <w:szCs w:val="24"/>
        </w:rPr>
      </w:pPr>
      <w:r w:rsidRPr="008D7C4B">
        <w:rPr>
          <w:sz w:val="24"/>
          <w:szCs w:val="24"/>
        </w:rPr>
        <w:t xml:space="preserve">Attachment 5 </w:t>
      </w:r>
      <w:r w:rsidR="000135F3" w:rsidRPr="008D7C4B">
        <w:rPr>
          <w:sz w:val="24"/>
          <w:szCs w:val="24"/>
        </w:rPr>
        <w:t>contains</w:t>
      </w:r>
      <w:r w:rsidR="0005737B" w:rsidRPr="008D7C4B">
        <w:rPr>
          <w:sz w:val="24"/>
          <w:szCs w:val="24"/>
        </w:rPr>
        <w:t xml:space="preserve"> the baseline revenue per customer calculations for Avista’s natural gas decoupling mechanism.  </w:t>
      </w:r>
    </w:p>
    <w:p w:rsidR="00EB76A8" w:rsidRPr="008D7C4B" w:rsidRDefault="00EB76A8" w:rsidP="00EB76A8">
      <w:pPr>
        <w:jc w:val="both"/>
        <w:rPr>
          <w:sz w:val="24"/>
          <w:szCs w:val="24"/>
        </w:rPr>
      </w:pPr>
    </w:p>
    <w:p w:rsidR="000A4A62" w:rsidRPr="008D7C4B" w:rsidRDefault="000A4A62" w:rsidP="00EB76A8">
      <w:pPr>
        <w:jc w:val="both"/>
        <w:rPr>
          <w:sz w:val="24"/>
          <w:szCs w:val="24"/>
        </w:rPr>
      </w:pPr>
      <w:r w:rsidRPr="008D7C4B">
        <w:rPr>
          <w:sz w:val="24"/>
          <w:szCs w:val="24"/>
        </w:rPr>
        <w:t>Please note the following items that are contained in this Compliance Filing:</w:t>
      </w:r>
    </w:p>
    <w:p w:rsidR="000A4A62" w:rsidRPr="008D7C4B" w:rsidRDefault="000A4A62" w:rsidP="00EB76A8">
      <w:pPr>
        <w:jc w:val="both"/>
        <w:rPr>
          <w:sz w:val="24"/>
          <w:szCs w:val="24"/>
        </w:rPr>
      </w:pPr>
    </w:p>
    <w:p w:rsidR="000A4A62" w:rsidRPr="008D7C4B" w:rsidRDefault="000A4A62" w:rsidP="000A4A62">
      <w:pPr>
        <w:pStyle w:val="ListParagraph"/>
        <w:numPr>
          <w:ilvl w:val="0"/>
          <w:numId w:val="5"/>
        </w:numPr>
        <w:jc w:val="both"/>
        <w:rPr>
          <w:sz w:val="24"/>
          <w:szCs w:val="24"/>
        </w:rPr>
      </w:pPr>
      <w:r w:rsidRPr="008D7C4B">
        <w:rPr>
          <w:sz w:val="24"/>
          <w:szCs w:val="24"/>
        </w:rPr>
        <w:t>During the preparat</w:t>
      </w:r>
      <w:r w:rsidR="00D84A7B">
        <w:rPr>
          <w:sz w:val="24"/>
          <w:szCs w:val="24"/>
        </w:rPr>
        <w:t>ion of this Compliance Filing it</w:t>
      </w:r>
      <w:r w:rsidRPr="008D7C4B">
        <w:rPr>
          <w:sz w:val="24"/>
          <w:szCs w:val="24"/>
        </w:rPr>
        <w:t xml:space="preserve"> was determined that the Retail Revenue Adjustment rate (“RRA”) of $15.93</w:t>
      </w:r>
      <w:r w:rsidR="000135F3" w:rsidRPr="008D7C4B">
        <w:rPr>
          <w:sz w:val="24"/>
          <w:szCs w:val="24"/>
        </w:rPr>
        <w:t>, which was included in the Company’s November 2015 Power Supply Update,</w:t>
      </w:r>
      <w:r w:rsidRPr="008D7C4B">
        <w:rPr>
          <w:sz w:val="24"/>
          <w:szCs w:val="24"/>
        </w:rPr>
        <w:t xml:space="preserve"> was calculated using an incorrect value.  As shown in Attachment 5, the correct calculation of the RRA is the “WA ERM Base” divided by “Total Retail Sales, MWh”.  The RRA that was included in the Company’s November Power Supply update filing inadvertently used “WA Share of System Costs” as the numerator.  Correcting this error reduces the RRA from $15.93/MWh to $15.66/MWh.</w:t>
      </w:r>
      <w:r w:rsidR="00AA40A8" w:rsidRPr="008D7C4B">
        <w:rPr>
          <w:rStyle w:val="FootnoteReference"/>
          <w:sz w:val="24"/>
          <w:szCs w:val="24"/>
        </w:rPr>
        <w:footnoteReference w:id="1"/>
      </w:r>
    </w:p>
    <w:p w:rsidR="000A4A62" w:rsidRPr="008D7C4B" w:rsidRDefault="000A4A62" w:rsidP="000A4A62">
      <w:pPr>
        <w:pStyle w:val="ListParagraph"/>
        <w:jc w:val="both"/>
        <w:rPr>
          <w:sz w:val="24"/>
          <w:szCs w:val="24"/>
        </w:rPr>
      </w:pPr>
    </w:p>
    <w:p w:rsidR="000A4A62" w:rsidRPr="008D7C4B" w:rsidRDefault="000A4A62" w:rsidP="000A4A62">
      <w:pPr>
        <w:pStyle w:val="ListParagraph"/>
        <w:numPr>
          <w:ilvl w:val="0"/>
          <w:numId w:val="5"/>
        </w:numPr>
        <w:jc w:val="both"/>
        <w:rPr>
          <w:sz w:val="24"/>
          <w:szCs w:val="24"/>
        </w:rPr>
      </w:pPr>
      <w:r w:rsidRPr="008D7C4B">
        <w:rPr>
          <w:sz w:val="24"/>
          <w:szCs w:val="24"/>
        </w:rPr>
        <w:t>Avista has included in this filing 12</w:t>
      </w:r>
      <w:r w:rsidRPr="008D7C4B">
        <w:rPr>
          <w:sz w:val="24"/>
          <w:szCs w:val="24"/>
          <w:vertAlign w:val="superscript"/>
        </w:rPr>
        <w:t>th</w:t>
      </w:r>
      <w:r w:rsidRPr="008D7C4B">
        <w:rPr>
          <w:sz w:val="24"/>
          <w:szCs w:val="24"/>
        </w:rPr>
        <w:t xml:space="preserve"> Revision Sheet 9</w:t>
      </w:r>
      <w:r w:rsidR="000135F3" w:rsidRPr="008D7C4B">
        <w:rPr>
          <w:sz w:val="24"/>
          <w:szCs w:val="24"/>
        </w:rPr>
        <w:t>3</w:t>
      </w:r>
      <w:r w:rsidRPr="008D7C4B">
        <w:rPr>
          <w:sz w:val="24"/>
          <w:szCs w:val="24"/>
        </w:rPr>
        <w:t xml:space="preserve">, “Power Cost Surcharge”, and have set the rates on that schedule to $0.00000/kWh.  On December 30, 2015, the Commission in Order No. 1 in Docket No. UE-152406 approved the extension of the Energy Recovery Mechanism (“ERM”) rebate until the rates in this case, Docket No. UE-150204, become effective. </w:t>
      </w:r>
    </w:p>
    <w:p w:rsidR="000A4A62" w:rsidRPr="008D7C4B" w:rsidRDefault="000A4A62" w:rsidP="000A4A62">
      <w:pPr>
        <w:pStyle w:val="ListParagraph"/>
        <w:rPr>
          <w:sz w:val="24"/>
          <w:szCs w:val="24"/>
        </w:rPr>
      </w:pPr>
    </w:p>
    <w:p w:rsidR="00AA351C" w:rsidRPr="008D7C4B" w:rsidRDefault="00AA351C" w:rsidP="00EB76A8">
      <w:pPr>
        <w:pStyle w:val="ListParagraph"/>
        <w:numPr>
          <w:ilvl w:val="0"/>
          <w:numId w:val="5"/>
        </w:numPr>
        <w:jc w:val="both"/>
        <w:rPr>
          <w:sz w:val="24"/>
          <w:szCs w:val="24"/>
        </w:rPr>
      </w:pPr>
      <w:r w:rsidRPr="008D7C4B">
        <w:rPr>
          <w:sz w:val="24"/>
          <w:szCs w:val="24"/>
        </w:rPr>
        <w:t xml:space="preserve">For the Company’s natural gas tariffs, Avista </w:t>
      </w:r>
      <w:r w:rsidR="00756AF9" w:rsidRPr="008D7C4B">
        <w:rPr>
          <w:sz w:val="24"/>
          <w:szCs w:val="24"/>
        </w:rPr>
        <w:t>has updated the rates shown under “Other Charges”</w:t>
      </w:r>
      <w:r w:rsidR="00663140" w:rsidRPr="008D7C4B">
        <w:rPr>
          <w:sz w:val="24"/>
          <w:szCs w:val="24"/>
        </w:rPr>
        <w:t>,</w:t>
      </w:r>
      <w:r w:rsidR="00756AF9" w:rsidRPr="008D7C4B">
        <w:rPr>
          <w:sz w:val="24"/>
          <w:szCs w:val="24"/>
        </w:rPr>
        <w:t xml:space="preserve"> which are provided for informational purposes</w:t>
      </w:r>
      <w:r w:rsidR="00663140" w:rsidRPr="008D7C4B">
        <w:rPr>
          <w:sz w:val="24"/>
          <w:szCs w:val="24"/>
        </w:rPr>
        <w:t>,</w:t>
      </w:r>
      <w:r w:rsidR="00DD00CC" w:rsidRPr="008D7C4B">
        <w:rPr>
          <w:sz w:val="24"/>
          <w:szCs w:val="24"/>
        </w:rPr>
        <w:t xml:space="preserve"> in order to </w:t>
      </w:r>
      <w:r w:rsidR="00A14EF2" w:rsidRPr="008D7C4B">
        <w:rPr>
          <w:sz w:val="24"/>
          <w:szCs w:val="24"/>
        </w:rPr>
        <w:t>show</w:t>
      </w:r>
      <w:r w:rsidR="00DD00CC" w:rsidRPr="008D7C4B">
        <w:rPr>
          <w:sz w:val="24"/>
          <w:szCs w:val="24"/>
        </w:rPr>
        <w:t xml:space="preserve"> </w:t>
      </w:r>
      <w:r w:rsidR="00663140" w:rsidRPr="008D7C4B">
        <w:rPr>
          <w:sz w:val="24"/>
          <w:szCs w:val="24"/>
        </w:rPr>
        <w:t xml:space="preserve">on the </w:t>
      </w:r>
      <w:r w:rsidRPr="008D7C4B">
        <w:rPr>
          <w:sz w:val="24"/>
          <w:szCs w:val="24"/>
        </w:rPr>
        <w:t xml:space="preserve">base </w:t>
      </w:r>
      <w:r w:rsidR="00663140" w:rsidRPr="008D7C4B">
        <w:rPr>
          <w:sz w:val="24"/>
          <w:szCs w:val="24"/>
        </w:rPr>
        <w:t>tariff sheets</w:t>
      </w:r>
      <w:r w:rsidR="00DD00CC" w:rsidRPr="008D7C4B">
        <w:rPr>
          <w:sz w:val="24"/>
          <w:szCs w:val="24"/>
        </w:rPr>
        <w:t xml:space="preserve"> </w:t>
      </w:r>
      <w:r w:rsidR="005F075F" w:rsidRPr="008D7C4B">
        <w:rPr>
          <w:sz w:val="24"/>
          <w:szCs w:val="24"/>
        </w:rPr>
        <w:t>all of</w:t>
      </w:r>
      <w:r w:rsidR="00DD00CC" w:rsidRPr="008D7C4B">
        <w:rPr>
          <w:sz w:val="24"/>
          <w:szCs w:val="24"/>
        </w:rPr>
        <w:t xml:space="preserve"> the rate components that </w:t>
      </w:r>
      <w:r w:rsidRPr="008D7C4B">
        <w:rPr>
          <w:sz w:val="24"/>
          <w:szCs w:val="24"/>
        </w:rPr>
        <w:t xml:space="preserve">makeup </w:t>
      </w:r>
      <w:r w:rsidR="00DD00CC" w:rsidRPr="008D7C4B">
        <w:rPr>
          <w:sz w:val="24"/>
          <w:szCs w:val="24"/>
        </w:rPr>
        <w:t>the total billing rate</w:t>
      </w:r>
      <w:r w:rsidR="006F352F" w:rsidRPr="008D7C4B">
        <w:rPr>
          <w:sz w:val="24"/>
          <w:szCs w:val="24"/>
        </w:rPr>
        <w:t>s</w:t>
      </w:r>
      <w:r w:rsidR="00DD00CC" w:rsidRPr="008D7C4B">
        <w:rPr>
          <w:sz w:val="24"/>
          <w:szCs w:val="24"/>
        </w:rPr>
        <w:t xml:space="preserve"> shown on </w:t>
      </w:r>
      <w:r w:rsidRPr="008D7C4B">
        <w:rPr>
          <w:sz w:val="24"/>
          <w:szCs w:val="24"/>
        </w:rPr>
        <w:t>customer’s</w:t>
      </w:r>
      <w:r w:rsidR="007D468D" w:rsidRPr="008D7C4B">
        <w:rPr>
          <w:sz w:val="24"/>
          <w:szCs w:val="24"/>
        </w:rPr>
        <w:t xml:space="preserve"> bill</w:t>
      </w:r>
      <w:r w:rsidRPr="008D7C4B">
        <w:rPr>
          <w:sz w:val="24"/>
          <w:szCs w:val="24"/>
        </w:rPr>
        <w:t>s</w:t>
      </w:r>
      <w:r w:rsidR="00756AF9" w:rsidRPr="008D7C4B">
        <w:rPr>
          <w:sz w:val="24"/>
          <w:szCs w:val="24"/>
        </w:rPr>
        <w:t xml:space="preserve">.  The “Other Charges” changed </w:t>
      </w:r>
      <w:r w:rsidR="00735FE4" w:rsidRPr="008D7C4B">
        <w:rPr>
          <w:sz w:val="24"/>
          <w:szCs w:val="24"/>
        </w:rPr>
        <w:t>as a result of the approval of the Company’s recent Purchased Gas Cost Adjustment filing (Schedules 150 &amp; 155</w:t>
      </w:r>
      <w:r w:rsidR="00381727" w:rsidRPr="008D7C4B">
        <w:rPr>
          <w:sz w:val="24"/>
          <w:szCs w:val="24"/>
        </w:rPr>
        <w:t xml:space="preserve"> </w:t>
      </w:r>
      <w:r w:rsidR="00663140" w:rsidRPr="008D7C4B">
        <w:rPr>
          <w:sz w:val="24"/>
          <w:szCs w:val="24"/>
        </w:rPr>
        <w:t>–</w:t>
      </w:r>
      <w:r w:rsidR="00381727" w:rsidRPr="008D7C4B">
        <w:rPr>
          <w:sz w:val="24"/>
          <w:szCs w:val="24"/>
        </w:rPr>
        <w:t xml:space="preserve"> </w:t>
      </w:r>
      <w:r w:rsidR="00663140" w:rsidRPr="008D7C4B">
        <w:rPr>
          <w:sz w:val="24"/>
          <w:szCs w:val="24"/>
        </w:rPr>
        <w:t xml:space="preserve">Docket No. </w:t>
      </w:r>
      <w:r w:rsidR="00DD00CC" w:rsidRPr="008D7C4B">
        <w:rPr>
          <w:sz w:val="24"/>
          <w:szCs w:val="24"/>
        </w:rPr>
        <w:t>UG-1</w:t>
      </w:r>
      <w:r w:rsidRPr="008D7C4B">
        <w:rPr>
          <w:sz w:val="24"/>
          <w:szCs w:val="24"/>
        </w:rPr>
        <w:t>51758</w:t>
      </w:r>
      <w:r w:rsidR="00812AEE" w:rsidRPr="008D7C4B">
        <w:rPr>
          <w:sz w:val="24"/>
          <w:szCs w:val="24"/>
        </w:rPr>
        <w:t>),</w:t>
      </w:r>
      <w:r w:rsidR="00735FE4" w:rsidRPr="008D7C4B">
        <w:rPr>
          <w:sz w:val="24"/>
          <w:szCs w:val="24"/>
        </w:rPr>
        <w:t xml:space="preserve"> </w:t>
      </w:r>
      <w:r w:rsidR="003851F0" w:rsidRPr="008D7C4B">
        <w:rPr>
          <w:sz w:val="24"/>
          <w:szCs w:val="24"/>
        </w:rPr>
        <w:t xml:space="preserve">Demand Side Management filing </w:t>
      </w:r>
      <w:r w:rsidR="00DD00CC" w:rsidRPr="008D7C4B">
        <w:rPr>
          <w:sz w:val="24"/>
          <w:szCs w:val="24"/>
        </w:rPr>
        <w:t>(</w:t>
      </w:r>
      <w:r w:rsidR="00140134" w:rsidRPr="008D7C4B">
        <w:rPr>
          <w:sz w:val="24"/>
          <w:szCs w:val="24"/>
        </w:rPr>
        <w:t>Schedule 191</w:t>
      </w:r>
      <w:r w:rsidR="000135F3" w:rsidRPr="008D7C4B">
        <w:rPr>
          <w:sz w:val="24"/>
          <w:szCs w:val="24"/>
        </w:rPr>
        <w:t xml:space="preserve"> </w:t>
      </w:r>
      <w:r w:rsidR="00663140" w:rsidRPr="008D7C4B">
        <w:rPr>
          <w:sz w:val="24"/>
          <w:szCs w:val="24"/>
        </w:rPr>
        <w:t>–</w:t>
      </w:r>
      <w:r w:rsidR="00140134" w:rsidRPr="008D7C4B">
        <w:rPr>
          <w:sz w:val="24"/>
          <w:szCs w:val="24"/>
        </w:rPr>
        <w:t xml:space="preserve"> </w:t>
      </w:r>
      <w:r w:rsidR="00663140" w:rsidRPr="008D7C4B">
        <w:rPr>
          <w:sz w:val="24"/>
          <w:szCs w:val="24"/>
        </w:rPr>
        <w:t xml:space="preserve">Docket No. </w:t>
      </w:r>
      <w:r w:rsidR="00DD00CC" w:rsidRPr="008D7C4B">
        <w:rPr>
          <w:sz w:val="24"/>
          <w:szCs w:val="24"/>
        </w:rPr>
        <w:t>UG-1</w:t>
      </w:r>
      <w:r w:rsidR="000135F3" w:rsidRPr="008D7C4B">
        <w:rPr>
          <w:sz w:val="24"/>
          <w:szCs w:val="24"/>
        </w:rPr>
        <w:t>51935</w:t>
      </w:r>
      <w:r w:rsidR="00DD00CC" w:rsidRPr="008D7C4B">
        <w:rPr>
          <w:sz w:val="24"/>
          <w:szCs w:val="24"/>
        </w:rPr>
        <w:t xml:space="preserve">) </w:t>
      </w:r>
      <w:r w:rsidR="006F352F" w:rsidRPr="008D7C4B">
        <w:rPr>
          <w:sz w:val="24"/>
          <w:szCs w:val="24"/>
        </w:rPr>
        <w:t xml:space="preserve">and the increase to Schedule 192 (LIRAP) as detailed in Order No. 05 in the above referenced </w:t>
      </w:r>
      <w:r w:rsidR="00663140" w:rsidRPr="008D7C4B">
        <w:rPr>
          <w:sz w:val="24"/>
          <w:szCs w:val="24"/>
        </w:rPr>
        <w:t xml:space="preserve">natural gas </w:t>
      </w:r>
      <w:r w:rsidR="006F352F" w:rsidRPr="008D7C4B">
        <w:rPr>
          <w:sz w:val="24"/>
          <w:szCs w:val="24"/>
        </w:rPr>
        <w:t>docket</w:t>
      </w:r>
      <w:r w:rsidR="00735FE4" w:rsidRPr="008D7C4B">
        <w:rPr>
          <w:sz w:val="24"/>
          <w:szCs w:val="24"/>
        </w:rPr>
        <w:t xml:space="preserve">.  </w:t>
      </w:r>
    </w:p>
    <w:p w:rsidR="00AA351C" w:rsidRPr="008D7C4B" w:rsidRDefault="00AA351C" w:rsidP="00AA351C">
      <w:pPr>
        <w:pStyle w:val="ListParagraph"/>
        <w:rPr>
          <w:sz w:val="24"/>
          <w:szCs w:val="24"/>
        </w:rPr>
      </w:pPr>
    </w:p>
    <w:p w:rsidR="00AA351C" w:rsidRPr="008D7C4B" w:rsidRDefault="00AA351C" w:rsidP="00EB76A8">
      <w:pPr>
        <w:pStyle w:val="ListParagraph"/>
        <w:numPr>
          <w:ilvl w:val="0"/>
          <w:numId w:val="5"/>
        </w:numPr>
        <w:jc w:val="both"/>
        <w:rPr>
          <w:sz w:val="24"/>
          <w:szCs w:val="24"/>
        </w:rPr>
      </w:pPr>
      <w:r w:rsidRPr="008D7C4B">
        <w:rPr>
          <w:sz w:val="24"/>
          <w:szCs w:val="24"/>
        </w:rPr>
        <w:t>T</w:t>
      </w:r>
      <w:r w:rsidR="00102B6B" w:rsidRPr="008D7C4B">
        <w:rPr>
          <w:sz w:val="24"/>
          <w:szCs w:val="24"/>
        </w:rPr>
        <w:t xml:space="preserve">he </w:t>
      </w:r>
      <w:r w:rsidRPr="008D7C4B">
        <w:rPr>
          <w:sz w:val="24"/>
          <w:szCs w:val="24"/>
        </w:rPr>
        <w:t xml:space="preserve">base rate </w:t>
      </w:r>
      <w:r w:rsidR="00102B6B" w:rsidRPr="008D7C4B">
        <w:rPr>
          <w:sz w:val="24"/>
          <w:szCs w:val="24"/>
        </w:rPr>
        <w:t>tariffs have been updated to reflect the recent housekeeping filing (</w:t>
      </w:r>
      <w:r w:rsidR="000A4A62" w:rsidRPr="008D7C4B">
        <w:rPr>
          <w:sz w:val="24"/>
          <w:szCs w:val="24"/>
        </w:rPr>
        <w:t xml:space="preserve">Docket Nos. </w:t>
      </w:r>
      <w:r w:rsidR="00102B6B" w:rsidRPr="008D7C4B">
        <w:rPr>
          <w:sz w:val="24"/>
          <w:szCs w:val="24"/>
        </w:rPr>
        <w:t>UE-</w:t>
      </w:r>
      <w:r w:rsidR="000A4A62" w:rsidRPr="008D7C4B">
        <w:rPr>
          <w:sz w:val="24"/>
          <w:szCs w:val="24"/>
        </w:rPr>
        <w:t>151250 and UG-151252</w:t>
      </w:r>
      <w:r w:rsidR="00102B6B" w:rsidRPr="008D7C4B">
        <w:rPr>
          <w:sz w:val="24"/>
          <w:szCs w:val="24"/>
        </w:rPr>
        <w:t>) which changed the decoupling tariff from Schedule numbers 99/199 to Schedule numbers 75/175.</w:t>
      </w:r>
      <w:r w:rsidR="003F78E9" w:rsidRPr="008D7C4B">
        <w:rPr>
          <w:sz w:val="24"/>
          <w:szCs w:val="24"/>
        </w:rPr>
        <w:t xml:space="preserve"> </w:t>
      </w:r>
      <w:r w:rsidR="00FD2F47" w:rsidRPr="008D7C4B">
        <w:rPr>
          <w:sz w:val="24"/>
          <w:szCs w:val="24"/>
        </w:rPr>
        <w:t xml:space="preserve"> In addition, for purposes of the earnings tests outlined in decoupling Schedules 75D and 175D, the rate of return has been updated to the new </w:t>
      </w:r>
      <w:r w:rsidR="000135F3" w:rsidRPr="008D7C4B">
        <w:rPr>
          <w:sz w:val="24"/>
          <w:szCs w:val="24"/>
        </w:rPr>
        <w:t xml:space="preserve">7.29% rate of </w:t>
      </w:r>
      <w:r w:rsidR="00FD2F47" w:rsidRPr="008D7C4B">
        <w:rPr>
          <w:sz w:val="24"/>
          <w:szCs w:val="24"/>
        </w:rPr>
        <w:t>return approved by the Commission in Order No. 05.</w:t>
      </w:r>
    </w:p>
    <w:p w:rsidR="00AA351C" w:rsidRPr="008D7C4B" w:rsidRDefault="00AA351C" w:rsidP="00AA351C">
      <w:pPr>
        <w:pStyle w:val="ListParagraph"/>
        <w:rPr>
          <w:sz w:val="24"/>
          <w:szCs w:val="24"/>
        </w:rPr>
      </w:pPr>
    </w:p>
    <w:p w:rsidR="003F78E9" w:rsidRDefault="003F78E9" w:rsidP="00EB76A8">
      <w:pPr>
        <w:pStyle w:val="ListParagraph"/>
        <w:numPr>
          <w:ilvl w:val="0"/>
          <w:numId w:val="5"/>
        </w:numPr>
        <w:jc w:val="both"/>
        <w:rPr>
          <w:sz w:val="24"/>
          <w:szCs w:val="24"/>
        </w:rPr>
      </w:pPr>
      <w:r w:rsidRPr="008D7C4B">
        <w:rPr>
          <w:sz w:val="24"/>
          <w:szCs w:val="24"/>
        </w:rPr>
        <w:t xml:space="preserve">The Company has </w:t>
      </w:r>
      <w:r w:rsidR="00AA351C" w:rsidRPr="008D7C4B">
        <w:rPr>
          <w:sz w:val="24"/>
          <w:szCs w:val="24"/>
        </w:rPr>
        <w:t>also included</w:t>
      </w:r>
      <w:r w:rsidRPr="008D7C4B">
        <w:rPr>
          <w:sz w:val="24"/>
          <w:szCs w:val="24"/>
        </w:rPr>
        <w:t xml:space="preserve"> Schedule 149, “Backup And Supplemental Compressed Natural Gas Service” to reflect </w:t>
      </w:r>
      <w:r w:rsidR="00AA351C" w:rsidRPr="008D7C4B">
        <w:rPr>
          <w:sz w:val="24"/>
          <w:szCs w:val="24"/>
        </w:rPr>
        <w:t xml:space="preserve">the new first block rate for Schedule 111.  </w:t>
      </w:r>
      <w:r w:rsidR="006B4C13" w:rsidRPr="008D7C4B">
        <w:rPr>
          <w:sz w:val="24"/>
          <w:szCs w:val="24"/>
        </w:rPr>
        <w:t xml:space="preserve">That rate is one of the key components to determine the Retail Rate per Gas Gallon </w:t>
      </w:r>
      <w:r w:rsidR="000B76B2" w:rsidRPr="008D7C4B">
        <w:rPr>
          <w:sz w:val="24"/>
          <w:szCs w:val="24"/>
        </w:rPr>
        <w:t>Equivalen</w:t>
      </w:r>
      <w:r w:rsidR="00AA351C" w:rsidRPr="008D7C4B">
        <w:rPr>
          <w:sz w:val="24"/>
          <w:szCs w:val="24"/>
        </w:rPr>
        <w:t>t under that schedule</w:t>
      </w:r>
      <w:r w:rsidR="006B4C13" w:rsidRPr="008D7C4B">
        <w:rPr>
          <w:sz w:val="24"/>
          <w:szCs w:val="24"/>
        </w:rPr>
        <w:t>.</w:t>
      </w:r>
    </w:p>
    <w:p w:rsidR="00865BDB" w:rsidRPr="00865BDB" w:rsidRDefault="00865BDB" w:rsidP="00865BDB">
      <w:pPr>
        <w:pStyle w:val="ListParagraph"/>
        <w:rPr>
          <w:sz w:val="24"/>
          <w:szCs w:val="24"/>
        </w:rPr>
      </w:pPr>
    </w:p>
    <w:p w:rsidR="00865BDB" w:rsidRPr="008D7C4B" w:rsidRDefault="00865BDB" w:rsidP="00EB76A8">
      <w:pPr>
        <w:pStyle w:val="ListParagraph"/>
        <w:numPr>
          <w:ilvl w:val="0"/>
          <w:numId w:val="5"/>
        </w:numPr>
        <w:jc w:val="both"/>
        <w:rPr>
          <w:sz w:val="24"/>
          <w:szCs w:val="24"/>
        </w:rPr>
      </w:pPr>
      <w:r>
        <w:rPr>
          <w:sz w:val="24"/>
          <w:szCs w:val="24"/>
        </w:rPr>
        <w:t xml:space="preserve">In paragraph 234 of Order No. 05, the Commission required Avista to “revise its tariffs to identify each assistance service available to its customers and their eligibility requirements.”  The Company has added that information in </w:t>
      </w:r>
      <w:r w:rsidR="00526D0F">
        <w:rPr>
          <w:sz w:val="24"/>
          <w:szCs w:val="24"/>
        </w:rPr>
        <w:t>LIRAP Schedules</w:t>
      </w:r>
      <w:r>
        <w:rPr>
          <w:sz w:val="24"/>
          <w:szCs w:val="24"/>
        </w:rPr>
        <w:t xml:space="preserve"> </w:t>
      </w:r>
      <w:proofErr w:type="spellStart"/>
      <w:r>
        <w:rPr>
          <w:sz w:val="24"/>
          <w:szCs w:val="24"/>
        </w:rPr>
        <w:t>92A</w:t>
      </w:r>
      <w:proofErr w:type="spellEnd"/>
      <w:r>
        <w:rPr>
          <w:sz w:val="24"/>
          <w:szCs w:val="24"/>
        </w:rPr>
        <w:t xml:space="preserve"> (electric) and </w:t>
      </w:r>
      <w:proofErr w:type="spellStart"/>
      <w:r>
        <w:rPr>
          <w:sz w:val="24"/>
          <w:szCs w:val="24"/>
        </w:rPr>
        <w:t>192A</w:t>
      </w:r>
      <w:proofErr w:type="spellEnd"/>
      <w:r>
        <w:rPr>
          <w:sz w:val="24"/>
          <w:szCs w:val="24"/>
        </w:rPr>
        <w:t xml:space="preserve"> (natural gas).</w:t>
      </w:r>
    </w:p>
    <w:p w:rsidR="003F78E9" w:rsidRPr="008D7C4B" w:rsidRDefault="003F78E9" w:rsidP="00EB76A8">
      <w:pPr>
        <w:jc w:val="both"/>
        <w:rPr>
          <w:sz w:val="24"/>
          <w:szCs w:val="24"/>
        </w:rPr>
      </w:pPr>
    </w:p>
    <w:p w:rsidR="00670D1E" w:rsidRPr="008D7C4B" w:rsidRDefault="00B32BE0" w:rsidP="001D3FDE">
      <w:pPr>
        <w:jc w:val="both"/>
        <w:rPr>
          <w:sz w:val="24"/>
          <w:szCs w:val="24"/>
        </w:rPr>
      </w:pPr>
      <w:r w:rsidRPr="008D7C4B">
        <w:rPr>
          <w:sz w:val="24"/>
          <w:szCs w:val="24"/>
        </w:rPr>
        <w:t>Hard</w:t>
      </w:r>
      <w:r w:rsidR="00137AF5">
        <w:rPr>
          <w:sz w:val="24"/>
          <w:szCs w:val="24"/>
        </w:rPr>
        <w:t xml:space="preserve"> </w:t>
      </w:r>
      <w:r w:rsidRPr="008D7C4B">
        <w:rPr>
          <w:sz w:val="24"/>
          <w:szCs w:val="24"/>
        </w:rPr>
        <w:t xml:space="preserve">copies of this filing will be sent to the Commission and the Parties via overnight mail.  </w:t>
      </w:r>
      <w:r w:rsidR="00670D1E" w:rsidRPr="008D7C4B">
        <w:rPr>
          <w:sz w:val="24"/>
          <w:szCs w:val="24"/>
        </w:rPr>
        <w:t xml:space="preserve">Please direct any questions on this matter to </w:t>
      </w:r>
      <w:r w:rsidR="00283C1A" w:rsidRPr="008D7C4B">
        <w:rPr>
          <w:sz w:val="24"/>
          <w:szCs w:val="24"/>
        </w:rPr>
        <w:t>Patrick Ehrbar</w:t>
      </w:r>
      <w:r w:rsidR="00670D1E" w:rsidRPr="008D7C4B">
        <w:rPr>
          <w:sz w:val="24"/>
          <w:szCs w:val="24"/>
        </w:rPr>
        <w:t xml:space="preserve"> at 509.495.</w:t>
      </w:r>
      <w:r w:rsidR="00283C1A" w:rsidRPr="008D7C4B">
        <w:rPr>
          <w:sz w:val="24"/>
          <w:szCs w:val="24"/>
        </w:rPr>
        <w:t>8620</w:t>
      </w:r>
      <w:r w:rsidR="005E3415" w:rsidRPr="008D7C4B">
        <w:rPr>
          <w:sz w:val="24"/>
          <w:szCs w:val="24"/>
        </w:rPr>
        <w:t xml:space="preserve"> or Joe Miller at 509.495.4546</w:t>
      </w:r>
      <w:r w:rsidR="00670D1E" w:rsidRPr="008D7C4B">
        <w:rPr>
          <w:sz w:val="24"/>
          <w:szCs w:val="24"/>
        </w:rPr>
        <w:t>.</w:t>
      </w:r>
    </w:p>
    <w:p w:rsidR="00670D1E" w:rsidRPr="008D7C4B" w:rsidRDefault="00670D1E" w:rsidP="001D3FDE">
      <w:pPr>
        <w:jc w:val="both"/>
        <w:rPr>
          <w:sz w:val="24"/>
          <w:szCs w:val="24"/>
        </w:rPr>
      </w:pPr>
    </w:p>
    <w:p w:rsidR="00303B74" w:rsidRPr="008D7C4B" w:rsidRDefault="00303B74" w:rsidP="001D3FDE">
      <w:pPr>
        <w:jc w:val="both"/>
        <w:rPr>
          <w:sz w:val="24"/>
          <w:szCs w:val="24"/>
        </w:rPr>
      </w:pPr>
      <w:r w:rsidRPr="008D7C4B">
        <w:rPr>
          <w:sz w:val="24"/>
          <w:szCs w:val="24"/>
        </w:rPr>
        <w:t>Sincerely,</w:t>
      </w:r>
    </w:p>
    <w:p w:rsidR="00283C1A" w:rsidRPr="008D7C4B" w:rsidRDefault="00283C1A" w:rsidP="001D3FDE">
      <w:pPr>
        <w:jc w:val="both"/>
        <w:rPr>
          <w:sz w:val="24"/>
          <w:szCs w:val="24"/>
        </w:rPr>
      </w:pPr>
    </w:p>
    <w:p w:rsidR="000E667E" w:rsidRPr="008D7C4B" w:rsidRDefault="000E667E" w:rsidP="001D3FDE">
      <w:pPr>
        <w:jc w:val="both"/>
        <w:rPr>
          <w:sz w:val="24"/>
          <w:szCs w:val="24"/>
        </w:rPr>
      </w:pPr>
    </w:p>
    <w:p w:rsidR="000E667E" w:rsidRPr="008D7C4B" w:rsidRDefault="000E667E" w:rsidP="001D3FDE">
      <w:pPr>
        <w:jc w:val="both"/>
        <w:rPr>
          <w:sz w:val="24"/>
          <w:szCs w:val="24"/>
        </w:rPr>
      </w:pPr>
    </w:p>
    <w:p w:rsidR="00303B74" w:rsidRPr="008D7C4B" w:rsidRDefault="00303B74" w:rsidP="001D3FDE">
      <w:pPr>
        <w:jc w:val="both"/>
        <w:rPr>
          <w:sz w:val="24"/>
          <w:szCs w:val="24"/>
        </w:rPr>
      </w:pPr>
      <w:r w:rsidRPr="008D7C4B">
        <w:rPr>
          <w:sz w:val="24"/>
          <w:szCs w:val="24"/>
        </w:rPr>
        <w:t>Kelly Norwood</w:t>
      </w:r>
    </w:p>
    <w:p w:rsidR="00303B74" w:rsidRPr="008D7C4B" w:rsidRDefault="00303B74" w:rsidP="001D3FDE">
      <w:pPr>
        <w:jc w:val="both"/>
        <w:rPr>
          <w:sz w:val="24"/>
          <w:szCs w:val="24"/>
        </w:rPr>
      </w:pPr>
      <w:r w:rsidRPr="008D7C4B">
        <w:rPr>
          <w:sz w:val="24"/>
          <w:szCs w:val="24"/>
        </w:rPr>
        <w:t>V</w:t>
      </w:r>
      <w:r w:rsidR="00670D1E" w:rsidRPr="008D7C4B">
        <w:rPr>
          <w:sz w:val="24"/>
          <w:szCs w:val="24"/>
        </w:rPr>
        <w:t xml:space="preserve">ice </w:t>
      </w:r>
      <w:r w:rsidRPr="008D7C4B">
        <w:rPr>
          <w:sz w:val="24"/>
          <w:szCs w:val="24"/>
        </w:rPr>
        <w:t>P</w:t>
      </w:r>
      <w:r w:rsidR="00670D1E" w:rsidRPr="008D7C4B">
        <w:rPr>
          <w:sz w:val="24"/>
          <w:szCs w:val="24"/>
        </w:rPr>
        <w:t>resident</w:t>
      </w:r>
      <w:r w:rsidRPr="008D7C4B">
        <w:rPr>
          <w:sz w:val="24"/>
          <w:szCs w:val="24"/>
        </w:rPr>
        <w:t>, S</w:t>
      </w:r>
      <w:r w:rsidR="00042FB4" w:rsidRPr="008D7C4B">
        <w:rPr>
          <w:sz w:val="24"/>
          <w:szCs w:val="24"/>
        </w:rPr>
        <w:t>t</w:t>
      </w:r>
      <w:r w:rsidRPr="008D7C4B">
        <w:rPr>
          <w:sz w:val="24"/>
          <w:szCs w:val="24"/>
        </w:rPr>
        <w:t>ate &amp; Federal Regulation</w:t>
      </w:r>
    </w:p>
    <w:p w:rsidR="00303B74" w:rsidRPr="008D7C4B" w:rsidRDefault="00303B74" w:rsidP="001D3FDE">
      <w:pPr>
        <w:jc w:val="both"/>
        <w:rPr>
          <w:sz w:val="24"/>
          <w:szCs w:val="24"/>
        </w:rPr>
      </w:pPr>
    </w:p>
    <w:p w:rsidR="00303B74" w:rsidRPr="008D7C4B" w:rsidRDefault="00303B74" w:rsidP="001D3FDE">
      <w:pPr>
        <w:jc w:val="both"/>
        <w:rPr>
          <w:sz w:val="24"/>
          <w:szCs w:val="24"/>
        </w:rPr>
      </w:pPr>
      <w:r w:rsidRPr="008D7C4B">
        <w:rPr>
          <w:sz w:val="24"/>
          <w:szCs w:val="24"/>
        </w:rPr>
        <w:t>Enclosures</w:t>
      </w:r>
    </w:p>
    <w:p w:rsidR="007D6722" w:rsidRPr="008D7C4B" w:rsidRDefault="007D6722" w:rsidP="001D3FDE">
      <w:pPr>
        <w:tabs>
          <w:tab w:val="left" w:pos="360"/>
        </w:tabs>
        <w:jc w:val="both"/>
        <w:rPr>
          <w:sz w:val="24"/>
          <w:szCs w:val="24"/>
        </w:rPr>
      </w:pPr>
    </w:p>
    <w:p w:rsidR="00303B74" w:rsidRPr="008D7C4B" w:rsidRDefault="00303B74" w:rsidP="001D3FDE">
      <w:pPr>
        <w:tabs>
          <w:tab w:val="left" w:pos="360"/>
        </w:tabs>
        <w:jc w:val="both"/>
        <w:rPr>
          <w:sz w:val="24"/>
          <w:szCs w:val="24"/>
        </w:rPr>
      </w:pPr>
      <w:r w:rsidRPr="008D7C4B">
        <w:rPr>
          <w:sz w:val="24"/>
          <w:szCs w:val="24"/>
        </w:rPr>
        <w:t>c:</w:t>
      </w:r>
      <w:r w:rsidRPr="008D7C4B">
        <w:rPr>
          <w:sz w:val="24"/>
          <w:szCs w:val="24"/>
        </w:rPr>
        <w:tab/>
      </w:r>
      <w:r w:rsidR="008D7C4B">
        <w:rPr>
          <w:sz w:val="24"/>
          <w:szCs w:val="24"/>
        </w:rPr>
        <w:t>S</w:t>
      </w:r>
      <w:r w:rsidRPr="008D7C4B">
        <w:rPr>
          <w:sz w:val="24"/>
          <w:szCs w:val="24"/>
        </w:rPr>
        <w:t xml:space="preserve">ervice </w:t>
      </w:r>
      <w:r w:rsidR="008D7C4B">
        <w:rPr>
          <w:sz w:val="24"/>
          <w:szCs w:val="24"/>
        </w:rPr>
        <w:t>L</w:t>
      </w:r>
      <w:r w:rsidRPr="008D7C4B">
        <w:rPr>
          <w:sz w:val="24"/>
          <w:szCs w:val="24"/>
        </w:rPr>
        <w:t>ist</w:t>
      </w:r>
    </w:p>
    <w:sectPr w:rsidR="00303B74" w:rsidRPr="008D7C4B" w:rsidSect="00137AF5">
      <w:headerReference w:type="default" r:id="rId8"/>
      <w:headerReference w:type="first" r:id="rId9"/>
      <w:pgSz w:w="12240" w:h="15840"/>
      <w:pgMar w:top="1008" w:right="1170" w:bottom="1008" w:left="126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5D1" w:rsidRDefault="002B05D1">
      <w:r>
        <w:separator/>
      </w:r>
    </w:p>
  </w:endnote>
  <w:endnote w:type="continuationSeparator" w:id="0">
    <w:p w:rsidR="002B05D1" w:rsidRDefault="002B05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5D1" w:rsidRDefault="002B05D1">
      <w:r>
        <w:separator/>
      </w:r>
    </w:p>
  </w:footnote>
  <w:footnote w:type="continuationSeparator" w:id="0">
    <w:p w:rsidR="002B05D1" w:rsidRDefault="002B05D1">
      <w:r>
        <w:continuationSeparator/>
      </w:r>
    </w:p>
  </w:footnote>
  <w:footnote w:id="1">
    <w:p w:rsidR="00AA40A8" w:rsidRDefault="00AA40A8" w:rsidP="00AA40A8">
      <w:pPr>
        <w:pStyle w:val="FootnoteText"/>
        <w:jc w:val="both"/>
      </w:pPr>
      <w:r>
        <w:rPr>
          <w:rStyle w:val="FootnoteReference"/>
        </w:rPr>
        <w:footnoteRef/>
      </w:r>
      <w:r>
        <w:t xml:space="preserve"> Note that the Company labeled the RRA as the Retail Revenue Credit in its November Power Supply Update.  Attachment 5 corrects this to Retail Revenue Adjustment per </w:t>
      </w:r>
      <w:r w:rsidR="000135F3">
        <w:t>Section 5e of the</w:t>
      </w:r>
      <w:r>
        <w:t xml:space="preserve"> Partial Settlement Stipulation approved in this case.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5D1" w:rsidRDefault="002B05D1">
    <w:pPr>
      <w:pStyle w:val="Header"/>
      <w:rPr>
        <w:rStyle w:val="PageNumber"/>
      </w:rPr>
    </w:pPr>
  </w:p>
  <w:p w:rsidR="002B05D1" w:rsidRDefault="002B05D1">
    <w:pPr>
      <w:pStyle w:val="Header"/>
      <w:rPr>
        <w:rStyle w:val="PageNumber"/>
      </w:rPr>
    </w:pPr>
  </w:p>
  <w:p w:rsidR="002B05D1" w:rsidRDefault="002B05D1">
    <w:pPr>
      <w:pStyle w:val="Head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32" w:type="dxa"/>
      <w:tblBorders>
        <w:insideH w:val="single" w:sz="4" w:space="0" w:color="auto"/>
      </w:tblBorders>
      <w:tblLayout w:type="fixed"/>
      <w:tblLook w:val="0000"/>
    </w:tblPr>
    <w:tblGrid>
      <w:gridCol w:w="10220"/>
      <w:gridCol w:w="255"/>
    </w:tblGrid>
    <w:tr w:rsidR="002B05D1" w:rsidTr="00447153">
      <w:trPr>
        <w:trHeight w:val="1800"/>
      </w:trPr>
      <w:tc>
        <w:tcPr>
          <w:tcW w:w="10220" w:type="dxa"/>
          <w:tcBorders>
            <w:top w:val="nil"/>
            <w:left w:val="nil"/>
            <w:bottom w:val="nil"/>
            <w:right w:val="nil"/>
          </w:tcBorders>
        </w:tcPr>
        <w:p w:rsidR="002B05D1" w:rsidRDefault="002B05D1">
          <w:pPr>
            <w:pStyle w:val="Header"/>
            <w:rPr>
              <w:rFonts w:ascii="Arial" w:hAnsi="Arial" w:cs="Arial"/>
              <w:b/>
              <w:bCs/>
              <w:sz w:val="18"/>
              <w:szCs w:val="18"/>
            </w:rPr>
          </w:pPr>
          <w:r>
            <w:rPr>
              <w:rFonts w:ascii="Arial" w:hAnsi="Arial" w:cs="Arial"/>
              <w:b/>
              <w:noProof/>
              <w:sz w:val="18"/>
              <w:szCs w:val="18"/>
            </w:rPr>
            <w:drawing>
              <wp:inline distT="0" distB="0" distL="0" distR="0">
                <wp:extent cx="7086600" cy="1143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086600" cy="1143000"/>
                        </a:xfrm>
                        <a:prstGeom prst="rect">
                          <a:avLst/>
                        </a:prstGeom>
                        <a:noFill/>
                        <a:ln w="9525">
                          <a:noFill/>
                          <a:miter lim="800000"/>
                          <a:headEnd/>
                          <a:tailEnd/>
                        </a:ln>
                      </pic:spPr>
                    </pic:pic>
                  </a:graphicData>
                </a:graphic>
              </wp:inline>
            </w:drawing>
          </w:r>
        </w:p>
      </w:tc>
      <w:tc>
        <w:tcPr>
          <w:tcW w:w="255" w:type="dxa"/>
          <w:tcBorders>
            <w:top w:val="nil"/>
            <w:left w:val="nil"/>
            <w:bottom w:val="nil"/>
            <w:right w:val="nil"/>
          </w:tcBorders>
        </w:tcPr>
        <w:p w:rsidR="002B05D1" w:rsidRDefault="002B05D1">
          <w:pPr>
            <w:pStyle w:val="Header"/>
            <w:tabs>
              <w:tab w:val="left" w:pos="2232"/>
            </w:tabs>
            <w:rPr>
              <w:rFonts w:ascii="Arial" w:hAnsi="Arial" w:cs="Arial"/>
              <w:b/>
              <w:bCs/>
              <w:sz w:val="16"/>
              <w:szCs w:val="16"/>
            </w:rPr>
          </w:pPr>
        </w:p>
      </w:tc>
    </w:tr>
  </w:tbl>
  <w:p w:rsidR="002B05D1" w:rsidRDefault="002B05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4711F"/>
    <w:multiLevelType w:val="hybridMultilevel"/>
    <w:tmpl w:val="EAA6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050379"/>
    <w:multiLevelType w:val="hybridMultilevel"/>
    <w:tmpl w:val="B09832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C05F23"/>
    <w:multiLevelType w:val="hybridMultilevel"/>
    <w:tmpl w:val="0BC24D52"/>
    <w:lvl w:ilvl="0" w:tplc="08AC0CBE">
      <w:start w:val="1"/>
      <w:numFmt w:val="bullet"/>
      <w:lvlText w:val="–"/>
      <w:lvlJc w:val="left"/>
      <w:pPr>
        <w:tabs>
          <w:tab w:val="num" w:pos="4320"/>
        </w:tabs>
        <w:ind w:left="4320" w:hanging="360"/>
      </w:pPr>
      <w:rPr>
        <w:rFonts w:ascii="Arial" w:hAnsi="Aria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66BF0C4B"/>
    <w:multiLevelType w:val="hybridMultilevel"/>
    <w:tmpl w:val="ADA4F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C9119E2"/>
    <w:multiLevelType w:val="hybridMultilevel"/>
    <w:tmpl w:val="6AACD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stylePaneFormatFilter w:val="3F01"/>
  <w:defaultTabStop w:val="720"/>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23553"/>
  </w:hdrShapeDefaults>
  <w:footnotePr>
    <w:footnote w:id="-1"/>
    <w:footnote w:id="0"/>
  </w:footnotePr>
  <w:endnotePr>
    <w:endnote w:id="-1"/>
    <w:endnote w:id="0"/>
  </w:endnotePr>
  <w:compat/>
  <w:rsids>
    <w:rsidRoot w:val="006D15E6"/>
    <w:rsid w:val="000135F3"/>
    <w:rsid w:val="0001422F"/>
    <w:rsid w:val="0001541C"/>
    <w:rsid w:val="00020553"/>
    <w:rsid w:val="00032908"/>
    <w:rsid w:val="0003349B"/>
    <w:rsid w:val="0003726E"/>
    <w:rsid w:val="000409F6"/>
    <w:rsid w:val="00042FB4"/>
    <w:rsid w:val="0005737B"/>
    <w:rsid w:val="0006075B"/>
    <w:rsid w:val="00075BF9"/>
    <w:rsid w:val="00087A7D"/>
    <w:rsid w:val="00097C50"/>
    <w:rsid w:val="000A4A62"/>
    <w:rsid w:val="000B76B2"/>
    <w:rsid w:val="000D49DC"/>
    <w:rsid w:val="000E667E"/>
    <w:rsid w:val="000F47D9"/>
    <w:rsid w:val="00102B6B"/>
    <w:rsid w:val="0011534B"/>
    <w:rsid w:val="00125590"/>
    <w:rsid w:val="0013371B"/>
    <w:rsid w:val="00137AF5"/>
    <w:rsid w:val="00140134"/>
    <w:rsid w:val="00143DD1"/>
    <w:rsid w:val="00155909"/>
    <w:rsid w:val="00167D22"/>
    <w:rsid w:val="001730E3"/>
    <w:rsid w:val="00173161"/>
    <w:rsid w:val="00194EA2"/>
    <w:rsid w:val="001A2BD6"/>
    <w:rsid w:val="001D3FDE"/>
    <w:rsid w:val="001D53CB"/>
    <w:rsid w:val="001F2CE2"/>
    <w:rsid w:val="002235F1"/>
    <w:rsid w:val="00234E23"/>
    <w:rsid w:val="00247619"/>
    <w:rsid w:val="00264EFA"/>
    <w:rsid w:val="00265063"/>
    <w:rsid w:val="00283C1A"/>
    <w:rsid w:val="00287409"/>
    <w:rsid w:val="002A69CE"/>
    <w:rsid w:val="002A7950"/>
    <w:rsid w:val="002B05D1"/>
    <w:rsid w:val="002B6DD9"/>
    <w:rsid w:val="002D44B4"/>
    <w:rsid w:val="00303196"/>
    <w:rsid w:val="003031E2"/>
    <w:rsid w:val="00303B74"/>
    <w:rsid w:val="00303D97"/>
    <w:rsid w:val="00322B09"/>
    <w:rsid w:val="00365EB3"/>
    <w:rsid w:val="00381727"/>
    <w:rsid w:val="003851F0"/>
    <w:rsid w:val="00386E3A"/>
    <w:rsid w:val="003A7C90"/>
    <w:rsid w:val="003B0E05"/>
    <w:rsid w:val="003D251C"/>
    <w:rsid w:val="003E1511"/>
    <w:rsid w:val="003E3EAA"/>
    <w:rsid w:val="003F48C3"/>
    <w:rsid w:val="003F6A1F"/>
    <w:rsid w:val="003F78E9"/>
    <w:rsid w:val="00435937"/>
    <w:rsid w:val="00440CCA"/>
    <w:rsid w:val="00447153"/>
    <w:rsid w:val="00454F43"/>
    <w:rsid w:val="00454FF2"/>
    <w:rsid w:val="0046438E"/>
    <w:rsid w:val="00467EFA"/>
    <w:rsid w:val="0047182D"/>
    <w:rsid w:val="00471F8F"/>
    <w:rsid w:val="00475043"/>
    <w:rsid w:val="004833D0"/>
    <w:rsid w:val="00492429"/>
    <w:rsid w:val="0049792E"/>
    <w:rsid w:val="004A04BE"/>
    <w:rsid w:val="004A3431"/>
    <w:rsid w:val="004B7314"/>
    <w:rsid w:val="004F79CC"/>
    <w:rsid w:val="00510ED1"/>
    <w:rsid w:val="005261D4"/>
    <w:rsid w:val="00526D0F"/>
    <w:rsid w:val="005337D2"/>
    <w:rsid w:val="00535C8C"/>
    <w:rsid w:val="00540BB4"/>
    <w:rsid w:val="005517D5"/>
    <w:rsid w:val="005716F0"/>
    <w:rsid w:val="00594D22"/>
    <w:rsid w:val="005D4FDD"/>
    <w:rsid w:val="005E10BF"/>
    <w:rsid w:val="005E3415"/>
    <w:rsid w:val="005F075F"/>
    <w:rsid w:val="00600F6F"/>
    <w:rsid w:val="00601DB6"/>
    <w:rsid w:val="006126CC"/>
    <w:rsid w:val="006162A2"/>
    <w:rsid w:val="00620143"/>
    <w:rsid w:val="00623BC8"/>
    <w:rsid w:val="00627F66"/>
    <w:rsid w:val="006508A7"/>
    <w:rsid w:val="006606DE"/>
    <w:rsid w:val="00663140"/>
    <w:rsid w:val="00666246"/>
    <w:rsid w:val="0067077A"/>
    <w:rsid w:val="00670D1E"/>
    <w:rsid w:val="006A3D91"/>
    <w:rsid w:val="006B257B"/>
    <w:rsid w:val="006B4C13"/>
    <w:rsid w:val="006B60A3"/>
    <w:rsid w:val="006D15E6"/>
    <w:rsid w:val="006D6449"/>
    <w:rsid w:val="006E3CA4"/>
    <w:rsid w:val="006F352F"/>
    <w:rsid w:val="00703163"/>
    <w:rsid w:val="00711C88"/>
    <w:rsid w:val="0071684B"/>
    <w:rsid w:val="007170A2"/>
    <w:rsid w:val="00722E59"/>
    <w:rsid w:val="00735FE4"/>
    <w:rsid w:val="007375FE"/>
    <w:rsid w:val="0075154D"/>
    <w:rsid w:val="00756AF9"/>
    <w:rsid w:val="007757D4"/>
    <w:rsid w:val="0078780A"/>
    <w:rsid w:val="007B3BA2"/>
    <w:rsid w:val="007C0D5A"/>
    <w:rsid w:val="007D468D"/>
    <w:rsid w:val="007D6722"/>
    <w:rsid w:val="008021C9"/>
    <w:rsid w:val="008064B3"/>
    <w:rsid w:val="00807E94"/>
    <w:rsid w:val="00812AEE"/>
    <w:rsid w:val="00841BA5"/>
    <w:rsid w:val="00865BDB"/>
    <w:rsid w:val="008720AD"/>
    <w:rsid w:val="00874285"/>
    <w:rsid w:val="008752E9"/>
    <w:rsid w:val="0087725D"/>
    <w:rsid w:val="0089091B"/>
    <w:rsid w:val="008B47B4"/>
    <w:rsid w:val="008B6026"/>
    <w:rsid w:val="008C550F"/>
    <w:rsid w:val="008D7C4B"/>
    <w:rsid w:val="008D7F74"/>
    <w:rsid w:val="008F35D0"/>
    <w:rsid w:val="008F41B0"/>
    <w:rsid w:val="008F5AF8"/>
    <w:rsid w:val="008F6AA8"/>
    <w:rsid w:val="008F74FE"/>
    <w:rsid w:val="009076BF"/>
    <w:rsid w:val="0091405D"/>
    <w:rsid w:val="0095270B"/>
    <w:rsid w:val="00963955"/>
    <w:rsid w:val="00967E0E"/>
    <w:rsid w:val="00985AD2"/>
    <w:rsid w:val="009919D4"/>
    <w:rsid w:val="00991A00"/>
    <w:rsid w:val="00996336"/>
    <w:rsid w:val="009A67B9"/>
    <w:rsid w:val="009A6C62"/>
    <w:rsid w:val="009B0BA3"/>
    <w:rsid w:val="009C3424"/>
    <w:rsid w:val="009F2C13"/>
    <w:rsid w:val="009F4677"/>
    <w:rsid w:val="009F7A35"/>
    <w:rsid w:val="00A05F2D"/>
    <w:rsid w:val="00A14EF2"/>
    <w:rsid w:val="00A27DF2"/>
    <w:rsid w:val="00A34541"/>
    <w:rsid w:val="00A364FF"/>
    <w:rsid w:val="00A46380"/>
    <w:rsid w:val="00A861FA"/>
    <w:rsid w:val="00AA351C"/>
    <w:rsid w:val="00AA40A8"/>
    <w:rsid w:val="00AB4E49"/>
    <w:rsid w:val="00AC1C5E"/>
    <w:rsid w:val="00AC4B56"/>
    <w:rsid w:val="00AC5CD6"/>
    <w:rsid w:val="00AE4119"/>
    <w:rsid w:val="00AE638C"/>
    <w:rsid w:val="00AF0647"/>
    <w:rsid w:val="00AF4A66"/>
    <w:rsid w:val="00B01800"/>
    <w:rsid w:val="00B11826"/>
    <w:rsid w:val="00B32BE0"/>
    <w:rsid w:val="00B45DED"/>
    <w:rsid w:val="00B46D3E"/>
    <w:rsid w:val="00B95433"/>
    <w:rsid w:val="00BC2C1F"/>
    <w:rsid w:val="00BC5A3E"/>
    <w:rsid w:val="00BD15CB"/>
    <w:rsid w:val="00BE2820"/>
    <w:rsid w:val="00C01248"/>
    <w:rsid w:val="00C20F11"/>
    <w:rsid w:val="00C32C5D"/>
    <w:rsid w:val="00C36168"/>
    <w:rsid w:val="00C445E7"/>
    <w:rsid w:val="00C502F0"/>
    <w:rsid w:val="00C51D9F"/>
    <w:rsid w:val="00C51F6A"/>
    <w:rsid w:val="00C74368"/>
    <w:rsid w:val="00C823DD"/>
    <w:rsid w:val="00C867F4"/>
    <w:rsid w:val="00C87D37"/>
    <w:rsid w:val="00CB7B77"/>
    <w:rsid w:val="00CD13F8"/>
    <w:rsid w:val="00CD306F"/>
    <w:rsid w:val="00CD73DC"/>
    <w:rsid w:val="00CE671C"/>
    <w:rsid w:val="00CF5D7B"/>
    <w:rsid w:val="00D20618"/>
    <w:rsid w:val="00D21138"/>
    <w:rsid w:val="00D274EB"/>
    <w:rsid w:val="00D4304B"/>
    <w:rsid w:val="00D46B38"/>
    <w:rsid w:val="00D67738"/>
    <w:rsid w:val="00D7733F"/>
    <w:rsid w:val="00D77FD4"/>
    <w:rsid w:val="00D80CA9"/>
    <w:rsid w:val="00D80E61"/>
    <w:rsid w:val="00D83915"/>
    <w:rsid w:val="00D84A7B"/>
    <w:rsid w:val="00DB1948"/>
    <w:rsid w:val="00DC3E68"/>
    <w:rsid w:val="00DC771E"/>
    <w:rsid w:val="00DD00CC"/>
    <w:rsid w:val="00DD0212"/>
    <w:rsid w:val="00DE219E"/>
    <w:rsid w:val="00DE24F2"/>
    <w:rsid w:val="00DF722C"/>
    <w:rsid w:val="00E044E7"/>
    <w:rsid w:val="00E33FBE"/>
    <w:rsid w:val="00E50856"/>
    <w:rsid w:val="00E6165E"/>
    <w:rsid w:val="00E66297"/>
    <w:rsid w:val="00E86F74"/>
    <w:rsid w:val="00EA0B81"/>
    <w:rsid w:val="00EA1162"/>
    <w:rsid w:val="00EA11DF"/>
    <w:rsid w:val="00EA29BB"/>
    <w:rsid w:val="00EA5088"/>
    <w:rsid w:val="00EA5AAE"/>
    <w:rsid w:val="00EA6CBA"/>
    <w:rsid w:val="00EB76A8"/>
    <w:rsid w:val="00EC4A33"/>
    <w:rsid w:val="00ED59A1"/>
    <w:rsid w:val="00EE5100"/>
    <w:rsid w:val="00F014D9"/>
    <w:rsid w:val="00F041FB"/>
    <w:rsid w:val="00F04BD0"/>
    <w:rsid w:val="00F13029"/>
    <w:rsid w:val="00F1550A"/>
    <w:rsid w:val="00F15A5C"/>
    <w:rsid w:val="00F20208"/>
    <w:rsid w:val="00F266DC"/>
    <w:rsid w:val="00F502AE"/>
    <w:rsid w:val="00F54E60"/>
    <w:rsid w:val="00F62593"/>
    <w:rsid w:val="00F6536D"/>
    <w:rsid w:val="00F8694B"/>
    <w:rsid w:val="00F91E75"/>
    <w:rsid w:val="00F92A4A"/>
    <w:rsid w:val="00F97AFF"/>
    <w:rsid w:val="00FA1D91"/>
    <w:rsid w:val="00FA4230"/>
    <w:rsid w:val="00FC5846"/>
    <w:rsid w:val="00FD1C3C"/>
    <w:rsid w:val="00FD2F47"/>
    <w:rsid w:val="00FD7F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5100"/>
  </w:style>
  <w:style w:type="paragraph" w:styleId="Heading1">
    <w:name w:val="heading 1"/>
    <w:basedOn w:val="Normal"/>
    <w:next w:val="Normal"/>
    <w:qFormat/>
    <w:rsid w:val="00EE5100"/>
    <w:pPr>
      <w:keepNext/>
      <w:tabs>
        <w:tab w:val="left" w:pos="450"/>
        <w:tab w:val="left" w:pos="3780"/>
        <w:tab w:val="left" w:pos="5760"/>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5100"/>
    <w:pPr>
      <w:tabs>
        <w:tab w:val="center" w:pos="4320"/>
        <w:tab w:val="right" w:pos="8640"/>
      </w:tabs>
    </w:pPr>
  </w:style>
  <w:style w:type="paragraph" w:styleId="Footer">
    <w:name w:val="footer"/>
    <w:basedOn w:val="Normal"/>
    <w:rsid w:val="00EE5100"/>
    <w:pPr>
      <w:tabs>
        <w:tab w:val="center" w:pos="4320"/>
        <w:tab w:val="right" w:pos="8640"/>
      </w:tabs>
    </w:pPr>
  </w:style>
  <w:style w:type="character" w:styleId="PageNumber">
    <w:name w:val="page number"/>
    <w:basedOn w:val="DefaultParagraphFont"/>
    <w:rsid w:val="00EE5100"/>
    <w:rPr>
      <w:rFonts w:cs="Times New Roman"/>
    </w:rPr>
  </w:style>
  <w:style w:type="paragraph" w:styleId="BodyText">
    <w:name w:val="Body Text"/>
    <w:basedOn w:val="Normal"/>
    <w:rsid w:val="00EE5100"/>
    <w:rPr>
      <w:sz w:val="22"/>
      <w:szCs w:val="22"/>
    </w:rPr>
  </w:style>
  <w:style w:type="character" w:styleId="Hyperlink">
    <w:name w:val="Hyperlink"/>
    <w:basedOn w:val="DefaultParagraphFont"/>
    <w:rsid w:val="00EE5100"/>
    <w:rPr>
      <w:rFonts w:cs="Times New Roman"/>
      <w:color w:val="0000FF"/>
      <w:u w:val="single"/>
    </w:rPr>
  </w:style>
  <w:style w:type="paragraph" w:styleId="BalloonText">
    <w:name w:val="Balloon Text"/>
    <w:basedOn w:val="Normal"/>
    <w:semiHidden/>
    <w:rsid w:val="00DC3E68"/>
    <w:rPr>
      <w:rFonts w:ascii="Tahoma" w:hAnsi="Tahoma" w:cs="Tahoma"/>
      <w:sz w:val="16"/>
      <w:szCs w:val="16"/>
    </w:rPr>
  </w:style>
  <w:style w:type="paragraph" w:styleId="ListParagraph">
    <w:name w:val="List Paragraph"/>
    <w:basedOn w:val="Normal"/>
    <w:uiPriority w:val="34"/>
    <w:qFormat/>
    <w:rsid w:val="000A4A62"/>
    <w:pPr>
      <w:ind w:left="720"/>
      <w:contextualSpacing/>
    </w:pPr>
  </w:style>
  <w:style w:type="paragraph" w:styleId="FootnoteText">
    <w:name w:val="footnote text"/>
    <w:basedOn w:val="Normal"/>
    <w:link w:val="FootnoteTextChar"/>
    <w:rsid w:val="00AA40A8"/>
  </w:style>
  <w:style w:type="character" w:customStyle="1" w:styleId="FootnoteTextChar">
    <w:name w:val="Footnote Text Char"/>
    <w:basedOn w:val="DefaultParagraphFont"/>
    <w:link w:val="FootnoteText"/>
    <w:rsid w:val="00AA40A8"/>
  </w:style>
  <w:style w:type="character" w:styleId="FootnoteReference">
    <w:name w:val="footnote reference"/>
    <w:basedOn w:val="DefaultParagraphFont"/>
    <w:rsid w:val="00AA40A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2016-01-07T08:00:00+00:00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F220C63-073D-4785-8CC2-AD0F677B3BAA}"/>
</file>

<file path=customXml/itemProps2.xml><?xml version="1.0" encoding="utf-8"?>
<ds:datastoreItem xmlns:ds="http://schemas.openxmlformats.org/officeDocument/2006/customXml" ds:itemID="{1B2DC040-F6C6-4A44-B842-8F062598D9CE}"/>
</file>

<file path=customXml/itemProps3.xml><?xml version="1.0" encoding="utf-8"?>
<ds:datastoreItem xmlns:ds="http://schemas.openxmlformats.org/officeDocument/2006/customXml" ds:itemID="{25384418-23AD-47CA-8B15-C0DD8B503D84}"/>
</file>

<file path=customXml/itemProps4.xml><?xml version="1.0" encoding="utf-8"?>
<ds:datastoreItem xmlns:ds="http://schemas.openxmlformats.org/officeDocument/2006/customXml" ds:itemID="{821B7761-3BFC-4AC0-9596-8267577E2065}"/>
</file>

<file path=customXml/itemProps5.xml><?xml version="1.0" encoding="utf-8"?>
<ds:datastoreItem xmlns:ds="http://schemas.openxmlformats.org/officeDocument/2006/customXml" ds:itemID="{BE018FBF-F5B4-470D-8D4F-A1817A4C72F0}"/>
</file>

<file path=docProps/app.xml><?xml version="1.0" encoding="utf-8"?>
<Properties xmlns="http://schemas.openxmlformats.org/officeDocument/2006/extended-properties" xmlns:vt="http://schemas.openxmlformats.org/officeDocument/2006/docPropsVTypes">
  <Template>Normal.dotm</Template>
  <TotalTime>95</TotalTime>
  <Pages>3</Pages>
  <Words>1075</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Notice is hereby given that the “Sheets” listed below of Tariff WN U-27, covering natural gas service, have been filed with the Washington Utilities and Transportation Commission (WUTC) in Olympia:</vt:lpstr>
    </vt:vector>
  </TitlesOfParts>
  <Company>Micron Electronics, Inc.</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is hereby given that the “Sheets” listed below of Tariff WN U-27, covering natural gas service, have been filed with the Washington Utilities and Transportation Commission (WUTC) in Olympia:</dc:title>
  <dc:creator>judy johnson</dc:creator>
  <cp:lastModifiedBy>Pat Ehrbar</cp:lastModifiedBy>
  <cp:revision>19</cp:revision>
  <cp:lastPrinted>2016-01-07T01:37:00Z</cp:lastPrinted>
  <dcterms:created xsi:type="dcterms:W3CDTF">2016-01-06T16:19:00Z</dcterms:created>
  <dcterms:modified xsi:type="dcterms:W3CDTF">2016-01-07T16:18:00Z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