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Tr="0084488A">
        <w:tc>
          <w:tcPr>
            <w:tcW w:w="4698" w:type="dxa"/>
            <w:tcBorders>
              <w:top w:val="nil"/>
              <w:bottom w:val="single" w:sz="4" w:space="0" w:color="auto"/>
            </w:tcBorders>
          </w:tcPr>
          <w:p w:rsidR="006117AB" w:rsidRDefault="006117AB" w:rsidP="0084488A">
            <w:pPr>
              <w:spacing w:line="276" w:lineRule="auto"/>
            </w:pPr>
            <w:bookmarkStart w:id="0" w:name="_zzmpFIXED_CaptionTable"/>
            <w:r>
              <w:t>WASHINGTON UTILITIES AND TRANSPORTATION COMMISSION,</w:t>
            </w:r>
          </w:p>
          <w:p w:rsidR="006117AB" w:rsidRDefault="006117AB" w:rsidP="0084488A">
            <w:pPr>
              <w:spacing w:line="276" w:lineRule="auto"/>
            </w:pPr>
          </w:p>
          <w:p w:rsidR="006117AB" w:rsidRDefault="006117AB" w:rsidP="0084488A">
            <w:pPr>
              <w:spacing w:line="276" w:lineRule="auto"/>
              <w:jc w:val="center"/>
            </w:pPr>
            <w:r>
              <w:t>Complainant,</w:t>
            </w:r>
          </w:p>
          <w:p w:rsidR="006117AB" w:rsidRDefault="006117AB" w:rsidP="0084488A">
            <w:pPr>
              <w:spacing w:line="276" w:lineRule="auto"/>
            </w:pPr>
          </w:p>
          <w:p w:rsidR="006117AB" w:rsidRDefault="006117AB" w:rsidP="0084488A">
            <w:pPr>
              <w:spacing w:line="276" w:lineRule="auto"/>
              <w:jc w:val="center"/>
            </w:pPr>
            <w:r>
              <w:t>v.</w:t>
            </w:r>
          </w:p>
          <w:p w:rsidR="006117AB" w:rsidRDefault="006117AB" w:rsidP="0084488A">
            <w:pPr>
              <w:spacing w:line="276" w:lineRule="auto"/>
              <w:jc w:val="center"/>
            </w:pPr>
          </w:p>
          <w:p w:rsidR="006117AB" w:rsidRDefault="006117AB" w:rsidP="0084488A">
            <w:pPr>
              <w:spacing w:line="276" w:lineRule="auto"/>
            </w:pPr>
            <w:r w:rsidRPr="00FE2B9A">
              <w:fldChar w:fldCharType="begin"/>
            </w:r>
            <w:r w:rsidRPr="00FE2B9A">
              <w:instrText xml:space="preserve"> ASK company1_name "Enter Full Company 1 Name</w:instrText>
            </w:r>
            <w:r w:rsidRPr="00FE2B9A">
              <w:fldChar w:fldCharType="separate"/>
            </w:r>
            <w:bookmarkStart w:id="1" w:name="company1_name"/>
            <w:r w:rsidRPr="00FE2B9A">
              <w:t>Puget Sound Energy</w:t>
            </w:r>
            <w:bookmarkEnd w:id="1"/>
            <w:r w:rsidRPr="00FE2B9A">
              <w:fldChar w:fldCharType="end"/>
            </w:r>
            <w:r w:rsidR="000507A9">
              <w:t>PUGET SOUND ENERGY</w:t>
            </w:r>
            <w:r>
              <w:t>,</w:t>
            </w:r>
          </w:p>
          <w:p w:rsidR="006117AB" w:rsidRDefault="006117AB" w:rsidP="0084488A">
            <w:pPr>
              <w:spacing w:line="276" w:lineRule="auto"/>
              <w:jc w:val="center"/>
            </w:pPr>
            <w:r>
              <w:fldChar w:fldCharType="begin"/>
            </w:r>
            <w:r>
              <w:instrText xml:space="preserve"> ASK acronym1 "Enter company 1's Short Name" \* MERGEFORMAT </w:instrText>
            </w:r>
            <w:r>
              <w:fldChar w:fldCharType="separate"/>
            </w:r>
            <w:bookmarkStart w:id="2" w:name="acronym1"/>
            <w:r>
              <w:t>PSE</w:t>
            </w:r>
            <w:bookmarkEnd w:id="2"/>
            <w:r>
              <w:fldChar w:fldCharType="end"/>
            </w:r>
          </w:p>
          <w:p w:rsidR="006117AB" w:rsidRDefault="006117AB" w:rsidP="0084488A">
            <w:pPr>
              <w:spacing w:line="276" w:lineRule="auto"/>
              <w:jc w:val="center"/>
            </w:pPr>
            <w:r>
              <w:t>Respondent.</w:t>
            </w:r>
          </w:p>
          <w:p w:rsidR="006117AB" w:rsidRPr="00E16149" w:rsidRDefault="006117AB" w:rsidP="0084488A">
            <w:pPr>
              <w:pStyle w:val="Caption"/>
            </w:pPr>
          </w:p>
        </w:tc>
        <w:tc>
          <w:tcPr>
            <w:tcW w:w="4770" w:type="dxa"/>
          </w:tcPr>
          <w:p w:rsidR="006117AB" w:rsidRDefault="0088223B" w:rsidP="0084488A">
            <w:pPr>
              <w:pStyle w:val="Caption"/>
              <w:tabs>
                <w:tab w:val="left" w:pos="1238"/>
              </w:tabs>
              <w:spacing w:before="240" w:after="240"/>
              <w:ind w:left="259" w:right="115"/>
            </w:pPr>
            <w:r>
              <w:t>No. PG-160924</w:t>
            </w:r>
          </w:p>
          <w:p w:rsidR="006117AB" w:rsidRPr="00C350F8" w:rsidRDefault="006117AB" w:rsidP="0088223B">
            <w:pPr>
              <w:pStyle w:val="DocumentTitle"/>
              <w:rPr>
                <w:b/>
              </w:rPr>
            </w:pPr>
            <w:r w:rsidRPr="00C350F8">
              <w:rPr>
                <w:b/>
              </w:rPr>
              <w:t xml:space="preserve">PUGET SOUND ENERGY’S </w:t>
            </w:r>
            <w:r>
              <w:rPr>
                <w:b/>
              </w:rPr>
              <w:t>MOTION</w:t>
            </w:r>
            <w:r w:rsidR="004A1D07">
              <w:rPr>
                <w:b/>
              </w:rPr>
              <w:t xml:space="preserve"> TO </w:t>
            </w:r>
            <w:r w:rsidR="00941AAB">
              <w:rPr>
                <w:b/>
              </w:rPr>
              <w:t xml:space="preserve">STRIKE PORTIONS OF THE PREFILED DIRECT TESTIMONY OF </w:t>
            </w:r>
            <w:r w:rsidR="0088223B">
              <w:rPr>
                <w:b/>
              </w:rPr>
              <w:t>SEBASTIAN COPPOLA ON BEHALF OF PUBLIC COUNSEL</w:t>
            </w:r>
          </w:p>
        </w:tc>
      </w:tr>
      <w:bookmarkEnd w:id="0"/>
    </w:tbl>
    <w:p w:rsidR="00A368E9" w:rsidRDefault="00A368E9" w:rsidP="00A368E9"/>
    <w:p w:rsidR="00996A90" w:rsidRDefault="00996A90" w:rsidP="00A368E9"/>
    <w:p w:rsidR="00996A90" w:rsidRDefault="00996A90" w:rsidP="00A368E9"/>
    <w:p w:rsidR="00996A90" w:rsidRDefault="00996A90" w:rsidP="00A368E9"/>
    <w:p w:rsidR="00996A90" w:rsidRDefault="00996A90" w:rsidP="00A368E9"/>
    <w:p w:rsidR="00996A90" w:rsidRPr="00A368E9" w:rsidRDefault="00996A90" w:rsidP="00A368E9"/>
    <w:p w:rsidR="003D2170" w:rsidRPr="000204B9" w:rsidRDefault="00D31533" w:rsidP="000546ED">
      <w:pPr>
        <w:pStyle w:val="PleadingsL1"/>
      </w:pPr>
      <w:r w:rsidRPr="000204B9">
        <w:t>INTRODUCTION</w:t>
      </w:r>
      <w:r w:rsidR="009D6760">
        <w:t xml:space="preserve"> AND RELIEF REQUESTED</w:t>
      </w:r>
    </w:p>
    <w:p w:rsidR="00E57445" w:rsidRPr="00E57445" w:rsidRDefault="003D6177" w:rsidP="004C2830">
      <w:pPr>
        <w:pStyle w:val="Header"/>
        <w:numPr>
          <w:ilvl w:val="0"/>
          <w:numId w:val="13"/>
        </w:numPr>
        <w:tabs>
          <w:tab w:val="left" w:pos="720"/>
        </w:tabs>
        <w:autoSpaceDE w:val="0"/>
        <w:autoSpaceDN w:val="0"/>
        <w:adjustRightInd w:val="0"/>
        <w:spacing w:line="480" w:lineRule="auto"/>
        <w:rPr>
          <w:bCs/>
        </w:rPr>
      </w:pPr>
      <w:r>
        <w:tab/>
      </w:r>
      <w:r w:rsidR="00E57445">
        <w:t xml:space="preserve">Puget Sound Energy (“PSE”) </w:t>
      </w:r>
      <w:r w:rsidR="001D0E62">
        <w:t>supports</w:t>
      </w:r>
      <w:r w:rsidR="00E57445">
        <w:t xml:space="preserve"> and joins in WUTC Staff’s (“Staff”) Motion to Strike Portions of Public Counsel’s Testimony in Opposition to Settlement (“</w:t>
      </w:r>
      <w:r w:rsidR="0018136B">
        <w:t xml:space="preserve">Staff </w:t>
      </w:r>
      <w:r w:rsidR="00E57445">
        <w:t>Motion to Strike”)</w:t>
      </w:r>
      <w:r w:rsidR="001D0E62">
        <w:t xml:space="preserve"> for the reasons set forth therein</w:t>
      </w:r>
      <w:r w:rsidR="00D430E8">
        <w:t>.</w:t>
      </w:r>
      <w:bookmarkStart w:id="3" w:name="_GoBack"/>
      <w:bookmarkEnd w:id="3"/>
    </w:p>
    <w:p w:rsidR="000204B9" w:rsidRPr="004C2830" w:rsidRDefault="007010FC" w:rsidP="004C2830">
      <w:pPr>
        <w:pStyle w:val="Header"/>
        <w:numPr>
          <w:ilvl w:val="0"/>
          <w:numId w:val="13"/>
        </w:numPr>
        <w:tabs>
          <w:tab w:val="left" w:pos="720"/>
        </w:tabs>
        <w:autoSpaceDE w:val="0"/>
        <w:autoSpaceDN w:val="0"/>
        <w:adjustRightInd w:val="0"/>
        <w:spacing w:line="480" w:lineRule="auto"/>
        <w:rPr>
          <w:bCs/>
        </w:rPr>
      </w:pPr>
      <w:r>
        <w:tab/>
      </w:r>
      <w:r w:rsidR="001D0E62">
        <w:t>Accordingly</w:t>
      </w:r>
      <w:r w:rsidR="009D6760">
        <w:t>, p</w:t>
      </w:r>
      <w:r w:rsidR="0088223B" w:rsidRPr="0088223B">
        <w:t xml:space="preserve">ursuant to WAC 480-07-375(1)(d), PSE </w:t>
      </w:r>
      <w:r w:rsidR="0018136B">
        <w:t xml:space="preserve">likewise </w:t>
      </w:r>
      <w:r w:rsidR="0088223B" w:rsidRPr="0088223B">
        <w:t xml:space="preserve">moves to strike </w:t>
      </w:r>
      <w:r w:rsidR="00ED5A78">
        <w:t xml:space="preserve">the following </w:t>
      </w:r>
      <w:r w:rsidR="00941AAB">
        <w:t xml:space="preserve">portions of the Prefiled Direct Testimony of </w:t>
      </w:r>
      <w:r w:rsidR="0088223B">
        <w:t>Sebastian Coppola</w:t>
      </w:r>
      <w:r w:rsidR="005C64D4">
        <w:t>, Exh</w:t>
      </w:r>
      <w:r w:rsidR="00442385">
        <w:t>ibit</w:t>
      </w:r>
      <w:r w:rsidR="005C64D4">
        <w:t xml:space="preserve"> No. SC-1T</w:t>
      </w:r>
      <w:r w:rsidR="00941AAB">
        <w:t xml:space="preserve">, filed on behalf of </w:t>
      </w:r>
      <w:r w:rsidR="0088223B">
        <w:t>Public Counsel</w:t>
      </w:r>
      <w:r w:rsidR="00513604">
        <w:t>:</w:t>
      </w:r>
    </w:p>
    <w:p w:rsidR="007010FC" w:rsidRDefault="007010FC">
      <w:r>
        <w:br w:type="page"/>
      </w:r>
    </w:p>
    <w:tbl>
      <w:tblPr>
        <w:tblStyle w:val="TableGrid2"/>
        <w:tblW w:w="9517" w:type="dxa"/>
        <w:tblInd w:w="108" w:type="dxa"/>
        <w:tblLook w:val="04A0" w:firstRow="1" w:lastRow="0" w:firstColumn="1" w:lastColumn="0" w:noHBand="0" w:noVBand="1"/>
      </w:tblPr>
      <w:tblGrid>
        <w:gridCol w:w="2767"/>
        <w:gridCol w:w="3060"/>
        <w:gridCol w:w="3690"/>
      </w:tblGrid>
      <w:tr w:rsidR="00012BCB" w:rsidRPr="00012BCB" w:rsidTr="00012BCB">
        <w:trPr>
          <w:trHeight w:val="757"/>
        </w:trPr>
        <w:tc>
          <w:tcPr>
            <w:tcW w:w="2767" w:type="dxa"/>
            <w:shd w:val="clear" w:color="auto" w:fill="A6A6A6" w:themeFill="background1" w:themeFillShade="A6"/>
          </w:tcPr>
          <w:p w:rsidR="00012BCB" w:rsidRPr="00012BCB" w:rsidRDefault="00012BCB" w:rsidP="00012BCB">
            <w:pPr>
              <w:spacing w:before="240"/>
              <w:jc w:val="center"/>
              <w:rPr>
                <w:rFonts w:ascii="Times New Roman Bold" w:hAnsi="Times New Roman Bold"/>
                <w:b/>
                <w:smallCaps/>
              </w:rPr>
            </w:pPr>
            <w:r w:rsidRPr="00012BCB">
              <w:rPr>
                <w:rFonts w:ascii="Times New Roman Bold" w:hAnsi="Times New Roman Bold"/>
                <w:b/>
                <w:smallCaps/>
              </w:rPr>
              <w:lastRenderedPageBreak/>
              <w:t>Portion to Strike</w:t>
            </w:r>
          </w:p>
        </w:tc>
        <w:tc>
          <w:tcPr>
            <w:tcW w:w="3060" w:type="dxa"/>
            <w:shd w:val="clear" w:color="auto" w:fill="A6A6A6" w:themeFill="background1" w:themeFillShade="A6"/>
          </w:tcPr>
          <w:p w:rsidR="00012BCB" w:rsidRPr="00012BCB" w:rsidRDefault="00012BCB" w:rsidP="00012BCB">
            <w:pPr>
              <w:spacing w:before="240"/>
              <w:jc w:val="center"/>
              <w:rPr>
                <w:rFonts w:ascii="Times New Roman Bold" w:hAnsi="Times New Roman Bold"/>
                <w:b/>
                <w:smallCaps/>
              </w:rPr>
            </w:pPr>
            <w:r w:rsidRPr="00012BCB">
              <w:rPr>
                <w:rFonts w:ascii="Times New Roman Bold" w:hAnsi="Times New Roman Bold"/>
                <w:b/>
                <w:smallCaps/>
              </w:rPr>
              <w:t>Issue</w:t>
            </w:r>
          </w:p>
        </w:tc>
        <w:tc>
          <w:tcPr>
            <w:tcW w:w="3690" w:type="dxa"/>
            <w:shd w:val="clear" w:color="auto" w:fill="A6A6A6" w:themeFill="background1" w:themeFillShade="A6"/>
          </w:tcPr>
          <w:p w:rsidR="00012BCB" w:rsidRPr="00012BCB" w:rsidRDefault="00012BCB" w:rsidP="00012BCB">
            <w:pPr>
              <w:spacing w:before="240"/>
              <w:jc w:val="center"/>
              <w:rPr>
                <w:rFonts w:ascii="Times New Roman Bold" w:hAnsi="Times New Roman Bold"/>
                <w:b/>
                <w:smallCaps/>
              </w:rPr>
            </w:pPr>
            <w:r w:rsidRPr="00012BCB">
              <w:rPr>
                <w:rFonts w:ascii="Times New Roman Bold" w:hAnsi="Times New Roman Bold"/>
                <w:b/>
                <w:smallCaps/>
              </w:rPr>
              <w:t>Justification to Exclude</w:t>
            </w:r>
          </w:p>
        </w:tc>
      </w:tr>
      <w:tr w:rsidR="00012BCB" w:rsidRPr="00BC429D" w:rsidTr="008F5176">
        <w:trPr>
          <w:trHeight w:val="757"/>
        </w:trPr>
        <w:tc>
          <w:tcPr>
            <w:tcW w:w="2767" w:type="dxa"/>
          </w:tcPr>
          <w:p w:rsidR="00012BCB" w:rsidRPr="00BC429D" w:rsidRDefault="00012BCB" w:rsidP="008F5176">
            <w:pPr>
              <w:rPr>
                <w:rFonts w:cs="Times New Roman"/>
              </w:rPr>
            </w:pPr>
            <w:r w:rsidRPr="00BC429D">
              <w:rPr>
                <w:rFonts w:cs="Times New Roman"/>
              </w:rPr>
              <w:t>SC-1T at page 9, lines 2-4</w:t>
            </w:r>
          </w:p>
        </w:tc>
        <w:tc>
          <w:tcPr>
            <w:tcW w:w="3060" w:type="dxa"/>
          </w:tcPr>
          <w:p w:rsidR="00012BCB" w:rsidRPr="00BC429D" w:rsidRDefault="00012BCB" w:rsidP="008F5176">
            <w:pPr>
              <w:rPr>
                <w:rFonts w:cs="Times New Roman"/>
              </w:rPr>
            </w:pPr>
            <w:r w:rsidRPr="00BC429D">
              <w:rPr>
                <w:rFonts w:cs="Times New Roman"/>
              </w:rPr>
              <w:t>Attempt to amend or alter the complaint</w:t>
            </w:r>
          </w:p>
        </w:tc>
        <w:tc>
          <w:tcPr>
            <w:tcW w:w="3690" w:type="dxa"/>
          </w:tcPr>
          <w:p w:rsidR="00012BCB" w:rsidRPr="00BC429D" w:rsidRDefault="00012BCB" w:rsidP="008F5176">
            <w:pPr>
              <w:rPr>
                <w:rFonts w:cs="Times New Roman"/>
              </w:rPr>
            </w:pPr>
            <w:r w:rsidRPr="00BC429D">
              <w:rPr>
                <w:rFonts w:cs="Times New Roman"/>
              </w:rPr>
              <w:t>Due process, violates procedural rules, and irrelevant to jurisdictional complaint</w:t>
            </w:r>
          </w:p>
        </w:tc>
      </w:tr>
      <w:tr w:rsidR="00012BCB" w:rsidRPr="00BC429D" w:rsidTr="008F5176">
        <w:trPr>
          <w:trHeight w:val="757"/>
        </w:trPr>
        <w:tc>
          <w:tcPr>
            <w:tcW w:w="2767" w:type="dxa"/>
          </w:tcPr>
          <w:p w:rsidR="00012BCB" w:rsidRPr="00BC429D" w:rsidRDefault="00012BCB" w:rsidP="008F5176">
            <w:pPr>
              <w:rPr>
                <w:rFonts w:cs="Times New Roman"/>
              </w:rPr>
            </w:pPr>
            <w:r w:rsidRPr="00BC429D">
              <w:rPr>
                <w:rFonts w:cs="Times New Roman"/>
              </w:rPr>
              <w:t>SC-1T at page 9, line 15 beginning with “alternatively . . .” through line 17</w:t>
            </w:r>
          </w:p>
        </w:tc>
        <w:tc>
          <w:tcPr>
            <w:tcW w:w="3060" w:type="dxa"/>
          </w:tcPr>
          <w:p w:rsidR="00012BCB" w:rsidRPr="00BC429D" w:rsidRDefault="00012BCB" w:rsidP="008F5176">
            <w:pPr>
              <w:rPr>
                <w:rFonts w:cs="Times New Roman"/>
              </w:rPr>
            </w:pPr>
            <w:r w:rsidRPr="00BC429D">
              <w:rPr>
                <w:rFonts w:cs="Times New Roman"/>
              </w:rPr>
              <w:t>Attempt to amend or alter the complaint</w:t>
            </w:r>
          </w:p>
        </w:tc>
        <w:tc>
          <w:tcPr>
            <w:tcW w:w="3690" w:type="dxa"/>
          </w:tcPr>
          <w:p w:rsidR="00012BCB" w:rsidRPr="00BC429D" w:rsidRDefault="00012BCB" w:rsidP="008F5176">
            <w:pPr>
              <w:rPr>
                <w:rFonts w:cs="Times New Roman"/>
              </w:rPr>
            </w:pPr>
            <w:r w:rsidRPr="00BC429D">
              <w:rPr>
                <w:rFonts w:cs="Times New Roman"/>
              </w:rPr>
              <w:t>Due process, violates procedural rules, and irrelevant to jurisdictional complaint</w:t>
            </w:r>
          </w:p>
        </w:tc>
      </w:tr>
      <w:tr w:rsidR="00012BCB" w:rsidRPr="00BC429D" w:rsidTr="008F5176">
        <w:trPr>
          <w:trHeight w:val="757"/>
        </w:trPr>
        <w:tc>
          <w:tcPr>
            <w:tcW w:w="2767" w:type="dxa"/>
          </w:tcPr>
          <w:p w:rsidR="00012BCB" w:rsidRPr="00BC429D" w:rsidRDefault="00012BCB" w:rsidP="008F5176">
            <w:r w:rsidRPr="00BC429D">
              <w:rPr>
                <w:rFonts w:cs="Times New Roman"/>
              </w:rPr>
              <w:t xml:space="preserve">SC-1T at page 9, lines 18-21 </w:t>
            </w:r>
          </w:p>
        </w:tc>
        <w:tc>
          <w:tcPr>
            <w:tcW w:w="3060" w:type="dxa"/>
          </w:tcPr>
          <w:p w:rsidR="00012BCB" w:rsidRPr="00BC429D" w:rsidRDefault="00012BCB" w:rsidP="008F5176">
            <w:r>
              <w:rPr>
                <w:rFonts w:cs="Times New Roman"/>
              </w:rPr>
              <w:t>Rate setting matters</w:t>
            </w:r>
          </w:p>
        </w:tc>
        <w:tc>
          <w:tcPr>
            <w:tcW w:w="3690" w:type="dxa"/>
          </w:tcPr>
          <w:p w:rsidR="00012BCB" w:rsidRPr="00BC429D" w:rsidRDefault="00012BCB" w:rsidP="008F5176">
            <w:r w:rsidRPr="00BC429D">
              <w:rPr>
                <w:rFonts w:cs="Times New Roman"/>
              </w:rPr>
              <w:t xml:space="preserve">Irrelevant/immaterial </w:t>
            </w:r>
          </w:p>
        </w:tc>
      </w:tr>
      <w:tr w:rsidR="00012BCB" w:rsidRPr="00BC429D" w:rsidTr="008F5176">
        <w:trPr>
          <w:trHeight w:val="757"/>
        </w:trPr>
        <w:tc>
          <w:tcPr>
            <w:tcW w:w="2767" w:type="dxa"/>
          </w:tcPr>
          <w:p w:rsidR="00012BCB" w:rsidRPr="00BC429D" w:rsidRDefault="00012BCB" w:rsidP="008F5176">
            <w:pPr>
              <w:rPr>
                <w:rFonts w:cs="Times New Roman"/>
              </w:rPr>
            </w:pPr>
            <w:r>
              <w:rPr>
                <w:rFonts w:cs="Times New Roman"/>
              </w:rPr>
              <w:t xml:space="preserve">SC-1T at page 9 line 22 </w:t>
            </w:r>
            <w:r w:rsidRPr="00BC429D">
              <w:rPr>
                <w:rFonts w:cs="Times New Roman"/>
              </w:rPr>
              <w:t>through page 10</w:t>
            </w:r>
            <w:r>
              <w:rPr>
                <w:rFonts w:cs="Times New Roman"/>
              </w:rPr>
              <w:t xml:space="preserve"> line 14</w:t>
            </w:r>
          </w:p>
        </w:tc>
        <w:tc>
          <w:tcPr>
            <w:tcW w:w="3060" w:type="dxa"/>
          </w:tcPr>
          <w:p w:rsidR="00012BCB" w:rsidRPr="00BC429D" w:rsidRDefault="00012BCB" w:rsidP="008F5176">
            <w:pPr>
              <w:rPr>
                <w:rFonts w:cs="Times New Roman"/>
              </w:rPr>
            </w:pPr>
            <w:r w:rsidRPr="00BC429D">
              <w:rPr>
                <w:rFonts w:cs="Times New Roman"/>
              </w:rPr>
              <w:t>PC internal disagreement over inspection and remediation</w:t>
            </w:r>
          </w:p>
        </w:tc>
        <w:tc>
          <w:tcPr>
            <w:tcW w:w="3690" w:type="dxa"/>
          </w:tcPr>
          <w:p w:rsidR="00012BCB" w:rsidRPr="00BC429D" w:rsidRDefault="00012BCB" w:rsidP="008F5176">
            <w:pPr>
              <w:rPr>
                <w:rFonts w:cs="Times New Roman"/>
              </w:rPr>
            </w:pPr>
            <w:r w:rsidRPr="00BC429D">
              <w:rPr>
                <w:rFonts w:cs="Times New Roman"/>
              </w:rPr>
              <w:t xml:space="preserve">Irrelevant/immaterial </w:t>
            </w:r>
          </w:p>
        </w:tc>
      </w:tr>
      <w:tr w:rsidR="00012BCB" w:rsidRPr="00BC429D" w:rsidTr="008F5176">
        <w:trPr>
          <w:trHeight w:val="768"/>
        </w:trPr>
        <w:tc>
          <w:tcPr>
            <w:tcW w:w="2767" w:type="dxa"/>
          </w:tcPr>
          <w:p w:rsidR="00012BCB" w:rsidRPr="00BC429D" w:rsidRDefault="00012BCB" w:rsidP="008F5176">
            <w:pPr>
              <w:rPr>
                <w:rFonts w:cs="Times New Roman"/>
              </w:rPr>
            </w:pPr>
            <w:r>
              <w:rPr>
                <w:rFonts w:cs="Times New Roman"/>
              </w:rPr>
              <w:t xml:space="preserve">SC-1T at page 17 line 13 through page </w:t>
            </w:r>
            <w:r w:rsidRPr="00BC429D">
              <w:rPr>
                <w:rFonts w:cs="Times New Roman"/>
              </w:rPr>
              <w:t>22</w:t>
            </w:r>
            <w:r>
              <w:rPr>
                <w:rFonts w:cs="Times New Roman"/>
              </w:rPr>
              <w:t xml:space="preserve"> line 23</w:t>
            </w:r>
            <w:r w:rsidRPr="00BC429D">
              <w:rPr>
                <w:rStyle w:val="FootnoteReference"/>
              </w:rPr>
              <w:footnoteReference w:id="2"/>
            </w:r>
          </w:p>
        </w:tc>
        <w:tc>
          <w:tcPr>
            <w:tcW w:w="3060" w:type="dxa"/>
          </w:tcPr>
          <w:p w:rsidR="00012BCB" w:rsidRPr="00BC429D" w:rsidRDefault="00012BCB" w:rsidP="008F5176">
            <w:pPr>
              <w:rPr>
                <w:rFonts w:cs="Times New Roman"/>
              </w:rPr>
            </w:pPr>
            <w:r w:rsidRPr="00BC429D">
              <w:rPr>
                <w:rFonts w:cs="Times New Roman"/>
              </w:rPr>
              <w:t>Attempt to amend or alter the complaint</w:t>
            </w:r>
          </w:p>
        </w:tc>
        <w:tc>
          <w:tcPr>
            <w:tcW w:w="3690" w:type="dxa"/>
          </w:tcPr>
          <w:p w:rsidR="00012BCB" w:rsidRPr="00BC429D" w:rsidRDefault="00012BCB" w:rsidP="008F5176">
            <w:pPr>
              <w:rPr>
                <w:rFonts w:cs="Times New Roman"/>
              </w:rPr>
            </w:pPr>
            <w:r w:rsidRPr="00BC429D">
              <w:rPr>
                <w:rFonts w:cs="Times New Roman"/>
              </w:rPr>
              <w:t>Due process, violates procedural rules, and irrelevant to jurisdictional complaint</w:t>
            </w:r>
          </w:p>
        </w:tc>
      </w:tr>
      <w:tr w:rsidR="00012BCB" w:rsidRPr="00BC429D" w:rsidTr="008F5176">
        <w:trPr>
          <w:trHeight w:val="757"/>
        </w:trPr>
        <w:tc>
          <w:tcPr>
            <w:tcW w:w="2767" w:type="dxa"/>
          </w:tcPr>
          <w:p w:rsidR="00012BCB" w:rsidRPr="00BC429D" w:rsidRDefault="00012BCB" w:rsidP="008F5176">
            <w:pPr>
              <w:rPr>
                <w:rFonts w:cs="Times New Roman"/>
              </w:rPr>
            </w:pPr>
            <w:r w:rsidRPr="00BC429D">
              <w:rPr>
                <w:rFonts w:cs="Times New Roman"/>
              </w:rPr>
              <w:t>SC-1T at page 23 line 11 through page 24 line 2</w:t>
            </w:r>
          </w:p>
        </w:tc>
        <w:tc>
          <w:tcPr>
            <w:tcW w:w="3060" w:type="dxa"/>
          </w:tcPr>
          <w:p w:rsidR="00012BCB" w:rsidRPr="00BC429D" w:rsidRDefault="00012BCB" w:rsidP="008F5176">
            <w:pPr>
              <w:rPr>
                <w:rFonts w:cs="Times New Roman"/>
              </w:rPr>
            </w:pPr>
            <w:r w:rsidRPr="00BC429D">
              <w:rPr>
                <w:rFonts w:cs="Times New Roman"/>
              </w:rPr>
              <w:t>Attempt to amend or alter the complaint</w:t>
            </w:r>
          </w:p>
        </w:tc>
        <w:tc>
          <w:tcPr>
            <w:tcW w:w="3690" w:type="dxa"/>
          </w:tcPr>
          <w:p w:rsidR="00012BCB" w:rsidRPr="00BC429D" w:rsidRDefault="00012BCB" w:rsidP="008F5176">
            <w:pPr>
              <w:rPr>
                <w:rFonts w:cs="Times New Roman"/>
              </w:rPr>
            </w:pPr>
            <w:r w:rsidRPr="00BC429D">
              <w:rPr>
                <w:rFonts w:cs="Times New Roman"/>
              </w:rPr>
              <w:t>Due process, violates procedural rules, and irrelevant to jurisdictional complaint</w:t>
            </w:r>
          </w:p>
        </w:tc>
      </w:tr>
      <w:tr w:rsidR="00012BCB" w:rsidRPr="00BC429D" w:rsidTr="008F5176">
        <w:trPr>
          <w:trHeight w:val="757"/>
        </w:trPr>
        <w:tc>
          <w:tcPr>
            <w:tcW w:w="2767" w:type="dxa"/>
          </w:tcPr>
          <w:p w:rsidR="00012BCB" w:rsidRPr="00BC429D" w:rsidRDefault="00012BCB" w:rsidP="008F5176">
            <w:pPr>
              <w:rPr>
                <w:rFonts w:cs="Times New Roman"/>
              </w:rPr>
            </w:pPr>
            <w:r w:rsidRPr="00BC429D">
              <w:rPr>
                <w:rFonts w:cs="Times New Roman"/>
              </w:rPr>
              <w:t>SC-1T at page 26, lines 1-1</w:t>
            </w:r>
            <w:r>
              <w:rPr>
                <w:rFonts w:cs="Times New Roman"/>
              </w:rPr>
              <w:t>1</w:t>
            </w:r>
          </w:p>
        </w:tc>
        <w:tc>
          <w:tcPr>
            <w:tcW w:w="3060" w:type="dxa"/>
          </w:tcPr>
          <w:p w:rsidR="00012BCB" w:rsidRPr="00BC429D" w:rsidRDefault="00012BCB" w:rsidP="008F5176">
            <w:pPr>
              <w:rPr>
                <w:rFonts w:cs="Times New Roman"/>
              </w:rPr>
            </w:pPr>
            <w:r w:rsidRPr="00BC429D">
              <w:rPr>
                <w:rFonts w:cs="Times New Roman"/>
              </w:rPr>
              <w:t>Attempt to amend or alter the complaint</w:t>
            </w:r>
          </w:p>
        </w:tc>
        <w:tc>
          <w:tcPr>
            <w:tcW w:w="3690" w:type="dxa"/>
          </w:tcPr>
          <w:p w:rsidR="00012BCB" w:rsidRPr="00BC429D" w:rsidRDefault="00012BCB" w:rsidP="008F5176">
            <w:pPr>
              <w:rPr>
                <w:rFonts w:cs="Times New Roman"/>
              </w:rPr>
            </w:pPr>
            <w:r w:rsidRPr="00BC429D">
              <w:rPr>
                <w:rFonts w:cs="Times New Roman"/>
              </w:rPr>
              <w:t>Due process, violates procedural rules, and irrelevant to jurisdictional complaint</w:t>
            </w:r>
          </w:p>
        </w:tc>
      </w:tr>
      <w:tr w:rsidR="00012BCB" w:rsidRPr="00BC429D" w:rsidTr="008F5176">
        <w:trPr>
          <w:trHeight w:val="384"/>
        </w:trPr>
        <w:tc>
          <w:tcPr>
            <w:tcW w:w="2767" w:type="dxa"/>
          </w:tcPr>
          <w:p w:rsidR="00012BCB" w:rsidRPr="00BC429D" w:rsidRDefault="00012BCB" w:rsidP="008F5176">
            <w:pPr>
              <w:rPr>
                <w:rFonts w:cs="Times New Roman"/>
              </w:rPr>
            </w:pPr>
            <w:r w:rsidRPr="00BC429D">
              <w:rPr>
                <w:rFonts w:cs="Times New Roman"/>
              </w:rPr>
              <w:t>SC-1T at page 26, lines 12-22</w:t>
            </w:r>
          </w:p>
        </w:tc>
        <w:tc>
          <w:tcPr>
            <w:tcW w:w="3060" w:type="dxa"/>
          </w:tcPr>
          <w:p w:rsidR="00012BCB" w:rsidRPr="00BC429D" w:rsidRDefault="00012BCB" w:rsidP="008F5176">
            <w:pPr>
              <w:rPr>
                <w:rFonts w:cs="Times New Roman"/>
              </w:rPr>
            </w:pPr>
            <w:r w:rsidRPr="00BC429D">
              <w:rPr>
                <w:rFonts w:cs="Times New Roman"/>
              </w:rPr>
              <w:t>Rate setting matters</w:t>
            </w:r>
          </w:p>
        </w:tc>
        <w:tc>
          <w:tcPr>
            <w:tcW w:w="3690" w:type="dxa"/>
          </w:tcPr>
          <w:p w:rsidR="00012BCB" w:rsidRPr="00BC429D" w:rsidRDefault="00012BCB" w:rsidP="008F5176">
            <w:pPr>
              <w:rPr>
                <w:rFonts w:cs="Times New Roman"/>
              </w:rPr>
            </w:pPr>
            <w:r w:rsidRPr="00BC429D">
              <w:rPr>
                <w:rFonts w:cs="Times New Roman"/>
              </w:rPr>
              <w:t>Irrelevant/immaterial</w:t>
            </w:r>
          </w:p>
        </w:tc>
      </w:tr>
      <w:tr w:rsidR="00012BCB" w:rsidRPr="00BC429D" w:rsidTr="008F5176">
        <w:trPr>
          <w:trHeight w:val="757"/>
        </w:trPr>
        <w:tc>
          <w:tcPr>
            <w:tcW w:w="2767" w:type="dxa"/>
          </w:tcPr>
          <w:p w:rsidR="00012BCB" w:rsidRPr="00BC429D" w:rsidRDefault="00012BCB" w:rsidP="008F5176">
            <w:pPr>
              <w:rPr>
                <w:rFonts w:cs="Times New Roman"/>
              </w:rPr>
            </w:pPr>
            <w:r>
              <w:rPr>
                <w:rFonts w:cs="Times New Roman"/>
              </w:rPr>
              <w:t>SC-1T at page 33 line</w:t>
            </w:r>
            <w:r w:rsidRPr="00BC429D">
              <w:rPr>
                <w:rFonts w:cs="Times New Roman"/>
              </w:rPr>
              <w:t xml:space="preserve"> 19</w:t>
            </w:r>
            <w:r>
              <w:rPr>
                <w:rFonts w:cs="Times New Roman"/>
              </w:rPr>
              <w:t xml:space="preserve"> through page 35 line 22</w:t>
            </w:r>
          </w:p>
        </w:tc>
        <w:tc>
          <w:tcPr>
            <w:tcW w:w="3060" w:type="dxa"/>
          </w:tcPr>
          <w:p w:rsidR="00012BCB" w:rsidRPr="00BC429D" w:rsidRDefault="00012BCB" w:rsidP="008F5176">
            <w:pPr>
              <w:rPr>
                <w:rFonts w:cs="Times New Roman"/>
              </w:rPr>
            </w:pPr>
            <w:r w:rsidRPr="00BC429D">
              <w:rPr>
                <w:rFonts w:cs="Times New Roman"/>
              </w:rPr>
              <w:t>PC internal disagreement over inspection and remediation</w:t>
            </w:r>
          </w:p>
        </w:tc>
        <w:tc>
          <w:tcPr>
            <w:tcW w:w="3690" w:type="dxa"/>
          </w:tcPr>
          <w:p w:rsidR="00012BCB" w:rsidRPr="00BC429D" w:rsidRDefault="00012BCB" w:rsidP="008F5176">
            <w:pPr>
              <w:rPr>
                <w:rFonts w:cs="Times New Roman"/>
              </w:rPr>
            </w:pPr>
            <w:r w:rsidRPr="00BC429D">
              <w:rPr>
                <w:rFonts w:cs="Times New Roman"/>
              </w:rPr>
              <w:t>Irrelevant/immaterial</w:t>
            </w:r>
          </w:p>
        </w:tc>
      </w:tr>
      <w:tr w:rsidR="00012BCB" w:rsidRPr="00BC429D" w:rsidTr="008F5176">
        <w:trPr>
          <w:trHeight w:val="757"/>
        </w:trPr>
        <w:tc>
          <w:tcPr>
            <w:tcW w:w="2767" w:type="dxa"/>
          </w:tcPr>
          <w:p w:rsidR="00012BCB" w:rsidRPr="00BC429D" w:rsidRDefault="00012BCB" w:rsidP="008F5176">
            <w:pPr>
              <w:rPr>
                <w:rFonts w:cs="Times New Roman"/>
              </w:rPr>
            </w:pPr>
            <w:r w:rsidRPr="00BC429D">
              <w:rPr>
                <w:rFonts w:cs="Times New Roman"/>
              </w:rPr>
              <w:t>SC-1T at page 36, lines 9-13</w:t>
            </w:r>
          </w:p>
        </w:tc>
        <w:tc>
          <w:tcPr>
            <w:tcW w:w="3060" w:type="dxa"/>
          </w:tcPr>
          <w:p w:rsidR="00012BCB" w:rsidRPr="00BC429D" w:rsidRDefault="00012BCB" w:rsidP="008F5176">
            <w:pPr>
              <w:rPr>
                <w:rFonts w:cs="Times New Roman"/>
              </w:rPr>
            </w:pPr>
            <w:r w:rsidRPr="00BC429D">
              <w:rPr>
                <w:rFonts w:cs="Times New Roman"/>
              </w:rPr>
              <w:t>Attempt to amend or alter the complaint</w:t>
            </w:r>
          </w:p>
        </w:tc>
        <w:tc>
          <w:tcPr>
            <w:tcW w:w="3690" w:type="dxa"/>
          </w:tcPr>
          <w:p w:rsidR="00012BCB" w:rsidRPr="00BC429D" w:rsidRDefault="00012BCB" w:rsidP="008F5176">
            <w:pPr>
              <w:rPr>
                <w:rFonts w:cs="Times New Roman"/>
              </w:rPr>
            </w:pPr>
            <w:r w:rsidRPr="00BC429D">
              <w:rPr>
                <w:rFonts w:cs="Times New Roman"/>
              </w:rPr>
              <w:t>Due process, violates procedural rules, and irrelevant to jurisdictional complaint</w:t>
            </w:r>
          </w:p>
        </w:tc>
      </w:tr>
      <w:tr w:rsidR="00012BCB" w:rsidRPr="00BC429D" w:rsidTr="008F5176">
        <w:trPr>
          <w:trHeight w:val="384"/>
        </w:trPr>
        <w:tc>
          <w:tcPr>
            <w:tcW w:w="2767" w:type="dxa"/>
          </w:tcPr>
          <w:p w:rsidR="00012BCB" w:rsidRPr="00BC429D" w:rsidRDefault="00012BCB" w:rsidP="008F5176">
            <w:pPr>
              <w:rPr>
                <w:rFonts w:cs="Times New Roman"/>
              </w:rPr>
            </w:pPr>
            <w:r w:rsidRPr="00BC429D">
              <w:rPr>
                <w:rFonts w:cs="Times New Roman"/>
              </w:rPr>
              <w:t>SC-1T at page 36, lines 14-17</w:t>
            </w:r>
          </w:p>
        </w:tc>
        <w:tc>
          <w:tcPr>
            <w:tcW w:w="3060" w:type="dxa"/>
          </w:tcPr>
          <w:p w:rsidR="00012BCB" w:rsidRPr="00BC429D" w:rsidRDefault="00012BCB" w:rsidP="008F5176">
            <w:pPr>
              <w:rPr>
                <w:rFonts w:cs="Times New Roman"/>
              </w:rPr>
            </w:pPr>
            <w:r w:rsidRPr="00BC429D">
              <w:rPr>
                <w:rFonts w:cs="Times New Roman"/>
              </w:rPr>
              <w:t>Rate setting matters</w:t>
            </w:r>
          </w:p>
        </w:tc>
        <w:tc>
          <w:tcPr>
            <w:tcW w:w="3690" w:type="dxa"/>
          </w:tcPr>
          <w:p w:rsidR="00012BCB" w:rsidRPr="00BC429D" w:rsidRDefault="00012BCB" w:rsidP="008F5176">
            <w:pPr>
              <w:rPr>
                <w:rFonts w:cs="Times New Roman"/>
              </w:rPr>
            </w:pPr>
            <w:r w:rsidRPr="00BC429D">
              <w:rPr>
                <w:rFonts w:cs="Times New Roman"/>
              </w:rPr>
              <w:t>Irrelevant/immaterial</w:t>
            </w:r>
          </w:p>
        </w:tc>
      </w:tr>
      <w:tr w:rsidR="00012BCB" w:rsidRPr="00BC429D" w:rsidTr="008F5176">
        <w:trPr>
          <w:trHeight w:val="557"/>
        </w:trPr>
        <w:tc>
          <w:tcPr>
            <w:tcW w:w="2767" w:type="dxa"/>
          </w:tcPr>
          <w:p w:rsidR="00012BCB" w:rsidRPr="00BC429D" w:rsidRDefault="00012BCB" w:rsidP="008F5176">
            <w:pPr>
              <w:rPr>
                <w:rFonts w:cs="Times New Roman"/>
              </w:rPr>
            </w:pPr>
            <w:r w:rsidRPr="00BC429D">
              <w:rPr>
                <w:rFonts w:cs="Times New Roman"/>
              </w:rPr>
              <w:t>SC-1T at page 36 line 18 through page 37 line 10</w:t>
            </w:r>
          </w:p>
        </w:tc>
        <w:tc>
          <w:tcPr>
            <w:tcW w:w="3060" w:type="dxa"/>
          </w:tcPr>
          <w:p w:rsidR="00012BCB" w:rsidRPr="00BC429D" w:rsidRDefault="00012BCB" w:rsidP="008F5176">
            <w:pPr>
              <w:rPr>
                <w:rFonts w:cs="Times New Roman"/>
              </w:rPr>
            </w:pPr>
            <w:r w:rsidRPr="00BC429D">
              <w:rPr>
                <w:rFonts w:cs="Times New Roman"/>
              </w:rPr>
              <w:t>PC internal disagreement over inspection and remediation</w:t>
            </w:r>
          </w:p>
        </w:tc>
        <w:tc>
          <w:tcPr>
            <w:tcW w:w="3690" w:type="dxa"/>
          </w:tcPr>
          <w:p w:rsidR="00012BCB" w:rsidRPr="00BC429D" w:rsidRDefault="00012BCB" w:rsidP="008F5176">
            <w:pPr>
              <w:rPr>
                <w:rFonts w:cs="Times New Roman"/>
              </w:rPr>
            </w:pPr>
            <w:r w:rsidRPr="00BC429D">
              <w:rPr>
                <w:rFonts w:cs="Times New Roman"/>
              </w:rPr>
              <w:t>Irrelevant/immaterial</w:t>
            </w:r>
          </w:p>
        </w:tc>
      </w:tr>
    </w:tbl>
    <w:p w:rsidR="009D6760" w:rsidRPr="009D6760" w:rsidRDefault="001D0E62" w:rsidP="009D6760">
      <w:pPr>
        <w:pStyle w:val="PleadingsL1"/>
        <w:keepNext w:val="0"/>
        <w:keepLines w:val="0"/>
        <w:numPr>
          <w:ilvl w:val="0"/>
          <w:numId w:val="0"/>
        </w:numPr>
        <w:spacing w:before="240" w:after="0" w:line="480" w:lineRule="auto"/>
        <w:jc w:val="left"/>
        <w:rPr>
          <w:b w:val="0"/>
        </w:rPr>
      </w:pPr>
      <w:r>
        <w:rPr>
          <w:b w:val="0"/>
        </w:rPr>
        <w:t>To the extent not covered here, PSE incorporates by refere</w:t>
      </w:r>
      <w:r w:rsidR="00012BCB">
        <w:rPr>
          <w:b w:val="0"/>
        </w:rPr>
        <w:t>nce Staff’s rationale for exclud</w:t>
      </w:r>
      <w:r>
        <w:rPr>
          <w:b w:val="0"/>
        </w:rPr>
        <w:t>ing the testimony.  Further,</w:t>
      </w:r>
      <w:r w:rsidR="009D6760">
        <w:rPr>
          <w:b w:val="0"/>
        </w:rPr>
        <w:t xml:space="preserve"> additional reasons </w:t>
      </w:r>
      <w:r>
        <w:rPr>
          <w:b w:val="0"/>
        </w:rPr>
        <w:t xml:space="preserve">follow below </w:t>
      </w:r>
      <w:r w:rsidR="009D6760">
        <w:rPr>
          <w:b w:val="0"/>
        </w:rPr>
        <w:t>why the Motions to Strike should be granted.</w:t>
      </w:r>
    </w:p>
    <w:p w:rsidR="00564FED" w:rsidRDefault="00C06641" w:rsidP="009D6760">
      <w:pPr>
        <w:pStyle w:val="PleadingsL1"/>
      </w:pPr>
      <w:r>
        <w:lastRenderedPageBreak/>
        <w:t>BACKGROUND</w:t>
      </w:r>
    </w:p>
    <w:p w:rsidR="00C06641" w:rsidRPr="00C06641" w:rsidRDefault="00C06641" w:rsidP="00C06641">
      <w:pPr>
        <w:pStyle w:val="PleadingsL2"/>
      </w:pPr>
      <w:r>
        <w:t>The Commission Issues a Complaint Against PSE For Violations of Gas Safety Rules</w:t>
      </w:r>
    </w:p>
    <w:p w:rsidR="00C24F30" w:rsidRPr="000C6E14" w:rsidRDefault="003042C4" w:rsidP="00787E1A">
      <w:pPr>
        <w:pStyle w:val="Header"/>
        <w:numPr>
          <w:ilvl w:val="0"/>
          <w:numId w:val="13"/>
        </w:numPr>
        <w:tabs>
          <w:tab w:val="clear" w:pos="240"/>
          <w:tab w:val="left" w:pos="720"/>
        </w:tabs>
        <w:autoSpaceDE w:val="0"/>
        <w:autoSpaceDN w:val="0"/>
        <w:adjustRightInd w:val="0"/>
        <w:spacing w:line="480" w:lineRule="auto"/>
        <w:ind w:left="245" w:hanging="821"/>
      </w:pPr>
      <w:r>
        <w:rPr>
          <w:bCs/>
        </w:rPr>
        <w:tab/>
      </w:r>
      <w:r w:rsidR="009D327B">
        <w:rPr>
          <w:bCs/>
        </w:rPr>
        <w:t>On March 9, 2016, a natural gas explosion occurred in the vicinity of Greenwood Avenue North in Seattle.</w:t>
      </w:r>
      <w:r w:rsidR="00C85321">
        <w:rPr>
          <w:rStyle w:val="FootnoteReference"/>
          <w:bCs/>
        </w:rPr>
        <w:footnoteReference w:id="3"/>
      </w:r>
      <w:r w:rsidR="009D327B">
        <w:rPr>
          <w:bCs/>
        </w:rPr>
        <w:t xml:space="preserve">  </w:t>
      </w:r>
      <w:r w:rsidR="008C6F20">
        <w:rPr>
          <w:bCs/>
        </w:rPr>
        <w:t>Staff and PSE conducted</w:t>
      </w:r>
      <w:r w:rsidR="004F0190">
        <w:rPr>
          <w:bCs/>
        </w:rPr>
        <w:t xml:space="preserve"> extensive </w:t>
      </w:r>
      <w:r w:rsidR="008C6F20">
        <w:rPr>
          <w:bCs/>
        </w:rPr>
        <w:t xml:space="preserve">independent investigations into the </w:t>
      </w:r>
      <w:r w:rsidR="009D327B">
        <w:rPr>
          <w:bCs/>
        </w:rPr>
        <w:t>incident.</w:t>
      </w:r>
      <w:r w:rsidR="00C85321">
        <w:rPr>
          <w:rStyle w:val="FootnoteReference"/>
          <w:bCs/>
        </w:rPr>
        <w:footnoteReference w:id="4"/>
      </w:r>
      <w:r w:rsidR="009D327B">
        <w:rPr>
          <w:bCs/>
        </w:rPr>
        <w:t xml:space="preserve">  PSE’</w:t>
      </w:r>
      <w:r w:rsidR="006C26B2">
        <w:rPr>
          <w:bCs/>
        </w:rPr>
        <w:t>s investigation included site visits</w:t>
      </w:r>
      <w:r w:rsidR="009D327B">
        <w:rPr>
          <w:bCs/>
        </w:rPr>
        <w:t>, laboratory analys</w:t>
      </w:r>
      <w:r w:rsidR="006C26B2">
        <w:rPr>
          <w:bCs/>
        </w:rPr>
        <w:t>e</w:t>
      </w:r>
      <w:r w:rsidR="009D327B">
        <w:rPr>
          <w:bCs/>
        </w:rPr>
        <w:t xml:space="preserve">s, </w:t>
      </w:r>
      <w:r w:rsidR="00FB31CB">
        <w:rPr>
          <w:bCs/>
        </w:rPr>
        <w:t>and a review of internal processes and procedures.</w:t>
      </w:r>
      <w:r w:rsidR="00C85321">
        <w:rPr>
          <w:rStyle w:val="FootnoteReference"/>
          <w:bCs/>
        </w:rPr>
        <w:footnoteReference w:id="5"/>
      </w:r>
      <w:r w:rsidR="00FB31CB">
        <w:rPr>
          <w:bCs/>
        </w:rPr>
        <w:t xml:space="preserve">  </w:t>
      </w:r>
      <w:r w:rsidR="009D327B">
        <w:rPr>
          <w:bCs/>
        </w:rPr>
        <w:t>PSE cooperated with Staff’s investigation by responding to informal d</w:t>
      </w:r>
      <w:r w:rsidR="00FB31CB">
        <w:rPr>
          <w:bCs/>
        </w:rPr>
        <w:t xml:space="preserve">iscovery </w:t>
      </w:r>
      <w:r w:rsidR="009D327B">
        <w:rPr>
          <w:bCs/>
        </w:rPr>
        <w:t>and providing Staff access to physical evidence.</w:t>
      </w:r>
      <w:r w:rsidR="00C85321">
        <w:rPr>
          <w:rStyle w:val="FootnoteReference"/>
          <w:bCs/>
        </w:rPr>
        <w:footnoteReference w:id="6"/>
      </w:r>
      <w:r w:rsidR="009D327B">
        <w:rPr>
          <w:bCs/>
        </w:rPr>
        <w:t xml:space="preserve">  </w:t>
      </w:r>
      <w:r w:rsidR="00FB31CB">
        <w:rPr>
          <w:bCs/>
        </w:rPr>
        <w:t xml:space="preserve">On </w:t>
      </w:r>
      <w:r w:rsidR="00FB31CB" w:rsidRPr="002B668F">
        <w:rPr>
          <w:bCs/>
        </w:rPr>
        <w:t>September 20, 2016</w:t>
      </w:r>
      <w:r w:rsidR="00FB31CB">
        <w:rPr>
          <w:bCs/>
        </w:rPr>
        <w:t>, after six months of investigation, Staff issued its In</w:t>
      </w:r>
      <w:r w:rsidR="00C06641">
        <w:rPr>
          <w:bCs/>
        </w:rPr>
        <w:t>vestigation Report</w:t>
      </w:r>
      <w:r w:rsidR="00FE2B9A">
        <w:rPr>
          <w:bCs/>
        </w:rPr>
        <w:t>,</w:t>
      </w:r>
      <w:r w:rsidR="00C06641">
        <w:rPr>
          <w:bCs/>
        </w:rPr>
        <w:t xml:space="preserve"> which</w:t>
      </w:r>
      <w:r w:rsidR="008807E4" w:rsidRPr="002679F4">
        <w:rPr>
          <w:bCs/>
        </w:rPr>
        <w:t xml:space="preserve"> </w:t>
      </w:r>
      <w:r w:rsidR="00AD22AB" w:rsidRPr="002679F4">
        <w:rPr>
          <w:bCs/>
        </w:rPr>
        <w:t xml:space="preserve">recommended that </w:t>
      </w:r>
      <w:r w:rsidR="008807E4" w:rsidRPr="002679F4">
        <w:rPr>
          <w:bCs/>
        </w:rPr>
        <w:t xml:space="preserve">the Commission </w:t>
      </w:r>
      <w:r w:rsidR="00AD22AB" w:rsidRPr="002679F4">
        <w:rPr>
          <w:bCs/>
        </w:rPr>
        <w:t>issue a formal complaint and ope</w:t>
      </w:r>
      <w:r w:rsidR="00C06641">
        <w:rPr>
          <w:bCs/>
        </w:rPr>
        <w:t>n this</w:t>
      </w:r>
      <w:r w:rsidR="008807E4" w:rsidRPr="002679F4">
        <w:rPr>
          <w:bCs/>
        </w:rPr>
        <w:t xml:space="preserve"> docket.</w:t>
      </w:r>
      <w:r w:rsidR="00C85321">
        <w:rPr>
          <w:rStyle w:val="FootnoteReference"/>
          <w:bCs/>
        </w:rPr>
        <w:footnoteReference w:id="7"/>
      </w:r>
      <w:r w:rsidR="008807E4" w:rsidRPr="002679F4">
        <w:rPr>
          <w:bCs/>
        </w:rPr>
        <w:t xml:space="preserve">  The </w:t>
      </w:r>
      <w:r w:rsidR="00AD22AB" w:rsidRPr="002679F4">
        <w:rPr>
          <w:bCs/>
        </w:rPr>
        <w:t xml:space="preserve">Commission found probable cause to issue the </w:t>
      </w:r>
      <w:r w:rsidR="008807E4" w:rsidRPr="002679F4">
        <w:rPr>
          <w:bCs/>
        </w:rPr>
        <w:t>Complaint</w:t>
      </w:r>
      <w:r w:rsidR="004F0190" w:rsidRPr="002679F4">
        <w:rPr>
          <w:bCs/>
        </w:rPr>
        <w:t xml:space="preserve"> </w:t>
      </w:r>
      <w:r w:rsidR="00FB31CB">
        <w:rPr>
          <w:bCs/>
        </w:rPr>
        <w:t>and, based on Staff’s investigation, the Commission</w:t>
      </w:r>
      <w:r w:rsidR="00FB31CB" w:rsidRPr="002679F4">
        <w:rPr>
          <w:bCs/>
        </w:rPr>
        <w:t xml:space="preserve"> alleged</w:t>
      </w:r>
      <w:r w:rsidR="008807E4" w:rsidRPr="002679F4">
        <w:rPr>
          <w:bCs/>
        </w:rPr>
        <w:t xml:space="preserve"> </w:t>
      </w:r>
      <w:r w:rsidR="004F0190" w:rsidRPr="002679F4">
        <w:rPr>
          <w:bCs/>
        </w:rPr>
        <w:t xml:space="preserve">seventeen violations of </w:t>
      </w:r>
      <w:r w:rsidR="00FB31CB">
        <w:rPr>
          <w:bCs/>
        </w:rPr>
        <w:t>it</w:t>
      </w:r>
      <w:r w:rsidR="00FB31CB" w:rsidRPr="002679F4">
        <w:rPr>
          <w:bCs/>
        </w:rPr>
        <w:t>s</w:t>
      </w:r>
      <w:r w:rsidR="004F0190" w:rsidRPr="002679F4">
        <w:rPr>
          <w:bCs/>
        </w:rPr>
        <w:t xml:space="preserve"> gas safety rules</w:t>
      </w:r>
      <w:r w:rsidR="00C85321">
        <w:rPr>
          <w:bCs/>
        </w:rPr>
        <w:t>.</w:t>
      </w:r>
    </w:p>
    <w:p w:rsidR="000C6E14" w:rsidRPr="007400A5" w:rsidRDefault="000C6E14" w:rsidP="00050E88">
      <w:pPr>
        <w:pStyle w:val="Header"/>
        <w:numPr>
          <w:ilvl w:val="0"/>
          <w:numId w:val="13"/>
        </w:numPr>
        <w:tabs>
          <w:tab w:val="clear" w:pos="240"/>
          <w:tab w:val="left" w:pos="720"/>
        </w:tabs>
        <w:autoSpaceDE w:val="0"/>
        <w:autoSpaceDN w:val="0"/>
        <w:adjustRightInd w:val="0"/>
        <w:spacing w:line="480" w:lineRule="auto"/>
        <w:ind w:left="245" w:hanging="821"/>
      </w:pPr>
      <w:r>
        <w:rPr>
          <w:bCs/>
        </w:rPr>
        <w:tab/>
      </w:r>
      <w:r w:rsidR="003042C4">
        <w:rPr>
          <w:bCs/>
        </w:rPr>
        <w:t>On October 3, 2</w:t>
      </w:r>
      <w:r w:rsidR="005B5593">
        <w:rPr>
          <w:bCs/>
        </w:rPr>
        <w:t>016, PSE filed its Answer and Affirmative Defenses to the Complaint, in which PSE admitted certain allegations in the Complaint and denied certain other allegations in the Complaint.</w:t>
      </w:r>
    </w:p>
    <w:p w:rsidR="00564FED" w:rsidRPr="007F74AE" w:rsidRDefault="00564FED" w:rsidP="00050E88">
      <w:pPr>
        <w:pStyle w:val="Header"/>
        <w:numPr>
          <w:ilvl w:val="0"/>
          <w:numId w:val="13"/>
        </w:numPr>
        <w:tabs>
          <w:tab w:val="clear" w:pos="240"/>
          <w:tab w:val="left" w:pos="720"/>
        </w:tabs>
        <w:autoSpaceDE w:val="0"/>
        <w:autoSpaceDN w:val="0"/>
        <w:adjustRightInd w:val="0"/>
        <w:spacing w:line="480" w:lineRule="auto"/>
        <w:ind w:left="245" w:hanging="821"/>
      </w:pPr>
      <w:r>
        <w:rPr>
          <w:bCs/>
        </w:rPr>
        <w:tab/>
      </w:r>
      <w:r w:rsidR="005B5593">
        <w:rPr>
          <w:bCs/>
        </w:rPr>
        <w:t>On November 1, 2016, t</w:t>
      </w:r>
      <w:r w:rsidR="00695743">
        <w:rPr>
          <w:bCs/>
        </w:rPr>
        <w:t xml:space="preserve">he Commission held a prehearing conference.  Following the prehearing conference, </w:t>
      </w:r>
      <w:r w:rsidR="006C26B2">
        <w:rPr>
          <w:bCs/>
        </w:rPr>
        <w:t xml:space="preserve">formal </w:t>
      </w:r>
      <w:r w:rsidR="00695743">
        <w:rPr>
          <w:bCs/>
        </w:rPr>
        <w:t>discovery ensued, including the exchange of data requests and responses.  PSE also deposed Staff’s pipeline safety director and lead investigator.</w:t>
      </w:r>
      <w:r w:rsidR="00C85321">
        <w:rPr>
          <w:rStyle w:val="FootnoteReference"/>
          <w:bCs/>
        </w:rPr>
        <w:footnoteReference w:id="8"/>
      </w:r>
    </w:p>
    <w:p w:rsidR="00564FED" w:rsidRDefault="00CA1D58" w:rsidP="00564FED">
      <w:pPr>
        <w:pStyle w:val="PleadingsL2"/>
      </w:pPr>
      <w:r>
        <w:t>Staff and PSE Enter Into a Settlement</w:t>
      </w:r>
    </w:p>
    <w:p w:rsidR="00CA1D58" w:rsidRPr="00CA1D58" w:rsidRDefault="00564FED" w:rsidP="00787E1A">
      <w:pPr>
        <w:pStyle w:val="Header"/>
        <w:numPr>
          <w:ilvl w:val="0"/>
          <w:numId w:val="13"/>
        </w:numPr>
        <w:tabs>
          <w:tab w:val="clear" w:pos="240"/>
          <w:tab w:val="left" w:pos="720"/>
        </w:tabs>
        <w:autoSpaceDE w:val="0"/>
        <w:autoSpaceDN w:val="0"/>
        <w:adjustRightInd w:val="0"/>
        <w:spacing w:line="480" w:lineRule="auto"/>
      </w:pPr>
      <w:r>
        <w:rPr>
          <w:bCs/>
        </w:rPr>
        <w:tab/>
      </w:r>
      <w:r w:rsidR="005B5593">
        <w:rPr>
          <w:bCs/>
        </w:rPr>
        <w:t>In accordance with WAC 480-07-700, and as provided in the procedural schedule, t</w:t>
      </w:r>
      <w:r w:rsidR="00695743">
        <w:rPr>
          <w:bCs/>
        </w:rPr>
        <w:t>he parties entered into settlement negotiations</w:t>
      </w:r>
      <w:r w:rsidR="005B5593">
        <w:rPr>
          <w:bCs/>
        </w:rPr>
        <w:t>.</w:t>
      </w:r>
      <w:r w:rsidR="00CB5366">
        <w:rPr>
          <w:bCs/>
        </w:rPr>
        <w:t xml:space="preserve">  The parties engaged in multiple</w:t>
      </w:r>
      <w:r w:rsidR="00374D69">
        <w:rPr>
          <w:bCs/>
        </w:rPr>
        <w:t xml:space="preserve"> separate </w:t>
      </w:r>
      <w:r w:rsidR="00374D69">
        <w:rPr>
          <w:bCs/>
        </w:rPr>
        <w:lastRenderedPageBreak/>
        <w:t xml:space="preserve">settlement conferences, and Public Counsel participated in each one.  Additionally, the parties conferred telephonically on several occasions regarding settlement.  The procedural schedule was revised twice to accommodate these settlement discussions.  </w:t>
      </w:r>
    </w:p>
    <w:p w:rsidR="005B5593" w:rsidRPr="00345C4C" w:rsidRDefault="00CA1D58" w:rsidP="00787E1A">
      <w:pPr>
        <w:pStyle w:val="Header"/>
        <w:numPr>
          <w:ilvl w:val="0"/>
          <w:numId w:val="13"/>
        </w:numPr>
        <w:tabs>
          <w:tab w:val="clear" w:pos="240"/>
          <w:tab w:val="left" w:pos="720"/>
        </w:tabs>
        <w:autoSpaceDE w:val="0"/>
        <w:autoSpaceDN w:val="0"/>
        <w:adjustRightInd w:val="0"/>
        <w:spacing w:line="480" w:lineRule="auto"/>
      </w:pPr>
      <w:r>
        <w:rPr>
          <w:bCs/>
        </w:rPr>
        <w:tab/>
      </w:r>
      <w:r w:rsidR="00ED5A78">
        <w:rPr>
          <w:bCs/>
        </w:rPr>
        <w:t>A</w:t>
      </w:r>
      <w:r w:rsidR="005B5593">
        <w:rPr>
          <w:bCs/>
        </w:rPr>
        <w:t xml:space="preserve">fter </w:t>
      </w:r>
      <w:r w:rsidR="00FE2B9A">
        <w:rPr>
          <w:bCs/>
        </w:rPr>
        <w:t xml:space="preserve">the lengthy </w:t>
      </w:r>
      <w:r w:rsidR="005B5593">
        <w:rPr>
          <w:bCs/>
        </w:rPr>
        <w:t>negotiations, Staff and PSE entered into a settlement agreement that, with an accompanying narrative, was filed with the Commission on March 28, 2017.  The settlement agreement represents a compromise of the parties’ respective positions</w:t>
      </w:r>
      <w:r w:rsidR="000F39DC">
        <w:rPr>
          <w:bCs/>
        </w:rPr>
        <w:t xml:space="preserve"> </w:t>
      </w:r>
      <w:r w:rsidR="00234051">
        <w:rPr>
          <w:bCs/>
        </w:rPr>
        <w:t xml:space="preserve">and </w:t>
      </w:r>
      <w:r w:rsidR="000F39DC">
        <w:rPr>
          <w:bCs/>
        </w:rPr>
        <w:t xml:space="preserve">was entered into to avoid the expense, inconvenience, uncertainty, and delay inherent in </w:t>
      </w:r>
      <w:r w:rsidR="00C85321">
        <w:rPr>
          <w:bCs/>
        </w:rPr>
        <w:t>a litigated outcome.</w:t>
      </w:r>
      <w:r w:rsidR="00C85321">
        <w:rPr>
          <w:rStyle w:val="FootnoteReference"/>
          <w:bCs/>
        </w:rPr>
        <w:footnoteReference w:id="9"/>
      </w:r>
    </w:p>
    <w:p w:rsidR="00345C4C" w:rsidRPr="005B5593" w:rsidRDefault="0018136B" w:rsidP="00345C4C">
      <w:pPr>
        <w:pStyle w:val="PleadingsL2"/>
      </w:pPr>
      <w:r>
        <w:t>Public Counsel Agreed</w:t>
      </w:r>
      <w:r w:rsidR="00345C4C">
        <w:t xml:space="preserve"> With Proposed Inspection and Remediation Program</w:t>
      </w:r>
    </w:p>
    <w:p w:rsidR="00610824" w:rsidRPr="007F74AE" w:rsidRDefault="000F39DC" w:rsidP="00787E1A">
      <w:pPr>
        <w:pStyle w:val="Header"/>
        <w:numPr>
          <w:ilvl w:val="0"/>
          <w:numId w:val="13"/>
        </w:numPr>
        <w:tabs>
          <w:tab w:val="clear" w:pos="240"/>
          <w:tab w:val="left" w:pos="720"/>
        </w:tabs>
        <w:autoSpaceDE w:val="0"/>
        <w:autoSpaceDN w:val="0"/>
        <w:adjustRightInd w:val="0"/>
        <w:spacing w:line="480" w:lineRule="auto"/>
      </w:pPr>
      <w:r>
        <w:rPr>
          <w:bCs/>
        </w:rPr>
        <w:tab/>
      </w:r>
      <w:r w:rsidR="00234051">
        <w:rPr>
          <w:bCs/>
        </w:rPr>
        <w:t xml:space="preserve">Although </w:t>
      </w:r>
      <w:r>
        <w:rPr>
          <w:bCs/>
        </w:rPr>
        <w:t xml:space="preserve">Public Counsel </w:t>
      </w:r>
      <w:r w:rsidR="00234051">
        <w:rPr>
          <w:bCs/>
        </w:rPr>
        <w:t xml:space="preserve">actively </w:t>
      </w:r>
      <w:r>
        <w:rPr>
          <w:bCs/>
        </w:rPr>
        <w:t>participated</w:t>
      </w:r>
      <w:r w:rsidR="00CA1D58">
        <w:rPr>
          <w:bCs/>
        </w:rPr>
        <w:t xml:space="preserve"> in </w:t>
      </w:r>
      <w:r w:rsidR="00FE2B9A">
        <w:rPr>
          <w:bCs/>
        </w:rPr>
        <w:t xml:space="preserve">all the </w:t>
      </w:r>
      <w:r w:rsidR="00CA1D58">
        <w:rPr>
          <w:bCs/>
        </w:rPr>
        <w:t>se</w:t>
      </w:r>
      <w:r>
        <w:rPr>
          <w:bCs/>
        </w:rPr>
        <w:t>ttlement discussions</w:t>
      </w:r>
      <w:r w:rsidR="00234051">
        <w:rPr>
          <w:bCs/>
        </w:rPr>
        <w:t xml:space="preserve">, it ultimately declined to join PSE and Staff in the Settlement Agreement.  </w:t>
      </w:r>
      <w:r w:rsidR="00ED5A78">
        <w:rPr>
          <w:bCs/>
        </w:rPr>
        <w:t>Nevertheless, b</w:t>
      </w:r>
      <w:r>
        <w:rPr>
          <w:bCs/>
        </w:rPr>
        <w:t>y letter addressed to Administrative Law Jud</w:t>
      </w:r>
      <w:r w:rsidR="00345C4C">
        <w:rPr>
          <w:bCs/>
        </w:rPr>
        <w:t xml:space="preserve">ge Gregory J. Kopta </w:t>
      </w:r>
      <w:r w:rsidR="009D6760">
        <w:rPr>
          <w:bCs/>
        </w:rPr>
        <w:t xml:space="preserve">and </w:t>
      </w:r>
      <w:r w:rsidR="00345C4C">
        <w:rPr>
          <w:bCs/>
        </w:rPr>
        <w:t>dated April </w:t>
      </w:r>
      <w:r>
        <w:rPr>
          <w:bCs/>
        </w:rPr>
        <w:t>12, 2017, counsel for Public Counsel</w:t>
      </w:r>
      <w:r w:rsidR="00ED5A78">
        <w:rPr>
          <w:bCs/>
        </w:rPr>
        <w:t xml:space="preserve"> agreed that</w:t>
      </w:r>
      <w:r w:rsidR="00234051">
        <w:rPr>
          <w:bCs/>
        </w:rPr>
        <w:t>,</w:t>
      </w:r>
      <w:r>
        <w:rPr>
          <w:bCs/>
        </w:rPr>
        <w:t xml:space="preserve"> “Public Counsel will support the inspection and remediation plan,</w:t>
      </w:r>
      <w:r w:rsidR="00ED5A78">
        <w:rPr>
          <w:bCs/>
        </w:rPr>
        <w:t>”</w:t>
      </w:r>
      <w:r>
        <w:rPr>
          <w:bCs/>
        </w:rPr>
        <w:t xml:space="preserve"> but disagree</w:t>
      </w:r>
      <w:r w:rsidR="00ED5A78">
        <w:rPr>
          <w:bCs/>
        </w:rPr>
        <w:t>d</w:t>
      </w:r>
      <w:r>
        <w:rPr>
          <w:bCs/>
        </w:rPr>
        <w:t xml:space="preserve"> with respect to penalties.</w:t>
      </w:r>
      <w:r w:rsidR="00442385">
        <w:rPr>
          <w:rStyle w:val="FootnoteReference"/>
          <w:bCs/>
        </w:rPr>
        <w:footnoteReference w:id="10"/>
      </w:r>
    </w:p>
    <w:p w:rsidR="00345C4C" w:rsidRDefault="00345C4C" w:rsidP="00345C4C">
      <w:pPr>
        <w:pStyle w:val="PleadingsL1"/>
      </w:pPr>
      <w:r>
        <w:t>ARGUMENT</w:t>
      </w:r>
    </w:p>
    <w:p w:rsidR="00EB0709" w:rsidRDefault="00EB0709" w:rsidP="00EB0709">
      <w:pPr>
        <w:pStyle w:val="PleadingsL2"/>
      </w:pPr>
      <w:r>
        <w:t xml:space="preserve">Public Counsel’s Expert Lacks </w:t>
      </w:r>
      <w:r w:rsidR="000416D9">
        <w:t xml:space="preserve">A </w:t>
      </w:r>
      <w:r>
        <w:t xml:space="preserve">Factual Basis for His Opinions </w:t>
      </w:r>
      <w:r w:rsidR="000416D9">
        <w:t>a</w:t>
      </w:r>
      <w:r>
        <w:t>nd Is Unqualified to Offer Such Testimony</w:t>
      </w:r>
    </w:p>
    <w:p w:rsidR="0018136B" w:rsidRDefault="005560F9" w:rsidP="0008543B">
      <w:pPr>
        <w:pStyle w:val="Header"/>
        <w:numPr>
          <w:ilvl w:val="0"/>
          <w:numId w:val="13"/>
        </w:numPr>
        <w:tabs>
          <w:tab w:val="left" w:pos="720"/>
        </w:tabs>
        <w:spacing w:line="480" w:lineRule="auto"/>
      </w:pPr>
      <w:r>
        <w:tab/>
      </w:r>
      <w:r w:rsidRPr="005560F9">
        <w:t>PSE fundamentally disagrees with the factual basis by which Mr. Coppola supports his alleged additional causes of action and resulting penalties.  Mr.</w:t>
      </w:r>
      <w:r w:rsidR="00ED5A78">
        <w:t> </w:t>
      </w:r>
      <w:r w:rsidRPr="005560F9">
        <w:t xml:space="preserve">Coppola </w:t>
      </w:r>
      <w:r w:rsidR="004C3561">
        <w:t>in</w:t>
      </w:r>
      <w:r w:rsidRPr="005560F9">
        <w:t xml:space="preserve">accurately stated the factual evidence presented in this case </w:t>
      </w:r>
      <w:r w:rsidR="004C3561">
        <w:t>and</w:t>
      </w:r>
      <w:r w:rsidR="00345C4C">
        <w:t xml:space="preserve"> the issues raised by Mr. </w:t>
      </w:r>
      <w:r w:rsidRPr="005560F9">
        <w:t xml:space="preserve">Coppola </w:t>
      </w:r>
      <w:r w:rsidR="004C3561">
        <w:t xml:space="preserve">have not </w:t>
      </w:r>
      <w:r w:rsidRPr="005560F9">
        <w:t xml:space="preserve">been explored through discovery.  </w:t>
      </w:r>
      <w:r w:rsidR="002033A8">
        <w:t>In fact, n</w:t>
      </w:r>
      <w:r w:rsidRPr="005560F9">
        <w:t xml:space="preserve">o representative of Public Counsel, including Mr. </w:t>
      </w:r>
      <w:r w:rsidR="00FD172C">
        <w:t> </w:t>
      </w:r>
      <w:r w:rsidRPr="005560F9">
        <w:t>Coppola, participated in the investigation of the incident.</w:t>
      </w:r>
    </w:p>
    <w:p w:rsidR="00CB5366" w:rsidRDefault="0018136B" w:rsidP="0008543B">
      <w:pPr>
        <w:pStyle w:val="Header"/>
        <w:numPr>
          <w:ilvl w:val="0"/>
          <w:numId w:val="13"/>
        </w:numPr>
        <w:tabs>
          <w:tab w:val="left" w:pos="720"/>
        </w:tabs>
        <w:spacing w:line="480" w:lineRule="auto"/>
      </w:pPr>
      <w:r>
        <w:lastRenderedPageBreak/>
        <w:tab/>
      </w:r>
      <w:r w:rsidR="00FD172C">
        <w:t>Moreover, Mr. </w:t>
      </w:r>
      <w:r w:rsidR="00FD172C" w:rsidRPr="005560F9">
        <w:t xml:space="preserve">Coppola </w:t>
      </w:r>
      <w:r w:rsidR="004C3561">
        <w:t>appears un</w:t>
      </w:r>
      <w:r w:rsidR="00FD172C" w:rsidRPr="005560F9">
        <w:t xml:space="preserve">qualified to render such opinions </w:t>
      </w:r>
      <w:r w:rsidR="00FD172C">
        <w:t xml:space="preserve">and </w:t>
      </w:r>
      <w:r w:rsidR="00FD172C" w:rsidRPr="005560F9">
        <w:t xml:space="preserve">his assessment of the facts should </w:t>
      </w:r>
      <w:r w:rsidR="00FD172C">
        <w:t xml:space="preserve">not </w:t>
      </w:r>
      <w:r w:rsidR="00FD172C" w:rsidRPr="005560F9">
        <w:t>be substituted for Staff’s.</w:t>
      </w:r>
      <w:r w:rsidR="005560F9" w:rsidRPr="005560F9">
        <w:t xml:space="preserve">  Mr. Coppola does not have an in-depth knowledge of gas operations or PSE’s system, nor does he have a comprehensive </w:t>
      </w:r>
      <w:r w:rsidR="004C3561">
        <w:t>grasp</w:t>
      </w:r>
      <w:r w:rsidR="004C3561" w:rsidRPr="005560F9">
        <w:t xml:space="preserve"> </w:t>
      </w:r>
      <w:r w:rsidR="005560F9" w:rsidRPr="005560F9">
        <w:t xml:space="preserve">of the Commission’s enforcement policy or history.  </w:t>
      </w:r>
      <w:r w:rsidR="004C3561">
        <w:t>Rather</w:t>
      </w:r>
      <w:r w:rsidR="00345C4C">
        <w:t xml:space="preserve">, </w:t>
      </w:r>
      <w:r w:rsidR="005560F9" w:rsidRPr="005560F9">
        <w:t>Mr. Coppola</w:t>
      </w:r>
      <w:r w:rsidR="004C3561">
        <w:t>’s curriculum vitae indicates he</w:t>
      </w:r>
      <w:r w:rsidR="005560F9" w:rsidRPr="005560F9">
        <w:t xml:space="preserve"> </w:t>
      </w:r>
      <w:r w:rsidR="004C3561">
        <w:t>has</w:t>
      </w:r>
      <w:r w:rsidR="00012BCB">
        <w:t xml:space="preserve"> </w:t>
      </w:r>
      <w:r w:rsidR="00FD172C">
        <w:t xml:space="preserve">a financial </w:t>
      </w:r>
      <w:r w:rsidR="004C3561">
        <w:t>background, having earned</w:t>
      </w:r>
      <w:r w:rsidR="005560F9" w:rsidRPr="005560F9">
        <w:t xml:space="preserve"> a Bachelor of Science degree in accounting and a Master of Business Administration in Finance.</w:t>
      </w:r>
      <w:r w:rsidR="00E134E4">
        <w:rPr>
          <w:rStyle w:val="FootnoteReference"/>
        </w:rPr>
        <w:footnoteReference w:id="11"/>
      </w:r>
      <w:r w:rsidR="005560F9" w:rsidRPr="005560F9">
        <w:t xml:space="preserve">  His most relevant gas operations experience appears to be limited to administrative roles in Materials Inventory and Warehousing Accounting.</w:t>
      </w:r>
      <w:r w:rsidR="00C85321">
        <w:rPr>
          <w:rStyle w:val="FootnoteReference"/>
        </w:rPr>
        <w:footnoteReference w:id="12"/>
      </w:r>
      <w:r w:rsidR="005560F9" w:rsidRPr="005560F9">
        <w:t xml:space="preserve">  </w:t>
      </w:r>
      <w:r w:rsidR="004C3561">
        <w:t>H</w:t>
      </w:r>
      <w:r w:rsidR="005560F9" w:rsidRPr="005560F9">
        <w:t>is professional qualifications</w:t>
      </w:r>
      <w:r w:rsidR="004C3561">
        <w:t xml:space="preserve"> reflect that</w:t>
      </w:r>
      <w:r w:rsidR="005560F9" w:rsidRPr="005560F9">
        <w:t xml:space="preserve"> Mr. Coppola has never participated in any type of enforcement action before this Commission or any other commission.</w:t>
      </w:r>
      <w:r w:rsidR="00C85321">
        <w:rPr>
          <w:rStyle w:val="FootnoteReference"/>
        </w:rPr>
        <w:footnoteReference w:id="13"/>
      </w:r>
      <w:r w:rsidR="005560F9" w:rsidRPr="005560F9">
        <w:t xml:space="preserve">  </w:t>
      </w:r>
      <w:r w:rsidR="00345C4C">
        <w:t>Therefore, t</w:t>
      </w:r>
      <w:r w:rsidR="005560F9" w:rsidRPr="005560F9">
        <w:t xml:space="preserve">o suggest that his assessment of the facts in this case and the applicable law should be </w:t>
      </w:r>
      <w:r w:rsidR="004C3561">
        <w:t>endorsed or adopted</w:t>
      </w:r>
      <w:r w:rsidR="004C3561" w:rsidRPr="005560F9">
        <w:t xml:space="preserve"> </w:t>
      </w:r>
      <w:r w:rsidR="005560F9" w:rsidRPr="005560F9">
        <w:t>over Staff’s, and that Mr. Coppola alone is qualified to then issue a legal opinion that such facts constitute a violation of Commission rules, is not credible and should be rejected.</w:t>
      </w:r>
    </w:p>
    <w:p w:rsidR="00564FED" w:rsidRDefault="004C2830" w:rsidP="00CB5366">
      <w:pPr>
        <w:pStyle w:val="PleadingsL2"/>
      </w:pPr>
      <w:r>
        <w:t>Public Counsel</w:t>
      </w:r>
      <w:r w:rsidR="008773D7">
        <w:t xml:space="preserve"> Seeks to Address Ratemaking Issues Which </w:t>
      </w:r>
      <w:r w:rsidR="00DB2376">
        <w:t xml:space="preserve">Are </w:t>
      </w:r>
      <w:r w:rsidR="003A07E7">
        <w:t>Outside the Scope of this Proceeding</w:t>
      </w:r>
      <w:r w:rsidR="00623B75">
        <w:t xml:space="preserve"> and Should Be Excluded</w:t>
      </w:r>
    </w:p>
    <w:p w:rsidR="00EE2D9A" w:rsidRDefault="00564FED" w:rsidP="003A07E7">
      <w:pPr>
        <w:pStyle w:val="Header"/>
        <w:numPr>
          <w:ilvl w:val="0"/>
          <w:numId w:val="13"/>
        </w:numPr>
        <w:tabs>
          <w:tab w:val="left" w:pos="720"/>
        </w:tabs>
        <w:spacing w:line="480" w:lineRule="auto"/>
      </w:pPr>
      <w:r>
        <w:tab/>
      </w:r>
      <w:r w:rsidR="00B61C01">
        <w:tab/>
      </w:r>
      <w:r w:rsidR="003A07E7">
        <w:t xml:space="preserve">The Commission </w:t>
      </w:r>
      <w:r w:rsidR="000507A9">
        <w:t xml:space="preserve">is </w:t>
      </w:r>
      <w:r w:rsidR="007557DF">
        <w:t>empowered to determine</w:t>
      </w:r>
      <w:r w:rsidR="003A07E7" w:rsidRPr="003A07E7">
        <w:t xml:space="preserve"> just, reasonable, or sufficient rates</w:t>
      </w:r>
      <w:r w:rsidR="003A07E7">
        <w:t xml:space="preserve"> pursuant to RCW 80.28.020</w:t>
      </w:r>
      <w:r w:rsidR="007557DF">
        <w:t>.  Such determination, however, may only be made following a hearing regarding the lawfulness of such rates.</w:t>
      </w:r>
      <w:r w:rsidR="007557DF">
        <w:rPr>
          <w:rStyle w:val="FootnoteReference"/>
        </w:rPr>
        <w:footnoteReference w:id="14"/>
      </w:r>
      <w:r w:rsidR="00DF43FC">
        <w:t xml:space="preserve">  </w:t>
      </w:r>
      <w:r w:rsidR="00F5192D">
        <w:t>Public Counsel</w:t>
      </w:r>
      <w:r w:rsidR="00FD172C">
        <w:t xml:space="preserve"> seeks</w:t>
      </w:r>
      <w:r w:rsidR="00F5192D">
        <w:t xml:space="preserve"> to circumvent such a hearing </w:t>
      </w:r>
      <w:r w:rsidR="00FD172C">
        <w:lastRenderedPageBreak/>
        <w:t xml:space="preserve">and preemptively adjudicate rates because Mr. Coppola’s testimony </w:t>
      </w:r>
      <w:r w:rsidR="004C3561">
        <w:t xml:space="preserve">inappropriately </w:t>
      </w:r>
      <w:r w:rsidR="00FD172C">
        <w:t>argues that PSE should not be able to recover in rates the cost of PSE’s proposed Remediation Program.</w:t>
      </w:r>
      <w:r w:rsidR="00FD172C">
        <w:rPr>
          <w:rStyle w:val="FootnoteReference"/>
        </w:rPr>
        <w:footnoteReference w:id="15"/>
      </w:r>
    </w:p>
    <w:p w:rsidR="00161983" w:rsidRDefault="00B25C19" w:rsidP="00623B75">
      <w:pPr>
        <w:pStyle w:val="Header"/>
        <w:numPr>
          <w:ilvl w:val="0"/>
          <w:numId w:val="13"/>
        </w:numPr>
        <w:tabs>
          <w:tab w:val="left" w:pos="720"/>
        </w:tabs>
        <w:spacing w:line="480" w:lineRule="auto"/>
      </w:pPr>
      <w:r>
        <w:tab/>
      </w:r>
      <w:r w:rsidR="00FD172C">
        <w:t>Mr. Coppola’s</w:t>
      </w:r>
      <w:r w:rsidR="00345C4C">
        <w:t xml:space="preserve"> ratemaking testimony should be excluded for several reasons.  </w:t>
      </w:r>
      <w:r w:rsidR="00CB5366">
        <w:t xml:space="preserve">First, </w:t>
      </w:r>
      <w:r w:rsidR="0018136B">
        <w:t xml:space="preserve">the costs of PSE’s proposed Remediation Program are presently unknown.  </w:t>
      </w:r>
      <w:r w:rsidR="00F5192D">
        <w:t>As stated above, t</w:t>
      </w:r>
      <w:r w:rsidR="00161983">
        <w:t xml:space="preserve">he Commission </w:t>
      </w:r>
      <w:r w:rsidR="00FD172C">
        <w:t xml:space="preserve">has </w:t>
      </w:r>
      <w:r w:rsidR="00161983">
        <w:t xml:space="preserve">the authority to determine just, reasonable, and sufficient rates.  </w:t>
      </w:r>
      <w:r w:rsidR="009935C9">
        <w:t>However, a sweeping</w:t>
      </w:r>
      <w:r w:rsidR="00161983" w:rsidRPr="00B01609">
        <w:t xml:space="preserve"> prohibition against recovering any such costs, before they have ev</w:t>
      </w:r>
      <w:r w:rsidR="00161983">
        <w:t xml:space="preserve">en been identified or incurred, is </w:t>
      </w:r>
      <w:r w:rsidR="00FD172C">
        <w:t xml:space="preserve">unfounded and </w:t>
      </w:r>
      <w:r w:rsidR="00DC3EB9">
        <w:t>premature</w:t>
      </w:r>
      <w:r w:rsidR="00345C4C">
        <w:t>.</w:t>
      </w:r>
    </w:p>
    <w:p w:rsidR="00B01609" w:rsidRDefault="00161983" w:rsidP="00161983">
      <w:pPr>
        <w:pStyle w:val="Header"/>
        <w:numPr>
          <w:ilvl w:val="0"/>
          <w:numId w:val="13"/>
        </w:numPr>
        <w:tabs>
          <w:tab w:val="left" w:pos="720"/>
        </w:tabs>
        <w:spacing w:line="480" w:lineRule="auto"/>
      </w:pPr>
      <w:r>
        <w:tab/>
        <w:t xml:space="preserve">Second, </w:t>
      </w:r>
      <w:r w:rsidR="00CB5366">
        <w:t xml:space="preserve">while the Commission has precluded public utilities from recovering in rates </w:t>
      </w:r>
      <w:r w:rsidR="00345C4C">
        <w:t xml:space="preserve">the </w:t>
      </w:r>
      <w:r w:rsidR="00CB5366">
        <w:t>penalties issued by the Commission</w:t>
      </w:r>
      <w:r w:rsidR="00481092">
        <w:t>,</w:t>
      </w:r>
      <w:r w:rsidR="00481092">
        <w:rPr>
          <w:rStyle w:val="FootnoteReference"/>
        </w:rPr>
        <w:footnoteReference w:id="16"/>
      </w:r>
      <w:r w:rsidR="00481092">
        <w:t xml:space="preserve"> there is no Commission precedent to exclude the cost of a program that would be indistinguishably intertwined with PSE’s routine maintenance and business operations.  PSE’s proposed </w:t>
      </w:r>
      <w:r w:rsidR="004C2830">
        <w:t>Remediation Program would be</w:t>
      </w:r>
      <w:r w:rsidR="00481092">
        <w:t xml:space="preserve"> </w:t>
      </w:r>
      <w:r w:rsidR="00D74283">
        <w:t>a</w:t>
      </w:r>
      <w:r w:rsidR="00481092">
        <w:t>n extension and expansion of its existing pipeline safety operations</w:t>
      </w:r>
      <w:r w:rsidR="00D74283">
        <w:t>, which</w:t>
      </w:r>
      <w:r w:rsidR="00481092">
        <w:t xml:space="preserve"> are inherent in the costs to operate and maintain a natural gas pipeline system</w:t>
      </w:r>
      <w:r w:rsidR="00E0143B">
        <w:t>.  And, if deemed prudent, known, and measureable,</w:t>
      </w:r>
      <w:r w:rsidR="00B01609">
        <w:t xml:space="preserve"> would in almost all circumstances be recoverable in rates</w:t>
      </w:r>
      <w:r w:rsidR="00481092">
        <w:t>.</w:t>
      </w:r>
    </w:p>
    <w:p w:rsidR="00E0143B" w:rsidRDefault="00DF43FC" w:rsidP="00E0143B">
      <w:pPr>
        <w:pStyle w:val="Header"/>
        <w:numPr>
          <w:ilvl w:val="0"/>
          <w:numId w:val="13"/>
        </w:numPr>
        <w:tabs>
          <w:tab w:val="left" w:pos="720"/>
        </w:tabs>
        <w:spacing w:line="480" w:lineRule="auto"/>
      </w:pPr>
      <w:r>
        <w:tab/>
      </w:r>
      <w:r w:rsidR="004C3561">
        <w:t>Last</w:t>
      </w:r>
      <w:r w:rsidR="00E0143B">
        <w:t>, one of the purposes of settlement is a compromise of positions for the purposes of resolving and avoiding the uncertainties and costs of ongoing litigation.  If Public Counsel objects to PSE’s inclusion of costs associated with its proposed Remediation Program in rates, it will have other opportunitie</w:t>
      </w:r>
      <w:r w:rsidR="009935C9">
        <w:t>s to raise this objection in</w:t>
      </w:r>
      <w:r w:rsidR="00E0143B">
        <w:t xml:space="preserve"> future proceedings when PSE’s rates are specifically at issue.  </w:t>
      </w:r>
      <w:r w:rsidR="002033A8">
        <w:t>T</w:t>
      </w:r>
      <w:r w:rsidR="00345C4C">
        <w:t xml:space="preserve">hat </w:t>
      </w:r>
      <w:r w:rsidR="00E0143B">
        <w:t>issue</w:t>
      </w:r>
      <w:r w:rsidR="002033A8">
        <w:t>, however,</w:t>
      </w:r>
      <w:r w:rsidR="00E0143B">
        <w:t xml:space="preserve"> is beyond the scope of this case, and </w:t>
      </w:r>
      <w:r w:rsidR="00FB5F61">
        <w:t>Public Counsel’s</w:t>
      </w:r>
      <w:r w:rsidR="00E0143B">
        <w:t xml:space="preserve"> testimony on </w:t>
      </w:r>
      <w:r w:rsidR="00345C4C">
        <w:t xml:space="preserve">it </w:t>
      </w:r>
      <w:r w:rsidR="00E0143B">
        <w:t>should be excluded.</w:t>
      </w:r>
    </w:p>
    <w:p w:rsidR="00695439" w:rsidRDefault="00695439" w:rsidP="00695439">
      <w:pPr>
        <w:pStyle w:val="PleadingsL1"/>
      </w:pPr>
      <w:r>
        <w:lastRenderedPageBreak/>
        <w:t>CONCLUSION</w:t>
      </w:r>
    </w:p>
    <w:p w:rsidR="00695439" w:rsidRDefault="00955512" w:rsidP="008773D7">
      <w:pPr>
        <w:pStyle w:val="Header"/>
        <w:numPr>
          <w:ilvl w:val="0"/>
          <w:numId w:val="13"/>
        </w:numPr>
        <w:tabs>
          <w:tab w:val="left" w:pos="720"/>
        </w:tabs>
        <w:spacing w:line="480" w:lineRule="auto"/>
      </w:pPr>
      <w:r>
        <w:tab/>
      </w:r>
      <w:r w:rsidR="00FB5F61">
        <w:t xml:space="preserve">For the foregoing reasons, PSE </w:t>
      </w:r>
      <w:r w:rsidR="00345C4C">
        <w:t xml:space="preserve">joins in Staff’s Motion to Strike and </w:t>
      </w:r>
      <w:r w:rsidR="00FB5F61">
        <w:t>requests that the Commission strike the portions of the Prefiled Direct Testimony of Sebastian Coppola, Exh</w:t>
      </w:r>
      <w:r w:rsidR="000507A9">
        <w:t>ibit No</w:t>
      </w:r>
      <w:r w:rsidR="00FB5F61">
        <w:t>. SC-1T</w:t>
      </w:r>
      <w:r w:rsidR="00EB0709">
        <w:t>.</w:t>
      </w:r>
    </w:p>
    <w:p w:rsidR="007E490E" w:rsidRPr="00366771" w:rsidRDefault="007E490E" w:rsidP="00ED5A78">
      <w:pPr>
        <w:pStyle w:val="BodyText"/>
        <w:keepNext/>
      </w:pPr>
      <w:r w:rsidRPr="00366771">
        <w:t>Respectfully submitte</w:t>
      </w:r>
      <w:r w:rsidR="00603CEE">
        <w:t>d this 1st</w:t>
      </w:r>
      <w:r>
        <w:t xml:space="preserve"> day of </w:t>
      </w:r>
      <w:r w:rsidR="00603CEE">
        <w:t>May</w:t>
      </w:r>
      <w:r w:rsidR="00DB2376">
        <w:t>, 2017</w:t>
      </w:r>
      <w:r w:rsidRPr="00366771">
        <w:t>.</w:t>
      </w:r>
    </w:p>
    <w:tbl>
      <w:tblPr>
        <w:tblW w:w="0" w:type="auto"/>
        <w:tblLayout w:type="fixed"/>
        <w:tblLook w:val="0000" w:firstRow="0" w:lastRow="0" w:firstColumn="0" w:lastColumn="0" w:noHBand="0" w:noVBand="0"/>
      </w:tblPr>
      <w:tblGrid>
        <w:gridCol w:w="4788"/>
        <w:gridCol w:w="4788"/>
      </w:tblGrid>
      <w:tr w:rsidR="007E490E" w:rsidTr="0084488A">
        <w:trPr>
          <w:cantSplit/>
        </w:trPr>
        <w:tc>
          <w:tcPr>
            <w:tcW w:w="4788" w:type="dxa"/>
          </w:tcPr>
          <w:p w:rsidR="007E490E" w:rsidRDefault="007E490E" w:rsidP="0084488A">
            <w:pPr>
              <w:pStyle w:val="PleadingSignature"/>
              <w:spacing w:before="240"/>
            </w:pPr>
            <w:bookmarkStart w:id="4" w:name="_zzmpFIXED_SignatureTable"/>
          </w:p>
        </w:tc>
        <w:tc>
          <w:tcPr>
            <w:tcW w:w="4788" w:type="dxa"/>
          </w:tcPr>
          <w:p w:rsidR="007E490E" w:rsidRPr="000A006E" w:rsidRDefault="00FB7D52" w:rsidP="0084488A">
            <w:pPr>
              <w:pStyle w:val="PleadingSignature"/>
              <w:spacing w:before="240"/>
              <w:rPr>
                <w:b/>
                <w:caps/>
                <w:szCs w:val="24"/>
              </w:rPr>
            </w:pPr>
            <w:r>
              <w:rPr>
                <w:noProof/>
              </w:rPr>
              <w:drawing>
                <wp:anchor distT="0" distB="0" distL="114300" distR="114300" simplePos="0" relativeHeight="251659264" behindDoc="1" locked="0" layoutInCell="1" allowOverlap="1" wp14:anchorId="43A7783D" wp14:editId="0ABC9B66">
                  <wp:simplePos x="0" y="0"/>
                  <wp:positionH relativeFrom="column">
                    <wp:posOffset>268605</wp:posOffset>
                  </wp:positionH>
                  <wp:positionV relativeFrom="paragraph">
                    <wp:posOffset>265430</wp:posOffset>
                  </wp:positionV>
                  <wp:extent cx="2258060" cy="941705"/>
                  <wp:effectExtent l="0" t="0" r="8890" b="0"/>
                  <wp:wrapNone/>
                  <wp:docPr id="1" name="Picture 1" descr="C:\Users\knesc\Desktop\Williams_James_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nesc\Desktop\Williams_James_signat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8060" cy="941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90E" w:rsidRPr="000A006E">
              <w:rPr>
                <w:b/>
                <w:caps/>
                <w:szCs w:val="24"/>
              </w:rPr>
              <w:t>Perkins Coie</w:t>
            </w:r>
            <w:r w:rsidR="007E490E" w:rsidRPr="000A006E">
              <w:rPr>
                <w:b/>
                <w:caps/>
                <w:sz w:val="18"/>
                <w:szCs w:val="24"/>
              </w:rPr>
              <w:t xml:space="preserve"> LLP</w:t>
            </w:r>
          </w:p>
          <w:p w:rsidR="007E490E" w:rsidRDefault="007E490E" w:rsidP="0084488A">
            <w:pPr>
              <w:pStyle w:val="PleadingSignature"/>
              <w:spacing w:before="480"/>
            </w:pPr>
            <w:r>
              <w:t>By:</w:t>
            </w:r>
            <w:r w:rsidR="00FB7D52">
              <w:rPr>
                <w:noProof/>
              </w:rPr>
              <w:t xml:space="preserve"> </w:t>
            </w:r>
          </w:p>
          <w:p w:rsidR="007E490E" w:rsidRPr="000A006E" w:rsidRDefault="00DB2376" w:rsidP="0084488A">
            <w:pPr>
              <w:pStyle w:val="PleadingSignature"/>
              <w:pBdr>
                <w:top w:val="single" w:sz="4" w:space="1" w:color="auto"/>
              </w:pBdr>
              <w:ind w:left="432"/>
            </w:pPr>
            <w:r>
              <w:t>James F. Williams, WSBA No. 23613</w:t>
            </w:r>
            <w:r>
              <w:br/>
              <w:t>Donna L. Barnett, WSBA No. 36794</w:t>
            </w:r>
          </w:p>
          <w:p w:rsidR="007E490E" w:rsidRDefault="007E490E" w:rsidP="0084488A">
            <w:pPr>
              <w:pStyle w:val="PleadingSignature"/>
              <w:ind w:left="432"/>
            </w:pPr>
            <w:r>
              <w:t>David S. Steele, WSBA No. 45640</w:t>
            </w:r>
          </w:p>
          <w:p w:rsidR="00B05969" w:rsidRDefault="00B05969" w:rsidP="00B05969">
            <w:pPr>
              <w:pStyle w:val="PleadingSignature"/>
              <w:ind w:left="432"/>
            </w:pPr>
            <w:r>
              <w:t>1201 Third Avenue, Suite 4900</w:t>
            </w:r>
          </w:p>
          <w:p w:rsidR="00B05969" w:rsidRDefault="00B05969" w:rsidP="00B05969">
            <w:pPr>
              <w:pStyle w:val="PleadingSignature"/>
              <w:ind w:left="432"/>
            </w:pPr>
            <w:r>
              <w:t>Seattle, WA  98101-3099</w:t>
            </w:r>
          </w:p>
          <w:p w:rsidR="00B05969" w:rsidRDefault="00B05969" w:rsidP="00B05969">
            <w:pPr>
              <w:pStyle w:val="PleadingSignature"/>
              <w:ind w:left="432"/>
            </w:pPr>
            <w:r>
              <w:t>Telephone:  206.359.8000</w:t>
            </w:r>
          </w:p>
          <w:p w:rsidR="007E490E" w:rsidRDefault="00B05969" w:rsidP="00B05969">
            <w:pPr>
              <w:pStyle w:val="PleadingSignature"/>
              <w:ind w:left="432"/>
            </w:pPr>
            <w:r>
              <w:t>Facsimile:  206.359.9000</w:t>
            </w:r>
            <w:r>
              <w:br/>
            </w:r>
            <w:r w:rsidR="00DB2376">
              <w:t xml:space="preserve">Email:  </w:t>
            </w:r>
            <w:r w:rsidR="00DB2376" w:rsidRPr="00DB2376">
              <w:t>JWilliams@perkinscoie.com</w:t>
            </w:r>
            <w:r w:rsidR="00DB2376">
              <w:br/>
              <w:t>Email:  DBarnett@perkinscoie.com</w:t>
            </w:r>
          </w:p>
          <w:p w:rsidR="007E490E" w:rsidRPr="000A006E" w:rsidRDefault="007E490E" w:rsidP="0084488A">
            <w:pPr>
              <w:pStyle w:val="PleadingSignature"/>
              <w:ind w:left="432"/>
              <w:rPr>
                <w:szCs w:val="24"/>
              </w:rPr>
            </w:pPr>
            <w:r>
              <w:t xml:space="preserve">Email:  </w:t>
            </w:r>
            <w:hyperlink r:id="rId12" w:history="1">
              <w:r w:rsidR="001E18B7" w:rsidRPr="001D47D0">
                <w:rPr>
                  <w:rStyle w:val="Hyperlink"/>
                </w:rPr>
                <w:t>DSteele@perkinscoie.com</w:t>
              </w:r>
            </w:hyperlink>
            <w:r w:rsidR="001E18B7">
              <w:br/>
            </w:r>
          </w:p>
          <w:p w:rsidR="007E490E" w:rsidRPr="001E18B7" w:rsidRDefault="007E490E" w:rsidP="001E18B7">
            <w:pPr>
              <w:pStyle w:val="PleadingSignature"/>
              <w:spacing w:before="240"/>
              <w:rPr>
                <w:i/>
              </w:rPr>
            </w:pPr>
            <w:r w:rsidRPr="00500F85">
              <w:rPr>
                <w:i/>
              </w:rPr>
              <w:t xml:space="preserve">Attorneys for </w:t>
            </w:r>
            <w:r>
              <w:rPr>
                <w:i/>
              </w:rPr>
              <w:t>Puget Sound Energy</w:t>
            </w:r>
          </w:p>
        </w:tc>
      </w:tr>
      <w:bookmarkEnd w:id="4"/>
    </w:tbl>
    <w:p w:rsidR="003D2170" w:rsidRDefault="003D2170" w:rsidP="007E490E">
      <w:pPr>
        <w:spacing w:line="480" w:lineRule="auto"/>
        <w:jc w:val="both"/>
      </w:pPr>
    </w:p>
    <w:sectPr w:rsidR="003D2170" w:rsidSect="009118E4">
      <w:footerReference w:type="default" r:id="rId13"/>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3DF" w:rsidRDefault="004533DF" w:rsidP="003D2170">
      <w:r>
        <w:separator/>
      </w:r>
    </w:p>
  </w:endnote>
  <w:endnote w:type="continuationSeparator" w:id="0">
    <w:p w:rsidR="004533DF" w:rsidRDefault="004533DF" w:rsidP="003D2170">
      <w:r>
        <w:continuationSeparator/>
      </w:r>
    </w:p>
  </w:endnote>
  <w:endnote w:type="continuationNotice" w:id="1">
    <w:p w:rsidR="004533DF" w:rsidRDefault="00453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B" w:rsidRDefault="001437EB" w:rsidP="0088223B">
    <w:pPr>
      <w:pStyle w:val="Footer"/>
      <w:rPr>
        <w:caps/>
        <w:sz w:val="20"/>
        <w:szCs w:val="20"/>
      </w:rPr>
    </w:pPr>
    <w:r>
      <w:rPr>
        <w:caps/>
        <w:sz w:val="20"/>
        <w:szCs w:val="20"/>
      </w:rPr>
      <w:t>PUGET SOUND ENERGY’S MOTION TO STRIKE PORTIONS OF THE PREFILED DIRECT TESTIMONY OF SEBASTIAN COPPOLA</w:t>
    </w:r>
    <w:r>
      <w:rPr>
        <w:caps/>
        <w:sz w:val="20"/>
        <w:szCs w:val="20"/>
      </w:rPr>
      <w:br/>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D430E8">
      <w:rPr>
        <w:caps/>
        <w:noProof/>
        <w:sz w:val="20"/>
        <w:szCs w:val="20"/>
      </w:rPr>
      <w:t>7</w:t>
    </w:r>
    <w:r w:rsidRPr="003E0A8C">
      <w:rPr>
        <w:caps/>
        <w:sz w:val="20"/>
        <w:szCs w:val="20"/>
      </w:rPr>
      <w:fldChar w:fldCharType="end"/>
    </w:r>
  </w:p>
  <w:p w:rsidR="00996A90" w:rsidRDefault="00996A90" w:rsidP="00996A90">
    <w:pPr>
      <w:pStyle w:val="Footer"/>
      <w:spacing w:line="200" w:lineRule="exact"/>
      <w:rPr>
        <w:caps/>
        <w:sz w:val="20"/>
        <w:szCs w:val="20"/>
      </w:rPr>
    </w:pPr>
    <w:r w:rsidRPr="00996A90">
      <w:rPr>
        <w:rStyle w:val="zzmpTrailerItem"/>
      </w:rPr>
      <w:t>135440794.1</w:t>
    </w:r>
    <w:r w:rsidRPr="00996A9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3DF" w:rsidRDefault="004533DF" w:rsidP="003D2170">
      <w:r>
        <w:separator/>
      </w:r>
    </w:p>
  </w:footnote>
  <w:footnote w:type="continuationSeparator" w:id="0">
    <w:p w:rsidR="004533DF" w:rsidRDefault="004533DF" w:rsidP="003D2170">
      <w:r>
        <w:continuationSeparator/>
      </w:r>
    </w:p>
  </w:footnote>
  <w:footnote w:type="continuationNotice" w:id="1">
    <w:p w:rsidR="004533DF" w:rsidRDefault="004533DF"/>
  </w:footnote>
  <w:footnote w:id="2">
    <w:p w:rsidR="00012BCB" w:rsidRPr="00C03C7F" w:rsidRDefault="00012BCB" w:rsidP="00012BCB">
      <w:pPr>
        <w:pStyle w:val="FootnoteText"/>
      </w:pPr>
      <w:r w:rsidRPr="00C03C7F">
        <w:rPr>
          <w:rStyle w:val="FootnoteReference"/>
        </w:rPr>
        <w:footnoteRef/>
      </w:r>
      <w:r w:rsidRPr="00C03C7F">
        <w:t xml:space="preserve"> Includes supporting testimony for Exhibits SC-6 and SC-7, which the Commission </w:t>
      </w:r>
      <w:r>
        <w:t xml:space="preserve">should </w:t>
      </w:r>
      <w:r w:rsidRPr="00C03C7F">
        <w:t xml:space="preserve">strike as well. </w:t>
      </w:r>
    </w:p>
  </w:footnote>
  <w:footnote w:id="3">
    <w:p w:rsidR="00C85321" w:rsidRDefault="00C85321">
      <w:pPr>
        <w:pStyle w:val="FootnoteText"/>
      </w:pPr>
      <w:r>
        <w:rPr>
          <w:rStyle w:val="FootnoteReference"/>
        </w:rPr>
        <w:footnoteRef/>
      </w:r>
      <w:r>
        <w:t xml:space="preserve"> Final Staff Investigation Report (Sept. 20, 2016).</w:t>
      </w:r>
    </w:p>
  </w:footnote>
  <w:footnote w:id="4">
    <w:p w:rsidR="00C85321" w:rsidRDefault="00C85321">
      <w:pPr>
        <w:pStyle w:val="FootnoteText"/>
      </w:pPr>
      <w:r>
        <w:rPr>
          <w:rStyle w:val="FootnoteReference"/>
        </w:rPr>
        <w:footnoteRef/>
      </w:r>
      <w:r>
        <w:t xml:space="preserve"> Narrative Supporting Settlement Agreement, </w:t>
      </w:r>
      <w:r w:rsidR="004C2830">
        <w:t xml:space="preserve">at </w:t>
      </w:r>
      <w:r>
        <w:t>¶¶ 8-15 (Mar. 28, 2017).</w:t>
      </w:r>
    </w:p>
  </w:footnote>
  <w:footnote w:id="5">
    <w:p w:rsidR="00C85321" w:rsidRDefault="00C85321">
      <w:pPr>
        <w:pStyle w:val="FootnoteText"/>
      </w:pPr>
      <w:r>
        <w:rPr>
          <w:rStyle w:val="FootnoteReference"/>
        </w:rPr>
        <w:footnoteRef/>
      </w:r>
      <w:r>
        <w:t xml:space="preserve"> </w:t>
      </w:r>
      <w:r w:rsidRPr="00C85321">
        <w:rPr>
          <w:i/>
        </w:rPr>
        <w:t>Id.</w:t>
      </w:r>
    </w:p>
  </w:footnote>
  <w:footnote w:id="6">
    <w:p w:rsidR="00C85321" w:rsidRPr="00C85321" w:rsidRDefault="00C85321">
      <w:pPr>
        <w:pStyle w:val="FootnoteText"/>
        <w:rPr>
          <w:i/>
        </w:rPr>
      </w:pPr>
      <w:r>
        <w:rPr>
          <w:rStyle w:val="FootnoteReference"/>
        </w:rPr>
        <w:footnoteRef/>
      </w:r>
      <w:r>
        <w:t xml:space="preserve"> </w:t>
      </w:r>
      <w:r w:rsidRPr="00C85321">
        <w:rPr>
          <w:i/>
        </w:rPr>
        <w:t>Id.</w:t>
      </w:r>
    </w:p>
  </w:footnote>
  <w:footnote w:id="7">
    <w:p w:rsidR="00C85321" w:rsidRDefault="00C85321">
      <w:pPr>
        <w:pStyle w:val="FootnoteText"/>
      </w:pPr>
      <w:r>
        <w:rPr>
          <w:rStyle w:val="FootnoteReference"/>
        </w:rPr>
        <w:footnoteRef/>
      </w:r>
      <w:r>
        <w:t xml:space="preserve"> </w:t>
      </w:r>
      <w:r w:rsidRPr="00C85321">
        <w:t>Final Staff Investigation Report (Sept. 20, 2016).</w:t>
      </w:r>
    </w:p>
  </w:footnote>
  <w:footnote w:id="8">
    <w:p w:rsidR="00C85321" w:rsidRDefault="00C85321">
      <w:pPr>
        <w:pStyle w:val="FootnoteText"/>
      </w:pPr>
      <w:r>
        <w:rPr>
          <w:rStyle w:val="FootnoteReference"/>
        </w:rPr>
        <w:footnoteRef/>
      </w:r>
      <w:r>
        <w:t xml:space="preserve"> </w:t>
      </w:r>
      <w:r w:rsidRPr="00C85321">
        <w:t>Narrative Sup</w:t>
      </w:r>
      <w:r>
        <w:t>porting Settlement Agreement,</w:t>
      </w:r>
      <w:r w:rsidRPr="00C85321">
        <w:t xml:space="preserve"> </w:t>
      </w:r>
      <w:r w:rsidR="004C2830">
        <w:t xml:space="preserve">at </w:t>
      </w:r>
      <w:r>
        <w:t>¶ 18.</w:t>
      </w:r>
    </w:p>
  </w:footnote>
  <w:footnote w:id="9">
    <w:p w:rsidR="00C85321" w:rsidRDefault="00C85321">
      <w:pPr>
        <w:pStyle w:val="FootnoteText"/>
      </w:pPr>
      <w:r>
        <w:rPr>
          <w:rStyle w:val="FootnoteReference"/>
        </w:rPr>
        <w:footnoteRef/>
      </w:r>
      <w:r>
        <w:t xml:space="preserve"> </w:t>
      </w:r>
      <w:r w:rsidRPr="00C85321">
        <w:rPr>
          <w:i/>
        </w:rPr>
        <w:t>See id.</w:t>
      </w:r>
      <w:r>
        <w:t xml:space="preserve">, </w:t>
      </w:r>
      <w:r w:rsidR="004C2830">
        <w:t xml:space="preserve">at </w:t>
      </w:r>
      <w:r>
        <w:t>¶¶ 22-24.</w:t>
      </w:r>
    </w:p>
  </w:footnote>
  <w:footnote w:id="10">
    <w:p w:rsidR="00442385" w:rsidRDefault="00442385">
      <w:pPr>
        <w:pStyle w:val="FootnoteText"/>
      </w:pPr>
      <w:r>
        <w:rPr>
          <w:rStyle w:val="FootnoteReference"/>
        </w:rPr>
        <w:footnoteRef/>
      </w:r>
      <w:r>
        <w:t xml:space="preserve"> </w:t>
      </w:r>
      <w:r w:rsidRPr="00442385">
        <w:t>Letter from Public Counsel to Judge Kopta dated April 12, 2017</w:t>
      </w:r>
      <w:r>
        <w:t>.</w:t>
      </w:r>
    </w:p>
  </w:footnote>
  <w:footnote w:id="11">
    <w:p w:rsidR="00E134E4" w:rsidRDefault="00E134E4">
      <w:pPr>
        <w:pStyle w:val="FootnoteText"/>
      </w:pPr>
      <w:r>
        <w:rPr>
          <w:rStyle w:val="FootnoteReference"/>
        </w:rPr>
        <w:footnoteRef/>
      </w:r>
      <w:r>
        <w:t xml:space="preserve"> Coppola Testimony, </w:t>
      </w:r>
      <w:r w:rsidR="00C85321">
        <w:t xml:space="preserve">at 4:11-5:17; </w:t>
      </w:r>
      <w:r>
        <w:t>Exh. SC-2.</w:t>
      </w:r>
    </w:p>
  </w:footnote>
  <w:footnote w:id="12">
    <w:p w:rsidR="00C85321" w:rsidRDefault="00C85321">
      <w:pPr>
        <w:pStyle w:val="FootnoteText"/>
      </w:pPr>
      <w:r>
        <w:rPr>
          <w:rStyle w:val="FootnoteReference"/>
        </w:rPr>
        <w:footnoteRef/>
      </w:r>
      <w:r>
        <w:t xml:space="preserve"> </w:t>
      </w:r>
      <w:r w:rsidRPr="00C85321">
        <w:rPr>
          <w:i/>
        </w:rPr>
        <w:t>Id.</w:t>
      </w:r>
    </w:p>
  </w:footnote>
  <w:footnote w:id="13">
    <w:p w:rsidR="00C85321" w:rsidRDefault="00C85321">
      <w:pPr>
        <w:pStyle w:val="FootnoteText"/>
      </w:pPr>
      <w:r>
        <w:rPr>
          <w:rStyle w:val="FootnoteReference"/>
        </w:rPr>
        <w:footnoteRef/>
      </w:r>
      <w:r>
        <w:t xml:space="preserve"> </w:t>
      </w:r>
      <w:r w:rsidR="00012BCB" w:rsidRPr="00012BCB">
        <w:rPr>
          <w:i/>
        </w:rPr>
        <w:t>Id.</w:t>
      </w:r>
      <w:r w:rsidRPr="00C85321">
        <w:t xml:space="preserve"> </w:t>
      </w:r>
      <w:r>
        <w:t>at 4:11-6:11</w:t>
      </w:r>
      <w:r w:rsidRPr="00C85321">
        <w:t>; Exh. SC-2.</w:t>
      </w:r>
    </w:p>
  </w:footnote>
  <w:footnote w:id="14">
    <w:p w:rsidR="007557DF" w:rsidRDefault="007557DF">
      <w:pPr>
        <w:pStyle w:val="FootnoteText"/>
      </w:pPr>
      <w:r>
        <w:rPr>
          <w:rStyle w:val="FootnoteReference"/>
        </w:rPr>
        <w:footnoteRef/>
      </w:r>
      <w:r>
        <w:t xml:space="preserve"> “</w:t>
      </w:r>
      <w:r w:rsidRPr="007557DF">
        <w:t xml:space="preserve">Whenever the commission shall find, </w:t>
      </w:r>
      <w:r w:rsidRPr="007557DF">
        <w:rPr>
          <w:u w:val="single"/>
        </w:rPr>
        <w:t>after a hearing</w:t>
      </w:r>
      <w:r w:rsidRPr="007557DF">
        <w:t xml:space="preserve"> had upon its own motion, or upon complaint, that the rates or charges demanded, exacted, charged or collected by any gas company, electrical company, wastewater company, or water company, for gas, electricity, wastewater company services, or water, or in connection therewith, or that the rules, regulations, practices or contracts affecting such rates or charges are unjust, unreasonable, unjustly discriminatory or unduly preferential, or in any wise in violation of the provisions of the law, or that such rates or charges are insufficient to yield a reasonable compensation for the service rendered, the commission shall determine the just, reasonable, or sufficient rates, charges, regulations, practices or contracts to be thereafter observed and in force, and shall fix the same by order.</w:t>
      </w:r>
      <w:r>
        <w:t>”  RCW 80.28.020</w:t>
      </w:r>
      <w:r w:rsidR="00F5192D">
        <w:t xml:space="preserve"> (emphasis added)</w:t>
      </w:r>
      <w:r>
        <w:t>.</w:t>
      </w:r>
    </w:p>
  </w:footnote>
  <w:footnote w:id="15">
    <w:p w:rsidR="00FD172C" w:rsidRDefault="00FD172C" w:rsidP="00FD172C">
      <w:pPr>
        <w:pStyle w:val="FootnoteText"/>
      </w:pPr>
      <w:r>
        <w:rPr>
          <w:rStyle w:val="FootnoteReference"/>
        </w:rPr>
        <w:footnoteRef/>
      </w:r>
      <w:r>
        <w:t xml:space="preserve"> </w:t>
      </w:r>
      <w:r w:rsidR="00012BCB">
        <w:t xml:space="preserve">Coppola Testimony, </w:t>
      </w:r>
      <w:r>
        <w:t xml:space="preserve">at </w:t>
      </w:r>
      <w:r w:rsidRPr="00E408DA">
        <w:t xml:space="preserve">8:16-23, 9:2-4, </w:t>
      </w:r>
      <w:r>
        <w:t>26:12-22, 36:14-17.</w:t>
      </w:r>
    </w:p>
  </w:footnote>
  <w:footnote w:id="16">
    <w:p w:rsidR="00481092" w:rsidRDefault="00481092">
      <w:pPr>
        <w:pStyle w:val="FootnoteText"/>
      </w:pPr>
      <w:r>
        <w:rPr>
          <w:rStyle w:val="FootnoteReference"/>
        </w:rPr>
        <w:footnoteRef/>
      </w:r>
      <w:r w:rsidR="009D292D">
        <w:t xml:space="preserve"> </w:t>
      </w:r>
      <w:r w:rsidR="009D292D" w:rsidRPr="00C83146">
        <w:rPr>
          <w:i/>
        </w:rPr>
        <w:t>See, e.g.</w:t>
      </w:r>
      <w:r w:rsidR="009D292D">
        <w:t xml:space="preserve">, </w:t>
      </w:r>
      <w:r w:rsidR="00C83146" w:rsidRPr="00C83146">
        <w:rPr>
          <w:i/>
        </w:rPr>
        <w:t>In the Matter of Verizon Communications, Inc.</w:t>
      </w:r>
      <w:r w:rsidR="00C83146">
        <w:t>, Docket UT-090842, Order 6, at ¶ 59 (Apr. 16, 2010) (“[T]he company is specifically prohibited from seeking to recovery any service quality penalty or credit amounts in any future rate proceedings.”).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3">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6">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7">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9">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1">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3">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4">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nsid w:val="672415FA"/>
    <w:multiLevelType w:val="hybridMultilevel"/>
    <w:tmpl w:val="7A84AC5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9"/>
  </w:num>
  <w:num w:numId="2">
    <w:abstractNumId w:val="7"/>
  </w:num>
  <w:num w:numId="3">
    <w:abstractNumId w:val="23"/>
  </w:num>
  <w:num w:numId="4">
    <w:abstractNumId w:val="29"/>
  </w:num>
  <w:num w:numId="5">
    <w:abstractNumId w:val="13"/>
  </w:num>
  <w:num w:numId="6">
    <w:abstractNumId w:val="17"/>
  </w:num>
  <w:num w:numId="7">
    <w:abstractNumId w:val="15"/>
  </w:num>
  <w:num w:numId="8">
    <w:abstractNumId w:val="4"/>
  </w:num>
  <w:num w:numId="9">
    <w:abstractNumId w:val="2"/>
  </w:num>
  <w:num w:numId="10">
    <w:abstractNumId w:val="27"/>
  </w:num>
  <w:num w:numId="11">
    <w:abstractNumId w:val="30"/>
  </w:num>
  <w:num w:numId="12">
    <w:abstractNumId w:val="11"/>
  </w:num>
  <w:num w:numId="13">
    <w:abstractNumId w:val="22"/>
  </w:num>
  <w:num w:numId="14">
    <w:abstractNumId w:val="24"/>
  </w:num>
  <w:num w:numId="15">
    <w:abstractNumId w:val="3"/>
  </w:num>
  <w:num w:numId="16">
    <w:abstractNumId w:val="6"/>
  </w:num>
  <w:num w:numId="17">
    <w:abstractNumId w:val="20"/>
  </w:num>
  <w:num w:numId="18">
    <w:abstractNumId w:val="18"/>
  </w:num>
  <w:num w:numId="19">
    <w:abstractNumId w:val="14"/>
  </w:num>
  <w:num w:numId="20">
    <w:abstractNumId w:val="0"/>
  </w:num>
  <w:num w:numId="21">
    <w:abstractNumId w:val="28"/>
  </w:num>
  <w:num w:numId="22">
    <w:abstractNumId w:val="5"/>
  </w:num>
  <w:num w:numId="23">
    <w:abstractNumId w:val="19"/>
  </w:num>
  <w:num w:numId="24">
    <w:abstractNumId w:val="8"/>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21"/>
  </w:num>
  <w:num w:numId="36">
    <w:abstractNumId w:val="1"/>
  </w:num>
  <w:num w:numId="37">
    <w:abstractNumId w:val="12"/>
  </w:num>
  <w:num w:numId="38">
    <w:abstractNumId w:val="26"/>
  </w:num>
  <w:num w:numId="39">
    <w:abstractNumId w:val="25"/>
  </w:num>
  <w:num w:numId="40">
    <w:abstractNumId w:val="10"/>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MPDocID" w:val="135440794.1"/>
    <w:docVar w:name="MPDocIDTemplate" w:val="%n|.%v"/>
    <w:docVar w:name="MPDocIDTemplateDefault" w:val="%c-|%m/|%n|.%v"/>
    <w:docVar w:name="NewDocStampType" w:val="1"/>
  </w:docVars>
  <w:rsids>
    <w:rsidRoot w:val="003D453C"/>
    <w:rsid w:val="00000730"/>
    <w:rsid w:val="000019B2"/>
    <w:rsid w:val="00001A1A"/>
    <w:rsid w:val="0000611A"/>
    <w:rsid w:val="000062F0"/>
    <w:rsid w:val="00006885"/>
    <w:rsid w:val="00011864"/>
    <w:rsid w:val="00012BCB"/>
    <w:rsid w:val="00013E10"/>
    <w:rsid w:val="000149D1"/>
    <w:rsid w:val="00014A45"/>
    <w:rsid w:val="00016F0D"/>
    <w:rsid w:val="000204B9"/>
    <w:rsid w:val="00023931"/>
    <w:rsid w:val="00023C78"/>
    <w:rsid w:val="00023EC7"/>
    <w:rsid w:val="000259FF"/>
    <w:rsid w:val="000267D0"/>
    <w:rsid w:val="00032BE9"/>
    <w:rsid w:val="000348E2"/>
    <w:rsid w:val="00036DC6"/>
    <w:rsid w:val="000408B5"/>
    <w:rsid w:val="000416D9"/>
    <w:rsid w:val="00041BEC"/>
    <w:rsid w:val="000429F5"/>
    <w:rsid w:val="000451B3"/>
    <w:rsid w:val="00047750"/>
    <w:rsid w:val="000479B7"/>
    <w:rsid w:val="000507A9"/>
    <w:rsid w:val="00050E88"/>
    <w:rsid w:val="00051163"/>
    <w:rsid w:val="0005157E"/>
    <w:rsid w:val="0005198D"/>
    <w:rsid w:val="00052EC5"/>
    <w:rsid w:val="00053218"/>
    <w:rsid w:val="000546ED"/>
    <w:rsid w:val="00062604"/>
    <w:rsid w:val="000633AF"/>
    <w:rsid w:val="0006676D"/>
    <w:rsid w:val="00071423"/>
    <w:rsid w:val="00076C7E"/>
    <w:rsid w:val="00077C34"/>
    <w:rsid w:val="000801EE"/>
    <w:rsid w:val="0008186D"/>
    <w:rsid w:val="0008287F"/>
    <w:rsid w:val="00082C5D"/>
    <w:rsid w:val="00082EE7"/>
    <w:rsid w:val="0008395E"/>
    <w:rsid w:val="0008543B"/>
    <w:rsid w:val="0008544C"/>
    <w:rsid w:val="000856DB"/>
    <w:rsid w:val="00087466"/>
    <w:rsid w:val="000912E9"/>
    <w:rsid w:val="00092E15"/>
    <w:rsid w:val="00093905"/>
    <w:rsid w:val="00094C1E"/>
    <w:rsid w:val="0009542A"/>
    <w:rsid w:val="000969D7"/>
    <w:rsid w:val="000A195C"/>
    <w:rsid w:val="000A3989"/>
    <w:rsid w:val="000A70A2"/>
    <w:rsid w:val="000B51D3"/>
    <w:rsid w:val="000B53B7"/>
    <w:rsid w:val="000C0376"/>
    <w:rsid w:val="000C112D"/>
    <w:rsid w:val="000C6E14"/>
    <w:rsid w:val="000D3E71"/>
    <w:rsid w:val="000D495F"/>
    <w:rsid w:val="000D767D"/>
    <w:rsid w:val="000E33A5"/>
    <w:rsid w:val="000E4D17"/>
    <w:rsid w:val="000E587F"/>
    <w:rsid w:val="000E7EE3"/>
    <w:rsid w:val="000F04D6"/>
    <w:rsid w:val="000F0845"/>
    <w:rsid w:val="000F2DEC"/>
    <w:rsid w:val="000F2E1A"/>
    <w:rsid w:val="000F39DC"/>
    <w:rsid w:val="000F3A90"/>
    <w:rsid w:val="000F3B62"/>
    <w:rsid w:val="000F4729"/>
    <w:rsid w:val="000F4CA6"/>
    <w:rsid w:val="000F54DA"/>
    <w:rsid w:val="000F73F4"/>
    <w:rsid w:val="000F7A62"/>
    <w:rsid w:val="0010697C"/>
    <w:rsid w:val="001111D5"/>
    <w:rsid w:val="0011264D"/>
    <w:rsid w:val="00114883"/>
    <w:rsid w:val="00115282"/>
    <w:rsid w:val="00115AAD"/>
    <w:rsid w:val="00120D59"/>
    <w:rsid w:val="00121717"/>
    <w:rsid w:val="001230AB"/>
    <w:rsid w:val="001234F8"/>
    <w:rsid w:val="00123B79"/>
    <w:rsid w:val="00124B1D"/>
    <w:rsid w:val="00126FF3"/>
    <w:rsid w:val="00130B93"/>
    <w:rsid w:val="00130FAE"/>
    <w:rsid w:val="00132488"/>
    <w:rsid w:val="00132CED"/>
    <w:rsid w:val="001330AC"/>
    <w:rsid w:val="00134122"/>
    <w:rsid w:val="001366A5"/>
    <w:rsid w:val="0013717C"/>
    <w:rsid w:val="001437EB"/>
    <w:rsid w:val="00143897"/>
    <w:rsid w:val="00145CAC"/>
    <w:rsid w:val="00146672"/>
    <w:rsid w:val="00146685"/>
    <w:rsid w:val="00146BE0"/>
    <w:rsid w:val="001470FC"/>
    <w:rsid w:val="00153200"/>
    <w:rsid w:val="001550DE"/>
    <w:rsid w:val="001554AC"/>
    <w:rsid w:val="0016022C"/>
    <w:rsid w:val="00161983"/>
    <w:rsid w:val="0016683F"/>
    <w:rsid w:val="00166D8A"/>
    <w:rsid w:val="00166E91"/>
    <w:rsid w:val="001707BC"/>
    <w:rsid w:val="001713E1"/>
    <w:rsid w:val="00172B47"/>
    <w:rsid w:val="00175089"/>
    <w:rsid w:val="00177C05"/>
    <w:rsid w:val="0018136B"/>
    <w:rsid w:val="00183D6B"/>
    <w:rsid w:val="00187AA5"/>
    <w:rsid w:val="00191012"/>
    <w:rsid w:val="001919F6"/>
    <w:rsid w:val="00195D6E"/>
    <w:rsid w:val="001962B2"/>
    <w:rsid w:val="00197C74"/>
    <w:rsid w:val="001A00C2"/>
    <w:rsid w:val="001A07F5"/>
    <w:rsid w:val="001A0A82"/>
    <w:rsid w:val="001A309F"/>
    <w:rsid w:val="001B0056"/>
    <w:rsid w:val="001B0AA8"/>
    <w:rsid w:val="001B3BD8"/>
    <w:rsid w:val="001B407E"/>
    <w:rsid w:val="001C3B8B"/>
    <w:rsid w:val="001C5D0E"/>
    <w:rsid w:val="001C6673"/>
    <w:rsid w:val="001C7DB0"/>
    <w:rsid w:val="001C7EE0"/>
    <w:rsid w:val="001D0E62"/>
    <w:rsid w:val="001D25B3"/>
    <w:rsid w:val="001D57A8"/>
    <w:rsid w:val="001D6056"/>
    <w:rsid w:val="001D6CB2"/>
    <w:rsid w:val="001E0AE5"/>
    <w:rsid w:val="001E11F8"/>
    <w:rsid w:val="001E18B7"/>
    <w:rsid w:val="001E34C4"/>
    <w:rsid w:val="001E44A5"/>
    <w:rsid w:val="001E6EE4"/>
    <w:rsid w:val="001E7018"/>
    <w:rsid w:val="001F5646"/>
    <w:rsid w:val="001F5D1C"/>
    <w:rsid w:val="001F6013"/>
    <w:rsid w:val="00200CB6"/>
    <w:rsid w:val="00201602"/>
    <w:rsid w:val="0020310D"/>
    <w:rsid w:val="002033A8"/>
    <w:rsid w:val="00203CE1"/>
    <w:rsid w:val="002066AB"/>
    <w:rsid w:val="002073D8"/>
    <w:rsid w:val="00207E31"/>
    <w:rsid w:val="00214167"/>
    <w:rsid w:val="002158F0"/>
    <w:rsid w:val="00216AAA"/>
    <w:rsid w:val="0021701D"/>
    <w:rsid w:val="002219E4"/>
    <w:rsid w:val="00225473"/>
    <w:rsid w:val="00227511"/>
    <w:rsid w:val="002327B7"/>
    <w:rsid w:val="00232D89"/>
    <w:rsid w:val="00233BFF"/>
    <w:rsid w:val="00234051"/>
    <w:rsid w:val="0023509A"/>
    <w:rsid w:val="00236705"/>
    <w:rsid w:val="002374FC"/>
    <w:rsid w:val="00245637"/>
    <w:rsid w:val="0024590C"/>
    <w:rsid w:val="0025032A"/>
    <w:rsid w:val="002509C7"/>
    <w:rsid w:val="00250F13"/>
    <w:rsid w:val="002517C3"/>
    <w:rsid w:val="00252DF4"/>
    <w:rsid w:val="00254AAD"/>
    <w:rsid w:val="002576A4"/>
    <w:rsid w:val="002607F9"/>
    <w:rsid w:val="00262355"/>
    <w:rsid w:val="00264407"/>
    <w:rsid w:val="0026583A"/>
    <w:rsid w:val="00265F27"/>
    <w:rsid w:val="002679F4"/>
    <w:rsid w:val="002758E8"/>
    <w:rsid w:val="002775C8"/>
    <w:rsid w:val="00281B3C"/>
    <w:rsid w:val="00282CF0"/>
    <w:rsid w:val="00282D24"/>
    <w:rsid w:val="00285221"/>
    <w:rsid w:val="00285B0A"/>
    <w:rsid w:val="00287853"/>
    <w:rsid w:val="002917A1"/>
    <w:rsid w:val="002926A1"/>
    <w:rsid w:val="002969A4"/>
    <w:rsid w:val="00297ADC"/>
    <w:rsid w:val="002A0A07"/>
    <w:rsid w:val="002A0D91"/>
    <w:rsid w:val="002A45AF"/>
    <w:rsid w:val="002A6860"/>
    <w:rsid w:val="002B0D06"/>
    <w:rsid w:val="002B1B97"/>
    <w:rsid w:val="002B45A5"/>
    <w:rsid w:val="002B60BD"/>
    <w:rsid w:val="002B7233"/>
    <w:rsid w:val="002C1474"/>
    <w:rsid w:val="002C2EDA"/>
    <w:rsid w:val="002C613D"/>
    <w:rsid w:val="002D2174"/>
    <w:rsid w:val="002D290E"/>
    <w:rsid w:val="002D381E"/>
    <w:rsid w:val="002E0AD3"/>
    <w:rsid w:val="002E2930"/>
    <w:rsid w:val="002E3358"/>
    <w:rsid w:val="002E6245"/>
    <w:rsid w:val="002E6800"/>
    <w:rsid w:val="002E772C"/>
    <w:rsid w:val="002F0031"/>
    <w:rsid w:val="002F05F2"/>
    <w:rsid w:val="002F3AC6"/>
    <w:rsid w:val="002F3B14"/>
    <w:rsid w:val="002F6A32"/>
    <w:rsid w:val="003000F7"/>
    <w:rsid w:val="003008D3"/>
    <w:rsid w:val="003013A2"/>
    <w:rsid w:val="003016BB"/>
    <w:rsid w:val="003042C4"/>
    <w:rsid w:val="00312612"/>
    <w:rsid w:val="0031454E"/>
    <w:rsid w:val="003231FA"/>
    <w:rsid w:val="00326A0D"/>
    <w:rsid w:val="00330AD1"/>
    <w:rsid w:val="00336D43"/>
    <w:rsid w:val="00337594"/>
    <w:rsid w:val="00337B1C"/>
    <w:rsid w:val="003427EA"/>
    <w:rsid w:val="003429E6"/>
    <w:rsid w:val="003453C3"/>
    <w:rsid w:val="00345C4C"/>
    <w:rsid w:val="00347FF1"/>
    <w:rsid w:val="00350684"/>
    <w:rsid w:val="00352830"/>
    <w:rsid w:val="00354915"/>
    <w:rsid w:val="00355281"/>
    <w:rsid w:val="00355B46"/>
    <w:rsid w:val="00355C39"/>
    <w:rsid w:val="003566E8"/>
    <w:rsid w:val="00360698"/>
    <w:rsid w:val="00360A04"/>
    <w:rsid w:val="00363784"/>
    <w:rsid w:val="00365016"/>
    <w:rsid w:val="00366A71"/>
    <w:rsid w:val="00366D7A"/>
    <w:rsid w:val="00366ECD"/>
    <w:rsid w:val="003672F4"/>
    <w:rsid w:val="00370326"/>
    <w:rsid w:val="003713F3"/>
    <w:rsid w:val="00371B3D"/>
    <w:rsid w:val="00374836"/>
    <w:rsid w:val="003748CC"/>
    <w:rsid w:val="00374D69"/>
    <w:rsid w:val="00375FCB"/>
    <w:rsid w:val="003823C2"/>
    <w:rsid w:val="00385C54"/>
    <w:rsid w:val="003910F5"/>
    <w:rsid w:val="00392547"/>
    <w:rsid w:val="003A014E"/>
    <w:rsid w:val="003A07E7"/>
    <w:rsid w:val="003A2BE1"/>
    <w:rsid w:val="003A7081"/>
    <w:rsid w:val="003A74FB"/>
    <w:rsid w:val="003B09A0"/>
    <w:rsid w:val="003B3EF9"/>
    <w:rsid w:val="003B41FA"/>
    <w:rsid w:val="003B5D00"/>
    <w:rsid w:val="003B62AB"/>
    <w:rsid w:val="003C17C1"/>
    <w:rsid w:val="003C5BFE"/>
    <w:rsid w:val="003C77C5"/>
    <w:rsid w:val="003D003E"/>
    <w:rsid w:val="003D1F52"/>
    <w:rsid w:val="003D2170"/>
    <w:rsid w:val="003D26E8"/>
    <w:rsid w:val="003D3A71"/>
    <w:rsid w:val="003D453C"/>
    <w:rsid w:val="003D4BD1"/>
    <w:rsid w:val="003D4D4A"/>
    <w:rsid w:val="003D6177"/>
    <w:rsid w:val="003D622B"/>
    <w:rsid w:val="003D71CB"/>
    <w:rsid w:val="003D7A35"/>
    <w:rsid w:val="003E09B6"/>
    <w:rsid w:val="003E0A8C"/>
    <w:rsid w:val="003E1892"/>
    <w:rsid w:val="003E1AB9"/>
    <w:rsid w:val="003E1FBA"/>
    <w:rsid w:val="003E4CF1"/>
    <w:rsid w:val="003E7809"/>
    <w:rsid w:val="003E7A8A"/>
    <w:rsid w:val="003F0AEA"/>
    <w:rsid w:val="003F0E35"/>
    <w:rsid w:val="003F1C9D"/>
    <w:rsid w:val="003F50AC"/>
    <w:rsid w:val="003F579E"/>
    <w:rsid w:val="003F6800"/>
    <w:rsid w:val="003F79B6"/>
    <w:rsid w:val="00407049"/>
    <w:rsid w:val="00407EBA"/>
    <w:rsid w:val="0041023B"/>
    <w:rsid w:val="00411853"/>
    <w:rsid w:val="0041462B"/>
    <w:rsid w:val="0041565F"/>
    <w:rsid w:val="00417250"/>
    <w:rsid w:val="00421CB8"/>
    <w:rsid w:val="0042479C"/>
    <w:rsid w:val="004300B2"/>
    <w:rsid w:val="004304B6"/>
    <w:rsid w:val="00430754"/>
    <w:rsid w:val="00431A26"/>
    <w:rsid w:val="00432585"/>
    <w:rsid w:val="00434F2E"/>
    <w:rsid w:val="0043505B"/>
    <w:rsid w:val="00436664"/>
    <w:rsid w:val="00442385"/>
    <w:rsid w:val="00447F76"/>
    <w:rsid w:val="00450E9D"/>
    <w:rsid w:val="004511D2"/>
    <w:rsid w:val="00451603"/>
    <w:rsid w:val="004533DF"/>
    <w:rsid w:val="0045447F"/>
    <w:rsid w:val="00455552"/>
    <w:rsid w:val="004558AA"/>
    <w:rsid w:val="00456484"/>
    <w:rsid w:val="00467CC5"/>
    <w:rsid w:val="00470A11"/>
    <w:rsid w:val="00472002"/>
    <w:rsid w:val="004739F8"/>
    <w:rsid w:val="00477307"/>
    <w:rsid w:val="00480006"/>
    <w:rsid w:val="00480CF0"/>
    <w:rsid w:val="00481092"/>
    <w:rsid w:val="004811DB"/>
    <w:rsid w:val="00481F84"/>
    <w:rsid w:val="004837FC"/>
    <w:rsid w:val="00483FF8"/>
    <w:rsid w:val="004850A5"/>
    <w:rsid w:val="004858BB"/>
    <w:rsid w:val="00490E2A"/>
    <w:rsid w:val="0049735F"/>
    <w:rsid w:val="004A00C8"/>
    <w:rsid w:val="004A1C3A"/>
    <w:rsid w:val="004A1D07"/>
    <w:rsid w:val="004A35C0"/>
    <w:rsid w:val="004A405F"/>
    <w:rsid w:val="004A4C6B"/>
    <w:rsid w:val="004B367E"/>
    <w:rsid w:val="004C1AE9"/>
    <w:rsid w:val="004C2830"/>
    <w:rsid w:val="004C3561"/>
    <w:rsid w:val="004C3C43"/>
    <w:rsid w:val="004D1F58"/>
    <w:rsid w:val="004D47A6"/>
    <w:rsid w:val="004D6B97"/>
    <w:rsid w:val="004D773D"/>
    <w:rsid w:val="004E26B4"/>
    <w:rsid w:val="004F005B"/>
    <w:rsid w:val="004F0190"/>
    <w:rsid w:val="004F2429"/>
    <w:rsid w:val="004F261C"/>
    <w:rsid w:val="004F3BE6"/>
    <w:rsid w:val="004F3D48"/>
    <w:rsid w:val="0050020C"/>
    <w:rsid w:val="005023A5"/>
    <w:rsid w:val="005023F6"/>
    <w:rsid w:val="00504A2D"/>
    <w:rsid w:val="005057FB"/>
    <w:rsid w:val="00505BF1"/>
    <w:rsid w:val="00511B6A"/>
    <w:rsid w:val="00512410"/>
    <w:rsid w:val="00513604"/>
    <w:rsid w:val="0051737E"/>
    <w:rsid w:val="00517F19"/>
    <w:rsid w:val="0052118D"/>
    <w:rsid w:val="00522D49"/>
    <w:rsid w:val="00525371"/>
    <w:rsid w:val="00525B11"/>
    <w:rsid w:val="00525D0D"/>
    <w:rsid w:val="0052684A"/>
    <w:rsid w:val="00530971"/>
    <w:rsid w:val="005327B2"/>
    <w:rsid w:val="00536D15"/>
    <w:rsid w:val="00545CB0"/>
    <w:rsid w:val="00545D79"/>
    <w:rsid w:val="00546DC5"/>
    <w:rsid w:val="00553EDB"/>
    <w:rsid w:val="005560F9"/>
    <w:rsid w:val="0055717E"/>
    <w:rsid w:val="00557AED"/>
    <w:rsid w:val="005608DD"/>
    <w:rsid w:val="005615C2"/>
    <w:rsid w:val="005642BB"/>
    <w:rsid w:val="00564FED"/>
    <w:rsid w:val="00566937"/>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2F1E"/>
    <w:rsid w:val="005A3125"/>
    <w:rsid w:val="005A4EBE"/>
    <w:rsid w:val="005A63BE"/>
    <w:rsid w:val="005A7878"/>
    <w:rsid w:val="005B280B"/>
    <w:rsid w:val="005B2E00"/>
    <w:rsid w:val="005B457A"/>
    <w:rsid w:val="005B51D4"/>
    <w:rsid w:val="005B5593"/>
    <w:rsid w:val="005B730A"/>
    <w:rsid w:val="005B7DDF"/>
    <w:rsid w:val="005C3D15"/>
    <w:rsid w:val="005C3F90"/>
    <w:rsid w:val="005C5A65"/>
    <w:rsid w:val="005C64D4"/>
    <w:rsid w:val="005C7F1A"/>
    <w:rsid w:val="005D5AE1"/>
    <w:rsid w:val="005D5DCE"/>
    <w:rsid w:val="005D5E1F"/>
    <w:rsid w:val="005D6E09"/>
    <w:rsid w:val="005D7888"/>
    <w:rsid w:val="005D7EE3"/>
    <w:rsid w:val="005E11E5"/>
    <w:rsid w:val="005E4F60"/>
    <w:rsid w:val="005E5E10"/>
    <w:rsid w:val="00600D10"/>
    <w:rsid w:val="00600F54"/>
    <w:rsid w:val="006011CB"/>
    <w:rsid w:val="006032B2"/>
    <w:rsid w:val="00603CEE"/>
    <w:rsid w:val="00605FFC"/>
    <w:rsid w:val="006062B5"/>
    <w:rsid w:val="006072AD"/>
    <w:rsid w:val="006102E2"/>
    <w:rsid w:val="00610824"/>
    <w:rsid w:val="00611060"/>
    <w:rsid w:val="006117AB"/>
    <w:rsid w:val="00612264"/>
    <w:rsid w:val="00612BED"/>
    <w:rsid w:val="00614315"/>
    <w:rsid w:val="006204F2"/>
    <w:rsid w:val="006214DB"/>
    <w:rsid w:val="00623458"/>
    <w:rsid w:val="00623B75"/>
    <w:rsid w:val="00625E9C"/>
    <w:rsid w:val="0063208B"/>
    <w:rsid w:val="00634CD1"/>
    <w:rsid w:val="0063561C"/>
    <w:rsid w:val="00636395"/>
    <w:rsid w:val="00643973"/>
    <w:rsid w:val="0064433F"/>
    <w:rsid w:val="00644E5E"/>
    <w:rsid w:val="00650494"/>
    <w:rsid w:val="006509C8"/>
    <w:rsid w:val="0065462D"/>
    <w:rsid w:val="00655BDC"/>
    <w:rsid w:val="006563CB"/>
    <w:rsid w:val="00662406"/>
    <w:rsid w:val="006647AC"/>
    <w:rsid w:val="006672A0"/>
    <w:rsid w:val="0066738E"/>
    <w:rsid w:val="0067022C"/>
    <w:rsid w:val="00681662"/>
    <w:rsid w:val="00682E30"/>
    <w:rsid w:val="00683825"/>
    <w:rsid w:val="00687B02"/>
    <w:rsid w:val="00695439"/>
    <w:rsid w:val="00695743"/>
    <w:rsid w:val="00696C06"/>
    <w:rsid w:val="006A3349"/>
    <w:rsid w:val="006A366F"/>
    <w:rsid w:val="006B0AA6"/>
    <w:rsid w:val="006B5126"/>
    <w:rsid w:val="006B5D30"/>
    <w:rsid w:val="006B69F1"/>
    <w:rsid w:val="006C01B6"/>
    <w:rsid w:val="006C0688"/>
    <w:rsid w:val="006C11D7"/>
    <w:rsid w:val="006C26B2"/>
    <w:rsid w:val="006C4545"/>
    <w:rsid w:val="006C529A"/>
    <w:rsid w:val="006C6A25"/>
    <w:rsid w:val="006C6D1A"/>
    <w:rsid w:val="006D7B63"/>
    <w:rsid w:val="006E60CB"/>
    <w:rsid w:val="006E626A"/>
    <w:rsid w:val="006E776B"/>
    <w:rsid w:val="006F125A"/>
    <w:rsid w:val="006F2F10"/>
    <w:rsid w:val="006F31DD"/>
    <w:rsid w:val="007010FC"/>
    <w:rsid w:val="00703C4E"/>
    <w:rsid w:val="0070712A"/>
    <w:rsid w:val="00710678"/>
    <w:rsid w:val="00711180"/>
    <w:rsid w:val="00721984"/>
    <w:rsid w:val="0072560E"/>
    <w:rsid w:val="0072632C"/>
    <w:rsid w:val="00726C5C"/>
    <w:rsid w:val="00726F4F"/>
    <w:rsid w:val="00727895"/>
    <w:rsid w:val="007317EA"/>
    <w:rsid w:val="00733B9C"/>
    <w:rsid w:val="00734774"/>
    <w:rsid w:val="007400A5"/>
    <w:rsid w:val="00740588"/>
    <w:rsid w:val="00741F6C"/>
    <w:rsid w:val="00744154"/>
    <w:rsid w:val="00744740"/>
    <w:rsid w:val="007467FB"/>
    <w:rsid w:val="0075040B"/>
    <w:rsid w:val="00750B2A"/>
    <w:rsid w:val="00750DE8"/>
    <w:rsid w:val="007541A7"/>
    <w:rsid w:val="007557DF"/>
    <w:rsid w:val="00764872"/>
    <w:rsid w:val="00765EA1"/>
    <w:rsid w:val="00766E84"/>
    <w:rsid w:val="00771DFD"/>
    <w:rsid w:val="00773629"/>
    <w:rsid w:val="007770F6"/>
    <w:rsid w:val="0077789B"/>
    <w:rsid w:val="00783AC0"/>
    <w:rsid w:val="00787E1A"/>
    <w:rsid w:val="00790C75"/>
    <w:rsid w:val="00794CE1"/>
    <w:rsid w:val="00796BA8"/>
    <w:rsid w:val="007A07EA"/>
    <w:rsid w:val="007A2EB6"/>
    <w:rsid w:val="007A5001"/>
    <w:rsid w:val="007A71AE"/>
    <w:rsid w:val="007A7A34"/>
    <w:rsid w:val="007B4C61"/>
    <w:rsid w:val="007B4CE2"/>
    <w:rsid w:val="007B7DBB"/>
    <w:rsid w:val="007C33D5"/>
    <w:rsid w:val="007C39EF"/>
    <w:rsid w:val="007C544E"/>
    <w:rsid w:val="007C5EB9"/>
    <w:rsid w:val="007C7368"/>
    <w:rsid w:val="007D113D"/>
    <w:rsid w:val="007D1469"/>
    <w:rsid w:val="007D2C3C"/>
    <w:rsid w:val="007D386C"/>
    <w:rsid w:val="007D603A"/>
    <w:rsid w:val="007D6228"/>
    <w:rsid w:val="007D710B"/>
    <w:rsid w:val="007E2D21"/>
    <w:rsid w:val="007E490E"/>
    <w:rsid w:val="007E4CCA"/>
    <w:rsid w:val="007E4D17"/>
    <w:rsid w:val="007E574A"/>
    <w:rsid w:val="007E61F7"/>
    <w:rsid w:val="007E620F"/>
    <w:rsid w:val="007E6E7D"/>
    <w:rsid w:val="007E7FA9"/>
    <w:rsid w:val="007F0605"/>
    <w:rsid w:val="007F2520"/>
    <w:rsid w:val="007F3ADC"/>
    <w:rsid w:val="007F64CD"/>
    <w:rsid w:val="007F70C5"/>
    <w:rsid w:val="007F74AE"/>
    <w:rsid w:val="0080045C"/>
    <w:rsid w:val="00803300"/>
    <w:rsid w:val="008033A2"/>
    <w:rsid w:val="00805FFD"/>
    <w:rsid w:val="00807217"/>
    <w:rsid w:val="0080794F"/>
    <w:rsid w:val="00811271"/>
    <w:rsid w:val="00812D6B"/>
    <w:rsid w:val="00812E1E"/>
    <w:rsid w:val="00816090"/>
    <w:rsid w:val="008160AD"/>
    <w:rsid w:val="00816E9D"/>
    <w:rsid w:val="00817E30"/>
    <w:rsid w:val="00821551"/>
    <w:rsid w:val="00821F4E"/>
    <w:rsid w:val="00822502"/>
    <w:rsid w:val="00822CC7"/>
    <w:rsid w:val="00826D3E"/>
    <w:rsid w:val="0082776B"/>
    <w:rsid w:val="00832E0D"/>
    <w:rsid w:val="0083396E"/>
    <w:rsid w:val="00835DA3"/>
    <w:rsid w:val="00837986"/>
    <w:rsid w:val="00841F89"/>
    <w:rsid w:val="008441EB"/>
    <w:rsid w:val="0084488A"/>
    <w:rsid w:val="008449BC"/>
    <w:rsid w:val="008473EA"/>
    <w:rsid w:val="0084758C"/>
    <w:rsid w:val="00850841"/>
    <w:rsid w:val="0085180E"/>
    <w:rsid w:val="00851A91"/>
    <w:rsid w:val="00855F54"/>
    <w:rsid w:val="00856AD8"/>
    <w:rsid w:val="0085794E"/>
    <w:rsid w:val="00862F4F"/>
    <w:rsid w:val="0086300D"/>
    <w:rsid w:val="008631BE"/>
    <w:rsid w:val="0086390F"/>
    <w:rsid w:val="00863AF0"/>
    <w:rsid w:val="0086479D"/>
    <w:rsid w:val="00865BB1"/>
    <w:rsid w:val="0087046F"/>
    <w:rsid w:val="008706EA"/>
    <w:rsid w:val="008773D7"/>
    <w:rsid w:val="008807E4"/>
    <w:rsid w:val="0088223B"/>
    <w:rsid w:val="008827FD"/>
    <w:rsid w:val="00882DC6"/>
    <w:rsid w:val="008842BC"/>
    <w:rsid w:val="00886103"/>
    <w:rsid w:val="0088713F"/>
    <w:rsid w:val="00890F05"/>
    <w:rsid w:val="008928E2"/>
    <w:rsid w:val="008A1D58"/>
    <w:rsid w:val="008A517F"/>
    <w:rsid w:val="008A640E"/>
    <w:rsid w:val="008A6420"/>
    <w:rsid w:val="008B124F"/>
    <w:rsid w:val="008B3895"/>
    <w:rsid w:val="008B39FA"/>
    <w:rsid w:val="008B422A"/>
    <w:rsid w:val="008B5562"/>
    <w:rsid w:val="008B667D"/>
    <w:rsid w:val="008C3218"/>
    <w:rsid w:val="008C451B"/>
    <w:rsid w:val="008C4D3B"/>
    <w:rsid w:val="008C67FA"/>
    <w:rsid w:val="008C6F20"/>
    <w:rsid w:val="008C7F9D"/>
    <w:rsid w:val="008D1305"/>
    <w:rsid w:val="008D4E21"/>
    <w:rsid w:val="008D56BE"/>
    <w:rsid w:val="008D5ACA"/>
    <w:rsid w:val="008D60F5"/>
    <w:rsid w:val="008D61C8"/>
    <w:rsid w:val="008D69DD"/>
    <w:rsid w:val="008E4752"/>
    <w:rsid w:val="008F4A8B"/>
    <w:rsid w:val="008F5287"/>
    <w:rsid w:val="008F5C5C"/>
    <w:rsid w:val="008F77CA"/>
    <w:rsid w:val="008F7D3F"/>
    <w:rsid w:val="008F7DBE"/>
    <w:rsid w:val="008F7EB7"/>
    <w:rsid w:val="009041CC"/>
    <w:rsid w:val="00905360"/>
    <w:rsid w:val="00905B74"/>
    <w:rsid w:val="00907F99"/>
    <w:rsid w:val="00910E46"/>
    <w:rsid w:val="009118E4"/>
    <w:rsid w:val="0091221A"/>
    <w:rsid w:val="00912B0D"/>
    <w:rsid w:val="00912B53"/>
    <w:rsid w:val="00914189"/>
    <w:rsid w:val="00914290"/>
    <w:rsid w:val="00914335"/>
    <w:rsid w:val="00914338"/>
    <w:rsid w:val="00914F13"/>
    <w:rsid w:val="00915004"/>
    <w:rsid w:val="00917558"/>
    <w:rsid w:val="009210CD"/>
    <w:rsid w:val="00921762"/>
    <w:rsid w:val="009233BC"/>
    <w:rsid w:val="009244B4"/>
    <w:rsid w:val="00924BEE"/>
    <w:rsid w:val="009308B7"/>
    <w:rsid w:val="009324A6"/>
    <w:rsid w:val="00933776"/>
    <w:rsid w:val="00940845"/>
    <w:rsid w:val="00940A43"/>
    <w:rsid w:val="00941AAB"/>
    <w:rsid w:val="00942257"/>
    <w:rsid w:val="009432E1"/>
    <w:rsid w:val="00943660"/>
    <w:rsid w:val="00943F15"/>
    <w:rsid w:val="0094644B"/>
    <w:rsid w:val="00952A18"/>
    <w:rsid w:val="00953782"/>
    <w:rsid w:val="00953A07"/>
    <w:rsid w:val="00955512"/>
    <w:rsid w:val="009578B1"/>
    <w:rsid w:val="00960DE3"/>
    <w:rsid w:val="009701AE"/>
    <w:rsid w:val="009723FE"/>
    <w:rsid w:val="0097320D"/>
    <w:rsid w:val="009811EB"/>
    <w:rsid w:val="00981388"/>
    <w:rsid w:val="0098152B"/>
    <w:rsid w:val="009818FF"/>
    <w:rsid w:val="00981F12"/>
    <w:rsid w:val="009820D5"/>
    <w:rsid w:val="009841F9"/>
    <w:rsid w:val="0098478C"/>
    <w:rsid w:val="00984C21"/>
    <w:rsid w:val="00986BEB"/>
    <w:rsid w:val="009935C9"/>
    <w:rsid w:val="00994B45"/>
    <w:rsid w:val="009950B0"/>
    <w:rsid w:val="00996A90"/>
    <w:rsid w:val="009A4C9E"/>
    <w:rsid w:val="009A515C"/>
    <w:rsid w:val="009B02AD"/>
    <w:rsid w:val="009B0EE6"/>
    <w:rsid w:val="009B101E"/>
    <w:rsid w:val="009B65A7"/>
    <w:rsid w:val="009B6A16"/>
    <w:rsid w:val="009C0505"/>
    <w:rsid w:val="009C1B5C"/>
    <w:rsid w:val="009C6017"/>
    <w:rsid w:val="009D292D"/>
    <w:rsid w:val="009D327B"/>
    <w:rsid w:val="009D359B"/>
    <w:rsid w:val="009D4E33"/>
    <w:rsid w:val="009D6760"/>
    <w:rsid w:val="009E10D3"/>
    <w:rsid w:val="009E1C05"/>
    <w:rsid w:val="009E303F"/>
    <w:rsid w:val="009E3A6F"/>
    <w:rsid w:val="009E4940"/>
    <w:rsid w:val="009F2DF8"/>
    <w:rsid w:val="009F2E9C"/>
    <w:rsid w:val="009F38EA"/>
    <w:rsid w:val="009F399A"/>
    <w:rsid w:val="009F3E76"/>
    <w:rsid w:val="009F56B8"/>
    <w:rsid w:val="00A00C6D"/>
    <w:rsid w:val="00A02A76"/>
    <w:rsid w:val="00A1042B"/>
    <w:rsid w:val="00A108D9"/>
    <w:rsid w:val="00A10E5A"/>
    <w:rsid w:val="00A12385"/>
    <w:rsid w:val="00A1251F"/>
    <w:rsid w:val="00A1391F"/>
    <w:rsid w:val="00A1478B"/>
    <w:rsid w:val="00A14C14"/>
    <w:rsid w:val="00A215ED"/>
    <w:rsid w:val="00A21ADA"/>
    <w:rsid w:val="00A21C17"/>
    <w:rsid w:val="00A2519E"/>
    <w:rsid w:val="00A26CD4"/>
    <w:rsid w:val="00A33721"/>
    <w:rsid w:val="00A34C91"/>
    <w:rsid w:val="00A356E9"/>
    <w:rsid w:val="00A368E9"/>
    <w:rsid w:val="00A41481"/>
    <w:rsid w:val="00A416EA"/>
    <w:rsid w:val="00A41A50"/>
    <w:rsid w:val="00A4511A"/>
    <w:rsid w:val="00A46861"/>
    <w:rsid w:val="00A50FE7"/>
    <w:rsid w:val="00A537A7"/>
    <w:rsid w:val="00A53AF6"/>
    <w:rsid w:val="00A56A09"/>
    <w:rsid w:val="00A609DB"/>
    <w:rsid w:val="00A621F1"/>
    <w:rsid w:val="00A628DB"/>
    <w:rsid w:val="00A64731"/>
    <w:rsid w:val="00A6537D"/>
    <w:rsid w:val="00A72120"/>
    <w:rsid w:val="00A72938"/>
    <w:rsid w:val="00A81DD0"/>
    <w:rsid w:val="00A829AB"/>
    <w:rsid w:val="00A83BBF"/>
    <w:rsid w:val="00A83E30"/>
    <w:rsid w:val="00A86614"/>
    <w:rsid w:val="00A90F81"/>
    <w:rsid w:val="00A914F5"/>
    <w:rsid w:val="00A93EF4"/>
    <w:rsid w:val="00A949F8"/>
    <w:rsid w:val="00A97739"/>
    <w:rsid w:val="00AA16C7"/>
    <w:rsid w:val="00AA4025"/>
    <w:rsid w:val="00AA732F"/>
    <w:rsid w:val="00AB0554"/>
    <w:rsid w:val="00AB0DBC"/>
    <w:rsid w:val="00AB2FAD"/>
    <w:rsid w:val="00AB356F"/>
    <w:rsid w:val="00AB7748"/>
    <w:rsid w:val="00AC09FC"/>
    <w:rsid w:val="00AC18DD"/>
    <w:rsid w:val="00AC38D8"/>
    <w:rsid w:val="00AC4978"/>
    <w:rsid w:val="00AC5E1D"/>
    <w:rsid w:val="00AC6595"/>
    <w:rsid w:val="00AC6977"/>
    <w:rsid w:val="00AD1CDE"/>
    <w:rsid w:val="00AD22AB"/>
    <w:rsid w:val="00AD351E"/>
    <w:rsid w:val="00AD4491"/>
    <w:rsid w:val="00AD6B0D"/>
    <w:rsid w:val="00AD6E97"/>
    <w:rsid w:val="00AE19FB"/>
    <w:rsid w:val="00AE6D92"/>
    <w:rsid w:val="00AE7126"/>
    <w:rsid w:val="00AF062F"/>
    <w:rsid w:val="00AF1A2D"/>
    <w:rsid w:val="00AF3C91"/>
    <w:rsid w:val="00AF4710"/>
    <w:rsid w:val="00AF54FF"/>
    <w:rsid w:val="00AF63BD"/>
    <w:rsid w:val="00AF64F2"/>
    <w:rsid w:val="00B00D5B"/>
    <w:rsid w:val="00B01609"/>
    <w:rsid w:val="00B038E6"/>
    <w:rsid w:val="00B05969"/>
    <w:rsid w:val="00B05E43"/>
    <w:rsid w:val="00B13502"/>
    <w:rsid w:val="00B15F39"/>
    <w:rsid w:val="00B209F5"/>
    <w:rsid w:val="00B221EF"/>
    <w:rsid w:val="00B22C3F"/>
    <w:rsid w:val="00B24258"/>
    <w:rsid w:val="00B25C19"/>
    <w:rsid w:val="00B27911"/>
    <w:rsid w:val="00B32142"/>
    <w:rsid w:val="00B3730C"/>
    <w:rsid w:val="00B44087"/>
    <w:rsid w:val="00B475EA"/>
    <w:rsid w:val="00B4798B"/>
    <w:rsid w:val="00B5136F"/>
    <w:rsid w:val="00B51F8A"/>
    <w:rsid w:val="00B52D48"/>
    <w:rsid w:val="00B53DC7"/>
    <w:rsid w:val="00B54043"/>
    <w:rsid w:val="00B60545"/>
    <w:rsid w:val="00B61C01"/>
    <w:rsid w:val="00B63548"/>
    <w:rsid w:val="00B63695"/>
    <w:rsid w:val="00B6496D"/>
    <w:rsid w:val="00B667B7"/>
    <w:rsid w:val="00B67154"/>
    <w:rsid w:val="00B6776D"/>
    <w:rsid w:val="00B71E2B"/>
    <w:rsid w:val="00B72D55"/>
    <w:rsid w:val="00B768D7"/>
    <w:rsid w:val="00B808DA"/>
    <w:rsid w:val="00B81E57"/>
    <w:rsid w:val="00B84055"/>
    <w:rsid w:val="00B857FE"/>
    <w:rsid w:val="00B86A03"/>
    <w:rsid w:val="00B93E3B"/>
    <w:rsid w:val="00BA3130"/>
    <w:rsid w:val="00BA6A72"/>
    <w:rsid w:val="00BB5C1B"/>
    <w:rsid w:val="00BB6D04"/>
    <w:rsid w:val="00BC09D0"/>
    <w:rsid w:val="00BC31BD"/>
    <w:rsid w:val="00BC3276"/>
    <w:rsid w:val="00BC5AB9"/>
    <w:rsid w:val="00BC72D4"/>
    <w:rsid w:val="00BC7407"/>
    <w:rsid w:val="00BD13B0"/>
    <w:rsid w:val="00BD3D62"/>
    <w:rsid w:val="00BD3DA2"/>
    <w:rsid w:val="00BD4EEF"/>
    <w:rsid w:val="00BE4AC4"/>
    <w:rsid w:val="00BE62EF"/>
    <w:rsid w:val="00BE7BF4"/>
    <w:rsid w:val="00BF0A30"/>
    <w:rsid w:val="00BF0E97"/>
    <w:rsid w:val="00BF22E2"/>
    <w:rsid w:val="00BF30A9"/>
    <w:rsid w:val="00C0294C"/>
    <w:rsid w:val="00C03FDB"/>
    <w:rsid w:val="00C06641"/>
    <w:rsid w:val="00C069B0"/>
    <w:rsid w:val="00C1312B"/>
    <w:rsid w:val="00C13F8E"/>
    <w:rsid w:val="00C20101"/>
    <w:rsid w:val="00C20896"/>
    <w:rsid w:val="00C2196E"/>
    <w:rsid w:val="00C24D73"/>
    <w:rsid w:val="00C24F00"/>
    <w:rsid w:val="00C24F30"/>
    <w:rsid w:val="00C322A9"/>
    <w:rsid w:val="00C35F78"/>
    <w:rsid w:val="00C44A25"/>
    <w:rsid w:val="00C461E0"/>
    <w:rsid w:val="00C472EE"/>
    <w:rsid w:val="00C51513"/>
    <w:rsid w:val="00C5464A"/>
    <w:rsid w:val="00C57131"/>
    <w:rsid w:val="00C6157F"/>
    <w:rsid w:val="00C6172D"/>
    <w:rsid w:val="00C6625D"/>
    <w:rsid w:val="00C662D8"/>
    <w:rsid w:val="00C67B14"/>
    <w:rsid w:val="00C73AE8"/>
    <w:rsid w:val="00C74DA7"/>
    <w:rsid w:val="00C81F4C"/>
    <w:rsid w:val="00C82257"/>
    <w:rsid w:val="00C82AAD"/>
    <w:rsid w:val="00C83146"/>
    <w:rsid w:val="00C83225"/>
    <w:rsid w:val="00C841D4"/>
    <w:rsid w:val="00C85321"/>
    <w:rsid w:val="00C8569B"/>
    <w:rsid w:val="00C85AFA"/>
    <w:rsid w:val="00C85D02"/>
    <w:rsid w:val="00C87560"/>
    <w:rsid w:val="00C9544A"/>
    <w:rsid w:val="00CA0DF2"/>
    <w:rsid w:val="00CA1D58"/>
    <w:rsid w:val="00CA2CDC"/>
    <w:rsid w:val="00CA3349"/>
    <w:rsid w:val="00CA5B52"/>
    <w:rsid w:val="00CA5E68"/>
    <w:rsid w:val="00CA5FE3"/>
    <w:rsid w:val="00CA6EEE"/>
    <w:rsid w:val="00CA7149"/>
    <w:rsid w:val="00CB47E2"/>
    <w:rsid w:val="00CB5366"/>
    <w:rsid w:val="00CB7FC0"/>
    <w:rsid w:val="00CC0431"/>
    <w:rsid w:val="00CC0CBA"/>
    <w:rsid w:val="00CC0DB0"/>
    <w:rsid w:val="00CC24DA"/>
    <w:rsid w:val="00CC3E46"/>
    <w:rsid w:val="00CC4B1D"/>
    <w:rsid w:val="00CD0A48"/>
    <w:rsid w:val="00CD346E"/>
    <w:rsid w:val="00CD35D5"/>
    <w:rsid w:val="00CD5083"/>
    <w:rsid w:val="00CE05FD"/>
    <w:rsid w:val="00CE106C"/>
    <w:rsid w:val="00CE1CE2"/>
    <w:rsid w:val="00CE4DB5"/>
    <w:rsid w:val="00CE5956"/>
    <w:rsid w:val="00CE607B"/>
    <w:rsid w:val="00CE6484"/>
    <w:rsid w:val="00CE6A1F"/>
    <w:rsid w:val="00CF1C94"/>
    <w:rsid w:val="00CF2201"/>
    <w:rsid w:val="00CF4A9A"/>
    <w:rsid w:val="00CF565A"/>
    <w:rsid w:val="00CF7D5D"/>
    <w:rsid w:val="00D00F1B"/>
    <w:rsid w:val="00D03897"/>
    <w:rsid w:val="00D0421F"/>
    <w:rsid w:val="00D076B4"/>
    <w:rsid w:val="00D10206"/>
    <w:rsid w:val="00D10607"/>
    <w:rsid w:val="00D10F3A"/>
    <w:rsid w:val="00D1377B"/>
    <w:rsid w:val="00D176D3"/>
    <w:rsid w:val="00D21DC3"/>
    <w:rsid w:val="00D22FC4"/>
    <w:rsid w:val="00D310A1"/>
    <w:rsid w:val="00D31533"/>
    <w:rsid w:val="00D32137"/>
    <w:rsid w:val="00D3270E"/>
    <w:rsid w:val="00D34E94"/>
    <w:rsid w:val="00D3615C"/>
    <w:rsid w:val="00D4121A"/>
    <w:rsid w:val="00D425C2"/>
    <w:rsid w:val="00D430E8"/>
    <w:rsid w:val="00D5076C"/>
    <w:rsid w:val="00D54B77"/>
    <w:rsid w:val="00D555FC"/>
    <w:rsid w:val="00D556FF"/>
    <w:rsid w:val="00D55A78"/>
    <w:rsid w:val="00D62982"/>
    <w:rsid w:val="00D64EA0"/>
    <w:rsid w:val="00D67321"/>
    <w:rsid w:val="00D673C3"/>
    <w:rsid w:val="00D72B55"/>
    <w:rsid w:val="00D72E7A"/>
    <w:rsid w:val="00D74283"/>
    <w:rsid w:val="00D776C8"/>
    <w:rsid w:val="00D81C58"/>
    <w:rsid w:val="00D870BC"/>
    <w:rsid w:val="00D901DD"/>
    <w:rsid w:val="00D93266"/>
    <w:rsid w:val="00D948E2"/>
    <w:rsid w:val="00D979F4"/>
    <w:rsid w:val="00DA07C6"/>
    <w:rsid w:val="00DA1690"/>
    <w:rsid w:val="00DA5809"/>
    <w:rsid w:val="00DA6D27"/>
    <w:rsid w:val="00DB1A40"/>
    <w:rsid w:val="00DB2376"/>
    <w:rsid w:val="00DB3672"/>
    <w:rsid w:val="00DB415A"/>
    <w:rsid w:val="00DB5651"/>
    <w:rsid w:val="00DB57E6"/>
    <w:rsid w:val="00DC05D2"/>
    <w:rsid w:val="00DC173A"/>
    <w:rsid w:val="00DC1976"/>
    <w:rsid w:val="00DC3EB9"/>
    <w:rsid w:val="00DC5ED0"/>
    <w:rsid w:val="00DC620F"/>
    <w:rsid w:val="00DC75B5"/>
    <w:rsid w:val="00DD217C"/>
    <w:rsid w:val="00DD5757"/>
    <w:rsid w:val="00DD669A"/>
    <w:rsid w:val="00DD6BAD"/>
    <w:rsid w:val="00DE032E"/>
    <w:rsid w:val="00DE1493"/>
    <w:rsid w:val="00DE14E7"/>
    <w:rsid w:val="00DE3B8F"/>
    <w:rsid w:val="00DE3BBC"/>
    <w:rsid w:val="00DE3E50"/>
    <w:rsid w:val="00DF0D3B"/>
    <w:rsid w:val="00DF43FC"/>
    <w:rsid w:val="00DF4BE6"/>
    <w:rsid w:val="00DF74C1"/>
    <w:rsid w:val="00DF74F5"/>
    <w:rsid w:val="00E0143B"/>
    <w:rsid w:val="00E0507F"/>
    <w:rsid w:val="00E06C5E"/>
    <w:rsid w:val="00E06EDE"/>
    <w:rsid w:val="00E10466"/>
    <w:rsid w:val="00E112B5"/>
    <w:rsid w:val="00E134E4"/>
    <w:rsid w:val="00E14C66"/>
    <w:rsid w:val="00E151B1"/>
    <w:rsid w:val="00E16ABE"/>
    <w:rsid w:val="00E170AA"/>
    <w:rsid w:val="00E20C43"/>
    <w:rsid w:val="00E229DB"/>
    <w:rsid w:val="00E24BBB"/>
    <w:rsid w:val="00E31878"/>
    <w:rsid w:val="00E34F46"/>
    <w:rsid w:val="00E36590"/>
    <w:rsid w:val="00E37FC1"/>
    <w:rsid w:val="00E408DA"/>
    <w:rsid w:val="00E41264"/>
    <w:rsid w:val="00E42AAC"/>
    <w:rsid w:val="00E46FAD"/>
    <w:rsid w:val="00E504F0"/>
    <w:rsid w:val="00E52952"/>
    <w:rsid w:val="00E57213"/>
    <w:rsid w:val="00E57445"/>
    <w:rsid w:val="00E60710"/>
    <w:rsid w:val="00E61FEE"/>
    <w:rsid w:val="00E6312B"/>
    <w:rsid w:val="00E636BC"/>
    <w:rsid w:val="00E63807"/>
    <w:rsid w:val="00E650C1"/>
    <w:rsid w:val="00E70830"/>
    <w:rsid w:val="00E71C99"/>
    <w:rsid w:val="00E72BCF"/>
    <w:rsid w:val="00E72F3B"/>
    <w:rsid w:val="00E7382C"/>
    <w:rsid w:val="00E772D9"/>
    <w:rsid w:val="00E811DB"/>
    <w:rsid w:val="00E823B5"/>
    <w:rsid w:val="00E82FDA"/>
    <w:rsid w:val="00E853F1"/>
    <w:rsid w:val="00E92270"/>
    <w:rsid w:val="00E94EEF"/>
    <w:rsid w:val="00EA4D80"/>
    <w:rsid w:val="00EA52E4"/>
    <w:rsid w:val="00EA79AD"/>
    <w:rsid w:val="00EB0709"/>
    <w:rsid w:val="00EB2BF5"/>
    <w:rsid w:val="00EB4888"/>
    <w:rsid w:val="00EB7508"/>
    <w:rsid w:val="00EC5127"/>
    <w:rsid w:val="00ED03BC"/>
    <w:rsid w:val="00ED3976"/>
    <w:rsid w:val="00ED5A78"/>
    <w:rsid w:val="00ED7340"/>
    <w:rsid w:val="00EE0090"/>
    <w:rsid w:val="00EE159A"/>
    <w:rsid w:val="00EE238E"/>
    <w:rsid w:val="00EE28DD"/>
    <w:rsid w:val="00EE2D9A"/>
    <w:rsid w:val="00EE3241"/>
    <w:rsid w:val="00EE3459"/>
    <w:rsid w:val="00EE61D4"/>
    <w:rsid w:val="00EE68B0"/>
    <w:rsid w:val="00EE75E8"/>
    <w:rsid w:val="00EE7A93"/>
    <w:rsid w:val="00EF0E81"/>
    <w:rsid w:val="00EF39C4"/>
    <w:rsid w:val="00EF516F"/>
    <w:rsid w:val="00EF5A88"/>
    <w:rsid w:val="00EF6A33"/>
    <w:rsid w:val="00EF7098"/>
    <w:rsid w:val="00EF76FA"/>
    <w:rsid w:val="00F051B3"/>
    <w:rsid w:val="00F128C3"/>
    <w:rsid w:val="00F129D6"/>
    <w:rsid w:val="00F14656"/>
    <w:rsid w:val="00F147C1"/>
    <w:rsid w:val="00F21DE9"/>
    <w:rsid w:val="00F21F97"/>
    <w:rsid w:val="00F248C2"/>
    <w:rsid w:val="00F258E9"/>
    <w:rsid w:val="00F26B0C"/>
    <w:rsid w:val="00F26F45"/>
    <w:rsid w:val="00F278CE"/>
    <w:rsid w:val="00F27A52"/>
    <w:rsid w:val="00F3059F"/>
    <w:rsid w:val="00F346B2"/>
    <w:rsid w:val="00F35FBA"/>
    <w:rsid w:val="00F36AB1"/>
    <w:rsid w:val="00F40211"/>
    <w:rsid w:val="00F41E92"/>
    <w:rsid w:val="00F42789"/>
    <w:rsid w:val="00F42CE0"/>
    <w:rsid w:val="00F45CA7"/>
    <w:rsid w:val="00F4669E"/>
    <w:rsid w:val="00F47065"/>
    <w:rsid w:val="00F5192D"/>
    <w:rsid w:val="00F5458D"/>
    <w:rsid w:val="00F632CB"/>
    <w:rsid w:val="00F63627"/>
    <w:rsid w:val="00F63776"/>
    <w:rsid w:val="00F64BA5"/>
    <w:rsid w:val="00F65DC1"/>
    <w:rsid w:val="00F7288B"/>
    <w:rsid w:val="00F7450E"/>
    <w:rsid w:val="00F76E2C"/>
    <w:rsid w:val="00F770B4"/>
    <w:rsid w:val="00F77B6A"/>
    <w:rsid w:val="00F80982"/>
    <w:rsid w:val="00F80C85"/>
    <w:rsid w:val="00F8129C"/>
    <w:rsid w:val="00F828F5"/>
    <w:rsid w:val="00F863BC"/>
    <w:rsid w:val="00F90244"/>
    <w:rsid w:val="00F91BEE"/>
    <w:rsid w:val="00F9204B"/>
    <w:rsid w:val="00F92831"/>
    <w:rsid w:val="00F95530"/>
    <w:rsid w:val="00F95DBB"/>
    <w:rsid w:val="00FA1AA8"/>
    <w:rsid w:val="00FA22E2"/>
    <w:rsid w:val="00FA2F78"/>
    <w:rsid w:val="00FA6DA6"/>
    <w:rsid w:val="00FB08E1"/>
    <w:rsid w:val="00FB0D86"/>
    <w:rsid w:val="00FB1CDE"/>
    <w:rsid w:val="00FB31CB"/>
    <w:rsid w:val="00FB5F61"/>
    <w:rsid w:val="00FB664B"/>
    <w:rsid w:val="00FB72FF"/>
    <w:rsid w:val="00FB76FA"/>
    <w:rsid w:val="00FB7D52"/>
    <w:rsid w:val="00FC1281"/>
    <w:rsid w:val="00FC1F8E"/>
    <w:rsid w:val="00FC2809"/>
    <w:rsid w:val="00FC28A8"/>
    <w:rsid w:val="00FC2D1D"/>
    <w:rsid w:val="00FD172C"/>
    <w:rsid w:val="00FD1DFA"/>
    <w:rsid w:val="00FD3838"/>
    <w:rsid w:val="00FD3D4F"/>
    <w:rsid w:val="00FD486C"/>
    <w:rsid w:val="00FE2B9A"/>
    <w:rsid w:val="00FE2D3F"/>
    <w:rsid w:val="00FE52C1"/>
    <w:rsid w:val="00FE52F3"/>
    <w:rsid w:val="00FE5B57"/>
    <w:rsid w:val="00FE7176"/>
    <w:rsid w:val="00FF1AF4"/>
    <w:rsid w:val="00FF39A7"/>
    <w:rsid w:val="00FF472B"/>
    <w:rsid w:val="00FF4ABA"/>
    <w:rsid w:val="00FF7A0C"/>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iPriority="0"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rsid w:val="009118E4"/>
    <w:pPr>
      <w:tabs>
        <w:tab w:val="center" w:pos="4320"/>
        <w:tab w:val="right" w:pos="8640"/>
      </w:tabs>
    </w:pPr>
  </w:style>
  <w:style w:type="character" w:customStyle="1" w:styleId="HeaderChar">
    <w:name w:val="Header Char"/>
    <w:basedOn w:val="DefaultParagraphFont"/>
    <w:link w:val="Header"/>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996A90"/>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3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table" w:customStyle="1" w:styleId="TableGrid2">
    <w:name w:val="Table Grid2"/>
    <w:basedOn w:val="TableNormal"/>
    <w:next w:val="TableGrid"/>
    <w:uiPriority w:val="39"/>
    <w:rsid w:val="00012BC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iPriority="0"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rsid w:val="009118E4"/>
    <w:pPr>
      <w:tabs>
        <w:tab w:val="center" w:pos="4320"/>
        <w:tab w:val="right" w:pos="8640"/>
      </w:tabs>
    </w:pPr>
  </w:style>
  <w:style w:type="character" w:customStyle="1" w:styleId="HeaderChar">
    <w:name w:val="Header Char"/>
    <w:basedOn w:val="DefaultParagraphFont"/>
    <w:link w:val="Header"/>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996A90"/>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3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table" w:customStyle="1" w:styleId="TableGrid2">
    <w:name w:val="Table Grid2"/>
    <w:basedOn w:val="TableNormal"/>
    <w:next w:val="TableGrid"/>
    <w:uiPriority w:val="39"/>
    <w:rsid w:val="00012BC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909">
      <w:bodyDiv w:val="1"/>
      <w:marLeft w:val="0"/>
      <w:marRight w:val="0"/>
      <w:marTop w:val="0"/>
      <w:marBottom w:val="0"/>
      <w:divBdr>
        <w:top w:val="none" w:sz="0" w:space="0" w:color="auto"/>
        <w:left w:val="none" w:sz="0" w:space="0" w:color="auto"/>
        <w:bottom w:val="none" w:sz="0" w:space="0" w:color="auto"/>
        <w:right w:val="none" w:sz="0" w:space="0" w:color="auto"/>
      </w:divBdr>
    </w:div>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teele@perkinscoie.co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tif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Motion</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2017-05-01T07:00:00+00:00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BEB9795-14B0-4534-9A1B-50F3A530BBA6}">
  <ds:schemaRefs>
    <ds:schemaRef ds:uri="http://schemas.openxmlformats.org/officeDocument/2006/bibliography"/>
  </ds:schemaRefs>
</ds:datastoreItem>
</file>

<file path=customXml/itemProps2.xml><?xml version="1.0" encoding="utf-8"?>
<ds:datastoreItem xmlns:ds="http://schemas.openxmlformats.org/officeDocument/2006/customXml" ds:itemID="{8796E6D6-0FC2-4948-BE25-4DA5595975B6}">
  <ds:schemaRefs>
    <ds:schemaRef ds:uri="http://schemas.openxmlformats.org/officeDocument/2006/bibliography"/>
  </ds:schemaRefs>
</ds:datastoreItem>
</file>

<file path=customXml/itemProps3.xml><?xml version="1.0" encoding="utf-8"?>
<ds:datastoreItem xmlns:ds="http://schemas.openxmlformats.org/officeDocument/2006/customXml" ds:itemID="{4407BF07-76BA-42E7-9DF6-ED9D736A11D8}">
  <ds:schemaRefs>
    <ds:schemaRef ds:uri="http://schemas.openxmlformats.org/officeDocument/2006/bibliography"/>
  </ds:schemaRefs>
</ds:datastoreItem>
</file>

<file path=customXml/itemProps4.xml><?xml version="1.0" encoding="utf-8"?>
<ds:datastoreItem xmlns:ds="http://schemas.openxmlformats.org/officeDocument/2006/customXml" ds:itemID="{4429BD86-F5D7-4D0A-995A-F87FACF71169}"/>
</file>

<file path=customXml/itemProps5.xml><?xml version="1.0" encoding="utf-8"?>
<ds:datastoreItem xmlns:ds="http://schemas.openxmlformats.org/officeDocument/2006/customXml" ds:itemID="{E62BC0E0-1422-4224-92A5-0B8338B1C3F4}"/>
</file>

<file path=customXml/itemProps6.xml><?xml version="1.0" encoding="utf-8"?>
<ds:datastoreItem xmlns:ds="http://schemas.openxmlformats.org/officeDocument/2006/customXml" ds:itemID="{33F2706B-A307-4333-B4A0-A545ABE7000E}"/>
</file>

<file path=customXml/itemProps7.xml><?xml version="1.0" encoding="utf-8"?>
<ds:datastoreItem xmlns:ds="http://schemas.openxmlformats.org/officeDocument/2006/customXml" ds:itemID="{EBC4E6FC-C8AD-45F7-86F9-5125C1FB4A62}"/>
</file>

<file path=docProps/app.xml><?xml version="1.0" encoding="utf-8"?>
<Properties xmlns="http://schemas.openxmlformats.org/officeDocument/2006/extended-properties" xmlns:vt="http://schemas.openxmlformats.org/officeDocument/2006/docPropsVTypes">
  <Template>Normal.dotm</Template>
  <TotalTime>0</TotalTime>
  <Pages>7</Pages>
  <Words>1432</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2017-05-01T23:35:00Z</dcterms:created>
  <dcterms:modified xsi:type="dcterms:W3CDTF">2017-05-01T23:46:00Z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0x0101006E56B4D1795A2E4DB2F0B01679ED314A0003FB6010BD7C244F832F2550A4FDB451</vt:lpwstr>
  </property>
  <property fmtid="{D5CDD505-2E9C-101B-9397-08002B2CF9AE}" pid="7" name="_docset_NoMedatataSyncRequired">
    <vt:lpwstr>False</vt:lpwstr>
  </property>
  <property fmtid="{D5CDD505-2E9C-101B-9397-08002B2CF9AE}" pid="8" name="IsEFSEC">
    <vt:bool>false</vt:bool>
  </property>
</Properties>
</file>