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pPr>
    </w:p>
    <w:p w:rsidR="00342364" w:rsidRPr="00F540CD" w:rsidRDefault="00342364">
      <w:pPr>
        <w:tabs>
          <w:tab w:val="left" w:pos="1260"/>
        </w:tabs>
        <w:spacing w:line="480" w:lineRule="auto"/>
        <w:ind w:firstLine="720"/>
        <w:jc w:val="center"/>
      </w:pPr>
    </w:p>
    <w:p w:rsidR="00342364" w:rsidRPr="00F540CD" w:rsidRDefault="00342364">
      <w:pPr>
        <w:spacing w:line="480" w:lineRule="auto"/>
        <w:jc w:val="center"/>
      </w:pPr>
      <w:r w:rsidRPr="00F540CD">
        <w:t>BEFORE THE WASHINGTON UTILITIES AND TRANSPORTATION COMMISSION</w:t>
      </w:r>
    </w:p>
    <w:p w:rsidR="00342364" w:rsidRPr="00F540CD" w:rsidRDefault="00342364">
      <w:pPr>
        <w:tabs>
          <w:tab w:val="left" w:pos="1260"/>
        </w:tabs>
        <w:spacing w:line="480" w:lineRule="auto"/>
      </w:pPr>
    </w:p>
    <w:p w:rsidR="00342364" w:rsidRPr="00F540CD" w:rsidRDefault="00CF1E86">
      <w:pPr>
        <w:tabs>
          <w:tab w:val="left" w:pos="1260"/>
        </w:tabs>
        <w:spacing w:line="480" w:lineRule="auto"/>
        <w:jc w:val="center"/>
      </w:pPr>
      <w:r>
        <w:t>DOCKET NO. UE-160228</w:t>
      </w:r>
    </w:p>
    <w:p w:rsidR="00342364" w:rsidRPr="00F540CD" w:rsidRDefault="00CF1E86">
      <w:pPr>
        <w:tabs>
          <w:tab w:val="left" w:pos="1260"/>
        </w:tabs>
        <w:spacing w:line="480" w:lineRule="auto"/>
        <w:jc w:val="center"/>
      </w:pPr>
      <w:r>
        <w:t>DOCKET NO. UG-160229</w:t>
      </w:r>
    </w:p>
    <w:p w:rsidR="007F71E2" w:rsidRPr="00F540CD" w:rsidRDefault="007F71E2" w:rsidP="007F71E2">
      <w:pPr>
        <w:tabs>
          <w:tab w:val="left" w:pos="1260"/>
        </w:tabs>
        <w:spacing w:line="480" w:lineRule="auto"/>
        <w:jc w:val="center"/>
      </w:pPr>
    </w:p>
    <w:p w:rsidR="00342364" w:rsidRPr="00F540CD" w:rsidRDefault="00342364">
      <w:pPr>
        <w:tabs>
          <w:tab w:val="left" w:pos="1260"/>
        </w:tabs>
        <w:spacing w:line="480" w:lineRule="auto"/>
        <w:jc w:val="center"/>
      </w:pPr>
      <w:r w:rsidRPr="00F540CD">
        <w:t xml:space="preserve">REBUTTAL TESTIMONY OF </w:t>
      </w:r>
    </w:p>
    <w:p w:rsidR="00342364" w:rsidRPr="00F540CD" w:rsidRDefault="00342364">
      <w:pPr>
        <w:tabs>
          <w:tab w:val="left" w:pos="1260"/>
        </w:tabs>
        <w:spacing w:line="480" w:lineRule="auto"/>
        <w:jc w:val="center"/>
      </w:pPr>
      <w:r w:rsidRPr="00F540CD">
        <w:t>KELLY O. NORWOOD</w:t>
      </w:r>
    </w:p>
    <w:p w:rsidR="00342364" w:rsidRPr="00F540CD" w:rsidRDefault="00342364">
      <w:pPr>
        <w:tabs>
          <w:tab w:val="left" w:pos="1260"/>
        </w:tabs>
        <w:spacing w:line="480" w:lineRule="auto"/>
        <w:jc w:val="center"/>
      </w:pPr>
      <w:r w:rsidRPr="00F540CD">
        <w:t>REPRESENTING AVISTA CORPORATION</w:t>
      </w: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725019">
      <w:pPr>
        <w:tabs>
          <w:tab w:val="left" w:pos="1260"/>
        </w:tabs>
        <w:spacing w:line="480" w:lineRule="auto"/>
        <w:ind w:firstLine="720"/>
        <w:jc w:val="center"/>
      </w:pPr>
      <w:r>
        <w:rPr>
          <w:noProof/>
          <w:lang w:eastAsia="en-US"/>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6852</wp:posOffset>
                </wp:positionV>
                <wp:extent cx="2913321" cy="58479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913321" cy="58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5019" w:rsidRDefault="00725019">
                            <w:r>
                              <w:t>Revised October 11, 2016 per Order No.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55pt;width:229.4pt;height:46.0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" filled="f" stroked="f" strokeweight=".5pt">
                <v:textbox>
                  <w:txbxContent>
                    <w:p w:rsidR="00725019" w:rsidRDefault="00725019">
                      <w:r>
                        <w:t>Revised October 11, 2016 per Order No. 04</w:t>
                      </w:r>
                    </w:p>
                  </w:txbxContent>
                </v:textbox>
                <w10:wrap anchorx="margin"/>
              </v:shape>
            </w:pict>
          </mc:Fallback>
        </mc:AlternateContent>
      </w:r>
    </w:p>
    <w:p w:rsidR="00342364" w:rsidRPr="00F540CD" w:rsidRDefault="00342364">
      <w:pPr>
        <w:tabs>
          <w:tab w:val="left" w:pos="1260"/>
        </w:tabs>
        <w:spacing w:line="480" w:lineRule="auto"/>
        <w:ind w:firstLine="720"/>
        <w:jc w:val="both"/>
      </w:pPr>
    </w:p>
    <w:p w:rsidR="00342364" w:rsidRPr="00F540CD" w:rsidRDefault="00342364">
      <w:pPr>
        <w:sectPr w:rsidR="00342364" w:rsidRPr="00F540CD" w:rsidSect="0009034F">
          <w:headerReference w:type="default" r:id="rId8"/>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docGrid w:linePitch="360"/>
        </w:sectPr>
      </w:pPr>
    </w:p>
    <w:p w:rsidR="00342364" w:rsidRPr="00F540CD" w:rsidRDefault="00342364" w:rsidP="00867849">
      <w:pPr>
        <w:pStyle w:val="Heading5"/>
        <w:numPr>
          <w:ilvl w:val="0"/>
          <w:numId w:val="0"/>
        </w:numPr>
        <w:ind w:right="-54"/>
        <w:rPr>
          <w:rStyle w:val="PageNumber"/>
          <w:u w:val="single"/>
        </w:rPr>
      </w:pPr>
      <w:r w:rsidRPr="00F540CD">
        <w:rPr>
          <w:rStyle w:val="PageNumber"/>
          <w:u w:val="single"/>
        </w:rPr>
        <w:lastRenderedPageBreak/>
        <w:t>I. INTRODUCTION</w:t>
      </w:r>
    </w:p>
    <w:p w:rsidR="00342364" w:rsidRPr="00F540CD" w:rsidRDefault="00342364" w:rsidP="00867849">
      <w:pPr>
        <w:pStyle w:val="BodyTextIndent3"/>
        <w:tabs>
          <w:tab w:val="clear" w:pos="1260"/>
          <w:tab w:val="left" w:pos="720"/>
        </w:tabs>
        <w:ind w:right="-54"/>
      </w:pPr>
      <w:r w:rsidRPr="00F540CD">
        <w:t>Q.</w:t>
      </w:r>
      <w:r w:rsidRPr="00F540CD">
        <w:tab/>
        <w:t>Please state your name, employer and business address.</w:t>
      </w:r>
    </w:p>
    <w:p w:rsidR="001D70B8" w:rsidRDefault="00342364" w:rsidP="00867849">
      <w:pPr>
        <w:pStyle w:val="BodyTextIndent"/>
        <w:tabs>
          <w:tab w:val="left" w:pos="720"/>
        </w:tabs>
        <w:spacing w:after="0" w:line="480" w:lineRule="auto"/>
        <w:ind w:left="0" w:right="-54" w:firstLine="720"/>
        <w:jc w:val="both"/>
      </w:pPr>
      <w:r w:rsidRPr="00F540CD">
        <w:t>A.</w:t>
      </w:r>
      <w:r w:rsidRPr="00F540CD">
        <w:tab/>
        <w:t xml:space="preserve">My name is Kelly O. Norwood.  I am employed by Avista </w:t>
      </w:r>
      <w:r w:rsidR="00CB3BE0" w:rsidRPr="00F540CD">
        <w:t>Utilities</w:t>
      </w:r>
      <w:r w:rsidRPr="00F540CD">
        <w:t xml:space="preserve"> as the Vice-President of State and Federal Regulation.  My business address is 1411 E. Mission Avenue, Spokane, Washington.</w:t>
      </w:r>
      <w:r w:rsidR="00CB3BE0" w:rsidRPr="00F540CD">
        <w:t xml:space="preserve">  </w:t>
      </w:r>
    </w:p>
    <w:p w:rsidR="001D70B8" w:rsidRPr="001D70B8" w:rsidRDefault="001D70B8" w:rsidP="00867849">
      <w:pPr>
        <w:pStyle w:val="BodyTextIndent"/>
        <w:tabs>
          <w:tab w:val="left" w:pos="720"/>
        </w:tabs>
        <w:spacing w:after="0" w:line="480" w:lineRule="auto"/>
        <w:ind w:left="0" w:right="-54" w:firstLine="720"/>
        <w:jc w:val="both"/>
        <w:rPr>
          <w:b/>
        </w:rPr>
      </w:pPr>
      <w:r w:rsidRPr="001D70B8">
        <w:rPr>
          <w:b/>
        </w:rPr>
        <w:t>Q.</w:t>
      </w:r>
      <w:r w:rsidRPr="001D70B8">
        <w:rPr>
          <w:b/>
        </w:rPr>
        <w:tab/>
        <w:t>Would you please briefly describe your educational background and professional experience?</w:t>
      </w:r>
    </w:p>
    <w:p w:rsidR="00CB3BE0" w:rsidRPr="00433356" w:rsidRDefault="001D70B8" w:rsidP="00867849">
      <w:pPr>
        <w:pStyle w:val="BodyTextIndent"/>
        <w:tabs>
          <w:tab w:val="left" w:pos="720"/>
        </w:tabs>
        <w:spacing w:after="0" w:line="480" w:lineRule="auto"/>
        <w:ind w:left="0" w:right="-54" w:firstLine="720"/>
        <w:jc w:val="both"/>
      </w:pPr>
      <w:r>
        <w:t>A.</w:t>
      </w:r>
      <w:r>
        <w:tab/>
      </w:r>
      <w:r w:rsidR="008F2DC6">
        <w:t xml:space="preserve">Yes.  </w:t>
      </w:r>
      <w:r w:rsidR="00CB3BE0" w:rsidRPr="00F540CD">
        <w:t>I am a graduate of Eastern Washington University with a Bachelor of Arts Degree in Business Administration, majoring in Accounting.  I joined the Company in</w:t>
      </w:r>
      <w:r w:rsidR="00CF1E86">
        <w:t xml:space="preserve"> June of 1981.  Over the past 35</w:t>
      </w:r>
      <w:r w:rsidR="00CB3BE0" w:rsidRPr="00F540CD">
        <w:t xml:space="preserve"> year</w:t>
      </w:r>
      <w:r w:rsidR="00CF1E86">
        <w:t>s, I have spent approximately 24</w:t>
      </w:r>
      <w:r w:rsidR="00CB3BE0" w:rsidRPr="00F540CD">
        <w:t xml:space="preserve"> years in the Rates Department with involvement in cost of service, rate design, revenue requirements and other aspects of ratemaking.  I spent approximately 11 years in the Energy Resources Department in a variety of roles, with involvement in resource planning, system operations, resource analysis, negotiation of power contracts, and risk management.  I was appointed Vice-President of State &amp; </w:t>
      </w:r>
      <w:r w:rsidR="00CB3BE0" w:rsidRPr="00433356">
        <w:t>Federal Regulation in March 2002.</w:t>
      </w:r>
    </w:p>
    <w:p w:rsidR="00342364" w:rsidRPr="00433356" w:rsidRDefault="00532E9B" w:rsidP="00867849">
      <w:pPr>
        <w:tabs>
          <w:tab w:val="left" w:pos="720"/>
        </w:tabs>
        <w:spacing w:line="480" w:lineRule="auto"/>
        <w:ind w:right="-54" w:firstLine="720"/>
        <w:jc w:val="both"/>
        <w:rPr>
          <w:b/>
          <w:bCs/>
        </w:rPr>
      </w:pPr>
      <w:r w:rsidRPr="00433356">
        <w:rPr>
          <w:b/>
          <w:bCs/>
        </w:rPr>
        <w:t>Q.</w:t>
      </w:r>
      <w:r w:rsidRPr="00433356">
        <w:rPr>
          <w:b/>
          <w:bCs/>
        </w:rPr>
        <w:tab/>
        <w:t>Please provide an overview of</w:t>
      </w:r>
      <w:r w:rsidR="00342364" w:rsidRPr="00433356">
        <w:rPr>
          <w:b/>
          <w:bCs/>
        </w:rPr>
        <w:t xml:space="preserve"> your rebuttal testimony</w:t>
      </w:r>
      <w:r w:rsidR="00B13825">
        <w:rPr>
          <w:b/>
          <w:bCs/>
        </w:rPr>
        <w:t>.</w:t>
      </w:r>
    </w:p>
    <w:p w:rsidR="00A33C91" w:rsidRDefault="00342364" w:rsidP="00595448">
      <w:pPr>
        <w:pStyle w:val="BodyText"/>
        <w:tabs>
          <w:tab w:val="left" w:pos="720"/>
        </w:tabs>
        <w:spacing w:line="480" w:lineRule="auto"/>
        <w:ind w:right="-54" w:firstLine="720"/>
        <w:jc w:val="both"/>
        <w:rPr>
          <w:b w:val="0"/>
          <w:bCs w:val="0"/>
        </w:rPr>
      </w:pPr>
      <w:r w:rsidRPr="00433356">
        <w:rPr>
          <w:b w:val="0"/>
          <w:bCs w:val="0"/>
        </w:rPr>
        <w:t>A.</w:t>
      </w:r>
      <w:r w:rsidRPr="00433356">
        <w:rPr>
          <w:b w:val="0"/>
          <w:bCs w:val="0"/>
        </w:rPr>
        <w:tab/>
      </w:r>
      <w:r w:rsidR="00B1518A">
        <w:rPr>
          <w:b w:val="0"/>
          <w:bCs w:val="0"/>
        </w:rPr>
        <w:t>I will present</w:t>
      </w:r>
      <w:r w:rsidR="00A0669C" w:rsidRPr="00433356">
        <w:rPr>
          <w:b w:val="0"/>
          <w:bCs w:val="0"/>
        </w:rPr>
        <w:t xml:space="preserve"> the context in which the Commission should view the revenue adjustment proposals </w:t>
      </w:r>
      <w:r w:rsidR="00161F0A">
        <w:rPr>
          <w:b w:val="0"/>
          <w:bCs w:val="0"/>
        </w:rPr>
        <w:t xml:space="preserve">of the parties </w:t>
      </w:r>
      <w:r w:rsidR="00A0669C" w:rsidRPr="00433356">
        <w:rPr>
          <w:b w:val="0"/>
          <w:bCs w:val="0"/>
        </w:rPr>
        <w:t>in this case</w:t>
      </w:r>
      <w:r w:rsidR="001F4DCB" w:rsidRPr="00433356">
        <w:rPr>
          <w:b w:val="0"/>
          <w:bCs w:val="0"/>
        </w:rPr>
        <w:t>.</w:t>
      </w:r>
      <w:r w:rsidR="00433356">
        <w:rPr>
          <w:b w:val="0"/>
          <w:bCs w:val="0"/>
        </w:rPr>
        <w:t xml:space="preserve">  </w:t>
      </w:r>
      <w:r w:rsidR="00B1518A">
        <w:rPr>
          <w:b w:val="0"/>
          <w:bCs w:val="0"/>
        </w:rPr>
        <w:t>At a high level, I will explain why the Commission should not only employ the use of an attrition adjustment in establishing retail rates in this case, but, as the Commission has in recent cases, also carefully consider the application of the end result to the prospective rate period to ensure that the revenue adjustments are fair to customers and to the Company.</w:t>
      </w:r>
      <w:r w:rsidR="002665AF">
        <w:rPr>
          <w:b w:val="0"/>
          <w:bCs w:val="0"/>
        </w:rPr>
        <w:t xml:space="preserve">  </w:t>
      </w:r>
      <w:r w:rsidR="004D7E25" w:rsidRPr="00433356">
        <w:rPr>
          <w:b w:val="0"/>
          <w:bCs w:val="0"/>
        </w:rPr>
        <w:t>I will close</w:t>
      </w:r>
      <w:r w:rsidR="004D7E25">
        <w:rPr>
          <w:b w:val="0"/>
          <w:bCs w:val="0"/>
        </w:rPr>
        <w:t xml:space="preserve"> with an i</w:t>
      </w:r>
      <w:r w:rsidR="00A33C91">
        <w:rPr>
          <w:b w:val="0"/>
          <w:bCs w:val="0"/>
        </w:rPr>
        <w:t xml:space="preserve">ntroduction of </w:t>
      </w:r>
      <w:proofErr w:type="gramStart"/>
      <w:r w:rsidR="00A33C91">
        <w:rPr>
          <w:b w:val="0"/>
          <w:bCs w:val="0"/>
        </w:rPr>
        <w:lastRenderedPageBreak/>
        <w:t>other</w:t>
      </w:r>
      <w:proofErr w:type="gramEnd"/>
      <w:r w:rsidR="00A33C91">
        <w:rPr>
          <w:b w:val="0"/>
          <w:bCs w:val="0"/>
        </w:rPr>
        <w:t xml:space="preserve"> witnesses</w:t>
      </w:r>
      <w:r w:rsidR="004D7E25">
        <w:rPr>
          <w:b w:val="0"/>
          <w:bCs w:val="0"/>
        </w:rPr>
        <w:t xml:space="preserve"> sponsoring rebuttal testimony on behalf of Avista, including identification of the topic areas each will cover.</w:t>
      </w:r>
    </w:p>
    <w:p w:rsidR="00AB4BF2" w:rsidRPr="009A65B2" w:rsidRDefault="00AB4BF2" w:rsidP="00AB4BF2">
      <w:pPr>
        <w:pStyle w:val="P106"/>
        <w:jc w:val="both"/>
        <w:rPr>
          <w:rStyle w:val="T11"/>
          <w:rFonts w:ascii="Times New Roman" w:hAnsi="Times New Roman" w:cs="Times New Roman"/>
          <w:szCs w:val="24"/>
        </w:rPr>
      </w:pPr>
      <w:r w:rsidRPr="009A65B2">
        <w:rPr>
          <w:rStyle w:val="T11"/>
          <w:rFonts w:ascii="Times New Roman" w:hAnsi="Times New Roman" w:cs="Times New Roman"/>
          <w:szCs w:val="24"/>
        </w:rPr>
        <w:t>Q.</w:t>
      </w:r>
      <w:r w:rsidRPr="009A65B2">
        <w:rPr>
          <w:rStyle w:val="T11"/>
          <w:rFonts w:ascii="Times New Roman" w:hAnsi="Times New Roman" w:cs="Times New Roman"/>
          <w:szCs w:val="24"/>
        </w:rPr>
        <w:tab/>
      </w:r>
      <w:r>
        <w:rPr>
          <w:rStyle w:val="T11"/>
          <w:rFonts w:ascii="Times New Roman" w:hAnsi="Times New Roman" w:cs="Times New Roman"/>
          <w:szCs w:val="24"/>
        </w:rPr>
        <w:t>Is the Company continuing to support its proposed 18-month rate plan</w:t>
      </w:r>
      <w:r w:rsidRPr="009A65B2">
        <w:rPr>
          <w:rStyle w:val="T11"/>
          <w:rFonts w:ascii="Times New Roman" w:hAnsi="Times New Roman" w:cs="Times New Roman"/>
          <w:szCs w:val="24"/>
        </w:rPr>
        <w:t>?</w:t>
      </w:r>
    </w:p>
    <w:p w:rsidR="003B1B94" w:rsidRDefault="00AB4BF2" w:rsidP="00AB4BF2">
      <w:pPr>
        <w:pStyle w:val="P106"/>
        <w:jc w:val="both"/>
        <w:rPr>
          <w:rFonts w:ascii="Times New Roman" w:hAnsi="Times New Roman" w:cs="Times New Roman"/>
          <w:szCs w:val="24"/>
        </w:rPr>
      </w:pPr>
      <w:r w:rsidRPr="009A65B2">
        <w:rPr>
          <w:rFonts w:ascii="Times New Roman" w:hAnsi="Times New Roman" w:cs="Times New Roman"/>
          <w:szCs w:val="24"/>
        </w:rPr>
        <w:t>A.</w:t>
      </w:r>
      <w:r w:rsidRPr="009A65B2">
        <w:rPr>
          <w:rFonts w:ascii="Times New Roman" w:hAnsi="Times New Roman" w:cs="Times New Roman"/>
          <w:szCs w:val="24"/>
        </w:rPr>
        <w:tab/>
      </w:r>
      <w:r>
        <w:rPr>
          <w:rFonts w:ascii="Times New Roman" w:hAnsi="Times New Roman" w:cs="Times New Roman"/>
          <w:szCs w:val="24"/>
        </w:rPr>
        <w:t>Yes.  Avista continues to believe it is important to change the “cycle” of base rate adjustments from the middle of winter to the middle of the summer months, as discussed by Company witness Mr. Morris.</w:t>
      </w:r>
      <w:r>
        <w:rPr>
          <w:rStyle w:val="FootnoteReference"/>
          <w:rFonts w:ascii="Times New Roman" w:hAnsi="Times New Roman" w:cs="Times New Roman"/>
          <w:szCs w:val="24"/>
        </w:rPr>
        <w:footnoteReference w:id="1"/>
      </w:r>
      <w:r>
        <w:rPr>
          <w:rFonts w:ascii="Times New Roman" w:hAnsi="Times New Roman" w:cs="Times New Roman"/>
          <w:szCs w:val="24"/>
        </w:rPr>
        <w:t xml:space="preserve">  </w:t>
      </w:r>
      <w:r w:rsidR="003B1B94">
        <w:rPr>
          <w:rFonts w:ascii="Times New Roman" w:hAnsi="Times New Roman" w:cs="Times New Roman"/>
          <w:szCs w:val="24"/>
        </w:rPr>
        <w:t>Staff witness Mr. Hancock expressed his support for changing the cycle of filings as follows:</w:t>
      </w:r>
    </w:p>
    <w:p w:rsidR="003B1B94" w:rsidRDefault="003B1B94" w:rsidP="003B1B94">
      <w:pPr>
        <w:pStyle w:val="P106"/>
        <w:spacing w:line="240" w:lineRule="auto"/>
        <w:ind w:left="720" w:firstLine="0"/>
        <w:jc w:val="both"/>
        <w:rPr>
          <w:rFonts w:ascii="Times New Roman" w:hAnsi="Times New Roman" w:cs="Times New Roman"/>
          <w:szCs w:val="24"/>
        </w:rPr>
      </w:pPr>
      <w:r w:rsidRPr="003B1B94">
        <w:rPr>
          <w:rFonts w:ascii="Times New Roman" w:hAnsi="Times New Roman" w:cs="Times New Roman"/>
          <w:szCs w:val="24"/>
        </w:rPr>
        <w:t>A change away from wintertime filing dates would help spread workload across the year and reduce pressures caused by coincident filings from multiple companies.  Intervening parties would likely be better able to represent their constituents and provide deeper analysis and commentary to the Commission in its efforts to produce outcomes in the public interest. Staff supports practices that will lead to a more thorough discovery process, better evidentiary record, and outcomes that further the public interest.</w:t>
      </w:r>
      <w:r>
        <w:rPr>
          <w:rStyle w:val="FootnoteReference"/>
          <w:rFonts w:ascii="Times New Roman" w:hAnsi="Times New Roman" w:cs="Times New Roman"/>
          <w:szCs w:val="24"/>
        </w:rPr>
        <w:footnoteReference w:id="2"/>
      </w:r>
    </w:p>
    <w:p w:rsidR="003B1B94" w:rsidRDefault="003B1B94" w:rsidP="00AB4BF2">
      <w:pPr>
        <w:pStyle w:val="P106"/>
        <w:jc w:val="both"/>
        <w:rPr>
          <w:rFonts w:ascii="Times New Roman" w:hAnsi="Times New Roman" w:cs="Times New Roman"/>
          <w:szCs w:val="24"/>
        </w:rPr>
      </w:pPr>
    </w:p>
    <w:p w:rsidR="00AB4BF2" w:rsidRDefault="00AB4BF2" w:rsidP="00AB4BF2">
      <w:pPr>
        <w:pStyle w:val="P106"/>
        <w:jc w:val="both"/>
        <w:rPr>
          <w:rFonts w:ascii="Times New Roman" w:hAnsi="Times New Roman" w:cs="Times New Roman"/>
          <w:szCs w:val="24"/>
        </w:rPr>
      </w:pPr>
      <w:r>
        <w:rPr>
          <w:rFonts w:ascii="Times New Roman" w:hAnsi="Times New Roman" w:cs="Times New Roman"/>
          <w:szCs w:val="24"/>
        </w:rPr>
        <w:t>Avista is continuing to propose a two-step base rate adjustment for the period January 1, 2017 through June 30, 2018.  The first would occur on January 1, 2017, and the second on January 1, 2018.</w:t>
      </w:r>
    </w:p>
    <w:p w:rsidR="00AB4BF2" w:rsidRPr="00433356" w:rsidRDefault="00AB4BF2" w:rsidP="00AB4BF2">
      <w:pPr>
        <w:tabs>
          <w:tab w:val="left" w:pos="720"/>
        </w:tabs>
        <w:spacing w:line="480" w:lineRule="auto"/>
        <w:ind w:right="-54" w:firstLine="720"/>
        <w:jc w:val="both"/>
        <w:rPr>
          <w:b/>
          <w:bCs/>
        </w:rPr>
      </w:pPr>
      <w:r w:rsidRPr="00433356">
        <w:rPr>
          <w:b/>
          <w:bCs/>
        </w:rPr>
        <w:t>Q.</w:t>
      </w:r>
      <w:r w:rsidRPr="00433356">
        <w:rPr>
          <w:b/>
          <w:bCs/>
        </w:rPr>
        <w:tab/>
      </w:r>
      <w:r>
        <w:rPr>
          <w:b/>
          <w:bCs/>
        </w:rPr>
        <w:t>Would the bill impact to electric customers for the second step rate increase on January 1 2018 be fully offset with Energy Recovery Mechanism (ERM) dollars, as originally proposed by the Company?</w:t>
      </w:r>
    </w:p>
    <w:p w:rsidR="00AB4BF2" w:rsidRDefault="00AB4BF2" w:rsidP="00AB4BF2">
      <w:pPr>
        <w:pStyle w:val="BodyText"/>
        <w:tabs>
          <w:tab w:val="left" w:pos="720"/>
        </w:tabs>
        <w:spacing w:line="480" w:lineRule="auto"/>
        <w:ind w:right="-54" w:firstLine="720"/>
        <w:jc w:val="both"/>
        <w:rPr>
          <w:b w:val="0"/>
          <w:bCs w:val="0"/>
        </w:rPr>
      </w:pPr>
      <w:r w:rsidRPr="00433356">
        <w:rPr>
          <w:b w:val="0"/>
          <w:bCs w:val="0"/>
        </w:rPr>
        <w:t>A.</w:t>
      </w:r>
      <w:r w:rsidRPr="00433356">
        <w:rPr>
          <w:b w:val="0"/>
          <w:bCs w:val="0"/>
        </w:rPr>
        <w:tab/>
      </w:r>
      <w:r>
        <w:rPr>
          <w:b w:val="0"/>
          <w:bCs w:val="0"/>
        </w:rPr>
        <w:t xml:space="preserve">Yes.  As of August 31, 2016, the ERM had a rebate balance due customers of $17.7 million.  It is reasonable and appropriate to return </w:t>
      </w:r>
      <w:r w:rsidRPr="002459DD">
        <w:rPr>
          <w:b w:val="0"/>
          <w:bCs w:val="0"/>
          <w:u w:val="single"/>
        </w:rPr>
        <w:t>a portion</w:t>
      </w:r>
      <w:r>
        <w:rPr>
          <w:b w:val="0"/>
          <w:bCs w:val="0"/>
        </w:rPr>
        <w:t xml:space="preserve"> of these dollars to customers, and it would facilitate a smooth transition for customers to a summer-to-summer cycle of base rate adjustments.  Under the 18-month rate plan proposal, together with the use of ERM rebate </w:t>
      </w:r>
      <w:r>
        <w:rPr>
          <w:b w:val="0"/>
          <w:bCs w:val="0"/>
        </w:rPr>
        <w:lastRenderedPageBreak/>
        <w:t>dollars, customers would experience a bill increase January 1, 2017, but would not see another bill increase related to base rates until July 1, 2018.</w:t>
      </w:r>
    </w:p>
    <w:p w:rsidR="00AB4BF2" w:rsidRDefault="00AB4BF2" w:rsidP="00AB4BF2">
      <w:pPr>
        <w:pStyle w:val="BodyText"/>
        <w:tabs>
          <w:tab w:val="left" w:pos="720"/>
        </w:tabs>
        <w:spacing w:line="480" w:lineRule="auto"/>
        <w:ind w:right="-54" w:firstLine="720"/>
        <w:jc w:val="both"/>
        <w:rPr>
          <w:b w:val="0"/>
          <w:bCs w:val="0"/>
        </w:rPr>
      </w:pPr>
      <w:r>
        <w:rPr>
          <w:b w:val="0"/>
          <w:bCs w:val="0"/>
        </w:rPr>
        <w:t xml:space="preserve">As the Company proposed in its original filing, a power supply update would be filed with the Commission on November 1, 2016 for the January </w:t>
      </w:r>
      <w:r w:rsidR="00173378">
        <w:rPr>
          <w:b w:val="0"/>
          <w:bCs w:val="0"/>
        </w:rPr>
        <w:t xml:space="preserve">1, </w:t>
      </w:r>
      <w:r>
        <w:rPr>
          <w:b w:val="0"/>
          <w:bCs w:val="0"/>
        </w:rPr>
        <w:t xml:space="preserve">2017 base rate change, as well as on November 1, 2017 for the January </w:t>
      </w:r>
      <w:r w:rsidR="00173378">
        <w:rPr>
          <w:b w:val="0"/>
          <w:bCs w:val="0"/>
        </w:rPr>
        <w:t xml:space="preserve">1, </w:t>
      </w:r>
      <w:r>
        <w:rPr>
          <w:b w:val="0"/>
          <w:bCs w:val="0"/>
        </w:rPr>
        <w:t xml:space="preserve">2018 base rate change.  As in prior cases, these updates in power supply costs, would occur just before new base retail rates go into effect, will reflect the most recent information available for power supply costs.  </w:t>
      </w:r>
    </w:p>
    <w:p w:rsidR="00AB4BF2" w:rsidRDefault="00AB4BF2" w:rsidP="00AB4BF2">
      <w:pPr>
        <w:pStyle w:val="BodyText"/>
        <w:tabs>
          <w:tab w:val="left" w:pos="720"/>
        </w:tabs>
        <w:spacing w:line="480" w:lineRule="auto"/>
        <w:ind w:right="-54" w:firstLine="720"/>
        <w:jc w:val="both"/>
        <w:rPr>
          <w:b w:val="0"/>
          <w:bCs w:val="0"/>
        </w:rPr>
      </w:pPr>
      <w:r>
        <w:rPr>
          <w:b w:val="0"/>
          <w:bCs w:val="0"/>
        </w:rPr>
        <w:t>To the extent the power supply update to be filed on November 1, 2017, for the January 2018 base rate change, would result in an increase in base retail rates, ERM rebate balance dollars would be used to offset the increase such that customers would not experience a bill change on January 1, 2018.</w:t>
      </w:r>
    </w:p>
    <w:p w:rsidR="002872AF" w:rsidRPr="002872AF" w:rsidRDefault="002872AF" w:rsidP="00B40818">
      <w:pPr>
        <w:pStyle w:val="BodyText"/>
        <w:tabs>
          <w:tab w:val="left" w:pos="720"/>
        </w:tabs>
        <w:spacing w:line="480" w:lineRule="auto"/>
        <w:ind w:right="-54" w:firstLine="720"/>
        <w:jc w:val="both"/>
        <w:rPr>
          <w:bCs w:val="0"/>
        </w:rPr>
      </w:pPr>
      <w:r w:rsidRPr="002872AF">
        <w:rPr>
          <w:bCs w:val="0"/>
        </w:rPr>
        <w:t xml:space="preserve">Q. </w:t>
      </w:r>
      <w:r w:rsidRPr="002872AF">
        <w:rPr>
          <w:bCs w:val="0"/>
        </w:rPr>
        <w:tab/>
        <w:t>How is your testimony organized?</w:t>
      </w:r>
    </w:p>
    <w:p w:rsidR="00AC4416" w:rsidRDefault="002872AF" w:rsidP="00B40818">
      <w:pPr>
        <w:pStyle w:val="BodyText"/>
        <w:tabs>
          <w:tab w:val="left" w:pos="720"/>
        </w:tabs>
        <w:spacing w:line="480" w:lineRule="auto"/>
        <w:ind w:right="-54" w:firstLine="720"/>
        <w:jc w:val="both"/>
        <w:rPr>
          <w:b w:val="0"/>
          <w:bCs w:val="0"/>
        </w:rPr>
      </w:pPr>
      <w:r>
        <w:rPr>
          <w:b w:val="0"/>
          <w:bCs w:val="0"/>
        </w:rPr>
        <w:t>A.</w:t>
      </w:r>
      <w:r>
        <w:rPr>
          <w:b w:val="0"/>
          <w:bCs w:val="0"/>
        </w:rPr>
        <w:tab/>
      </w:r>
      <w:r w:rsidR="00595448">
        <w:rPr>
          <w:b w:val="0"/>
          <w:bCs w:val="0"/>
        </w:rPr>
        <w:t>A table of contents for my testimony is as follows:</w:t>
      </w:r>
    </w:p>
    <w:p w:rsidR="009175C0" w:rsidRPr="007B58C5" w:rsidRDefault="009175C0" w:rsidP="009175C0">
      <w:pPr>
        <w:pStyle w:val="Heading1"/>
        <w:tabs>
          <w:tab w:val="left" w:pos="810"/>
          <w:tab w:val="left" w:pos="1440"/>
        </w:tabs>
        <w:ind w:right="-720" w:firstLine="720"/>
        <w:rPr>
          <w:b w:val="0"/>
          <w:u w:val="single"/>
        </w:rPr>
      </w:pPr>
      <w:r>
        <w:rPr>
          <w:b w:val="0"/>
          <w:u w:val="single"/>
        </w:rPr>
        <w:t>Description</w:t>
      </w:r>
      <w:r>
        <w:rPr>
          <w:b w:val="0"/>
          <w:u w:val="single"/>
        </w:rPr>
        <w:tab/>
      </w:r>
      <w:r>
        <w:rPr>
          <w:b w:val="0"/>
          <w:u w:val="single"/>
        </w:rPr>
        <w:tab/>
      </w:r>
      <w:r>
        <w:rPr>
          <w:b w:val="0"/>
          <w:u w:val="single"/>
        </w:rPr>
        <w:tab/>
        <w:t>Page</w:t>
      </w:r>
      <w:r>
        <w:rPr>
          <w:b w:val="0"/>
          <w:u w:val="single"/>
        </w:rPr>
        <w:tab/>
      </w:r>
    </w:p>
    <w:p w:rsidR="009175C0" w:rsidRPr="00B76DC0" w:rsidRDefault="009175C0" w:rsidP="009175C0">
      <w:pPr>
        <w:numPr>
          <w:ilvl w:val="0"/>
          <w:numId w:val="18"/>
        </w:numPr>
        <w:tabs>
          <w:tab w:val="left" w:pos="810"/>
          <w:tab w:val="left" w:pos="1440"/>
          <w:tab w:val="left" w:pos="6120"/>
          <w:tab w:val="left" w:pos="7920"/>
        </w:tabs>
        <w:suppressAutoHyphens w:val="0"/>
        <w:autoSpaceDN w:val="0"/>
        <w:spacing w:line="360" w:lineRule="auto"/>
        <w:ind w:right="-720"/>
        <w:rPr>
          <w:bCs/>
          <w:szCs w:val="22"/>
        </w:rPr>
      </w:pPr>
      <w:r w:rsidRPr="00B76DC0">
        <w:rPr>
          <w:bCs/>
          <w:szCs w:val="22"/>
        </w:rPr>
        <w:t>Introduction</w:t>
      </w:r>
      <w:r w:rsidRPr="00B76DC0">
        <w:rPr>
          <w:bCs/>
          <w:szCs w:val="22"/>
        </w:rPr>
        <w:tab/>
      </w:r>
      <w:r w:rsidRPr="00B76DC0">
        <w:rPr>
          <w:bCs/>
          <w:szCs w:val="22"/>
        </w:rPr>
        <w:tab/>
        <w:t xml:space="preserve"> 1</w:t>
      </w:r>
    </w:p>
    <w:p w:rsidR="009175C0" w:rsidRPr="00B76DC0" w:rsidRDefault="00BD6B5B" w:rsidP="009175C0">
      <w:pPr>
        <w:numPr>
          <w:ilvl w:val="0"/>
          <w:numId w:val="18"/>
        </w:numPr>
        <w:tabs>
          <w:tab w:val="right" w:pos="810"/>
          <w:tab w:val="left" w:pos="1440"/>
          <w:tab w:val="left" w:pos="6120"/>
          <w:tab w:val="left" w:pos="7920"/>
          <w:tab w:val="left" w:pos="8100"/>
        </w:tabs>
        <w:suppressAutoHyphens w:val="0"/>
        <w:autoSpaceDN w:val="0"/>
        <w:spacing w:line="360" w:lineRule="auto"/>
        <w:ind w:right="-720"/>
        <w:rPr>
          <w:bCs/>
          <w:szCs w:val="22"/>
        </w:rPr>
      </w:pPr>
      <w:r w:rsidRPr="00B76DC0">
        <w:rPr>
          <w:bCs/>
          <w:szCs w:val="22"/>
        </w:rPr>
        <w:t xml:space="preserve">Context </w:t>
      </w:r>
      <w:r w:rsidR="009F331E" w:rsidRPr="00B76DC0">
        <w:rPr>
          <w:bCs/>
          <w:szCs w:val="22"/>
        </w:rPr>
        <w:t>to Review Proposals in These Dockets</w:t>
      </w:r>
      <w:r w:rsidR="009175C0" w:rsidRPr="00B76DC0">
        <w:rPr>
          <w:bCs/>
          <w:szCs w:val="22"/>
        </w:rPr>
        <w:tab/>
        <w:t xml:space="preserve"> </w:t>
      </w:r>
      <w:r w:rsidR="009175C0" w:rsidRPr="00B76DC0">
        <w:rPr>
          <w:bCs/>
          <w:szCs w:val="22"/>
        </w:rPr>
        <w:tab/>
        <w:t xml:space="preserve"> </w:t>
      </w:r>
      <w:r w:rsidR="00105414">
        <w:rPr>
          <w:bCs/>
          <w:szCs w:val="22"/>
        </w:rPr>
        <w:t>4</w:t>
      </w:r>
    </w:p>
    <w:p w:rsidR="005552AA" w:rsidRDefault="001029FF" w:rsidP="005552AA">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Proposals of Non-Company Parties in Prior Rate Cases</w:t>
      </w:r>
    </w:p>
    <w:p w:rsidR="009F331E" w:rsidRDefault="005552AA" w:rsidP="005552AA">
      <w:pPr>
        <w:tabs>
          <w:tab w:val="right" w:pos="810"/>
          <w:tab w:val="left" w:pos="1440"/>
          <w:tab w:val="left" w:pos="6120"/>
          <w:tab w:val="left" w:pos="7920"/>
          <w:tab w:val="left" w:pos="8100"/>
        </w:tabs>
        <w:suppressAutoHyphens w:val="0"/>
        <w:autoSpaceDN w:val="0"/>
        <w:ind w:left="1440" w:right="-720"/>
        <w:rPr>
          <w:bCs/>
          <w:szCs w:val="22"/>
        </w:rPr>
      </w:pPr>
      <w:r>
        <w:rPr>
          <w:bCs/>
          <w:szCs w:val="22"/>
        </w:rPr>
        <w:t>Have Been Demonstrated to be Unreasonable</w:t>
      </w:r>
      <w:r>
        <w:rPr>
          <w:bCs/>
          <w:szCs w:val="22"/>
        </w:rPr>
        <w:tab/>
      </w:r>
      <w:r w:rsidR="009F331E" w:rsidRPr="00174B96">
        <w:rPr>
          <w:bCs/>
          <w:szCs w:val="22"/>
        </w:rPr>
        <w:tab/>
        <w:t xml:space="preserve"> </w:t>
      </w:r>
      <w:r w:rsidR="00105414">
        <w:rPr>
          <w:bCs/>
          <w:szCs w:val="22"/>
        </w:rPr>
        <w:t>7</w:t>
      </w:r>
    </w:p>
    <w:p w:rsidR="005552AA" w:rsidRPr="00174B96" w:rsidRDefault="005552AA" w:rsidP="005552AA">
      <w:pPr>
        <w:tabs>
          <w:tab w:val="right" w:pos="810"/>
          <w:tab w:val="left" w:pos="1440"/>
          <w:tab w:val="left" w:pos="6120"/>
          <w:tab w:val="left" w:pos="7920"/>
          <w:tab w:val="left" w:pos="8100"/>
        </w:tabs>
        <w:suppressAutoHyphens w:val="0"/>
        <w:autoSpaceDN w:val="0"/>
        <w:ind w:left="1440" w:right="-720"/>
        <w:rPr>
          <w:bCs/>
          <w:szCs w:val="22"/>
        </w:rPr>
      </w:pPr>
    </w:p>
    <w:p w:rsidR="001029FF" w:rsidRPr="00174B96" w:rsidRDefault="001029FF" w:rsidP="001029FF">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 xml:space="preserve">After-the-Fact Results Confirm the Reasonableness of </w:t>
      </w:r>
    </w:p>
    <w:p w:rsidR="001029FF" w:rsidRPr="00174B96" w:rsidRDefault="001029FF" w:rsidP="001029FF">
      <w:pPr>
        <w:tabs>
          <w:tab w:val="right" w:pos="810"/>
          <w:tab w:val="left" w:pos="1440"/>
          <w:tab w:val="left" w:pos="6120"/>
          <w:tab w:val="left" w:pos="7920"/>
          <w:tab w:val="left" w:pos="8100"/>
        </w:tabs>
        <w:suppressAutoHyphens w:val="0"/>
        <w:autoSpaceDN w:val="0"/>
        <w:ind w:left="1440" w:right="-720"/>
        <w:rPr>
          <w:bCs/>
          <w:szCs w:val="22"/>
        </w:rPr>
      </w:pPr>
      <w:proofErr w:type="gramStart"/>
      <w:r w:rsidRPr="00174B96">
        <w:rPr>
          <w:bCs/>
          <w:szCs w:val="22"/>
        </w:rPr>
        <w:t>the</w:t>
      </w:r>
      <w:proofErr w:type="gramEnd"/>
      <w:r w:rsidRPr="00174B96">
        <w:rPr>
          <w:bCs/>
          <w:szCs w:val="22"/>
        </w:rPr>
        <w:t xml:space="preserve"> Commission’s Recent Revenue Adjustment Decisions</w:t>
      </w:r>
      <w:r w:rsidRPr="00174B96">
        <w:rPr>
          <w:bCs/>
          <w:szCs w:val="22"/>
        </w:rPr>
        <w:tab/>
      </w:r>
      <w:r w:rsidR="00D70DA1">
        <w:rPr>
          <w:bCs/>
          <w:szCs w:val="22"/>
        </w:rPr>
        <w:t>1</w:t>
      </w:r>
      <w:r w:rsidR="00567A19">
        <w:rPr>
          <w:bCs/>
          <w:szCs w:val="22"/>
        </w:rPr>
        <w:t>0</w:t>
      </w:r>
    </w:p>
    <w:p w:rsidR="009F331E" w:rsidRPr="00174B96" w:rsidRDefault="009F331E" w:rsidP="001029FF">
      <w:pPr>
        <w:tabs>
          <w:tab w:val="right" w:pos="810"/>
          <w:tab w:val="left" w:pos="1440"/>
          <w:tab w:val="left" w:pos="6120"/>
          <w:tab w:val="left" w:pos="7920"/>
          <w:tab w:val="left" w:pos="8100"/>
        </w:tabs>
        <w:suppressAutoHyphens w:val="0"/>
        <w:autoSpaceDN w:val="0"/>
        <w:ind w:left="1440" w:right="-720"/>
        <w:rPr>
          <w:bCs/>
          <w:szCs w:val="22"/>
        </w:rPr>
      </w:pPr>
      <w:r w:rsidRPr="00174B96">
        <w:rPr>
          <w:bCs/>
          <w:szCs w:val="22"/>
        </w:rPr>
        <w:tab/>
      </w:r>
      <w:r w:rsidRPr="00174B96">
        <w:rPr>
          <w:bCs/>
          <w:szCs w:val="22"/>
        </w:rPr>
        <w:tab/>
        <w:t xml:space="preserve"> </w:t>
      </w:r>
    </w:p>
    <w:p w:rsidR="009F331E" w:rsidRPr="00174B96" w:rsidRDefault="00071B5B" w:rsidP="009175C0">
      <w:pPr>
        <w:numPr>
          <w:ilvl w:val="0"/>
          <w:numId w:val="18"/>
        </w:numPr>
        <w:tabs>
          <w:tab w:val="right" w:pos="810"/>
          <w:tab w:val="left" w:pos="1440"/>
          <w:tab w:val="left" w:pos="6120"/>
          <w:tab w:val="left" w:pos="7920"/>
          <w:tab w:val="left" w:pos="8100"/>
        </w:tabs>
        <w:suppressAutoHyphens w:val="0"/>
        <w:autoSpaceDN w:val="0"/>
        <w:spacing w:line="360" w:lineRule="auto"/>
        <w:ind w:right="-720"/>
        <w:rPr>
          <w:bCs/>
          <w:szCs w:val="22"/>
        </w:rPr>
      </w:pPr>
      <w:r w:rsidRPr="00174B96">
        <w:rPr>
          <w:bCs/>
          <w:szCs w:val="22"/>
        </w:rPr>
        <w:t xml:space="preserve">The </w:t>
      </w:r>
      <w:r w:rsidR="00323491" w:rsidRPr="00174B96">
        <w:rPr>
          <w:bCs/>
          <w:szCs w:val="22"/>
        </w:rPr>
        <w:t xml:space="preserve">Modified </w:t>
      </w:r>
      <w:r w:rsidR="003F09E1" w:rsidRPr="00174B96">
        <w:rPr>
          <w:bCs/>
          <w:szCs w:val="22"/>
        </w:rPr>
        <w:t>T</w:t>
      </w:r>
      <w:r w:rsidR="00323491" w:rsidRPr="00174B96">
        <w:rPr>
          <w:bCs/>
          <w:szCs w:val="22"/>
        </w:rPr>
        <w:t xml:space="preserve">est </w:t>
      </w:r>
      <w:r w:rsidR="003F09E1" w:rsidRPr="00174B96">
        <w:rPr>
          <w:bCs/>
          <w:szCs w:val="22"/>
        </w:rPr>
        <w:t>Y</w:t>
      </w:r>
      <w:r w:rsidR="00323491" w:rsidRPr="00174B96">
        <w:rPr>
          <w:bCs/>
          <w:szCs w:val="22"/>
        </w:rPr>
        <w:t xml:space="preserve">ear </w:t>
      </w:r>
      <w:r w:rsidR="003F09E1" w:rsidRPr="00174B96">
        <w:rPr>
          <w:bCs/>
          <w:szCs w:val="22"/>
        </w:rPr>
        <w:t>S</w:t>
      </w:r>
      <w:r w:rsidR="00323491" w:rsidRPr="00174B96">
        <w:rPr>
          <w:bCs/>
          <w:szCs w:val="22"/>
        </w:rPr>
        <w:t>tudy</w:t>
      </w:r>
      <w:r w:rsidRPr="00174B96">
        <w:rPr>
          <w:bCs/>
          <w:szCs w:val="22"/>
        </w:rPr>
        <w:t xml:space="preserve"> Approach is Insufficient</w:t>
      </w:r>
      <w:r w:rsidR="009F331E" w:rsidRPr="00174B96">
        <w:rPr>
          <w:bCs/>
          <w:szCs w:val="22"/>
        </w:rPr>
        <w:tab/>
      </w:r>
      <w:r w:rsidR="00B76DC0" w:rsidRPr="00174B96">
        <w:rPr>
          <w:bCs/>
          <w:szCs w:val="22"/>
        </w:rPr>
        <w:t>1</w:t>
      </w:r>
      <w:r w:rsidR="00567A19">
        <w:rPr>
          <w:bCs/>
          <w:szCs w:val="22"/>
        </w:rPr>
        <w:t>4</w:t>
      </w:r>
    </w:p>
    <w:p w:rsidR="009F331E" w:rsidRPr="00174B96" w:rsidRDefault="00071B5B" w:rsidP="009175C0">
      <w:pPr>
        <w:numPr>
          <w:ilvl w:val="0"/>
          <w:numId w:val="18"/>
        </w:numPr>
        <w:tabs>
          <w:tab w:val="right" w:pos="810"/>
          <w:tab w:val="left" w:pos="1440"/>
          <w:tab w:val="left" w:pos="6120"/>
          <w:tab w:val="left" w:pos="7920"/>
          <w:tab w:val="left" w:pos="8100"/>
        </w:tabs>
        <w:suppressAutoHyphens w:val="0"/>
        <w:autoSpaceDN w:val="0"/>
        <w:spacing w:line="360" w:lineRule="auto"/>
        <w:ind w:right="-720"/>
        <w:rPr>
          <w:bCs/>
          <w:szCs w:val="22"/>
        </w:rPr>
      </w:pPr>
      <w:r w:rsidRPr="00174B96">
        <w:rPr>
          <w:bCs/>
          <w:szCs w:val="22"/>
        </w:rPr>
        <w:t>No Evidence of a Self-Fulfilling Prophecy</w:t>
      </w:r>
      <w:r w:rsidR="009F331E" w:rsidRPr="00174B96">
        <w:rPr>
          <w:bCs/>
          <w:szCs w:val="22"/>
        </w:rPr>
        <w:tab/>
      </w:r>
      <w:r w:rsidR="009F331E" w:rsidRPr="00174B96">
        <w:rPr>
          <w:bCs/>
          <w:szCs w:val="22"/>
        </w:rPr>
        <w:tab/>
      </w:r>
      <w:r w:rsidR="00B76DC0" w:rsidRPr="00174B96">
        <w:rPr>
          <w:bCs/>
          <w:szCs w:val="22"/>
        </w:rPr>
        <w:t>1</w:t>
      </w:r>
      <w:r w:rsidR="005F48C0">
        <w:rPr>
          <w:bCs/>
          <w:szCs w:val="22"/>
        </w:rPr>
        <w:t>6</w:t>
      </w:r>
    </w:p>
    <w:p w:rsidR="00071B5B" w:rsidRPr="00174B96" w:rsidRDefault="00071B5B" w:rsidP="00071B5B">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 xml:space="preserve">Three Separate Studies </w:t>
      </w:r>
      <w:r w:rsidR="005552AA">
        <w:rPr>
          <w:bCs/>
          <w:szCs w:val="22"/>
        </w:rPr>
        <w:t xml:space="preserve">Presented by Avista Support </w:t>
      </w:r>
    </w:p>
    <w:p w:rsidR="00F122BB" w:rsidRPr="00174B96" w:rsidRDefault="005552AA" w:rsidP="00F122BB">
      <w:pPr>
        <w:tabs>
          <w:tab w:val="right" w:pos="810"/>
          <w:tab w:val="left" w:pos="1440"/>
          <w:tab w:val="left" w:pos="6120"/>
          <w:tab w:val="left" w:pos="7920"/>
          <w:tab w:val="left" w:pos="8100"/>
        </w:tabs>
        <w:suppressAutoHyphens w:val="0"/>
        <w:autoSpaceDN w:val="0"/>
        <w:ind w:left="1440" w:right="-720"/>
        <w:rPr>
          <w:bCs/>
          <w:szCs w:val="22"/>
        </w:rPr>
      </w:pPr>
      <w:r>
        <w:rPr>
          <w:bCs/>
          <w:szCs w:val="22"/>
        </w:rPr>
        <w:t xml:space="preserve">Its </w:t>
      </w:r>
      <w:r w:rsidR="00071B5B" w:rsidRPr="00174B96">
        <w:rPr>
          <w:bCs/>
          <w:szCs w:val="22"/>
        </w:rPr>
        <w:t>Revenue Adjustments</w:t>
      </w:r>
      <w:r w:rsidR="009F331E" w:rsidRPr="00174B96">
        <w:rPr>
          <w:bCs/>
          <w:szCs w:val="22"/>
        </w:rPr>
        <w:tab/>
      </w:r>
      <w:r w:rsidR="009F331E" w:rsidRPr="00174B96">
        <w:rPr>
          <w:bCs/>
          <w:szCs w:val="22"/>
        </w:rPr>
        <w:tab/>
        <w:t>1</w:t>
      </w:r>
      <w:r w:rsidR="00F44004">
        <w:rPr>
          <w:bCs/>
          <w:szCs w:val="22"/>
        </w:rPr>
        <w:t>8</w:t>
      </w:r>
    </w:p>
    <w:p w:rsidR="00071B5B" w:rsidRPr="00174B96" w:rsidRDefault="00071B5B" w:rsidP="00071B5B">
      <w:pPr>
        <w:tabs>
          <w:tab w:val="right" w:pos="810"/>
          <w:tab w:val="left" w:pos="1440"/>
          <w:tab w:val="left" w:pos="6120"/>
          <w:tab w:val="left" w:pos="7920"/>
          <w:tab w:val="left" w:pos="8100"/>
        </w:tabs>
        <w:suppressAutoHyphens w:val="0"/>
        <w:autoSpaceDN w:val="0"/>
        <w:ind w:left="1440" w:right="-720"/>
        <w:rPr>
          <w:bCs/>
          <w:szCs w:val="22"/>
        </w:rPr>
      </w:pPr>
    </w:p>
    <w:p w:rsidR="00E54F75" w:rsidRPr="00174B96" w:rsidRDefault="00E54F75" w:rsidP="00E54F75">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t>Avista’s Need for Revenue Increases Has Increased</w:t>
      </w:r>
    </w:p>
    <w:p w:rsidR="00E54F75" w:rsidRPr="00174B96" w:rsidRDefault="00E54F75" w:rsidP="00E54F75">
      <w:pPr>
        <w:tabs>
          <w:tab w:val="right" w:pos="810"/>
          <w:tab w:val="left" w:pos="1440"/>
          <w:tab w:val="left" w:pos="6120"/>
          <w:tab w:val="left" w:pos="7920"/>
          <w:tab w:val="left" w:pos="8100"/>
        </w:tabs>
        <w:suppressAutoHyphens w:val="0"/>
        <w:autoSpaceDN w:val="0"/>
        <w:ind w:left="1440" w:right="-720"/>
        <w:rPr>
          <w:bCs/>
          <w:szCs w:val="22"/>
        </w:rPr>
      </w:pPr>
      <w:r w:rsidRPr="00174B96">
        <w:rPr>
          <w:bCs/>
          <w:szCs w:val="22"/>
        </w:rPr>
        <w:t>Following</w:t>
      </w:r>
      <w:r w:rsidR="005552AA">
        <w:rPr>
          <w:bCs/>
          <w:szCs w:val="22"/>
        </w:rPr>
        <w:t xml:space="preserve"> Its</w:t>
      </w:r>
      <w:r w:rsidRPr="00174B96">
        <w:rPr>
          <w:bCs/>
          <w:szCs w:val="22"/>
        </w:rPr>
        <w:t xml:space="preserve"> Original Filing</w:t>
      </w:r>
      <w:r w:rsidRPr="00174B96">
        <w:rPr>
          <w:bCs/>
          <w:szCs w:val="22"/>
        </w:rPr>
        <w:tab/>
      </w:r>
      <w:r w:rsidRPr="00174B96">
        <w:rPr>
          <w:bCs/>
          <w:szCs w:val="22"/>
        </w:rPr>
        <w:tab/>
      </w:r>
      <w:r w:rsidR="00B13825" w:rsidRPr="00174B96">
        <w:rPr>
          <w:bCs/>
          <w:szCs w:val="22"/>
        </w:rPr>
        <w:t>2</w:t>
      </w:r>
      <w:r w:rsidR="0098390C">
        <w:rPr>
          <w:bCs/>
          <w:szCs w:val="22"/>
        </w:rPr>
        <w:t>6</w:t>
      </w:r>
      <w:r w:rsidRPr="00174B96">
        <w:rPr>
          <w:bCs/>
          <w:szCs w:val="22"/>
        </w:rPr>
        <w:tab/>
      </w:r>
    </w:p>
    <w:p w:rsidR="00E54F75" w:rsidRPr="00174B96" w:rsidRDefault="00E54F75" w:rsidP="00E54F75">
      <w:pPr>
        <w:tabs>
          <w:tab w:val="right" w:pos="810"/>
          <w:tab w:val="left" w:pos="1440"/>
          <w:tab w:val="left" w:pos="6120"/>
          <w:tab w:val="left" w:pos="7920"/>
          <w:tab w:val="left" w:pos="8100"/>
        </w:tabs>
        <w:suppressAutoHyphens w:val="0"/>
        <w:autoSpaceDN w:val="0"/>
        <w:ind w:left="1440" w:right="-720"/>
        <w:rPr>
          <w:bCs/>
          <w:szCs w:val="22"/>
        </w:rPr>
      </w:pPr>
    </w:p>
    <w:p w:rsidR="007F122C" w:rsidRPr="00174B96" w:rsidRDefault="007F122C" w:rsidP="007F122C">
      <w:pPr>
        <w:numPr>
          <w:ilvl w:val="0"/>
          <w:numId w:val="18"/>
        </w:numPr>
        <w:tabs>
          <w:tab w:val="right" w:pos="810"/>
          <w:tab w:val="left" w:pos="1440"/>
          <w:tab w:val="left" w:pos="6120"/>
          <w:tab w:val="left" w:pos="7920"/>
          <w:tab w:val="left" w:pos="8100"/>
        </w:tabs>
        <w:suppressAutoHyphens w:val="0"/>
        <w:autoSpaceDN w:val="0"/>
        <w:ind w:right="-720"/>
        <w:rPr>
          <w:bCs/>
          <w:szCs w:val="22"/>
        </w:rPr>
      </w:pPr>
      <w:r w:rsidRPr="00174B96">
        <w:rPr>
          <w:bCs/>
          <w:szCs w:val="22"/>
        </w:rPr>
        <w:lastRenderedPageBreak/>
        <w:t>Deferred Accounting Treatment May be Appropriate For</w:t>
      </w:r>
    </w:p>
    <w:p w:rsidR="009F331E" w:rsidRPr="00174B96" w:rsidRDefault="007F122C" w:rsidP="007F122C">
      <w:pPr>
        <w:tabs>
          <w:tab w:val="right" w:pos="810"/>
          <w:tab w:val="left" w:pos="1440"/>
          <w:tab w:val="left" w:pos="6120"/>
          <w:tab w:val="left" w:pos="7920"/>
          <w:tab w:val="left" w:pos="8100"/>
        </w:tabs>
        <w:suppressAutoHyphens w:val="0"/>
        <w:autoSpaceDN w:val="0"/>
        <w:ind w:left="1440" w:right="-720"/>
        <w:rPr>
          <w:bCs/>
          <w:szCs w:val="22"/>
        </w:rPr>
      </w:pPr>
      <w:r w:rsidRPr="00174B96">
        <w:rPr>
          <w:bCs/>
          <w:szCs w:val="22"/>
        </w:rPr>
        <w:t>Two Unique Issues</w:t>
      </w:r>
      <w:r w:rsidR="009F331E" w:rsidRPr="00174B96">
        <w:rPr>
          <w:bCs/>
          <w:szCs w:val="22"/>
        </w:rPr>
        <w:tab/>
      </w:r>
      <w:r w:rsidR="009F331E" w:rsidRPr="00174B96">
        <w:rPr>
          <w:bCs/>
          <w:szCs w:val="22"/>
        </w:rPr>
        <w:tab/>
      </w:r>
      <w:r w:rsidR="00F44004">
        <w:rPr>
          <w:bCs/>
          <w:szCs w:val="22"/>
        </w:rPr>
        <w:t>29</w:t>
      </w:r>
    </w:p>
    <w:p w:rsidR="007F122C" w:rsidRPr="00174B96" w:rsidRDefault="007F122C" w:rsidP="007F122C">
      <w:pPr>
        <w:tabs>
          <w:tab w:val="right" w:pos="810"/>
          <w:tab w:val="left" w:pos="1440"/>
          <w:tab w:val="left" w:pos="6120"/>
          <w:tab w:val="left" w:pos="7920"/>
          <w:tab w:val="left" w:pos="8100"/>
        </w:tabs>
        <w:suppressAutoHyphens w:val="0"/>
        <w:autoSpaceDN w:val="0"/>
        <w:ind w:left="1440" w:right="-720"/>
        <w:rPr>
          <w:bCs/>
          <w:szCs w:val="22"/>
        </w:rPr>
      </w:pPr>
    </w:p>
    <w:p w:rsidR="009F331E" w:rsidRPr="00174B96" w:rsidRDefault="002434C6" w:rsidP="006A538F">
      <w:pPr>
        <w:numPr>
          <w:ilvl w:val="0"/>
          <w:numId w:val="18"/>
        </w:numPr>
        <w:tabs>
          <w:tab w:val="left" w:pos="1440"/>
        </w:tabs>
        <w:suppressAutoHyphens w:val="0"/>
        <w:autoSpaceDN w:val="0"/>
        <w:spacing w:line="360" w:lineRule="auto"/>
        <w:ind w:right="-720"/>
        <w:jc w:val="both"/>
        <w:rPr>
          <w:b/>
        </w:rPr>
      </w:pPr>
      <w:r w:rsidRPr="00174B96">
        <w:rPr>
          <w:bCs/>
        </w:rPr>
        <w:t>Other Company Witnesses</w:t>
      </w:r>
      <w:r w:rsidRPr="00174B96">
        <w:rPr>
          <w:bCs/>
        </w:rPr>
        <w:tab/>
      </w:r>
      <w:r w:rsidRPr="00174B96">
        <w:rPr>
          <w:bCs/>
        </w:rPr>
        <w:tab/>
      </w:r>
      <w:r w:rsidRPr="00174B96">
        <w:rPr>
          <w:bCs/>
        </w:rPr>
        <w:tab/>
      </w:r>
      <w:r w:rsidRPr="00174B96">
        <w:rPr>
          <w:bCs/>
        </w:rPr>
        <w:tab/>
      </w:r>
      <w:r w:rsidRPr="00174B96">
        <w:rPr>
          <w:bCs/>
        </w:rPr>
        <w:tab/>
      </w:r>
      <w:r w:rsidRPr="00174B96">
        <w:rPr>
          <w:bCs/>
        </w:rPr>
        <w:tab/>
      </w:r>
      <w:r w:rsidR="00DC2E56">
        <w:rPr>
          <w:bCs/>
        </w:rPr>
        <w:t>4</w:t>
      </w:r>
      <w:r w:rsidR="00F44004">
        <w:rPr>
          <w:bCs/>
        </w:rPr>
        <w:t>5</w:t>
      </w:r>
    </w:p>
    <w:p w:rsidR="00174B96" w:rsidRPr="00174B96" w:rsidRDefault="00174B96" w:rsidP="00174B96">
      <w:pPr>
        <w:tabs>
          <w:tab w:val="left" w:pos="1440"/>
        </w:tabs>
        <w:suppressAutoHyphens w:val="0"/>
        <w:autoSpaceDN w:val="0"/>
        <w:spacing w:line="360" w:lineRule="auto"/>
        <w:ind w:left="1440" w:right="-720"/>
        <w:jc w:val="both"/>
        <w:rPr>
          <w:rStyle w:val="T11"/>
        </w:rPr>
      </w:pPr>
    </w:p>
    <w:p w:rsidR="00F631B1" w:rsidRPr="009A65B2" w:rsidRDefault="00F631B1" w:rsidP="00F631B1">
      <w:pPr>
        <w:pStyle w:val="P106"/>
        <w:jc w:val="both"/>
        <w:rPr>
          <w:rStyle w:val="T11"/>
          <w:rFonts w:ascii="Times New Roman" w:hAnsi="Times New Roman" w:cs="Times New Roman"/>
          <w:szCs w:val="24"/>
        </w:rPr>
      </w:pPr>
      <w:r w:rsidRPr="009A65B2">
        <w:rPr>
          <w:rStyle w:val="T11"/>
          <w:rFonts w:ascii="Times New Roman" w:hAnsi="Times New Roman" w:cs="Times New Roman"/>
          <w:szCs w:val="24"/>
        </w:rPr>
        <w:t>Q.</w:t>
      </w:r>
      <w:r w:rsidRPr="009A65B2">
        <w:rPr>
          <w:rStyle w:val="T11"/>
          <w:rFonts w:ascii="Times New Roman" w:hAnsi="Times New Roman" w:cs="Times New Roman"/>
          <w:szCs w:val="24"/>
        </w:rPr>
        <w:tab/>
        <w:t>Are you sponso</w:t>
      </w:r>
      <w:r>
        <w:rPr>
          <w:rStyle w:val="T11"/>
          <w:rFonts w:ascii="Times New Roman" w:hAnsi="Times New Roman" w:cs="Times New Roman"/>
          <w:szCs w:val="24"/>
        </w:rPr>
        <w:t>ring any exhibits with</w:t>
      </w:r>
      <w:r w:rsidRPr="009A65B2">
        <w:rPr>
          <w:rStyle w:val="T11"/>
          <w:rFonts w:ascii="Times New Roman" w:hAnsi="Times New Roman" w:cs="Times New Roman"/>
          <w:szCs w:val="24"/>
        </w:rPr>
        <w:t xml:space="preserve"> your testimony?</w:t>
      </w:r>
    </w:p>
    <w:p w:rsidR="00CC1B35" w:rsidRDefault="00F631B1" w:rsidP="00F631B1">
      <w:pPr>
        <w:pStyle w:val="P106"/>
        <w:jc w:val="both"/>
        <w:rPr>
          <w:rFonts w:ascii="Times New Roman" w:hAnsi="Times New Roman" w:cs="Times New Roman"/>
          <w:szCs w:val="24"/>
        </w:rPr>
      </w:pPr>
      <w:r w:rsidRPr="009A65B2">
        <w:rPr>
          <w:rFonts w:ascii="Times New Roman" w:hAnsi="Times New Roman" w:cs="Times New Roman"/>
          <w:szCs w:val="24"/>
        </w:rPr>
        <w:t>A.</w:t>
      </w:r>
      <w:r w:rsidRPr="009A65B2">
        <w:rPr>
          <w:rFonts w:ascii="Times New Roman" w:hAnsi="Times New Roman" w:cs="Times New Roman"/>
          <w:szCs w:val="24"/>
        </w:rPr>
        <w:tab/>
      </w:r>
      <w:r>
        <w:rPr>
          <w:rFonts w:ascii="Times New Roman" w:hAnsi="Times New Roman" w:cs="Times New Roman"/>
          <w:szCs w:val="24"/>
        </w:rPr>
        <w:t>No.</w:t>
      </w:r>
    </w:p>
    <w:p w:rsidR="00CA67E3" w:rsidRPr="009A65B2" w:rsidRDefault="00CA67E3" w:rsidP="00F631B1">
      <w:pPr>
        <w:pStyle w:val="P106"/>
        <w:jc w:val="both"/>
        <w:rPr>
          <w:rFonts w:ascii="Times New Roman" w:hAnsi="Times New Roman" w:cs="Times New Roman"/>
          <w:szCs w:val="24"/>
        </w:rPr>
      </w:pPr>
    </w:p>
    <w:p w:rsidR="00CB6C1E" w:rsidRPr="00F540CD" w:rsidRDefault="00CB6C1E" w:rsidP="00867849">
      <w:pPr>
        <w:pStyle w:val="Heading5"/>
        <w:numPr>
          <w:ilvl w:val="0"/>
          <w:numId w:val="0"/>
        </w:numPr>
        <w:ind w:right="-54"/>
        <w:rPr>
          <w:rStyle w:val="PageNumber"/>
          <w:u w:val="single"/>
        </w:rPr>
      </w:pPr>
      <w:r w:rsidRPr="00F540CD">
        <w:rPr>
          <w:rStyle w:val="PageNumber"/>
          <w:u w:val="single"/>
        </w:rPr>
        <w:t>I</w:t>
      </w:r>
      <w:r w:rsidR="00BD6B5B">
        <w:rPr>
          <w:rStyle w:val="PageNumber"/>
          <w:u w:val="single"/>
        </w:rPr>
        <w:t xml:space="preserve">I. CONTEXT </w:t>
      </w:r>
      <w:r w:rsidR="00A67465">
        <w:rPr>
          <w:rStyle w:val="PageNumber"/>
          <w:u w:val="single"/>
        </w:rPr>
        <w:t>TO REVIEW PROPOSALS IN THESE DOCKETS</w:t>
      </w:r>
    </w:p>
    <w:p w:rsidR="00D726C2" w:rsidRDefault="004D7E25" w:rsidP="00867849">
      <w:pPr>
        <w:pStyle w:val="BodyText"/>
        <w:tabs>
          <w:tab w:val="left" w:pos="720"/>
        </w:tabs>
        <w:spacing w:line="480" w:lineRule="auto"/>
        <w:ind w:right="-54"/>
        <w:jc w:val="both"/>
        <w:rPr>
          <w:bCs w:val="0"/>
        </w:rPr>
      </w:pPr>
      <w:r>
        <w:rPr>
          <w:bCs w:val="0"/>
        </w:rPr>
        <w:tab/>
        <w:t>Q.</w:t>
      </w:r>
      <w:r>
        <w:rPr>
          <w:bCs w:val="0"/>
        </w:rPr>
        <w:tab/>
      </w:r>
      <w:r w:rsidR="000050E8">
        <w:rPr>
          <w:bCs w:val="0"/>
        </w:rPr>
        <w:t xml:space="preserve">In response to the </w:t>
      </w:r>
      <w:r w:rsidR="00A67465">
        <w:rPr>
          <w:bCs w:val="0"/>
        </w:rPr>
        <w:t>testimony of Staff and other parties in this case, do you have any opening comments regarding the context in which the Commission should consider the revenue adjustment proposals presented by the parties?</w:t>
      </w:r>
      <w:r w:rsidR="00697E1B" w:rsidRPr="00697E1B">
        <w:rPr>
          <w:rStyle w:val="FootnoteReference"/>
          <w:b w:val="0"/>
          <w:bCs w:val="0"/>
        </w:rPr>
        <w:t xml:space="preserve"> </w:t>
      </w:r>
      <w:r w:rsidR="00697E1B">
        <w:rPr>
          <w:rStyle w:val="FootnoteReference"/>
          <w:b w:val="0"/>
          <w:bCs w:val="0"/>
        </w:rPr>
        <w:footnoteReference w:id="3"/>
      </w:r>
    </w:p>
    <w:p w:rsidR="000157BE" w:rsidRDefault="00D726C2" w:rsidP="00867849">
      <w:pPr>
        <w:pStyle w:val="BodyText"/>
        <w:tabs>
          <w:tab w:val="left" w:pos="720"/>
        </w:tabs>
        <w:spacing w:line="480" w:lineRule="auto"/>
        <w:ind w:right="-54"/>
        <w:jc w:val="both"/>
        <w:rPr>
          <w:b w:val="0"/>
          <w:bCs w:val="0"/>
        </w:rPr>
      </w:pPr>
      <w:r w:rsidRPr="00177BC9">
        <w:rPr>
          <w:b w:val="0"/>
          <w:bCs w:val="0"/>
        </w:rPr>
        <w:tab/>
        <w:t>A.</w:t>
      </w:r>
      <w:r w:rsidRPr="00177BC9">
        <w:rPr>
          <w:b w:val="0"/>
          <w:bCs w:val="0"/>
        </w:rPr>
        <w:tab/>
      </w:r>
      <w:r w:rsidR="002456E8">
        <w:rPr>
          <w:b w:val="0"/>
          <w:bCs w:val="0"/>
        </w:rPr>
        <w:t xml:space="preserve">Yes. </w:t>
      </w:r>
      <w:r w:rsidR="00A70BF0">
        <w:rPr>
          <w:b w:val="0"/>
          <w:bCs w:val="0"/>
        </w:rPr>
        <w:t xml:space="preserve"> I would like to </w:t>
      </w:r>
      <w:r w:rsidR="000157BE">
        <w:rPr>
          <w:b w:val="0"/>
          <w:bCs w:val="0"/>
        </w:rPr>
        <w:t xml:space="preserve">emphasize the importance of the context in which </w:t>
      </w:r>
      <w:r w:rsidR="00A67465">
        <w:rPr>
          <w:b w:val="0"/>
          <w:bCs w:val="0"/>
        </w:rPr>
        <w:t>the Commission should view the revenue adjustment proposals that have been presented</w:t>
      </w:r>
      <w:r w:rsidR="005D1A21">
        <w:rPr>
          <w:b w:val="0"/>
          <w:bCs w:val="0"/>
        </w:rPr>
        <w:t>.</w:t>
      </w:r>
      <w:r w:rsidR="00342DE8">
        <w:rPr>
          <w:b w:val="0"/>
          <w:bCs w:val="0"/>
        </w:rPr>
        <w:t xml:space="preserve">  In </w:t>
      </w:r>
      <w:r w:rsidR="00697E1B">
        <w:rPr>
          <w:b w:val="0"/>
          <w:bCs w:val="0"/>
        </w:rPr>
        <w:t>this case</w:t>
      </w:r>
      <w:r w:rsidR="000157BE">
        <w:rPr>
          <w:b w:val="0"/>
          <w:bCs w:val="0"/>
        </w:rPr>
        <w:t xml:space="preserve"> I believe all participants would agree that the overarching objective, with regard to the electric and</w:t>
      </w:r>
      <w:r w:rsidR="005D1A21">
        <w:rPr>
          <w:b w:val="0"/>
          <w:bCs w:val="0"/>
        </w:rPr>
        <w:t xml:space="preserve"> natural gas revenue requirements, </w:t>
      </w:r>
      <w:r w:rsidR="002456E8">
        <w:rPr>
          <w:b w:val="0"/>
          <w:bCs w:val="0"/>
        </w:rPr>
        <w:t>in its simplest form</w:t>
      </w:r>
      <w:r w:rsidR="00155375">
        <w:rPr>
          <w:b w:val="0"/>
          <w:bCs w:val="0"/>
        </w:rPr>
        <w:t>,</w:t>
      </w:r>
      <w:r w:rsidR="002456E8">
        <w:rPr>
          <w:b w:val="0"/>
          <w:bCs w:val="0"/>
        </w:rPr>
        <w:t xml:space="preserve"> </w:t>
      </w:r>
      <w:r w:rsidR="005D1A21">
        <w:rPr>
          <w:b w:val="0"/>
          <w:bCs w:val="0"/>
        </w:rPr>
        <w:t>is for the Commission to ultimately arrive at revenue adjustments that are</w:t>
      </w:r>
      <w:r w:rsidR="00697E1B">
        <w:rPr>
          <w:b w:val="0"/>
          <w:bCs w:val="0"/>
        </w:rPr>
        <w:t>:</w:t>
      </w:r>
      <w:r w:rsidR="000157BE">
        <w:rPr>
          <w:b w:val="0"/>
          <w:bCs w:val="0"/>
        </w:rPr>
        <w:t xml:space="preserve"> </w:t>
      </w:r>
      <w:r w:rsidR="005D1A21">
        <w:rPr>
          <w:b w:val="0"/>
          <w:bCs w:val="0"/>
        </w:rPr>
        <w:t xml:space="preserve">1) </w:t>
      </w:r>
      <w:r w:rsidR="000157BE">
        <w:rPr>
          <w:b w:val="0"/>
          <w:bCs w:val="0"/>
        </w:rPr>
        <w:t>fair to customers and</w:t>
      </w:r>
      <w:r w:rsidR="00697E1B">
        <w:rPr>
          <w:b w:val="0"/>
          <w:bCs w:val="0"/>
        </w:rPr>
        <w:t>,</w:t>
      </w:r>
      <w:r w:rsidR="000157BE">
        <w:rPr>
          <w:b w:val="0"/>
          <w:bCs w:val="0"/>
        </w:rPr>
        <w:t xml:space="preserve"> </w:t>
      </w:r>
      <w:r w:rsidR="005D1A21">
        <w:rPr>
          <w:b w:val="0"/>
          <w:bCs w:val="0"/>
        </w:rPr>
        <w:t xml:space="preserve">2) </w:t>
      </w:r>
      <w:r w:rsidR="008C0A5F">
        <w:rPr>
          <w:b w:val="0"/>
          <w:bCs w:val="0"/>
        </w:rPr>
        <w:t>fair to Avista.</w:t>
      </w:r>
    </w:p>
    <w:p w:rsidR="008D5C7C" w:rsidRDefault="000157BE" w:rsidP="00867849">
      <w:pPr>
        <w:pStyle w:val="BodyText"/>
        <w:tabs>
          <w:tab w:val="left" w:pos="720"/>
        </w:tabs>
        <w:spacing w:line="480" w:lineRule="auto"/>
        <w:ind w:right="-54"/>
        <w:jc w:val="both"/>
        <w:rPr>
          <w:b w:val="0"/>
          <w:bCs w:val="0"/>
        </w:rPr>
      </w:pPr>
      <w:r>
        <w:rPr>
          <w:b w:val="0"/>
          <w:bCs w:val="0"/>
        </w:rPr>
        <w:tab/>
        <w:t xml:space="preserve">Although Avista and other parties have employed a number of </w:t>
      </w:r>
      <w:r w:rsidR="005D1A21">
        <w:rPr>
          <w:b w:val="0"/>
          <w:bCs w:val="0"/>
        </w:rPr>
        <w:t xml:space="preserve">revenue requirement methods and models, </w:t>
      </w:r>
      <w:r w:rsidR="00AE1877">
        <w:rPr>
          <w:b w:val="0"/>
          <w:bCs w:val="0"/>
        </w:rPr>
        <w:t>we all know that</w:t>
      </w:r>
      <w:r w:rsidR="00024902">
        <w:rPr>
          <w:b w:val="0"/>
          <w:bCs w:val="0"/>
        </w:rPr>
        <w:t xml:space="preserve"> adjustments to the</w:t>
      </w:r>
      <w:r w:rsidR="00AE1877">
        <w:rPr>
          <w:b w:val="0"/>
          <w:bCs w:val="0"/>
        </w:rPr>
        <w:t xml:space="preserve"> </w:t>
      </w:r>
      <w:r w:rsidR="00596C40">
        <w:rPr>
          <w:b w:val="0"/>
          <w:bCs w:val="0"/>
        </w:rPr>
        <w:t xml:space="preserve">inputs to the models can be made to achieve a broad range of </w:t>
      </w:r>
      <w:r w:rsidR="00200639">
        <w:rPr>
          <w:b w:val="0"/>
          <w:bCs w:val="0"/>
        </w:rPr>
        <w:t xml:space="preserve">end-result </w:t>
      </w:r>
      <w:r w:rsidR="00596C40">
        <w:rPr>
          <w:b w:val="0"/>
          <w:bCs w:val="0"/>
        </w:rPr>
        <w:t xml:space="preserve">outcomes.  </w:t>
      </w:r>
      <w:r w:rsidR="00096649">
        <w:rPr>
          <w:b w:val="0"/>
          <w:bCs w:val="0"/>
        </w:rPr>
        <w:t>As an</w:t>
      </w:r>
      <w:r w:rsidR="00024902">
        <w:rPr>
          <w:b w:val="0"/>
          <w:bCs w:val="0"/>
        </w:rPr>
        <w:t xml:space="preserve"> example</w:t>
      </w:r>
      <w:r w:rsidR="003E1D2C">
        <w:rPr>
          <w:b w:val="0"/>
          <w:bCs w:val="0"/>
        </w:rPr>
        <w:t xml:space="preserve">, </w:t>
      </w:r>
      <w:r w:rsidR="005C7BE8">
        <w:rPr>
          <w:b w:val="0"/>
          <w:bCs w:val="0"/>
        </w:rPr>
        <w:t xml:space="preserve">ICNU’s attrition analysis </w:t>
      </w:r>
      <w:r w:rsidR="003E1D2C" w:rsidRPr="00AC65A7">
        <w:rPr>
          <w:b w:val="0"/>
          <w:bCs w:val="0"/>
        </w:rPr>
        <w:t xml:space="preserve">presented in this case </w:t>
      </w:r>
      <w:r w:rsidR="005C7BE8" w:rsidRPr="00AC65A7">
        <w:rPr>
          <w:b w:val="0"/>
          <w:bCs w:val="0"/>
        </w:rPr>
        <w:t xml:space="preserve">produces an electric revenue </w:t>
      </w:r>
      <w:r w:rsidR="005C7BE8" w:rsidRPr="00AC65A7">
        <w:rPr>
          <w:b w:val="0"/>
          <w:bCs w:val="0"/>
          <w:u w:val="single"/>
        </w:rPr>
        <w:t>decrease of $3.8 million</w:t>
      </w:r>
      <w:r w:rsidR="005C7BE8" w:rsidRPr="00AC65A7">
        <w:rPr>
          <w:b w:val="0"/>
          <w:bCs w:val="0"/>
        </w:rPr>
        <w:t>,</w:t>
      </w:r>
      <w:r w:rsidR="00DC7448" w:rsidRPr="00DC7448">
        <w:rPr>
          <w:rStyle w:val="FootnoteReference"/>
          <w:b w:val="0"/>
          <w:bCs w:val="0"/>
        </w:rPr>
        <w:footnoteReference w:id="4"/>
      </w:r>
      <w:r w:rsidR="005C7BE8" w:rsidRPr="00AC65A7">
        <w:rPr>
          <w:b w:val="0"/>
          <w:bCs w:val="0"/>
        </w:rPr>
        <w:t xml:space="preserve"> as compared to </w:t>
      </w:r>
      <w:r w:rsidR="005C7BE8" w:rsidRPr="00AC65A7">
        <w:rPr>
          <w:b w:val="0"/>
          <w:bCs w:val="0"/>
        </w:rPr>
        <w:lastRenderedPageBreak/>
        <w:t xml:space="preserve">Avista’s proposed electric revenue </w:t>
      </w:r>
      <w:r w:rsidR="005C7BE8" w:rsidRPr="00AC65A7">
        <w:rPr>
          <w:b w:val="0"/>
          <w:bCs w:val="0"/>
          <w:u w:val="single"/>
        </w:rPr>
        <w:t>increase of $38.6 million</w:t>
      </w:r>
      <w:r w:rsidR="003E1D2C" w:rsidRPr="00AC65A7">
        <w:rPr>
          <w:b w:val="0"/>
          <w:bCs w:val="0"/>
        </w:rPr>
        <w:t xml:space="preserve">, also based on an </w:t>
      </w:r>
      <w:r w:rsidR="00BC3073">
        <w:rPr>
          <w:b w:val="0"/>
          <w:bCs w:val="0"/>
        </w:rPr>
        <w:t>A</w:t>
      </w:r>
      <w:r w:rsidR="003E1D2C" w:rsidRPr="00AC65A7">
        <w:rPr>
          <w:b w:val="0"/>
          <w:bCs w:val="0"/>
        </w:rPr>
        <w:t xml:space="preserve">ttrition </w:t>
      </w:r>
      <w:r w:rsidR="00BC3073">
        <w:rPr>
          <w:b w:val="0"/>
          <w:bCs w:val="0"/>
        </w:rPr>
        <w:t>S</w:t>
      </w:r>
      <w:r w:rsidR="003E1D2C" w:rsidRPr="00AC65A7">
        <w:rPr>
          <w:b w:val="0"/>
          <w:bCs w:val="0"/>
        </w:rPr>
        <w:t xml:space="preserve">tudy.  This is a difference of $42.4 million.  </w:t>
      </w:r>
    </w:p>
    <w:p w:rsidR="000157BE" w:rsidRDefault="008D5C7C" w:rsidP="00867849">
      <w:pPr>
        <w:pStyle w:val="BodyText"/>
        <w:tabs>
          <w:tab w:val="left" w:pos="720"/>
        </w:tabs>
        <w:spacing w:line="480" w:lineRule="auto"/>
        <w:ind w:right="-54"/>
        <w:jc w:val="both"/>
        <w:rPr>
          <w:b w:val="0"/>
          <w:bCs w:val="0"/>
        </w:rPr>
      </w:pPr>
      <w:r>
        <w:rPr>
          <w:b w:val="0"/>
          <w:bCs w:val="0"/>
        </w:rPr>
        <w:tab/>
        <w:t>For illustrative purposes, and using authorized results from the Company’s 2015 general rate case, t</w:t>
      </w:r>
      <w:r w:rsidR="003E1D2C" w:rsidRPr="00AC65A7">
        <w:rPr>
          <w:b w:val="0"/>
          <w:bCs w:val="0"/>
        </w:rPr>
        <w:t>en basis points (10 BPS) of Avista’s return on equity (ROE) for its Washington electric operations</w:t>
      </w:r>
      <w:r w:rsidR="00FE081C" w:rsidRPr="00AC65A7">
        <w:rPr>
          <w:b w:val="0"/>
          <w:bCs w:val="0"/>
        </w:rPr>
        <w:t xml:space="preserve"> is approximately $</w:t>
      </w:r>
      <w:r w:rsidR="007C6ECA" w:rsidRPr="00AC65A7">
        <w:rPr>
          <w:b w:val="0"/>
          <w:bCs w:val="0"/>
        </w:rPr>
        <w:t>1.</w:t>
      </w:r>
      <w:r w:rsidR="00AC65A7" w:rsidRPr="00AC65A7">
        <w:rPr>
          <w:b w:val="0"/>
          <w:bCs w:val="0"/>
        </w:rPr>
        <w:t>0</w:t>
      </w:r>
      <w:r w:rsidR="00FE081C" w:rsidRPr="00AC65A7">
        <w:rPr>
          <w:b w:val="0"/>
          <w:bCs w:val="0"/>
        </w:rPr>
        <w:t xml:space="preserve"> million, and therefore this difference of $42.4 million represents a difference of </w:t>
      </w:r>
      <w:r w:rsidR="00AC65A7" w:rsidRPr="00AC65A7">
        <w:rPr>
          <w:b w:val="0"/>
          <w:bCs w:val="0"/>
        </w:rPr>
        <w:t>420</w:t>
      </w:r>
      <w:r w:rsidR="00FE081C" w:rsidRPr="00AC65A7">
        <w:rPr>
          <w:b w:val="0"/>
          <w:bCs w:val="0"/>
        </w:rPr>
        <w:t xml:space="preserve"> BPS, or </w:t>
      </w:r>
      <w:r w:rsidR="00AC65A7" w:rsidRPr="00AC65A7">
        <w:rPr>
          <w:b w:val="0"/>
          <w:bCs w:val="0"/>
        </w:rPr>
        <w:t>4.2</w:t>
      </w:r>
      <w:r w:rsidR="00FE081C" w:rsidRPr="00AC65A7">
        <w:rPr>
          <w:b w:val="0"/>
          <w:bCs w:val="0"/>
        </w:rPr>
        <w:t>% in ROE.</w:t>
      </w:r>
      <w:r w:rsidR="003E1D2C" w:rsidRPr="00AC65A7">
        <w:rPr>
          <w:b w:val="0"/>
          <w:bCs w:val="0"/>
        </w:rPr>
        <w:t xml:space="preserve">  </w:t>
      </w:r>
      <w:r>
        <w:rPr>
          <w:b w:val="0"/>
          <w:bCs w:val="0"/>
        </w:rPr>
        <w:t>I</w:t>
      </w:r>
      <w:r w:rsidR="00FE081C" w:rsidRPr="00AC65A7">
        <w:rPr>
          <w:b w:val="0"/>
          <w:bCs w:val="0"/>
        </w:rPr>
        <w:t>f the Commission were to order an elec</w:t>
      </w:r>
      <w:r w:rsidR="00C83EF4" w:rsidRPr="00AC65A7">
        <w:rPr>
          <w:b w:val="0"/>
          <w:bCs w:val="0"/>
        </w:rPr>
        <w:t>tric revenue adjustment that was</w:t>
      </w:r>
      <w:r w:rsidR="00FE081C" w:rsidRPr="00AC65A7">
        <w:rPr>
          <w:b w:val="0"/>
          <w:bCs w:val="0"/>
        </w:rPr>
        <w:t xml:space="preserve"> $42.4 million lower than what it needed to be in order for the Company to earn its currently allowed ROE of 9.5%, this difference of $42.4 million would provide Avista with an ROE </w:t>
      </w:r>
      <w:r w:rsidR="00C83EF4" w:rsidRPr="00AC65A7">
        <w:rPr>
          <w:b w:val="0"/>
          <w:bCs w:val="0"/>
        </w:rPr>
        <w:t>earnings opportunity of only 5.</w:t>
      </w:r>
      <w:r w:rsidR="00AC65A7" w:rsidRPr="00AC65A7">
        <w:rPr>
          <w:b w:val="0"/>
          <w:bCs w:val="0"/>
        </w:rPr>
        <w:t>3</w:t>
      </w:r>
      <w:r w:rsidR="00FE081C" w:rsidRPr="00AC65A7">
        <w:rPr>
          <w:b w:val="0"/>
          <w:bCs w:val="0"/>
        </w:rPr>
        <w:t>%.</w:t>
      </w:r>
      <w:r w:rsidR="006804C9">
        <w:rPr>
          <w:rStyle w:val="FootnoteReference"/>
          <w:b w:val="0"/>
          <w:bCs w:val="0"/>
        </w:rPr>
        <w:footnoteReference w:id="5"/>
      </w:r>
      <w:r w:rsidR="004047D5">
        <w:rPr>
          <w:b w:val="0"/>
          <w:bCs w:val="0"/>
        </w:rPr>
        <w:t xml:space="preserve">  A </w:t>
      </w:r>
      <w:r w:rsidR="004047D5" w:rsidRPr="00096649">
        <w:rPr>
          <w:b w:val="0"/>
          <w:bCs w:val="0"/>
          <w:u w:val="single"/>
        </w:rPr>
        <w:t>mechanistic application of inputs</w:t>
      </w:r>
      <w:r w:rsidR="004047D5">
        <w:rPr>
          <w:b w:val="0"/>
          <w:bCs w:val="0"/>
        </w:rPr>
        <w:t xml:space="preserve"> to a model along with logical arguments that, </w:t>
      </w:r>
      <w:r w:rsidR="004047D5" w:rsidRPr="006F15B3">
        <w:rPr>
          <w:b w:val="0"/>
          <w:bCs w:val="0"/>
          <w:u w:val="single"/>
        </w:rPr>
        <w:t>on the surface</w:t>
      </w:r>
      <w:r w:rsidR="004047D5" w:rsidRPr="005552AA">
        <w:rPr>
          <w:b w:val="0"/>
          <w:bCs w:val="0"/>
        </w:rPr>
        <w:t>,</w:t>
      </w:r>
      <w:r w:rsidR="004047D5" w:rsidRPr="00C83EF4">
        <w:rPr>
          <w:b w:val="0"/>
          <w:bCs w:val="0"/>
        </w:rPr>
        <w:t xml:space="preserve"> </w:t>
      </w:r>
      <w:r w:rsidR="004047D5" w:rsidRPr="000B5B38">
        <w:rPr>
          <w:b w:val="0"/>
          <w:bCs w:val="0"/>
        </w:rPr>
        <w:t>may appear</w:t>
      </w:r>
      <w:r w:rsidR="004047D5">
        <w:rPr>
          <w:b w:val="0"/>
          <w:bCs w:val="0"/>
        </w:rPr>
        <w:t xml:space="preserve"> to be</w:t>
      </w:r>
      <w:r w:rsidR="004047D5" w:rsidRPr="000B5B38">
        <w:rPr>
          <w:b w:val="0"/>
          <w:bCs w:val="0"/>
        </w:rPr>
        <w:t xml:space="preserve"> reasonable</w:t>
      </w:r>
      <w:r w:rsidR="004047D5">
        <w:rPr>
          <w:b w:val="0"/>
          <w:bCs w:val="0"/>
        </w:rPr>
        <w:t xml:space="preserve">, will not necessarily produce reasonable end results.  </w:t>
      </w:r>
    </w:p>
    <w:p w:rsidR="00BD1608" w:rsidRDefault="00F92661" w:rsidP="00867849">
      <w:pPr>
        <w:pStyle w:val="BodyText"/>
        <w:tabs>
          <w:tab w:val="left" w:pos="720"/>
        </w:tabs>
        <w:spacing w:line="480" w:lineRule="auto"/>
        <w:ind w:right="-54"/>
        <w:jc w:val="both"/>
        <w:rPr>
          <w:b w:val="0"/>
          <w:bCs w:val="0"/>
        </w:rPr>
      </w:pPr>
      <w:r>
        <w:rPr>
          <w:b w:val="0"/>
          <w:bCs w:val="0"/>
        </w:rPr>
        <w:tab/>
        <w:t>As this Commission has done in the past, i</w:t>
      </w:r>
      <w:r w:rsidR="00200639">
        <w:rPr>
          <w:b w:val="0"/>
          <w:bCs w:val="0"/>
        </w:rPr>
        <w:t xml:space="preserve">t is critically important that all available evidence be considered in the </w:t>
      </w:r>
      <w:r w:rsidR="00200639" w:rsidRPr="00F92661">
        <w:rPr>
          <w:b w:val="0"/>
          <w:bCs w:val="0"/>
          <w:u w:val="single"/>
        </w:rPr>
        <w:t>determination of the end result</w:t>
      </w:r>
      <w:r w:rsidR="00200639">
        <w:rPr>
          <w:b w:val="0"/>
          <w:bCs w:val="0"/>
        </w:rPr>
        <w:t xml:space="preserve">, </w:t>
      </w:r>
      <w:r w:rsidR="006F15B3">
        <w:rPr>
          <w:b w:val="0"/>
          <w:bCs w:val="0"/>
        </w:rPr>
        <w:t>including</w:t>
      </w:r>
      <w:r>
        <w:rPr>
          <w:b w:val="0"/>
          <w:bCs w:val="0"/>
        </w:rPr>
        <w:t xml:space="preserve"> a careful assessment that the </w:t>
      </w:r>
      <w:r w:rsidRPr="00713518">
        <w:rPr>
          <w:b w:val="0"/>
          <w:bCs w:val="0"/>
          <w:u w:val="single"/>
        </w:rPr>
        <w:t>application of that end result during the rate period</w:t>
      </w:r>
      <w:r>
        <w:rPr>
          <w:b w:val="0"/>
          <w:bCs w:val="0"/>
        </w:rPr>
        <w:t xml:space="preserve"> will provide an outcome that will be fair to both customers and the Company.</w:t>
      </w:r>
      <w:r w:rsidR="00713518">
        <w:rPr>
          <w:b w:val="0"/>
          <w:bCs w:val="0"/>
        </w:rPr>
        <w:t xml:space="preserve">  </w:t>
      </w:r>
      <w:r w:rsidR="00BB4687">
        <w:rPr>
          <w:b w:val="0"/>
          <w:bCs w:val="0"/>
        </w:rPr>
        <w:t>The</w:t>
      </w:r>
      <w:r w:rsidR="00210E14">
        <w:rPr>
          <w:b w:val="0"/>
          <w:bCs w:val="0"/>
        </w:rPr>
        <w:t xml:space="preserve"> end results of all modeling must be </w:t>
      </w:r>
      <w:r w:rsidR="00BB4687">
        <w:rPr>
          <w:b w:val="0"/>
          <w:bCs w:val="0"/>
        </w:rPr>
        <w:t xml:space="preserve">presented </w:t>
      </w:r>
      <w:r w:rsidR="00096649">
        <w:rPr>
          <w:b w:val="0"/>
          <w:bCs w:val="0"/>
        </w:rPr>
        <w:t xml:space="preserve">together </w:t>
      </w:r>
      <w:r w:rsidR="00BB4687">
        <w:rPr>
          <w:b w:val="0"/>
          <w:bCs w:val="0"/>
        </w:rPr>
        <w:t>with</w:t>
      </w:r>
      <w:r w:rsidR="00210E14">
        <w:rPr>
          <w:b w:val="0"/>
          <w:bCs w:val="0"/>
        </w:rPr>
        <w:t xml:space="preserve"> all other available evidence</w:t>
      </w:r>
      <w:r w:rsidR="007F38FA">
        <w:rPr>
          <w:b w:val="0"/>
          <w:bCs w:val="0"/>
        </w:rPr>
        <w:t xml:space="preserve">; which taken together should provide a </w:t>
      </w:r>
      <w:r w:rsidR="00C83EF4">
        <w:rPr>
          <w:b w:val="0"/>
          <w:bCs w:val="0"/>
        </w:rPr>
        <w:t xml:space="preserve">reasonably </w:t>
      </w:r>
      <w:r w:rsidR="007F38FA">
        <w:rPr>
          <w:b w:val="0"/>
          <w:bCs w:val="0"/>
        </w:rPr>
        <w:t>high level of confidence that the end</w:t>
      </w:r>
      <w:r w:rsidR="00C83EF4">
        <w:rPr>
          <w:b w:val="0"/>
          <w:bCs w:val="0"/>
        </w:rPr>
        <w:t xml:space="preserve"> result is fair f</w:t>
      </w:r>
      <w:r w:rsidR="007F38FA">
        <w:rPr>
          <w:b w:val="0"/>
          <w:bCs w:val="0"/>
        </w:rPr>
        <w:t xml:space="preserve">or both customers and the Company.  </w:t>
      </w:r>
    </w:p>
    <w:p w:rsidR="00A9748B" w:rsidRDefault="007F38FA" w:rsidP="00867849">
      <w:pPr>
        <w:pStyle w:val="BodyText"/>
        <w:tabs>
          <w:tab w:val="left" w:pos="720"/>
        </w:tabs>
        <w:spacing w:line="480" w:lineRule="auto"/>
        <w:ind w:right="-54"/>
        <w:jc w:val="both"/>
        <w:rPr>
          <w:b w:val="0"/>
          <w:bCs w:val="0"/>
        </w:rPr>
      </w:pPr>
      <w:r>
        <w:rPr>
          <w:b w:val="0"/>
          <w:bCs w:val="0"/>
        </w:rPr>
        <w:tab/>
        <w:t xml:space="preserve">Avista will demonstrate in its rebuttal testimony that ICNU and NWIGU, in particular, </w:t>
      </w:r>
      <w:r w:rsidR="00A9748B">
        <w:rPr>
          <w:b w:val="0"/>
          <w:bCs w:val="0"/>
        </w:rPr>
        <w:t xml:space="preserve">have developed revenue adjustment </w:t>
      </w:r>
      <w:r>
        <w:rPr>
          <w:b w:val="0"/>
          <w:bCs w:val="0"/>
        </w:rPr>
        <w:t>proposals that do not align with</w:t>
      </w:r>
      <w:r w:rsidR="00C26200">
        <w:rPr>
          <w:b w:val="0"/>
          <w:bCs w:val="0"/>
        </w:rPr>
        <w:t>, nor are</w:t>
      </w:r>
      <w:r w:rsidR="00F744A1">
        <w:rPr>
          <w:b w:val="0"/>
          <w:bCs w:val="0"/>
        </w:rPr>
        <w:t xml:space="preserve"> supported by,</w:t>
      </w:r>
      <w:r>
        <w:rPr>
          <w:b w:val="0"/>
          <w:bCs w:val="0"/>
        </w:rPr>
        <w:t xml:space="preserve"> other evidence </w:t>
      </w:r>
      <w:r w:rsidR="00F744A1">
        <w:rPr>
          <w:b w:val="0"/>
          <w:bCs w:val="0"/>
        </w:rPr>
        <w:t xml:space="preserve">in this case.  </w:t>
      </w:r>
      <w:r w:rsidR="00631578">
        <w:rPr>
          <w:b w:val="0"/>
          <w:bCs w:val="0"/>
        </w:rPr>
        <w:t xml:space="preserve">Their proposals are simply not reasonable and should be dismissed.  </w:t>
      </w:r>
      <w:r w:rsidR="00A9748B">
        <w:rPr>
          <w:b w:val="0"/>
          <w:bCs w:val="0"/>
        </w:rPr>
        <w:t xml:space="preserve">Public Counsel </w:t>
      </w:r>
      <w:r>
        <w:rPr>
          <w:b w:val="0"/>
          <w:bCs w:val="0"/>
        </w:rPr>
        <w:t>in its responsive testimony filed on August 17</w:t>
      </w:r>
      <w:r w:rsidR="00433A17">
        <w:rPr>
          <w:b w:val="0"/>
          <w:bCs w:val="0"/>
        </w:rPr>
        <w:t>, 2016</w:t>
      </w:r>
      <w:r>
        <w:rPr>
          <w:b w:val="0"/>
          <w:bCs w:val="0"/>
        </w:rPr>
        <w:t xml:space="preserve"> </w:t>
      </w:r>
      <w:r w:rsidR="006F15B3">
        <w:rPr>
          <w:b w:val="0"/>
          <w:bCs w:val="0"/>
        </w:rPr>
        <w:t xml:space="preserve">did not even include </w:t>
      </w:r>
      <w:r>
        <w:rPr>
          <w:b w:val="0"/>
          <w:bCs w:val="0"/>
        </w:rPr>
        <w:t>electric or natural gas</w:t>
      </w:r>
      <w:r w:rsidR="004047D5">
        <w:rPr>
          <w:b w:val="0"/>
          <w:bCs w:val="0"/>
        </w:rPr>
        <w:t xml:space="preserve"> revenue requirement</w:t>
      </w:r>
      <w:r>
        <w:rPr>
          <w:b w:val="0"/>
          <w:bCs w:val="0"/>
        </w:rPr>
        <w:t xml:space="preserve"> proposals for the Commission’s consideration.</w:t>
      </w:r>
    </w:p>
    <w:p w:rsidR="00C26200" w:rsidRDefault="00210E14" w:rsidP="00867849">
      <w:pPr>
        <w:pStyle w:val="BodyText"/>
        <w:tabs>
          <w:tab w:val="left" w:pos="720"/>
        </w:tabs>
        <w:spacing w:line="480" w:lineRule="auto"/>
        <w:ind w:right="-54"/>
        <w:jc w:val="both"/>
        <w:rPr>
          <w:b w:val="0"/>
          <w:bCs w:val="0"/>
        </w:rPr>
      </w:pPr>
      <w:r>
        <w:rPr>
          <w:b w:val="0"/>
          <w:bCs w:val="0"/>
        </w:rPr>
        <w:lastRenderedPageBreak/>
        <w:tab/>
      </w:r>
      <w:r w:rsidR="00F9327B">
        <w:rPr>
          <w:b w:val="0"/>
          <w:bCs w:val="0"/>
        </w:rPr>
        <w:t>As the</w:t>
      </w:r>
      <w:r w:rsidR="00200639">
        <w:rPr>
          <w:b w:val="0"/>
          <w:bCs w:val="0"/>
        </w:rPr>
        <w:t xml:space="preserve"> Commission develops its decisions in this case related to</w:t>
      </w:r>
      <w:r w:rsidR="00F9327B">
        <w:rPr>
          <w:b w:val="0"/>
          <w:bCs w:val="0"/>
        </w:rPr>
        <w:t xml:space="preserve"> the electric and natural gas revenue adjustments, Avista requests that the Commission consider </w:t>
      </w:r>
      <w:r w:rsidR="00B05934">
        <w:rPr>
          <w:b w:val="0"/>
          <w:bCs w:val="0"/>
        </w:rPr>
        <w:t>revenue adjustment</w:t>
      </w:r>
      <w:r w:rsidR="00F9327B">
        <w:rPr>
          <w:b w:val="0"/>
          <w:bCs w:val="0"/>
        </w:rPr>
        <w:t xml:space="preserve"> proposals within the context of the following evidence:</w:t>
      </w:r>
    </w:p>
    <w:p w:rsidR="00F9327B" w:rsidRDefault="00F75C6E" w:rsidP="003C158A">
      <w:pPr>
        <w:pStyle w:val="BodyText"/>
        <w:spacing w:line="240" w:lineRule="auto"/>
        <w:ind w:left="1080" w:hanging="720"/>
        <w:jc w:val="both"/>
        <w:rPr>
          <w:b w:val="0"/>
          <w:bCs w:val="0"/>
        </w:rPr>
      </w:pPr>
      <w:r>
        <w:rPr>
          <w:b w:val="0"/>
          <w:bCs w:val="0"/>
        </w:rPr>
        <w:t>1)</w:t>
      </w:r>
      <w:r>
        <w:rPr>
          <w:b w:val="0"/>
          <w:bCs w:val="0"/>
        </w:rPr>
        <w:tab/>
      </w:r>
      <w:r w:rsidR="00F67A7C" w:rsidRPr="00F67A7C">
        <w:rPr>
          <w:bCs w:val="0"/>
          <w:u w:val="single"/>
        </w:rPr>
        <w:t>Proposals of Non-Company Parties</w:t>
      </w:r>
      <w:r w:rsidR="00FD3BFF">
        <w:rPr>
          <w:bCs w:val="0"/>
          <w:u w:val="single"/>
        </w:rPr>
        <w:t xml:space="preserve"> </w:t>
      </w:r>
      <w:r w:rsidR="002B1671">
        <w:rPr>
          <w:bCs w:val="0"/>
          <w:u w:val="single"/>
        </w:rPr>
        <w:t xml:space="preserve">in Prior Rate Cases </w:t>
      </w:r>
      <w:r w:rsidR="00FD3BFF">
        <w:rPr>
          <w:bCs w:val="0"/>
          <w:u w:val="single"/>
        </w:rPr>
        <w:t>Have Been Demonstrated to be Unreasonable</w:t>
      </w:r>
      <w:r w:rsidR="00F67A7C" w:rsidRPr="00F67A7C">
        <w:rPr>
          <w:bCs w:val="0"/>
          <w:u w:val="single"/>
        </w:rPr>
        <w:t>:</w:t>
      </w:r>
      <w:r w:rsidR="00F67A7C">
        <w:rPr>
          <w:b w:val="0"/>
          <w:bCs w:val="0"/>
        </w:rPr>
        <w:t xml:space="preserve">  </w:t>
      </w:r>
      <w:r>
        <w:rPr>
          <w:b w:val="0"/>
          <w:bCs w:val="0"/>
        </w:rPr>
        <w:t xml:space="preserve">ICNU and </w:t>
      </w:r>
      <w:r w:rsidR="00F9327B">
        <w:rPr>
          <w:b w:val="0"/>
          <w:bCs w:val="0"/>
        </w:rPr>
        <w:t>Public Counsel proposals</w:t>
      </w:r>
      <w:r w:rsidR="00D25724">
        <w:rPr>
          <w:b w:val="0"/>
          <w:bCs w:val="0"/>
        </w:rPr>
        <w:t>, in particular,</w:t>
      </w:r>
      <w:r w:rsidR="00F9327B">
        <w:rPr>
          <w:b w:val="0"/>
          <w:bCs w:val="0"/>
        </w:rPr>
        <w:t xml:space="preserve"> in recent </w:t>
      </w:r>
      <w:r w:rsidR="005F63C5">
        <w:rPr>
          <w:b w:val="0"/>
          <w:bCs w:val="0"/>
        </w:rPr>
        <w:t xml:space="preserve">general rate </w:t>
      </w:r>
      <w:r w:rsidR="00F9327B">
        <w:rPr>
          <w:b w:val="0"/>
          <w:bCs w:val="0"/>
        </w:rPr>
        <w:t>cases</w:t>
      </w:r>
      <w:r w:rsidR="004356B8">
        <w:rPr>
          <w:b w:val="0"/>
          <w:bCs w:val="0"/>
        </w:rPr>
        <w:t xml:space="preserve"> have been dramatically </w:t>
      </w:r>
      <w:r w:rsidR="00EC4D55">
        <w:rPr>
          <w:b w:val="0"/>
          <w:bCs w:val="0"/>
        </w:rPr>
        <w:t xml:space="preserve">and consistently </w:t>
      </w:r>
      <w:r w:rsidR="004356B8">
        <w:rPr>
          <w:b w:val="0"/>
          <w:bCs w:val="0"/>
        </w:rPr>
        <w:t xml:space="preserve">below </w:t>
      </w:r>
      <w:r w:rsidR="00F9327B">
        <w:rPr>
          <w:b w:val="0"/>
          <w:bCs w:val="0"/>
        </w:rPr>
        <w:t>the end re</w:t>
      </w:r>
      <w:r w:rsidR="005F63C5">
        <w:rPr>
          <w:b w:val="0"/>
          <w:bCs w:val="0"/>
        </w:rPr>
        <w:t xml:space="preserve">sults ordered by the </w:t>
      </w:r>
      <w:r w:rsidR="00D25724">
        <w:rPr>
          <w:b w:val="0"/>
          <w:bCs w:val="0"/>
        </w:rPr>
        <w:t xml:space="preserve">Commission, </w:t>
      </w:r>
      <w:r w:rsidR="009109FA">
        <w:rPr>
          <w:b w:val="0"/>
          <w:bCs w:val="0"/>
        </w:rPr>
        <w:t xml:space="preserve">and were not reasonable based on the evidence taken as a whole in those cases.  </w:t>
      </w:r>
      <w:r w:rsidR="00BC09CA">
        <w:rPr>
          <w:b w:val="0"/>
          <w:bCs w:val="0"/>
        </w:rPr>
        <w:t>Furthermore, t</w:t>
      </w:r>
      <w:r w:rsidR="00D25724">
        <w:rPr>
          <w:b w:val="0"/>
          <w:bCs w:val="0"/>
        </w:rPr>
        <w:t>he after-the-fact resu</w:t>
      </w:r>
      <w:r w:rsidR="009109FA">
        <w:rPr>
          <w:b w:val="0"/>
          <w:bCs w:val="0"/>
        </w:rPr>
        <w:t>lts have confirmed</w:t>
      </w:r>
      <w:r w:rsidR="00D25724">
        <w:rPr>
          <w:b w:val="0"/>
          <w:bCs w:val="0"/>
        </w:rPr>
        <w:t xml:space="preserve"> that their proposals were not reasonable</w:t>
      </w:r>
      <w:r w:rsidR="004047D5">
        <w:rPr>
          <w:b w:val="0"/>
          <w:bCs w:val="0"/>
        </w:rPr>
        <w:t>, and would not have provided a reasonable opportunity for Avista to earn its authorized rate of return</w:t>
      </w:r>
      <w:r w:rsidR="00227717">
        <w:rPr>
          <w:b w:val="0"/>
          <w:bCs w:val="0"/>
        </w:rPr>
        <w:t>;</w:t>
      </w:r>
    </w:p>
    <w:p w:rsidR="005F63C5" w:rsidRDefault="005F63C5" w:rsidP="003C158A">
      <w:pPr>
        <w:pStyle w:val="BodyText"/>
        <w:spacing w:line="240" w:lineRule="auto"/>
        <w:ind w:left="1080" w:hanging="720"/>
        <w:jc w:val="both"/>
        <w:rPr>
          <w:b w:val="0"/>
          <w:bCs w:val="0"/>
        </w:rPr>
      </w:pPr>
    </w:p>
    <w:p w:rsidR="00227717" w:rsidRDefault="00F9327B" w:rsidP="003C158A">
      <w:pPr>
        <w:pStyle w:val="BodyText"/>
        <w:spacing w:line="240" w:lineRule="auto"/>
        <w:ind w:left="1080" w:hanging="720"/>
        <w:jc w:val="both"/>
        <w:rPr>
          <w:b w:val="0"/>
          <w:bCs w:val="0"/>
        </w:rPr>
      </w:pPr>
      <w:r>
        <w:rPr>
          <w:b w:val="0"/>
          <w:bCs w:val="0"/>
        </w:rPr>
        <w:t>2)</w:t>
      </w:r>
      <w:r>
        <w:rPr>
          <w:b w:val="0"/>
          <w:bCs w:val="0"/>
        </w:rPr>
        <w:tab/>
      </w:r>
      <w:r w:rsidR="00FD3BFF">
        <w:rPr>
          <w:bCs w:val="0"/>
          <w:u w:val="single"/>
        </w:rPr>
        <w:t>A</w:t>
      </w:r>
      <w:r w:rsidR="00F67A7C" w:rsidRPr="00F67A7C">
        <w:rPr>
          <w:bCs w:val="0"/>
          <w:u w:val="single"/>
        </w:rPr>
        <w:t>fter-</w:t>
      </w:r>
      <w:r w:rsidR="00433A17">
        <w:rPr>
          <w:bCs w:val="0"/>
          <w:u w:val="single"/>
        </w:rPr>
        <w:t>t</w:t>
      </w:r>
      <w:r w:rsidR="00F67A7C" w:rsidRPr="00F67A7C">
        <w:rPr>
          <w:bCs w:val="0"/>
          <w:u w:val="single"/>
        </w:rPr>
        <w:t>he-Fact Results</w:t>
      </w:r>
      <w:r w:rsidR="00FD3BFF">
        <w:rPr>
          <w:bCs w:val="0"/>
          <w:u w:val="single"/>
        </w:rPr>
        <w:t xml:space="preserve"> Confirm the Reasonableness of the Commission’s Recent </w:t>
      </w:r>
      <w:r w:rsidR="005552AA">
        <w:rPr>
          <w:bCs w:val="0"/>
          <w:u w:val="single"/>
        </w:rPr>
        <w:t xml:space="preserve">Revenue Adjustment </w:t>
      </w:r>
      <w:r w:rsidR="00FD3BFF">
        <w:rPr>
          <w:bCs w:val="0"/>
          <w:u w:val="single"/>
        </w:rPr>
        <w:t>Decisions</w:t>
      </w:r>
      <w:r w:rsidR="00F67A7C" w:rsidRPr="00F67A7C">
        <w:rPr>
          <w:bCs w:val="0"/>
          <w:u w:val="single"/>
        </w:rPr>
        <w:t>:</w:t>
      </w:r>
      <w:r w:rsidR="00F67A7C">
        <w:rPr>
          <w:b w:val="0"/>
          <w:bCs w:val="0"/>
        </w:rPr>
        <w:t xml:space="preserve">  </w:t>
      </w:r>
      <w:r w:rsidR="004356B8">
        <w:rPr>
          <w:b w:val="0"/>
          <w:bCs w:val="0"/>
        </w:rPr>
        <w:t>T</w:t>
      </w:r>
      <w:r w:rsidR="005F63C5">
        <w:rPr>
          <w:b w:val="0"/>
          <w:bCs w:val="0"/>
        </w:rPr>
        <w:t>he after-th</w:t>
      </w:r>
      <w:r w:rsidR="004356B8">
        <w:rPr>
          <w:b w:val="0"/>
          <w:bCs w:val="0"/>
        </w:rPr>
        <w:t xml:space="preserve">e-fact earned returns by Avista following the recent general rate cases </w:t>
      </w:r>
      <w:r w:rsidR="00EC4D55">
        <w:rPr>
          <w:b w:val="0"/>
          <w:bCs w:val="0"/>
        </w:rPr>
        <w:t xml:space="preserve">have </w:t>
      </w:r>
      <w:r w:rsidR="004356B8">
        <w:rPr>
          <w:b w:val="0"/>
          <w:bCs w:val="0"/>
        </w:rPr>
        <w:t>confirm</w:t>
      </w:r>
      <w:r w:rsidR="00EC4D55">
        <w:rPr>
          <w:b w:val="0"/>
          <w:bCs w:val="0"/>
        </w:rPr>
        <w:t>ed</w:t>
      </w:r>
      <w:r w:rsidR="004356B8">
        <w:rPr>
          <w:b w:val="0"/>
          <w:bCs w:val="0"/>
        </w:rPr>
        <w:t xml:space="preserve"> that the Commission’</w:t>
      </w:r>
      <w:r w:rsidR="00227717">
        <w:rPr>
          <w:b w:val="0"/>
          <w:bCs w:val="0"/>
        </w:rPr>
        <w:t>s</w:t>
      </w:r>
      <w:r w:rsidR="004356B8">
        <w:rPr>
          <w:b w:val="0"/>
          <w:bCs w:val="0"/>
        </w:rPr>
        <w:t xml:space="preserve"> revenue adjustment decisions </w:t>
      </w:r>
      <w:r w:rsidR="00227717" w:rsidRPr="00352819">
        <w:rPr>
          <w:b w:val="0"/>
          <w:bCs w:val="0"/>
        </w:rPr>
        <w:t xml:space="preserve">were </w:t>
      </w:r>
      <w:r w:rsidR="00D25724" w:rsidRPr="00352819">
        <w:rPr>
          <w:b w:val="0"/>
          <w:bCs w:val="0"/>
        </w:rPr>
        <w:t xml:space="preserve">reasonable and </w:t>
      </w:r>
      <w:r w:rsidR="00227717" w:rsidRPr="00352819">
        <w:rPr>
          <w:b w:val="0"/>
          <w:bCs w:val="0"/>
        </w:rPr>
        <w:t>fair to both customers and the Company</w:t>
      </w:r>
      <w:r w:rsidR="00227717">
        <w:rPr>
          <w:b w:val="0"/>
          <w:bCs w:val="0"/>
        </w:rPr>
        <w:t>;</w:t>
      </w:r>
    </w:p>
    <w:p w:rsidR="00F75C6E" w:rsidRDefault="00F75C6E" w:rsidP="003C158A">
      <w:pPr>
        <w:pStyle w:val="BodyText"/>
        <w:spacing w:line="240" w:lineRule="auto"/>
        <w:ind w:left="1080" w:hanging="720"/>
        <w:jc w:val="both"/>
        <w:rPr>
          <w:b w:val="0"/>
          <w:bCs w:val="0"/>
        </w:rPr>
      </w:pPr>
    </w:p>
    <w:p w:rsidR="000D5485" w:rsidRDefault="00352819" w:rsidP="003C158A">
      <w:pPr>
        <w:pStyle w:val="BodyText"/>
        <w:spacing w:line="240" w:lineRule="auto"/>
        <w:ind w:left="1080" w:hanging="720"/>
        <w:jc w:val="both"/>
        <w:rPr>
          <w:b w:val="0"/>
          <w:bCs w:val="0"/>
        </w:rPr>
      </w:pPr>
      <w:r>
        <w:rPr>
          <w:b w:val="0"/>
          <w:bCs w:val="0"/>
        </w:rPr>
        <w:t>3</w:t>
      </w:r>
      <w:r w:rsidR="000D5485">
        <w:rPr>
          <w:b w:val="0"/>
          <w:bCs w:val="0"/>
        </w:rPr>
        <w:t>)</w:t>
      </w:r>
      <w:r w:rsidR="000D5485">
        <w:rPr>
          <w:b w:val="0"/>
          <w:bCs w:val="0"/>
        </w:rPr>
        <w:tab/>
      </w:r>
      <w:r w:rsidR="00690FB8">
        <w:rPr>
          <w:bCs w:val="0"/>
          <w:u w:val="single"/>
        </w:rPr>
        <w:t xml:space="preserve">The </w:t>
      </w:r>
      <w:r w:rsidR="00323491">
        <w:rPr>
          <w:bCs w:val="0"/>
          <w:u w:val="single"/>
        </w:rPr>
        <w:t xml:space="preserve">Modified </w:t>
      </w:r>
      <w:r w:rsidR="003F09E1">
        <w:rPr>
          <w:bCs w:val="0"/>
          <w:u w:val="single"/>
        </w:rPr>
        <w:t>T</w:t>
      </w:r>
      <w:r w:rsidR="00323491">
        <w:rPr>
          <w:bCs w:val="0"/>
          <w:u w:val="single"/>
        </w:rPr>
        <w:t xml:space="preserve">est </w:t>
      </w:r>
      <w:r w:rsidR="003F09E1">
        <w:rPr>
          <w:bCs w:val="0"/>
          <w:u w:val="single"/>
        </w:rPr>
        <w:t>Y</w:t>
      </w:r>
      <w:r w:rsidR="00323491">
        <w:rPr>
          <w:bCs w:val="0"/>
          <w:u w:val="single"/>
        </w:rPr>
        <w:t xml:space="preserve">ear </w:t>
      </w:r>
      <w:r w:rsidR="003F09E1">
        <w:rPr>
          <w:bCs w:val="0"/>
          <w:u w:val="single"/>
        </w:rPr>
        <w:t>S</w:t>
      </w:r>
      <w:r w:rsidR="00323491">
        <w:rPr>
          <w:bCs w:val="0"/>
          <w:u w:val="single"/>
        </w:rPr>
        <w:t>tudy</w:t>
      </w:r>
      <w:r w:rsidR="00F67A7C" w:rsidRPr="00F67A7C">
        <w:rPr>
          <w:bCs w:val="0"/>
          <w:u w:val="single"/>
        </w:rPr>
        <w:t xml:space="preserve"> Approach </w:t>
      </w:r>
      <w:r w:rsidR="00690FB8">
        <w:rPr>
          <w:bCs w:val="0"/>
          <w:u w:val="single"/>
        </w:rPr>
        <w:t xml:space="preserve">is </w:t>
      </w:r>
      <w:r w:rsidR="00F67A7C" w:rsidRPr="00F67A7C">
        <w:rPr>
          <w:bCs w:val="0"/>
          <w:u w:val="single"/>
        </w:rPr>
        <w:t>Insufficient:</w:t>
      </w:r>
      <w:r w:rsidR="00F67A7C">
        <w:rPr>
          <w:b w:val="0"/>
          <w:bCs w:val="0"/>
        </w:rPr>
        <w:t xml:space="preserve">  </w:t>
      </w:r>
      <w:r w:rsidR="000D5485">
        <w:rPr>
          <w:b w:val="0"/>
          <w:bCs w:val="0"/>
        </w:rPr>
        <w:t xml:space="preserve">Both Avista and Staff have demonstrated </w:t>
      </w:r>
      <w:r>
        <w:rPr>
          <w:b w:val="0"/>
          <w:bCs w:val="0"/>
        </w:rPr>
        <w:t xml:space="preserve">in their filed testimony in this case </w:t>
      </w:r>
      <w:r w:rsidR="000D5485">
        <w:rPr>
          <w:b w:val="0"/>
          <w:bCs w:val="0"/>
        </w:rPr>
        <w:t xml:space="preserve">that </w:t>
      </w:r>
      <w:r w:rsidR="00AA1C71">
        <w:rPr>
          <w:b w:val="0"/>
          <w:bCs w:val="0"/>
        </w:rPr>
        <w:t xml:space="preserve">the </w:t>
      </w:r>
      <w:r w:rsidR="000D5485">
        <w:rPr>
          <w:b w:val="0"/>
          <w:bCs w:val="0"/>
        </w:rPr>
        <w:t xml:space="preserve">use of a </w:t>
      </w:r>
      <w:r w:rsidR="00B05934">
        <w:rPr>
          <w:b w:val="0"/>
          <w:bCs w:val="0"/>
        </w:rPr>
        <w:t xml:space="preserve">traditional </w:t>
      </w:r>
      <w:r w:rsidR="000D5485">
        <w:rPr>
          <w:b w:val="0"/>
          <w:bCs w:val="0"/>
        </w:rPr>
        <w:t>historical t</w:t>
      </w:r>
      <w:r w:rsidR="00B05934">
        <w:rPr>
          <w:b w:val="0"/>
          <w:bCs w:val="0"/>
        </w:rPr>
        <w:t>est period with</w:t>
      </w:r>
      <w:r w:rsidR="000D5485">
        <w:rPr>
          <w:b w:val="0"/>
          <w:bCs w:val="0"/>
        </w:rPr>
        <w:t xml:space="preserve"> limited pro forma adjustments</w:t>
      </w:r>
      <w:r w:rsidR="00564976">
        <w:rPr>
          <w:b w:val="0"/>
          <w:bCs w:val="0"/>
        </w:rPr>
        <w:t xml:space="preserve"> (</w:t>
      </w:r>
      <w:r w:rsidR="00A02010">
        <w:rPr>
          <w:b w:val="0"/>
          <w:bCs w:val="0"/>
        </w:rPr>
        <w:t>M</w:t>
      </w:r>
      <w:r w:rsidR="00564976">
        <w:rPr>
          <w:b w:val="0"/>
          <w:bCs w:val="0"/>
        </w:rPr>
        <w:t xml:space="preserve">odified </w:t>
      </w:r>
      <w:r w:rsidR="00A02010">
        <w:rPr>
          <w:b w:val="0"/>
          <w:bCs w:val="0"/>
        </w:rPr>
        <w:t>T</w:t>
      </w:r>
      <w:r w:rsidR="00564976">
        <w:rPr>
          <w:b w:val="0"/>
          <w:bCs w:val="0"/>
        </w:rPr>
        <w:t xml:space="preserve">est </w:t>
      </w:r>
      <w:r w:rsidR="00A02010">
        <w:rPr>
          <w:b w:val="0"/>
          <w:bCs w:val="0"/>
        </w:rPr>
        <w:t>Y</w:t>
      </w:r>
      <w:r w:rsidR="00564976">
        <w:rPr>
          <w:b w:val="0"/>
          <w:bCs w:val="0"/>
        </w:rPr>
        <w:t xml:space="preserve">ear </w:t>
      </w:r>
      <w:r w:rsidR="00A02010">
        <w:rPr>
          <w:b w:val="0"/>
          <w:bCs w:val="0"/>
        </w:rPr>
        <w:t>S</w:t>
      </w:r>
      <w:r w:rsidR="00564976">
        <w:rPr>
          <w:b w:val="0"/>
          <w:bCs w:val="0"/>
        </w:rPr>
        <w:t>tudy)</w:t>
      </w:r>
      <w:r w:rsidR="000D5485">
        <w:rPr>
          <w:b w:val="0"/>
          <w:bCs w:val="0"/>
        </w:rPr>
        <w:t xml:space="preserve"> will not produce sufficient revenue adjustments for the Company in this case;</w:t>
      </w:r>
    </w:p>
    <w:p w:rsidR="00B40A5A" w:rsidRDefault="00B40A5A" w:rsidP="003C158A">
      <w:pPr>
        <w:pStyle w:val="BodyText"/>
        <w:spacing w:line="240" w:lineRule="auto"/>
        <w:ind w:left="1080" w:hanging="720"/>
        <w:jc w:val="both"/>
        <w:rPr>
          <w:b w:val="0"/>
          <w:bCs w:val="0"/>
        </w:rPr>
      </w:pPr>
    </w:p>
    <w:p w:rsidR="00B40A5A" w:rsidRDefault="00352819" w:rsidP="003C158A">
      <w:pPr>
        <w:pStyle w:val="BodyText"/>
        <w:spacing w:line="240" w:lineRule="auto"/>
        <w:ind w:left="1080" w:hanging="720"/>
        <w:jc w:val="both"/>
        <w:rPr>
          <w:b w:val="0"/>
          <w:bCs w:val="0"/>
        </w:rPr>
      </w:pPr>
      <w:r>
        <w:rPr>
          <w:b w:val="0"/>
          <w:bCs w:val="0"/>
        </w:rPr>
        <w:t>4</w:t>
      </w:r>
      <w:r w:rsidR="00B40A5A">
        <w:rPr>
          <w:b w:val="0"/>
          <w:bCs w:val="0"/>
        </w:rPr>
        <w:t>)</w:t>
      </w:r>
      <w:r w:rsidR="00B40A5A">
        <w:rPr>
          <w:b w:val="0"/>
          <w:bCs w:val="0"/>
        </w:rPr>
        <w:tab/>
      </w:r>
      <w:r w:rsidR="00B40A5A" w:rsidRPr="00F67A7C">
        <w:rPr>
          <w:bCs w:val="0"/>
          <w:u w:val="single"/>
        </w:rPr>
        <w:t>No Evidence of a Self-Fulfilling Prophecy:</w:t>
      </w:r>
      <w:r w:rsidR="00B40A5A">
        <w:rPr>
          <w:b w:val="0"/>
          <w:bCs w:val="0"/>
        </w:rPr>
        <w:t xml:space="preserve">  The Commission’s </w:t>
      </w:r>
      <w:r w:rsidR="001D3FA1">
        <w:rPr>
          <w:b w:val="0"/>
          <w:bCs w:val="0"/>
        </w:rPr>
        <w:t xml:space="preserve">recent </w:t>
      </w:r>
      <w:r w:rsidR="00E90386">
        <w:rPr>
          <w:b w:val="0"/>
          <w:bCs w:val="0"/>
        </w:rPr>
        <w:t>approval of</w:t>
      </w:r>
      <w:r w:rsidR="00B40A5A">
        <w:rPr>
          <w:b w:val="0"/>
          <w:bCs w:val="0"/>
        </w:rPr>
        <w:t xml:space="preserve"> attrition adjustment</w:t>
      </w:r>
      <w:r w:rsidR="00E90386">
        <w:rPr>
          <w:b w:val="0"/>
          <w:bCs w:val="0"/>
        </w:rPr>
        <w:t>s</w:t>
      </w:r>
      <w:r w:rsidR="00B40A5A">
        <w:rPr>
          <w:b w:val="0"/>
          <w:bCs w:val="0"/>
        </w:rPr>
        <w:t xml:space="preserve"> has not resulted in, nor has it created, a “self-ful</w:t>
      </w:r>
      <w:r>
        <w:rPr>
          <w:b w:val="0"/>
          <w:bCs w:val="0"/>
        </w:rPr>
        <w:t>fil</w:t>
      </w:r>
      <w:r w:rsidR="00B40A5A">
        <w:rPr>
          <w:b w:val="0"/>
          <w:bCs w:val="0"/>
        </w:rPr>
        <w:t>ling prophecy” regarding utility investment</w:t>
      </w:r>
      <w:r w:rsidR="00E90386">
        <w:rPr>
          <w:b w:val="0"/>
          <w:bCs w:val="0"/>
        </w:rPr>
        <w:t>s</w:t>
      </w:r>
      <w:r w:rsidR="00B40A5A">
        <w:rPr>
          <w:b w:val="0"/>
          <w:bCs w:val="0"/>
        </w:rPr>
        <w:t xml:space="preserve"> or operating costs.  Continuing investment in utility plant</w:t>
      </w:r>
      <w:r w:rsidR="00CC5C93">
        <w:rPr>
          <w:b w:val="0"/>
          <w:bCs w:val="0"/>
        </w:rPr>
        <w:t xml:space="preserve"> for Avista</w:t>
      </w:r>
      <w:r w:rsidR="00B40A5A">
        <w:rPr>
          <w:b w:val="0"/>
          <w:bCs w:val="0"/>
        </w:rPr>
        <w:t xml:space="preserve"> is driven by the need to b</w:t>
      </w:r>
      <w:r w:rsidR="00E90386">
        <w:rPr>
          <w:b w:val="0"/>
          <w:bCs w:val="0"/>
        </w:rPr>
        <w:t>uild and replace infrastructure and install new technology, among other things, and</w:t>
      </w:r>
      <w:r w:rsidR="00B40A5A">
        <w:rPr>
          <w:b w:val="0"/>
          <w:bCs w:val="0"/>
        </w:rPr>
        <w:t xml:space="preserve"> no</w:t>
      </w:r>
      <w:r>
        <w:rPr>
          <w:b w:val="0"/>
          <w:bCs w:val="0"/>
        </w:rPr>
        <w:t>t a particular Commission order</w:t>
      </w:r>
      <w:r w:rsidR="00495AC2">
        <w:rPr>
          <w:b w:val="0"/>
          <w:bCs w:val="0"/>
        </w:rPr>
        <w:t xml:space="preserve"> or ratemaking methodology</w:t>
      </w:r>
      <w:r>
        <w:rPr>
          <w:b w:val="0"/>
          <w:bCs w:val="0"/>
        </w:rPr>
        <w:t xml:space="preserve">.  </w:t>
      </w:r>
      <w:r w:rsidR="00663023">
        <w:rPr>
          <w:b w:val="0"/>
          <w:bCs w:val="0"/>
        </w:rPr>
        <w:t xml:space="preserve">The significant evidence presented by Avista in this case demonstrates the need for these investments.  </w:t>
      </w:r>
      <w:r>
        <w:rPr>
          <w:b w:val="0"/>
          <w:bCs w:val="0"/>
        </w:rPr>
        <w:t>U</w:t>
      </w:r>
      <w:r w:rsidR="00B40A5A">
        <w:rPr>
          <w:b w:val="0"/>
          <w:bCs w:val="0"/>
        </w:rPr>
        <w:t xml:space="preserve">tility operating costs </w:t>
      </w:r>
      <w:r>
        <w:rPr>
          <w:b w:val="0"/>
          <w:bCs w:val="0"/>
        </w:rPr>
        <w:t xml:space="preserve">are designed to operate the utility in a manner that results in safe, reliable service to customers with a high level of customer satisfaction, and </w:t>
      </w:r>
      <w:r w:rsidR="00EF037B">
        <w:rPr>
          <w:b w:val="0"/>
          <w:bCs w:val="0"/>
        </w:rPr>
        <w:t xml:space="preserve">Avista’s </w:t>
      </w:r>
      <w:r>
        <w:rPr>
          <w:b w:val="0"/>
          <w:bCs w:val="0"/>
        </w:rPr>
        <w:t>compliance with various local,</w:t>
      </w:r>
      <w:r w:rsidR="001B5103">
        <w:rPr>
          <w:b w:val="0"/>
          <w:bCs w:val="0"/>
        </w:rPr>
        <w:t xml:space="preserve"> state and federal requirements.  Avista</w:t>
      </w:r>
      <w:r w:rsidR="009423E3">
        <w:rPr>
          <w:b w:val="0"/>
          <w:bCs w:val="0"/>
        </w:rPr>
        <w:t>’s</w:t>
      </w:r>
      <w:r w:rsidR="001B5103">
        <w:rPr>
          <w:b w:val="0"/>
          <w:bCs w:val="0"/>
        </w:rPr>
        <w:t xml:space="preserve"> </w:t>
      </w:r>
      <w:r w:rsidR="00EF08AD">
        <w:rPr>
          <w:b w:val="0"/>
          <w:bCs w:val="0"/>
        </w:rPr>
        <w:t>operating costs also reflect</w:t>
      </w:r>
      <w:r w:rsidR="001B5103">
        <w:rPr>
          <w:b w:val="0"/>
          <w:bCs w:val="0"/>
        </w:rPr>
        <w:t xml:space="preserve"> recent </w:t>
      </w:r>
      <w:r w:rsidR="00E90386">
        <w:rPr>
          <w:b w:val="0"/>
          <w:bCs w:val="0"/>
        </w:rPr>
        <w:t xml:space="preserve">and continuing </w:t>
      </w:r>
      <w:r w:rsidR="001B5103">
        <w:rPr>
          <w:b w:val="0"/>
          <w:bCs w:val="0"/>
        </w:rPr>
        <w:t>efforts to</w:t>
      </w:r>
      <w:r w:rsidR="00C6283A">
        <w:rPr>
          <w:b w:val="0"/>
          <w:bCs w:val="0"/>
        </w:rPr>
        <w:t xml:space="preserve"> partner</w:t>
      </w:r>
      <w:r w:rsidR="001B5103">
        <w:rPr>
          <w:b w:val="0"/>
          <w:bCs w:val="0"/>
        </w:rPr>
        <w:t xml:space="preserve"> with </w:t>
      </w:r>
      <w:r w:rsidR="00EF08AD">
        <w:rPr>
          <w:b w:val="0"/>
          <w:bCs w:val="0"/>
        </w:rPr>
        <w:t>customers,</w:t>
      </w:r>
      <w:r w:rsidR="00E90386">
        <w:rPr>
          <w:b w:val="0"/>
          <w:bCs w:val="0"/>
        </w:rPr>
        <w:t xml:space="preserve"> third-</w:t>
      </w:r>
      <w:r w:rsidR="00EF08AD">
        <w:rPr>
          <w:b w:val="0"/>
          <w:bCs w:val="0"/>
        </w:rPr>
        <w:t xml:space="preserve">party vendors and other </w:t>
      </w:r>
      <w:r w:rsidR="00495AC2">
        <w:rPr>
          <w:b w:val="0"/>
          <w:bCs w:val="0"/>
        </w:rPr>
        <w:t xml:space="preserve">utility </w:t>
      </w:r>
      <w:r w:rsidR="00EF08AD">
        <w:rPr>
          <w:b w:val="0"/>
          <w:bCs w:val="0"/>
        </w:rPr>
        <w:t>stakeholders</w:t>
      </w:r>
      <w:r w:rsidR="00B3585A">
        <w:rPr>
          <w:b w:val="0"/>
          <w:bCs w:val="0"/>
        </w:rPr>
        <w:t xml:space="preserve"> to provide </w:t>
      </w:r>
      <w:r w:rsidR="001B5103">
        <w:rPr>
          <w:b w:val="0"/>
          <w:bCs w:val="0"/>
        </w:rPr>
        <w:t>new products, services and information for customers toward an energy-efficient and low-car</w:t>
      </w:r>
      <w:r w:rsidR="00C6283A">
        <w:rPr>
          <w:b w:val="0"/>
          <w:bCs w:val="0"/>
        </w:rPr>
        <w:t>bon future;</w:t>
      </w:r>
    </w:p>
    <w:p w:rsidR="00EF037B" w:rsidRDefault="00EF037B" w:rsidP="003C158A">
      <w:pPr>
        <w:pStyle w:val="BodyText"/>
        <w:spacing w:line="240" w:lineRule="auto"/>
        <w:ind w:left="1080" w:hanging="720"/>
        <w:jc w:val="both"/>
        <w:rPr>
          <w:b w:val="0"/>
          <w:bCs w:val="0"/>
        </w:rPr>
      </w:pPr>
    </w:p>
    <w:p w:rsidR="00C92A3A" w:rsidRDefault="00C92A3A" w:rsidP="003C158A">
      <w:pPr>
        <w:pStyle w:val="BodyText"/>
        <w:spacing w:line="240" w:lineRule="auto"/>
        <w:ind w:left="1080" w:hanging="720"/>
        <w:jc w:val="both"/>
        <w:rPr>
          <w:b w:val="0"/>
          <w:bCs w:val="0"/>
        </w:rPr>
      </w:pPr>
      <w:r>
        <w:rPr>
          <w:b w:val="0"/>
          <w:bCs w:val="0"/>
        </w:rPr>
        <w:t>5)</w:t>
      </w:r>
      <w:r>
        <w:rPr>
          <w:b w:val="0"/>
          <w:bCs w:val="0"/>
        </w:rPr>
        <w:tab/>
      </w:r>
      <w:r>
        <w:rPr>
          <w:bCs w:val="0"/>
          <w:u w:val="single"/>
        </w:rPr>
        <w:t>Three</w:t>
      </w:r>
      <w:r w:rsidRPr="00F67A7C">
        <w:rPr>
          <w:bCs w:val="0"/>
          <w:u w:val="single"/>
        </w:rPr>
        <w:t xml:space="preserve"> Separat</w:t>
      </w:r>
      <w:r>
        <w:rPr>
          <w:bCs w:val="0"/>
          <w:u w:val="single"/>
        </w:rPr>
        <w:t>e Studies Presented by Avista Support Its Proposed Revenue Adjustments</w:t>
      </w:r>
      <w:r w:rsidRPr="00F67A7C">
        <w:rPr>
          <w:bCs w:val="0"/>
          <w:u w:val="single"/>
        </w:rPr>
        <w:t>:</w:t>
      </w:r>
      <w:r>
        <w:rPr>
          <w:b w:val="0"/>
          <w:bCs w:val="0"/>
        </w:rPr>
        <w:t xml:space="preserve">  Avista has presented three sets of robust analyses</w:t>
      </w:r>
      <w:r w:rsidR="00D0433A">
        <w:rPr>
          <w:b w:val="0"/>
          <w:bCs w:val="0"/>
        </w:rPr>
        <w:t xml:space="preserve"> (</w:t>
      </w:r>
      <w:r>
        <w:rPr>
          <w:b w:val="0"/>
          <w:bCs w:val="0"/>
        </w:rPr>
        <w:t xml:space="preserve">a </w:t>
      </w:r>
      <w:r w:rsidR="00A02010">
        <w:rPr>
          <w:b w:val="0"/>
          <w:bCs w:val="0"/>
        </w:rPr>
        <w:t>M</w:t>
      </w:r>
      <w:r w:rsidR="00323491">
        <w:rPr>
          <w:b w:val="0"/>
          <w:bCs w:val="0"/>
        </w:rPr>
        <w:t xml:space="preserve">odified </w:t>
      </w:r>
      <w:r w:rsidR="00A02010">
        <w:rPr>
          <w:b w:val="0"/>
          <w:bCs w:val="0"/>
        </w:rPr>
        <w:t>T</w:t>
      </w:r>
      <w:r w:rsidR="00323491">
        <w:rPr>
          <w:b w:val="0"/>
          <w:bCs w:val="0"/>
        </w:rPr>
        <w:t xml:space="preserve">est </w:t>
      </w:r>
      <w:r w:rsidR="00A02010">
        <w:rPr>
          <w:b w:val="0"/>
          <w:bCs w:val="0"/>
        </w:rPr>
        <w:t>Y</w:t>
      </w:r>
      <w:r w:rsidR="00323491">
        <w:rPr>
          <w:b w:val="0"/>
          <w:bCs w:val="0"/>
        </w:rPr>
        <w:t xml:space="preserve">ear </w:t>
      </w:r>
      <w:r w:rsidR="00A02010">
        <w:rPr>
          <w:b w:val="0"/>
          <w:bCs w:val="0"/>
        </w:rPr>
        <w:t>S</w:t>
      </w:r>
      <w:r w:rsidR="00323491">
        <w:rPr>
          <w:b w:val="0"/>
          <w:bCs w:val="0"/>
        </w:rPr>
        <w:t>tudy</w:t>
      </w:r>
      <w:r>
        <w:rPr>
          <w:b w:val="0"/>
          <w:bCs w:val="0"/>
        </w:rPr>
        <w:t xml:space="preserve">, </w:t>
      </w:r>
      <w:r w:rsidR="00D05C86">
        <w:rPr>
          <w:b w:val="0"/>
          <w:bCs w:val="0"/>
        </w:rPr>
        <w:t xml:space="preserve">an </w:t>
      </w:r>
      <w:r w:rsidR="002640E3">
        <w:rPr>
          <w:b w:val="0"/>
          <w:bCs w:val="0"/>
        </w:rPr>
        <w:t>A</w:t>
      </w:r>
      <w:r w:rsidR="00D05C86">
        <w:rPr>
          <w:b w:val="0"/>
          <w:bCs w:val="0"/>
        </w:rPr>
        <w:t xml:space="preserve">ttrition </w:t>
      </w:r>
      <w:r w:rsidR="002640E3">
        <w:rPr>
          <w:b w:val="0"/>
          <w:bCs w:val="0"/>
        </w:rPr>
        <w:t>Study</w:t>
      </w:r>
      <w:r w:rsidR="00D05C86">
        <w:rPr>
          <w:b w:val="0"/>
          <w:bCs w:val="0"/>
        </w:rPr>
        <w:t xml:space="preserve">, </w:t>
      </w:r>
      <w:r>
        <w:rPr>
          <w:b w:val="0"/>
          <w:bCs w:val="0"/>
        </w:rPr>
        <w:t xml:space="preserve">and a </w:t>
      </w:r>
      <w:r w:rsidR="002640E3">
        <w:rPr>
          <w:b w:val="0"/>
          <w:bCs w:val="0"/>
        </w:rPr>
        <w:t>C</w:t>
      </w:r>
      <w:r>
        <w:rPr>
          <w:b w:val="0"/>
          <w:bCs w:val="0"/>
        </w:rPr>
        <w:t>ross</w:t>
      </w:r>
      <w:r w:rsidR="002640E3">
        <w:rPr>
          <w:b w:val="0"/>
          <w:bCs w:val="0"/>
        </w:rPr>
        <w:t xml:space="preserve"> C</w:t>
      </w:r>
      <w:r>
        <w:rPr>
          <w:b w:val="0"/>
          <w:bCs w:val="0"/>
        </w:rPr>
        <w:t xml:space="preserve">heck </w:t>
      </w:r>
      <w:r w:rsidR="002640E3">
        <w:rPr>
          <w:b w:val="0"/>
          <w:bCs w:val="0"/>
        </w:rPr>
        <w:t>S</w:t>
      </w:r>
      <w:r>
        <w:rPr>
          <w:b w:val="0"/>
          <w:bCs w:val="0"/>
        </w:rPr>
        <w:t>tudy</w:t>
      </w:r>
      <w:r w:rsidR="00D0433A">
        <w:rPr>
          <w:b w:val="0"/>
          <w:bCs w:val="0"/>
        </w:rPr>
        <w:t>)</w:t>
      </w:r>
      <w:r>
        <w:rPr>
          <w:b w:val="0"/>
          <w:bCs w:val="0"/>
        </w:rPr>
        <w:t xml:space="preserve"> to support its proposed revenue</w:t>
      </w:r>
      <w:r w:rsidR="009A6A30">
        <w:rPr>
          <w:b w:val="0"/>
          <w:bCs w:val="0"/>
        </w:rPr>
        <w:t xml:space="preserve"> adjustments.  These three different</w:t>
      </w:r>
      <w:r>
        <w:rPr>
          <w:b w:val="0"/>
          <w:bCs w:val="0"/>
        </w:rPr>
        <w:t xml:space="preserve"> analyses, accompanied by a significant </w:t>
      </w:r>
      <w:r w:rsidR="00725019">
        <w:rPr>
          <w:noProof/>
          <w:lang w:eastAsia="en-US"/>
        </w:rPr>
        <w:lastRenderedPageBreak/>
        <mc:AlternateContent>
          <mc:Choice Requires="wps">
            <w:drawing>
              <wp:anchor distT="0" distB="0" distL="114300" distR="114300" simplePos="0" relativeHeight="251676672" behindDoc="0" locked="0" layoutInCell="1" allowOverlap="1" wp14:anchorId="3375F845" wp14:editId="4FC22DDB">
                <wp:simplePos x="0" y="0"/>
                <wp:positionH relativeFrom="page">
                  <wp:align>center</wp:align>
                </wp:positionH>
                <wp:positionV relativeFrom="paragraph">
                  <wp:posOffset>-414404</wp:posOffset>
                </wp:positionV>
                <wp:extent cx="1903227" cy="287079"/>
                <wp:effectExtent l="0" t="0" r="0" b="0"/>
                <wp:wrapNone/>
                <wp:docPr id="5" name="Text Box 5"/>
                <wp:cNvGraphicFramePr/>
                <a:graphic xmlns:a="http://schemas.openxmlformats.org/drawingml/2006/main">
                  <a:graphicData uri="http://schemas.microsoft.com/office/word/2010/wordprocessingShape">
                    <wps:wsp>
                      <wps:cNvSpPr txBox="1"/>
                      <wps:spPr>
                        <a:xfrm>
                          <a:off x="0" y="0"/>
                          <a:ext cx="1903227"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5019" w:rsidRDefault="00725019" w:rsidP="00725019">
                            <w:r>
                              <w:t xml:space="preserve">Revised </w:t>
                            </w:r>
                            <w:r>
                              <w:t xml:space="preserve">- </w:t>
                            </w:r>
                            <w:r>
                              <w:t>October 11, 201</w:t>
                            </w: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5F845" id="Text Box 5" o:spid="_x0000_s1027" type="#_x0000_t202" style="position:absolute;left:0;text-align:left;margin-left:0;margin-top:-32.65pt;width:149.85pt;height:22.6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" filled="f" stroked="f" strokeweight=".5pt">
                <v:textbox>
                  <w:txbxContent>
                    <w:p w:rsidR="00725019" w:rsidRDefault="00725019" w:rsidP="00725019">
                      <w:r>
                        <w:t xml:space="preserve">Revised </w:t>
                      </w:r>
                      <w:r>
                        <w:t xml:space="preserve">- </w:t>
                      </w:r>
                      <w:r>
                        <w:t>October 11, 201</w:t>
                      </w:r>
                      <w:r>
                        <w:t>6</w:t>
                      </w:r>
                    </w:p>
                  </w:txbxContent>
                </v:textbox>
                <w10:wrap anchorx="page"/>
              </v:shape>
            </w:pict>
          </mc:Fallback>
        </mc:AlternateContent>
      </w:r>
      <w:r>
        <w:rPr>
          <w:b w:val="0"/>
          <w:bCs w:val="0"/>
        </w:rPr>
        <w:t xml:space="preserve">amount of supporting documentation, provide a high level of confidence that the revenue adjustments proposed by Avista are necessary for the rate period; </w:t>
      </w:r>
    </w:p>
    <w:p w:rsidR="003C5711" w:rsidRDefault="003C5711" w:rsidP="003C158A">
      <w:pPr>
        <w:pStyle w:val="BodyText"/>
        <w:spacing w:line="240" w:lineRule="auto"/>
        <w:ind w:left="1080" w:hanging="720"/>
        <w:jc w:val="both"/>
        <w:rPr>
          <w:b w:val="0"/>
          <w:bCs w:val="0"/>
        </w:rPr>
      </w:pPr>
    </w:p>
    <w:p w:rsidR="005F63C5" w:rsidRDefault="009A36FD" w:rsidP="003C158A">
      <w:pPr>
        <w:pStyle w:val="BodyText"/>
        <w:spacing w:line="240" w:lineRule="auto"/>
        <w:ind w:left="1080" w:hanging="720"/>
        <w:jc w:val="both"/>
        <w:rPr>
          <w:b w:val="0"/>
          <w:bCs w:val="0"/>
        </w:rPr>
      </w:pPr>
      <w:r>
        <w:rPr>
          <w:b w:val="0"/>
          <w:bCs w:val="0"/>
        </w:rPr>
        <w:t>6</w:t>
      </w:r>
      <w:r w:rsidR="005F63C5">
        <w:rPr>
          <w:b w:val="0"/>
          <w:bCs w:val="0"/>
        </w:rPr>
        <w:t>)</w:t>
      </w:r>
      <w:r w:rsidR="005F63C5">
        <w:rPr>
          <w:b w:val="0"/>
          <w:bCs w:val="0"/>
        </w:rPr>
        <w:tab/>
      </w:r>
      <w:r w:rsidR="0097196B" w:rsidRPr="0097196B">
        <w:rPr>
          <w:bCs w:val="0"/>
          <w:u w:val="single"/>
        </w:rPr>
        <w:t xml:space="preserve">Avista’s </w:t>
      </w:r>
      <w:r w:rsidR="005720D2">
        <w:rPr>
          <w:bCs w:val="0"/>
          <w:u w:val="single"/>
        </w:rPr>
        <w:t>Need for Revenue Increases Has</w:t>
      </w:r>
      <w:r w:rsidR="005720D2" w:rsidRPr="005720D2">
        <w:rPr>
          <w:bCs w:val="0"/>
          <w:u w:val="single"/>
        </w:rPr>
        <w:t xml:space="preserve"> </w:t>
      </w:r>
      <w:proofErr w:type="gramStart"/>
      <w:r w:rsidR="005720D2" w:rsidRPr="005720D2">
        <w:rPr>
          <w:bCs w:val="0"/>
          <w:u w:val="single"/>
        </w:rPr>
        <w:t>Increased</w:t>
      </w:r>
      <w:proofErr w:type="gramEnd"/>
      <w:r w:rsidR="005720D2" w:rsidRPr="005720D2">
        <w:rPr>
          <w:bCs w:val="0"/>
          <w:u w:val="single"/>
        </w:rPr>
        <w:t xml:space="preserve"> Following </w:t>
      </w:r>
      <w:r w:rsidR="00D0433A">
        <w:rPr>
          <w:bCs w:val="0"/>
          <w:u w:val="single"/>
        </w:rPr>
        <w:t xml:space="preserve">its </w:t>
      </w:r>
      <w:r w:rsidR="005720D2" w:rsidRPr="005720D2">
        <w:rPr>
          <w:bCs w:val="0"/>
          <w:u w:val="single"/>
        </w:rPr>
        <w:t>Original Filing:</w:t>
      </w:r>
      <w:r w:rsidR="005720D2">
        <w:rPr>
          <w:b w:val="0"/>
          <w:bCs w:val="0"/>
        </w:rPr>
        <w:t xml:space="preserve">  </w:t>
      </w:r>
      <w:r w:rsidR="00227717">
        <w:rPr>
          <w:b w:val="0"/>
          <w:bCs w:val="0"/>
        </w:rPr>
        <w:t>Utility costs have increased following Avista’s f</w:t>
      </w:r>
      <w:r w:rsidR="0097196B">
        <w:rPr>
          <w:b w:val="0"/>
          <w:bCs w:val="0"/>
        </w:rPr>
        <w:t>iling of this general rate case;</w:t>
      </w:r>
      <w:r w:rsidR="00227717">
        <w:rPr>
          <w:b w:val="0"/>
          <w:bCs w:val="0"/>
        </w:rPr>
        <w:t xml:space="preserve"> in contrast to Avista’s last general rate case where costs decreased following its original filing.  </w:t>
      </w:r>
      <w:r w:rsidR="00C03762">
        <w:rPr>
          <w:b w:val="0"/>
          <w:bCs w:val="0"/>
        </w:rPr>
        <w:t xml:space="preserve">Avista has continued to </w:t>
      </w:r>
      <w:r w:rsidR="00C6283A">
        <w:rPr>
          <w:b w:val="0"/>
          <w:bCs w:val="0"/>
        </w:rPr>
        <w:t>provide</w:t>
      </w:r>
      <w:r w:rsidR="00C03762">
        <w:rPr>
          <w:b w:val="0"/>
          <w:bCs w:val="0"/>
        </w:rPr>
        <w:t xml:space="preserve"> updated information to all parties throughout this case, irrespective of whether the information resulted in an increase or decrease to </w:t>
      </w:r>
      <w:r w:rsidR="00C6283A">
        <w:rPr>
          <w:b w:val="0"/>
          <w:bCs w:val="0"/>
        </w:rPr>
        <w:t>the proposed revenue adjustments</w:t>
      </w:r>
      <w:r w:rsidR="00C03762">
        <w:rPr>
          <w:b w:val="0"/>
          <w:bCs w:val="0"/>
        </w:rPr>
        <w:t xml:space="preserve">.  </w:t>
      </w:r>
      <w:r w:rsidR="00C440C5">
        <w:rPr>
          <w:b w:val="0"/>
          <w:bCs w:val="0"/>
        </w:rPr>
        <w:t xml:space="preserve">Although Avista is not </w:t>
      </w:r>
      <w:r w:rsidR="00177167">
        <w:rPr>
          <w:b w:val="0"/>
          <w:bCs w:val="0"/>
        </w:rPr>
        <w:t xml:space="preserve">requesting a </w:t>
      </w:r>
      <w:r w:rsidR="00D0433A">
        <w:rPr>
          <w:b w:val="0"/>
          <w:bCs w:val="0"/>
        </w:rPr>
        <w:t>greater</w:t>
      </w:r>
      <w:r w:rsidR="00177167">
        <w:rPr>
          <w:b w:val="0"/>
          <w:bCs w:val="0"/>
        </w:rPr>
        <w:t xml:space="preserve"> revenue increase</w:t>
      </w:r>
      <w:r w:rsidR="00CF6CBE">
        <w:rPr>
          <w:b w:val="0"/>
          <w:bCs w:val="0"/>
        </w:rPr>
        <w:t xml:space="preserve"> than its original filing, its need for electric and natural gas revenue increase</w:t>
      </w:r>
      <w:r w:rsidR="00D9003A">
        <w:rPr>
          <w:b w:val="0"/>
          <w:bCs w:val="0"/>
        </w:rPr>
        <w:t>s exceed those originally filed;</w:t>
      </w:r>
      <w:r w:rsidR="005A5036">
        <w:rPr>
          <w:b w:val="0"/>
          <w:bCs w:val="0"/>
        </w:rPr>
        <w:t xml:space="preserve"> and</w:t>
      </w:r>
    </w:p>
    <w:p w:rsidR="00534ECE" w:rsidRDefault="00534ECE" w:rsidP="003C158A">
      <w:pPr>
        <w:pStyle w:val="BodyText"/>
        <w:spacing w:line="240" w:lineRule="auto"/>
        <w:ind w:left="1080" w:hanging="720"/>
        <w:jc w:val="both"/>
        <w:rPr>
          <w:b w:val="0"/>
          <w:bCs w:val="0"/>
        </w:rPr>
      </w:pPr>
    </w:p>
    <w:p w:rsidR="00534ECE" w:rsidRDefault="009A36FD" w:rsidP="003C158A">
      <w:pPr>
        <w:pStyle w:val="BodyText"/>
        <w:spacing w:line="240" w:lineRule="auto"/>
        <w:ind w:left="1080" w:hanging="720"/>
        <w:jc w:val="both"/>
        <w:rPr>
          <w:b w:val="0"/>
          <w:bCs w:val="0"/>
        </w:rPr>
      </w:pPr>
      <w:r>
        <w:rPr>
          <w:b w:val="0"/>
          <w:bCs w:val="0"/>
        </w:rPr>
        <w:t>7</w:t>
      </w:r>
      <w:r w:rsidR="00534ECE">
        <w:rPr>
          <w:b w:val="0"/>
          <w:bCs w:val="0"/>
        </w:rPr>
        <w:t>)</w:t>
      </w:r>
      <w:r w:rsidR="00534ECE">
        <w:rPr>
          <w:b w:val="0"/>
          <w:bCs w:val="0"/>
        </w:rPr>
        <w:tab/>
      </w:r>
      <w:r w:rsidR="005720D2" w:rsidRPr="005720D2">
        <w:rPr>
          <w:bCs w:val="0"/>
          <w:u w:val="single"/>
        </w:rPr>
        <w:t xml:space="preserve">Deferred Accounting </w:t>
      </w:r>
      <w:r w:rsidR="005720D2">
        <w:rPr>
          <w:bCs w:val="0"/>
          <w:u w:val="single"/>
        </w:rPr>
        <w:t xml:space="preserve">Treatment </w:t>
      </w:r>
      <w:r w:rsidR="0097196B">
        <w:rPr>
          <w:bCs w:val="0"/>
          <w:u w:val="single"/>
        </w:rPr>
        <w:t xml:space="preserve">May be </w:t>
      </w:r>
      <w:r w:rsidR="005720D2" w:rsidRPr="005720D2">
        <w:rPr>
          <w:bCs w:val="0"/>
          <w:u w:val="single"/>
        </w:rPr>
        <w:t xml:space="preserve">Appropriate </w:t>
      </w:r>
      <w:r w:rsidR="005720D2" w:rsidRPr="00CC36C0">
        <w:rPr>
          <w:bCs w:val="0"/>
          <w:strike/>
          <w:u w:val="single"/>
        </w:rPr>
        <w:t xml:space="preserve">for </w:t>
      </w:r>
      <w:r w:rsidR="0097196B" w:rsidRPr="00CC36C0">
        <w:rPr>
          <w:bCs w:val="0"/>
          <w:strike/>
          <w:u w:val="single"/>
        </w:rPr>
        <w:t xml:space="preserve">Two </w:t>
      </w:r>
      <w:r w:rsidR="005720D2" w:rsidRPr="00CC36C0">
        <w:rPr>
          <w:bCs w:val="0"/>
          <w:strike/>
          <w:u w:val="single"/>
        </w:rPr>
        <w:t>Unique Issues</w:t>
      </w:r>
      <w:r w:rsidR="005720D2" w:rsidRPr="005720D2">
        <w:rPr>
          <w:bCs w:val="0"/>
          <w:u w:val="single"/>
        </w:rPr>
        <w:t>:</w:t>
      </w:r>
      <w:r w:rsidR="005720D2">
        <w:rPr>
          <w:b w:val="0"/>
          <w:bCs w:val="0"/>
        </w:rPr>
        <w:t xml:space="preserve"> </w:t>
      </w:r>
      <w:r w:rsidR="00534ECE">
        <w:rPr>
          <w:b w:val="0"/>
          <w:bCs w:val="0"/>
        </w:rPr>
        <w:t xml:space="preserve">The unique circumstances surrounding </w:t>
      </w:r>
      <w:r w:rsidR="00DD5FB7" w:rsidRPr="00145D9F">
        <w:rPr>
          <w:b w:val="0"/>
          <w:bCs w:val="0"/>
          <w:strike/>
        </w:rPr>
        <w:t>Advanced Metering Infrastructure (</w:t>
      </w:r>
      <w:r w:rsidR="00534ECE" w:rsidRPr="00145D9F">
        <w:rPr>
          <w:b w:val="0"/>
          <w:bCs w:val="0"/>
          <w:strike/>
        </w:rPr>
        <w:t>AMI</w:t>
      </w:r>
      <w:r w:rsidR="00DD5FB7" w:rsidRPr="00145D9F">
        <w:rPr>
          <w:b w:val="0"/>
          <w:bCs w:val="0"/>
          <w:strike/>
        </w:rPr>
        <w:t>)</w:t>
      </w:r>
      <w:r w:rsidR="00534ECE" w:rsidRPr="00145D9F">
        <w:rPr>
          <w:b w:val="0"/>
          <w:bCs w:val="0"/>
          <w:strike/>
        </w:rPr>
        <w:t xml:space="preserve"> and</w:t>
      </w:r>
      <w:r w:rsidR="00534ECE">
        <w:rPr>
          <w:b w:val="0"/>
          <w:bCs w:val="0"/>
        </w:rPr>
        <w:t xml:space="preserve"> the Montana Riverbed Litigation issue</w:t>
      </w:r>
      <w:r w:rsidR="00127218">
        <w:rPr>
          <w:b w:val="0"/>
          <w:bCs w:val="0"/>
        </w:rPr>
        <w:t>s</w:t>
      </w:r>
      <w:r w:rsidR="00534ECE">
        <w:rPr>
          <w:b w:val="0"/>
          <w:bCs w:val="0"/>
        </w:rPr>
        <w:t xml:space="preserve"> may warrant deferred accounting treatment</w:t>
      </w:r>
      <w:r w:rsidR="00C03762">
        <w:rPr>
          <w:b w:val="0"/>
          <w:bCs w:val="0"/>
        </w:rPr>
        <w:t xml:space="preserve"> as a solution</w:t>
      </w:r>
      <w:r w:rsidR="00534ECE">
        <w:rPr>
          <w:b w:val="0"/>
          <w:bCs w:val="0"/>
        </w:rPr>
        <w:t xml:space="preserve"> to </w:t>
      </w:r>
      <w:r w:rsidR="00C03762">
        <w:rPr>
          <w:b w:val="0"/>
          <w:bCs w:val="0"/>
        </w:rPr>
        <w:t>address the concerns expressed by</w:t>
      </w:r>
      <w:r w:rsidR="005A5036">
        <w:rPr>
          <w:b w:val="0"/>
          <w:bCs w:val="0"/>
        </w:rPr>
        <w:t xml:space="preserve"> parties in this case</w:t>
      </w:r>
      <w:r w:rsidR="006E2E75">
        <w:rPr>
          <w:b w:val="0"/>
          <w:bCs w:val="0"/>
        </w:rPr>
        <w:t>,</w:t>
      </w:r>
      <w:r w:rsidR="005A5036">
        <w:rPr>
          <w:b w:val="0"/>
          <w:bCs w:val="0"/>
        </w:rPr>
        <w:t xml:space="preserve"> and would also meet the needs of the Company.</w:t>
      </w:r>
    </w:p>
    <w:p w:rsidR="00E36B1A" w:rsidRDefault="00E36B1A" w:rsidP="000A5F5C">
      <w:pPr>
        <w:pStyle w:val="Heading5"/>
        <w:numPr>
          <w:ilvl w:val="0"/>
          <w:numId w:val="0"/>
        </w:numPr>
        <w:spacing w:line="240" w:lineRule="auto"/>
        <w:ind w:right="-54"/>
        <w:rPr>
          <w:rStyle w:val="PageNumber"/>
          <w:u w:val="single"/>
        </w:rPr>
      </w:pPr>
    </w:p>
    <w:p w:rsidR="00E36B1A" w:rsidRDefault="00E36B1A" w:rsidP="000A5F5C">
      <w:pPr>
        <w:pStyle w:val="Heading5"/>
        <w:numPr>
          <w:ilvl w:val="0"/>
          <w:numId w:val="0"/>
        </w:numPr>
        <w:spacing w:line="240" w:lineRule="auto"/>
        <w:ind w:right="-54"/>
        <w:rPr>
          <w:rStyle w:val="PageNumber"/>
          <w:u w:val="single"/>
        </w:rPr>
      </w:pPr>
    </w:p>
    <w:p w:rsidR="005E58AF" w:rsidRDefault="00FE6BE2" w:rsidP="000A5F5C">
      <w:pPr>
        <w:pStyle w:val="Heading5"/>
        <w:numPr>
          <w:ilvl w:val="0"/>
          <w:numId w:val="0"/>
        </w:numPr>
        <w:spacing w:line="240" w:lineRule="auto"/>
        <w:ind w:right="-54"/>
        <w:rPr>
          <w:rStyle w:val="PageNumber"/>
          <w:u w:val="single"/>
        </w:rPr>
      </w:pPr>
      <w:r>
        <w:rPr>
          <w:rStyle w:val="PageNumber"/>
          <w:u w:val="single"/>
        </w:rPr>
        <w:t>I</w:t>
      </w:r>
      <w:r w:rsidR="005E58AF" w:rsidRPr="00F540CD">
        <w:rPr>
          <w:rStyle w:val="PageNumber"/>
          <w:u w:val="single"/>
        </w:rPr>
        <w:t>I</w:t>
      </w:r>
      <w:r w:rsidR="005E58AF">
        <w:rPr>
          <w:rStyle w:val="PageNumber"/>
          <w:u w:val="single"/>
        </w:rPr>
        <w:t xml:space="preserve">I. PROPOSALS </w:t>
      </w:r>
      <w:r w:rsidR="00AF6A5F">
        <w:rPr>
          <w:rStyle w:val="PageNumber"/>
          <w:u w:val="single"/>
        </w:rPr>
        <w:t xml:space="preserve">OF NON-COMPANY PARTIES </w:t>
      </w:r>
      <w:r w:rsidR="00CE58F9">
        <w:rPr>
          <w:rStyle w:val="PageNumber"/>
          <w:u w:val="single"/>
        </w:rPr>
        <w:t>IN PRIOR RATE CASES</w:t>
      </w:r>
      <w:r w:rsidR="000A5F5C">
        <w:rPr>
          <w:rStyle w:val="PageNumber"/>
          <w:u w:val="single"/>
        </w:rPr>
        <w:t xml:space="preserve"> HAVE BEEN DEMONSTRATED TO BE UNREASONABLE</w:t>
      </w:r>
      <w:r w:rsidR="00CE58F9">
        <w:rPr>
          <w:rStyle w:val="PageNumber"/>
          <w:u w:val="single"/>
        </w:rPr>
        <w:t xml:space="preserve"> </w:t>
      </w:r>
    </w:p>
    <w:p w:rsidR="000A5F5C" w:rsidRPr="000A5F5C" w:rsidRDefault="000A5F5C" w:rsidP="000A5F5C"/>
    <w:p w:rsidR="00096A44" w:rsidRPr="00B33A55" w:rsidRDefault="005E58AF" w:rsidP="00BE7825">
      <w:pPr>
        <w:pStyle w:val="BodyText"/>
        <w:tabs>
          <w:tab w:val="left" w:pos="720"/>
        </w:tabs>
        <w:spacing w:line="480" w:lineRule="auto"/>
        <w:ind w:right="-54"/>
        <w:jc w:val="both"/>
        <w:rPr>
          <w:bCs w:val="0"/>
        </w:rPr>
      </w:pPr>
      <w:r>
        <w:rPr>
          <w:bCs w:val="0"/>
        </w:rPr>
        <w:tab/>
      </w:r>
      <w:r w:rsidR="00BE7825">
        <w:rPr>
          <w:bCs w:val="0"/>
        </w:rPr>
        <w:t>Q.</w:t>
      </w:r>
      <w:r w:rsidR="00BE7825">
        <w:rPr>
          <w:bCs w:val="0"/>
        </w:rPr>
        <w:tab/>
        <w:t xml:space="preserve">Please </w:t>
      </w:r>
      <w:r w:rsidR="00096A44">
        <w:rPr>
          <w:bCs w:val="0"/>
        </w:rPr>
        <w:t>further explain your earlier statement</w:t>
      </w:r>
      <w:r w:rsidR="00B33A55">
        <w:rPr>
          <w:bCs w:val="0"/>
        </w:rPr>
        <w:t xml:space="preserve"> that</w:t>
      </w:r>
      <w:r w:rsidR="00096A44">
        <w:rPr>
          <w:bCs w:val="0"/>
        </w:rPr>
        <w:t xml:space="preserve"> the </w:t>
      </w:r>
      <w:r w:rsidR="00B33A55">
        <w:rPr>
          <w:bCs w:val="0"/>
        </w:rPr>
        <w:t>proposals of non-Company p</w:t>
      </w:r>
      <w:r w:rsidR="00B33A55" w:rsidRPr="00B33A55">
        <w:rPr>
          <w:bCs w:val="0"/>
        </w:rPr>
        <w:t xml:space="preserve">arties </w:t>
      </w:r>
      <w:r w:rsidR="00B33A55">
        <w:rPr>
          <w:bCs w:val="0"/>
        </w:rPr>
        <w:t>in prior rate c</w:t>
      </w:r>
      <w:r w:rsidR="00B33A55" w:rsidRPr="00B33A55">
        <w:rPr>
          <w:bCs w:val="0"/>
        </w:rPr>
        <w:t xml:space="preserve">ases </w:t>
      </w:r>
      <w:r w:rsidR="00B33A55">
        <w:rPr>
          <w:bCs w:val="0"/>
        </w:rPr>
        <w:t>have been demonstrated to be u</w:t>
      </w:r>
      <w:r w:rsidR="00B33A55" w:rsidRPr="00B33A55">
        <w:rPr>
          <w:bCs w:val="0"/>
        </w:rPr>
        <w:t>nreasonable</w:t>
      </w:r>
      <w:r w:rsidR="00B33A55">
        <w:rPr>
          <w:bCs w:val="0"/>
        </w:rPr>
        <w:t>.</w:t>
      </w:r>
    </w:p>
    <w:p w:rsidR="00096A44" w:rsidRDefault="00BE7825" w:rsidP="00B33A55">
      <w:pPr>
        <w:pStyle w:val="BodyText"/>
        <w:tabs>
          <w:tab w:val="left" w:pos="720"/>
        </w:tabs>
        <w:spacing w:line="480" w:lineRule="auto"/>
        <w:ind w:right="-54" w:firstLine="720"/>
        <w:jc w:val="both"/>
        <w:rPr>
          <w:b w:val="0"/>
          <w:bCs w:val="0"/>
        </w:rPr>
      </w:pPr>
      <w:r>
        <w:rPr>
          <w:b w:val="0"/>
          <w:bCs w:val="0"/>
        </w:rPr>
        <w:t>A.</w:t>
      </w:r>
      <w:r>
        <w:rPr>
          <w:b w:val="0"/>
          <w:bCs w:val="0"/>
        </w:rPr>
        <w:tab/>
      </w:r>
      <w:r w:rsidR="001331A1">
        <w:rPr>
          <w:b w:val="0"/>
          <w:bCs w:val="0"/>
        </w:rPr>
        <w:t>Table No.</w:t>
      </w:r>
      <w:r w:rsidR="00B33A55">
        <w:rPr>
          <w:b w:val="0"/>
          <w:bCs w:val="0"/>
        </w:rPr>
        <w:t xml:space="preserve"> 1 below summarizes the electric revenue adjustment proposals of</w:t>
      </w:r>
      <w:r w:rsidR="00DE2F01">
        <w:rPr>
          <w:b w:val="0"/>
          <w:bCs w:val="0"/>
        </w:rPr>
        <w:t xml:space="preserve"> </w:t>
      </w:r>
      <w:r w:rsidR="00B33A55">
        <w:rPr>
          <w:b w:val="0"/>
          <w:bCs w:val="0"/>
        </w:rPr>
        <w:t xml:space="preserve">ICNU, Public Counsel and </w:t>
      </w:r>
      <w:r w:rsidR="00197137">
        <w:rPr>
          <w:b w:val="0"/>
          <w:bCs w:val="0"/>
        </w:rPr>
        <w:t>S</w:t>
      </w:r>
      <w:r w:rsidR="00B33A55">
        <w:rPr>
          <w:b w:val="0"/>
          <w:bCs w:val="0"/>
        </w:rPr>
        <w:t>taff for the 20</w:t>
      </w:r>
      <w:r w:rsidR="001331A1">
        <w:rPr>
          <w:b w:val="0"/>
          <w:bCs w:val="0"/>
        </w:rPr>
        <w:t>1</w:t>
      </w:r>
      <w:r w:rsidR="00564976">
        <w:rPr>
          <w:b w:val="0"/>
          <w:bCs w:val="0"/>
        </w:rPr>
        <w:t>2</w:t>
      </w:r>
      <w:r w:rsidR="00B33A55">
        <w:rPr>
          <w:b w:val="0"/>
          <w:bCs w:val="0"/>
        </w:rPr>
        <w:t xml:space="preserve"> to 2015 general rate cases</w:t>
      </w:r>
      <w:r w:rsidR="00564976">
        <w:rPr>
          <w:b w:val="0"/>
          <w:bCs w:val="0"/>
        </w:rPr>
        <w:t>, in which new retail rates were established for the rate years 2013 through 2016</w:t>
      </w:r>
      <w:r w:rsidR="00B33A55">
        <w:rPr>
          <w:b w:val="0"/>
          <w:bCs w:val="0"/>
        </w:rPr>
        <w:t xml:space="preserve">.  The table also shows the revenue adjustments ultimately ordered by the Commission in those cases.  </w:t>
      </w:r>
    </w:p>
    <w:p w:rsidR="00304544" w:rsidRPr="00757001" w:rsidRDefault="00127218" w:rsidP="00525DEA">
      <w:pPr>
        <w:pStyle w:val="BodyText"/>
        <w:tabs>
          <w:tab w:val="left" w:pos="720"/>
        </w:tabs>
        <w:spacing w:line="480" w:lineRule="auto"/>
        <w:ind w:right="-54"/>
        <w:jc w:val="both"/>
        <w:rPr>
          <w:bCs w:val="0"/>
          <w:u w:val="single"/>
        </w:rPr>
      </w:pPr>
      <w:r w:rsidRPr="00127218">
        <w:rPr>
          <w:noProof/>
          <w:lang w:eastAsia="en-US"/>
        </w:rPr>
        <w:drawing>
          <wp:anchor distT="0" distB="0" distL="114300" distR="114300" simplePos="0" relativeHeight="251669504" behindDoc="1" locked="0" layoutInCell="1" allowOverlap="1" wp14:anchorId="00680619" wp14:editId="31BEA7C1">
            <wp:simplePos x="0" y="0"/>
            <wp:positionH relativeFrom="margin">
              <wp:align>left</wp:align>
            </wp:positionH>
            <wp:positionV relativeFrom="paragraph">
              <wp:posOffset>104164</wp:posOffset>
            </wp:positionV>
            <wp:extent cx="5669280" cy="2036121"/>
            <wp:effectExtent l="0" t="0" r="762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2036121"/>
                    </a:xfrm>
                    <a:prstGeom prst="rect">
                      <a:avLst/>
                    </a:prstGeom>
                    <a:noFill/>
                    <a:ln>
                      <a:noFill/>
                    </a:ln>
                  </pic:spPr>
                </pic:pic>
              </a:graphicData>
            </a:graphic>
            <wp14:sizeRelH relativeFrom="page">
              <wp14:pctWidth>0</wp14:pctWidth>
            </wp14:sizeRelH>
            <wp14:sizeRelV relativeFrom="page">
              <wp14:pctHeight>0</wp14:pctHeight>
            </wp14:sizeRelV>
          </wp:anchor>
        </w:drawing>
      </w:r>
      <w:r w:rsidR="00525DEA" w:rsidRPr="00757001">
        <w:rPr>
          <w:bCs w:val="0"/>
          <w:u w:val="single"/>
        </w:rPr>
        <w:t>Table No. 1</w:t>
      </w:r>
      <w:r w:rsidR="00757001" w:rsidRPr="00757001">
        <w:rPr>
          <w:bCs w:val="0"/>
          <w:u w:val="single"/>
        </w:rPr>
        <w:t xml:space="preserve"> – Summary of Electric Revenue Adjustment Proposals ($ millions)</w:t>
      </w: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757001" w:rsidRDefault="00757001" w:rsidP="00B33A55">
      <w:pPr>
        <w:pStyle w:val="BodyText"/>
        <w:tabs>
          <w:tab w:val="left" w:pos="720"/>
        </w:tabs>
        <w:spacing w:line="480" w:lineRule="auto"/>
        <w:ind w:right="-54" w:firstLine="720"/>
        <w:jc w:val="both"/>
        <w:rPr>
          <w:b w:val="0"/>
          <w:bCs w:val="0"/>
        </w:rPr>
      </w:pPr>
    </w:p>
    <w:p w:rsidR="00B33A55" w:rsidRDefault="00B33A55" w:rsidP="00B33A55">
      <w:pPr>
        <w:pStyle w:val="BodyText"/>
        <w:tabs>
          <w:tab w:val="left" w:pos="720"/>
        </w:tabs>
        <w:spacing w:line="480" w:lineRule="auto"/>
        <w:ind w:right="-54" w:firstLine="720"/>
        <w:jc w:val="both"/>
        <w:rPr>
          <w:b w:val="0"/>
          <w:bCs w:val="0"/>
        </w:rPr>
      </w:pPr>
      <w:r>
        <w:rPr>
          <w:b w:val="0"/>
          <w:bCs w:val="0"/>
        </w:rPr>
        <w:lastRenderedPageBreak/>
        <w:t>As is evident from the table, the proposals of ICNU and Public Counsel</w:t>
      </w:r>
      <w:r w:rsidR="000B5EDD">
        <w:rPr>
          <w:b w:val="0"/>
          <w:bCs w:val="0"/>
        </w:rPr>
        <w:t>, in particular,</w:t>
      </w:r>
      <w:r w:rsidR="00C8434E">
        <w:rPr>
          <w:b w:val="0"/>
          <w:bCs w:val="0"/>
        </w:rPr>
        <w:t xml:space="preserve"> in prior</w:t>
      </w:r>
      <w:r w:rsidR="000B5EDD">
        <w:rPr>
          <w:b w:val="0"/>
          <w:bCs w:val="0"/>
        </w:rPr>
        <w:t xml:space="preserve"> general</w:t>
      </w:r>
      <w:r w:rsidR="00C8434E">
        <w:rPr>
          <w:b w:val="0"/>
          <w:bCs w:val="0"/>
        </w:rPr>
        <w:t xml:space="preserve"> rate case</w:t>
      </w:r>
      <w:r w:rsidR="000B5EDD">
        <w:rPr>
          <w:b w:val="0"/>
          <w:bCs w:val="0"/>
        </w:rPr>
        <w:t>s</w:t>
      </w:r>
      <w:r>
        <w:rPr>
          <w:b w:val="0"/>
          <w:bCs w:val="0"/>
        </w:rPr>
        <w:t xml:space="preserve"> have been </w:t>
      </w:r>
      <w:r w:rsidRPr="00900EE7">
        <w:rPr>
          <w:b w:val="0"/>
          <w:bCs w:val="0"/>
          <w:u w:val="single"/>
        </w:rPr>
        <w:t>dramatically</w:t>
      </w:r>
      <w:r>
        <w:rPr>
          <w:b w:val="0"/>
          <w:bCs w:val="0"/>
        </w:rPr>
        <w:t xml:space="preserve"> below the revenue adjustments ultimat</w:t>
      </w:r>
      <w:r w:rsidR="00ED58C1">
        <w:rPr>
          <w:b w:val="0"/>
          <w:bCs w:val="0"/>
        </w:rPr>
        <w:t>ely ordered by the Commission</w:t>
      </w:r>
      <w:r w:rsidR="00560043">
        <w:rPr>
          <w:b w:val="0"/>
          <w:bCs w:val="0"/>
        </w:rPr>
        <w:t>,</w:t>
      </w:r>
      <w:r w:rsidR="00304544">
        <w:rPr>
          <w:b w:val="0"/>
          <w:bCs w:val="0"/>
        </w:rPr>
        <w:t xml:space="preserve"> on a consistent basis. </w:t>
      </w:r>
      <w:r w:rsidR="00026B3A">
        <w:rPr>
          <w:b w:val="0"/>
          <w:bCs w:val="0"/>
        </w:rPr>
        <w:t xml:space="preserve"> </w:t>
      </w:r>
      <w:r w:rsidR="00304544">
        <w:rPr>
          <w:b w:val="0"/>
          <w:bCs w:val="0"/>
        </w:rPr>
        <w:t>I</w:t>
      </w:r>
      <w:r w:rsidR="00C8434E">
        <w:rPr>
          <w:b w:val="0"/>
          <w:bCs w:val="0"/>
        </w:rPr>
        <w:t xml:space="preserve">n its </w:t>
      </w:r>
      <w:r w:rsidR="00DB5489">
        <w:rPr>
          <w:b w:val="0"/>
          <w:bCs w:val="0"/>
        </w:rPr>
        <w:t xml:space="preserve">recent </w:t>
      </w:r>
      <w:r w:rsidR="00C8434E">
        <w:rPr>
          <w:b w:val="0"/>
          <w:bCs w:val="0"/>
        </w:rPr>
        <w:t>orders approving the revenue adjustments, the Commission either explicitly or implicitly determined that the proposals of ICNU and Publi</w:t>
      </w:r>
      <w:r w:rsidR="00020398">
        <w:rPr>
          <w:b w:val="0"/>
          <w:bCs w:val="0"/>
        </w:rPr>
        <w:t>c Counsel were not reasonable.</w:t>
      </w:r>
    </w:p>
    <w:p w:rsidR="00020398" w:rsidRDefault="00020398" w:rsidP="00B33A55">
      <w:pPr>
        <w:pStyle w:val="BodyText"/>
        <w:tabs>
          <w:tab w:val="left" w:pos="720"/>
        </w:tabs>
        <w:spacing w:line="480" w:lineRule="auto"/>
        <w:ind w:right="-54" w:firstLine="720"/>
        <w:jc w:val="both"/>
        <w:rPr>
          <w:b w:val="0"/>
          <w:bCs w:val="0"/>
        </w:rPr>
      </w:pPr>
      <w:r>
        <w:rPr>
          <w:b w:val="0"/>
          <w:bCs w:val="0"/>
        </w:rPr>
        <w:t xml:space="preserve">Furthermore, as I will explain in more detail in the next section of my testimony, the after-the-fact earned returns for Avista confirm that the </w:t>
      </w:r>
      <w:r w:rsidR="008035C6">
        <w:rPr>
          <w:b w:val="0"/>
          <w:bCs w:val="0"/>
        </w:rPr>
        <w:t xml:space="preserve">revenue adjustments </w:t>
      </w:r>
      <w:r w:rsidR="00ED58C1">
        <w:rPr>
          <w:b w:val="0"/>
          <w:bCs w:val="0"/>
        </w:rPr>
        <w:t xml:space="preserve">ultimately </w:t>
      </w:r>
      <w:r w:rsidR="008035C6">
        <w:rPr>
          <w:b w:val="0"/>
          <w:bCs w:val="0"/>
        </w:rPr>
        <w:t xml:space="preserve">ordered by the Commission were reasonable, and </w:t>
      </w:r>
      <w:r w:rsidR="00E627B8">
        <w:rPr>
          <w:b w:val="0"/>
          <w:bCs w:val="0"/>
        </w:rPr>
        <w:t xml:space="preserve">that </w:t>
      </w:r>
      <w:r w:rsidR="008035C6">
        <w:rPr>
          <w:b w:val="0"/>
          <w:bCs w:val="0"/>
        </w:rPr>
        <w:t xml:space="preserve">the revenue adjustment proposals of ICNU and Public Counsel were indeed unreasonable.  For example, </w:t>
      </w:r>
      <w:r w:rsidR="00ED58C1">
        <w:rPr>
          <w:b w:val="0"/>
          <w:bCs w:val="0"/>
        </w:rPr>
        <w:t>in</w:t>
      </w:r>
      <w:r w:rsidR="00DB5489">
        <w:rPr>
          <w:b w:val="0"/>
          <w:bCs w:val="0"/>
        </w:rPr>
        <w:t xml:space="preserve"> the 2014 rate case (</w:t>
      </w:r>
      <w:r w:rsidR="00ED58C1">
        <w:rPr>
          <w:b w:val="0"/>
          <w:bCs w:val="0"/>
        </w:rPr>
        <w:t>Docket No</w:t>
      </w:r>
      <w:r w:rsidR="00297FBD">
        <w:rPr>
          <w:b w:val="0"/>
          <w:bCs w:val="0"/>
        </w:rPr>
        <w:t xml:space="preserve">. </w:t>
      </w:r>
      <w:r w:rsidR="00207C1C">
        <w:rPr>
          <w:b w:val="0"/>
          <w:bCs w:val="0"/>
        </w:rPr>
        <w:t>UE-140188</w:t>
      </w:r>
      <w:r w:rsidR="00DB5489">
        <w:rPr>
          <w:b w:val="0"/>
          <w:bCs w:val="0"/>
        </w:rPr>
        <w:t>)</w:t>
      </w:r>
      <w:r w:rsidR="00E55DF9">
        <w:rPr>
          <w:b w:val="0"/>
          <w:bCs w:val="0"/>
        </w:rPr>
        <w:t xml:space="preserve"> for the 2015 rate year</w:t>
      </w:r>
      <w:r w:rsidR="00207C1C">
        <w:rPr>
          <w:b w:val="0"/>
          <w:bCs w:val="0"/>
        </w:rPr>
        <w:t>,</w:t>
      </w:r>
      <w:r w:rsidR="00297FBD">
        <w:rPr>
          <w:b w:val="0"/>
          <w:bCs w:val="0"/>
        </w:rPr>
        <w:t xml:space="preserve"> the Commission approved an electric revenue adjustment of $</w:t>
      </w:r>
      <w:r w:rsidR="00207C1C">
        <w:rPr>
          <w:b w:val="0"/>
          <w:bCs w:val="0"/>
        </w:rPr>
        <w:t>12.3</w:t>
      </w:r>
      <w:r w:rsidR="00297FBD">
        <w:rPr>
          <w:b w:val="0"/>
          <w:bCs w:val="0"/>
        </w:rPr>
        <w:t xml:space="preserve"> million, together with an authorized </w:t>
      </w:r>
      <w:r w:rsidR="00207C1C">
        <w:rPr>
          <w:b w:val="0"/>
          <w:bCs w:val="0"/>
        </w:rPr>
        <w:t>rate of return</w:t>
      </w:r>
      <w:r w:rsidR="00ED58C1">
        <w:rPr>
          <w:b w:val="0"/>
          <w:bCs w:val="0"/>
        </w:rPr>
        <w:t xml:space="preserve"> </w:t>
      </w:r>
      <w:r w:rsidR="002F56C6">
        <w:rPr>
          <w:b w:val="0"/>
          <w:bCs w:val="0"/>
        </w:rPr>
        <w:t>(“ROR”)</w:t>
      </w:r>
      <w:r w:rsidR="009218EE">
        <w:rPr>
          <w:b w:val="0"/>
          <w:bCs w:val="0"/>
        </w:rPr>
        <w:t xml:space="preserve"> </w:t>
      </w:r>
      <w:r w:rsidR="00ED58C1">
        <w:rPr>
          <w:b w:val="0"/>
          <w:bCs w:val="0"/>
        </w:rPr>
        <w:t xml:space="preserve">of </w:t>
      </w:r>
      <w:r w:rsidR="00207C1C">
        <w:rPr>
          <w:b w:val="0"/>
          <w:bCs w:val="0"/>
        </w:rPr>
        <w:t>7.32%</w:t>
      </w:r>
      <w:r w:rsidR="009218EE">
        <w:rPr>
          <w:b w:val="0"/>
          <w:bCs w:val="0"/>
        </w:rPr>
        <w:t>.</w:t>
      </w:r>
    </w:p>
    <w:p w:rsidR="00634F77" w:rsidRDefault="00E542F5" w:rsidP="00634F77">
      <w:pPr>
        <w:pStyle w:val="BodyText"/>
        <w:tabs>
          <w:tab w:val="left" w:pos="720"/>
        </w:tabs>
        <w:spacing w:line="480" w:lineRule="auto"/>
        <w:ind w:right="-54" w:firstLine="720"/>
        <w:jc w:val="both"/>
        <w:rPr>
          <w:b w:val="0"/>
        </w:rPr>
      </w:pPr>
      <w:r>
        <w:rPr>
          <w:b w:val="0"/>
          <w:bCs w:val="0"/>
        </w:rPr>
        <w:t xml:space="preserve">We know now, after-the-fact, that Avista </w:t>
      </w:r>
      <w:r w:rsidRPr="007B7B9D">
        <w:rPr>
          <w:b w:val="0"/>
          <w:bCs w:val="0"/>
        </w:rPr>
        <w:t>earned an RO</w:t>
      </w:r>
      <w:r w:rsidR="002F56C6" w:rsidRPr="007B7B9D">
        <w:rPr>
          <w:b w:val="0"/>
          <w:bCs w:val="0"/>
        </w:rPr>
        <w:t>R</w:t>
      </w:r>
      <w:r w:rsidRPr="007B7B9D">
        <w:rPr>
          <w:b w:val="0"/>
          <w:bCs w:val="0"/>
        </w:rPr>
        <w:t xml:space="preserve"> of </w:t>
      </w:r>
      <w:r w:rsidR="007B7B9D" w:rsidRPr="007B7B9D">
        <w:rPr>
          <w:b w:val="0"/>
          <w:bCs w:val="0"/>
        </w:rPr>
        <w:t>7.</w:t>
      </w:r>
      <w:r w:rsidR="00DB5489">
        <w:rPr>
          <w:b w:val="0"/>
          <w:bCs w:val="0"/>
        </w:rPr>
        <w:t>33</w:t>
      </w:r>
      <w:r w:rsidRPr="007B7B9D">
        <w:rPr>
          <w:b w:val="0"/>
          <w:bCs w:val="0"/>
        </w:rPr>
        <w:t xml:space="preserve">% </w:t>
      </w:r>
      <w:r w:rsidR="00DB5489">
        <w:rPr>
          <w:b w:val="0"/>
          <w:bCs w:val="0"/>
        </w:rPr>
        <w:t xml:space="preserve">for its electric operations </w:t>
      </w:r>
      <w:r w:rsidRPr="007B7B9D">
        <w:rPr>
          <w:b w:val="0"/>
          <w:bCs w:val="0"/>
        </w:rPr>
        <w:t xml:space="preserve">for that </w:t>
      </w:r>
      <w:r w:rsidR="002F56C6" w:rsidRPr="007B7B9D">
        <w:rPr>
          <w:b w:val="0"/>
          <w:bCs w:val="0"/>
        </w:rPr>
        <w:t>2015</w:t>
      </w:r>
      <w:r w:rsidRPr="007B7B9D">
        <w:rPr>
          <w:b w:val="0"/>
          <w:bCs w:val="0"/>
        </w:rPr>
        <w:t xml:space="preserve"> rate year</w:t>
      </w:r>
      <w:r w:rsidR="00634F77">
        <w:rPr>
          <w:b w:val="0"/>
          <w:bCs w:val="0"/>
        </w:rPr>
        <w:t>, w</w:t>
      </w:r>
      <w:r w:rsidR="00634F77">
        <w:rPr>
          <w:b w:val="0"/>
        </w:rPr>
        <w:t xml:space="preserve">hich was almost identical to the authorized ROR of 7.32%.  By comparison, for illustrative purposes, if the Commission had approved the ICNU proposed electric revenue </w:t>
      </w:r>
      <w:r w:rsidR="00634F77" w:rsidRPr="003666CC">
        <w:rPr>
          <w:b w:val="0"/>
          <w:u w:val="single"/>
        </w:rPr>
        <w:t>decrease</w:t>
      </w:r>
      <w:r w:rsidR="00634F77">
        <w:rPr>
          <w:b w:val="0"/>
        </w:rPr>
        <w:t xml:space="preserve"> of $39.8 million for 2015, instead of the $12.3 million </w:t>
      </w:r>
      <w:r w:rsidR="00634F77" w:rsidRPr="003666CC">
        <w:rPr>
          <w:b w:val="0"/>
          <w:u w:val="single"/>
        </w:rPr>
        <w:t>increase</w:t>
      </w:r>
      <w:r w:rsidR="00634F77">
        <w:rPr>
          <w:b w:val="0"/>
        </w:rPr>
        <w:t xml:space="preserve">, Avista’s earned ROR for 2015 would have been an ROR of 4.95%, which is </w:t>
      </w:r>
      <w:r w:rsidR="00E627B8">
        <w:rPr>
          <w:b w:val="0"/>
        </w:rPr>
        <w:t>dramatically</w:t>
      </w:r>
      <w:r w:rsidR="00634F77">
        <w:rPr>
          <w:b w:val="0"/>
        </w:rPr>
        <w:t xml:space="preserve"> below the Commission authorized ROR for the period of 7.32%.</w:t>
      </w:r>
      <w:r w:rsidR="00634F77">
        <w:rPr>
          <w:rStyle w:val="FootnoteReference"/>
          <w:b w:val="0"/>
        </w:rPr>
        <w:footnoteReference w:id="6"/>
      </w:r>
    </w:p>
    <w:p w:rsidR="00ED58C1" w:rsidRDefault="00D441BC" w:rsidP="00B33A55">
      <w:pPr>
        <w:pStyle w:val="BodyText"/>
        <w:tabs>
          <w:tab w:val="left" w:pos="720"/>
        </w:tabs>
        <w:spacing w:line="480" w:lineRule="auto"/>
        <w:ind w:right="-54" w:firstLine="720"/>
        <w:jc w:val="both"/>
        <w:rPr>
          <w:b w:val="0"/>
        </w:rPr>
      </w:pPr>
      <w:r w:rsidRPr="007B7B9D">
        <w:rPr>
          <w:b w:val="0"/>
        </w:rPr>
        <w:t>Each year, on or before April 30</w:t>
      </w:r>
      <w:r w:rsidRPr="007B7B9D">
        <w:rPr>
          <w:b w:val="0"/>
          <w:vertAlign w:val="superscript"/>
        </w:rPr>
        <w:t>th</w:t>
      </w:r>
      <w:r w:rsidRPr="007B7B9D">
        <w:rPr>
          <w:b w:val="0"/>
        </w:rPr>
        <w:t>, Avista files a Commission</w:t>
      </w:r>
      <w:r w:rsidRPr="00D441BC">
        <w:rPr>
          <w:b w:val="0"/>
        </w:rPr>
        <w:t xml:space="preserve"> Basis Report (CBR) with the Commission to report its earned return for the prior calendar year on a normalized basis.  This CBR report is based on a methodology adopted by the Commission, and the CBR return reflects Avista’</w:t>
      </w:r>
      <w:r w:rsidR="00900EE7">
        <w:rPr>
          <w:b w:val="0"/>
        </w:rPr>
        <w:t>s return for that prior</w:t>
      </w:r>
      <w:r w:rsidRPr="00D441BC">
        <w:rPr>
          <w:b w:val="0"/>
        </w:rPr>
        <w:t xml:space="preserve"> year based on normal operating conditions during the period, e.g., normal temperatures, normal hydroelectric production, and normal wholesale </w:t>
      </w:r>
      <w:r w:rsidRPr="00D441BC">
        <w:rPr>
          <w:b w:val="0"/>
        </w:rPr>
        <w:lastRenderedPageBreak/>
        <w:t xml:space="preserve">market conditions.  These normalized conditions are comparable to the conditions under which retail rates were </w:t>
      </w:r>
      <w:r w:rsidR="002C2978">
        <w:rPr>
          <w:b w:val="0"/>
        </w:rPr>
        <w:t xml:space="preserve">originally </w:t>
      </w:r>
      <w:r w:rsidRPr="00D441BC">
        <w:rPr>
          <w:b w:val="0"/>
        </w:rPr>
        <w:t>set in the prior general r</w:t>
      </w:r>
      <w:r w:rsidR="00900EE7">
        <w:rPr>
          <w:b w:val="0"/>
        </w:rPr>
        <w:t xml:space="preserve">ate case for that </w:t>
      </w:r>
      <w:r w:rsidRPr="00D441BC">
        <w:rPr>
          <w:b w:val="0"/>
        </w:rPr>
        <w:t>rate period.  Therefore, this CBR report provides an</w:t>
      </w:r>
      <w:r w:rsidR="00E361BF">
        <w:rPr>
          <w:b w:val="0"/>
        </w:rPr>
        <w:t xml:space="preserve"> </w:t>
      </w:r>
      <w:r w:rsidR="00E361BF" w:rsidRPr="00D441BC">
        <w:rPr>
          <w:b w:val="0"/>
        </w:rPr>
        <w:t>after-the-fact</w:t>
      </w:r>
      <w:r w:rsidR="00E361BF">
        <w:rPr>
          <w:b w:val="0"/>
        </w:rPr>
        <w:t xml:space="preserve">, </w:t>
      </w:r>
      <w:r w:rsidRPr="00D441BC">
        <w:rPr>
          <w:b w:val="0"/>
        </w:rPr>
        <w:t>“apples-to-apples” comparison of the RO</w:t>
      </w:r>
      <w:r w:rsidR="002F56C6">
        <w:rPr>
          <w:b w:val="0"/>
        </w:rPr>
        <w:t>R</w:t>
      </w:r>
      <w:r w:rsidRPr="00D441BC">
        <w:rPr>
          <w:b w:val="0"/>
        </w:rPr>
        <w:t xml:space="preserve"> actually earn</w:t>
      </w:r>
      <w:r w:rsidR="00026B3A">
        <w:rPr>
          <w:b w:val="0"/>
        </w:rPr>
        <w:t>ed</w:t>
      </w:r>
      <w:r w:rsidRPr="00D441BC">
        <w:rPr>
          <w:b w:val="0"/>
        </w:rPr>
        <w:t xml:space="preserve"> by Avista during that rate period, versus the RO</w:t>
      </w:r>
      <w:r w:rsidR="002F56C6">
        <w:rPr>
          <w:b w:val="0"/>
        </w:rPr>
        <w:t>R</w:t>
      </w:r>
      <w:r w:rsidRPr="00D441BC">
        <w:rPr>
          <w:b w:val="0"/>
        </w:rPr>
        <w:t xml:space="preserve"> authorized </w:t>
      </w:r>
      <w:r w:rsidR="00A50D16">
        <w:rPr>
          <w:b w:val="0"/>
        </w:rPr>
        <w:t>by the Commission</w:t>
      </w:r>
      <w:r w:rsidRPr="00D441BC">
        <w:rPr>
          <w:b w:val="0"/>
        </w:rPr>
        <w:t xml:space="preserve"> for that same period.</w:t>
      </w:r>
    </w:p>
    <w:p w:rsidR="00053353" w:rsidRDefault="00053353" w:rsidP="00B33A55">
      <w:pPr>
        <w:pStyle w:val="BodyText"/>
        <w:tabs>
          <w:tab w:val="left" w:pos="720"/>
        </w:tabs>
        <w:spacing w:line="480" w:lineRule="auto"/>
        <w:ind w:right="-54" w:firstLine="720"/>
        <w:jc w:val="both"/>
        <w:rPr>
          <w:b w:val="0"/>
        </w:rPr>
      </w:pPr>
      <w:r>
        <w:rPr>
          <w:b w:val="0"/>
        </w:rPr>
        <w:t>As in the prior general rate cases, the electric and natural gas revenue adjustment pr</w:t>
      </w:r>
      <w:r w:rsidR="002B1A0D">
        <w:rPr>
          <w:b w:val="0"/>
        </w:rPr>
        <w:t>oposals presented by ICNU</w:t>
      </w:r>
      <w:r>
        <w:rPr>
          <w:b w:val="0"/>
        </w:rPr>
        <w:t xml:space="preserve"> and Staff </w:t>
      </w:r>
      <w:r w:rsidR="00C07D61" w:rsidRPr="000D7D14">
        <w:rPr>
          <w:b w:val="0"/>
          <w:u w:val="single"/>
        </w:rPr>
        <w:t>in this case</w:t>
      </w:r>
      <w:r w:rsidR="00C07D61">
        <w:rPr>
          <w:b w:val="0"/>
        </w:rPr>
        <w:t xml:space="preserve"> </w:t>
      </w:r>
      <w:r>
        <w:rPr>
          <w:b w:val="0"/>
        </w:rPr>
        <w:t xml:space="preserve">are not reasonable, and will not provide Avista with the opportunity to earn a reasonable return during the rate period.  </w:t>
      </w:r>
      <w:r w:rsidR="002C2978">
        <w:rPr>
          <w:b w:val="0"/>
        </w:rPr>
        <w:t xml:space="preserve">And as noted earlier, Public Counsel did not present revenue adjustment proposals for the Commission’s consideration.  </w:t>
      </w:r>
      <w:r>
        <w:rPr>
          <w:b w:val="0"/>
        </w:rPr>
        <w:t>The evidence presented in these dockets, including all of the most recent updated information, supports revenue adjustments in line with those proposed by the Company.</w:t>
      </w:r>
    </w:p>
    <w:p w:rsidR="00BE7825" w:rsidRPr="00BC5512" w:rsidRDefault="00BD6BAD" w:rsidP="00867849">
      <w:pPr>
        <w:pStyle w:val="BodyText"/>
        <w:tabs>
          <w:tab w:val="left" w:pos="720"/>
        </w:tabs>
        <w:spacing w:line="480" w:lineRule="auto"/>
        <w:ind w:right="-54"/>
        <w:jc w:val="both"/>
        <w:rPr>
          <w:bCs w:val="0"/>
        </w:rPr>
      </w:pPr>
      <w:r w:rsidRPr="00BC5512">
        <w:rPr>
          <w:bCs w:val="0"/>
        </w:rPr>
        <w:tab/>
        <w:t>Q.</w:t>
      </w:r>
      <w:r w:rsidRPr="00BC5512">
        <w:rPr>
          <w:bCs w:val="0"/>
        </w:rPr>
        <w:tab/>
        <w:t xml:space="preserve">How do the </w:t>
      </w:r>
      <w:r w:rsidRPr="00BC5512">
        <w:rPr>
          <w:bCs w:val="0"/>
          <w:u w:val="single"/>
        </w:rPr>
        <w:t>natural gas</w:t>
      </w:r>
      <w:r w:rsidRPr="00BC5512">
        <w:rPr>
          <w:bCs w:val="0"/>
        </w:rPr>
        <w:t xml:space="preserve"> revenue adjustment proposals of the non-Company parties, for the same time frame, compare with that ordered by the Commission?</w:t>
      </w:r>
    </w:p>
    <w:p w:rsidR="002D627E" w:rsidRPr="002D627E" w:rsidRDefault="00BD6BAD" w:rsidP="002D627E">
      <w:pPr>
        <w:pStyle w:val="BodyText"/>
        <w:tabs>
          <w:tab w:val="left" w:pos="720"/>
        </w:tabs>
        <w:spacing w:line="480" w:lineRule="auto"/>
        <w:ind w:right="-54" w:firstLine="720"/>
        <w:jc w:val="both"/>
        <w:rPr>
          <w:b w:val="0"/>
          <w:bCs w:val="0"/>
        </w:rPr>
      </w:pPr>
      <w:r>
        <w:rPr>
          <w:b w:val="0"/>
          <w:bCs w:val="0"/>
        </w:rPr>
        <w:t>A.</w:t>
      </w:r>
      <w:r>
        <w:rPr>
          <w:b w:val="0"/>
          <w:bCs w:val="0"/>
        </w:rPr>
        <w:tab/>
      </w:r>
      <w:r w:rsidR="00BC5512">
        <w:rPr>
          <w:b w:val="0"/>
          <w:bCs w:val="0"/>
        </w:rPr>
        <w:t>T</w:t>
      </w:r>
      <w:r w:rsidR="00587A27">
        <w:rPr>
          <w:b w:val="0"/>
          <w:bCs w:val="0"/>
        </w:rPr>
        <w:t xml:space="preserve">able No. </w:t>
      </w:r>
      <w:r w:rsidR="00BC5512">
        <w:rPr>
          <w:b w:val="0"/>
          <w:bCs w:val="0"/>
        </w:rPr>
        <w:t>2 below summarizes the natural gas r</w:t>
      </w:r>
      <w:r w:rsidR="002B1A0D">
        <w:rPr>
          <w:b w:val="0"/>
          <w:bCs w:val="0"/>
        </w:rPr>
        <w:t xml:space="preserve">evenue adjustment proposals of </w:t>
      </w:r>
      <w:r w:rsidR="00BC5512">
        <w:rPr>
          <w:b w:val="0"/>
          <w:bCs w:val="0"/>
        </w:rPr>
        <w:t>NWIGU, Public Counsel and Staff for the 201</w:t>
      </w:r>
      <w:r w:rsidR="00BD3907">
        <w:rPr>
          <w:b w:val="0"/>
          <w:bCs w:val="0"/>
        </w:rPr>
        <w:t>2</w:t>
      </w:r>
      <w:r w:rsidR="00BC5512">
        <w:rPr>
          <w:b w:val="0"/>
          <w:bCs w:val="0"/>
        </w:rPr>
        <w:t xml:space="preserve"> to 2015 general rate cases</w:t>
      </w:r>
      <w:r w:rsidR="00BD3907">
        <w:rPr>
          <w:b w:val="0"/>
          <w:bCs w:val="0"/>
        </w:rPr>
        <w:t>, which established retail rates for the 2013 through 2016 rate years</w:t>
      </w:r>
      <w:r w:rsidR="00BC5512">
        <w:rPr>
          <w:b w:val="0"/>
          <w:bCs w:val="0"/>
        </w:rPr>
        <w:t xml:space="preserve">.  The table also shows the revenue adjustments ultimately ordered by the Commission in those cases.  </w:t>
      </w:r>
      <w:r w:rsidR="002D627E">
        <w:rPr>
          <w:bCs w:val="0"/>
          <w:u w:val="single"/>
        </w:rPr>
        <w:br w:type="page"/>
      </w:r>
    </w:p>
    <w:p w:rsidR="00587A27" w:rsidRPr="00757001" w:rsidRDefault="00587A27" w:rsidP="00587A27">
      <w:pPr>
        <w:pStyle w:val="BodyText"/>
        <w:tabs>
          <w:tab w:val="left" w:pos="720"/>
        </w:tabs>
        <w:spacing w:line="480" w:lineRule="auto"/>
        <w:ind w:right="-54"/>
        <w:jc w:val="both"/>
        <w:rPr>
          <w:bCs w:val="0"/>
          <w:u w:val="single"/>
        </w:rPr>
      </w:pPr>
      <w:r w:rsidRPr="00757001">
        <w:rPr>
          <w:bCs w:val="0"/>
          <w:u w:val="single"/>
        </w:rPr>
        <w:lastRenderedPageBreak/>
        <w:t xml:space="preserve">Table No. </w:t>
      </w:r>
      <w:r>
        <w:rPr>
          <w:bCs w:val="0"/>
          <w:u w:val="single"/>
        </w:rPr>
        <w:t>2</w:t>
      </w:r>
      <w:r w:rsidRPr="00757001">
        <w:rPr>
          <w:bCs w:val="0"/>
          <w:u w:val="single"/>
        </w:rPr>
        <w:t xml:space="preserve"> – Summary of </w:t>
      </w:r>
      <w:r>
        <w:rPr>
          <w:bCs w:val="0"/>
          <w:u w:val="single"/>
        </w:rPr>
        <w:t>Natural Gas</w:t>
      </w:r>
      <w:r w:rsidRPr="00757001">
        <w:rPr>
          <w:bCs w:val="0"/>
          <w:u w:val="single"/>
        </w:rPr>
        <w:t xml:space="preserve"> Revenue Adjustment Proposals ($ millions)</w:t>
      </w:r>
    </w:p>
    <w:p w:rsidR="00BC5512" w:rsidRDefault="003666CC" w:rsidP="00587A27">
      <w:pPr>
        <w:pStyle w:val="BodyText"/>
        <w:tabs>
          <w:tab w:val="left" w:pos="720"/>
        </w:tabs>
        <w:spacing w:line="480" w:lineRule="auto"/>
        <w:ind w:right="-54"/>
        <w:jc w:val="both"/>
        <w:rPr>
          <w:b w:val="0"/>
          <w:bCs w:val="0"/>
        </w:rPr>
      </w:pPr>
      <w:r w:rsidRPr="003666CC">
        <w:rPr>
          <w:noProof/>
          <w:lang w:eastAsia="en-US"/>
        </w:rPr>
        <w:drawing>
          <wp:anchor distT="0" distB="0" distL="114300" distR="114300" simplePos="0" relativeHeight="251670528" behindDoc="1" locked="0" layoutInCell="1" allowOverlap="1" wp14:anchorId="59D257DE" wp14:editId="7581C878">
            <wp:simplePos x="0" y="0"/>
            <wp:positionH relativeFrom="page">
              <wp:align>center</wp:align>
            </wp:positionH>
            <wp:positionV relativeFrom="paragraph">
              <wp:posOffset>5080</wp:posOffset>
            </wp:positionV>
            <wp:extent cx="4744720" cy="1794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720"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A27" w:rsidRDefault="00587A27" w:rsidP="00587A27">
      <w:pPr>
        <w:pStyle w:val="BodyText"/>
        <w:tabs>
          <w:tab w:val="left" w:pos="720"/>
        </w:tabs>
        <w:spacing w:line="480" w:lineRule="auto"/>
        <w:ind w:right="-54"/>
        <w:jc w:val="both"/>
        <w:rPr>
          <w:b w:val="0"/>
          <w:bCs w:val="0"/>
        </w:rPr>
      </w:pPr>
    </w:p>
    <w:p w:rsidR="00587A27" w:rsidRDefault="00587A27" w:rsidP="00587A27">
      <w:pPr>
        <w:pStyle w:val="BodyText"/>
        <w:tabs>
          <w:tab w:val="left" w:pos="720"/>
        </w:tabs>
        <w:spacing w:line="480" w:lineRule="auto"/>
        <w:ind w:right="-54"/>
        <w:jc w:val="both"/>
        <w:rPr>
          <w:b w:val="0"/>
          <w:bCs w:val="0"/>
        </w:rPr>
      </w:pPr>
    </w:p>
    <w:p w:rsidR="00587A27" w:rsidRDefault="00587A27" w:rsidP="00587A27">
      <w:pPr>
        <w:pStyle w:val="BodyText"/>
        <w:tabs>
          <w:tab w:val="left" w:pos="720"/>
        </w:tabs>
        <w:spacing w:line="480" w:lineRule="auto"/>
        <w:ind w:right="-54"/>
        <w:jc w:val="both"/>
        <w:rPr>
          <w:b w:val="0"/>
          <w:bCs w:val="0"/>
        </w:rPr>
      </w:pPr>
    </w:p>
    <w:p w:rsidR="00587A27" w:rsidRDefault="00587A27" w:rsidP="00587A27">
      <w:pPr>
        <w:pStyle w:val="BodyText"/>
        <w:tabs>
          <w:tab w:val="left" w:pos="720"/>
        </w:tabs>
        <w:spacing w:line="480" w:lineRule="auto"/>
        <w:ind w:right="-54"/>
        <w:jc w:val="both"/>
        <w:rPr>
          <w:b w:val="0"/>
          <w:bCs w:val="0"/>
        </w:rPr>
      </w:pPr>
    </w:p>
    <w:p w:rsidR="007D4EE6" w:rsidRDefault="007D4EE6" w:rsidP="00BC5512">
      <w:pPr>
        <w:pStyle w:val="BodyText"/>
        <w:tabs>
          <w:tab w:val="left" w:pos="720"/>
        </w:tabs>
        <w:spacing w:line="480" w:lineRule="auto"/>
        <w:ind w:right="-54" w:firstLine="720"/>
        <w:jc w:val="both"/>
        <w:rPr>
          <w:b w:val="0"/>
          <w:bCs w:val="0"/>
        </w:rPr>
      </w:pPr>
    </w:p>
    <w:p w:rsidR="00BC5512" w:rsidRDefault="00BC5512" w:rsidP="00BC5512">
      <w:pPr>
        <w:pStyle w:val="BodyText"/>
        <w:tabs>
          <w:tab w:val="left" w:pos="720"/>
        </w:tabs>
        <w:spacing w:line="480" w:lineRule="auto"/>
        <w:ind w:right="-54" w:firstLine="720"/>
        <w:jc w:val="both"/>
        <w:rPr>
          <w:b w:val="0"/>
          <w:bCs w:val="0"/>
        </w:rPr>
      </w:pPr>
      <w:r>
        <w:rPr>
          <w:b w:val="0"/>
          <w:bCs w:val="0"/>
        </w:rPr>
        <w:t>As is evident from the table, the proposals of Public Counsel, in particular, in pri</w:t>
      </w:r>
      <w:r w:rsidR="009A4A65">
        <w:rPr>
          <w:b w:val="0"/>
          <w:bCs w:val="0"/>
        </w:rPr>
        <w:t xml:space="preserve">or general rate cases have been well </w:t>
      </w:r>
      <w:r>
        <w:rPr>
          <w:b w:val="0"/>
          <w:bCs w:val="0"/>
        </w:rPr>
        <w:t>below the revenue adjustments ultimately ordered by the Commission</w:t>
      </w:r>
      <w:r w:rsidR="00BF5B02">
        <w:rPr>
          <w:b w:val="0"/>
          <w:bCs w:val="0"/>
        </w:rPr>
        <w:t>,</w:t>
      </w:r>
      <w:r>
        <w:rPr>
          <w:b w:val="0"/>
          <w:bCs w:val="0"/>
        </w:rPr>
        <w:t xml:space="preserve"> on a consistent basis.  </w:t>
      </w:r>
    </w:p>
    <w:p w:rsidR="00BC5512" w:rsidRDefault="00603768" w:rsidP="00BC5512">
      <w:pPr>
        <w:pStyle w:val="BodyText"/>
        <w:tabs>
          <w:tab w:val="left" w:pos="720"/>
        </w:tabs>
        <w:spacing w:line="480" w:lineRule="auto"/>
        <w:ind w:right="-54" w:firstLine="720"/>
        <w:jc w:val="both"/>
        <w:rPr>
          <w:b w:val="0"/>
          <w:bCs w:val="0"/>
        </w:rPr>
      </w:pPr>
      <w:r>
        <w:rPr>
          <w:b w:val="0"/>
          <w:bCs w:val="0"/>
        </w:rPr>
        <w:t>A</w:t>
      </w:r>
      <w:r w:rsidR="00BC5512">
        <w:rPr>
          <w:b w:val="0"/>
          <w:bCs w:val="0"/>
        </w:rPr>
        <w:t>s</w:t>
      </w:r>
      <w:r>
        <w:rPr>
          <w:b w:val="0"/>
          <w:bCs w:val="0"/>
        </w:rPr>
        <w:t xml:space="preserve"> with the</w:t>
      </w:r>
      <w:r w:rsidR="00BC5512">
        <w:rPr>
          <w:b w:val="0"/>
          <w:bCs w:val="0"/>
        </w:rPr>
        <w:t xml:space="preserve"> electric</w:t>
      </w:r>
      <w:r>
        <w:rPr>
          <w:b w:val="0"/>
          <w:bCs w:val="0"/>
        </w:rPr>
        <w:t xml:space="preserve"> proposals discussed immediately above</w:t>
      </w:r>
      <w:r w:rsidR="00BC5512">
        <w:rPr>
          <w:b w:val="0"/>
          <w:bCs w:val="0"/>
        </w:rPr>
        <w:t>, the next section of my testimony w</w:t>
      </w:r>
      <w:r>
        <w:rPr>
          <w:b w:val="0"/>
          <w:bCs w:val="0"/>
        </w:rPr>
        <w:t>i</w:t>
      </w:r>
      <w:r w:rsidR="00BC5512">
        <w:rPr>
          <w:b w:val="0"/>
          <w:bCs w:val="0"/>
        </w:rPr>
        <w:t>ll show that the after-the-fact earned returns for Avista’s natural gas operations confirm that the revenue a</w:t>
      </w:r>
      <w:r w:rsidR="002B1A0D">
        <w:rPr>
          <w:b w:val="0"/>
          <w:bCs w:val="0"/>
        </w:rPr>
        <w:t xml:space="preserve">djustment proposals of </w:t>
      </w:r>
      <w:r w:rsidR="009A4A65">
        <w:rPr>
          <w:b w:val="0"/>
          <w:bCs w:val="0"/>
        </w:rPr>
        <w:t xml:space="preserve">these parties </w:t>
      </w:r>
      <w:r w:rsidR="00BC5512">
        <w:rPr>
          <w:b w:val="0"/>
          <w:bCs w:val="0"/>
        </w:rPr>
        <w:t>were indeed unreasonable</w:t>
      </w:r>
      <w:r w:rsidR="00BF5B02">
        <w:rPr>
          <w:b w:val="0"/>
          <w:bCs w:val="0"/>
        </w:rPr>
        <w:t>.</w:t>
      </w:r>
    </w:p>
    <w:p w:rsidR="00483BF6" w:rsidRDefault="00483BF6" w:rsidP="0067397B">
      <w:pPr>
        <w:pStyle w:val="Heading5"/>
        <w:numPr>
          <w:ilvl w:val="0"/>
          <w:numId w:val="0"/>
        </w:numPr>
        <w:spacing w:line="240" w:lineRule="auto"/>
        <w:ind w:right="-58"/>
        <w:rPr>
          <w:rStyle w:val="PageNumber"/>
          <w:u w:val="single"/>
        </w:rPr>
      </w:pPr>
    </w:p>
    <w:p w:rsidR="004203B3" w:rsidRDefault="0082164A" w:rsidP="0067397B">
      <w:pPr>
        <w:pStyle w:val="Heading5"/>
        <w:numPr>
          <w:ilvl w:val="0"/>
          <w:numId w:val="0"/>
        </w:numPr>
        <w:spacing w:line="240" w:lineRule="auto"/>
        <w:ind w:right="-58"/>
        <w:rPr>
          <w:rStyle w:val="PageNumber"/>
          <w:u w:val="single"/>
        </w:rPr>
      </w:pPr>
      <w:r>
        <w:rPr>
          <w:rStyle w:val="PageNumber"/>
          <w:u w:val="single"/>
        </w:rPr>
        <w:t>IV</w:t>
      </w:r>
      <w:r w:rsidR="00587A27">
        <w:rPr>
          <w:rStyle w:val="PageNumber"/>
          <w:u w:val="single"/>
        </w:rPr>
        <w:t>. AFTER</w:t>
      </w:r>
      <w:r w:rsidR="00893BE1">
        <w:rPr>
          <w:rStyle w:val="PageNumber"/>
          <w:u w:val="single"/>
        </w:rPr>
        <w:t>-THE-FACT RESULTS CONFIRM THE REASONABLENESS OF THE COMMISSION</w:t>
      </w:r>
      <w:r w:rsidR="009D4032">
        <w:rPr>
          <w:rStyle w:val="PageNumber"/>
          <w:u w:val="single"/>
        </w:rPr>
        <w:t>’S</w:t>
      </w:r>
      <w:r w:rsidR="00893BE1">
        <w:rPr>
          <w:rStyle w:val="PageNumber"/>
          <w:u w:val="single"/>
        </w:rPr>
        <w:t xml:space="preserve"> RECENT REVENUE ADJUSTMENT DECISIONS</w:t>
      </w:r>
      <w:r>
        <w:rPr>
          <w:rStyle w:val="PageNumber"/>
          <w:u w:val="single"/>
        </w:rPr>
        <w:t xml:space="preserve"> </w:t>
      </w:r>
    </w:p>
    <w:p w:rsidR="0067397B" w:rsidRPr="0067397B" w:rsidRDefault="0067397B" w:rsidP="0067397B"/>
    <w:p w:rsidR="00BE7825" w:rsidRPr="008E01C7" w:rsidRDefault="00BE7825" w:rsidP="00BE7825">
      <w:pPr>
        <w:pStyle w:val="BodyText"/>
        <w:tabs>
          <w:tab w:val="left" w:pos="720"/>
        </w:tabs>
        <w:spacing w:line="480" w:lineRule="auto"/>
        <w:ind w:right="-54" w:firstLine="720"/>
        <w:jc w:val="both"/>
        <w:rPr>
          <w:bCs w:val="0"/>
        </w:rPr>
      </w:pPr>
      <w:r w:rsidRPr="008E01C7">
        <w:rPr>
          <w:bCs w:val="0"/>
        </w:rPr>
        <w:t>Q.</w:t>
      </w:r>
      <w:r w:rsidRPr="008E01C7">
        <w:rPr>
          <w:bCs w:val="0"/>
        </w:rPr>
        <w:tab/>
      </w:r>
      <w:r w:rsidR="00E20E7F">
        <w:rPr>
          <w:bCs w:val="0"/>
        </w:rPr>
        <w:t>What were Avista’s after-the-fact earned returns for 2013 through 2015, as compared with the returns authorized by the Commission?</w:t>
      </w:r>
    </w:p>
    <w:p w:rsidR="005F333F" w:rsidRPr="005F333F" w:rsidRDefault="00BE7825" w:rsidP="002D627E">
      <w:pPr>
        <w:pStyle w:val="BodyText"/>
        <w:tabs>
          <w:tab w:val="left" w:pos="720"/>
        </w:tabs>
        <w:spacing w:line="480" w:lineRule="auto"/>
        <w:ind w:right="-54" w:firstLine="720"/>
        <w:jc w:val="both"/>
        <w:rPr>
          <w:b w:val="0"/>
          <w:bCs w:val="0"/>
        </w:rPr>
      </w:pPr>
      <w:r>
        <w:rPr>
          <w:b w:val="0"/>
          <w:bCs w:val="0"/>
        </w:rPr>
        <w:t>A.</w:t>
      </w:r>
      <w:r w:rsidR="009C5AAB">
        <w:rPr>
          <w:b w:val="0"/>
          <w:bCs w:val="0"/>
        </w:rPr>
        <w:tab/>
      </w:r>
      <w:r w:rsidR="007D66E3">
        <w:rPr>
          <w:b w:val="0"/>
          <w:bCs w:val="0"/>
        </w:rPr>
        <w:t>For 2013 through 2015</w:t>
      </w:r>
      <w:r>
        <w:rPr>
          <w:b w:val="0"/>
          <w:bCs w:val="0"/>
        </w:rPr>
        <w:t xml:space="preserve">, Avista’s </w:t>
      </w:r>
      <w:r w:rsidRPr="00D028EE">
        <w:rPr>
          <w:b w:val="0"/>
          <w:bCs w:val="0"/>
          <w:u w:val="single"/>
        </w:rPr>
        <w:t>normalized</w:t>
      </w:r>
      <w:r>
        <w:rPr>
          <w:b w:val="0"/>
          <w:bCs w:val="0"/>
        </w:rPr>
        <w:t xml:space="preserve"> returns on equity </w:t>
      </w:r>
      <w:r w:rsidR="00A15C2F">
        <w:rPr>
          <w:b w:val="0"/>
          <w:bCs w:val="0"/>
        </w:rPr>
        <w:t xml:space="preserve">(“ROE”) </w:t>
      </w:r>
      <w:r>
        <w:rPr>
          <w:b w:val="0"/>
          <w:bCs w:val="0"/>
        </w:rPr>
        <w:t xml:space="preserve">for its electric and natural gas operations were as shown in the table below.  </w:t>
      </w:r>
      <w:r w:rsidRPr="00D028EE">
        <w:rPr>
          <w:b w:val="0"/>
          <w:bCs w:val="0"/>
          <w:u w:val="single"/>
        </w:rPr>
        <w:t>Actual</w:t>
      </w:r>
      <w:r w:rsidRPr="00D028EE">
        <w:rPr>
          <w:b w:val="0"/>
          <w:bCs w:val="0"/>
        </w:rPr>
        <w:t xml:space="preserve"> </w:t>
      </w:r>
      <w:r>
        <w:rPr>
          <w:b w:val="0"/>
          <w:bCs w:val="0"/>
        </w:rPr>
        <w:t>earned retur</w:t>
      </w:r>
      <w:r w:rsidR="00B36480">
        <w:rPr>
          <w:b w:val="0"/>
          <w:bCs w:val="0"/>
        </w:rPr>
        <w:t>ns are affected by</w:t>
      </w:r>
      <w:r w:rsidR="00FB0156">
        <w:rPr>
          <w:b w:val="0"/>
          <w:bCs w:val="0"/>
        </w:rPr>
        <w:t xml:space="preserve"> factors such as </w:t>
      </w:r>
      <w:r w:rsidR="00AB6846">
        <w:rPr>
          <w:b w:val="0"/>
          <w:bCs w:val="0"/>
        </w:rPr>
        <w:t xml:space="preserve">the </w:t>
      </w:r>
      <w:r>
        <w:rPr>
          <w:b w:val="0"/>
          <w:bCs w:val="0"/>
        </w:rPr>
        <w:t>impact</w:t>
      </w:r>
      <w:r w:rsidR="00026B3A">
        <w:rPr>
          <w:b w:val="0"/>
          <w:bCs w:val="0"/>
        </w:rPr>
        <w:t xml:space="preserve"> of</w:t>
      </w:r>
      <w:r>
        <w:rPr>
          <w:b w:val="0"/>
          <w:bCs w:val="0"/>
        </w:rPr>
        <w:t xml:space="preserve"> varying hydro-electric generation on power supply costs (that fall within the deadband of the Energy Recovery Mechanism), etc.  </w:t>
      </w:r>
      <w:r w:rsidR="00B76DC0">
        <w:rPr>
          <w:b w:val="0"/>
          <w:bCs w:val="0"/>
        </w:rPr>
        <w:t>T</w:t>
      </w:r>
      <w:r>
        <w:rPr>
          <w:b w:val="0"/>
          <w:bCs w:val="0"/>
        </w:rPr>
        <w:t>hese</w:t>
      </w:r>
      <w:r w:rsidR="00B76DC0">
        <w:rPr>
          <w:b w:val="0"/>
          <w:bCs w:val="0"/>
        </w:rPr>
        <w:t xml:space="preserve"> types of</w:t>
      </w:r>
      <w:r>
        <w:rPr>
          <w:b w:val="0"/>
          <w:bCs w:val="0"/>
        </w:rPr>
        <w:t xml:space="preserve"> abnormal conditions are normalized out for ratemaking</w:t>
      </w:r>
      <w:r w:rsidR="00AB6846">
        <w:rPr>
          <w:b w:val="0"/>
          <w:bCs w:val="0"/>
        </w:rPr>
        <w:t>,</w:t>
      </w:r>
      <w:r>
        <w:rPr>
          <w:b w:val="0"/>
          <w:bCs w:val="0"/>
        </w:rPr>
        <w:t xml:space="preserve"> and for the Company’s Commission Basis Reports filed annually with </w:t>
      </w:r>
      <w:r w:rsidR="007D66E3">
        <w:rPr>
          <w:b w:val="0"/>
          <w:bCs w:val="0"/>
        </w:rPr>
        <w:t>the Commission, as explained earlier.  These</w:t>
      </w:r>
      <w:r>
        <w:rPr>
          <w:b w:val="0"/>
          <w:bCs w:val="0"/>
        </w:rPr>
        <w:t xml:space="preserve"> normalized </w:t>
      </w:r>
      <w:r w:rsidR="007D66E3">
        <w:rPr>
          <w:b w:val="0"/>
          <w:bCs w:val="0"/>
        </w:rPr>
        <w:lastRenderedPageBreak/>
        <w:t xml:space="preserve">CBR </w:t>
      </w:r>
      <w:r>
        <w:rPr>
          <w:b w:val="0"/>
          <w:bCs w:val="0"/>
        </w:rPr>
        <w:t>resu</w:t>
      </w:r>
      <w:r w:rsidR="007D66E3">
        <w:rPr>
          <w:b w:val="0"/>
          <w:bCs w:val="0"/>
        </w:rPr>
        <w:t xml:space="preserve">lts </w:t>
      </w:r>
      <w:r w:rsidR="00D71494">
        <w:rPr>
          <w:b w:val="0"/>
          <w:bCs w:val="0"/>
        </w:rPr>
        <w:t>provide an after-the-fact, “apples-to-apples” comparison</w:t>
      </w:r>
      <w:r w:rsidR="007D66E3">
        <w:rPr>
          <w:b w:val="0"/>
          <w:bCs w:val="0"/>
        </w:rPr>
        <w:t xml:space="preserve"> with the ROE authorized by the Comm</w:t>
      </w:r>
      <w:r w:rsidR="0070471C">
        <w:rPr>
          <w:b w:val="0"/>
          <w:bCs w:val="0"/>
        </w:rPr>
        <w:t>ission for the respective periods</w:t>
      </w:r>
      <w:r w:rsidR="007D66E3">
        <w:rPr>
          <w:b w:val="0"/>
          <w:bCs w:val="0"/>
        </w:rPr>
        <w:t>.</w:t>
      </w:r>
    </w:p>
    <w:p w:rsidR="00BE7825" w:rsidRPr="00976DE3" w:rsidRDefault="00BE7825" w:rsidP="00BE7825">
      <w:pPr>
        <w:pStyle w:val="BodyText"/>
        <w:tabs>
          <w:tab w:val="left" w:pos="4140"/>
          <w:tab w:val="center" w:pos="4680"/>
          <w:tab w:val="right" w:pos="5220"/>
          <w:tab w:val="left" w:pos="5580"/>
          <w:tab w:val="center" w:pos="6300"/>
          <w:tab w:val="right" w:pos="6930"/>
          <w:tab w:val="left" w:pos="7380"/>
          <w:tab w:val="left" w:pos="7560"/>
          <w:tab w:val="center" w:pos="8190"/>
          <w:tab w:val="right" w:pos="8820"/>
        </w:tabs>
        <w:spacing w:line="240" w:lineRule="auto"/>
        <w:ind w:right="-54"/>
        <w:jc w:val="both"/>
        <w:rPr>
          <w:bCs w:val="0"/>
          <w:u w:val="single"/>
        </w:rPr>
      </w:pPr>
      <w:r w:rsidRPr="00976DE3">
        <w:rPr>
          <w:bCs w:val="0"/>
          <w:u w:val="single"/>
        </w:rPr>
        <w:t xml:space="preserve">Table No. </w:t>
      </w:r>
      <w:r>
        <w:rPr>
          <w:bCs w:val="0"/>
          <w:u w:val="single"/>
        </w:rPr>
        <w:t>3</w:t>
      </w:r>
      <w:r w:rsidR="007D66E3">
        <w:rPr>
          <w:bCs w:val="0"/>
          <w:u w:val="single"/>
        </w:rPr>
        <w:t xml:space="preserve"> – 2013 through 2015</w:t>
      </w:r>
      <w:r w:rsidRPr="00976DE3">
        <w:rPr>
          <w:bCs w:val="0"/>
          <w:u w:val="single"/>
        </w:rPr>
        <w:t xml:space="preserve"> Earned Return on Equity</w:t>
      </w:r>
    </w:p>
    <w:p w:rsidR="00C964C0" w:rsidRDefault="00C964C0"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spacing w:line="240" w:lineRule="auto"/>
        <w:ind w:left="360" w:right="-54"/>
        <w:jc w:val="both"/>
        <w:rPr>
          <w:b w:val="0"/>
          <w:bCs w:val="0"/>
        </w:rPr>
      </w:pPr>
      <w:r>
        <w:rPr>
          <w:b w:val="0"/>
          <w:bCs w:val="0"/>
        </w:rPr>
        <w:tab/>
      </w:r>
      <w:r>
        <w:rPr>
          <w:b w:val="0"/>
          <w:bCs w:val="0"/>
        </w:rPr>
        <w:tab/>
      </w:r>
      <w:r w:rsidR="00672281">
        <w:rPr>
          <w:b w:val="0"/>
          <w:bCs w:val="0"/>
        </w:rPr>
        <w:tab/>
      </w:r>
      <w:r w:rsidR="00672281">
        <w:rPr>
          <w:b w:val="0"/>
          <w:bCs w:val="0"/>
        </w:rPr>
        <w:tab/>
      </w:r>
      <w:r w:rsidR="00672281">
        <w:rPr>
          <w:b w:val="0"/>
          <w:bCs w:val="0"/>
        </w:rPr>
        <w:tab/>
      </w:r>
      <w:r w:rsidR="009341EF">
        <w:rPr>
          <w:b w:val="0"/>
          <w:bCs w:val="0"/>
        </w:rPr>
        <w:tab/>
      </w:r>
      <w:r w:rsidR="009341EF">
        <w:rPr>
          <w:b w:val="0"/>
          <w:bCs w:val="0"/>
        </w:rPr>
        <w:tab/>
      </w:r>
      <w:r>
        <w:rPr>
          <w:b w:val="0"/>
          <w:bCs w:val="0"/>
        </w:rPr>
        <w:tab/>
      </w:r>
    </w:p>
    <w:p w:rsidR="00672281" w:rsidRDefault="00BE7825"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spacing w:line="240" w:lineRule="auto"/>
        <w:ind w:left="360" w:right="-54"/>
        <w:jc w:val="both"/>
        <w:rPr>
          <w:b w:val="0"/>
          <w:bCs w:val="0"/>
        </w:rPr>
      </w:pPr>
      <w:r w:rsidRPr="00EF2014">
        <w:rPr>
          <w:b w:val="0"/>
          <w:bCs w:val="0"/>
        </w:rPr>
        <w:tab/>
      </w:r>
      <w:r w:rsidRPr="00EF2014">
        <w:rPr>
          <w:b w:val="0"/>
          <w:bCs w:val="0"/>
        </w:rPr>
        <w:tab/>
      </w:r>
      <w:r w:rsidR="00672281">
        <w:rPr>
          <w:b w:val="0"/>
          <w:bCs w:val="0"/>
        </w:rPr>
        <w:t>CBR</w:t>
      </w:r>
      <w:r w:rsidRPr="00EF2014">
        <w:rPr>
          <w:b w:val="0"/>
          <w:bCs w:val="0"/>
        </w:rPr>
        <w:tab/>
      </w:r>
      <w:r w:rsidRPr="00EF2014">
        <w:rPr>
          <w:b w:val="0"/>
          <w:bCs w:val="0"/>
        </w:rPr>
        <w:tab/>
      </w:r>
      <w:r w:rsidRPr="00EF2014">
        <w:rPr>
          <w:b w:val="0"/>
          <w:bCs w:val="0"/>
        </w:rPr>
        <w:tab/>
      </w:r>
      <w:proofErr w:type="spellStart"/>
      <w:r w:rsidR="00672281">
        <w:rPr>
          <w:b w:val="0"/>
          <w:bCs w:val="0"/>
        </w:rPr>
        <w:t>CBR</w:t>
      </w:r>
      <w:proofErr w:type="spellEnd"/>
      <w:r w:rsidRPr="00EF2014">
        <w:rPr>
          <w:b w:val="0"/>
          <w:bCs w:val="0"/>
        </w:rPr>
        <w:tab/>
      </w:r>
      <w:r w:rsidR="00A516FF">
        <w:rPr>
          <w:b w:val="0"/>
          <w:bCs w:val="0"/>
        </w:rPr>
        <w:t xml:space="preserve">        </w:t>
      </w:r>
      <w:proofErr w:type="spellStart"/>
      <w:r w:rsidR="00A516FF">
        <w:rPr>
          <w:b w:val="0"/>
          <w:bCs w:val="0"/>
        </w:rPr>
        <w:t>CBR</w:t>
      </w:r>
      <w:proofErr w:type="spellEnd"/>
      <w:r w:rsidR="00A516FF">
        <w:rPr>
          <w:b w:val="0"/>
          <w:bCs w:val="0"/>
        </w:rPr>
        <w:t xml:space="preserve"> </w:t>
      </w:r>
      <w:r w:rsidRPr="00EF2014">
        <w:rPr>
          <w:b w:val="0"/>
          <w:bCs w:val="0"/>
        </w:rPr>
        <w:t xml:space="preserve">Total </w:t>
      </w:r>
      <w:r w:rsidR="00672281">
        <w:rPr>
          <w:b w:val="0"/>
          <w:bCs w:val="0"/>
        </w:rPr>
        <w:t xml:space="preserve">WA </w:t>
      </w:r>
    </w:p>
    <w:p w:rsidR="00BE7825" w:rsidRPr="00EF2014" w:rsidRDefault="00672281"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spacing w:line="240" w:lineRule="auto"/>
        <w:ind w:left="360" w:right="-54"/>
        <w:jc w:val="both"/>
        <w:rPr>
          <w:b w:val="0"/>
          <w:bCs w:val="0"/>
        </w:rPr>
      </w:pPr>
      <w:r>
        <w:rPr>
          <w:b w:val="0"/>
          <w:bCs w:val="0"/>
        </w:rPr>
        <w:tab/>
      </w:r>
      <w:r>
        <w:rPr>
          <w:b w:val="0"/>
          <w:bCs w:val="0"/>
        </w:rPr>
        <w:tab/>
      </w:r>
      <w:r w:rsidRPr="00EF2014">
        <w:rPr>
          <w:b w:val="0"/>
          <w:bCs w:val="0"/>
        </w:rPr>
        <w:t>Electric</w:t>
      </w:r>
      <w:r>
        <w:rPr>
          <w:b w:val="0"/>
          <w:bCs w:val="0"/>
        </w:rPr>
        <w:tab/>
      </w:r>
      <w:r>
        <w:rPr>
          <w:b w:val="0"/>
          <w:bCs w:val="0"/>
        </w:rPr>
        <w:tab/>
      </w:r>
      <w:r>
        <w:rPr>
          <w:b w:val="0"/>
          <w:bCs w:val="0"/>
        </w:rPr>
        <w:tab/>
        <w:t>Natural Gas</w:t>
      </w:r>
      <w:r>
        <w:rPr>
          <w:b w:val="0"/>
          <w:bCs w:val="0"/>
        </w:rPr>
        <w:tab/>
      </w:r>
      <w:r>
        <w:rPr>
          <w:b w:val="0"/>
          <w:bCs w:val="0"/>
        </w:rPr>
        <w:tab/>
        <w:t xml:space="preserve">  Jurisdiction</w:t>
      </w:r>
      <w:r w:rsidR="00366BC7">
        <w:rPr>
          <w:b w:val="0"/>
          <w:bCs w:val="0"/>
        </w:rPr>
        <w:tab/>
      </w:r>
      <w:r w:rsidR="00366BC7">
        <w:rPr>
          <w:b w:val="0"/>
          <w:bCs w:val="0"/>
        </w:rPr>
        <w:tab/>
      </w:r>
      <w:r w:rsidR="00366BC7">
        <w:rPr>
          <w:b w:val="0"/>
          <w:bCs w:val="0"/>
        </w:rPr>
        <w:tab/>
        <w:t>Authorized</w:t>
      </w:r>
    </w:p>
    <w:p w:rsidR="00BE7825" w:rsidRPr="00EF2014" w:rsidRDefault="00BE7825"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firstLine="720"/>
        <w:jc w:val="both"/>
        <w:rPr>
          <w:b w:val="0"/>
          <w:bCs w:val="0"/>
          <w:u w:val="single"/>
        </w:rPr>
      </w:pPr>
      <w:r w:rsidRPr="00EF2014">
        <w:rPr>
          <w:b w:val="0"/>
          <w:bCs w:val="0"/>
        </w:rPr>
        <w:tab/>
      </w:r>
      <w:r w:rsidRPr="00EF2014">
        <w:rPr>
          <w:b w:val="0"/>
          <w:bCs w:val="0"/>
          <w:u w:val="single"/>
        </w:rPr>
        <w:tab/>
        <w:t xml:space="preserve">ROE    </w:t>
      </w:r>
      <w:r w:rsidRPr="00EF2014">
        <w:rPr>
          <w:b w:val="0"/>
          <w:bCs w:val="0"/>
        </w:rPr>
        <w:tab/>
      </w:r>
      <w:r w:rsidRPr="00EF2014">
        <w:rPr>
          <w:b w:val="0"/>
          <w:bCs w:val="0"/>
        </w:rPr>
        <w:tab/>
      </w:r>
      <w:r w:rsidRPr="00EF2014">
        <w:rPr>
          <w:b w:val="0"/>
          <w:bCs w:val="0"/>
          <w:u w:val="single"/>
        </w:rPr>
        <w:tab/>
      </w:r>
      <w:proofErr w:type="spellStart"/>
      <w:r w:rsidRPr="00EF2014">
        <w:rPr>
          <w:b w:val="0"/>
          <w:bCs w:val="0"/>
          <w:u w:val="single"/>
        </w:rPr>
        <w:t>ROE</w:t>
      </w:r>
      <w:proofErr w:type="spellEnd"/>
      <w:r w:rsidRPr="00EF2014">
        <w:rPr>
          <w:b w:val="0"/>
          <w:bCs w:val="0"/>
          <w:u w:val="single"/>
        </w:rPr>
        <w:t xml:space="preserve">       </w:t>
      </w:r>
      <w:r w:rsidRPr="00EF2014">
        <w:rPr>
          <w:b w:val="0"/>
          <w:bCs w:val="0"/>
        </w:rPr>
        <w:tab/>
      </w:r>
      <w:r w:rsidRPr="00EF2014">
        <w:rPr>
          <w:b w:val="0"/>
          <w:bCs w:val="0"/>
        </w:rPr>
        <w:tab/>
      </w:r>
      <w:r w:rsidR="00A516FF">
        <w:rPr>
          <w:b w:val="0"/>
          <w:bCs w:val="0"/>
        </w:rPr>
        <w:t xml:space="preserve"> </w:t>
      </w:r>
      <w:r w:rsidRPr="00EF2014">
        <w:rPr>
          <w:b w:val="0"/>
          <w:bCs w:val="0"/>
          <w:u w:val="single"/>
        </w:rPr>
        <w:t>(Weighted)</w:t>
      </w:r>
      <w:r w:rsidR="00366BC7">
        <w:rPr>
          <w:b w:val="0"/>
          <w:bCs w:val="0"/>
          <w:u w:val="single"/>
        </w:rPr>
        <w:tab/>
      </w:r>
      <w:r w:rsidR="00366BC7" w:rsidRPr="00366BC7">
        <w:rPr>
          <w:b w:val="0"/>
          <w:bCs w:val="0"/>
        </w:rPr>
        <w:tab/>
      </w:r>
      <w:r w:rsidR="00366BC7">
        <w:rPr>
          <w:b w:val="0"/>
          <w:bCs w:val="0"/>
          <w:u w:val="single"/>
        </w:rPr>
        <w:tab/>
        <w:t>ROE</w:t>
      </w:r>
      <w:r w:rsidR="00366BC7">
        <w:rPr>
          <w:b w:val="0"/>
          <w:bCs w:val="0"/>
          <w:u w:val="single"/>
        </w:rPr>
        <w:tab/>
      </w:r>
    </w:p>
    <w:p w:rsidR="00BE7825" w:rsidRPr="00914DED" w:rsidRDefault="009341EF"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rPr>
      </w:pPr>
      <w:r>
        <w:rPr>
          <w:b w:val="0"/>
          <w:bCs w:val="0"/>
        </w:rPr>
        <w:t>2013</w:t>
      </w:r>
      <w:r>
        <w:rPr>
          <w:b w:val="0"/>
          <w:bCs w:val="0"/>
        </w:rPr>
        <w:tab/>
      </w:r>
      <w:r>
        <w:rPr>
          <w:b w:val="0"/>
          <w:bCs w:val="0"/>
        </w:rPr>
        <w:tab/>
        <w:t>9.9%</w:t>
      </w:r>
      <w:r>
        <w:rPr>
          <w:b w:val="0"/>
          <w:bCs w:val="0"/>
        </w:rPr>
        <w:tab/>
      </w:r>
      <w:r>
        <w:rPr>
          <w:b w:val="0"/>
          <w:bCs w:val="0"/>
        </w:rPr>
        <w:tab/>
      </w:r>
      <w:r>
        <w:rPr>
          <w:b w:val="0"/>
          <w:bCs w:val="0"/>
        </w:rPr>
        <w:tab/>
        <w:t>7.2%</w:t>
      </w:r>
      <w:r>
        <w:rPr>
          <w:b w:val="0"/>
          <w:bCs w:val="0"/>
        </w:rPr>
        <w:tab/>
      </w:r>
      <w:r>
        <w:rPr>
          <w:b w:val="0"/>
          <w:bCs w:val="0"/>
        </w:rPr>
        <w:tab/>
      </w:r>
      <w:r w:rsidR="00BE7825" w:rsidRPr="00914DED">
        <w:rPr>
          <w:b w:val="0"/>
          <w:bCs w:val="0"/>
        </w:rPr>
        <w:tab/>
        <w:t>9.5%</w:t>
      </w:r>
      <w:r w:rsidR="00366BC7">
        <w:rPr>
          <w:b w:val="0"/>
          <w:bCs w:val="0"/>
        </w:rPr>
        <w:tab/>
      </w:r>
      <w:r w:rsidR="00366BC7">
        <w:rPr>
          <w:b w:val="0"/>
          <w:bCs w:val="0"/>
        </w:rPr>
        <w:tab/>
      </w:r>
      <w:r w:rsidR="00366BC7">
        <w:rPr>
          <w:b w:val="0"/>
          <w:bCs w:val="0"/>
        </w:rPr>
        <w:tab/>
      </w:r>
      <w:r w:rsidR="00A15C2F">
        <w:rPr>
          <w:b w:val="0"/>
          <w:bCs w:val="0"/>
        </w:rPr>
        <w:t>9.8</w:t>
      </w:r>
      <w:r w:rsidR="00366BC7">
        <w:rPr>
          <w:b w:val="0"/>
          <w:bCs w:val="0"/>
        </w:rPr>
        <w:t>%</w:t>
      </w:r>
    </w:p>
    <w:p w:rsidR="00BE7825" w:rsidRDefault="00BE7825"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u w:val="single"/>
        </w:rPr>
      </w:pPr>
      <w:r w:rsidRPr="00914DED">
        <w:rPr>
          <w:b w:val="0"/>
          <w:bCs w:val="0"/>
        </w:rPr>
        <w:t>2014</w:t>
      </w:r>
      <w:r w:rsidRPr="00914DED">
        <w:rPr>
          <w:b w:val="0"/>
          <w:bCs w:val="0"/>
        </w:rPr>
        <w:tab/>
      </w:r>
      <w:r w:rsidRPr="007D66E3">
        <w:rPr>
          <w:b w:val="0"/>
          <w:bCs w:val="0"/>
        </w:rPr>
        <w:tab/>
        <w:t>10.6%</w:t>
      </w:r>
      <w:r w:rsidRPr="007D66E3">
        <w:rPr>
          <w:b w:val="0"/>
          <w:bCs w:val="0"/>
        </w:rPr>
        <w:tab/>
      </w:r>
      <w:r w:rsidR="009341EF">
        <w:rPr>
          <w:b w:val="0"/>
          <w:bCs w:val="0"/>
        </w:rPr>
        <w:t xml:space="preserve">     </w:t>
      </w:r>
      <w:r w:rsidRPr="007D66E3">
        <w:rPr>
          <w:b w:val="0"/>
          <w:bCs w:val="0"/>
        </w:rPr>
        <w:tab/>
        <w:t>6.4%</w:t>
      </w:r>
      <w:r w:rsidRPr="007D66E3">
        <w:rPr>
          <w:b w:val="0"/>
          <w:bCs w:val="0"/>
        </w:rPr>
        <w:tab/>
      </w:r>
      <w:r w:rsidR="009341EF">
        <w:rPr>
          <w:b w:val="0"/>
          <w:bCs w:val="0"/>
        </w:rPr>
        <w:tab/>
      </w:r>
      <w:r w:rsidRPr="00C964C0">
        <w:rPr>
          <w:b w:val="0"/>
          <w:bCs w:val="0"/>
        </w:rPr>
        <w:tab/>
        <w:t>9.9%</w:t>
      </w:r>
      <w:r w:rsidRPr="00C964C0">
        <w:rPr>
          <w:b w:val="0"/>
          <w:bCs w:val="0"/>
        </w:rPr>
        <w:tab/>
      </w:r>
      <w:r w:rsidR="00366BC7">
        <w:rPr>
          <w:b w:val="0"/>
          <w:bCs w:val="0"/>
        </w:rPr>
        <w:tab/>
      </w:r>
      <w:r w:rsidR="00366BC7">
        <w:rPr>
          <w:b w:val="0"/>
          <w:bCs w:val="0"/>
        </w:rPr>
        <w:tab/>
      </w:r>
      <w:r w:rsidR="00A15C2F">
        <w:rPr>
          <w:b w:val="0"/>
          <w:bCs w:val="0"/>
        </w:rPr>
        <w:t>9.8</w:t>
      </w:r>
      <w:r w:rsidR="00366BC7">
        <w:rPr>
          <w:b w:val="0"/>
          <w:bCs w:val="0"/>
        </w:rPr>
        <w:t>%</w:t>
      </w:r>
    </w:p>
    <w:p w:rsidR="007D66E3" w:rsidRDefault="007D66E3"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u w:val="single"/>
        </w:rPr>
      </w:pPr>
      <w:r>
        <w:rPr>
          <w:b w:val="0"/>
          <w:bCs w:val="0"/>
        </w:rPr>
        <w:t>2015</w:t>
      </w:r>
      <w:r w:rsidRPr="00914DED">
        <w:rPr>
          <w:b w:val="0"/>
          <w:bCs w:val="0"/>
        </w:rPr>
        <w:tab/>
      </w:r>
      <w:r w:rsidRPr="00914DED">
        <w:rPr>
          <w:b w:val="0"/>
          <w:bCs w:val="0"/>
          <w:u w:val="single"/>
        </w:rPr>
        <w:tab/>
      </w:r>
      <w:r w:rsidR="00635E01">
        <w:rPr>
          <w:b w:val="0"/>
          <w:bCs w:val="0"/>
          <w:u w:val="single"/>
        </w:rPr>
        <w:t>9.4</w:t>
      </w:r>
      <w:r w:rsidRPr="00914DED">
        <w:rPr>
          <w:b w:val="0"/>
          <w:bCs w:val="0"/>
          <w:u w:val="single"/>
        </w:rPr>
        <w:t>%</w:t>
      </w:r>
      <w:r w:rsidRPr="00914DED">
        <w:rPr>
          <w:b w:val="0"/>
          <w:bCs w:val="0"/>
          <w:u w:val="single"/>
        </w:rPr>
        <w:tab/>
      </w:r>
      <w:r w:rsidRPr="00914DED">
        <w:rPr>
          <w:b w:val="0"/>
          <w:bCs w:val="0"/>
        </w:rPr>
        <w:t xml:space="preserve">     </w:t>
      </w:r>
      <w:r w:rsidRPr="00EF2014">
        <w:rPr>
          <w:b w:val="0"/>
          <w:bCs w:val="0"/>
          <w:u w:val="single"/>
        </w:rPr>
        <w:tab/>
      </w:r>
      <w:r w:rsidR="00635E01">
        <w:rPr>
          <w:b w:val="0"/>
          <w:bCs w:val="0"/>
          <w:u w:val="single"/>
        </w:rPr>
        <w:t>7.0</w:t>
      </w:r>
      <w:r w:rsidRPr="00EF2014">
        <w:rPr>
          <w:b w:val="0"/>
          <w:bCs w:val="0"/>
          <w:u w:val="single"/>
        </w:rPr>
        <w:t>%</w:t>
      </w:r>
      <w:r w:rsidRPr="00EF2014">
        <w:rPr>
          <w:b w:val="0"/>
          <w:bCs w:val="0"/>
          <w:u w:val="single"/>
        </w:rPr>
        <w:tab/>
      </w:r>
      <w:r w:rsidRPr="00914DED">
        <w:rPr>
          <w:b w:val="0"/>
          <w:bCs w:val="0"/>
        </w:rPr>
        <w:tab/>
      </w:r>
      <w:r w:rsidRPr="00EF2014">
        <w:rPr>
          <w:b w:val="0"/>
          <w:bCs w:val="0"/>
          <w:u w:val="single"/>
        </w:rPr>
        <w:tab/>
        <w:t>9.</w:t>
      </w:r>
      <w:r w:rsidR="00635E01">
        <w:rPr>
          <w:b w:val="0"/>
          <w:bCs w:val="0"/>
          <w:u w:val="single"/>
        </w:rPr>
        <w:t>0</w:t>
      </w:r>
      <w:r w:rsidRPr="00EF2014">
        <w:rPr>
          <w:b w:val="0"/>
          <w:bCs w:val="0"/>
          <w:u w:val="single"/>
        </w:rPr>
        <w:t>%</w:t>
      </w:r>
      <w:r w:rsidRPr="00EF2014">
        <w:rPr>
          <w:b w:val="0"/>
          <w:bCs w:val="0"/>
          <w:u w:val="single"/>
        </w:rPr>
        <w:tab/>
      </w:r>
      <w:r w:rsidR="00366BC7" w:rsidRPr="00A516FF">
        <w:rPr>
          <w:b w:val="0"/>
          <w:bCs w:val="0"/>
        </w:rPr>
        <w:tab/>
      </w:r>
      <w:r w:rsidR="00366BC7">
        <w:rPr>
          <w:b w:val="0"/>
          <w:bCs w:val="0"/>
          <w:u w:val="single"/>
        </w:rPr>
        <w:tab/>
      </w:r>
      <w:r w:rsidR="00697726" w:rsidRPr="00697726">
        <w:rPr>
          <w:b w:val="0"/>
          <w:bCs w:val="0"/>
          <w:u w:val="single"/>
          <w:vertAlign w:val="superscript"/>
        </w:rPr>
        <w:t>(</w:t>
      </w:r>
      <w:r w:rsidR="00A15C2F" w:rsidRPr="00697726">
        <w:rPr>
          <w:rStyle w:val="FootnoteReference"/>
          <w:b w:val="0"/>
          <w:bCs w:val="0"/>
          <w:u w:val="single"/>
        </w:rPr>
        <w:footnoteReference w:id="7"/>
      </w:r>
      <w:r w:rsidR="00697726" w:rsidRPr="00697726">
        <w:rPr>
          <w:b w:val="0"/>
          <w:bCs w:val="0"/>
          <w:u w:val="single"/>
          <w:vertAlign w:val="superscript"/>
        </w:rPr>
        <w:t>)</w:t>
      </w:r>
      <w:r w:rsidR="00366BC7">
        <w:rPr>
          <w:b w:val="0"/>
          <w:bCs w:val="0"/>
          <w:u w:val="single"/>
        </w:rPr>
        <w:tab/>
      </w:r>
    </w:p>
    <w:p w:rsidR="00BE7825" w:rsidRDefault="00C964C0"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rPr>
      </w:pPr>
      <w:r>
        <w:rPr>
          <w:b w:val="0"/>
          <w:bCs w:val="0"/>
        </w:rPr>
        <w:t>Average</w:t>
      </w:r>
      <w:r w:rsidR="009341EF">
        <w:rPr>
          <w:b w:val="0"/>
          <w:bCs w:val="0"/>
        </w:rPr>
        <w:tab/>
      </w:r>
      <w:r w:rsidR="009341EF">
        <w:rPr>
          <w:b w:val="0"/>
          <w:bCs w:val="0"/>
        </w:rPr>
        <w:tab/>
      </w:r>
      <w:r w:rsidR="00635E01">
        <w:rPr>
          <w:b w:val="0"/>
          <w:bCs w:val="0"/>
        </w:rPr>
        <w:t>10.0</w:t>
      </w:r>
      <w:r w:rsidR="009341EF">
        <w:rPr>
          <w:b w:val="0"/>
          <w:bCs w:val="0"/>
        </w:rPr>
        <w:t>%</w:t>
      </w:r>
      <w:r w:rsidR="009341EF">
        <w:rPr>
          <w:b w:val="0"/>
          <w:bCs w:val="0"/>
        </w:rPr>
        <w:tab/>
      </w:r>
      <w:r w:rsidR="009341EF">
        <w:rPr>
          <w:b w:val="0"/>
          <w:bCs w:val="0"/>
        </w:rPr>
        <w:tab/>
      </w:r>
      <w:r w:rsidR="009341EF">
        <w:rPr>
          <w:b w:val="0"/>
          <w:bCs w:val="0"/>
        </w:rPr>
        <w:tab/>
        <w:t>6.9%</w:t>
      </w:r>
      <w:r w:rsidR="009341EF">
        <w:rPr>
          <w:b w:val="0"/>
          <w:bCs w:val="0"/>
        </w:rPr>
        <w:tab/>
      </w:r>
      <w:r w:rsidR="009341EF">
        <w:rPr>
          <w:b w:val="0"/>
          <w:bCs w:val="0"/>
        </w:rPr>
        <w:tab/>
      </w:r>
      <w:r w:rsidR="00BE7825" w:rsidRPr="00914DED">
        <w:rPr>
          <w:b w:val="0"/>
          <w:bCs w:val="0"/>
        </w:rPr>
        <w:tab/>
        <w:t>9.</w:t>
      </w:r>
      <w:r w:rsidR="00635E01">
        <w:rPr>
          <w:b w:val="0"/>
          <w:bCs w:val="0"/>
        </w:rPr>
        <w:t>5</w:t>
      </w:r>
      <w:r w:rsidR="00BE7825" w:rsidRPr="00914DED">
        <w:rPr>
          <w:b w:val="0"/>
          <w:bCs w:val="0"/>
        </w:rPr>
        <w:t>%</w:t>
      </w:r>
      <w:r w:rsidR="00366BC7">
        <w:rPr>
          <w:b w:val="0"/>
          <w:bCs w:val="0"/>
        </w:rPr>
        <w:tab/>
      </w:r>
      <w:r w:rsidR="00366BC7">
        <w:rPr>
          <w:b w:val="0"/>
          <w:bCs w:val="0"/>
        </w:rPr>
        <w:tab/>
      </w:r>
      <w:r w:rsidR="00366BC7">
        <w:rPr>
          <w:b w:val="0"/>
          <w:bCs w:val="0"/>
        </w:rPr>
        <w:tab/>
      </w:r>
    </w:p>
    <w:p w:rsidR="00B753B9" w:rsidRDefault="00B753B9" w:rsidP="00366BC7">
      <w:pPr>
        <w:pStyle w:val="BodyText"/>
        <w:tabs>
          <w:tab w:val="left" w:pos="2700"/>
          <w:tab w:val="center" w:pos="3240"/>
          <w:tab w:val="right" w:pos="3780"/>
          <w:tab w:val="left" w:pos="3960"/>
          <w:tab w:val="center" w:pos="4770"/>
          <w:tab w:val="right" w:pos="5400"/>
          <w:tab w:val="left" w:pos="5580"/>
          <w:tab w:val="center" w:pos="6210"/>
          <w:tab w:val="right" w:pos="6840"/>
          <w:tab w:val="left" w:pos="7020"/>
          <w:tab w:val="center" w:pos="7650"/>
          <w:tab w:val="right" w:pos="8280"/>
        </w:tabs>
        <w:ind w:left="360" w:right="-58"/>
        <w:jc w:val="both"/>
        <w:rPr>
          <w:b w:val="0"/>
          <w:bCs w:val="0"/>
        </w:rPr>
      </w:pPr>
    </w:p>
    <w:p w:rsidR="00241A77" w:rsidRDefault="00BE7825" w:rsidP="00BE7825">
      <w:pPr>
        <w:pStyle w:val="BodyText"/>
        <w:tabs>
          <w:tab w:val="left" w:pos="720"/>
        </w:tabs>
        <w:spacing w:line="480" w:lineRule="auto"/>
        <w:ind w:right="-54" w:firstLine="720"/>
        <w:jc w:val="both"/>
        <w:rPr>
          <w:b w:val="0"/>
          <w:bCs w:val="0"/>
        </w:rPr>
      </w:pPr>
      <w:r>
        <w:rPr>
          <w:b w:val="0"/>
          <w:bCs w:val="0"/>
        </w:rPr>
        <w:t xml:space="preserve">Table No. 3 shows that Avista </w:t>
      </w:r>
      <w:r w:rsidR="00A353D4">
        <w:rPr>
          <w:b w:val="0"/>
          <w:bCs w:val="0"/>
        </w:rPr>
        <w:t xml:space="preserve">generally </w:t>
      </w:r>
      <w:r>
        <w:rPr>
          <w:b w:val="0"/>
          <w:bCs w:val="0"/>
        </w:rPr>
        <w:t>over-earned for its electric operations and under-earned</w:t>
      </w:r>
      <w:r w:rsidR="00241A77">
        <w:rPr>
          <w:b w:val="0"/>
          <w:bCs w:val="0"/>
        </w:rPr>
        <w:t xml:space="preserve"> for its natural gas operations during the three-year period.</w:t>
      </w:r>
      <w:r>
        <w:rPr>
          <w:b w:val="0"/>
          <w:bCs w:val="0"/>
        </w:rPr>
        <w:t xml:space="preserve">  But for Avista’s Washington utility operations as a whole</w:t>
      </w:r>
      <w:r w:rsidR="00241A77">
        <w:rPr>
          <w:b w:val="0"/>
          <w:bCs w:val="0"/>
        </w:rPr>
        <w:t xml:space="preserve"> were close to the authorized ROE</w:t>
      </w:r>
      <w:r w:rsidR="008B7DA8">
        <w:rPr>
          <w:b w:val="0"/>
          <w:bCs w:val="0"/>
        </w:rPr>
        <w:t>.</w:t>
      </w:r>
    </w:p>
    <w:p w:rsidR="00294B09" w:rsidRPr="00A13381" w:rsidRDefault="00294B09" w:rsidP="00294B09">
      <w:pPr>
        <w:pStyle w:val="BodyText"/>
        <w:tabs>
          <w:tab w:val="left" w:pos="720"/>
        </w:tabs>
        <w:spacing w:line="480" w:lineRule="auto"/>
        <w:ind w:right="-54" w:firstLine="720"/>
        <w:jc w:val="both"/>
        <w:rPr>
          <w:bCs w:val="0"/>
        </w:rPr>
      </w:pPr>
      <w:r w:rsidRPr="00A13381">
        <w:rPr>
          <w:bCs w:val="0"/>
        </w:rPr>
        <w:t>Q.</w:t>
      </w:r>
      <w:r w:rsidRPr="00A13381">
        <w:rPr>
          <w:bCs w:val="0"/>
        </w:rPr>
        <w:tab/>
      </w:r>
      <w:r>
        <w:rPr>
          <w:bCs w:val="0"/>
        </w:rPr>
        <w:t xml:space="preserve">With regard to Avista’s electric earned ROE of 10.6% for 2014 in Table </w:t>
      </w:r>
      <w:r w:rsidR="00B96BF6">
        <w:rPr>
          <w:bCs w:val="0"/>
        </w:rPr>
        <w:t xml:space="preserve">No. 3 </w:t>
      </w:r>
      <w:r>
        <w:rPr>
          <w:bCs w:val="0"/>
        </w:rPr>
        <w:t>above, w</w:t>
      </w:r>
      <w:r w:rsidRPr="00A13381">
        <w:rPr>
          <w:bCs w:val="0"/>
        </w:rPr>
        <w:t xml:space="preserve">ere there any unusual </w:t>
      </w:r>
      <w:r>
        <w:rPr>
          <w:bCs w:val="0"/>
        </w:rPr>
        <w:t>circumstances</w:t>
      </w:r>
      <w:r w:rsidRPr="00A13381">
        <w:rPr>
          <w:bCs w:val="0"/>
        </w:rPr>
        <w:t xml:space="preserve"> that caused the after-the-fact earned electric ROE to be above the allowed return?</w:t>
      </w:r>
    </w:p>
    <w:p w:rsidR="00294B09" w:rsidRDefault="00294B09" w:rsidP="00294B09">
      <w:pPr>
        <w:pStyle w:val="BodyText"/>
        <w:tabs>
          <w:tab w:val="left" w:pos="720"/>
        </w:tabs>
        <w:spacing w:line="480" w:lineRule="auto"/>
        <w:ind w:right="-54" w:firstLine="720"/>
        <w:jc w:val="both"/>
        <w:rPr>
          <w:b w:val="0"/>
          <w:bCs w:val="0"/>
        </w:rPr>
      </w:pPr>
      <w:r>
        <w:rPr>
          <w:b w:val="0"/>
          <w:bCs w:val="0"/>
        </w:rPr>
        <w:t>A.</w:t>
      </w:r>
      <w:r>
        <w:rPr>
          <w:b w:val="0"/>
          <w:bCs w:val="0"/>
        </w:rPr>
        <w:tab/>
        <w:t xml:space="preserve">Yes.  </w:t>
      </w:r>
      <w:r w:rsidR="00940345">
        <w:rPr>
          <w:b w:val="0"/>
          <w:bCs w:val="0"/>
        </w:rPr>
        <w:t>A</w:t>
      </w:r>
      <w:r w:rsidR="00AB066A">
        <w:rPr>
          <w:b w:val="0"/>
          <w:bCs w:val="0"/>
        </w:rPr>
        <w:t>s discussed b</w:t>
      </w:r>
      <w:r w:rsidR="003143B1">
        <w:rPr>
          <w:b w:val="0"/>
          <w:bCs w:val="0"/>
        </w:rPr>
        <w:t>y</w:t>
      </w:r>
      <w:r w:rsidR="00AB066A">
        <w:rPr>
          <w:b w:val="0"/>
          <w:bCs w:val="0"/>
        </w:rPr>
        <w:t xml:space="preserve"> </w:t>
      </w:r>
      <w:r w:rsidR="001D7612">
        <w:rPr>
          <w:b w:val="0"/>
          <w:bCs w:val="0"/>
        </w:rPr>
        <w:t xml:space="preserve">Company witness Ms. Andrews </w:t>
      </w:r>
      <w:r w:rsidR="00AB066A">
        <w:rPr>
          <w:b w:val="0"/>
          <w:bCs w:val="0"/>
        </w:rPr>
        <w:t>on page 18 of</w:t>
      </w:r>
      <w:r w:rsidR="001D7612">
        <w:rPr>
          <w:b w:val="0"/>
          <w:bCs w:val="0"/>
        </w:rPr>
        <w:t xml:space="preserve"> Exhibit No.__</w:t>
      </w:r>
      <w:proofErr w:type="gramStart"/>
      <w:r w:rsidR="001D7612">
        <w:rPr>
          <w:b w:val="0"/>
          <w:bCs w:val="0"/>
        </w:rPr>
        <w:t>_(</w:t>
      </w:r>
      <w:proofErr w:type="spellStart"/>
      <w:proofErr w:type="gramEnd"/>
      <w:r w:rsidR="001D7612">
        <w:rPr>
          <w:b w:val="0"/>
          <w:bCs w:val="0"/>
        </w:rPr>
        <w:t>EMA</w:t>
      </w:r>
      <w:proofErr w:type="spellEnd"/>
      <w:r w:rsidR="001D7612">
        <w:rPr>
          <w:b w:val="0"/>
          <w:bCs w:val="0"/>
        </w:rPr>
        <w:t>-1T), p</w:t>
      </w:r>
      <w:r w:rsidR="001D7612" w:rsidRPr="001D7612">
        <w:rPr>
          <w:b w:val="0"/>
          <w:bCs w:val="0"/>
        </w:rPr>
        <w:t xml:space="preserve">ension and post-retirement medical expenses for 2013, 2014, and 2015 were $18.7 million, </w:t>
      </w:r>
      <w:r w:rsidR="001D7612" w:rsidRPr="00697726">
        <w:rPr>
          <w:b w:val="0"/>
          <w:bCs w:val="0"/>
          <w:u w:val="single"/>
        </w:rPr>
        <w:t>$14.1 million</w:t>
      </w:r>
      <w:r w:rsidR="001D7612" w:rsidRPr="001D7612">
        <w:rPr>
          <w:b w:val="0"/>
          <w:bCs w:val="0"/>
        </w:rPr>
        <w:t>, and $18.7 million, respectively.  Th</w:t>
      </w:r>
      <w:r w:rsidR="00AB066A">
        <w:rPr>
          <w:b w:val="0"/>
          <w:bCs w:val="0"/>
        </w:rPr>
        <w:t>e</w:t>
      </w:r>
      <w:r w:rsidR="001D7612" w:rsidRPr="001D7612">
        <w:rPr>
          <w:b w:val="0"/>
          <w:bCs w:val="0"/>
        </w:rPr>
        <w:t xml:space="preserve"> unexpected decrease in 2014 was related to favorable returns on the fund balances in 2014, and changes in interest rates and discount rates.  Removing this aberration in expense for 2014, which was beyond the control of the Company, reduces the normalized ROE for Washington electric</w:t>
      </w:r>
      <w:r w:rsidR="0054429B">
        <w:rPr>
          <w:b w:val="0"/>
          <w:bCs w:val="0"/>
        </w:rPr>
        <w:t xml:space="preserve"> operations from 10.6% to 10.2%, which is much closer to the </w:t>
      </w:r>
      <w:r w:rsidR="001D7612" w:rsidRPr="001D7612">
        <w:rPr>
          <w:b w:val="0"/>
          <w:bCs w:val="0"/>
        </w:rPr>
        <w:t>authorized level.</w:t>
      </w:r>
    </w:p>
    <w:p w:rsidR="008B7DA8" w:rsidRPr="008B7DA8" w:rsidRDefault="008B7DA8" w:rsidP="00BE7825">
      <w:pPr>
        <w:pStyle w:val="BodyText"/>
        <w:tabs>
          <w:tab w:val="left" w:pos="720"/>
        </w:tabs>
        <w:spacing w:line="480" w:lineRule="auto"/>
        <w:ind w:right="-54" w:firstLine="720"/>
        <w:jc w:val="both"/>
        <w:rPr>
          <w:bCs w:val="0"/>
        </w:rPr>
      </w:pPr>
      <w:r w:rsidRPr="008B7DA8">
        <w:rPr>
          <w:bCs w:val="0"/>
        </w:rPr>
        <w:lastRenderedPageBreak/>
        <w:t>Q.</w:t>
      </w:r>
      <w:r w:rsidRPr="008B7DA8">
        <w:rPr>
          <w:bCs w:val="0"/>
        </w:rPr>
        <w:tab/>
        <w:t>What do these after-the-fact results suggest with regard to the revenue adjustments recently approved by the Commission?</w:t>
      </w:r>
    </w:p>
    <w:p w:rsidR="00483BF6" w:rsidRDefault="008B7DA8" w:rsidP="00BE7825">
      <w:pPr>
        <w:pStyle w:val="BodyText"/>
        <w:tabs>
          <w:tab w:val="left" w:pos="720"/>
        </w:tabs>
        <w:spacing w:line="480" w:lineRule="auto"/>
        <w:ind w:right="-54" w:firstLine="720"/>
        <w:jc w:val="both"/>
        <w:rPr>
          <w:b w:val="0"/>
          <w:bCs w:val="0"/>
        </w:rPr>
      </w:pPr>
      <w:r>
        <w:rPr>
          <w:b w:val="0"/>
          <w:bCs w:val="0"/>
        </w:rPr>
        <w:t>A.</w:t>
      </w:r>
      <w:r>
        <w:rPr>
          <w:b w:val="0"/>
          <w:bCs w:val="0"/>
        </w:rPr>
        <w:tab/>
      </w:r>
      <w:r w:rsidR="00BE7825">
        <w:rPr>
          <w:b w:val="0"/>
          <w:bCs w:val="0"/>
        </w:rPr>
        <w:t>These results indicate that the</w:t>
      </w:r>
      <w:r w:rsidR="00AE30EE">
        <w:rPr>
          <w:b w:val="0"/>
          <w:bCs w:val="0"/>
        </w:rPr>
        <w:t xml:space="preserve"> overall</w:t>
      </w:r>
      <w:r w:rsidR="00BE7825">
        <w:rPr>
          <w:b w:val="0"/>
          <w:bCs w:val="0"/>
        </w:rPr>
        <w:t xml:space="preserve"> revenue adjustments approved for Avist</w:t>
      </w:r>
      <w:r w:rsidR="00241A77">
        <w:rPr>
          <w:b w:val="0"/>
          <w:bCs w:val="0"/>
        </w:rPr>
        <w:t>a by the Commission for 2013,</w:t>
      </w:r>
      <w:r w:rsidR="00BE7825">
        <w:rPr>
          <w:b w:val="0"/>
          <w:bCs w:val="0"/>
        </w:rPr>
        <w:t xml:space="preserve"> 2014 </w:t>
      </w:r>
      <w:r w:rsidR="00241A77">
        <w:rPr>
          <w:b w:val="0"/>
          <w:bCs w:val="0"/>
        </w:rPr>
        <w:t>and 2015</w:t>
      </w:r>
      <w:r w:rsidR="00697726">
        <w:rPr>
          <w:b w:val="0"/>
          <w:bCs w:val="0"/>
        </w:rPr>
        <w:t>, based on the underlying attrition analys</w:t>
      </w:r>
      <w:r w:rsidR="00A77016">
        <w:rPr>
          <w:b w:val="0"/>
          <w:bCs w:val="0"/>
        </w:rPr>
        <w:t>e</w:t>
      </w:r>
      <w:r w:rsidR="00697726">
        <w:rPr>
          <w:b w:val="0"/>
          <w:bCs w:val="0"/>
        </w:rPr>
        <w:t>s,</w:t>
      </w:r>
      <w:r w:rsidR="00A13381">
        <w:rPr>
          <w:b w:val="0"/>
          <w:bCs w:val="0"/>
        </w:rPr>
        <w:t xml:space="preserve"> </w:t>
      </w:r>
      <w:r w:rsidR="00BE7825">
        <w:rPr>
          <w:b w:val="0"/>
          <w:bCs w:val="0"/>
        </w:rPr>
        <w:t>were very close to what they should have been in order to allow Avista an opportuni</w:t>
      </w:r>
      <w:r w:rsidR="001C1BE9">
        <w:rPr>
          <w:b w:val="0"/>
          <w:bCs w:val="0"/>
        </w:rPr>
        <w:t>ty to earn its allowed return</w:t>
      </w:r>
      <w:r w:rsidR="00AE30EE">
        <w:rPr>
          <w:b w:val="0"/>
          <w:bCs w:val="0"/>
        </w:rPr>
        <w:t xml:space="preserve"> for its Washington utility operations</w:t>
      </w:r>
      <w:r w:rsidR="001C1BE9">
        <w:rPr>
          <w:b w:val="0"/>
          <w:bCs w:val="0"/>
        </w:rPr>
        <w:t xml:space="preserve">.  </w:t>
      </w:r>
    </w:p>
    <w:p w:rsidR="00BE7825" w:rsidRDefault="00211719" w:rsidP="00BE7825">
      <w:pPr>
        <w:pStyle w:val="BodyText"/>
        <w:tabs>
          <w:tab w:val="left" w:pos="720"/>
        </w:tabs>
        <w:spacing w:line="480" w:lineRule="auto"/>
        <w:ind w:right="-54" w:firstLine="720"/>
        <w:jc w:val="both"/>
        <w:rPr>
          <w:b w:val="0"/>
          <w:bCs w:val="0"/>
        </w:rPr>
      </w:pPr>
      <w:r>
        <w:rPr>
          <w:b w:val="0"/>
          <w:bCs w:val="0"/>
        </w:rPr>
        <w:t>Ideally</w:t>
      </w:r>
      <w:r w:rsidR="00782449">
        <w:rPr>
          <w:b w:val="0"/>
          <w:bCs w:val="0"/>
        </w:rPr>
        <w:t>,</w:t>
      </w:r>
      <w:r>
        <w:rPr>
          <w:b w:val="0"/>
          <w:bCs w:val="0"/>
        </w:rPr>
        <w:t xml:space="preserve"> the </w:t>
      </w:r>
      <w:r w:rsidR="003143B1">
        <w:rPr>
          <w:b w:val="0"/>
          <w:bCs w:val="0"/>
        </w:rPr>
        <w:t>CBR</w:t>
      </w:r>
      <w:r>
        <w:rPr>
          <w:b w:val="0"/>
          <w:bCs w:val="0"/>
        </w:rPr>
        <w:t xml:space="preserve"> </w:t>
      </w:r>
      <w:r w:rsidR="00BE7825">
        <w:rPr>
          <w:b w:val="0"/>
          <w:bCs w:val="0"/>
        </w:rPr>
        <w:t>earned return</w:t>
      </w:r>
      <w:r>
        <w:rPr>
          <w:b w:val="0"/>
          <w:bCs w:val="0"/>
        </w:rPr>
        <w:t>s</w:t>
      </w:r>
      <w:r w:rsidR="00BE7825">
        <w:rPr>
          <w:b w:val="0"/>
          <w:bCs w:val="0"/>
        </w:rPr>
        <w:t xml:space="preserve"> </w:t>
      </w:r>
      <w:r>
        <w:rPr>
          <w:b w:val="0"/>
          <w:bCs w:val="0"/>
        </w:rPr>
        <w:t>for both</w:t>
      </w:r>
      <w:r w:rsidR="00BE7825">
        <w:rPr>
          <w:b w:val="0"/>
          <w:bCs w:val="0"/>
        </w:rPr>
        <w:t xml:space="preserve"> the electric and natural gas oper</w:t>
      </w:r>
      <w:r>
        <w:rPr>
          <w:b w:val="0"/>
          <w:bCs w:val="0"/>
        </w:rPr>
        <w:t xml:space="preserve">ations </w:t>
      </w:r>
      <w:r w:rsidRPr="000F557A">
        <w:rPr>
          <w:b w:val="0"/>
          <w:bCs w:val="0"/>
          <w:u w:val="single"/>
        </w:rPr>
        <w:t>individually</w:t>
      </w:r>
      <w:r>
        <w:rPr>
          <w:b w:val="0"/>
          <w:bCs w:val="0"/>
        </w:rPr>
        <w:t xml:space="preserve"> should be in line with the authorized returns</w:t>
      </w:r>
      <w:r w:rsidR="00AE30EE">
        <w:rPr>
          <w:b w:val="0"/>
          <w:bCs w:val="0"/>
        </w:rPr>
        <w:t xml:space="preserve">.  </w:t>
      </w:r>
      <w:r w:rsidR="007A338A">
        <w:rPr>
          <w:b w:val="0"/>
          <w:bCs w:val="0"/>
        </w:rPr>
        <w:t>And</w:t>
      </w:r>
      <w:r w:rsidR="006B4AE0">
        <w:rPr>
          <w:b w:val="0"/>
          <w:bCs w:val="0"/>
        </w:rPr>
        <w:t xml:space="preserve">, in fact, </w:t>
      </w:r>
      <w:r w:rsidR="007A338A">
        <w:rPr>
          <w:b w:val="0"/>
          <w:bCs w:val="0"/>
        </w:rPr>
        <w:t>for Avista’s</w:t>
      </w:r>
      <w:r w:rsidR="00AE30EE">
        <w:rPr>
          <w:b w:val="0"/>
          <w:bCs w:val="0"/>
        </w:rPr>
        <w:t xml:space="preserve"> most recent operating results, the estimated normalized earned returns for both Avista’s electric </w:t>
      </w:r>
      <w:r w:rsidR="00AB6846">
        <w:rPr>
          <w:b w:val="0"/>
          <w:bCs w:val="0"/>
        </w:rPr>
        <w:t xml:space="preserve">and natural gas </w:t>
      </w:r>
      <w:r w:rsidR="00AE30EE">
        <w:rPr>
          <w:b w:val="0"/>
          <w:bCs w:val="0"/>
        </w:rPr>
        <w:t>operatio</w:t>
      </w:r>
      <w:r w:rsidR="00AB6846">
        <w:rPr>
          <w:b w:val="0"/>
          <w:bCs w:val="0"/>
        </w:rPr>
        <w:t>ns</w:t>
      </w:r>
      <w:r w:rsidR="00AE30EE">
        <w:rPr>
          <w:b w:val="0"/>
          <w:bCs w:val="0"/>
        </w:rPr>
        <w:t xml:space="preserve"> individually are very close to the authorized ROE.</w:t>
      </w:r>
    </w:p>
    <w:p w:rsidR="00A83987" w:rsidRPr="00AB445B" w:rsidRDefault="00A83987" w:rsidP="00A83987">
      <w:pPr>
        <w:pStyle w:val="BodyText"/>
        <w:tabs>
          <w:tab w:val="left" w:pos="720"/>
        </w:tabs>
        <w:spacing w:line="480" w:lineRule="auto"/>
        <w:ind w:right="-54" w:firstLine="720"/>
        <w:jc w:val="both"/>
        <w:rPr>
          <w:bCs w:val="0"/>
        </w:rPr>
      </w:pPr>
      <w:r w:rsidRPr="00AB445B">
        <w:rPr>
          <w:bCs w:val="0"/>
        </w:rPr>
        <w:t>Q.</w:t>
      </w:r>
      <w:r w:rsidRPr="00AB445B">
        <w:rPr>
          <w:bCs w:val="0"/>
        </w:rPr>
        <w:tab/>
      </w:r>
      <w:r>
        <w:rPr>
          <w:bCs w:val="0"/>
        </w:rPr>
        <w:t xml:space="preserve">What are the </w:t>
      </w:r>
      <w:r w:rsidR="00D3378F">
        <w:rPr>
          <w:bCs w:val="0"/>
        </w:rPr>
        <w:t xml:space="preserve">most recent </w:t>
      </w:r>
      <w:r>
        <w:rPr>
          <w:bCs w:val="0"/>
        </w:rPr>
        <w:t xml:space="preserve">ROE results for Avista’s Washington electric </w:t>
      </w:r>
      <w:r w:rsidR="00D3378F">
        <w:rPr>
          <w:bCs w:val="0"/>
        </w:rPr>
        <w:t xml:space="preserve">and natural gas </w:t>
      </w:r>
      <w:r>
        <w:rPr>
          <w:bCs w:val="0"/>
        </w:rPr>
        <w:t>operations?</w:t>
      </w:r>
    </w:p>
    <w:p w:rsidR="00A83987" w:rsidRDefault="00A83987" w:rsidP="00A83987">
      <w:pPr>
        <w:pStyle w:val="BodyText"/>
        <w:tabs>
          <w:tab w:val="left" w:pos="720"/>
        </w:tabs>
        <w:spacing w:line="480" w:lineRule="auto"/>
        <w:ind w:right="-54" w:firstLine="720"/>
        <w:jc w:val="both"/>
        <w:rPr>
          <w:b w:val="0"/>
          <w:bCs w:val="0"/>
        </w:rPr>
      </w:pPr>
      <w:r>
        <w:rPr>
          <w:b w:val="0"/>
          <w:bCs w:val="0"/>
        </w:rPr>
        <w:t>A.</w:t>
      </w:r>
      <w:r>
        <w:rPr>
          <w:b w:val="0"/>
          <w:bCs w:val="0"/>
        </w:rPr>
        <w:tab/>
      </w:r>
      <w:r w:rsidR="002713E0">
        <w:rPr>
          <w:b w:val="0"/>
          <w:bCs w:val="0"/>
        </w:rPr>
        <w:t xml:space="preserve">In Docket Nos. </w:t>
      </w:r>
      <w:r w:rsidR="00A7091B">
        <w:rPr>
          <w:b w:val="0"/>
          <w:bCs w:val="0"/>
        </w:rPr>
        <w:t>UE-140188 and UG-140189,</w:t>
      </w:r>
      <w:r w:rsidR="002713E0">
        <w:rPr>
          <w:b w:val="0"/>
          <w:bCs w:val="0"/>
        </w:rPr>
        <w:t xml:space="preserve"> the Commission approved </w:t>
      </w:r>
      <w:r w:rsidR="001A700B">
        <w:rPr>
          <w:b w:val="0"/>
          <w:bCs w:val="0"/>
        </w:rPr>
        <w:t>an after-the-fact earning</w:t>
      </w:r>
      <w:r w:rsidR="006B4AE0">
        <w:rPr>
          <w:b w:val="0"/>
          <w:bCs w:val="0"/>
        </w:rPr>
        <w:t>s</w:t>
      </w:r>
      <w:r w:rsidR="001A700B">
        <w:rPr>
          <w:b w:val="0"/>
          <w:bCs w:val="0"/>
        </w:rPr>
        <w:t xml:space="preserve"> test and earnings sharing mechanism for Avista’s electric and natural gas operations in Washington.  Each year, after the calendar year is concluded, if Avista earns more than the authorized rate of return for the year, one-half of any earning above the authorized rate of return is set aside for future rebate to customers.  </w:t>
      </w:r>
      <w:r w:rsidR="001F08E7">
        <w:rPr>
          <w:b w:val="0"/>
          <w:bCs w:val="0"/>
        </w:rPr>
        <w:t>If Avista earns less than th</w:t>
      </w:r>
      <w:r w:rsidR="006B4AE0">
        <w:rPr>
          <w:b w:val="0"/>
          <w:bCs w:val="0"/>
        </w:rPr>
        <w:t>e authorized return there is no</w:t>
      </w:r>
      <w:r w:rsidR="001F08E7">
        <w:rPr>
          <w:b w:val="0"/>
          <w:bCs w:val="0"/>
        </w:rPr>
        <w:t xml:space="preserve"> surcharge deferral; it is a one-way earnings test.  </w:t>
      </w:r>
      <w:r w:rsidR="001A700B">
        <w:rPr>
          <w:b w:val="0"/>
          <w:bCs w:val="0"/>
        </w:rPr>
        <w:t>This earnings sharing i</w:t>
      </w:r>
      <w:r w:rsidR="001F08E7">
        <w:rPr>
          <w:b w:val="0"/>
          <w:bCs w:val="0"/>
        </w:rPr>
        <w:t>s determined separately for</w:t>
      </w:r>
      <w:r w:rsidR="001A700B">
        <w:rPr>
          <w:b w:val="0"/>
          <w:bCs w:val="0"/>
        </w:rPr>
        <w:t xml:space="preserve"> Avista’s electric and natural gas operations.  </w:t>
      </w:r>
    </w:p>
    <w:p w:rsidR="001A700B" w:rsidRPr="00C43DE7" w:rsidRDefault="001A700B" w:rsidP="00A83987">
      <w:pPr>
        <w:pStyle w:val="BodyText"/>
        <w:tabs>
          <w:tab w:val="left" w:pos="720"/>
        </w:tabs>
        <w:spacing w:line="480" w:lineRule="auto"/>
        <w:ind w:right="-54" w:firstLine="720"/>
        <w:jc w:val="both"/>
        <w:rPr>
          <w:b w:val="0"/>
          <w:bCs w:val="0"/>
        </w:rPr>
      </w:pPr>
      <w:r>
        <w:rPr>
          <w:b w:val="0"/>
          <w:bCs w:val="0"/>
        </w:rPr>
        <w:t xml:space="preserve">Avista </w:t>
      </w:r>
      <w:r w:rsidR="00782449">
        <w:rPr>
          <w:b w:val="0"/>
          <w:bCs w:val="0"/>
        </w:rPr>
        <w:t>prepares</w:t>
      </w:r>
      <w:r>
        <w:rPr>
          <w:b w:val="0"/>
          <w:bCs w:val="0"/>
        </w:rPr>
        <w:t xml:space="preserve"> these calculations on a quarterly basis to determine whether there should be a deferral entry for the recently completed quarter.  If estimates show a rebate </w:t>
      </w:r>
      <w:r w:rsidR="001B1916">
        <w:rPr>
          <w:b w:val="0"/>
          <w:bCs w:val="0"/>
        </w:rPr>
        <w:t xml:space="preserve">to customers </w:t>
      </w:r>
      <w:r>
        <w:rPr>
          <w:b w:val="0"/>
          <w:bCs w:val="0"/>
        </w:rPr>
        <w:t>from the earnings sharing for the current year, accou</w:t>
      </w:r>
      <w:r w:rsidR="00CE0B72">
        <w:rPr>
          <w:b w:val="0"/>
          <w:bCs w:val="0"/>
        </w:rPr>
        <w:t xml:space="preserve">nting entries are </w:t>
      </w:r>
      <w:r w:rsidR="00CE0B72" w:rsidRPr="00C43DE7">
        <w:rPr>
          <w:b w:val="0"/>
          <w:bCs w:val="0"/>
        </w:rPr>
        <w:t>recorded</w:t>
      </w:r>
      <w:r w:rsidRPr="00C43DE7">
        <w:rPr>
          <w:b w:val="0"/>
          <w:bCs w:val="0"/>
        </w:rPr>
        <w:t xml:space="preserve"> each quarter and those entries affect the Company’</w:t>
      </w:r>
      <w:r w:rsidR="005C33E5" w:rsidRPr="00C43DE7">
        <w:rPr>
          <w:b w:val="0"/>
          <w:bCs w:val="0"/>
        </w:rPr>
        <w:t>s reported earnings for the</w:t>
      </w:r>
      <w:r w:rsidRPr="00C43DE7">
        <w:rPr>
          <w:b w:val="0"/>
          <w:bCs w:val="0"/>
        </w:rPr>
        <w:t xml:space="preserve"> quarter. </w:t>
      </w:r>
    </w:p>
    <w:p w:rsidR="005A41BD" w:rsidRDefault="005C33E5" w:rsidP="005A41BD">
      <w:pPr>
        <w:pStyle w:val="BodyText"/>
        <w:tabs>
          <w:tab w:val="left" w:pos="720"/>
        </w:tabs>
        <w:spacing w:line="480" w:lineRule="auto"/>
        <w:ind w:right="-54" w:firstLine="720"/>
        <w:jc w:val="both"/>
        <w:rPr>
          <w:b w:val="0"/>
          <w:bCs w:val="0"/>
        </w:rPr>
      </w:pPr>
      <w:r w:rsidRPr="00C43DE7">
        <w:rPr>
          <w:b w:val="0"/>
          <w:bCs w:val="0"/>
        </w:rPr>
        <w:lastRenderedPageBreak/>
        <w:t xml:space="preserve">In Avista’s </w:t>
      </w:r>
      <w:r w:rsidR="00C43DE7">
        <w:rPr>
          <w:b w:val="0"/>
          <w:bCs w:val="0"/>
        </w:rPr>
        <w:t>2016 first</w:t>
      </w:r>
      <w:r w:rsidR="003E6AB0">
        <w:rPr>
          <w:b w:val="0"/>
          <w:bCs w:val="0"/>
        </w:rPr>
        <w:t xml:space="preserve"> quarter</w:t>
      </w:r>
      <w:r w:rsidR="00C43DE7">
        <w:rPr>
          <w:rStyle w:val="FootnoteReference"/>
          <w:b w:val="0"/>
          <w:bCs w:val="0"/>
        </w:rPr>
        <w:footnoteReference w:id="8"/>
      </w:r>
      <w:r w:rsidR="00C43DE7">
        <w:rPr>
          <w:b w:val="0"/>
          <w:bCs w:val="0"/>
        </w:rPr>
        <w:t xml:space="preserve"> and second quarter</w:t>
      </w:r>
      <w:r w:rsidR="003E6AB0">
        <w:rPr>
          <w:rStyle w:val="FootnoteReference"/>
          <w:b w:val="0"/>
          <w:bCs w:val="0"/>
        </w:rPr>
        <w:footnoteReference w:id="9"/>
      </w:r>
      <w:r w:rsidR="00C43DE7">
        <w:rPr>
          <w:b w:val="0"/>
          <w:bCs w:val="0"/>
        </w:rPr>
        <w:t xml:space="preserve"> </w:t>
      </w:r>
      <w:proofErr w:type="spellStart"/>
      <w:r w:rsidRPr="00C43DE7">
        <w:rPr>
          <w:b w:val="0"/>
          <w:bCs w:val="0"/>
        </w:rPr>
        <w:t>10Q</w:t>
      </w:r>
      <w:proofErr w:type="spellEnd"/>
      <w:r w:rsidRPr="00C43DE7">
        <w:rPr>
          <w:b w:val="0"/>
          <w:bCs w:val="0"/>
        </w:rPr>
        <w:t xml:space="preserve"> filing</w:t>
      </w:r>
      <w:r w:rsidR="00C43DE7">
        <w:rPr>
          <w:b w:val="0"/>
          <w:bCs w:val="0"/>
        </w:rPr>
        <w:t>s</w:t>
      </w:r>
      <w:r w:rsidRPr="00C43DE7">
        <w:rPr>
          <w:b w:val="0"/>
          <w:bCs w:val="0"/>
        </w:rPr>
        <w:t xml:space="preserve"> with the Securities and Exchange Commission, the Company reported electric and natural gas earnings sharing deferrals</w:t>
      </w:r>
      <w:r w:rsidR="00841751" w:rsidRPr="00C43DE7">
        <w:rPr>
          <w:b w:val="0"/>
          <w:bCs w:val="0"/>
        </w:rPr>
        <w:t xml:space="preserve"> for its Washington operations</w:t>
      </w:r>
      <w:r w:rsidRPr="00C43DE7">
        <w:rPr>
          <w:b w:val="0"/>
          <w:bCs w:val="0"/>
        </w:rPr>
        <w:t xml:space="preserve"> for the first six month</w:t>
      </w:r>
      <w:r w:rsidR="00841751" w:rsidRPr="00C43DE7">
        <w:rPr>
          <w:b w:val="0"/>
          <w:bCs w:val="0"/>
        </w:rPr>
        <w:t>s</w:t>
      </w:r>
      <w:r w:rsidRPr="00C43DE7">
        <w:rPr>
          <w:b w:val="0"/>
          <w:bCs w:val="0"/>
        </w:rPr>
        <w:t xml:space="preserve"> of 2016 of $</w:t>
      </w:r>
      <w:r w:rsidR="0017604B" w:rsidRPr="00C43DE7">
        <w:rPr>
          <w:b w:val="0"/>
          <w:bCs w:val="0"/>
        </w:rPr>
        <w:t>0.</w:t>
      </w:r>
      <w:r w:rsidR="00C43DE7" w:rsidRPr="00C43DE7">
        <w:rPr>
          <w:b w:val="0"/>
          <w:bCs w:val="0"/>
        </w:rPr>
        <w:t>3</w:t>
      </w:r>
      <w:r w:rsidRPr="00C43DE7">
        <w:rPr>
          <w:b w:val="0"/>
          <w:bCs w:val="0"/>
        </w:rPr>
        <w:t xml:space="preserve"> </w:t>
      </w:r>
      <w:r w:rsidR="0017604B" w:rsidRPr="00C43DE7">
        <w:rPr>
          <w:b w:val="0"/>
          <w:bCs w:val="0"/>
        </w:rPr>
        <w:t xml:space="preserve">million </w:t>
      </w:r>
      <w:r w:rsidR="0054429B">
        <w:rPr>
          <w:b w:val="0"/>
          <w:bCs w:val="0"/>
        </w:rPr>
        <w:t xml:space="preserve">for its electric operations </w:t>
      </w:r>
      <w:r w:rsidRPr="00C43DE7">
        <w:rPr>
          <w:b w:val="0"/>
          <w:bCs w:val="0"/>
        </w:rPr>
        <w:t>a</w:t>
      </w:r>
      <w:r w:rsidR="00841751" w:rsidRPr="00C43DE7">
        <w:rPr>
          <w:b w:val="0"/>
          <w:bCs w:val="0"/>
        </w:rPr>
        <w:t>nd $</w:t>
      </w:r>
      <w:r w:rsidR="0017604B" w:rsidRPr="00C43DE7">
        <w:rPr>
          <w:b w:val="0"/>
          <w:bCs w:val="0"/>
        </w:rPr>
        <w:t>0.5 million</w:t>
      </w:r>
      <w:r w:rsidR="001869C1">
        <w:rPr>
          <w:b w:val="0"/>
          <w:bCs w:val="0"/>
        </w:rPr>
        <w:t xml:space="preserve"> for natural gas</w:t>
      </w:r>
      <w:r w:rsidR="00841751" w:rsidRPr="00C43DE7">
        <w:rPr>
          <w:b w:val="0"/>
          <w:bCs w:val="0"/>
        </w:rPr>
        <w:t xml:space="preserve">.  </w:t>
      </w:r>
      <w:r w:rsidR="00CC66AB" w:rsidRPr="00C43DE7">
        <w:rPr>
          <w:b w:val="0"/>
          <w:bCs w:val="0"/>
        </w:rPr>
        <w:t>These</w:t>
      </w:r>
      <w:r w:rsidR="00CC66AB">
        <w:rPr>
          <w:b w:val="0"/>
          <w:bCs w:val="0"/>
        </w:rPr>
        <w:t xml:space="preserve"> earnings sharing numbers can be converted into equivalent ROE results for the first six months of 2016 to compare with the ROE authorized by the Commission for the same period.  </w:t>
      </w:r>
      <w:r w:rsidR="001B1916">
        <w:rPr>
          <w:b w:val="0"/>
          <w:bCs w:val="0"/>
        </w:rPr>
        <w:t xml:space="preserve">The </w:t>
      </w:r>
      <w:r w:rsidR="002F5EE7">
        <w:rPr>
          <w:b w:val="0"/>
          <w:bCs w:val="0"/>
        </w:rPr>
        <w:t xml:space="preserve">estimated </w:t>
      </w:r>
      <w:r w:rsidR="001B1916">
        <w:rPr>
          <w:b w:val="0"/>
          <w:bCs w:val="0"/>
        </w:rPr>
        <w:t>electric</w:t>
      </w:r>
      <w:r w:rsidR="00B47182">
        <w:rPr>
          <w:b w:val="0"/>
          <w:bCs w:val="0"/>
        </w:rPr>
        <w:t xml:space="preserve"> earnings sharing results are equivalent to a </w:t>
      </w:r>
      <w:r w:rsidR="00E766F2">
        <w:rPr>
          <w:b w:val="0"/>
          <w:bCs w:val="0"/>
        </w:rPr>
        <w:t>9.54</w:t>
      </w:r>
      <w:r w:rsidR="00B47182">
        <w:rPr>
          <w:b w:val="0"/>
          <w:bCs w:val="0"/>
        </w:rPr>
        <w:t xml:space="preserve">% </w:t>
      </w:r>
      <w:r w:rsidR="001B1916">
        <w:rPr>
          <w:b w:val="0"/>
          <w:bCs w:val="0"/>
        </w:rPr>
        <w:t xml:space="preserve">electric </w:t>
      </w:r>
      <w:r w:rsidR="00B47182">
        <w:rPr>
          <w:b w:val="0"/>
          <w:bCs w:val="0"/>
        </w:rPr>
        <w:t xml:space="preserve">ROE for the first six months of 2016, as compared to the authorized ROE of 9.5%.  The natural gas earnings sharing results are equivalent to a </w:t>
      </w:r>
      <w:r w:rsidR="00E766F2">
        <w:rPr>
          <w:b w:val="0"/>
          <w:bCs w:val="0"/>
        </w:rPr>
        <w:t>10.2</w:t>
      </w:r>
      <w:r w:rsidR="00B47182">
        <w:rPr>
          <w:b w:val="0"/>
          <w:bCs w:val="0"/>
        </w:rPr>
        <w:t xml:space="preserve">% </w:t>
      </w:r>
      <w:r w:rsidR="001B1916">
        <w:rPr>
          <w:b w:val="0"/>
          <w:bCs w:val="0"/>
        </w:rPr>
        <w:t xml:space="preserve">natural gas </w:t>
      </w:r>
      <w:r w:rsidR="00B47182">
        <w:rPr>
          <w:b w:val="0"/>
          <w:bCs w:val="0"/>
        </w:rPr>
        <w:t xml:space="preserve">ROE for the first six months of 2016, as compared to </w:t>
      </w:r>
      <w:r w:rsidR="005A41BD">
        <w:rPr>
          <w:b w:val="0"/>
          <w:bCs w:val="0"/>
        </w:rPr>
        <w:t>the same authorized ROE of 9.5%.</w:t>
      </w:r>
    </w:p>
    <w:p w:rsidR="00A12F2F" w:rsidRDefault="005A41BD" w:rsidP="005A41BD">
      <w:pPr>
        <w:pStyle w:val="BodyText"/>
        <w:tabs>
          <w:tab w:val="left" w:pos="720"/>
        </w:tabs>
        <w:spacing w:line="480" w:lineRule="auto"/>
        <w:ind w:right="-54" w:firstLine="720"/>
        <w:jc w:val="both"/>
        <w:rPr>
          <w:b w:val="0"/>
          <w:bCs w:val="0"/>
        </w:rPr>
      </w:pPr>
      <w:r>
        <w:rPr>
          <w:b w:val="0"/>
          <w:bCs w:val="0"/>
        </w:rPr>
        <w:t>A</w:t>
      </w:r>
      <w:r w:rsidR="00A912F3">
        <w:rPr>
          <w:b w:val="0"/>
          <w:bCs w:val="0"/>
        </w:rPr>
        <w:t>t the</w:t>
      </w:r>
      <w:r w:rsidR="00FB376C">
        <w:rPr>
          <w:b w:val="0"/>
          <w:bCs w:val="0"/>
        </w:rPr>
        <w:t xml:space="preserve"> </w:t>
      </w:r>
      <w:r w:rsidR="00A12F2F">
        <w:rPr>
          <w:b w:val="0"/>
          <w:bCs w:val="0"/>
        </w:rPr>
        <w:t xml:space="preserve">time </w:t>
      </w:r>
      <w:r w:rsidR="00710733">
        <w:rPr>
          <w:b w:val="0"/>
          <w:bCs w:val="0"/>
        </w:rPr>
        <w:t xml:space="preserve">Avista prepares earnings sharing calculations for the most recent quarter-end, it also prepares calculations of the estimated earnings sharing for the balance of the </w:t>
      </w:r>
      <w:r w:rsidR="00E54F33">
        <w:rPr>
          <w:b w:val="0"/>
          <w:bCs w:val="0"/>
        </w:rPr>
        <w:t xml:space="preserve">calendar </w:t>
      </w:r>
      <w:r w:rsidR="00710733">
        <w:rPr>
          <w:b w:val="0"/>
          <w:bCs w:val="0"/>
        </w:rPr>
        <w:t xml:space="preserve">year based on all </w:t>
      </w:r>
      <w:r w:rsidR="00FB376C">
        <w:rPr>
          <w:b w:val="0"/>
          <w:bCs w:val="0"/>
        </w:rPr>
        <w:t>updated information available.</w:t>
      </w:r>
      <w:r w:rsidR="00E54F33">
        <w:rPr>
          <w:b w:val="0"/>
          <w:bCs w:val="0"/>
        </w:rPr>
        <w:t xml:space="preserve">  </w:t>
      </w:r>
      <w:r w:rsidR="00A912F3">
        <w:rPr>
          <w:b w:val="0"/>
          <w:bCs w:val="0"/>
        </w:rPr>
        <w:t>The current</w:t>
      </w:r>
      <w:r w:rsidR="00E54F33">
        <w:rPr>
          <w:b w:val="0"/>
          <w:bCs w:val="0"/>
        </w:rPr>
        <w:t xml:space="preserve"> estimate of earnings sharing deferrals for the entire calendar year of 2016 is $</w:t>
      </w:r>
      <w:r w:rsidR="00E766F2">
        <w:rPr>
          <w:b w:val="0"/>
          <w:bCs w:val="0"/>
        </w:rPr>
        <w:t>0.7 million</w:t>
      </w:r>
      <w:r w:rsidR="00E54F33">
        <w:rPr>
          <w:b w:val="0"/>
          <w:bCs w:val="0"/>
        </w:rPr>
        <w:t xml:space="preserve"> for Avista’s Washington electric operations, and $</w:t>
      </w:r>
      <w:r w:rsidR="00E766F2">
        <w:rPr>
          <w:b w:val="0"/>
          <w:bCs w:val="0"/>
        </w:rPr>
        <w:t>0.9 million</w:t>
      </w:r>
      <w:r w:rsidR="00E54F33">
        <w:rPr>
          <w:b w:val="0"/>
          <w:bCs w:val="0"/>
        </w:rPr>
        <w:t xml:space="preserve"> for its Washington natural gas operations.  Converting these earnings sharing results into equivalent </w:t>
      </w:r>
      <w:proofErr w:type="spellStart"/>
      <w:r w:rsidR="00E54F33">
        <w:rPr>
          <w:b w:val="0"/>
          <w:bCs w:val="0"/>
        </w:rPr>
        <w:t>ROEs</w:t>
      </w:r>
      <w:proofErr w:type="spellEnd"/>
      <w:r w:rsidR="00E54F33">
        <w:rPr>
          <w:b w:val="0"/>
          <w:bCs w:val="0"/>
        </w:rPr>
        <w:t xml:space="preserve"> yields an </w:t>
      </w:r>
      <w:r w:rsidR="001E0CAB">
        <w:rPr>
          <w:b w:val="0"/>
          <w:bCs w:val="0"/>
        </w:rPr>
        <w:t xml:space="preserve">estimated </w:t>
      </w:r>
      <w:r w:rsidR="00E54F33">
        <w:rPr>
          <w:b w:val="0"/>
          <w:bCs w:val="0"/>
        </w:rPr>
        <w:t xml:space="preserve">electric ROE for 2016 of </w:t>
      </w:r>
      <w:r w:rsidR="00E766F2">
        <w:rPr>
          <w:b w:val="0"/>
          <w:bCs w:val="0"/>
        </w:rPr>
        <w:t>9.54</w:t>
      </w:r>
      <w:r w:rsidR="00E54F33">
        <w:rPr>
          <w:b w:val="0"/>
          <w:bCs w:val="0"/>
        </w:rPr>
        <w:t xml:space="preserve">% as compared to the authorized ROE of 9.5%, and for natural gas a </w:t>
      </w:r>
      <w:r w:rsidR="00E766F2">
        <w:rPr>
          <w:b w:val="0"/>
          <w:bCs w:val="0"/>
        </w:rPr>
        <w:t>10.2</w:t>
      </w:r>
      <w:r w:rsidR="00E54F33">
        <w:rPr>
          <w:b w:val="0"/>
          <w:bCs w:val="0"/>
        </w:rPr>
        <w:t>% ROE as compared to the same authorized ROE of 9.5%.</w:t>
      </w:r>
    </w:p>
    <w:p w:rsidR="00E54F33" w:rsidRDefault="00E54F33" w:rsidP="00BE7825">
      <w:pPr>
        <w:pStyle w:val="BodyText"/>
        <w:tabs>
          <w:tab w:val="left" w:pos="720"/>
        </w:tabs>
        <w:spacing w:line="480" w:lineRule="auto"/>
        <w:ind w:right="-54" w:firstLine="720"/>
        <w:jc w:val="both"/>
        <w:rPr>
          <w:b w:val="0"/>
          <w:bCs w:val="0"/>
        </w:rPr>
      </w:pPr>
      <w:r>
        <w:rPr>
          <w:b w:val="0"/>
          <w:bCs w:val="0"/>
        </w:rPr>
        <w:t>These results indicate that the revenue adjustments orde</w:t>
      </w:r>
      <w:r w:rsidR="00A152E6">
        <w:rPr>
          <w:b w:val="0"/>
          <w:bCs w:val="0"/>
        </w:rPr>
        <w:t>red</w:t>
      </w:r>
      <w:r>
        <w:rPr>
          <w:b w:val="0"/>
          <w:bCs w:val="0"/>
        </w:rPr>
        <w:t xml:space="preserve"> by the Commission for </w:t>
      </w:r>
      <w:r w:rsidR="00A51DB5">
        <w:rPr>
          <w:b w:val="0"/>
          <w:bCs w:val="0"/>
        </w:rPr>
        <w:t xml:space="preserve">Avista for </w:t>
      </w:r>
      <w:r>
        <w:rPr>
          <w:b w:val="0"/>
          <w:bCs w:val="0"/>
        </w:rPr>
        <w:t>2016 in its Order 05</w:t>
      </w:r>
      <w:r w:rsidR="00A51DB5">
        <w:rPr>
          <w:b w:val="0"/>
          <w:bCs w:val="0"/>
        </w:rPr>
        <w:t>,</w:t>
      </w:r>
      <w:r>
        <w:rPr>
          <w:b w:val="0"/>
          <w:bCs w:val="0"/>
        </w:rPr>
        <w:t xml:space="preserve"> in Dock</w:t>
      </w:r>
      <w:r w:rsidR="00A51DB5">
        <w:rPr>
          <w:b w:val="0"/>
          <w:bCs w:val="0"/>
        </w:rPr>
        <w:t>et Nos. UE-150204 and UG-150205</w:t>
      </w:r>
      <w:r>
        <w:rPr>
          <w:b w:val="0"/>
          <w:bCs w:val="0"/>
        </w:rPr>
        <w:t xml:space="preserve"> dated January 6, 2016,</w:t>
      </w:r>
      <w:r w:rsidR="00A51DB5">
        <w:rPr>
          <w:b w:val="0"/>
          <w:bCs w:val="0"/>
        </w:rPr>
        <w:t xml:space="preserve"> were very close to what they needed to be in order for Avista to have the opportunity to earn its allowed return for 2016.</w:t>
      </w:r>
    </w:p>
    <w:p w:rsidR="00A51DB5" w:rsidRDefault="00A51DB5" w:rsidP="00BE7825">
      <w:pPr>
        <w:pStyle w:val="BodyText"/>
        <w:tabs>
          <w:tab w:val="left" w:pos="720"/>
        </w:tabs>
        <w:spacing w:line="480" w:lineRule="auto"/>
        <w:ind w:right="-54" w:firstLine="720"/>
        <w:jc w:val="both"/>
        <w:rPr>
          <w:b w:val="0"/>
          <w:bCs w:val="0"/>
        </w:rPr>
      </w:pPr>
      <w:r>
        <w:rPr>
          <w:b w:val="0"/>
          <w:bCs w:val="0"/>
        </w:rPr>
        <w:lastRenderedPageBreak/>
        <w:t xml:space="preserve">It also indicates that if the Commission had ordered revenue adjustments in line with those proposed </w:t>
      </w:r>
      <w:r w:rsidR="00D836A5">
        <w:rPr>
          <w:b w:val="0"/>
          <w:bCs w:val="0"/>
        </w:rPr>
        <w:t>by the non-Company parties in that case</w:t>
      </w:r>
      <w:r>
        <w:rPr>
          <w:b w:val="0"/>
          <w:bCs w:val="0"/>
        </w:rPr>
        <w:t>, Avista would be experiencing significant under-earning</w:t>
      </w:r>
      <w:r w:rsidR="00483BF6">
        <w:rPr>
          <w:b w:val="0"/>
          <w:bCs w:val="0"/>
        </w:rPr>
        <w:t>s</w:t>
      </w:r>
      <w:r>
        <w:rPr>
          <w:b w:val="0"/>
          <w:bCs w:val="0"/>
        </w:rPr>
        <w:t xml:space="preserve"> during 2016.</w:t>
      </w:r>
    </w:p>
    <w:p w:rsidR="00D510D4" w:rsidRDefault="00BE7825" w:rsidP="009C3123">
      <w:pPr>
        <w:pStyle w:val="BodyText"/>
        <w:tabs>
          <w:tab w:val="left" w:pos="720"/>
        </w:tabs>
        <w:spacing w:line="480" w:lineRule="auto"/>
        <w:ind w:right="-58" w:firstLine="720"/>
        <w:jc w:val="both"/>
        <w:rPr>
          <w:b w:val="0"/>
          <w:bCs w:val="0"/>
        </w:rPr>
      </w:pPr>
      <w:r w:rsidRPr="00D836A5">
        <w:rPr>
          <w:b w:val="0"/>
          <w:bCs w:val="0"/>
        </w:rPr>
        <w:t xml:space="preserve">The earned </w:t>
      </w:r>
      <w:proofErr w:type="spellStart"/>
      <w:r w:rsidRPr="00D836A5">
        <w:rPr>
          <w:b w:val="0"/>
          <w:bCs w:val="0"/>
        </w:rPr>
        <w:t>R</w:t>
      </w:r>
      <w:r w:rsidR="00D836A5">
        <w:rPr>
          <w:b w:val="0"/>
          <w:bCs w:val="0"/>
        </w:rPr>
        <w:t>OEs</w:t>
      </w:r>
      <w:proofErr w:type="spellEnd"/>
      <w:r w:rsidR="00D836A5">
        <w:rPr>
          <w:b w:val="0"/>
          <w:bCs w:val="0"/>
        </w:rPr>
        <w:t xml:space="preserve"> for Avista for 2013 through 2015, as well as the most recent results for 2016,</w:t>
      </w:r>
      <w:r w:rsidRPr="00D836A5">
        <w:rPr>
          <w:b w:val="0"/>
          <w:bCs w:val="0"/>
        </w:rPr>
        <w:t xml:space="preserve"> are an after-the-fact confirmation that the </w:t>
      </w:r>
      <w:r w:rsidR="003921F2">
        <w:rPr>
          <w:b w:val="0"/>
          <w:bCs w:val="0"/>
        </w:rPr>
        <w:t xml:space="preserve">recent </w:t>
      </w:r>
      <w:r w:rsidRPr="00D836A5">
        <w:rPr>
          <w:b w:val="0"/>
          <w:bCs w:val="0"/>
        </w:rPr>
        <w:t xml:space="preserve">revenue increases granted </w:t>
      </w:r>
      <w:r w:rsidR="00D836A5">
        <w:rPr>
          <w:b w:val="0"/>
          <w:bCs w:val="0"/>
        </w:rPr>
        <w:t>by the Commission</w:t>
      </w:r>
      <w:r w:rsidR="003921F2">
        <w:rPr>
          <w:b w:val="0"/>
          <w:bCs w:val="0"/>
        </w:rPr>
        <w:t>,</w:t>
      </w:r>
      <w:r w:rsidR="00D836A5">
        <w:rPr>
          <w:b w:val="0"/>
          <w:bCs w:val="0"/>
        </w:rPr>
        <w:t xml:space="preserve"> </w:t>
      </w:r>
      <w:r w:rsidRPr="00D836A5">
        <w:rPr>
          <w:b w:val="0"/>
          <w:bCs w:val="0"/>
        </w:rPr>
        <w:t>based on recognition of attrition</w:t>
      </w:r>
      <w:r w:rsidR="003921F2">
        <w:rPr>
          <w:b w:val="0"/>
          <w:bCs w:val="0"/>
        </w:rPr>
        <w:t>,</w:t>
      </w:r>
      <w:r w:rsidRPr="00D836A5">
        <w:rPr>
          <w:b w:val="0"/>
          <w:bCs w:val="0"/>
        </w:rPr>
        <w:t xml:space="preserve"> </w:t>
      </w:r>
      <w:r w:rsidR="001E0CAB">
        <w:rPr>
          <w:b w:val="0"/>
          <w:bCs w:val="0"/>
        </w:rPr>
        <w:t>has resulted in</w:t>
      </w:r>
      <w:r w:rsidRPr="00D836A5">
        <w:rPr>
          <w:b w:val="0"/>
          <w:bCs w:val="0"/>
        </w:rPr>
        <w:t xml:space="preserve"> earned returns very clo</w:t>
      </w:r>
      <w:r w:rsidR="003921F2">
        <w:rPr>
          <w:b w:val="0"/>
          <w:bCs w:val="0"/>
        </w:rPr>
        <w:t xml:space="preserve">se to the authorized </w:t>
      </w:r>
      <w:proofErr w:type="spellStart"/>
      <w:r w:rsidR="003921F2">
        <w:rPr>
          <w:b w:val="0"/>
          <w:bCs w:val="0"/>
        </w:rPr>
        <w:t>ROEs</w:t>
      </w:r>
      <w:proofErr w:type="spellEnd"/>
      <w:r w:rsidRPr="00D836A5">
        <w:rPr>
          <w:b w:val="0"/>
          <w:bCs w:val="0"/>
        </w:rPr>
        <w:t>.</w:t>
      </w:r>
      <w:r>
        <w:rPr>
          <w:b w:val="0"/>
          <w:bCs w:val="0"/>
        </w:rPr>
        <w:t xml:space="preserve">  </w:t>
      </w:r>
      <w:r w:rsidR="00D24FA7">
        <w:rPr>
          <w:b w:val="0"/>
          <w:bCs w:val="0"/>
        </w:rPr>
        <w:t>These results were realized not only with just</w:t>
      </w:r>
      <w:r>
        <w:rPr>
          <w:b w:val="0"/>
          <w:bCs w:val="0"/>
        </w:rPr>
        <w:t xml:space="preserve"> the recognition of attrition, </w:t>
      </w:r>
      <w:r w:rsidR="00D24FA7">
        <w:rPr>
          <w:b w:val="0"/>
          <w:bCs w:val="0"/>
        </w:rPr>
        <w:t>but</w:t>
      </w:r>
      <w:r w:rsidR="00D510D4">
        <w:rPr>
          <w:b w:val="0"/>
          <w:bCs w:val="0"/>
        </w:rPr>
        <w:t xml:space="preserve"> </w:t>
      </w:r>
      <w:r w:rsidR="00D510D4" w:rsidRPr="00483BF6">
        <w:rPr>
          <w:b w:val="0"/>
          <w:bCs w:val="0"/>
          <w:u w:val="single"/>
        </w:rPr>
        <w:t xml:space="preserve">careful consideration </w:t>
      </w:r>
      <w:r w:rsidR="003921F2" w:rsidRPr="00483BF6">
        <w:rPr>
          <w:b w:val="0"/>
          <w:bCs w:val="0"/>
          <w:u w:val="single"/>
        </w:rPr>
        <w:t xml:space="preserve">of the appropriate level of </w:t>
      </w:r>
      <w:r w:rsidR="00D510D4" w:rsidRPr="00483BF6">
        <w:rPr>
          <w:b w:val="0"/>
          <w:bCs w:val="0"/>
          <w:u w:val="single"/>
        </w:rPr>
        <w:t>the attritio</w:t>
      </w:r>
      <w:r w:rsidR="009F1C92" w:rsidRPr="00483BF6">
        <w:rPr>
          <w:b w:val="0"/>
          <w:bCs w:val="0"/>
          <w:u w:val="single"/>
        </w:rPr>
        <w:t>n adjustment</w:t>
      </w:r>
      <w:r w:rsidR="009F1C92">
        <w:rPr>
          <w:b w:val="0"/>
          <w:bCs w:val="0"/>
        </w:rPr>
        <w:t xml:space="preserve"> based on all other evidence in the record, to ensure that the end-result revenue adjustment would allow the Company the opportunity to earn the return authorized by the Commission.</w:t>
      </w:r>
    </w:p>
    <w:p w:rsidR="004203B3" w:rsidRDefault="004203B3" w:rsidP="00BE7825">
      <w:pPr>
        <w:pStyle w:val="BodyText"/>
        <w:tabs>
          <w:tab w:val="left" w:pos="720"/>
        </w:tabs>
        <w:spacing w:line="480" w:lineRule="auto"/>
        <w:ind w:right="-54" w:firstLine="720"/>
        <w:jc w:val="both"/>
        <w:rPr>
          <w:b w:val="0"/>
          <w:bCs w:val="0"/>
        </w:rPr>
      </w:pPr>
    </w:p>
    <w:p w:rsidR="00C15078" w:rsidRPr="00C15078" w:rsidRDefault="00C15078" w:rsidP="00C15078">
      <w:pPr>
        <w:pStyle w:val="BodyText"/>
        <w:tabs>
          <w:tab w:val="left" w:pos="720"/>
        </w:tabs>
        <w:spacing w:line="480" w:lineRule="auto"/>
        <w:ind w:right="-54"/>
        <w:rPr>
          <w:b w:val="0"/>
          <w:bCs w:val="0"/>
        </w:rPr>
      </w:pPr>
      <w:r>
        <w:rPr>
          <w:rStyle w:val="PageNumber"/>
          <w:u w:val="single"/>
        </w:rPr>
        <w:t xml:space="preserve">V.  THE </w:t>
      </w:r>
      <w:r w:rsidR="00323491">
        <w:rPr>
          <w:rStyle w:val="PageNumber"/>
          <w:u w:val="single"/>
        </w:rPr>
        <w:t>MODIFIED TEST YEAR STUDY</w:t>
      </w:r>
      <w:r>
        <w:rPr>
          <w:rStyle w:val="PageNumber"/>
          <w:u w:val="single"/>
        </w:rPr>
        <w:t xml:space="preserve"> APPROACH IS INSUFFICIENT</w:t>
      </w:r>
    </w:p>
    <w:p w:rsidR="00C15078" w:rsidRPr="007E0975" w:rsidRDefault="00C15078" w:rsidP="00C15078">
      <w:pPr>
        <w:pStyle w:val="BodyText"/>
        <w:tabs>
          <w:tab w:val="left" w:pos="720"/>
        </w:tabs>
        <w:spacing w:line="480" w:lineRule="auto"/>
        <w:ind w:right="-54" w:firstLine="720"/>
        <w:jc w:val="both"/>
        <w:rPr>
          <w:bCs w:val="0"/>
        </w:rPr>
      </w:pPr>
      <w:r>
        <w:rPr>
          <w:bCs w:val="0"/>
        </w:rPr>
        <w:t>Q.</w:t>
      </w:r>
      <w:r>
        <w:rPr>
          <w:bCs w:val="0"/>
        </w:rPr>
        <w:tab/>
        <w:t>Why should</w:t>
      </w:r>
      <w:r w:rsidRPr="007E0975">
        <w:rPr>
          <w:bCs w:val="0"/>
        </w:rPr>
        <w:t xml:space="preserve"> </w:t>
      </w:r>
      <w:r>
        <w:rPr>
          <w:bCs w:val="0"/>
        </w:rPr>
        <w:t>the</w:t>
      </w:r>
      <w:r w:rsidRPr="007E0975">
        <w:rPr>
          <w:bCs w:val="0"/>
        </w:rPr>
        <w:t xml:space="preserve"> </w:t>
      </w:r>
      <w:r>
        <w:rPr>
          <w:bCs w:val="0"/>
        </w:rPr>
        <w:t xml:space="preserve">electric and natural gas revenue adjustments in this case be approved by the Commission based on an attrition analysis as proposed by Avista and the Staff, instead of based solely on a </w:t>
      </w:r>
      <w:r w:rsidR="00A02010">
        <w:rPr>
          <w:bCs w:val="0"/>
        </w:rPr>
        <w:t>M</w:t>
      </w:r>
      <w:r w:rsidR="001869C1">
        <w:rPr>
          <w:bCs w:val="0"/>
        </w:rPr>
        <w:t xml:space="preserve">odified </w:t>
      </w:r>
      <w:r w:rsidR="00A02010">
        <w:rPr>
          <w:bCs w:val="0"/>
        </w:rPr>
        <w:t>T</w:t>
      </w:r>
      <w:r w:rsidR="001869C1">
        <w:rPr>
          <w:bCs w:val="0"/>
        </w:rPr>
        <w:t xml:space="preserve">est </w:t>
      </w:r>
      <w:r w:rsidR="00A02010">
        <w:rPr>
          <w:bCs w:val="0"/>
        </w:rPr>
        <w:t>Y</w:t>
      </w:r>
      <w:r w:rsidR="001869C1">
        <w:rPr>
          <w:bCs w:val="0"/>
        </w:rPr>
        <w:t xml:space="preserve">ear </w:t>
      </w:r>
      <w:r w:rsidR="00A02010">
        <w:rPr>
          <w:bCs w:val="0"/>
        </w:rPr>
        <w:t>S</w:t>
      </w:r>
      <w:r w:rsidR="001869C1">
        <w:rPr>
          <w:bCs w:val="0"/>
        </w:rPr>
        <w:t>tudy</w:t>
      </w:r>
      <w:r>
        <w:rPr>
          <w:bCs w:val="0"/>
        </w:rPr>
        <w:t>?</w:t>
      </w:r>
    </w:p>
    <w:p w:rsidR="00A5638A" w:rsidRDefault="00C15078" w:rsidP="00C15078">
      <w:pPr>
        <w:pStyle w:val="BodyText"/>
        <w:tabs>
          <w:tab w:val="left" w:pos="720"/>
        </w:tabs>
        <w:spacing w:line="480" w:lineRule="auto"/>
        <w:ind w:right="-54" w:firstLine="720"/>
        <w:jc w:val="both"/>
        <w:rPr>
          <w:b w:val="0"/>
          <w:bCs w:val="0"/>
        </w:rPr>
      </w:pPr>
      <w:r>
        <w:rPr>
          <w:b w:val="0"/>
          <w:bCs w:val="0"/>
        </w:rPr>
        <w:t>A.</w:t>
      </w:r>
      <w:r>
        <w:rPr>
          <w:b w:val="0"/>
          <w:bCs w:val="0"/>
        </w:rPr>
        <w:tab/>
      </w:r>
      <w:r w:rsidR="00FF4B3A" w:rsidRPr="00FF4B3A">
        <w:rPr>
          <w:b w:val="0"/>
          <w:bCs w:val="0"/>
        </w:rPr>
        <w:t>T</w:t>
      </w:r>
      <w:r>
        <w:rPr>
          <w:b w:val="0"/>
          <w:bCs w:val="0"/>
        </w:rPr>
        <w:t>he after-the-fact e</w:t>
      </w:r>
      <w:r w:rsidR="00FF4B3A">
        <w:rPr>
          <w:b w:val="0"/>
          <w:bCs w:val="0"/>
        </w:rPr>
        <w:t>arned returns from 2013 through 2015</w:t>
      </w:r>
      <w:r w:rsidR="00035175">
        <w:rPr>
          <w:b w:val="0"/>
          <w:bCs w:val="0"/>
        </w:rPr>
        <w:t>, as well as</w:t>
      </w:r>
      <w:r w:rsidR="00FF4B3A">
        <w:rPr>
          <w:b w:val="0"/>
          <w:bCs w:val="0"/>
        </w:rPr>
        <w:t xml:space="preserve"> the results thus-far for 2016,</w:t>
      </w:r>
      <w:r>
        <w:rPr>
          <w:b w:val="0"/>
          <w:bCs w:val="0"/>
        </w:rPr>
        <w:t xml:space="preserve"> confirm that incorporating attrition in settin</w:t>
      </w:r>
      <w:r w:rsidR="00035175">
        <w:rPr>
          <w:b w:val="0"/>
          <w:bCs w:val="0"/>
        </w:rPr>
        <w:t>g retail rates</w:t>
      </w:r>
      <w:r>
        <w:rPr>
          <w:b w:val="0"/>
          <w:bCs w:val="0"/>
        </w:rPr>
        <w:t xml:space="preserve"> </w:t>
      </w:r>
      <w:r w:rsidR="00A5638A">
        <w:rPr>
          <w:b w:val="0"/>
          <w:bCs w:val="0"/>
        </w:rPr>
        <w:t xml:space="preserve">in recent general rate cases </w:t>
      </w:r>
      <w:r>
        <w:rPr>
          <w:b w:val="0"/>
          <w:bCs w:val="0"/>
        </w:rPr>
        <w:t xml:space="preserve">was necessary in order for Avista to have the opportunity to earn its allowed return. </w:t>
      </w:r>
    </w:p>
    <w:p w:rsidR="00C15078" w:rsidRDefault="00D91B57" w:rsidP="00C15078">
      <w:pPr>
        <w:pStyle w:val="BodyText"/>
        <w:tabs>
          <w:tab w:val="left" w:pos="720"/>
        </w:tabs>
        <w:spacing w:line="480" w:lineRule="auto"/>
        <w:ind w:right="-54" w:firstLine="720"/>
        <w:jc w:val="both"/>
        <w:rPr>
          <w:b w:val="0"/>
          <w:bCs w:val="0"/>
        </w:rPr>
      </w:pPr>
      <w:r>
        <w:rPr>
          <w:b w:val="0"/>
          <w:bCs w:val="0"/>
        </w:rPr>
        <w:t>In</w:t>
      </w:r>
      <w:r w:rsidR="00035175">
        <w:rPr>
          <w:b w:val="0"/>
          <w:bCs w:val="0"/>
        </w:rPr>
        <w:t xml:space="preserve"> Docket Nos. UE-120436 and </w:t>
      </w:r>
      <w:r w:rsidR="00BC6DCC">
        <w:rPr>
          <w:b w:val="0"/>
          <w:bCs w:val="0"/>
        </w:rPr>
        <w:t>UG-120437</w:t>
      </w:r>
      <w:r>
        <w:rPr>
          <w:b w:val="0"/>
          <w:bCs w:val="0"/>
        </w:rPr>
        <w:t>,</w:t>
      </w:r>
      <w:r w:rsidR="00035175">
        <w:rPr>
          <w:b w:val="0"/>
          <w:bCs w:val="0"/>
        </w:rPr>
        <w:t xml:space="preserve"> in which revenue adjustments were established for 2013 and 2014, </w:t>
      </w:r>
      <w:r w:rsidR="00C15078">
        <w:rPr>
          <w:b w:val="0"/>
          <w:bCs w:val="0"/>
        </w:rPr>
        <w:t>Staff presented analyses and sponsored testimony supporting revenue increases for 2013 and 2014 that incorporated the im</w:t>
      </w:r>
      <w:r w:rsidR="00035175">
        <w:rPr>
          <w:b w:val="0"/>
          <w:bCs w:val="0"/>
        </w:rPr>
        <w:t>pacts of “significant attrition</w:t>
      </w:r>
      <w:r w:rsidR="001D5877">
        <w:rPr>
          <w:b w:val="0"/>
          <w:bCs w:val="0"/>
        </w:rPr>
        <w:t>,</w:t>
      </w:r>
      <w:r w:rsidR="00C15078">
        <w:rPr>
          <w:b w:val="0"/>
          <w:bCs w:val="0"/>
        </w:rPr>
        <w:t>”</w:t>
      </w:r>
      <w:r w:rsidR="001D5877">
        <w:rPr>
          <w:b w:val="0"/>
          <w:bCs w:val="0"/>
        </w:rPr>
        <w:t xml:space="preserve"> and </w:t>
      </w:r>
      <w:r w:rsidR="001869C1">
        <w:rPr>
          <w:b w:val="0"/>
          <w:bCs w:val="0"/>
        </w:rPr>
        <w:t xml:space="preserve">Staff </w:t>
      </w:r>
      <w:r w:rsidR="001D5877">
        <w:rPr>
          <w:b w:val="0"/>
          <w:bCs w:val="0"/>
        </w:rPr>
        <w:t xml:space="preserve">stated that </w:t>
      </w:r>
      <w:r w:rsidR="00C15078">
        <w:rPr>
          <w:b w:val="0"/>
          <w:bCs w:val="0"/>
        </w:rPr>
        <w:t>attrition for</w:t>
      </w:r>
      <w:r w:rsidR="001D5877">
        <w:rPr>
          <w:b w:val="0"/>
          <w:bCs w:val="0"/>
        </w:rPr>
        <w:t xml:space="preserve"> Avista “is present and ongoing</w:t>
      </w:r>
      <w:r w:rsidR="00500D68">
        <w:rPr>
          <w:b w:val="0"/>
          <w:bCs w:val="0"/>
        </w:rPr>
        <w:t>”</w:t>
      </w:r>
      <w:r w:rsidR="00E90DC9">
        <w:rPr>
          <w:b w:val="0"/>
          <w:bCs w:val="0"/>
        </w:rPr>
        <w:t>, as follows</w:t>
      </w:r>
      <w:r w:rsidR="001D5877">
        <w:rPr>
          <w:b w:val="0"/>
          <w:bCs w:val="0"/>
        </w:rPr>
        <w:t>:</w:t>
      </w:r>
      <w:r w:rsidR="00C15078">
        <w:rPr>
          <w:rStyle w:val="FootnoteReference"/>
          <w:b w:val="0"/>
          <w:bCs w:val="0"/>
        </w:rPr>
        <w:footnoteReference w:id="10"/>
      </w:r>
      <w:r w:rsidR="001D5877">
        <w:rPr>
          <w:b w:val="0"/>
          <w:bCs w:val="0"/>
        </w:rPr>
        <w:t xml:space="preserve"> </w:t>
      </w:r>
    </w:p>
    <w:p w:rsidR="00C15078" w:rsidRDefault="00C15078" w:rsidP="00A5638A">
      <w:pPr>
        <w:pStyle w:val="BodyText"/>
        <w:tabs>
          <w:tab w:val="left" w:pos="1620"/>
        </w:tabs>
        <w:spacing w:line="240" w:lineRule="auto"/>
        <w:ind w:left="1260" w:right="-54" w:hanging="540"/>
        <w:jc w:val="both"/>
        <w:rPr>
          <w:b w:val="0"/>
          <w:bCs w:val="0"/>
        </w:rPr>
      </w:pPr>
      <w:r>
        <w:rPr>
          <w:b w:val="0"/>
          <w:bCs w:val="0"/>
        </w:rPr>
        <w:lastRenderedPageBreak/>
        <w:t>Q.</w:t>
      </w:r>
      <w:r>
        <w:rPr>
          <w:b w:val="0"/>
          <w:bCs w:val="0"/>
        </w:rPr>
        <w:tab/>
        <w:t>Please explain why Staff believes the rate increases in 2013 and 2014 are reasonable.</w:t>
      </w:r>
    </w:p>
    <w:p w:rsidR="00C15078" w:rsidRDefault="00C15078" w:rsidP="00BC6DCC">
      <w:pPr>
        <w:pStyle w:val="BodyText"/>
        <w:tabs>
          <w:tab w:val="left" w:pos="1620"/>
        </w:tabs>
        <w:spacing w:line="240" w:lineRule="auto"/>
        <w:ind w:left="1260" w:right="-54" w:hanging="540"/>
        <w:jc w:val="both"/>
        <w:rPr>
          <w:b w:val="0"/>
          <w:bCs w:val="0"/>
        </w:rPr>
      </w:pPr>
      <w:r>
        <w:rPr>
          <w:b w:val="0"/>
          <w:bCs w:val="0"/>
        </w:rPr>
        <w:t>A.</w:t>
      </w:r>
      <w:r>
        <w:rPr>
          <w:b w:val="0"/>
          <w:bCs w:val="0"/>
        </w:rPr>
        <w:tab/>
        <w:t>First, Staff’s attrition analysis shows Avista is experiencing significant attrition in its utility operations.  This is not a one-time phenomenon, because the historical trends demonstrate attrition is present and ongoing.  (Id.)</w:t>
      </w:r>
    </w:p>
    <w:p w:rsidR="00BC6DCC" w:rsidRDefault="00BC6DCC" w:rsidP="00BC6DCC">
      <w:pPr>
        <w:pStyle w:val="BodyText"/>
        <w:tabs>
          <w:tab w:val="left" w:pos="1620"/>
        </w:tabs>
        <w:spacing w:line="240" w:lineRule="auto"/>
        <w:ind w:left="1260" w:right="-54" w:hanging="540"/>
        <w:jc w:val="both"/>
        <w:rPr>
          <w:b w:val="0"/>
          <w:bCs w:val="0"/>
        </w:rPr>
      </w:pPr>
    </w:p>
    <w:p w:rsidR="00C15078" w:rsidRDefault="001D5877" w:rsidP="00C15078">
      <w:pPr>
        <w:pStyle w:val="BodyText"/>
        <w:tabs>
          <w:tab w:val="left" w:pos="720"/>
        </w:tabs>
        <w:spacing w:line="480" w:lineRule="auto"/>
        <w:ind w:right="-54" w:firstLine="720"/>
        <w:jc w:val="both"/>
        <w:rPr>
          <w:b w:val="0"/>
          <w:bCs w:val="0"/>
        </w:rPr>
      </w:pPr>
      <w:r w:rsidRPr="001D5877">
        <w:rPr>
          <w:b w:val="0"/>
          <w:bCs w:val="0"/>
        </w:rPr>
        <w:t>B</w:t>
      </w:r>
      <w:r w:rsidR="00C15078">
        <w:rPr>
          <w:b w:val="0"/>
          <w:bCs w:val="0"/>
        </w:rPr>
        <w:t>oth Avista and Staff have presented substantial evidence in th</w:t>
      </w:r>
      <w:r w:rsidR="00E90DC9">
        <w:rPr>
          <w:b w:val="0"/>
          <w:bCs w:val="0"/>
        </w:rPr>
        <w:t>is case</w:t>
      </w:r>
      <w:r w:rsidR="00C15078">
        <w:rPr>
          <w:b w:val="0"/>
          <w:bCs w:val="0"/>
        </w:rPr>
        <w:t xml:space="preserve"> that Avista </w:t>
      </w:r>
      <w:r w:rsidR="00C15078" w:rsidRPr="00040C48">
        <w:rPr>
          <w:b w:val="0"/>
          <w:bCs w:val="0"/>
          <w:u w:val="single"/>
        </w:rPr>
        <w:t>continues</w:t>
      </w:r>
      <w:r w:rsidR="00C15078">
        <w:rPr>
          <w:b w:val="0"/>
          <w:bCs w:val="0"/>
        </w:rPr>
        <w:t xml:space="preserve"> to experience attrition, and if attrition is not reflected in the rates established in this case, revenues will not be sufficient for Avista to ear</w:t>
      </w:r>
      <w:r w:rsidR="00484A53">
        <w:rPr>
          <w:b w:val="0"/>
          <w:bCs w:val="0"/>
        </w:rPr>
        <w:t xml:space="preserve">n its allowed return.  </w:t>
      </w:r>
      <w:r w:rsidR="00C15078">
        <w:rPr>
          <w:b w:val="0"/>
          <w:bCs w:val="0"/>
        </w:rPr>
        <w:t xml:space="preserve">Mr. </w:t>
      </w:r>
      <w:r w:rsidR="00484A53">
        <w:rPr>
          <w:b w:val="0"/>
          <w:bCs w:val="0"/>
        </w:rPr>
        <w:t>Hancock</w:t>
      </w:r>
      <w:r w:rsidR="00C15078">
        <w:rPr>
          <w:b w:val="0"/>
          <w:bCs w:val="0"/>
        </w:rPr>
        <w:t xml:space="preserve"> states:</w:t>
      </w:r>
      <w:r w:rsidR="000C33F8">
        <w:rPr>
          <w:rStyle w:val="FootnoteReference"/>
          <w:b w:val="0"/>
          <w:bCs w:val="0"/>
        </w:rPr>
        <w:footnoteReference w:id="11"/>
      </w:r>
    </w:p>
    <w:p w:rsidR="00C15078" w:rsidRDefault="00484A53" w:rsidP="00BC6DCC">
      <w:pPr>
        <w:pStyle w:val="BodyText"/>
        <w:tabs>
          <w:tab w:val="left" w:pos="720"/>
        </w:tabs>
        <w:spacing w:line="240" w:lineRule="auto"/>
        <w:ind w:left="720" w:right="-54"/>
        <w:jc w:val="both"/>
        <w:rPr>
          <w:b w:val="0"/>
          <w:bCs w:val="0"/>
        </w:rPr>
      </w:pPr>
      <w:r>
        <w:rPr>
          <w:b w:val="0"/>
          <w:bCs w:val="0"/>
        </w:rPr>
        <w:t>Staff’s analysis indicates that, absent an attrition adjustment, Avista will likely experience attrition and that the forces driving attrition are more likely than not outside of the Company’s control.</w:t>
      </w:r>
    </w:p>
    <w:p w:rsidR="00BC6DCC" w:rsidRDefault="00BC6DCC" w:rsidP="00BC6DCC">
      <w:pPr>
        <w:pStyle w:val="BodyText"/>
        <w:tabs>
          <w:tab w:val="left" w:pos="720"/>
        </w:tabs>
        <w:spacing w:line="240" w:lineRule="auto"/>
        <w:ind w:left="720" w:right="-54"/>
        <w:jc w:val="both"/>
        <w:rPr>
          <w:b w:val="0"/>
          <w:bCs w:val="0"/>
        </w:rPr>
      </w:pPr>
    </w:p>
    <w:p w:rsidR="00C15078" w:rsidRDefault="00C15078" w:rsidP="00C15078">
      <w:pPr>
        <w:pStyle w:val="P31"/>
        <w:ind w:right="-54"/>
        <w:jc w:val="both"/>
        <w:rPr>
          <w:rFonts w:ascii="Times New Roman" w:hAnsi="Times New Roman" w:cs="Times New Roman"/>
          <w:szCs w:val="24"/>
        </w:rPr>
      </w:pPr>
      <w:r w:rsidRPr="002F2797">
        <w:rPr>
          <w:rFonts w:ascii="Times New Roman" w:hAnsi="Times New Roman" w:cs="Times New Roman"/>
          <w:bCs/>
          <w:szCs w:val="24"/>
        </w:rPr>
        <w:t>T</w:t>
      </w:r>
      <w:r w:rsidRPr="00D30674">
        <w:rPr>
          <w:rFonts w:ascii="Times New Roman" w:hAnsi="Times New Roman" w:cs="Times New Roman"/>
          <w:bCs/>
          <w:szCs w:val="24"/>
        </w:rPr>
        <w:t>he Commission has not limited itself</w:t>
      </w:r>
      <w:r>
        <w:rPr>
          <w:rFonts w:ascii="Times New Roman" w:hAnsi="Times New Roman" w:cs="Times New Roman"/>
          <w:bCs/>
          <w:szCs w:val="24"/>
        </w:rPr>
        <w:t>, or the parties,</w:t>
      </w:r>
      <w:r w:rsidRPr="00D30674">
        <w:rPr>
          <w:rFonts w:ascii="Times New Roman" w:hAnsi="Times New Roman" w:cs="Times New Roman"/>
          <w:bCs/>
          <w:szCs w:val="24"/>
        </w:rPr>
        <w:t xml:space="preserve"> to a single method to determine revenue requirements.</w:t>
      </w:r>
      <w:r w:rsidRPr="00D30674">
        <w:rPr>
          <w:rFonts w:ascii="Times New Roman" w:hAnsi="Times New Roman" w:cs="Times New Roman"/>
          <w:b/>
          <w:bCs/>
          <w:szCs w:val="24"/>
        </w:rPr>
        <w:t xml:space="preserve">  </w:t>
      </w:r>
      <w:r w:rsidRPr="00D30674">
        <w:rPr>
          <w:rFonts w:ascii="Times New Roman" w:hAnsi="Times New Roman" w:cs="Times New Roman"/>
          <w:szCs w:val="24"/>
        </w:rPr>
        <w:t xml:space="preserve">RCW 80.28.010(1) (Duties as to Rates, Services, and Facilities) provides that “all charges made, demanded or received by any gas company, electrical company . . . shall be just, fair, reasonable and sufficient.” (See also RCW 80.28.020) </w:t>
      </w:r>
      <w:r w:rsidR="00F21D41">
        <w:rPr>
          <w:rFonts w:ascii="Times New Roman" w:hAnsi="Times New Roman" w:cs="Times New Roman"/>
          <w:szCs w:val="24"/>
        </w:rPr>
        <w:t xml:space="preserve"> </w:t>
      </w:r>
      <w:r w:rsidRPr="00D30674">
        <w:rPr>
          <w:rFonts w:ascii="Times New Roman" w:hAnsi="Times New Roman" w:cs="Times New Roman"/>
          <w:szCs w:val="24"/>
        </w:rPr>
        <w:t xml:space="preserve">As the Supreme Court explained in the </w:t>
      </w:r>
      <w:r w:rsidRPr="00D30674">
        <w:rPr>
          <w:rFonts w:ascii="Times New Roman" w:hAnsi="Times New Roman" w:cs="Times New Roman"/>
          <w:szCs w:val="24"/>
          <w:u w:val="single"/>
        </w:rPr>
        <w:t>Hope Natural Gas</w:t>
      </w:r>
      <w:r w:rsidRPr="00D30674">
        <w:rPr>
          <w:rFonts w:ascii="Times New Roman" w:hAnsi="Times New Roman" w:cs="Times New Roman"/>
          <w:szCs w:val="24"/>
        </w:rPr>
        <w:t xml:space="preserve"> case, the requirement that rates be “fair, just and reasonable” </w:t>
      </w:r>
      <w:r w:rsidRPr="00D30674">
        <w:rPr>
          <w:rFonts w:ascii="Times New Roman" w:hAnsi="Times New Roman" w:cs="Times New Roman"/>
          <w:szCs w:val="24"/>
          <w:u w:val="single"/>
        </w:rPr>
        <w:t>does not define a method</w:t>
      </w:r>
      <w:r w:rsidRPr="00D30674">
        <w:rPr>
          <w:rFonts w:ascii="Times New Roman" w:hAnsi="Times New Roman" w:cs="Times New Roman"/>
          <w:szCs w:val="24"/>
        </w:rPr>
        <w:t xml:space="preserve"> by which rates are to be calculated; instead, the fixing of fair, just and reasonable rates involves a balancing of investor and consumer interests.</w:t>
      </w:r>
      <w:r w:rsidRPr="00D30674">
        <w:rPr>
          <w:rStyle w:val="FootnoteReference"/>
          <w:rFonts w:ascii="Times New Roman" w:hAnsi="Times New Roman" w:cs="Times New Roman"/>
          <w:szCs w:val="24"/>
        </w:rPr>
        <w:footnoteReference w:id="12"/>
      </w:r>
      <w:r>
        <w:rPr>
          <w:rFonts w:ascii="Times New Roman" w:hAnsi="Times New Roman" w:cs="Times New Roman"/>
          <w:szCs w:val="24"/>
        </w:rPr>
        <w:t xml:space="preserve">  T</w:t>
      </w:r>
      <w:r w:rsidRPr="00D30674">
        <w:rPr>
          <w:rFonts w:ascii="Times New Roman" w:hAnsi="Times New Roman" w:cs="Times New Roman"/>
          <w:szCs w:val="24"/>
        </w:rPr>
        <w:t xml:space="preserve">he “end result” must be reasonable.  </w:t>
      </w:r>
    </w:p>
    <w:p w:rsidR="001718FB" w:rsidRPr="001718FB" w:rsidRDefault="00C15078" w:rsidP="001718FB">
      <w:pPr>
        <w:pStyle w:val="P31"/>
        <w:tabs>
          <w:tab w:val="clear" w:pos="1440"/>
        </w:tabs>
        <w:ind w:right="-54"/>
        <w:jc w:val="both"/>
        <w:rPr>
          <w:rFonts w:ascii="Times New Roman" w:hAnsi="Times New Roman" w:cs="Times New Roman"/>
          <w:bCs/>
          <w:szCs w:val="24"/>
        </w:rPr>
      </w:pPr>
      <w:r>
        <w:rPr>
          <w:rFonts w:ascii="Times New Roman" w:hAnsi="Times New Roman" w:cs="Times New Roman"/>
          <w:bCs/>
          <w:szCs w:val="24"/>
        </w:rPr>
        <w:t>The use of an attrition analysis</w:t>
      </w:r>
      <w:r w:rsidR="00445159">
        <w:rPr>
          <w:rFonts w:ascii="Times New Roman" w:hAnsi="Times New Roman" w:cs="Times New Roman"/>
          <w:bCs/>
          <w:szCs w:val="24"/>
        </w:rPr>
        <w:t>,</w:t>
      </w:r>
      <w:r>
        <w:rPr>
          <w:rFonts w:ascii="Times New Roman" w:hAnsi="Times New Roman" w:cs="Times New Roman"/>
          <w:bCs/>
          <w:szCs w:val="24"/>
        </w:rPr>
        <w:t xml:space="preserve"> and </w:t>
      </w:r>
      <w:r w:rsidR="00445159">
        <w:rPr>
          <w:rFonts w:ascii="Times New Roman" w:hAnsi="Times New Roman" w:cs="Times New Roman"/>
          <w:bCs/>
          <w:szCs w:val="24"/>
        </w:rPr>
        <w:t xml:space="preserve">an </w:t>
      </w:r>
      <w:r>
        <w:rPr>
          <w:rFonts w:ascii="Times New Roman" w:hAnsi="Times New Roman" w:cs="Times New Roman"/>
          <w:bCs/>
          <w:szCs w:val="24"/>
        </w:rPr>
        <w:t>attrition adjustment</w:t>
      </w:r>
      <w:r w:rsidR="00445159">
        <w:rPr>
          <w:rFonts w:ascii="Times New Roman" w:hAnsi="Times New Roman" w:cs="Times New Roman"/>
          <w:bCs/>
          <w:szCs w:val="24"/>
        </w:rPr>
        <w:t>,</w:t>
      </w:r>
      <w:r>
        <w:rPr>
          <w:rFonts w:ascii="Times New Roman" w:hAnsi="Times New Roman" w:cs="Times New Roman"/>
          <w:bCs/>
          <w:szCs w:val="24"/>
        </w:rPr>
        <w:t xml:space="preserve"> is also fully consistent with the matching principle.  Through the attrition analysis, changes in rate base, operating expenses and revenues between the historical test period and the prospective rate year are all captured in the analysis, and provide for a </w:t>
      </w:r>
      <w:r w:rsidR="00445159">
        <w:rPr>
          <w:rFonts w:ascii="Times New Roman" w:hAnsi="Times New Roman" w:cs="Times New Roman"/>
          <w:bCs/>
          <w:szCs w:val="24"/>
        </w:rPr>
        <w:t xml:space="preserve">proper </w:t>
      </w:r>
      <w:r>
        <w:rPr>
          <w:rFonts w:ascii="Times New Roman" w:hAnsi="Times New Roman" w:cs="Times New Roman"/>
          <w:bCs/>
          <w:szCs w:val="24"/>
        </w:rPr>
        <w:t>matching during the prospective rate period.</w:t>
      </w:r>
      <w:r w:rsidR="001718FB">
        <w:rPr>
          <w:rFonts w:ascii="Times New Roman" w:hAnsi="Times New Roman" w:cs="Times New Roman"/>
          <w:bCs/>
          <w:szCs w:val="24"/>
        </w:rPr>
        <w:br w:type="page"/>
      </w:r>
    </w:p>
    <w:p w:rsidR="00251275" w:rsidRPr="00C15078" w:rsidRDefault="00251275" w:rsidP="00251275">
      <w:pPr>
        <w:pStyle w:val="BodyText"/>
        <w:tabs>
          <w:tab w:val="left" w:pos="720"/>
        </w:tabs>
        <w:spacing w:line="480" w:lineRule="auto"/>
        <w:ind w:right="-54"/>
        <w:rPr>
          <w:b w:val="0"/>
          <w:bCs w:val="0"/>
        </w:rPr>
      </w:pPr>
      <w:r>
        <w:rPr>
          <w:rStyle w:val="PageNumber"/>
          <w:u w:val="single"/>
        </w:rPr>
        <w:lastRenderedPageBreak/>
        <w:t>VI</w:t>
      </w:r>
      <w:r w:rsidR="00500D68">
        <w:rPr>
          <w:rStyle w:val="PageNumber"/>
          <w:u w:val="single"/>
        </w:rPr>
        <w:t>. NO</w:t>
      </w:r>
      <w:r>
        <w:rPr>
          <w:rStyle w:val="PageNumber"/>
          <w:u w:val="single"/>
        </w:rPr>
        <w:t xml:space="preserve"> EVIDENCE OF A SELF-FULFILLING PROPHECY</w:t>
      </w:r>
    </w:p>
    <w:p w:rsidR="00251275" w:rsidRPr="00291DC3" w:rsidRDefault="00291DC3" w:rsidP="00857019">
      <w:pPr>
        <w:pStyle w:val="BodyText"/>
        <w:tabs>
          <w:tab w:val="left" w:pos="720"/>
        </w:tabs>
        <w:spacing w:line="480" w:lineRule="auto"/>
        <w:ind w:right="-54" w:firstLine="720"/>
        <w:jc w:val="both"/>
        <w:rPr>
          <w:bCs w:val="0"/>
        </w:rPr>
      </w:pPr>
      <w:r w:rsidRPr="00291DC3">
        <w:rPr>
          <w:bCs w:val="0"/>
        </w:rPr>
        <w:t>Q.</w:t>
      </w:r>
      <w:r w:rsidRPr="00291DC3">
        <w:rPr>
          <w:bCs w:val="0"/>
        </w:rPr>
        <w:tab/>
      </w:r>
      <w:r w:rsidR="000A2A55">
        <w:rPr>
          <w:bCs w:val="0"/>
        </w:rPr>
        <w:t xml:space="preserve">ICNU/NWIGU witness </w:t>
      </w:r>
      <w:r>
        <w:rPr>
          <w:bCs w:val="0"/>
        </w:rPr>
        <w:t>Mr. Mullins, on page 8 of his testimony</w:t>
      </w:r>
      <w:r w:rsidR="000A2A55">
        <w:rPr>
          <w:rStyle w:val="FootnoteReference"/>
          <w:bCs w:val="0"/>
        </w:rPr>
        <w:footnoteReference w:id="13"/>
      </w:r>
      <w:r>
        <w:rPr>
          <w:bCs w:val="0"/>
        </w:rPr>
        <w:t>, makes reference to the concept of a “self-fulfilling prophecy’’ in relation to the use of an attrition adjustment.  What is the Company’s response to this testimony?</w:t>
      </w:r>
    </w:p>
    <w:p w:rsidR="005D4722" w:rsidRDefault="00291DC3" w:rsidP="00857019">
      <w:pPr>
        <w:pStyle w:val="BodyText"/>
        <w:tabs>
          <w:tab w:val="left" w:pos="720"/>
        </w:tabs>
        <w:spacing w:line="480" w:lineRule="auto"/>
        <w:ind w:right="-54" w:firstLine="720"/>
        <w:jc w:val="both"/>
        <w:rPr>
          <w:b w:val="0"/>
          <w:bCs w:val="0"/>
        </w:rPr>
      </w:pPr>
      <w:r>
        <w:rPr>
          <w:b w:val="0"/>
          <w:bCs w:val="0"/>
        </w:rPr>
        <w:t>A.</w:t>
      </w:r>
      <w:r>
        <w:rPr>
          <w:b w:val="0"/>
          <w:bCs w:val="0"/>
        </w:rPr>
        <w:tab/>
      </w:r>
      <w:r w:rsidR="005D4722">
        <w:rPr>
          <w:b w:val="0"/>
          <w:bCs w:val="0"/>
        </w:rPr>
        <w:t>The Commission’s recent approval of attrition adjustments has not resulted in, nor has it created, a “self-fulfilling prophecy” regarding the level of utility investments or operating costs</w:t>
      </w:r>
      <w:r w:rsidR="0001717B">
        <w:rPr>
          <w:b w:val="0"/>
          <w:bCs w:val="0"/>
        </w:rPr>
        <w:t xml:space="preserve"> for Avista</w:t>
      </w:r>
      <w:r w:rsidR="005D4722">
        <w:rPr>
          <w:b w:val="0"/>
          <w:bCs w:val="0"/>
        </w:rPr>
        <w:t xml:space="preserve">.  Continuing investment in utility plant for Avista is driven by the need to build and replace infrastructure and install new technology, among other things, and not a particular Commission order or approach to ratemaking.  The significant evidence presented by Avista in this case demonstrates </w:t>
      </w:r>
      <w:r w:rsidR="008D3FEF">
        <w:rPr>
          <w:b w:val="0"/>
          <w:bCs w:val="0"/>
        </w:rPr>
        <w:t>the need for these investments.</w:t>
      </w:r>
    </w:p>
    <w:p w:rsidR="00D7320D" w:rsidRDefault="008D3FEF" w:rsidP="00857019">
      <w:pPr>
        <w:pStyle w:val="BodyText"/>
        <w:tabs>
          <w:tab w:val="left" w:pos="720"/>
        </w:tabs>
        <w:spacing w:line="480" w:lineRule="auto"/>
        <w:ind w:right="-54" w:firstLine="720"/>
        <w:jc w:val="both"/>
        <w:rPr>
          <w:b w:val="0"/>
          <w:bCs w:val="0"/>
        </w:rPr>
      </w:pPr>
      <w:r>
        <w:rPr>
          <w:b w:val="0"/>
          <w:bCs w:val="0"/>
        </w:rPr>
        <w:t>In Avista’s pre-filed testi</w:t>
      </w:r>
      <w:r w:rsidR="006D3C6B">
        <w:rPr>
          <w:b w:val="0"/>
          <w:bCs w:val="0"/>
        </w:rPr>
        <w:t>mony, exhibits and workpapers submitted for</w:t>
      </w:r>
      <w:r>
        <w:rPr>
          <w:b w:val="0"/>
          <w:bCs w:val="0"/>
        </w:rPr>
        <w:t xml:space="preserve"> this case</w:t>
      </w:r>
      <w:r w:rsidR="00A6706D">
        <w:rPr>
          <w:b w:val="0"/>
          <w:bCs w:val="0"/>
        </w:rPr>
        <w:t>,</w:t>
      </w:r>
      <w:r>
        <w:rPr>
          <w:b w:val="0"/>
          <w:bCs w:val="0"/>
        </w:rPr>
        <w:t xml:space="preserve"> the Company provided significant documentation and explanation of the capital projects recently completed and planned for the </w:t>
      </w:r>
      <w:r w:rsidR="006D3C6B">
        <w:rPr>
          <w:b w:val="0"/>
          <w:bCs w:val="0"/>
        </w:rPr>
        <w:t>near-term.</w:t>
      </w:r>
      <w:r w:rsidR="00A15FF7">
        <w:rPr>
          <w:rStyle w:val="FootnoteReference"/>
          <w:b w:val="0"/>
          <w:bCs w:val="0"/>
        </w:rPr>
        <w:footnoteReference w:id="14"/>
      </w:r>
      <w:r w:rsidR="006D3C6B">
        <w:rPr>
          <w:b w:val="0"/>
          <w:bCs w:val="0"/>
        </w:rPr>
        <w:t xml:space="preserve">  Avista provided additional information in response to discovery requests from the parties.  </w:t>
      </w:r>
      <w:r w:rsidR="00D7320D">
        <w:rPr>
          <w:b w:val="0"/>
          <w:bCs w:val="0"/>
        </w:rPr>
        <w:t>Members of the Staff visited Avista’s main office on more than one occasion to conduct an audit of the Company’s capital expenditures and operating expenses.  Following Avista’s filing on February 19, 2016</w:t>
      </w:r>
      <w:r w:rsidR="00F21D41">
        <w:rPr>
          <w:b w:val="0"/>
          <w:bCs w:val="0"/>
        </w:rPr>
        <w:t>,</w:t>
      </w:r>
      <w:r w:rsidR="00D7320D">
        <w:rPr>
          <w:b w:val="0"/>
          <w:bCs w:val="0"/>
        </w:rPr>
        <w:t xml:space="preserve"> until the parties filed their responsive testimony on August 17th</w:t>
      </w:r>
      <w:r w:rsidR="009C588B">
        <w:rPr>
          <w:b w:val="0"/>
          <w:bCs w:val="0"/>
        </w:rPr>
        <w:t>, the parties</w:t>
      </w:r>
      <w:r w:rsidR="00D7320D">
        <w:rPr>
          <w:b w:val="0"/>
          <w:bCs w:val="0"/>
        </w:rPr>
        <w:t xml:space="preserve"> had six months to review and ask questions on any specific</w:t>
      </w:r>
      <w:r w:rsidR="00B3674D">
        <w:rPr>
          <w:b w:val="0"/>
          <w:bCs w:val="0"/>
        </w:rPr>
        <w:t xml:space="preserve"> capital investment</w:t>
      </w:r>
      <w:r w:rsidR="00D7320D">
        <w:rPr>
          <w:b w:val="0"/>
          <w:bCs w:val="0"/>
        </w:rPr>
        <w:t xml:space="preserve"> item</w:t>
      </w:r>
      <w:r w:rsidR="00C262CA">
        <w:rPr>
          <w:b w:val="0"/>
          <w:bCs w:val="0"/>
        </w:rPr>
        <w:t>s</w:t>
      </w:r>
      <w:r w:rsidR="00B3674D">
        <w:rPr>
          <w:b w:val="0"/>
          <w:bCs w:val="0"/>
        </w:rPr>
        <w:t>,</w:t>
      </w:r>
      <w:r w:rsidR="00D7320D">
        <w:rPr>
          <w:b w:val="0"/>
          <w:bCs w:val="0"/>
        </w:rPr>
        <w:t xml:space="preserve"> or category of the Company’s capital investment</w:t>
      </w:r>
      <w:r w:rsidR="00B3674D">
        <w:rPr>
          <w:b w:val="0"/>
          <w:bCs w:val="0"/>
        </w:rPr>
        <w:t>,</w:t>
      </w:r>
      <w:r w:rsidR="00D7320D">
        <w:rPr>
          <w:b w:val="0"/>
          <w:bCs w:val="0"/>
        </w:rPr>
        <w:t xml:space="preserve"> for whi</w:t>
      </w:r>
      <w:r w:rsidR="00A843D8">
        <w:rPr>
          <w:b w:val="0"/>
          <w:bCs w:val="0"/>
        </w:rPr>
        <w:t xml:space="preserve">ch they may have had concerns.  </w:t>
      </w:r>
      <w:r w:rsidR="003D015B">
        <w:rPr>
          <w:b w:val="0"/>
          <w:bCs w:val="0"/>
        </w:rPr>
        <w:t xml:space="preserve">It is noteworthy that no party in this case identified a single capital project that </w:t>
      </w:r>
      <w:r w:rsidR="003D015B" w:rsidRPr="00F21D41">
        <w:rPr>
          <w:b w:val="0"/>
          <w:bCs w:val="0"/>
          <w:u w:val="single"/>
        </w:rPr>
        <w:t>should not be done</w:t>
      </w:r>
      <w:r w:rsidR="003D015B">
        <w:rPr>
          <w:b w:val="0"/>
          <w:bCs w:val="0"/>
        </w:rPr>
        <w:t xml:space="preserve"> in the time frame in which the capital projects are being carried out by the Company.</w:t>
      </w:r>
      <w:r w:rsidR="00F21D41">
        <w:rPr>
          <w:rStyle w:val="FootnoteReference"/>
          <w:b w:val="0"/>
          <w:bCs w:val="0"/>
        </w:rPr>
        <w:footnoteReference w:id="15"/>
      </w:r>
      <w:r w:rsidR="00283FB0">
        <w:rPr>
          <w:b w:val="0"/>
          <w:bCs w:val="0"/>
        </w:rPr>
        <w:t xml:space="preserve">  </w:t>
      </w:r>
    </w:p>
    <w:p w:rsidR="00291DC3" w:rsidRDefault="00B21E20" w:rsidP="00857019">
      <w:pPr>
        <w:pStyle w:val="BodyText"/>
        <w:tabs>
          <w:tab w:val="left" w:pos="720"/>
        </w:tabs>
        <w:spacing w:line="480" w:lineRule="auto"/>
        <w:ind w:right="-54" w:firstLine="720"/>
        <w:jc w:val="both"/>
        <w:rPr>
          <w:b w:val="0"/>
          <w:bCs w:val="0"/>
        </w:rPr>
      </w:pPr>
      <w:r>
        <w:rPr>
          <w:b w:val="0"/>
          <w:bCs w:val="0"/>
        </w:rPr>
        <w:lastRenderedPageBreak/>
        <w:t>With regard to u</w:t>
      </w:r>
      <w:r w:rsidR="005D4722">
        <w:rPr>
          <w:b w:val="0"/>
          <w:bCs w:val="0"/>
        </w:rPr>
        <w:t>tility operating costs</w:t>
      </w:r>
      <w:r>
        <w:rPr>
          <w:b w:val="0"/>
          <w:bCs w:val="0"/>
        </w:rPr>
        <w:t>, Avista’s operating expenses</w:t>
      </w:r>
      <w:r w:rsidR="005D4722">
        <w:rPr>
          <w:b w:val="0"/>
          <w:bCs w:val="0"/>
        </w:rPr>
        <w:t xml:space="preserve"> are designed to operate the utility in a manner that results in safe, reliable service to customers with a high lev</w:t>
      </w:r>
      <w:r w:rsidR="00283FB0">
        <w:rPr>
          <w:b w:val="0"/>
          <w:bCs w:val="0"/>
        </w:rPr>
        <w:t>el of customer satisfaction; as well as</w:t>
      </w:r>
      <w:r w:rsidR="005D4722">
        <w:rPr>
          <w:b w:val="0"/>
          <w:bCs w:val="0"/>
        </w:rPr>
        <w:t xml:space="preserve"> Avista’s complianc</w:t>
      </w:r>
      <w:r w:rsidR="00157645">
        <w:rPr>
          <w:b w:val="0"/>
          <w:bCs w:val="0"/>
        </w:rPr>
        <w:t>e with numerous</w:t>
      </w:r>
      <w:r w:rsidR="005D4722">
        <w:rPr>
          <w:b w:val="0"/>
          <w:bCs w:val="0"/>
        </w:rPr>
        <w:t xml:space="preserve"> local, state and federal requirements.  Avista’s operating costs also reflect recent and continuing efforts to partner with customers, third-party vendors and other stakeholders to provide new products, services and information for customers toward an energy-efficient and low-carbon future</w:t>
      </w:r>
      <w:r w:rsidR="00860AC3">
        <w:rPr>
          <w:b w:val="0"/>
          <w:bCs w:val="0"/>
        </w:rPr>
        <w:t>.</w:t>
      </w:r>
      <w:r w:rsidR="005E22E7">
        <w:rPr>
          <w:b w:val="0"/>
          <w:bCs w:val="0"/>
        </w:rPr>
        <w:t xml:space="preserve">  In his testimony on pat 19, line 1, Mr. Hancock noted that “Also, utilities are expected to provide a wider range of services and greater reliability than their counterparts of decades past.”</w:t>
      </w:r>
    </w:p>
    <w:p w:rsidR="00157645" w:rsidRDefault="00362194" w:rsidP="00857019">
      <w:pPr>
        <w:pStyle w:val="BodyText"/>
        <w:tabs>
          <w:tab w:val="left" w:pos="720"/>
        </w:tabs>
        <w:spacing w:line="480" w:lineRule="auto"/>
        <w:ind w:right="-54" w:firstLine="720"/>
        <w:jc w:val="both"/>
        <w:rPr>
          <w:b w:val="0"/>
          <w:bCs w:val="0"/>
        </w:rPr>
      </w:pPr>
      <w:r>
        <w:rPr>
          <w:b w:val="0"/>
          <w:bCs w:val="0"/>
        </w:rPr>
        <w:t>In</w:t>
      </w:r>
      <w:r w:rsidR="007F3039">
        <w:rPr>
          <w:b w:val="0"/>
          <w:bCs w:val="0"/>
        </w:rPr>
        <w:t xml:space="preserve"> addition, in</w:t>
      </w:r>
      <w:r>
        <w:rPr>
          <w:b w:val="0"/>
          <w:bCs w:val="0"/>
        </w:rPr>
        <w:t xml:space="preserve"> his testimony on page 21, beginning on line 6, Mr. Hancock recognizes the reality of a continuing increase in both utility operating expenses and capital investment:</w:t>
      </w:r>
    </w:p>
    <w:p w:rsidR="00362194" w:rsidRDefault="00362194" w:rsidP="00362194">
      <w:pPr>
        <w:pStyle w:val="BodyText"/>
        <w:tabs>
          <w:tab w:val="left" w:pos="720"/>
        </w:tabs>
        <w:spacing w:line="240" w:lineRule="auto"/>
        <w:ind w:left="1267" w:right="-58" w:hanging="547"/>
        <w:jc w:val="both"/>
        <w:rPr>
          <w:b w:val="0"/>
          <w:bCs w:val="0"/>
        </w:rPr>
      </w:pPr>
      <w:r>
        <w:rPr>
          <w:b w:val="0"/>
          <w:bCs w:val="0"/>
        </w:rPr>
        <w:t>Q.</w:t>
      </w:r>
      <w:r>
        <w:rPr>
          <w:b w:val="0"/>
          <w:bCs w:val="0"/>
        </w:rPr>
        <w:tab/>
        <w:t>What does Staff think is causing Avista’s attrition?</w:t>
      </w:r>
    </w:p>
    <w:p w:rsidR="00291DC3" w:rsidRDefault="00362194" w:rsidP="00500D68">
      <w:pPr>
        <w:pStyle w:val="BodyText"/>
        <w:tabs>
          <w:tab w:val="left" w:pos="720"/>
        </w:tabs>
        <w:spacing w:line="240" w:lineRule="auto"/>
        <w:ind w:left="1267" w:right="-58" w:hanging="547"/>
        <w:jc w:val="both"/>
        <w:rPr>
          <w:b w:val="0"/>
          <w:bCs w:val="0"/>
        </w:rPr>
      </w:pPr>
      <w:r>
        <w:rPr>
          <w:b w:val="0"/>
          <w:bCs w:val="0"/>
        </w:rPr>
        <w:t>A.</w:t>
      </w:r>
      <w:r>
        <w:rPr>
          <w:b w:val="0"/>
          <w:bCs w:val="0"/>
        </w:rPr>
        <w:tab/>
        <w:t>Expenses and capital investments are growing faster than revenues.  The growth rates in expenses and capital investments are largely the result of factors that appear to be outside of the control of the utility.  Revenue growth is flat.  To the extent that revenues are a function of load growth, load growth nonetheless remains low.</w:t>
      </w:r>
    </w:p>
    <w:p w:rsidR="00500D68" w:rsidRDefault="00500D68" w:rsidP="00500D68">
      <w:pPr>
        <w:pStyle w:val="BodyText"/>
        <w:tabs>
          <w:tab w:val="left" w:pos="720"/>
        </w:tabs>
        <w:spacing w:line="240" w:lineRule="auto"/>
        <w:ind w:left="1267" w:right="-58" w:hanging="547"/>
        <w:jc w:val="both"/>
        <w:rPr>
          <w:b w:val="0"/>
          <w:bCs w:val="0"/>
        </w:rPr>
      </w:pPr>
    </w:p>
    <w:p w:rsidR="00071094" w:rsidRDefault="003C6E4B" w:rsidP="003C6E4B">
      <w:pPr>
        <w:pStyle w:val="BodyText"/>
        <w:tabs>
          <w:tab w:val="left" w:pos="720"/>
        </w:tabs>
        <w:spacing w:line="480" w:lineRule="auto"/>
        <w:ind w:left="720" w:right="-54" w:hanging="720"/>
        <w:jc w:val="both"/>
        <w:rPr>
          <w:b w:val="0"/>
          <w:bCs w:val="0"/>
        </w:rPr>
      </w:pPr>
      <w:r>
        <w:rPr>
          <w:b w:val="0"/>
          <w:bCs w:val="0"/>
        </w:rPr>
        <w:tab/>
        <w:t>And on page 43 of his testimony, beginning on line 14, Mr. Hancock also states:</w:t>
      </w:r>
    </w:p>
    <w:p w:rsidR="003C6E4B" w:rsidRPr="000E0CE9" w:rsidRDefault="003C6E4B" w:rsidP="00A579AD">
      <w:pPr>
        <w:pStyle w:val="BodyText"/>
        <w:tabs>
          <w:tab w:val="left" w:pos="1440"/>
        </w:tabs>
        <w:spacing w:line="240" w:lineRule="auto"/>
        <w:ind w:left="720" w:right="-58" w:hanging="1267"/>
        <w:jc w:val="both"/>
        <w:rPr>
          <w:b w:val="0"/>
          <w:bCs w:val="0"/>
        </w:rPr>
      </w:pPr>
      <w:r>
        <w:rPr>
          <w:b w:val="0"/>
          <w:bCs w:val="0"/>
        </w:rPr>
        <w:tab/>
        <w:t xml:space="preserve">The chart below displays several measures of costs that utilities face, and lends support </w:t>
      </w:r>
      <w:r w:rsidRPr="000E0CE9">
        <w:rPr>
          <w:b w:val="0"/>
          <w:bCs w:val="0"/>
        </w:rPr>
        <w:t>to Avista’s claims that growth in operating costs is outside of its control.</w:t>
      </w:r>
      <w:r w:rsidR="000937ED">
        <w:rPr>
          <w:b w:val="0"/>
          <w:bCs w:val="0"/>
        </w:rPr>
        <w:t xml:space="preserve"> (</w:t>
      </w:r>
      <w:proofErr w:type="gramStart"/>
      <w:r w:rsidR="000937ED">
        <w:rPr>
          <w:b w:val="0"/>
          <w:bCs w:val="0"/>
        </w:rPr>
        <w:t>chart</w:t>
      </w:r>
      <w:proofErr w:type="gramEnd"/>
      <w:r w:rsidR="000937ED">
        <w:rPr>
          <w:b w:val="0"/>
          <w:bCs w:val="0"/>
        </w:rPr>
        <w:t xml:space="preserve"> omitted)</w:t>
      </w:r>
    </w:p>
    <w:p w:rsidR="00A84790" w:rsidRPr="000E0CE9" w:rsidRDefault="00A84790" w:rsidP="00A0459F">
      <w:pPr>
        <w:pStyle w:val="BodyText"/>
        <w:tabs>
          <w:tab w:val="left" w:pos="720"/>
        </w:tabs>
        <w:spacing w:line="240" w:lineRule="auto"/>
        <w:ind w:left="720" w:hanging="720"/>
        <w:jc w:val="both"/>
        <w:rPr>
          <w:b w:val="0"/>
          <w:bCs w:val="0"/>
        </w:rPr>
      </w:pPr>
      <w:r w:rsidRPr="000E0CE9">
        <w:rPr>
          <w:b w:val="0"/>
          <w:bCs w:val="0"/>
        </w:rPr>
        <w:tab/>
      </w:r>
    </w:p>
    <w:p w:rsidR="001B5EF1" w:rsidRPr="000E0CE9" w:rsidRDefault="001B5EF1" w:rsidP="001B5EF1">
      <w:pPr>
        <w:pStyle w:val="BodyText"/>
        <w:tabs>
          <w:tab w:val="left" w:pos="720"/>
        </w:tabs>
        <w:spacing w:line="480" w:lineRule="auto"/>
        <w:ind w:right="-54" w:firstLine="720"/>
        <w:jc w:val="both"/>
        <w:rPr>
          <w:bCs w:val="0"/>
        </w:rPr>
      </w:pPr>
      <w:r w:rsidRPr="000E0CE9">
        <w:rPr>
          <w:bCs w:val="0"/>
        </w:rPr>
        <w:t>Q.</w:t>
      </w:r>
      <w:r w:rsidRPr="000E0CE9">
        <w:rPr>
          <w:bCs w:val="0"/>
        </w:rPr>
        <w:tab/>
      </w:r>
      <w:r w:rsidR="00F35955" w:rsidRPr="000E0CE9">
        <w:rPr>
          <w:bCs w:val="0"/>
        </w:rPr>
        <w:t xml:space="preserve">Does Public Counsel </w:t>
      </w:r>
      <w:proofErr w:type="gramStart"/>
      <w:r w:rsidR="00F35955" w:rsidRPr="000E0CE9">
        <w:rPr>
          <w:bCs w:val="0"/>
        </w:rPr>
        <w:t>witness</w:t>
      </w:r>
      <w:proofErr w:type="gramEnd"/>
      <w:r w:rsidR="00F35955" w:rsidRPr="000E0CE9">
        <w:rPr>
          <w:bCs w:val="0"/>
        </w:rPr>
        <w:t xml:space="preserve"> Mr. Watkins appear to understand what is driving the need for expenditures</w:t>
      </w:r>
      <w:r w:rsidRPr="000E0CE9">
        <w:rPr>
          <w:bCs w:val="0"/>
        </w:rPr>
        <w:t>?</w:t>
      </w:r>
    </w:p>
    <w:p w:rsidR="00606914" w:rsidRPr="000E0CE9" w:rsidRDefault="001B5EF1" w:rsidP="008C39F8">
      <w:pPr>
        <w:pStyle w:val="BodyText"/>
        <w:tabs>
          <w:tab w:val="left" w:pos="720"/>
        </w:tabs>
        <w:spacing w:line="480" w:lineRule="auto"/>
        <w:ind w:firstLine="720"/>
        <w:jc w:val="both"/>
        <w:rPr>
          <w:b w:val="0"/>
          <w:bCs w:val="0"/>
        </w:rPr>
      </w:pPr>
      <w:r w:rsidRPr="000E0CE9">
        <w:rPr>
          <w:b w:val="0"/>
          <w:bCs w:val="0"/>
        </w:rPr>
        <w:t>A.</w:t>
      </w:r>
      <w:r w:rsidRPr="000E0CE9">
        <w:rPr>
          <w:b w:val="0"/>
          <w:bCs w:val="0"/>
        </w:rPr>
        <w:tab/>
      </w:r>
      <w:r w:rsidR="00F35955" w:rsidRPr="000E0CE9">
        <w:rPr>
          <w:b w:val="0"/>
          <w:bCs w:val="0"/>
        </w:rPr>
        <w:t xml:space="preserve">No.  </w:t>
      </w:r>
      <w:r w:rsidR="00A170D5">
        <w:rPr>
          <w:b w:val="0"/>
          <w:bCs w:val="0"/>
        </w:rPr>
        <w:t xml:space="preserve">As stated earlier, </w:t>
      </w:r>
      <w:r w:rsidR="00A84790" w:rsidRPr="000E0CE9">
        <w:rPr>
          <w:b w:val="0"/>
          <w:bCs w:val="0"/>
        </w:rPr>
        <w:t xml:space="preserve">Avista’s capital investment and operating costs are driven </w:t>
      </w:r>
      <w:r w:rsidR="00A170D5">
        <w:rPr>
          <w:b w:val="0"/>
          <w:bCs w:val="0"/>
        </w:rPr>
        <w:t xml:space="preserve">primarily </w:t>
      </w:r>
      <w:r w:rsidR="00A84790" w:rsidRPr="000E0CE9">
        <w:rPr>
          <w:b w:val="0"/>
          <w:bCs w:val="0"/>
        </w:rPr>
        <w:t>by it</w:t>
      </w:r>
      <w:r w:rsidR="003D7F9B" w:rsidRPr="000E0CE9">
        <w:rPr>
          <w:b w:val="0"/>
          <w:bCs w:val="0"/>
        </w:rPr>
        <w:t>s</w:t>
      </w:r>
      <w:r w:rsidR="00A84790" w:rsidRPr="000E0CE9">
        <w:rPr>
          <w:b w:val="0"/>
          <w:bCs w:val="0"/>
        </w:rPr>
        <w:t xml:space="preserve"> efforts to provide safe, reliable service to its customers, and to maintain a high l</w:t>
      </w:r>
      <w:r w:rsidR="003D7F9B" w:rsidRPr="000E0CE9">
        <w:rPr>
          <w:b w:val="0"/>
          <w:bCs w:val="0"/>
        </w:rPr>
        <w:t xml:space="preserve">evel of customer satisfaction.  No party in this case has </w:t>
      </w:r>
      <w:r w:rsidR="00E422B2" w:rsidRPr="000E0CE9">
        <w:rPr>
          <w:b w:val="0"/>
          <w:bCs w:val="0"/>
        </w:rPr>
        <w:t>provided any ev</w:t>
      </w:r>
      <w:r w:rsidR="00EC3422" w:rsidRPr="000E0CE9">
        <w:rPr>
          <w:b w:val="0"/>
          <w:bCs w:val="0"/>
        </w:rPr>
        <w:t xml:space="preserve">idence that would indicate otherwise. Mr. Watkins chose </w:t>
      </w:r>
      <w:r w:rsidR="00EC3422" w:rsidRPr="000E0CE9">
        <w:rPr>
          <w:b w:val="0"/>
          <w:bCs w:val="0"/>
          <w:u w:val="single"/>
        </w:rPr>
        <w:t>selected subsets</w:t>
      </w:r>
      <w:r w:rsidR="00EC3422" w:rsidRPr="000E0CE9">
        <w:rPr>
          <w:b w:val="0"/>
          <w:bCs w:val="0"/>
        </w:rPr>
        <w:t xml:space="preserve"> of data to develop cost trends, which he then uses to suggest that the Company has increase</w:t>
      </w:r>
      <w:r w:rsidR="002E7B80" w:rsidRPr="000E0CE9">
        <w:rPr>
          <w:b w:val="0"/>
          <w:bCs w:val="0"/>
        </w:rPr>
        <w:t xml:space="preserve">d its spending following the </w:t>
      </w:r>
      <w:r w:rsidR="002E7B80" w:rsidRPr="000E0CE9">
        <w:rPr>
          <w:b w:val="0"/>
          <w:bCs w:val="0"/>
        </w:rPr>
        <w:lastRenderedPageBreak/>
        <w:t>employment</w:t>
      </w:r>
      <w:r w:rsidR="00EC3422" w:rsidRPr="000E0CE9">
        <w:rPr>
          <w:b w:val="0"/>
          <w:bCs w:val="0"/>
        </w:rPr>
        <w:t xml:space="preserve"> of attrition for ratemaking purposes.</w:t>
      </w:r>
      <w:r w:rsidR="00C92B19" w:rsidRPr="000E0CE9">
        <w:rPr>
          <w:rStyle w:val="FootnoteReference"/>
          <w:b w:val="0"/>
          <w:bCs w:val="0"/>
        </w:rPr>
        <w:footnoteReference w:id="16"/>
      </w:r>
      <w:r w:rsidR="00EC3422" w:rsidRPr="000E0CE9">
        <w:rPr>
          <w:b w:val="0"/>
          <w:bCs w:val="0"/>
        </w:rPr>
        <w:t xml:space="preserve">  Following the Company’s filing in February</w:t>
      </w:r>
      <w:r w:rsidR="0067472B" w:rsidRPr="000E0CE9">
        <w:rPr>
          <w:b w:val="0"/>
          <w:bCs w:val="0"/>
        </w:rPr>
        <w:t xml:space="preserve"> 2016</w:t>
      </w:r>
      <w:r w:rsidR="00EC3422" w:rsidRPr="000E0CE9">
        <w:rPr>
          <w:b w:val="0"/>
          <w:bCs w:val="0"/>
        </w:rPr>
        <w:t>, Mr. Watkins had six months in which to ask Avista to explain the reasons for the cost increases in these subsets of data, either through discovery reques</w:t>
      </w:r>
      <w:r w:rsidR="002E7B80" w:rsidRPr="000E0CE9">
        <w:rPr>
          <w:b w:val="0"/>
          <w:bCs w:val="0"/>
        </w:rPr>
        <w:t>ts, a vis</w:t>
      </w:r>
      <w:r w:rsidR="00606914" w:rsidRPr="000E0CE9">
        <w:rPr>
          <w:b w:val="0"/>
          <w:bCs w:val="0"/>
        </w:rPr>
        <w:t>i</w:t>
      </w:r>
      <w:r w:rsidR="002E7B80" w:rsidRPr="000E0CE9">
        <w:rPr>
          <w:b w:val="0"/>
          <w:bCs w:val="0"/>
        </w:rPr>
        <w:t>t</w:t>
      </w:r>
      <w:r w:rsidR="00EC3422" w:rsidRPr="000E0CE9">
        <w:rPr>
          <w:b w:val="0"/>
          <w:bCs w:val="0"/>
        </w:rPr>
        <w:t xml:space="preserve"> to Avista’s offices, or</w:t>
      </w:r>
      <w:r w:rsidR="00606914" w:rsidRPr="000E0CE9">
        <w:rPr>
          <w:b w:val="0"/>
          <w:bCs w:val="0"/>
        </w:rPr>
        <w:t>,</w:t>
      </w:r>
      <w:r w:rsidR="00EC3422" w:rsidRPr="000E0CE9">
        <w:rPr>
          <w:b w:val="0"/>
          <w:bCs w:val="0"/>
        </w:rPr>
        <w:t xml:space="preserve"> </w:t>
      </w:r>
      <w:r w:rsidR="00606914" w:rsidRPr="000E0CE9">
        <w:rPr>
          <w:b w:val="0"/>
          <w:bCs w:val="0"/>
        </w:rPr>
        <w:t>like members of Staff or consultants for other parties have done, call</w:t>
      </w:r>
      <w:r w:rsidR="00EC3422" w:rsidRPr="000E0CE9">
        <w:rPr>
          <w:b w:val="0"/>
          <w:bCs w:val="0"/>
        </w:rPr>
        <w:t xml:space="preserve"> Avista</w:t>
      </w:r>
      <w:r w:rsidR="00606914" w:rsidRPr="000E0CE9">
        <w:rPr>
          <w:b w:val="0"/>
          <w:bCs w:val="0"/>
        </w:rPr>
        <w:t xml:space="preserve"> by phone to </w:t>
      </w:r>
      <w:r w:rsidR="002F2950" w:rsidRPr="000E0CE9">
        <w:rPr>
          <w:b w:val="0"/>
          <w:bCs w:val="0"/>
        </w:rPr>
        <w:t>inquire</w:t>
      </w:r>
      <w:r w:rsidR="00606914" w:rsidRPr="000E0CE9">
        <w:rPr>
          <w:b w:val="0"/>
          <w:bCs w:val="0"/>
        </w:rPr>
        <w:t>.  He did none of the above.</w:t>
      </w:r>
    </w:p>
    <w:p w:rsidR="006D4103" w:rsidRDefault="0077248C" w:rsidP="00D74ED7">
      <w:pPr>
        <w:pStyle w:val="BodyText"/>
        <w:tabs>
          <w:tab w:val="left" w:pos="720"/>
        </w:tabs>
        <w:spacing w:line="480" w:lineRule="auto"/>
        <w:ind w:firstLine="720"/>
        <w:jc w:val="both"/>
        <w:rPr>
          <w:b w:val="0"/>
          <w:bCs w:val="0"/>
        </w:rPr>
      </w:pPr>
      <w:r w:rsidRPr="000E0CE9">
        <w:rPr>
          <w:b w:val="0"/>
          <w:bCs w:val="0"/>
        </w:rPr>
        <w:t>Mr. Watkins uses</w:t>
      </w:r>
      <w:r>
        <w:rPr>
          <w:b w:val="0"/>
          <w:bCs w:val="0"/>
        </w:rPr>
        <w:t xml:space="preserve"> the results from a subset of cost data, for which he has no understanding of the drivers underlying t</w:t>
      </w:r>
      <w:r w:rsidR="002E7B80">
        <w:rPr>
          <w:b w:val="0"/>
          <w:bCs w:val="0"/>
        </w:rPr>
        <w:t>hose costs, and makes inferences from the data that are misleading at best.</w:t>
      </w:r>
      <w:r>
        <w:rPr>
          <w:b w:val="0"/>
          <w:bCs w:val="0"/>
        </w:rPr>
        <w:t xml:space="preserve"> </w:t>
      </w:r>
      <w:r w:rsidR="00A152E6">
        <w:rPr>
          <w:b w:val="0"/>
          <w:bCs w:val="0"/>
        </w:rPr>
        <w:t xml:space="preserve"> </w:t>
      </w:r>
      <w:r w:rsidR="00A14628">
        <w:rPr>
          <w:b w:val="0"/>
          <w:bCs w:val="0"/>
        </w:rPr>
        <w:t>Ms. Andrews</w:t>
      </w:r>
      <w:r w:rsidR="003B1548">
        <w:rPr>
          <w:b w:val="0"/>
          <w:bCs w:val="0"/>
        </w:rPr>
        <w:t xml:space="preserve"> provide</w:t>
      </w:r>
      <w:r w:rsidR="00EC4D98">
        <w:rPr>
          <w:b w:val="0"/>
          <w:bCs w:val="0"/>
        </w:rPr>
        <w:t>s</w:t>
      </w:r>
      <w:r w:rsidR="003B1548">
        <w:rPr>
          <w:b w:val="0"/>
          <w:bCs w:val="0"/>
        </w:rPr>
        <w:t xml:space="preserve"> explanations of the increases in costs reflected in</w:t>
      </w:r>
      <w:r w:rsidR="000937ED">
        <w:rPr>
          <w:b w:val="0"/>
          <w:bCs w:val="0"/>
        </w:rPr>
        <w:t xml:space="preserve"> some of </w:t>
      </w:r>
      <w:r w:rsidR="003B1548">
        <w:rPr>
          <w:b w:val="0"/>
          <w:bCs w:val="0"/>
        </w:rPr>
        <w:t>the data provided by Mr. Watkins.</w:t>
      </w:r>
    </w:p>
    <w:p w:rsidR="00D74ED7" w:rsidRPr="00D74ED7" w:rsidRDefault="00D74ED7" w:rsidP="00D74ED7">
      <w:pPr>
        <w:pStyle w:val="BodyText"/>
        <w:tabs>
          <w:tab w:val="left" w:pos="720"/>
        </w:tabs>
        <w:spacing w:line="480" w:lineRule="auto"/>
        <w:ind w:firstLine="720"/>
        <w:jc w:val="both"/>
        <w:rPr>
          <w:b w:val="0"/>
          <w:bCs w:val="0"/>
        </w:rPr>
      </w:pPr>
    </w:p>
    <w:p w:rsidR="00D52835" w:rsidRPr="00C15078" w:rsidRDefault="00953E72" w:rsidP="00D52835">
      <w:pPr>
        <w:pStyle w:val="BodyText"/>
        <w:tabs>
          <w:tab w:val="left" w:pos="720"/>
        </w:tabs>
        <w:spacing w:line="240" w:lineRule="auto"/>
        <w:ind w:right="-58"/>
        <w:rPr>
          <w:b w:val="0"/>
          <w:bCs w:val="0"/>
        </w:rPr>
      </w:pPr>
      <w:r>
        <w:rPr>
          <w:rStyle w:val="PageNumber"/>
          <w:u w:val="single"/>
        </w:rPr>
        <w:t>VII</w:t>
      </w:r>
      <w:r w:rsidR="004669C7">
        <w:rPr>
          <w:rStyle w:val="PageNumber"/>
          <w:u w:val="single"/>
        </w:rPr>
        <w:t>. THREE</w:t>
      </w:r>
      <w:r>
        <w:rPr>
          <w:rStyle w:val="PageNumber"/>
          <w:u w:val="single"/>
        </w:rPr>
        <w:t xml:space="preserve"> SEPARATE</w:t>
      </w:r>
      <w:r w:rsidR="00D52835">
        <w:rPr>
          <w:rStyle w:val="PageNumber"/>
          <w:u w:val="single"/>
        </w:rPr>
        <w:t xml:space="preserve"> STUDIES </w:t>
      </w:r>
      <w:r w:rsidR="00896A7F">
        <w:rPr>
          <w:rStyle w:val="PageNumber"/>
          <w:u w:val="single"/>
        </w:rPr>
        <w:t>PRESENTED BY AVISTA SUPPORT ITS</w:t>
      </w:r>
      <w:r w:rsidR="00D52835">
        <w:rPr>
          <w:rStyle w:val="PageNumber"/>
          <w:u w:val="single"/>
        </w:rPr>
        <w:t xml:space="preserve"> PROPOSED REVENUE ADJUSTMENTS</w:t>
      </w:r>
    </w:p>
    <w:p w:rsidR="00D52835" w:rsidRDefault="00D52835" w:rsidP="00005F02">
      <w:pPr>
        <w:pStyle w:val="BodyText"/>
        <w:tabs>
          <w:tab w:val="left" w:pos="720"/>
        </w:tabs>
        <w:spacing w:line="480" w:lineRule="auto"/>
        <w:ind w:right="-54" w:firstLine="720"/>
        <w:jc w:val="both"/>
        <w:rPr>
          <w:b w:val="0"/>
          <w:bCs w:val="0"/>
        </w:rPr>
      </w:pPr>
    </w:p>
    <w:p w:rsidR="00D52835" w:rsidRPr="005F10E1" w:rsidRDefault="00953E72" w:rsidP="00005F02">
      <w:pPr>
        <w:pStyle w:val="BodyText"/>
        <w:tabs>
          <w:tab w:val="left" w:pos="720"/>
        </w:tabs>
        <w:spacing w:line="480" w:lineRule="auto"/>
        <w:ind w:right="-54" w:firstLine="720"/>
        <w:jc w:val="both"/>
        <w:rPr>
          <w:bCs w:val="0"/>
        </w:rPr>
      </w:pPr>
      <w:r w:rsidRPr="005F10E1">
        <w:rPr>
          <w:bCs w:val="0"/>
        </w:rPr>
        <w:t>Q.</w:t>
      </w:r>
      <w:r w:rsidRPr="005F10E1">
        <w:rPr>
          <w:bCs w:val="0"/>
        </w:rPr>
        <w:tab/>
        <w:t xml:space="preserve">After reviewing the testimony and exhibits </w:t>
      </w:r>
      <w:r w:rsidR="00AB77ED" w:rsidRPr="005F10E1">
        <w:rPr>
          <w:bCs w:val="0"/>
        </w:rPr>
        <w:t xml:space="preserve">of </w:t>
      </w:r>
      <w:r w:rsidR="00D6497B">
        <w:rPr>
          <w:bCs w:val="0"/>
        </w:rPr>
        <w:t>Staff and other parties</w:t>
      </w:r>
      <w:r w:rsidR="00AB77ED" w:rsidRPr="005F10E1">
        <w:rPr>
          <w:bCs w:val="0"/>
        </w:rPr>
        <w:t xml:space="preserve">, do you believe </w:t>
      </w:r>
      <w:r w:rsidR="005F10E1" w:rsidRPr="005F10E1">
        <w:rPr>
          <w:bCs w:val="0"/>
        </w:rPr>
        <w:t>the parties have recognized the importance of the relationship of the three studies taken together in the determination of the appropriate revenue adjustments in this case?</w:t>
      </w:r>
    </w:p>
    <w:p w:rsidR="00D9249D" w:rsidRDefault="005F10E1" w:rsidP="00005F02">
      <w:pPr>
        <w:pStyle w:val="BodyText"/>
        <w:tabs>
          <w:tab w:val="left" w:pos="720"/>
        </w:tabs>
        <w:spacing w:line="480" w:lineRule="auto"/>
        <w:ind w:right="-54" w:firstLine="720"/>
        <w:jc w:val="both"/>
        <w:rPr>
          <w:b w:val="0"/>
          <w:bCs w:val="0"/>
        </w:rPr>
      </w:pPr>
      <w:r>
        <w:rPr>
          <w:b w:val="0"/>
          <w:bCs w:val="0"/>
        </w:rPr>
        <w:t>A.</w:t>
      </w:r>
      <w:r>
        <w:rPr>
          <w:b w:val="0"/>
          <w:bCs w:val="0"/>
        </w:rPr>
        <w:tab/>
        <w:t xml:space="preserve">Staff has; at least in part. </w:t>
      </w:r>
      <w:r w:rsidR="001D792F">
        <w:rPr>
          <w:b w:val="0"/>
          <w:bCs w:val="0"/>
        </w:rPr>
        <w:t>Staff conducted and presented</w:t>
      </w:r>
      <w:r w:rsidR="00A94D7E">
        <w:rPr>
          <w:b w:val="0"/>
          <w:bCs w:val="0"/>
        </w:rPr>
        <w:t xml:space="preserve"> two studies:  1) a </w:t>
      </w:r>
      <w:r w:rsidR="00A02010">
        <w:rPr>
          <w:b w:val="0"/>
          <w:bCs w:val="0"/>
        </w:rPr>
        <w:t>M</w:t>
      </w:r>
      <w:r w:rsidR="00323491">
        <w:rPr>
          <w:b w:val="0"/>
          <w:bCs w:val="0"/>
        </w:rPr>
        <w:t xml:space="preserve">odified </w:t>
      </w:r>
      <w:r w:rsidR="00A02010">
        <w:rPr>
          <w:b w:val="0"/>
          <w:bCs w:val="0"/>
        </w:rPr>
        <w:t>T</w:t>
      </w:r>
      <w:r w:rsidR="00323491">
        <w:rPr>
          <w:b w:val="0"/>
          <w:bCs w:val="0"/>
        </w:rPr>
        <w:t xml:space="preserve">est </w:t>
      </w:r>
      <w:r w:rsidR="00A02010">
        <w:rPr>
          <w:b w:val="0"/>
          <w:bCs w:val="0"/>
        </w:rPr>
        <w:t>Y</w:t>
      </w:r>
      <w:r w:rsidR="00323491">
        <w:rPr>
          <w:b w:val="0"/>
          <w:bCs w:val="0"/>
        </w:rPr>
        <w:t xml:space="preserve">ear </w:t>
      </w:r>
      <w:r w:rsidR="00A02010">
        <w:rPr>
          <w:b w:val="0"/>
          <w:bCs w:val="0"/>
        </w:rPr>
        <w:t>S</w:t>
      </w:r>
      <w:r w:rsidR="00323491">
        <w:rPr>
          <w:b w:val="0"/>
          <w:bCs w:val="0"/>
        </w:rPr>
        <w:t>tudy</w:t>
      </w:r>
      <w:r w:rsidR="00A50BFE">
        <w:rPr>
          <w:b w:val="0"/>
          <w:bCs w:val="0"/>
        </w:rPr>
        <w:t xml:space="preserve"> sponsored</w:t>
      </w:r>
      <w:r w:rsidR="00A94D7E">
        <w:rPr>
          <w:b w:val="0"/>
          <w:bCs w:val="0"/>
        </w:rPr>
        <w:t xml:space="preserve"> primarily by </w:t>
      </w:r>
      <w:r w:rsidR="002F2950">
        <w:rPr>
          <w:b w:val="0"/>
          <w:bCs w:val="0"/>
        </w:rPr>
        <w:t xml:space="preserve">Staff witness </w:t>
      </w:r>
      <w:r w:rsidR="005903B9">
        <w:rPr>
          <w:b w:val="0"/>
          <w:bCs w:val="0"/>
        </w:rPr>
        <w:t>Ms. Huang</w:t>
      </w:r>
      <w:r w:rsidR="00A94D7E">
        <w:rPr>
          <w:b w:val="0"/>
          <w:bCs w:val="0"/>
        </w:rPr>
        <w:t xml:space="preserve">, and 2) an </w:t>
      </w:r>
      <w:r w:rsidR="000937ED">
        <w:rPr>
          <w:b w:val="0"/>
          <w:bCs w:val="0"/>
        </w:rPr>
        <w:t>A</w:t>
      </w:r>
      <w:r w:rsidR="00A94D7E">
        <w:rPr>
          <w:b w:val="0"/>
          <w:bCs w:val="0"/>
        </w:rPr>
        <w:t>ttrition</w:t>
      </w:r>
      <w:r w:rsidR="00662E49">
        <w:rPr>
          <w:b w:val="0"/>
          <w:bCs w:val="0"/>
        </w:rPr>
        <w:t xml:space="preserve"> </w:t>
      </w:r>
      <w:r w:rsidR="000937ED">
        <w:rPr>
          <w:b w:val="0"/>
          <w:bCs w:val="0"/>
        </w:rPr>
        <w:t>S</w:t>
      </w:r>
      <w:r w:rsidR="00662E49">
        <w:rPr>
          <w:b w:val="0"/>
          <w:bCs w:val="0"/>
        </w:rPr>
        <w:t>tudy sponsored</w:t>
      </w:r>
      <w:r w:rsidR="00A94D7E">
        <w:rPr>
          <w:b w:val="0"/>
          <w:bCs w:val="0"/>
        </w:rPr>
        <w:t xml:space="preserve"> by Mr. Hancock.  </w:t>
      </w:r>
    </w:p>
    <w:p w:rsidR="004873FD" w:rsidRDefault="004873FD" w:rsidP="00005F02">
      <w:pPr>
        <w:pStyle w:val="BodyText"/>
        <w:tabs>
          <w:tab w:val="left" w:pos="720"/>
        </w:tabs>
        <w:spacing w:line="480" w:lineRule="auto"/>
        <w:ind w:right="-54" w:firstLine="720"/>
        <w:jc w:val="both"/>
        <w:rPr>
          <w:b w:val="0"/>
          <w:bCs w:val="0"/>
        </w:rPr>
      </w:pPr>
      <w:r>
        <w:rPr>
          <w:b w:val="0"/>
          <w:bCs w:val="0"/>
        </w:rPr>
        <w:t xml:space="preserve">The </w:t>
      </w:r>
      <w:r w:rsidR="00814CB3">
        <w:rPr>
          <w:b w:val="0"/>
          <w:bCs w:val="0"/>
        </w:rPr>
        <w:t xml:space="preserve">Modified Test Year Study </w:t>
      </w:r>
      <w:r w:rsidR="00A071B3">
        <w:rPr>
          <w:b w:val="0"/>
          <w:bCs w:val="0"/>
        </w:rPr>
        <w:t>begins with a</w:t>
      </w:r>
      <w:r>
        <w:rPr>
          <w:b w:val="0"/>
          <w:bCs w:val="0"/>
        </w:rPr>
        <w:t xml:space="preserve"> historical test period, with the revenues, expenses and rate base adjusted to reflect normalized operating conditions for that period; in this case the year 2015.  The study then adds a limited number of pro forma adjustments to </w:t>
      </w:r>
      <w:r>
        <w:rPr>
          <w:b w:val="0"/>
          <w:bCs w:val="0"/>
        </w:rPr>
        <w:lastRenderedPageBreak/>
        <w:t xml:space="preserve">reflect certain changes that have occurred following the end of the historical test year.  </w:t>
      </w:r>
      <w:r w:rsidR="00BD03EE">
        <w:rPr>
          <w:b w:val="0"/>
          <w:bCs w:val="0"/>
        </w:rPr>
        <w:t>T</w:t>
      </w:r>
      <w:r w:rsidR="00A071B3">
        <w:rPr>
          <w:b w:val="0"/>
          <w:bCs w:val="0"/>
        </w:rPr>
        <w:t>here was a time in the past when</w:t>
      </w:r>
      <w:r w:rsidR="00BD03EE">
        <w:rPr>
          <w:b w:val="0"/>
          <w:bCs w:val="0"/>
        </w:rPr>
        <w:t xml:space="preserve"> the </w:t>
      </w:r>
      <w:r w:rsidR="00814CB3">
        <w:rPr>
          <w:b w:val="0"/>
          <w:bCs w:val="0"/>
        </w:rPr>
        <w:t>Modified Test Year Study</w:t>
      </w:r>
      <w:r w:rsidR="003B1548">
        <w:rPr>
          <w:b w:val="0"/>
          <w:bCs w:val="0"/>
        </w:rPr>
        <w:t>,</w:t>
      </w:r>
      <w:r w:rsidR="00BD03EE">
        <w:rPr>
          <w:b w:val="0"/>
          <w:bCs w:val="0"/>
        </w:rPr>
        <w:t xml:space="preserve"> with limited pro forma adjustments</w:t>
      </w:r>
      <w:r w:rsidR="003B1548">
        <w:rPr>
          <w:b w:val="0"/>
          <w:bCs w:val="0"/>
        </w:rPr>
        <w:t>,</w:t>
      </w:r>
      <w:r w:rsidR="00BD03EE">
        <w:rPr>
          <w:b w:val="0"/>
          <w:bCs w:val="0"/>
        </w:rPr>
        <w:t xml:space="preserve"> provided a reasonable end result for the rate period.  However, the circumstances facing Avista</w:t>
      </w:r>
      <w:r w:rsidR="00B05AB9">
        <w:rPr>
          <w:b w:val="0"/>
          <w:bCs w:val="0"/>
        </w:rPr>
        <w:t xml:space="preserve"> today</w:t>
      </w:r>
      <w:r w:rsidR="00BD03EE">
        <w:rPr>
          <w:b w:val="0"/>
          <w:bCs w:val="0"/>
        </w:rPr>
        <w:t>, as well as other util</w:t>
      </w:r>
      <w:r w:rsidR="00B05AB9">
        <w:rPr>
          <w:b w:val="0"/>
          <w:bCs w:val="0"/>
        </w:rPr>
        <w:t>ities,</w:t>
      </w:r>
      <w:r w:rsidR="00BD03EE">
        <w:rPr>
          <w:b w:val="0"/>
          <w:bCs w:val="0"/>
        </w:rPr>
        <w:t xml:space="preserve"> are very different, and the </w:t>
      </w:r>
      <w:r w:rsidR="00814CB3">
        <w:rPr>
          <w:b w:val="0"/>
          <w:bCs w:val="0"/>
        </w:rPr>
        <w:t xml:space="preserve">Modified Test Year Study </w:t>
      </w:r>
      <w:r w:rsidR="00BD03EE">
        <w:rPr>
          <w:b w:val="0"/>
          <w:bCs w:val="0"/>
        </w:rPr>
        <w:t xml:space="preserve">no longer provides a reasonable end result for the prospective rate period.  Mr. Hancock spoke to this </w:t>
      </w:r>
      <w:r w:rsidR="00E500D1">
        <w:rPr>
          <w:b w:val="0"/>
          <w:bCs w:val="0"/>
        </w:rPr>
        <w:t>change in conditions on page 21 of his testimony, beginning on line 13:</w:t>
      </w:r>
    </w:p>
    <w:p w:rsidR="00E500D1" w:rsidRDefault="00E500D1" w:rsidP="00A579AD">
      <w:pPr>
        <w:pStyle w:val="BodyText"/>
        <w:tabs>
          <w:tab w:val="left" w:pos="720"/>
        </w:tabs>
        <w:spacing w:line="240" w:lineRule="auto"/>
        <w:ind w:left="720" w:right="-58"/>
        <w:jc w:val="both"/>
        <w:rPr>
          <w:b w:val="0"/>
          <w:bCs w:val="0"/>
        </w:rPr>
      </w:pPr>
      <w:r>
        <w:rPr>
          <w:b w:val="0"/>
          <w:bCs w:val="0"/>
        </w:rPr>
        <w:t xml:space="preserve">Historically, growth in sales due to electrification, persistent economic growth, and the wide-scale adoption of home appliances like refrigerators, air conditioners, and washing machines, mitigated some of the effects of growth in expenses and rate base.  If sales grew at a rate that was reasonably close to the rate of growth in costs, utilities would remain financially sound.  </w:t>
      </w:r>
      <w:r w:rsidRPr="00E500D1">
        <w:rPr>
          <w:b w:val="0"/>
          <w:bCs w:val="0"/>
          <w:u w:val="single"/>
        </w:rPr>
        <w:t>These conditions no longer exist</w:t>
      </w:r>
      <w:r w:rsidRPr="00E500D1">
        <w:rPr>
          <w:b w:val="0"/>
          <w:bCs w:val="0"/>
        </w:rPr>
        <w:t>.  (</w:t>
      </w:r>
      <w:proofErr w:type="gramStart"/>
      <w:r w:rsidRPr="00E500D1">
        <w:rPr>
          <w:b w:val="0"/>
          <w:bCs w:val="0"/>
        </w:rPr>
        <w:t>emphasis</w:t>
      </w:r>
      <w:proofErr w:type="gramEnd"/>
      <w:r w:rsidRPr="00E500D1">
        <w:rPr>
          <w:b w:val="0"/>
          <w:bCs w:val="0"/>
        </w:rPr>
        <w:t xml:space="preserve"> added)</w:t>
      </w:r>
    </w:p>
    <w:p w:rsidR="00E500D1" w:rsidRDefault="00E500D1" w:rsidP="00005F02">
      <w:pPr>
        <w:pStyle w:val="BodyText"/>
        <w:tabs>
          <w:tab w:val="left" w:pos="720"/>
        </w:tabs>
        <w:spacing w:line="480" w:lineRule="auto"/>
        <w:ind w:right="-54" w:firstLine="720"/>
        <w:jc w:val="both"/>
        <w:rPr>
          <w:b w:val="0"/>
          <w:bCs w:val="0"/>
        </w:rPr>
      </w:pPr>
    </w:p>
    <w:p w:rsidR="008F3AE2" w:rsidRDefault="008F3AE2" w:rsidP="002B0987">
      <w:pPr>
        <w:pStyle w:val="P31"/>
        <w:ind w:right="-54"/>
        <w:jc w:val="both"/>
        <w:rPr>
          <w:rFonts w:ascii="Times New Roman" w:hAnsi="Times New Roman" w:cs="Times New Roman"/>
          <w:bCs/>
        </w:rPr>
      </w:pPr>
      <w:r>
        <w:rPr>
          <w:rFonts w:ascii="Times New Roman" w:hAnsi="Times New Roman" w:cs="Times New Roman"/>
          <w:bCs/>
        </w:rPr>
        <w:t xml:space="preserve">And on page </w:t>
      </w:r>
      <w:r w:rsidR="005903B9">
        <w:rPr>
          <w:rFonts w:ascii="Times New Roman" w:hAnsi="Times New Roman" w:cs="Times New Roman"/>
          <w:bCs/>
        </w:rPr>
        <w:t>20</w:t>
      </w:r>
      <w:r>
        <w:rPr>
          <w:rFonts w:ascii="Times New Roman" w:hAnsi="Times New Roman" w:cs="Times New Roman"/>
          <w:bCs/>
        </w:rPr>
        <w:t xml:space="preserve"> of his testimony, Mr. Hancock stated his belief that this is the “</w:t>
      </w:r>
      <w:r w:rsidR="000C32F3">
        <w:rPr>
          <w:rFonts w:ascii="Times New Roman" w:hAnsi="Times New Roman" w:cs="Times New Roman"/>
          <w:bCs/>
        </w:rPr>
        <w:t>n</w:t>
      </w:r>
      <w:r>
        <w:rPr>
          <w:rFonts w:ascii="Times New Roman" w:hAnsi="Times New Roman" w:cs="Times New Roman"/>
          <w:bCs/>
        </w:rPr>
        <w:t>ew normal</w:t>
      </w:r>
      <w:r w:rsidR="00C203F7">
        <w:rPr>
          <w:rFonts w:ascii="Times New Roman" w:hAnsi="Times New Roman" w:cs="Times New Roman"/>
          <w:bCs/>
        </w:rPr>
        <w:t>,</w:t>
      </w:r>
      <w:r w:rsidR="00E5279D">
        <w:rPr>
          <w:rFonts w:ascii="Times New Roman" w:hAnsi="Times New Roman" w:cs="Times New Roman"/>
          <w:bCs/>
        </w:rPr>
        <w:t>”</w:t>
      </w:r>
      <w:r>
        <w:rPr>
          <w:rFonts w:ascii="Times New Roman" w:hAnsi="Times New Roman" w:cs="Times New Roman"/>
          <w:bCs/>
        </w:rPr>
        <w:t xml:space="preserve"> – </w:t>
      </w:r>
      <w:r w:rsidR="000E0CE9">
        <w:rPr>
          <w:rFonts w:ascii="Times New Roman" w:hAnsi="Times New Roman" w:cs="Times New Roman"/>
          <w:bCs/>
        </w:rPr>
        <w:t>and Avista</w:t>
      </w:r>
      <w:r>
        <w:rPr>
          <w:rFonts w:ascii="Times New Roman" w:hAnsi="Times New Roman" w:cs="Times New Roman"/>
          <w:bCs/>
        </w:rPr>
        <w:t xml:space="preserve"> agree</w:t>
      </w:r>
      <w:r w:rsidR="000E0CE9">
        <w:rPr>
          <w:rFonts w:ascii="Times New Roman" w:hAnsi="Times New Roman" w:cs="Times New Roman"/>
          <w:bCs/>
        </w:rPr>
        <w:t>s</w:t>
      </w:r>
      <w:r>
        <w:rPr>
          <w:rFonts w:ascii="Times New Roman" w:hAnsi="Times New Roman" w:cs="Times New Roman"/>
          <w:bCs/>
        </w:rPr>
        <w:t>.</w:t>
      </w:r>
    </w:p>
    <w:p w:rsidR="008F3AE2" w:rsidRDefault="00A579AD" w:rsidP="00A579AD">
      <w:pPr>
        <w:pStyle w:val="P31"/>
        <w:spacing w:line="240" w:lineRule="auto"/>
        <w:ind w:left="720" w:right="-54" w:firstLine="0"/>
        <w:jc w:val="both"/>
        <w:rPr>
          <w:rFonts w:ascii="Times New Roman" w:hAnsi="Times New Roman" w:cs="Times New Roman"/>
          <w:bCs/>
        </w:rPr>
      </w:pPr>
      <w:r w:rsidRPr="00A579AD">
        <w:rPr>
          <w:rFonts w:ascii="Times New Roman" w:hAnsi="Times New Roman" w:cs="Times New Roman"/>
          <w:bCs/>
        </w:rPr>
        <w:t xml:space="preserve">The second and perhaps more interesting part of the question is how long an attrition adjustment should be available to the Company.  The current environment of low revenue growth is not temporary.  </w:t>
      </w:r>
      <w:r w:rsidRPr="000C32F3">
        <w:rPr>
          <w:rFonts w:ascii="Times New Roman" w:hAnsi="Times New Roman" w:cs="Times New Roman"/>
          <w:bCs/>
          <w:u w:val="single"/>
        </w:rPr>
        <w:t>It is the new normal</w:t>
      </w:r>
      <w:r w:rsidRPr="00A579AD">
        <w:rPr>
          <w:rFonts w:ascii="Times New Roman" w:hAnsi="Times New Roman" w:cs="Times New Roman"/>
          <w:bCs/>
        </w:rPr>
        <w:t>.   The Commission should recognize that at some point, prudent business practices would require the Company to adapt to this new normal.  However, given that Avista operates in an industry that requires decades-long planning, Staff believes the Commission cannot realistically expect the Company to change course so drastically within only a handful of years.  Additionally, rate base growth like Project Compass and the Spokane River Projects are, by definition, not normal.</w:t>
      </w:r>
      <w:r w:rsidR="00C203F7">
        <w:rPr>
          <w:rStyle w:val="FootnoteReference"/>
          <w:rFonts w:ascii="Times New Roman" w:hAnsi="Times New Roman" w:cs="Times New Roman"/>
          <w:bCs/>
        </w:rPr>
        <w:footnoteReference w:id="17"/>
      </w:r>
      <w:r>
        <w:rPr>
          <w:rFonts w:ascii="Times New Roman" w:hAnsi="Times New Roman" w:cs="Times New Roman"/>
          <w:bCs/>
        </w:rPr>
        <w:t xml:space="preserve"> </w:t>
      </w:r>
      <w:r w:rsidR="000C32F3">
        <w:rPr>
          <w:rFonts w:ascii="Times New Roman" w:hAnsi="Times New Roman" w:cs="Times New Roman"/>
          <w:bCs/>
        </w:rPr>
        <w:t>(</w:t>
      </w:r>
      <w:proofErr w:type="gramStart"/>
      <w:r w:rsidR="000C32F3">
        <w:rPr>
          <w:rFonts w:ascii="Times New Roman" w:hAnsi="Times New Roman" w:cs="Times New Roman"/>
          <w:bCs/>
        </w:rPr>
        <w:t>emphasis</w:t>
      </w:r>
      <w:proofErr w:type="gramEnd"/>
      <w:r w:rsidR="000C32F3">
        <w:rPr>
          <w:rFonts w:ascii="Times New Roman" w:hAnsi="Times New Roman" w:cs="Times New Roman"/>
          <w:bCs/>
        </w:rPr>
        <w:t xml:space="preserve"> added, footnote omitted)</w:t>
      </w:r>
    </w:p>
    <w:p w:rsidR="00A579AD" w:rsidRDefault="00A579AD" w:rsidP="00A579AD">
      <w:pPr>
        <w:pStyle w:val="P31"/>
        <w:spacing w:line="240" w:lineRule="auto"/>
        <w:ind w:left="720" w:right="-54" w:firstLine="0"/>
        <w:jc w:val="both"/>
        <w:rPr>
          <w:rFonts w:ascii="Times New Roman" w:hAnsi="Times New Roman" w:cs="Times New Roman"/>
          <w:bCs/>
        </w:rPr>
      </w:pPr>
    </w:p>
    <w:p w:rsidR="002B0987" w:rsidRPr="002B0987" w:rsidRDefault="00D6497B" w:rsidP="002B0987">
      <w:pPr>
        <w:pStyle w:val="P31"/>
        <w:ind w:right="-54"/>
        <w:jc w:val="both"/>
        <w:rPr>
          <w:rFonts w:ascii="Times New Roman" w:hAnsi="Times New Roman" w:cs="Times New Roman"/>
          <w:bCs/>
        </w:rPr>
      </w:pPr>
      <w:r w:rsidRPr="002B0987">
        <w:rPr>
          <w:rFonts w:ascii="Times New Roman" w:hAnsi="Times New Roman" w:cs="Times New Roman"/>
          <w:bCs/>
        </w:rPr>
        <w:t>As I indicated earlier in this testimony,</w:t>
      </w:r>
      <w:r w:rsidRPr="002B0987">
        <w:rPr>
          <w:rFonts w:ascii="Times New Roman" w:hAnsi="Times New Roman" w:cs="Times New Roman"/>
          <w:b/>
          <w:bCs/>
        </w:rPr>
        <w:t xml:space="preserve"> </w:t>
      </w:r>
      <w:r w:rsidR="002B0987">
        <w:rPr>
          <w:rFonts w:ascii="Times New Roman" w:hAnsi="Times New Roman" w:cs="Times New Roman"/>
          <w:bCs/>
        </w:rPr>
        <w:t>Staff has concluded in this case that, because of this change in conditions which is continuing to persist,</w:t>
      </w:r>
      <w:r w:rsidR="002B0987">
        <w:rPr>
          <w:rStyle w:val="FootnoteReference"/>
          <w:rFonts w:ascii="Times New Roman" w:hAnsi="Times New Roman" w:cs="Times New Roman"/>
          <w:bCs/>
        </w:rPr>
        <w:footnoteReference w:id="18"/>
      </w:r>
      <w:r w:rsidR="002B0987">
        <w:rPr>
          <w:rFonts w:ascii="Times New Roman" w:hAnsi="Times New Roman" w:cs="Times New Roman"/>
          <w:bCs/>
        </w:rPr>
        <w:t xml:space="preserve"> the sole use of the </w:t>
      </w:r>
      <w:r w:rsidR="00814CB3">
        <w:rPr>
          <w:rFonts w:ascii="Times New Roman" w:hAnsi="Times New Roman" w:cs="Times New Roman"/>
          <w:bCs/>
        </w:rPr>
        <w:t>M</w:t>
      </w:r>
      <w:r w:rsidR="003F09E1">
        <w:rPr>
          <w:rFonts w:ascii="Times New Roman" w:hAnsi="Times New Roman" w:cs="Times New Roman"/>
          <w:bCs/>
        </w:rPr>
        <w:t xml:space="preserve">odified </w:t>
      </w:r>
      <w:r w:rsidR="00814CB3">
        <w:rPr>
          <w:rFonts w:ascii="Times New Roman" w:hAnsi="Times New Roman" w:cs="Times New Roman"/>
          <w:bCs/>
        </w:rPr>
        <w:t>T</w:t>
      </w:r>
      <w:r w:rsidR="003F09E1">
        <w:rPr>
          <w:rFonts w:ascii="Times New Roman" w:hAnsi="Times New Roman" w:cs="Times New Roman"/>
          <w:bCs/>
        </w:rPr>
        <w:t xml:space="preserve">est </w:t>
      </w:r>
      <w:r w:rsidR="00814CB3">
        <w:rPr>
          <w:rFonts w:ascii="Times New Roman" w:hAnsi="Times New Roman" w:cs="Times New Roman"/>
          <w:bCs/>
        </w:rPr>
        <w:t>Y</w:t>
      </w:r>
      <w:r w:rsidR="003F09E1">
        <w:rPr>
          <w:rFonts w:ascii="Times New Roman" w:hAnsi="Times New Roman" w:cs="Times New Roman"/>
          <w:bCs/>
        </w:rPr>
        <w:t>ear</w:t>
      </w:r>
      <w:r w:rsidR="002B0987">
        <w:rPr>
          <w:rFonts w:ascii="Times New Roman" w:hAnsi="Times New Roman" w:cs="Times New Roman"/>
          <w:bCs/>
        </w:rPr>
        <w:t xml:space="preserve"> </w:t>
      </w:r>
      <w:r w:rsidR="00814CB3">
        <w:rPr>
          <w:rFonts w:ascii="Times New Roman" w:hAnsi="Times New Roman" w:cs="Times New Roman"/>
          <w:bCs/>
        </w:rPr>
        <w:t>S</w:t>
      </w:r>
      <w:r w:rsidR="002B0987">
        <w:rPr>
          <w:rFonts w:ascii="Times New Roman" w:hAnsi="Times New Roman" w:cs="Times New Roman"/>
          <w:bCs/>
        </w:rPr>
        <w:t xml:space="preserve">tudy will not </w:t>
      </w:r>
      <w:r w:rsidR="002B0987" w:rsidRPr="00814CB3">
        <w:rPr>
          <w:rFonts w:ascii="Times New Roman" w:hAnsi="Times New Roman" w:cs="Times New Roman"/>
          <w:bCs/>
        </w:rPr>
        <w:t xml:space="preserve">yield a revenue adjustment </w:t>
      </w:r>
      <w:r w:rsidR="006D3ECA" w:rsidRPr="00814CB3">
        <w:rPr>
          <w:rFonts w:ascii="Times New Roman" w:hAnsi="Times New Roman" w:cs="Times New Roman"/>
          <w:bCs/>
        </w:rPr>
        <w:t xml:space="preserve">that is sufficient for the rate year, and Staff has added an attrition adjustment to the </w:t>
      </w:r>
      <w:r w:rsidR="00814CB3" w:rsidRPr="00814CB3">
        <w:rPr>
          <w:rFonts w:ascii="Times New Roman" w:hAnsi="Times New Roman" w:cs="Times New Roman"/>
          <w:bCs/>
        </w:rPr>
        <w:t xml:space="preserve">Modified Test Year Study </w:t>
      </w:r>
      <w:r w:rsidR="006D3ECA" w:rsidRPr="00814CB3">
        <w:rPr>
          <w:rFonts w:ascii="Times New Roman" w:hAnsi="Times New Roman" w:cs="Times New Roman"/>
          <w:bCs/>
        </w:rPr>
        <w:t>results</w:t>
      </w:r>
      <w:r w:rsidR="006D3ECA">
        <w:rPr>
          <w:rFonts w:ascii="Times New Roman" w:hAnsi="Times New Roman" w:cs="Times New Roman"/>
          <w:bCs/>
        </w:rPr>
        <w:t>:</w:t>
      </w:r>
    </w:p>
    <w:p w:rsidR="00E5279D" w:rsidRDefault="007751D1" w:rsidP="00E5279D">
      <w:pPr>
        <w:pStyle w:val="BodyText"/>
        <w:tabs>
          <w:tab w:val="left" w:pos="720"/>
        </w:tabs>
        <w:spacing w:line="240" w:lineRule="auto"/>
        <w:ind w:left="720" w:right="-54"/>
        <w:jc w:val="both"/>
        <w:rPr>
          <w:b w:val="0"/>
          <w:bCs w:val="0"/>
        </w:rPr>
      </w:pPr>
      <w:r>
        <w:rPr>
          <w:b w:val="0"/>
          <w:bCs w:val="0"/>
        </w:rPr>
        <w:t>Staff recommends the Commission include an attrition adjustment to the modified historical test year analysis based on the attrition studies I present.</w:t>
      </w:r>
      <w:r w:rsidR="004D631F">
        <w:rPr>
          <w:rStyle w:val="FootnoteReference"/>
          <w:b w:val="0"/>
          <w:bCs w:val="0"/>
        </w:rPr>
        <w:footnoteReference w:id="19"/>
      </w:r>
      <w:r>
        <w:rPr>
          <w:b w:val="0"/>
          <w:bCs w:val="0"/>
        </w:rPr>
        <w:t xml:space="preserve">  </w:t>
      </w:r>
    </w:p>
    <w:p w:rsidR="00E65648" w:rsidRPr="002B0987" w:rsidRDefault="00E65648" w:rsidP="00E5279D">
      <w:pPr>
        <w:pStyle w:val="BodyText"/>
        <w:tabs>
          <w:tab w:val="left" w:pos="720"/>
        </w:tabs>
        <w:spacing w:line="240" w:lineRule="auto"/>
        <w:ind w:left="720" w:right="-54"/>
        <w:jc w:val="both"/>
        <w:rPr>
          <w:b w:val="0"/>
          <w:bCs w:val="0"/>
        </w:rPr>
      </w:pPr>
    </w:p>
    <w:p w:rsidR="00996C31" w:rsidRDefault="00996C31" w:rsidP="00005F02">
      <w:pPr>
        <w:pStyle w:val="BodyText"/>
        <w:tabs>
          <w:tab w:val="left" w:pos="720"/>
        </w:tabs>
        <w:spacing w:line="480" w:lineRule="auto"/>
        <w:ind w:right="-54" w:firstLine="720"/>
        <w:jc w:val="both"/>
        <w:rPr>
          <w:b w:val="0"/>
          <w:bCs w:val="0"/>
        </w:rPr>
      </w:pPr>
      <w:r>
        <w:rPr>
          <w:b w:val="0"/>
          <w:bCs w:val="0"/>
        </w:rPr>
        <w:t>Avista agrees with the Commission’s definition of attrition in its Order 05</w:t>
      </w:r>
      <w:r w:rsidR="00B5784E">
        <w:rPr>
          <w:b w:val="0"/>
          <w:bCs w:val="0"/>
        </w:rPr>
        <w:t xml:space="preserve"> in Docket</w:t>
      </w:r>
      <w:r w:rsidR="00361374">
        <w:rPr>
          <w:b w:val="0"/>
          <w:bCs w:val="0"/>
        </w:rPr>
        <w:t xml:space="preserve"> No</w:t>
      </w:r>
      <w:r w:rsidR="00B5784E">
        <w:rPr>
          <w:b w:val="0"/>
          <w:bCs w:val="0"/>
        </w:rPr>
        <w:t>s</w:t>
      </w:r>
      <w:r w:rsidR="00361374">
        <w:rPr>
          <w:b w:val="0"/>
          <w:bCs w:val="0"/>
        </w:rPr>
        <w:t>.</w:t>
      </w:r>
      <w:r w:rsidR="00B5784E">
        <w:rPr>
          <w:b w:val="0"/>
          <w:bCs w:val="0"/>
        </w:rPr>
        <w:t xml:space="preserve"> UE-150204 and UG-150205:</w:t>
      </w:r>
    </w:p>
    <w:p w:rsidR="00B5784E" w:rsidRDefault="00B5784E" w:rsidP="008F3AE2">
      <w:pPr>
        <w:pStyle w:val="BodyText"/>
        <w:spacing w:line="240" w:lineRule="auto"/>
        <w:ind w:left="720" w:right="-58"/>
        <w:jc w:val="both"/>
        <w:rPr>
          <w:b w:val="0"/>
          <w:bCs w:val="0"/>
        </w:rPr>
      </w:pPr>
      <w:r>
        <w:rPr>
          <w:b w:val="0"/>
          <w:bCs w:val="0"/>
        </w:rPr>
        <w:t>[A]</w:t>
      </w:r>
      <w:proofErr w:type="spellStart"/>
      <w:r>
        <w:rPr>
          <w:b w:val="0"/>
          <w:bCs w:val="0"/>
        </w:rPr>
        <w:t>ttrition</w:t>
      </w:r>
      <w:proofErr w:type="spellEnd"/>
      <w:r>
        <w:rPr>
          <w:b w:val="0"/>
          <w:bCs w:val="0"/>
        </w:rPr>
        <w:t xml:space="preserve"> occurs when the test-period relationship between rate base, expenses and revenues does not hold under conditions in the rate effective period, such that a utility’s expenses or rate base grows more quickly than revenues, and a utility would likely have no reasonable opportunity to earn </w:t>
      </w:r>
      <w:proofErr w:type="gramStart"/>
      <w:r>
        <w:rPr>
          <w:b w:val="0"/>
          <w:bCs w:val="0"/>
        </w:rPr>
        <w:t>its</w:t>
      </w:r>
      <w:proofErr w:type="gramEnd"/>
      <w:r>
        <w:rPr>
          <w:b w:val="0"/>
          <w:bCs w:val="0"/>
        </w:rPr>
        <w:t xml:space="preserve"> allowed rate of return.  An attrition adjustment is a discrete adjustment to the modified historical test year that the Commission may use when it determines attrition is present.</w:t>
      </w:r>
      <w:r>
        <w:rPr>
          <w:rStyle w:val="FootnoteReference"/>
          <w:b w:val="0"/>
          <w:bCs w:val="0"/>
        </w:rPr>
        <w:footnoteReference w:id="20"/>
      </w:r>
    </w:p>
    <w:p w:rsidR="00A456D4" w:rsidRDefault="00A456D4" w:rsidP="004521B6">
      <w:pPr>
        <w:pStyle w:val="BodyText"/>
        <w:tabs>
          <w:tab w:val="left" w:pos="720"/>
        </w:tabs>
        <w:spacing w:line="480" w:lineRule="auto"/>
        <w:ind w:right="-54" w:firstLine="720"/>
        <w:jc w:val="both"/>
        <w:rPr>
          <w:b w:val="0"/>
          <w:bCs w:val="0"/>
        </w:rPr>
      </w:pPr>
    </w:p>
    <w:p w:rsidR="008F3AE2" w:rsidRDefault="003F05B6" w:rsidP="004521B6">
      <w:pPr>
        <w:pStyle w:val="BodyText"/>
        <w:tabs>
          <w:tab w:val="left" w:pos="720"/>
        </w:tabs>
        <w:spacing w:line="480" w:lineRule="auto"/>
        <w:ind w:right="-54" w:firstLine="720"/>
        <w:jc w:val="both"/>
        <w:rPr>
          <w:b w:val="0"/>
          <w:bCs w:val="0"/>
        </w:rPr>
      </w:pPr>
      <w:r>
        <w:rPr>
          <w:b w:val="0"/>
          <w:bCs w:val="0"/>
        </w:rPr>
        <w:t>Avista agrees with Staff’s conclusion that the “attrition study serves as a complement to a traditional ratemaking approach, not as a substitute.”</w:t>
      </w:r>
      <w:r>
        <w:rPr>
          <w:rStyle w:val="FootnoteReference"/>
          <w:b w:val="0"/>
          <w:bCs w:val="0"/>
        </w:rPr>
        <w:footnoteReference w:id="21"/>
      </w:r>
      <w:r w:rsidR="004521B6">
        <w:rPr>
          <w:b w:val="0"/>
          <w:bCs w:val="0"/>
        </w:rPr>
        <w:t xml:space="preserve">  </w:t>
      </w:r>
    </w:p>
    <w:p w:rsidR="00B5784E" w:rsidRDefault="00725463" w:rsidP="004521B6">
      <w:pPr>
        <w:pStyle w:val="BodyText"/>
        <w:tabs>
          <w:tab w:val="left" w:pos="720"/>
        </w:tabs>
        <w:spacing w:line="480" w:lineRule="auto"/>
        <w:ind w:right="-54" w:firstLine="720"/>
        <w:jc w:val="both"/>
        <w:rPr>
          <w:b w:val="0"/>
          <w:bCs w:val="0"/>
        </w:rPr>
      </w:pPr>
      <w:r>
        <w:rPr>
          <w:b w:val="0"/>
          <w:bCs w:val="0"/>
        </w:rPr>
        <w:t>With all of that being said regarding these two studies, t</w:t>
      </w:r>
      <w:r w:rsidR="00B5784E">
        <w:rPr>
          <w:b w:val="0"/>
          <w:bCs w:val="0"/>
        </w:rPr>
        <w:t xml:space="preserve">he third study presented by Avista is also complementary to the </w:t>
      </w:r>
      <w:r w:rsidR="008E3826">
        <w:rPr>
          <w:b w:val="0"/>
          <w:bCs w:val="0"/>
        </w:rPr>
        <w:t xml:space="preserve">Modified Test Year Study </w:t>
      </w:r>
      <w:r>
        <w:rPr>
          <w:b w:val="0"/>
          <w:bCs w:val="0"/>
        </w:rPr>
        <w:t xml:space="preserve">and the </w:t>
      </w:r>
      <w:r w:rsidR="00BC3073">
        <w:rPr>
          <w:b w:val="0"/>
          <w:bCs w:val="0"/>
        </w:rPr>
        <w:t>A</w:t>
      </w:r>
      <w:r>
        <w:rPr>
          <w:b w:val="0"/>
          <w:bCs w:val="0"/>
        </w:rPr>
        <w:t xml:space="preserve">ttrition </w:t>
      </w:r>
      <w:r w:rsidR="00BC3073">
        <w:rPr>
          <w:b w:val="0"/>
          <w:bCs w:val="0"/>
        </w:rPr>
        <w:t>S</w:t>
      </w:r>
      <w:r>
        <w:rPr>
          <w:b w:val="0"/>
          <w:bCs w:val="0"/>
        </w:rPr>
        <w:t>tudy, and is important in the ultimate determination of whether the end result revenue adjustment for the p</w:t>
      </w:r>
      <w:r w:rsidR="008F3AE2">
        <w:rPr>
          <w:b w:val="0"/>
          <w:bCs w:val="0"/>
        </w:rPr>
        <w:t xml:space="preserve">rospective rate year is fair for </w:t>
      </w:r>
      <w:r>
        <w:rPr>
          <w:b w:val="0"/>
          <w:bCs w:val="0"/>
        </w:rPr>
        <w:t>both customers and the Company.</w:t>
      </w:r>
    </w:p>
    <w:p w:rsidR="00725463" w:rsidRPr="00725463" w:rsidRDefault="00725463" w:rsidP="00725463">
      <w:pPr>
        <w:pStyle w:val="BodyText"/>
        <w:tabs>
          <w:tab w:val="left" w:pos="720"/>
        </w:tabs>
        <w:spacing w:line="480" w:lineRule="auto"/>
        <w:ind w:right="-54" w:firstLine="720"/>
        <w:jc w:val="both"/>
        <w:rPr>
          <w:bCs w:val="0"/>
        </w:rPr>
      </w:pPr>
      <w:r w:rsidRPr="00725463">
        <w:rPr>
          <w:bCs w:val="0"/>
        </w:rPr>
        <w:t>Q.</w:t>
      </w:r>
      <w:r w:rsidRPr="00725463">
        <w:rPr>
          <w:bCs w:val="0"/>
        </w:rPr>
        <w:tab/>
        <w:t>Please explain.</w:t>
      </w:r>
    </w:p>
    <w:p w:rsidR="00A56C5E" w:rsidRDefault="00BD39A9" w:rsidP="000B7172">
      <w:pPr>
        <w:pStyle w:val="BodyText"/>
        <w:tabs>
          <w:tab w:val="left" w:pos="720"/>
        </w:tabs>
        <w:spacing w:line="480" w:lineRule="auto"/>
        <w:ind w:right="-54"/>
        <w:jc w:val="both"/>
        <w:rPr>
          <w:b w:val="0"/>
          <w:bCs w:val="0"/>
        </w:rPr>
      </w:pPr>
      <w:r>
        <w:rPr>
          <w:b w:val="0"/>
          <w:bCs w:val="0"/>
        </w:rPr>
        <w:tab/>
      </w:r>
      <w:r w:rsidR="00725463">
        <w:rPr>
          <w:b w:val="0"/>
          <w:bCs w:val="0"/>
        </w:rPr>
        <w:t>A.</w:t>
      </w:r>
      <w:r w:rsidR="00725463">
        <w:rPr>
          <w:b w:val="0"/>
          <w:bCs w:val="0"/>
        </w:rPr>
        <w:tab/>
      </w:r>
      <w:r w:rsidR="0052773E">
        <w:rPr>
          <w:b w:val="0"/>
          <w:bCs w:val="0"/>
        </w:rPr>
        <w:t xml:space="preserve">Following the completion of the </w:t>
      </w:r>
      <w:r w:rsidR="008E3826">
        <w:rPr>
          <w:b w:val="0"/>
          <w:bCs w:val="0"/>
        </w:rPr>
        <w:t>Modified Test Year Study</w:t>
      </w:r>
      <w:r w:rsidR="0052773E">
        <w:rPr>
          <w:b w:val="0"/>
          <w:bCs w:val="0"/>
        </w:rPr>
        <w:t xml:space="preserve">, the </w:t>
      </w:r>
      <w:r w:rsidR="00A456D4">
        <w:rPr>
          <w:b w:val="0"/>
          <w:bCs w:val="0"/>
        </w:rPr>
        <w:t>A</w:t>
      </w:r>
      <w:r w:rsidR="0052773E">
        <w:rPr>
          <w:b w:val="0"/>
          <w:bCs w:val="0"/>
        </w:rPr>
        <w:t xml:space="preserve">ttrition </w:t>
      </w:r>
      <w:r w:rsidR="00A456D4">
        <w:rPr>
          <w:b w:val="0"/>
          <w:bCs w:val="0"/>
        </w:rPr>
        <w:t>Study</w:t>
      </w:r>
      <w:r w:rsidR="0052773E">
        <w:rPr>
          <w:b w:val="0"/>
          <w:bCs w:val="0"/>
        </w:rPr>
        <w:t xml:space="preserve"> is p</w:t>
      </w:r>
      <w:r w:rsidR="007823D6">
        <w:rPr>
          <w:b w:val="0"/>
          <w:bCs w:val="0"/>
        </w:rPr>
        <w:t>erformed to determine the level of the</w:t>
      </w:r>
      <w:r w:rsidR="0052773E">
        <w:rPr>
          <w:b w:val="0"/>
          <w:bCs w:val="0"/>
        </w:rPr>
        <w:t xml:space="preserve"> attrition adjustment</w:t>
      </w:r>
      <w:r w:rsidR="007823D6">
        <w:rPr>
          <w:b w:val="0"/>
          <w:bCs w:val="0"/>
        </w:rPr>
        <w:t xml:space="preserve"> that</w:t>
      </w:r>
      <w:r w:rsidR="0052773E">
        <w:rPr>
          <w:b w:val="0"/>
          <w:bCs w:val="0"/>
        </w:rPr>
        <w:t xml:space="preserve"> should be added to the </w:t>
      </w:r>
      <w:r w:rsidR="008E3826">
        <w:rPr>
          <w:b w:val="0"/>
          <w:bCs w:val="0"/>
        </w:rPr>
        <w:t xml:space="preserve">Modified Test Year Study </w:t>
      </w:r>
      <w:r w:rsidR="00E31313">
        <w:rPr>
          <w:b w:val="0"/>
          <w:bCs w:val="0"/>
        </w:rPr>
        <w:t>results.  As has been explained in this case, both Avista and Staff have used historical data for the period 2007 through 2015 to determine the trends in the growth of rate base and utility operating expenses.  These growth trends are then applied to the 2015 test period numbers to derive rate base and utility operating expenses for the 2017 rate year.</w:t>
      </w:r>
      <w:r w:rsidR="00656C46">
        <w:rPr>
          <w:rStyle w:val="FootnoteReference"/>
          <w:b w:val="0"/>
          <w:bCs w:val="0"/>
        </w:rPr>
        <w:footnoteReference w:id="22"/>
      </w:r>
      <w:r w:rsidR="00FC13C9">
        <w:rPr>
          <w:b w:val="0"/>
          <w:bCs w:val="0"/>
        </w:rPr>
        <w:t xml:space="preserve">  </w:t>
      </w:r>
    </w:p>
    <w:p w:rsidR="00725463" w:rsidRDefault="00A56C5E" w:rsidP="00012BB9">
      <w:pPr>
        <w:pStyle w:val="BodyText"/>
        <w:tabs>
          <w:tab w:val="left" w:pos="720"/>
        </w:tabs>
        <w:spacing w:line="480" w:lineRule="auto"/>
        <w:ind w:right="-54"/>
        <w:jc w:val="both"/>
        <w:rPr>
          <w:b w:val="0"/>
          <w:bCs w:val="0"/>
        </w:rPr>
      </w:pPr>
      <w:r>
        <w:rPr>
          <w:b w:val="0"/>
          <w:bCs w:val="0"/>
        </w:rPr>
        <w:lastRenderedPageBreak/>
        <w:tab/>
      </w:r>
      <w:r w:rsidR="00810F3F">
        <w:rPr>
          <w:b w:val="0"/>
          <w:bCs w:val="0"/>
        </w:rPr>
        <w:t xml:space="preserve">The </w:t>
      </w:r>
      <w:r w:rsidR="006D4103">
        <w:rPr>
          <w:b w:val="0"/>
          <w:bCs w:val="0"/>
        </w:rPr>
        <w:t>C</w:t>
      </w:r>
      <w:r w:rsidR="00810F3F">
        <w:rPr>
          <w:b w:val="0"/>
          <w:bCs w:val="0"/>
        </w:rPr>
        <w:t>ross</w:t>
      </w:r>
      <w:r w:rsidR="006D4103">
        <w:rPr>
          <w:b w:val="0"/>
          <w:bCs w:val="0"/>
        </w:rPr>
        <w:t xml:space="preserve"> C</w:t>
      </w:r>
      <w:r w:rsidR="00810F3F">
        <w:rPr>
          <w:b w:val="0"/>
          <w:bCs w:val="0"/>
        </w:rPr>
        <w:t xml:space="preserve">heck </w:t>
      </w:r>
      <w:r w:rsidR="006D4103">
        <w:rPr>
          <w:b w:val="0"/>
          <w:bCs w:val="0"/>
        </w:rPr>
        <w:t>S</w:t>
      </w:r>
      <w:r w:rsidR="00810F3F">
        <w:rPr>
          <w:b w:val="0"/>
          <w:bCs w:val="0"/>
        </w:rPr>
        <w:t>tudy prepa</w:t>
      </w:r>
      <w:r w:rsidR="00174705">
        <w:rPr>
          <w:b w:val="0"/>
          <w:bCs w:val="0"/>
        </w:rPr>
        <w:t xml:space="preserve">red by the Company is a third study which </w:t>
      </w:r>
      <w:r w:rsidR="00A456D4">
        <w:rPr>
          <w:b w:val="0"/>
          <w:bCs w:val="0"/>
        </w:rPr>
        <w:t xml:space="preserve">can be compared with </w:t>
      </w:r>
      <w:r w:rsidR="00174705">
        <w:rPr>
          <w:b w:val="0"/>
          <w:bCs w:val="0"/>
        </w:rPr>
        <w:t xml:space="preserve">the </w:t>
      </w:r>
      <w:r w:rsidR="00577133">
        <w:rPr>
          <w:b w:val="0"/>
          <w:bCs w:val="0"/>
        </w:rPr>
        <w:t>A</w:t>
      </w:r>
      <w:r w:rsidR="00174705">
        <w:rPr>
          <w:b w:val="0"/>
          <w:bCs w:val="0"/>
        </w:rPr>
        <w:t xml:space="preserve">ttrition </w:t>
      </w:r>
      <w:r w:rsidR="00577133">
        <w:rPr>
          <w:b w:val="0"/>
          <w:bCs w:val="0"/>
        </w:rPr>
        <w:t>S</w:t>
      </w:r>
      <w:r w:rsidR="00174705">
        <w:rPr>
          <w:b w:val="0"/>
          <w:bCs w:val="0"/>
        </w:rPr>
        <w:t xml:space="preserve">tudy results.  The </w:t>
      </w:r>
      <w:r w:rsidR="002640E3">
        <w:rPr>
          <w:b w:val="0"/>
          <w:bCs w:val="0"/>
        </w:rPr>
        <w:t>Cross Check Study</w:t>
      </w:r>
      <w:r w:rsidR="00174705">
        <w:rPr>
          <w:b w:val="0"/>
          <w:bCs w:val="0"/>
        </w:rPr>
        <w:t xml:space="preserve"> compared with the </w:t>
      </w:r>
      <w:r w:rsidR="00577133">
        <w:rPr>
          <w:b w:val="0"/>
          <w:bCs w:val="0"/>
        </w:rPr>
        <w:t>A</w:t>
      </w:r>
      <w:r w:rsidR="00174705">
        <w:rPr>
          <w:b w:val="0"/>
          <w:bCs w:val="0"/>
        </w:rPr>
        <w:t xml:space="preserve">ttrition </w:t>
      </w:r>
      <w:r w:rsidR="00577133">
        <w:rPr>
          <w:b w:val="0"/>
          <w:bCs w:val="0"/>
        </w:rPr>
        <w:t>S</w:t>
      </w:r>
      <w:r w:rsidR="00174705">
        <w:rPr>
          <w:b w:val="0"/>
          <w:bCs w:val="0"/>
        </w:rPr>
        <w:t>tudy shows whether the growth in rate base and operating expenses</w:t>
      </w:r>
      <w:r w:rsidR="00486784">
        <w:rPr>
          <w:b w:val="0"/>
          <w:bCs w:val="0"/>
        </w:rPr>
        <w:t xml:space="preserve"> </w:t>
      </w:r>
      <w:r w:rsidR="00174705">
        <w:rPr>
          <w:b w:val="0"/>
          <w:bCs w:val="0"/>
        </w:rPr>
        <w:t xml:space="preserve">from the 2015 test period to the 2017 rate year, will be higher or lower than the 2007 to 2015 historical trend.  If the growth in rate base and expenses for 2015 to 2017 is expected to be materially different, higher or lower, than </w:t>
      </w:r>
      <w:r w:rsidR="003317D5">
        <w:rPr>
          <w:b w:val="0"/>
          <w:bCs w:val="0"/>
        </w:rPr>
        <w:t xml:space="preserve">the trend for </w:t>
      </w:r>
      <w:r w:rsidR="00174705">
        <w:rPr>
          <w:b w:val="0"/>
          <w:bCs w:val="0"/>
        </w:rPr>
        <w:t>2007 to 2015</w:t>
      </w:r>
      <w:r w:rsidR="003317D5">
        <w:rPr>
          <w:b w:val="0"/>
          <w:bCs w:val="0"/>
        </w:rPr>
        <w:t xml:space="preserve"> would provide</w:t>
      </w:r>
      <w:r w:rsidR="00174705">
        <w:rPr>
          <w:b w:val="0"/>
          <w:bCs w:val="0"/>
        </w:rPr>
        <w:t xml:space="preserve">, then adjustments should be made to the </w:t>
      </w:r>
      <w:r w:rsidR="00577133">
        <w:rPr>
          <w:b w:val="0"/>
          <w:bCs w:val="0"/>
        </w:rPr>
        <w:t>A</w:t>
      </w:r>
      <w:r w:rsidR="00174705">
        <w:rPr>
          <w:b w:val="0"/>
          <w:bCs w:val="0"/>
        </w:rPr>
        <w:t xml:space="preserve">ttrition </w:t>
      </w:r>
      <w:r w:rsidR="00577133">
        <w:rPr>
          <w:b w:val="0"/>
          <w:bCs w:val="0"/>
        </w:rPr>
        <w:t>S</w:t>
      </w:r>
      <w:r w:rsidR="00174705">
        <w:rPr>
          <w:b w:val="0"/>
          <w:bCs w:val="0"/>
        </w:rPr>
        <w:t xml:space="preserve">tudy so that the end result of the </w:t>
      </w:r>
      <w:r w:rsidR="00577133">
        <w:rPr>
          <w:b w:val="0"/>
          <w:bCs w:val="0"/>
        </w:rPr>
        <w:t>A</w:t>
      </w:r>
      <w:r w:rsidR="00174705">
        <w:rPr>
          <w:b w:val="0"/>
          <w:bCs w:val="0"/>
        </w:rPr>
        <w:t xml:space="preserve">ttrition </w:t>
      </w:r>
      <w:r w:rsidR="00577133">
        <w:rPr>
          <w:b w:val="0"/>
          <w:bCs w:val="0"/>
        </w:rPr>
        <w:t>S</w:t>
      </w:r>
      <w:r w:rsidR="00174705">
        <w:rPr>
          <w:b w:val="0"/>
          <w:bCs w:val="0"/>
        </w:rPr>
        <w:t>tudy reflects a revenue adjustment for the 2017 rate</w:t>
      </w:r>
      <w:r w:rsidR="00486784">
        <w:rPr>
          <w:b w:val="0"/>
          <w:bCs w:val="0"/>
        </w:rPr>
        <w:t xml:space="preserve"> year that will be fair for both </w:t>
      </w:r>
      <w:r w:rsidR="00174705">
        <w:rPr>
          <w:b w:val="0"/>
          <w:bCs w:val="0"/>
        </w:rPr>
        <w:t>customer</w:t>
      </w:r>
      <w:r w:rsidR="00486784">
        <w:rPr>
          <w:b w:val="0"/>
          <w:bCs w:val="0"/>
        </w:rPr>
        <w:t>s</w:t>
      </w:r>
      <w:r w:rsidR="00174705">
        <w:rPr>
          <w:b w:val="0"/>
          <w:bCs w:val="0"/>
        </w:rPr>
        <w:t xml:space="preserve"> and the Company.</w:t>
      </w:r>
    </w:p>
    <w:p w:rsidR="00174705" w:rsidRPr="007E09B3" w:rsidRDefault="007E09B3" w:rsidP="00725463">
      <w:pPr>
        <w:pStyle w:val="BodyText"/>
        <w:tabs>
          <w:tab w:val="left" w:pos="720"/>
        </w:tabs>
        <w:spacing w:line="480" w:lineRule="auto"/>
        <w:ind w:right="-54" w:firstLine="720"/>
        <w:jc w:val="both"/>
        <w:rPr>
          <w:bCs w:val="0"/>
        </w:rPr>
      </w:pPr>
      <w:r w:rsidRPr="007E09B3">
        <w:rPr>
          <w:bCs w:val="0"/>
        </w:rPr>
        <w:t>Q.</w:t>
      </w:r>
      <w:r w:rsidRPr="007E09B3">
        <w:rPr>
          <w:bCs w:val="0"/>
        </w:rPr>
        <w:tab/>
      </w:r>
      <w:r w:rsidR="00174705" w:rsidRPr="007E09B3">
        <w:rPr>
          <w:bCs w:val="0"/>
        </w:rPr>
        <w:t>Has t</w:t>
      </w:r>
      <w:r w:rsidRPr="007E09B3">
        <w:rPr>
          <w:bCs w:val="0"/>
        </w:rPr>
        <w:t>he Company and Staff made such adjustments to the attrition studies in this case or in the past?</w:t>
      </w:r>
    </w:p>
    <w:p w:rsidR="007E09B3" w:rsidRDefault="00CB2FEC" w:rsidP="00725463">
      <w:pPr>
        <w:pStyle w:val="BodyText"/>
        <w:tabs>
          <w:tab w:val="left" w:pos="720"/>
        </w:tabs>
        <w:spacing w:line="480" w:lineRule="auto"/>
        <w:ind w:right="-54" w:firstLine="720"/>
        <w:jc w:val="both"/>
        <w:rPr>
          <w:b w:val="0"/>
          <w:bCs w:val="0"/>
        </w:rPr>
      </w:pPr>
      <w:r>
        <w:rPr>
          <w:b w:val="0"/>
          <w:bCs w:val="0"/>
        </w:rPr>
        <w:t>A.</w:t>
      </w:r>
      <w:r>
        <w:rPr>
          <w:b w:val="0"/>
          <w:bCs w:val="0"/>
        </w:rPr>
        <w:tab/>
        <w:t xml:space="preserve">Yes, in both instances.  In </w:t>
      </w:r>
      <w:r w:rsidR="008F3AE2">
        <w:rPr>
          <w:b w:val="0"/>
          <w:bCs w:val="0"/>
        </w:rPr>
        <w:t>this case</w:t>
      </w:r>
      <w:r w:rsidR="00DF2573">
        <w:rPr>
          <w:b w:val="0"/>
          <w:bCs w:val="0"/>
        </w:rPr>
        <w:t>,</w:t>
      </w:r>
      <w:r w:rsidR="008F3AE2">
        <w:rPr>
          <w:b w:val="0"/>
          <w:bCs w:val="0"/>
        </w:rPr>
        <w:t xml:space="preserve"> </w:t>
      </w:r>
      <w:r>
        <w:rPr>
          <w:b w:val="0"/>
          <w:bCs w:val="0"/>
        </w:rPr>
        <w:t>as well as</w:t>
      </w:r>
      <w:r w:rsidR="008F3AE2">
        <w:rPr>
          <w:b w:val="0"/>
          <w:bCs w:val="0"/>
        </w:rPr>
        <w:t xml:space="preserve"> in the prior general rate case, </w:t>
      </w:r>
      <w:r>
        <w:rPr>
          <w:b w:val="0"/>
          <w:bCs w:val="0"/>
        </w:rPr>
        <w:t xml:space="preserve">both </w:t>
      </w:r>
      <w:r w:rsidR="008F3AE2">
        <w:rPr>
          <w:b w:val="0"/>
          <w:bCs w:val="0"/>
        </w:rPr>
        <w:t xml:space="preserve">Avista and </w:t>
      </w:r>
      <w:r>
        <w:rPr>
          <w:b w:val="0"/>
          <w:bCs w:val="0"/>
        </w:rPr>
        <w:t>Staff included what the Company referred to as “after attrition adjustments.”  In the prior general rate case (Docket Nos. UE-1502</w:t>
      </w:r>
      <w:r w:rsidR="0017628C">
        <w:rPr>
          <w:b w:val="0"/>
          <w:bCs w:val="0"/>
        </w:rPr>
        <w:t>04</w:t>
      </w:r>
      <w:r>
        <w:rPr>
          <w:b w:val="0"/>
          <w:bCs w:val="0"/>
        </w:rPr>
        <w:t xml:space="preserve"> and UG-150205)</w:t>
      </w:r>
      <w:r w:rsidR="00B5498C">
        <w:rPr>
          <w:b w:val="0"/>
          <w:bCs w:val="0"/>
        </w:rPr>
        <w:t>,</w:t>
      </w:r>
      <w:r>
        <w:rPr>
          <w:b w:val="0"/>
          <w:bCs w:val="0"/>
        </w:rPr>
        <w:t xml:space="preserve"> Ms. Andrews and Staff witness Mr. McGuire included after</w:t>
      </w:r>
      <w:r w:rsidR="00DB5383">
        <w:rPr>
          <w:b w:val="0"/>
          <w:bCs w:val="0"/>
        </w:rPr>
        <w:t xml:space="preserve"> </w:t>
      </w:r>
      <w:r>
        <w:rPr>
          <w:b w:val="0"/>
          <w:bCs w:val="0"/>
        </w:rPr>
        <w:t xml:space="preserve">attrition adjustments to the </w:t>
      </w:r>
      <w:r w:rsidR="00252CC4">
        <w:rPr>
          <w:b w:val="0"/>
          <w:bCs w:val="0"/>
        </w:rPr>
        <w:t>A</w:t>
      </w:r>
      <w:r>
        <w:rPr>
          <w:b w:val="0"/>
          <w:bCs w:val="0"/>
        </w:rPr>
        <w:t xml:space="preserve">ttrition </w:t>
      </w:r>
      <w:r w:rsidR="00252CC4">
        <w:rPr>
          <w:b w:val="0"/>
          <w:bCs w:val="0"/>
        </w:rPr>
        <w:t>S</w:t>
      </w:r>
      <w:r>
        <w:rPr>
          <w:b w:val="0"/>
          <w:bCs w:val="0"/>
        </w:rPr>
        <w:t>tudy results.</w:t>
      </w:r>
      <w:r w:rsidR="004D25D7">
        <w:rPr>
          <w:rStyle w:val="FootnoteReference"/>
          <w:b w:val="0"/>
          <w:bCs w:val="0"/>
        </w:rPr>
        <w:footnoteReference w:id="23"/>
      </w:r>
      <w:r>
        <w:rPr>
          <w:b w:val="0"/>
          <w:bCs w:val="0"/>
        </w:rPr>
        <w:t xml:space="preserve">  And in this case, Ms. Andrews and Mr. Hancock have included after</w:t>
      </w:r>
      <w:r w:rsidR="00DB5383">
        <w:rPr>
          <w:b w:val="0"/>
          <w:bCs w:val="0"/>
        </w:rPr>
        <w:t xml:space="preserve"> </w:t>
      </w:r>
      <w:r>
        <w:rPr>
          <w:b w:val="0"/>
          <w:bCs w:val="0"/>
        </w:rPr>
        <w:t xml:space="preserve">attrition adjustments to the </w:t>
      </w:r>
      <w:r w:rsidR="00252CC4">
        <w:rPr>
          <w:b w:val="0"/>
          <w:bCs w:val="0"/>
        </w:rPr>
        <w:t>A</w:t>
      </w:r>
      <w:r>
        <w:rPr>
          <w:b w:val="0"/>
          <w:bCs w:val="0"/>
        </w:rPr>
        <w:t xml:space="preserve">ttrition </w:t>
      </w:r>
      <w:r w:rsidR="00252CC4">
        <w:rPr>
          <w:b w:val="0"/>
          <w:bCs w:val="0"/>
        </w:rPr>
        <w:t>S</w:t>
      </w:r>
      <w:r>
        <w:rPr>
          <w:b w:val="0"/>
          <w:bCs w:val="0"/>
        </w:rPr>
        <w:t>tudy results.</w:t>
      </w:r>
      <w:r w:rsidR="004D25D7">
        <w:rPr>
          <w:rStyle w:val="FootnoteReference"/>
          <w:b w:val="0"/>
          <w:bCs w:val="0"/>
        </w:rPr>
        <w:footnoteReference w:id="24"/>
      </w:r>
    </w:p>
    <w:p w:rsidR="00CB2FEC" w:rsidRPr="00376BE7" w:rsidRDefault="00DF2573" w:rsidP="00725463">
      <w:pPr>
        <w:pStyle w:val="BodyText"/>
        <w:tabs>
          <w:tab w:val="left" w:pos="720"/>
        </w:tabs>
        <w:spacing w:line="480" w:lineRule="auto"/>
        <w:ind w:right="-54" w:firstLine="720"/>
        <w:jc w:val="both"/>
        <w:rPr>
          <w:bCs w:val="0"/>
        </w:rPr>
      </w:pPr>
      <w:r w:rsidRPr="00376BE7">
        <w:rPr>
          <w:bCs w:val="0"/>
        </w:rPr>
        <w:t>Q.</w:t>
      </w:r>
      <w:r w:rsidRPr="00376BE7">
        <w:rPr>
          <w:bCs w:val="0"/>
        </w:rPr>
        <w:tab/>
        <w:t>Why were these after</w:t>
      </w:r>
      <w:r w:rsidR="00DB5383">
        <w:rPr>
          <w:bCs w:val="0"/>
        </w:rPr>
        <w:t xml:space="preserve"> </w:t>
      </w:r>
      <w:r w:rsidRPr="00376BE7">
        <w:rPr>
          <w:bCs w:val="0"/>
        </w:rPr>
        <w:t>attrition adjustments made?</w:t>
      </w:r>
    </w:p>
    <w:p w:rsidR="00E7062D" w:rsidRDefault="00DF2573" w:rsidP="00725463">
      <w:pPr>
        <w:pStyle w:val="BodyText"/>
        <w:tabs>
          <w:tab w:val="left" w:pos="720"/>
        </w:tabs>
        <w:spacing w:line="480" w:lineRule="auto"/>
        <w:ind w:right="-54" w:firstLine="720"/>
        <w:jc w:val="both"/>
        <w:rPr>
          <w:b w:val="0"/>
          <w:bCs w:val="0"/>
        </w:rPr>
      </w:pPr>
      <w:r>
        <w:rPr>
          <w:b w:val="0"/>
          <w:bCs w:val="0"/>
        </w:rPr>
        <w:t>A.</w:t>
      </w:r>
      <w:r>
        <w:rPr>
          <w:b w:val="0"/>
          <w:bCs w:val="0"/>
        </w:rPr>
        <w:tab/>
      </w:r>
      <w:r w:rsidR="00A85254">
        <w:rPr>
          <w:b w:val="0"/>
          <w:bCs w:val="0"/>
        </w:rPr>
        <w:t>In the last general rate case as well as this case, a</w:t>
      </w:r>
      <w:r w:rsidR="00376BE7">
        <w:rPr>
          <w:b w:val="0"/>
          <w:bCs w:val="0"/>
        </w:rPr>
        <w:t xml:space="preserve"> determination was made by both the Company witness</w:t>
      </w:r>
      <w:r w:rsidR="00A85254">
        <w:rPr>
          <w:b w:val="0"/>
          <w:bCs w:val="0"/>
        </w:rPr>
        <w:t>es</w:t>
      </w:r>
      <w:r w:rsidR="00376BE7">
        <w:rPr>
          <w:b w:val="0"/>
          <w:bCs w:val="0"/>
        </w:rPr>
        <w:t xml:space="preserve"> and the Staff witness</w:t>
      </w:r>
      <w:r w:rsidR="00A85254">
        <w:rPr>
          <w:b w:val="0"/>
          <w:bCs w:val="0"/>
        </w:rPr>
        <w:t>es</w:t>
      </w:r>
      <w:r w:rsidR="00376BE7">
        <w:rPr>
          <w:b w:val="0"/>
          <w:bCs w:val="0"/>
        </w:rPr>
        <w:t xml:space="preserve"> that the results of the attriti</w:t>
      </w:r>
      <w:r w:rsidR="00A85254">
        <w:rPr>
          <w:b w:val="0"/>
          <w:bCs w:val="0"/>
        </w:rPr>
        <w:t>on analyse</w:t>
      </w:r>
      <w:r w:rsidR="00376BE7">
        <w:rPr>
          <w:b w:val="0"/>
          <w:bCs w:val="0"/>
        </w:rPr>
        <w:t>s</w:t>
      </w:r>
      <w:r w:rsidR="00A85254">
        <w:rPr>
          <w:b w:val="0"/>
          <w:bCs w:val="0"/>
        </w:rPr>
        <w:t>,</w:t>
      </w:r>
      <w:r w:rsidR="00376BE7">
        <w:rPr>
          <w:b w:val="0"/>
          <w:bCs w:val="0"/>
        </w:rPr>
        <w:t xml:space="preserve"> </w:t>
      </w:r>
      <w:r w:rsidR="00376BE7" w:rsidRPr="00A85254">
        <w:rPr>
          <w:b w:val="0"/>
          <w:bCs w:val="0"/>
          <w:u w:val="single"/>
        </w:rPr>
        <w:lastRenderedPageBreak/>
        <w:t>using historical trends alone</w:t>
      </w:r>
      <w:r w:rsidR="00A85254" w:rsidRPr="004C1419">
        <w:rPr>
          <w:b w:val="0"/>
          <w:bCs w:val="0"/>
        </w:rPr>
        <w:t>,</w:t>
      </w:r>
      <w:r w:rsidR="00376BE7">
        <w:rPr>
          <w:b w:val="0"/>
          <w:bCs w:val="0"/>
        </w:rPr>
        <w:t xml:space="preserve"> did not yield revenue adjustments for the rate year that would be sufficient.</w:t>
      </w:r>
      <w:r w:rsidR="00E13151">
        <w:rPr>
          <w:b w:val="0"/>
          <w:bCs w:val="0"/>
        </w:rPr>
        <w:t xml:space="preserve">  </w:t>
      </w:r>
    </w:p>
    <w:p w:rsidR="00086FAB" w:rsidRDefault="00C637CF" w:rsidP="00725463">
      <w:pPr>
        <w:pStyle w:val="BodyText"/>
        <w:tabs>
          <w:tab w:val="left" w:pos="720"/>
        </w:tabs>
        <w:spacing w:line="480" w:lineRule="auto"/>
        <w:ind w:right="-54" w:firstLine="720"/>
        <w:jc w:val="both"/>
        <w:rPr>
          <w:b w:val="0"/>
          <w:bCs w:val="0"/>
        </w:rPr>
      </w:pPr>
      <w:r>
        <w:rPr>
          <w:b w:val="0"/>
          <w:bCs w:val="0"/>
        </w:rPr>
        <w:t>The Cross Check Study includes a comprehensive analysis of rate base and utility operating expenses for the prospective rate period, based on the best and most recent information available</w:t>
      </w:r>
      <w:r w:rsidR="00086FAB">
        <w:rPr>
          <w:b w:val="0"/>
          <w:bCs w:val="0"/>
        </w:rPr>
        <w:t xml:space="preserve">.  In most cases the rate base investment for the rate year is either already underway or specific plans </w:t>
      </w:r>
      <w:r>
        <w:rPr>
          <w:b w:val="0"/>
          <w:bCs w:val="0"/>
        </w:rPr>
        <w:t>are currently in</w:t>
      </w:r>
      <w:r w:rsidR="00086FAB">
        <w:rPr>
          <w:b w:val="0"/>
          <w:bCs w:val="0"/>
        </w:rPr>
        <w:t xml:space="preserve"> place.  Specific plans for utility operating expenses for the rate year are also already in place.  The </w:t>
      </w:r>
      <w:r w:rsidR="002640E3">
        <w:rPr>
          <w:b w:val="0"/>
          <w:bCs w:val="0"/>
        </w:rPr>
        <w:t xml:space="preserve">Cross Check Study </w:t>
      </w:r>
      <w:r w:rsidR="00086FAB">
        <w:rPr>
          <w:b w:val="0"/>
          <w:bCs w:val="0"/>
        </w:rPr>
        <w:t xml:space="preserve">provides </w:t>
      </w:r>
      <w:r w:rsidR="00B521FB">
        <w:rPr>
          <w:b w:val="0"/>
          <w:bCs w:val="0"/>
        </w:rPr>
        <w:t>a detailed determination of the revenue adjustment necessary for the rate year, based on a significant amount of detailed information available to us today regarding the rate base and operating expenses that are expected to occur during the rate year.</w:t>
      </w:r>
    </w:p>
    <w:p w:rsidR="00B521FB" w:rsidRDefault="00B521FB" w:rsidP="00DE1085">
      <w:pPr>
        <w:pStyle w:val="BodyText"/>
        <w:tabs>
          <w:tab w:val="left" w:pos="720"/>
        </w:tabs>
        <w:spacing w:line="480" w:lineRule="auto"/>
        <w:ind w:right="-54" w:firstLine="720"/>
        <w:jc w:val="both"/>
        <w:rPr>
          <w:b w:val="0"/>
          <w:bCs w:val="0"/>
        </w:rPr>
      </w:pPr>
      <w:r>
        <w:rPr>
          <w:b w:val="0"/>
          <w:bCs w:val="0"/>
        </w:rPr>
        <w:t xml:space="preserve">The </w:t>
      </w:r>
      <w:r w:rsidR="002640E3">
        <w:rPr>
          <w:b w:val="0"/>
          <w:bCs w:val="0"/>
        </w:rPr>
        <w:t xml:space="preserve">Cross Check Study </w:t>
      </w:r>
      <w:r>
        <w:rPr>
          <w:b w:val="0"/>
          <w:bCs w:val="0"/>
        </w:rPr>
        <w:t xml:space="preserve">in this case </w:t>
      </w:r>
      <w:r w:rsidR="00DE1085" w:rsidRPr="00253DCF">
        <w:rPr>
          <w:b w:val="0"/>
          <w:bCs w:val="0"/>
          <w:u w:val="single"/>
        </w:rPr>
        <w:t xml:space="preserve">confirms that there will be a continuation of attrition </w:t>
      </w:r>
      <w:r w:rsidR="00DE1085">
        <w:rPr>
          <w:b w:val="0"/>
          <w:bCs w:val="0"/>
        </w:rPr>
        <w:t xml:space="preserve">through the prospective rate year for Avista.  </w:t>
      </w:r>
      <w:r w:rsidR="0021451B">
        <w:rPr>
          <w:b w:val="0"/>
          <w:bCs w:val="0"/>
        </w:rPr>
        <w:t xml:space="preserve">The study confirms that a revenue adjustment based on a </w:t>
      </w:r>
      <w:r w:rsidR="008E3826">
        <w:rPr>
          <w:b w:val="0"/>
          <w:bCs w:val="0"/>
        </w:rPr>
        <w:t xml:space="preserve">Modified Test Year Study </w:t>
      </w:r>
      <w:r w:rsidR="0021451B">
        <w:rPr>
          <w:b w:val="0"/>
          <w:bCs w:val="0"/>
        </w:rPr>
        <w:t>is insufficient.  And a</w:t>
      </w:r>
      <w:r>
        <w:rPr>
          <w:b w:val="0"/>
          <w:bCs w:val="0"/>
        </w:rPr>
        <w:t xml:space="preserve">s explained by Ms. Andrews, the </w:t>
      </w:r>
      <w:r w:rsidR="002640E3">
        <w:rPr>
          <w:b w:val="0"/>
          <w:bCs w:val="0"/>
        </w:rPr>
        <w:t xml:space="preserve">Cross Check Study </w:t>
      </w:r>
      <w:r>
        <w:rPr>
          <w:b w:val="0"/>
          <w:bCs w:val="0"/>
        </w:rPr>
        <w:t>also confirms that after</w:t>
      </w:r>
      <w:r w:rsidR="00DB5383">
        <w:rPr>
          <w:b w:val="0"/>
          <w:bCs w:val="0"/>
        </w:rPr>
        <w:t xml:space="preserve"> </w:t>
      </w:r>
      <w:r>
        <w:rPr>
          <w:b w:val="0"/>
          <w:bCs w:val="0"/>
        </w:rPr>
        <w:t>attrition adjustments are necessary in order to arrive at a sufficient revenue adjustment for the rate period.  Furthermore, Ms. Andrews</w:t>
      </w:r>
      <w:r w:rsidR="0021451B">
        <w:rPr>
          <w:b w:val="0"/>
          <w:bCs w:val="0"/>
        </w:rPr>
        <w:t>’</w:t>
      </w:r>
      <w:r>
        <w:rPr>
          <w:b w:val="0"/>
          <w:bCs w:val="0"/>
        </w:rPr>
        <w:t xml:space="preserve"> analyses show that the </w:t>
      </w:r>
      <w:r w:rsidR="00577133">
        <w:rPr>
          <w:b w:val="0"/>
          <w:bCs w:val="0"/>
        </w:rPr>
        <w:t>A</w:t>
      </w:r>
      <w:r>
        <w:rPr>
          <w:b w:val="0"/>
          <w:bCs w:val="0"/>
        </w:rPr>
        <w:t xml:space="preserve">ttrition </w:t>
      </w:r>
      <w:r w:rsidR="00577133">
        <w:rPr>
          <w:b w:val="0"/>
          <w:bCs w:val="0"/>
        </w:rPr>
        <w:t>S</w:t>
      </w:r>
      <w:r>
        <w:rPr>
          <w:b w:val="0"/>
          <w:bCs w:val="0"/>
        </w:rPr>
        <w:t>tudy</w:t>
      </w:r>
      <w:r w:rsidR="00C637CF">
        <w:rPr>
          <w:b w:val="0"/>
          <w:bCs w:val="0"/>
        </w:rPr>
        <w:t>,</w:t>
      </w:r>
      <w:r>
        <w:rPr>
          <w:b w:val="0"/>
          <w:bCs w:val="0"/>
        </w:rPr>
        <w:t xml:space="preserve"> </w:t>
      </w:r>
      <w:r w:rsidR="00634C95">
        <w:rPr>
          <w:b w:val="0"/>
          <w:bCs w:val="0"/>
        </w:rPr>
        <w:t xml:space="preserve">even </w:t>
      </w:r>
      <w:r>
        <w:rPr>
          <w:b w:val="0"/>
          <w:bCs w:val="0"/>
        </w:rPr>
        <w:t>including the after</w:t>
      </w:r>
      <w:r w:rsidR="00DB5383">
        <w:rPr>
          <w:b w:val="0"/>
          <w:bCs w:val="0"/>
        </w:rPr>
        <w:t xml:space="preserve"> </w:t>
      </w:r>
      <w:r>
        <w:rPr>
          <w:b w:val="0"/>
          <w:bCs w:val="0"/>
        </w:rPr>
        <w:t xml:space="preserve">attrition adjustments, still falls short of the revenue adjustment supported by the </w:t>
      </w:r>
      <w:r w:rsidR="002640E3">
        <w:rPr>
          <w:b w:val="0"/>
          <w:bCs w:val="0"/>
        </w:rPr>
        <w:t>Cross Check Study</w:t>
      </w:r>
      <w:r>
        <w:rPr>
          <w:b w:val="0"/>
          <w:bCs w:val="0"/>
        </w:rPr>
        <w:t xml:space="preserve">.  </w:t>
      </w:r>
    </w:p>
    <w:p w:rsidR="00634C95" w:rsidRDefault="00DE1085" w:rsidP="00725463">
      <w:pPr>
        <w:pStyle w:val="BodyText"/>
        <w:tabs>
          <w:tab w:val="left" w:pos="720"/>
        </w:tabs>
        <w:spacing w:line="480" w:lineRule="auto"/>
        <w:ind w:right="-54" w:firstLine="720"/>
        <w:jc w:val="both"/>
        <w:rPr>
          <w:b w:val="0"/>
          <w:bCs w:val="0"/>
        </w:rPr>
      </w:pPr>
      <w:r>
        <w:rPr>
          <w:b w:val="0"/>
          <w:bCs w:val="0"/>
        </w:rPr>
        <w:t>T</w:t>
      </w:r>
      <w:r w:rsidR="0040283E">
        <w:rPr>
          <w:b w:val="0"/>
          <w:bCs w:val="0"/>
        </w:rPr>
        <w:t xml:space="preserve">he electric and natural gas revenue adjustments proposed by Avista in this case, based on its attrition studies, are </w:t>
      </w:r>
      <w:r w:rsidR="00C637CF">
        <w:rPr>
          <w:b w:val="0"/>
          <w:bCs w:val="0"/>
        </w:rPr>
        <w:t xml:space="preserve">actually </w:t>
      </w:r>
      <w:r w:rsidR="0040283E">
        <w:rPr>
          <w:b w:val="0"/>
          <w:bCs w:val="0"/>
        </w:rPr>
        <w:t xml:space="preserve">less than what is necessary to cover its planned capital investments and operating expenses for the rate period.  </w:t>
      </w:r>
      <w:r w:rsidR="00634C95">
        <w:rPr>
          <w:b w:val="0"/>
          <w:bCs w:val="0"/>
        </w:rPr>
        <w:t>Any reduction to Avista’s proposed electric and natural gas revenue adjustments would further reduce the Company’s opportunity to earn its allowed return for the rate period.</w:t>
      </w:r>
    </w:p>
    <w:p w:rsidR="005F333F" w:rsidRDefault="0040283E" w:rsidP="00012ED7">
      <w:pPr>
        <w:pStyle w:val="BodyText"/>
        <w:tabs>
          <w:tab w:val="left" w:pos="720"/>
        </w:tabs>
        <w:spacing w:line="480" w:lineRule="auto"/>
        <w:ind w:right="-54" w:firstLine="720"/>
        <w:jc w:val="both"/>
        <w:rPr>
          <w:b w:val="0"/>
          <w:bCs w:val="0"/>
        </w:rPr>
      </w:pPr>
      <w:r>
        <w:rPr>
          <w:b w:val="0"/>
          <w:bCs w:val="0"/>
        </w:rPr>
        <w:lastRenderedPageBreak/>
        <w:t>A comparison of the revenue adjustments supported by Avista’s</w:t>
      </w:r>
      <w:r w:rsidR="00B37F43">
        <w:rPr>
          <w:b w:val="0"/>
          <w:bCs w:val="0"/>
        </w:rPr>
        <w:t xml:space="preserve"> </w:t>
      </w:r>
      <w:r w:rsidR="00D13C95">
        <w:rPr>
          <w:b w:val="0"/>
          <w:bCs w:val="0"/>
        </w:rPr>
        <w:t>Modified Test Year Study</w:t>
      </w:r>
      <w:r>
        <w:rPr>
          <w:b w:val="0"/>
          <w:bCs w:val="0"/>
        </w:rPr>
        <w:t xml:space="preserve">, the </w:t>
      </w:r>
      <w:r w:rsidR="00D13C95">
        <w:rPr>
          <w:b w:val="0"/>
          <w:bCs w:val="0"/>
        </w:rPr>
        <w:t>A</w:t>
      </w:r>
      <w:r>
        <w:rPr>
          <w:b w:val="0"/>
          <w:bCs w:val="0"/>
        </w:rPr>
        <w:t xml:space="preserve">ttrition </w:t>
      </w:r>
      <w:r w:rsidR="00D13C95">
        <w:rPr>
          <w:b w:val="0"/>
          <w:bCs w:val="0"/>
        </w:rPr>
        <w:t>S</w:t>
      </w:r>
      <w:r>
        <w:rPr>
          <w:b w:val="0"/>
          <w:bCs w:val="0"/>
        </w:rPr>
        <w:t xml:space="preserve">tudy, and the </w:t>
      </w:r>
      <w:r w:rsidR="00D13C95">
        <w:rPr>
          <w:b w:val="0"/>
          <w:bCs w:val="0"/>
        </w:rPr>
        <w:t>Cross C</w:t>
      </w:r>
      <w:r>
        <w:rPr>
          <w:b w:val="0"/>
          <w:bCs w:val="0"/>
        </w:rPr>
        <w:t xml:space="preserve">heck </w:t>
      </w:r>
      <w:r w:rsidR="00D13C95">
        <w:rPr>
          <w:b w:val="0"/>
          <w:bCs w:val="0"/>
        </w:rPr>
        <w:t>S</w:t>
      </w:r>
      <w:r>
        <w:rPr>
          <w:b w:val="0"/>
          <w:bCs w:val="0"/>
        </w:rPr>
        <w:t xml:space="preserve">tudy </w:t>
      </w:r>
      <w:r w:rsidR="00B37F43">
        <w:rPr>
          <w:b w:val="0"/>
          <w:bCs w:val="0"/>
        </w:rPr>
        <w:t>are</w:t>
      </w:r>
      <w:r>
        <w:rPr>
          <w:b w:val="0"/>
          <w:bCs w:val="0"/>
        </w:rPr>
        <w:t xml:space="preserve"> shown in the table below.</w:t>
      </w:r>
      <w:r w:rsidR="00EA329E">
        <w:rPr>
          <w:b w:val="0"/>
          <w:bCs w:val="0"/>
        </w:rPr>
        <w:t xml:space="preserve">  </w:t>
      </w:r>
      <w:r w:rsidR="00053A29">
        <w:rPr>
          <w:b w:val="0"/>
          <w:bCs w:val="0"/>
        </w:rPr>
        <w:t>T</w:t>
      </w:r>
      <w:r w:rsidR="00060125">
        <w:rPr>
          <w:b w:val="0"/>
          <w:bCs w:val="0"/>
        </w:rPr>
        <w:t xml:space="preserve">able No. 4 </w:t>
      </w:r>
      <w:r w:rsidR="00053A29">
        <w:rPr>
          <w:b w:val="0"/>
          <w:bCs w:val="0"/>
        </w:rPr>
        <w:t>shows the revenue adjustments from the Company’s original filing as well as the updated numbers provided in our rebuttal testimony.</w:t>
      </w:r>
    </w:p>
    <w:p w:rsidR="009662DE" w:rsidRPr="009662DE" w:rsidRDefault="00B81F92" w:rsidP="009662DE">
      <w:pPr>
        <w:pStyle w:val="BodyText"/>
        <w:tabs>
          <w:tab w:val="left" w:pos="720"/>
        </w:tabs>
        <w:spacing w:line="480" w:lineRule="auto"/>
        <w:ind w:right="-54"/>
        <w:jc w:val="both"/>
        <w:rPr>
          <w:bCs w:val="0"/>
          <w:u w:val="single"/>
        </w:rPr>
      </w:pPr>
      <w:r w:rsidRPr="00B81F92">
        <w:rPr>
          <w:noProof/>
          <w:lang w:eastAsia="en-US"/>
        </w:rPr>
        <w:drawing>
          <wp:anchor distT="0" distB="0" distL="114300" distR="114300" simplePos="0" relativeHeight="251673600" behindDoc="1" locked="0" layoutInCell="1" allowOverlap="1" wp14:anchorId="3FE8CAD4" wp14:editId="60B9FAA2">
            <wp:simplePos x="0" y="0"/>
            <wp:positionH relativeFrom="margin">
              <wp:align>center</wp:align>
            </wp:positionH>
            <wp:positionV relativeFrom="paragraph">
              <wp:posOffset>331470</wp:posOffset>
            </wp:positionV>
            <wp:extent cx="4572000" cy="452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452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2DE" w:rsidRPr="009662DE">
        <w:rPr>
          <w:bCs w:val="0"/>
          <w:u w:val="single"/>
        </w:rPr>
        <w:t>Table No. 4:</w:t>
      </w: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7004FD" w:rsidRDefault="007004FD" w:rsidP="009E4B2E">
      <w:pPr>
        <w:pStyle w:val="BodyText"/>
        <w:tabs>
          <w:tab w:val="left" w:pos="720"/>
        </w:tabs>
        <w:spacing w:line="480" w:lineRule="auto"/>
        <w:ind w:right="-54" w:firstLine="720"/>
        <w:jc w:val="both"/>
        <w:rPr>
          <w:b w:val="0"/>
          <w:bCs w:val="0"/>
        </w:rPr>
      </w:pPr>
    </w:p>
    <w:p w:rsidR="00012ED7" w:rsidRDefault="00012ED7" w:rsidP="009E4B2E">
      <w:pPr>
        <w:pStyle w:val="BodyText"/>
        <w:tabs>
          <w:tab w:val="left" w:pos="720"/>
        </w:tabs>
        <w:spacing w:line="480" w:lineRule="auto"/>
        <w:ind w:right="-54" w:firstLine="720"/>
        <w:jc w:val="both"/>
        <w:rPr>
          <w:bCs w:val="0"/>
        </w:rPr>
      </w:pPr>
    </w:p>
    <w:p w:rsidR="009E4B2E" w:rsidRPr="003278BD" w:rsidRDefault="004B53C2" w:rsidP="009E4B2E">
      <w:pPr>
        <w:pStyle w:val="BodyText"/>
        <w:tabs>
          <w:tab w:val="left" w:pos="720"/>
        </w:tabs>
        <w:spacing w:line="480" w:lineRule="auto"/>
        <w:ind w:right="-54" w:firstLine="720"/>
        <w:jc w:val="both"/>
        <w:rPr>
          <w:bCs w:val="0"/>
        </w:rPr>
      </w:pPr>
      <w:r>
        <w:rPr>
          <w:bCs w:val="0"/>
        </w:rPr>
        <w:t>Q.</w:t>
      </w:r>
      <w:r>
        <w:rPr>
          <w:bCs w:val="0"/>
        </w:rPr>
        <w:tab/>
        <w:t>Are</w:t>
      </w:r>
      <w:r w:rsidR="009E4B2E" w:rsidRPr="003278BD">
        <w:rPr>
          <w:bCs w:val="0"/>
        </w:rPr>
        <w:t xml:space="preserve"> there</w:t>
      </w:r>
      <w:r w:rsidR="009E4B2E">
        <w:rPr>
          <w:bCs w:val="0"/>
        </w:rPr>
        <w:t xml:space="preserve"> </w:t>
      </w:r>
      <w:r w:rsidR="009E4B2E" w:rsidRPr="003278BD">
        <w:rPr>
          <w:bCs w:val="0"/>
        </w:rPr>
        <w:t>recent aft</w:t>
      </w:r>
      <w:r w:rsidR="009E4B2E">
        <w:rPr>
          <w:bCs w:val="0"/>
        </w:rPr>
        <w:t>er-the-fact measure</w:t>
      </w:r>
      <w:r>
        <w:rPr>
          <w:bCs w:val="0"/>
        </w:rPr>
        <w:t>s</w:t>
      </w:r>
      <w:r w:rsidR="009E4B2E" w:rsidRPr="003278BD">
        <w:rPr>
          <w:bCs w:val="0"/>
        </w:rPr>
        <w:t xml:space="preserve"> of whether the </w:t>
      </w:r>
      <w:r w:rsidR="002640E3">
        <w:rPr>
          <w:bCs w:val="0"/>
        </w:rPr>
        <w:t>C</w:t>
      </w:r>
      <w:r w:rsidR="009E4B2E" w:rsidRPr="003278BD">
        <w:rPr>
          <w:bCs w:val="0"/>
        </w:rPr>
        <w:t>ross</w:t>
      </w:r>
      <w:r w:rsidR="002640E3">
        <w:rPr>
          <w:bCs w:val="0"/>
        </w:rPr>
        <w:t xml:space="preserve"> C</w:t>
      </w:r>
      <w:r w:rsidR="009E4B2E" w:rsidRPr="003278BD">
        <w:rPr>
          <w:bCs w:val="0"/>
        </w:rPr>
        <w:t xml:space="preserve">heck </w:t>
      </w:r>
      <w:r w:rsidR="002640E3">
        <w:rPr>
          <w:bCs w:val="0"/>
        </w:rPr>
        <w:t>S</w:t>
      </w:r>
      <w:r w:rsidR="009E4B2E" w:rsidRPr="003278BD">
        <w:rPr>
          <w:bCs w:val="0"/>
        </w:rPr>
        <w:t xml:space="preserve">tudy is a good apples-to-apples comparison to the </w:t>
      </w:r>
      <w:r w:rsidR="00577133">
        <w:rPr>
          <w:bCs w:val="0"/>
        </w:rPr>
        <w:t>A</w:t>
      </w:r>
      <w:r w:rsidR="009E4B2E" w:rsidRPr="003278BD">
        <w:rPr>
          <w:bCs w:val="0"/>
        </w:rPr>
        <w:t xml:space="preserve">ttrition </w:t>
      </w:r>
      <w:r w:rsidR="00577133">
        <w:rPr>
          <w:bCs w:val="0"/>
        </w:rPr>
        <w:t>S</w:t>
      </w:r>
      <w:r w:rsidR="009E4B2E" w:rsidRPr="003278BD">
        <w:rPr>
          <w:bCs w:val="0"/>
        </w:rPr>
        <w:t>tudy for the prospective rate period, and a good indicator of the revenue adjustment necessary for the rate period?</w:t>
      </w:r>
    </w:p>
    <w:p w:rsidR="009E4B2E" w:rsidRDefault="009E4B2E" w:rsidP="009E4B2E">
      <w:pPr>
        <w:pStyle w:val="BodyText"/>
        <w:tabs>
          <w:tab w:val="left" w:pos="720"/>
        </w:tabs>
        <w:spacing w:line="480" w:lineRule="auto"/>
        <w:ind w:right="-54" w:firstLine="720"/>
        <w:jc w:val="both"/>
        <w:rPr>
          <w:b w:val="0"/>
          <w:bCs w:val="0"/>
        </w:rPr>
      </w:pPr>
      <w:r>
        <w:rPr>
          <w:b w:val="0"/>
          <w:bCs w:val="0"/>
        </w:rPr>
        <w:lastRenderedPageBreak/>
        <w:t>A.</w:t>
      </w:r>
      <w:r>
        <w:rPr>
          <w:b w:val="0"/>
          <w:bCs w:val="0"/>
        </w:rPr>
        <w:tab/>
        <w:t xml:space="preserve">Yes.  </w:t>
      </w:r>
      <w:r w:rsidR="000923CD">
        <w:rPr>
          <w:b w:val="0"/>
          <w:bCs w:val="0"/>
        </w:rPr>
        <w:t>Underlying the revenue adjustments approved by the Commission in the last three general rate cases</w:t>
      </w:r>
      <w:r w:rsidR="004B53C2">
        <w:rPr>
          <w:b w:val="0"/>
          <w:bCs w:val="0"/>
        </w:rPr>
        <w:t>, for the rate years 2013-2016,</w:t>
      </w:r>
      <w:r w:rsidR="000923CD">
        <w:rPr>
          <w:b w:val="0"/>
          <w:bCs w:val="0"/>
        </w:rPr>
        <w:t xml:space="preserve"> were attrition analyses developed by the Company and Staff.  Although the Commission did not approve specific attrition studies or methodologies, </w:t>
      </w:r>
      <w:r w:rsidR="002A4672">
        <w:rPr>
          <w:b w:val="0"/>
          <w:bCs w:val="0"/>
        </w:rPr>
        <w:t>attrition analyses were the underlying foundation.</w:t>
      </w:r>
      <w:r w:rsidR="002A4672">
        <w:rPr>
          <w:rStyle w:val="FootnoteReference"/>
          <w:b w:val="0"/>
          <w:bCs w:val="0"/>
        </w:rPr>
        <w:footnoteReference w:id="25"/>
      </w:r>
    </w:p>
    <w:p w:rsidR="004B53C2" w:rsidRDefault="004B53C2" w:rsidP="009E4B2E">
      <w:pPr>
        <w:pStyle w:val="BodyText"/>
        <w:tabs>
          <w:tab w:val="left" w:pos="720"/>
        </w:tabs>
        <w:spacing w:line="480" w:lineRule="auto"/>
        <w:ind w:right="-54" w:firstLine="720"/>
        <w:jc w:val="both"/>
        <w:rPr>
          <w:b w:val="0"/>
          <w:bCs w:val="0"/>
        </w:rPr>
      </w:pPr>
      <w:r>
        <w:rPr>
          <w:b w:val="0"/>
          <w:bCs w:val="0"/>
        </w:rPr>
        <w:t xml:space="preserve">In those same general rate cases, Avista provided </w:t>
      </w:r>
      <w:r w:rsidR="00F12345">
        <w:rPr>
          <w:b w:val="0"/>
          <w:bCs w:val="0"/>
        </w:rPr>
        <w:t>C</w:t>
      </w:r>
      <w:r>
        <w:rPr>
          <w:b w:val="0"/>
          <w:bCs w:val="0"/>
        </w:rPr>
        <w:t>ross</w:t>
      </w:r>
      <w:r w:rsidR="00F12345">
        <w:rPr>
          <w:b w:val="0"/>
          <w:bCs w:val="0"/>
        </w:rPr>
        <w:t xml:space="preserve"> C</w:t>
      </w:r>
      <w:r>
        <w:rPr>
          <w:b w:val="0"/>
          <w:bCs w:val="0"/>
        </w:rPr>
        <w:t xml:space="preserve">heck </w:t>
      </w:r>
      <w:r w:rsidR="00F12345">
        <w:rPr>
          <w:b w:val="0"/>
          <w:bCs w:val="0"/>
        </w:rPr>
        <w:t>S</w:t>
      </w:r>
      <w:r>
        <w:rPr>
          <w:b w:val="0"/>
          <w:bCs w:val="0"/>
        </w:rPr>
        <w:t xml:space="preserve">tudies which also showed the revenue adjustments needed for the rate period.  The </w:t>
      </w:r>
      <w:r w:rsidR="00F12345">
        <w:rPr>
          <w:b w:val="0"/>
          <w:bCs w:val="0"/>
        </w:rPr>
        <w:t xml:space="preserve">Cross Check Studies </w:t>
      </w:r>
      <w:r>
        <w:rPr>
          <w:b w:val="0"/>
          <w:bCs w:val="0"/>
        </w:rPr>
        <w:t>showed a need for revenue adjustments that were in line with those of the attrition studies.</w:t>
      </w:r>
      <w:r w:rsidR="007A36BA">
        <w:rPr>
          <w:rStyle w:val="FootnoteReference"/>
          <w:b w:val="0"/>
          <w:bCs w:val="0"/>
        </w:rPr>
        <w:footnoteReference w:id="26"/>
      </w:r>
      <w:r>
        <w:rPr>
          <w:b w:val="0"/>
          <w:bCs w:val="0"/>
        </w:rPr>
        <w:t xml:space="preserve">  Earlier in my testimony I summarized the after-the-fact earned returns for Avista for 2013 through 2015</w:t>
      </w:r>
      <w:r w:rsidR="005A66E0">
        <w:rPr>
          <w:b w:val="0"/>
          <w:bCs w:val="0"/>
        </w:rPr>
        <w:t>,</w:t>
      </w:r>
      <w:r>
        <w:rPr>
          <w:b w:val="0"/>
          <w:bCs w:val="0"/>
        </w:rPr>
        <w:t xml:space="preserve"> and for</w:t>
      </w:r>
      <w:r w:rsidR="005A66E0">
        <w:rPr>
          <w:b w:val="0"/>
          <w:bCs w:val="0"/>
        </w:rPr>
        <w:t xml:space="preserve"> the first six months of 2016.  These after-the-fact earned returns not only confirm that the revenue adjustments based on the attrition analyses were reasonable and appropriate, but that the revenue adjustments shown in the </w:t>
      </w:r>
      <w:r w:rsidR="00F12345">
        <w:rPr>
          <w:b w:val="0"/>
          <w:bCs w:val="0"/>
        </w:rPr>
        <w:t xml:space="preserve">Cross Check Studies </w:t>
      </w:r>
      <w:r w:rsidR="005A66E0">
        <w:rPr>
          <w:b w:val="0"/>
          <w:bCs w:val="0"/>
        </w:rPr>
        <w:t>were also in line with what was actually needed for the rate period.</w:t>
      </w:r>
    </w:p>
    <w:p w:rsidR="005A66E0" w:rsidRDefault="004E2B6A" w:rsidP="009E4B2E">
      <w:pPr>
        <w:pStyle w:val="BodyText"/>
        <w:tabs>
          <w:tab w:val="left" w:pos="720"/>
        </w:tabs>
        <w:spacing w:line="480" w:lineRule="auto"/>
        <w:ind w:right="-54" w:firstLine="720"/>
        <w:jc w:val="both"/>
        <w:rPr>
          <w:b w:val="0"/>
          <w:bCs w:val="0"/>
        </w:rPr>
      </w:pPr>
      <w:r>
        <w:rPr>
          <w:b w:val="0"/>
          <w:bCs w:val="0"/>
        </w:rPr>
        <w:t xml:space="preserve">The </w:t>
      </w:r>
      <w:r w:rsidR="00F12345">
        <w:rPr>
          <w:b w:val="0"/>
          <w:bCs w:val="0"/>
        </w:rPr>
        <w:t xml:space="preserve">Cross Check Study </w:t>
      </w:r>
      <w:r>
        <w:rPr>
          <w:b w:val="0"/>
          <w:bCs w:val="0"/>
        </w:rPr>
        <w:t xml:space="preserve">provides critically important insight into the specific rate base and operating expenses that are expected to occur during the prospective rate period, and is a complementary study to the </w:t>
      </w:r>
      <w:r w:rsidR="00D13C95">
        <w:rPr>
          <w:b w:val="0"/>
          <w:bCs w:val="0"/>
        </w:rPr>
        <w:t xml:space="preserve">Modified Test Year Study </w:t>
      </w:r>
      <w:r>
        <w:rPr>
          <w:b w:val="0"/>
          <w:bCs w:val="0"/>
        </w:rPr>
        <w:t xml:space="preserve">and the </w:t>
      </w:r>
      <w:r w:rsidR="00D13C95">
        <w:rPr>
          <w:b w:val="0"/>
          <w:bCs w:val="0"/>
        </w:rPr>
        <w:t>A</w:t>
      </w:r>
      <w:r>
        <w:rPr>
          <w:b w:val="0"/>
          <w:bCs w:val="0"/>
        </w:rPr>
        <w:t xml:space="preserve">ttrition </w:t>
      </w:r>
      <w:r w:rsidR="00D13C95">
        <w:rPr>
          <w:b w:val="0"/>
          <w:bCs w:val="0"/>
        </w:rPr>
        <w:t>S</w:t>
      </w:r>
      <w:r>
        <w:rPr>
          <w:b w:val="0"/>
          <w:bCs w:val="0"/>
        </w:rPr>
        <w:t xml:space="preserve">tudy in the development of the appropriate revenue adjustments. </w:t>
      </w:r>
    </w:p>
    <w:p w:rsidR="00D11862" w:rsidRPr="00D62A7E" w:rsidRDefault="00D11862" w:rsidP="00D11862">
      <w:pPr>
        <w:pStyle w:val="BodyText"/>
        <w:tabs>
          <w:tab w:val="left" w:pos="720"/>
        </w:tabs>
        <w:spacing w:line="480" w:lineRule="auto"/>
        <w:ind w:right="-54" w:firstLine="720"/>
        <w:jc w:val="both"/>
        <w:rPr>
          <w:bCs w:val="0"/>
        </w:rPr>
      </w:pPr>
      <w:r w:rsidRPr="00D62A7E">
        <w:rPr>
          <w:bCs w:val="0"/>
        </w:rPr>
        <w:t>Q.</w:t>
      </w:r>
      <w:r w:rsidRPr="00D62A7E">
        <w:rPr>
          <w:bCs w:val="0"/>
        </w:rPr>
        <w:tab/>
      </w:r>
      <w:r w:rsidR="00774278">
        <w:rPr>
          <w:bCs w:val="0"/>
        </w:rPr>
        <w:t xml:space="preserve">Would you please summarize the Company’s </w:t>
      </w:r>
      <w:r w:rsidR="00265E3C">
        <w:rPr>
          <w:bCs w:val="0"/>
        </w:rPr>
        <w:t>views</w:t>
      </w:r>
      <w:r w:rsidR="00774278">
        <w:rPr>
          <w:bCs w:val="0"/>
        </w:rPr>
        <w:t xml:space="preserve"> with respect to the necessary “end result” of these proceedings</w:t>
      </w:r>
      <w:r w:rsidRPr="00D62A7E">
        <w:rPr>
          <w:bCs w:val="0"/>
        </w:rPr>
        <w:t>?</w:t>
      </w:r>
    </w:p>
    <w:p w:rsidR="001040E4" w:rsidRDefault="001040E4" w:rsidP="00531FFB">
      <w:pPr>
        <w:pStyle w:val="BodyText"/>
        <w:tabs>
          <w:tab w:val="left" w:pos="720"/>
        </w:tabs>
        <w:spacing w:line="480" w:lineRule="auto"/>
        <w:ind w:right="-54" w:firstLine="720"/>
        <w:jc w:val="both"/>
        <w:rPr>
          <w:b w:val="0"/>
          <w:bCs w:val="0"/>
        </w:rPr>
      </w:pPr>
      <w:r>
        <w:rPr>
          <w:b w:val="0"/>
          <w:bCs w:val="0"/>
        </w:rPr>
        <w:t>A.</w:t>
      </w:r>
      <w:r>
        <w:rPr>
          <w:b w:val="0"/>
          <w:bCs w:val="0"/>
        </w:rPr>
        <w:tab/>
      </w:r>
      <w:r w:rsidR="00531FFB">
        <w:rPr>
          <w:b w:val="0"/>
          <w:bCs w:val="0"/>
        </w:rPr>
        <w:t xml:space="preserve">The Commission, using its informed judgment, must determine which of the tools it has available to best capture the level of rate base and operating expenses for the prospective rate period.  </w:t>
      </w:r>
      <w:r>
        <w:rPr>
          <w:b w:val="0"/>
          <w:bCs w:val="0"/>
        </w:rPr>
        <w:t xml:space="preserve">The Commission has exercised its discretion in prior cases in its </w:t>
      </w:r>
      <w:r>
        <w:rPr>
          <w:b w:val="0"/>
          <w:bCs w:val="0"/>
        </w:rPr>
        <w:lastRenderedPageBreak/>
        <w:t>determination of investment and operating c</w:t>
      </w:r>
      <w:r w:rsidR="00531FFB">
        <w:rPr>
          <w:b w:val="0"/>
          <w:bCs w:val="0"/>
        </w:rPr>
        <w:t>osts to include in the rate period</w:t>
      </w:r>
      <w:r>
        <w:rPr>
          <w:b w:val="0"/>
          <w:bCs w:val="0"/>
        </w:rPr>
        <w:t xml:space="preserve">, and can do so in this case, irrespective of positions expressed by the </w:t>
      </w:r>
      <w:r w:rsidR="00012ED7">
        <w:rPr>
          <w:b w:val="0"/>
          <w:bCs w:val="0"/>
        </w:rPr>
        <w:t xml:space="preserve">other </w:t>
      </w:r>
      <w:r>
        <w:rPr>
          <w:b w:val="0"/>
          <w:bCs w:val="0"/>
        </w:rPr>
        <w:t>parties.</w:t>
      </w:r>
    </w:p>
    <w:p w:rsidR="00DF4C4C" w:rsidRDefault="00DF4C4C" w:rsidP="00DF4C4C">
      <w:pPr>
        <w:pStyle w:val="BodyText"/>
        <w:tabs>
          <w:tab w:val="left" w:pos="720"/>
        </w:tabs>
        <w:spacing w:line="480" w:lineRule="auto"/>
        <w:ind w:right="-54"/>
        <w:jc w:val="both"/>
        <w:rPr>
          <w:b w:val="0"/>
          <w:bCs w:val="0"/>
        </w:rPr>
      </w:pPr>
      <w:r>
        <w:rPr>
          <w:b w:val="0"/>
          <w:bCs w:val="0"/>
        </w:rPr>
        <w:tab/>
        <w:t>In its Order 05 in Docket</w:t>
      </w:r>
      <w:r w:rsidR="00197137">
        <w:rPr>
          <w:b w:val="0"/>
          <w:bCs w:val="0"/>
        </w:rPr>
        <w:t xml:space="preserve"> No</w:t>
      </w:r>
      <w:r>
        <w:rPr>
          <w:b w:val="0"/>
          <w:bCs w:val="0"/>
        </w:rPr>
        <w:t>s</w:t>
      </w:r>
      <w:r w:rsidR="00197137">
        <w:rPr>
          <w:b w:val="0"/>
          <w:bCs w:val="0"/>
        </w:rPr>
        <w:t>.</w:t>
      </w:r>
      <w:r>
        <w:rPr>
          <w:b w:val="0"/>
          <w:bCs w:val="0"/>
        </w:rPr>
        <w:t xml:space="preserve"> UE-150204 and UG-150205, the Commission was clear in explaining the broad discretion available to it in developing an end result that is fair for both customers and the Company:</w:t>
      </w:r>
    </w:p>
    <w:p w:rsidR="00DF4C4C" w:rsidRDefault="00DF4C4C" w:rsidP="00624ADB">
      <w:pPr>
        <w:pStyle w:val="BodyText"/>
        <w:tabs>
          <w:tab w:val="left" w:pos="720"/>
        </w:tabs>
        <w:spacing w:line="240" w:lineRule="auto"/>
        <w:ind w:left="720" w:right="-58"/>
        <w:jc w:val="both"/>
        <w:rPr>
          <w:b w:val="0"/>
          <w:bCs w:val="0"/>
        </w:rPr>
      </w:pPr>
      <w:r>
        <w:rPr>
          <w:b w:val="0"/>
          <w:bCs w:val="0"/>
        </w:rPr>
        <w:t>We believe we can exercise broad discretion to consider such seminal cases using our informed judgment in deciding whether or not an attrition adjustment is warranted given the specific facts and circumstances in a rate case.</w:t>
      </w:r>
      <w:r>
        <w:rPr>
          <w:rStyle w:val="FootnoteReference"/>
          <w:b w:val="0"/>
          <w:bCs w:val="0"/>
        </w:rPr>
        <w:footnoteReference w:id="27"/>
      </w:r>
    </w:p>
    <w:p w:rsidR="00624ADB" w:rsidRDefault="00624ADB" w:rsidP="00624ADB">
      <w:pPr>
        <w:pStyle w:val="BodyText"/>
        <w:tabs>
          <w:tab w:val="left" w:pos="720"/>
        </w:tabs>
        <w:spacing w:line="240" w:lineRule="auto"/>
        <w:ind w:left="720" w:right="-58"/>
        <w:jc w:val="both"/>
        <w:rPr>
          <w:b w:val="0"/>
          <w:bCs w:val="0"/>
        </w:rPr>
      </w:pPr>
    </w:p>
    <w:p w:rsidR="00DF4C4C" w:rsidRDefault="00DF4C4C" w:rsidP="00DF4C4C">
      <w:pPr>
        <w:pStyle w:val="BodyText"/>
        <w:tabs>
          <w:tab w:val="left" w:pos="720"/>
        </w:tabs>
        <w:spacing w:line="480" w:lineRule="auto"/>
        <w:ind w:right="-54"/>
        <w:jc w:val="both"/>
        <w:rPr>
          <w:b w:val="0"/>
          <w:bCs w:val="0"/>
        </w:rPr>
      </w:pPr>
      <w:r>
        <w:rPr>
          <w:b w:val="0"/>
          <w:bCs w:val="0"/>
        </w:rPr>
        <w:tab/>
        <w:t>And with regard to this case, the Commission has broad discretion in determining the manner in which the attrition adjustment is develo</w:t>
      </w:r>
      <w:r w:rsidR="00DB5383">
        <w:rPr>
          <w:b w:val="0"/>
          <w:bCs w:val="0"/>
        </w:rPr>
        <w:t xml:space="preserve">ped, including the use of after </w:t>
      </w:r>
      <w:r>
        <w:rPr>
          <w:b w:val="0"/>
          <w:bCs w:val="0"/>
        </w:rPr>
        <w:t>attrition adjustments as necessary, based on “the specific facts and circumstances” in this case.</w:t>
      </w:r>
    </w:p>
    <w:p w:rsidR="00DF4C4C" w:rsidRDefault="00DF4C4C" w:rsidP="00DF4C4C">
      <w:pPr>
        <w:tabs>
          <w:tab w:val="left" w:pos="720"/>
        </w:tabs>
        <w:spacing w:line="480" w:lineRule="auto"/>
        <w:ind w:right="-54" w:firstLine="720"/>
        <w:jc w:val="both"/>
      </w:pPr>
      <w:r>
        <w:t>On page 11 of his testimony, beginning on line 8, Mr. Gorman includes a quote from Moody’s Investor Services as follows:</w:t>
      </w:r>
    </w:p>
    <w:p w:rsidR="00DF4C4C" w:rsidRDefault="00DF4C4C" w:rsidP="00DF4C4C">
      <w:pPr>
        <w:tabs>
          <w:tab w:val="left" w:pos="720"/>
        </w:tabs>
        <w:ind w:left="720" w:right="-58"/>
        <w:jc w:val="both"/>
      </w:pPr>
      <w:r>
        <w:t xml:space="preserve">The credit-supportive regulatory environment is the main reason for our stable outlook.  We expect that the relationship between regulators and utilities in 2016 will remain credit-supportive, enabling utilities to </w:t>
      </w:r>
      <w:r w:rsidRPr="00A56C51">
        <w:rPr>
          <w:u w:val="single"/>
        </w:rPr>
        <w:t>recover costs in a timely manner</w:t>
      </w:r>
      <w:r>
        <w:t xml:space="preserve"> and maintain stable cash flows.</w:t>
      </w:r>
      <w:r>
        <w:rPr>
          <w:rStyle w:val="FootnoteReference"/>
        </w:rPr>
        <w:footnoteReference w:id="28"/>
      </w:r>
      <w:r>
        <w:t xml:space="preserve"> (</w:t>
      </w:r>
      <w:proofErr w:type="gramStart"/>
      <w:r>
        <w:t>emphasis</w:t>
      </w:r>
      <w:proofErr w:type="gramEnd"/>
      <w:r>
        <w:t xml:space="preserve"> added)</w:t>
      </w:r>
    </w:p>
    <w:p w:rsidR="00DF4C4C" w:rsidRDefault="00DF4C4C" w:rsidP="00DF4C4C">
      <w:pPr>
        <w:tabs>
          <w:tab w:val="left" w:pos="720"/>
        </w:tabs>
        <w:spacing w:line="480" w:lineRule="auto"/>
        <w:ind w:right="-54" w:firstLine="720"/>
        <w:jc w:val="both"/>
      </w:pPr>
    </w:p>
    <w:p w:rsidR="00DD5BE5" w:rsidRDefault="00DF4C4C" w:rsidP="00265E3C">
      <w:pPr>
        <w:tabs>
          <w:tab w:val="left" w:pos="720"/>
        </w:tabs>
        <w:spacing w:line="480" w:lineRule="auto"/>
        <w:ind w:right="-54" w:firstLine="720"/>
        <w:jc w:val="both"/>
      </w:pPr>
      <w:r>
        <w:t xml:space="preserve">The after-the-fact earned returns for Avista in recent years have demonstrated that the retail rates established by the Commission for those periods provided “recovery of costs in a timely manner,” and resulted in retail rates that were fair to customers and the Company.  </w:t>
      </w:r>
    </w:p>
    <w:p w:rsidR="00265E3C" w:rsidRDefault="00DF4C4C" w:rsidP="00265E3C">
      <w:pPr>
        <w:tabs>
          <w:tab w:val="left" w:pos="720"/>
        </w:tabs>
        <w:spacing w:line="480" w:lineRule="auto"/>
        <w:ind w:right="-54" w:firstLine="720"/>
        <w:jc w:val="both"/>
      </w:pPr>
      <w:r>
        <w:t>In this case it is critically important that the Commission continue to exercise it</w:t>
      </w:r>
      <w:r w:rsidR="0033654E">
        <w:t>s</w:t>
      </w:r>
      <w:r>
        <w:t xml:space="preserve"> broad discretion using its informed judgment, and given the specific facts and circumstances in this case, to establish rates that are fair, just, reasonable and sufficient.</w:t>
      </w:r>
      <w:r w:rsidR="00265E3C">
        <w:t xml:space="preserve">  The three complementary </w:t>
      </w:r>
      <w:r w:rsidR="00265E3C">
        <w:lastRenderedPageBreak/>
        <w:t>studies, Modified Test Year, Attrition, and the Cross Check, provide a solid foundation for an end result that is fair for customers and the Company.</w:t>
      </w:r>
    </w:p>
    <w:p w:rsidR="00DD5BE5" w:rsidRDefault="00DD5BE5" w:rsidP="00265E3C">
      <w:pPr>
        <w:tabs>
          <w:tab w:val="left" w:pos="720"/>
        </w:tabs>
        <w:spacing w:line="480" w:lineRule="auto"/>
        <w:ind w:right="-54" w:firstLine="720"/>
        <w:jc w:val="both"/>
      </w:pPr>
    </w:p>
    <w:p w:rsidR="00D22710" w:rsidRDefault="00D22710" w:rsidP="00D22710">
      <w:pPr>
        <w:pStyle w:val="BodyText"/>
        <w:tabs>
          <w:tab w:val="left" w:pos="720"/>
        </w:tabs>
        <w:spacing w:line="240" w:lineRule="auto"/>
        <w:ind w:right="-58"/>
        <w:rPr>
          <w:rStyle w:val="PageNumber"/>
          <w:u w:val="single"/>
        </w:rPr>
      </w:pPr>
      <w:r>
        <w:rPr>
          <w:rStyle w:val="PageNumber"/>
          <w:u w:val="single"/>
        </w:rPr>
        <w:t>VIII. AVISTA’S NEED FOR REVENUE INCREASES HAS INCREASED FOLLOWING ORIGINAL FILING</w:t>
      </w:r>
    </w:p>
    <w:p w:rsidR="00D22710" w:rsidRPr="00C15078" w:rsidRDefault="00D22710" w:rsidP="00D22710">
      <w:pPr>
        <w:pStyle w:val="BodyText"/>
        <w:tabs>
          <w:tab w:val="left" w:pos="720"/>
        </w:tabs>
        <w:spacing w:line="240" w:lineRule="auto"/>
        <w:ind w:right="-58"/>
        <w:rPr>
          <w:b w:val="0"/>
          <w:bCs w:val="0"/>
        </w:rPr>
      </w:pPr>
    </w:p>
    <w:p w:rsidR="00D22710" w:rsidRPr="00F447A7" w:rsidRDefault="00D22710" w:rsidP="00D22710">
      <w:pPr>
        <w:pStyle w:val="BodyText"/>
        <w:tabs>
          <w:tab w:val="left" w:pos="720"/>
        </w:tabs>
        <w:spacing w:line="480" w:lineRule="auto"/>
        <w:ind w:right="-54" w:firstLine="720"/>
        <w:jc w:val="both"/>
        <w:rPr>
          <w:bCs w:val="0"/>
        </w:rPr>
      </w:pPr>
      <w:r w:rsidRPr="00F447A7">
        <w:rPr>
          <w:bCs w:val="0"/>
        </w:rPr>
        <w:t>Q.</w:t>
      </w:r>
      <w:r w:rsidRPr="00F447A7">
        <w:rPr>
          <w:bCs w:val="0"/>
        </w:rPr>
        <w:tab/>
        <w:t>The non-Company parties in this case have proposed revenue adjustments lower than those originally filed by the Company.  Based on the most recent information available, has the Company</w:t>
      </w:r>
      <w:r>
        <w:rPr>
          <w:bCs w:val="0"/>
        </w:rPr>
        <w:t>’s</w:t>
      </w:r>
      <w:r w:rsidRPr="00F447A7">
        <w:rPr>
          <w:bCs w:val="0"/>
        </w:rPr>
        <w:t xml:space="preserve"> need for revenue adjustments increased or decrease</w:t>
      </w:r>
      <w:r>
        <w:rPr>
          <w:bCs w:val="0"/>
        </w:rPr>
        <w:t>d</w:t>
      </w:r>
      <w:r w:rsidRPr="00F447A7">
        <w:rPr>
          <w:bCs w:val="0"/>
        </w:rPr>
        <w:t xml:space="preserve"> following its filing in February 2016?</w:t>
      </w:r>
    </w:p>
    <w:p w:rsidR="00D22710" w:rsidRDefault="00D22710" w:rsidP="00D22710">
      <w:pPr>
        <w:pStyle w:val="BodyText"/>
        <w:tabs>
          <w:tab w:val="left" w:pos="720"/>
        </w:tabs>
        <w:spacing w:line="480" w:lineRule="auto"/>
        <w:ind w:right="-54" w:firstLine="720"/>
        <w:jc w:val="both"/>
        <w:rPr>
          <w:b w:val="0"/>
          <w:bCs w:val="0"/>
        </w:rPr>
      </w:pPr>
      <w:r>
        <w:rPr>
          <w:b w:val="0"/>
          <w:bCs w:val="0"/>
        </w:rPr>
        <w:t>A.</w:t>
      </w:r>
      <w:r>
        <w:rPr>
          <w:b w:val="0"/>
          <w:bCs w:val="0"/>
        </w:rPr>
        <w:tab/>
        <w:t>With regard to changes in numbers during the pendency of the case, our practice is to be transparent with any known changes or updated information, and throughout this case we have continued to provide updated information for any material changes that would affect revenue requirement, up or down.   The Commission has previously expressed its desire to base its decisions on the best available information.</w:t>
      </w:r>
      <w:r>
        <w:rPr>
          <w:rStyle w:val="FootnoteReference"/>
          <w:b w:val="0"/>
          <w:bCs w:val="0"/>
        </w:rPr>
        <w:footnoteReference w:id="29"/>
      </w:r>
      <w:r>
        <w:rPr>
          <w:b w:val="0"/>
          <w:bCs w:val="0"/>
        </w:rPr>
        <w:t xml:space="preserve">  </w:t>
      </w:r>
    </w:p>
    <w:p w:rsidR="00D22710" w:rsidRDefault="00D22710" w:rsidP="00D22710">
      <w:pPr>
        <w:pStyle w:val="BodyText"/>
        <w:tabs>
          <w:tab w:val="left" w:pos="720"/>
        </w:tabs>
        <w:spacing w:line="480" w:lineRule="auto"/>
        <w:ind w:right="-54" w:firstLine="720"/>
        <w:jc w:val="both"/>
        <w:rPr>
          <w:b w:val="0"/>
          <w:bCs w:val="0"/>
        </w:rPr>
      </w:pPr>
      <w:r>
        <w:rPr>
          <w:b w:val="0"/>
          <w:bCs w:val="0"/>
        </w:rPr>
        <w:t>Based on the most recent information available, Avista’s need for electric and natural gas revenue adjustments have increased subsequent to its original filing in February</w:t>
      </w:r>
      <w:r w:rsidR="009662DE">
        <w:rPr>
          <w:b w:val="0"/>
          <w:bCs w:val="0"/>
        </w:rPr>
        <w:t xml:space="preserve"> 2016</w:t>
      </w:r>
      <w:r>
        <w:rPr>
          <w:b w:val="0"/>
          <w:bCs w:val="0"/>
        </w:rPr>
        <w:t>.</w:t>
      </w:r>
    </w:p>
    <w:p w:rsidR="00D22710" w:rsidRPr="00D5159B" w:rsidRDefault="00D22710" w:rsidP="00D22710">
      <w:pPr>
        <w:pStyle w:val="BodyText"/>
        <w:tabs>
          <w:tab w:val="left" w:pos="720"/>
        </w:tabs>
        <w:spacing w:line="480" w:lineRule="auto"/>
        <w:ind w:right="-54" w:firstLine="720"/>
        <w:jc w:val="both"/>
        <w:rPr>
          <w:bCs w:val="0"/>
        </w:rPr>
      </w:pPr>
      <w:r>
        <w:rPr>
          <w:bCs w:val="0"/>
        </w:rPr>
        <w:t>Q.</w:t>
      </w:r>
      <w:r>
        <w:rPr>
          <w:bCs w:val="0"/>
        </w:rPr>
        <w:tab/>
        <w:t>Please summarize Avista’s updated</w:t>
      </w:r>
      <w:r w:rsidRPr="00D5159B">
        <w:rPr>
          <w:bCs w:val="0"/>
        </w:rPr>
        <w:t xml:space="preserve"> electric and</w:t>
      </w:r>
      <w:r>
        <w:rPr>
          <w:bCs w:val="0"/>
        </w:rPr>
        <w:t xml:space="preserve"> natural gas revenue requirements.</w:t>
      </w:r>
    </w:p>
    <w:p w:rsidR="002D627E" w:rsidRDefault="00D22710" w:rsidP="007D2671">
      <w:pPr>
        <w:pStyle w:val="BodyText"/>
        <w:tabs>
          <w:tab w:val="left" w:pos="720"/>
        </w:tabs>
        <w:spacing w:line="480" w:lineRule="auto"/>
        <w:ind w:right="-54" w:firstLine="720"/>
        <w:jc w:val="both"/>
        <w:rPr>
          <w:b w:val="0"/>
          <w:u w:val="single"/>
        </w:rPr>
      </w:pPr>
      <w:r>
        <w:rPr>
          <w:b w:val="0"/>
          <w:bCs w:val="0"/>
        </w:rPr>
        <w:t>A.</w:t>
      </w:r>
      <w:r>
        <w:rPr>
          <w:b w:val="0"/>
          <w:bCs w:val="0"/>
        </w:rPr>
        <w:tab/>
        <w:t xml:space="preserve">Table No. </w:t>
      </w:r>
      <w:r w:rsidR="00CD107E">
        <w:rPr>
          <w:b w:val="0"/>
          <w:bCs w:val="0"/>
        </w:rPr>
        <w:t>5</w:t>
      </w:r>
      <w:r>
        <w:rPr>
          <w:b w:val="0"/>
          <w:bCs w:val="0"/>
        </w:rPr>
        <w:t xml:space="preserve"> below summarizes the changes in electric and natural gas revenue requirements since our original filing in February 2016.  </w:t>
      </w:r>
      <w:r w:rsidR="002D627E">
        <w:rPr>
          <w:u w:val="single"/>
        </w:rPr>
        <w:br w:type="page"/>
      </w:r>
    </w:p>
    <w:p w:rsidR="002A6159" w:rsidRPr="00976DE3" w:rsidRDefault="002A6159" w:rsidP="002A6159">
      <w:pPr>
        <w:pStyle w:val="BodyText"/>
        <w:tabs>
          <w:tab w:val="left" w:pos="720"/>
          <w:tab w:val="left" w:pos="5580"/>
          <w:tab w:val="center" w:pos="7290"/>
          <w:tab w:val="right" w:pos="9000"/>
        </w:tabs>
        <w:spacing w:line="240" w:lineRule="auto"/>
        <w:ind w:right="-58"/>
        <w:jc w:val="both"/>
        <w:rPr>
          <w:bCs w:val="0"/>
          <w:u w:val="single"/>
        </w:rPr>
      </w:pPr>
      <w:r w:rsidRPr="00976DE3">
        <w:rPr>
          <w:bCs w:val="0"/>
          <w:u w:val="single"/>
        </w:rPr>
        <w:lastRenderedPageBreak/>
        <w:t xml:space="preserve">Table No. </w:t>
      </w:r>
      <w:r>
        <w:rPr>
          <w:bCs w:val="0"/>
          <w:u w:val="single"/>
        </w:rPr>
        <w:t>5</w:t>
      </w:r>
      <w:r w:rsidRPr="00976DE3">
        <w:rPr>
          <w:bCs w:val="0"/>
          <w:u w:val="single"/>
        </w:rPr>
        <w:t xml:space="preserve"> – </w:t>
      </w:r>
      <w:r w:rsidR="0082002B">
        <w:rPr>
          <w:bCs w:val="0"/>
          <w:u w:val="single"/>
        </w:rPr>
        <w:t xml:space="preserve">Updated </w:t>
      </w:r>
      <w:r w:rsidRPr="00976DE3">
        <w:rPr>
          <w:bCs w:val="0"/>
          <w:u w:val="single"/>
        </w:rPr>
        <w:t>Electric and Natural G</w:t>
      </w:r>
      <w:r>
        <w:rPr>
          <w:bCs w:val="0"/>
          <w:u w:val="single"/>
        </w:rPr>
        <w:t>a</w:t>
      </w:r>
      <w:r w:rsidRPr="00976DE3">
        <w:rPr>
          <w:bCs w:val="0"/>
          <w:u w:val="single"/>
        </w:rPr>
        <w:t xml:space="preserve">s Revenue </w:t>
      </w:r>
      <w:r>
        <w:rPr>
          <w:bCs w:val="0"/>
          <w:u w:val="single"/>
        </w:rPr>
        <w:t xml:space="preserve">Requirement </w:t>
      </w:r>
      <w:r w:rsidR="0082002B">
        <w:rPr>
          <w:bCs w:val="0"/>
          <w:u w:val="single"/>
        </w:rPr>
        <w:t>(2017)</w:t>
      </w:r>
    </w:p>
    <w:p w:rsidR="002A6159" w:rsidRDefault="002A6159" w:rsidP="002A6159">
      <w:pPr>
        <w:pStyle w:val="BodyText"/>
        <w:tabs>
          <w:tab w:val="left" w:pos="720"/>
          <w:tab w:val="left" w:pos="5580"/>
          <w:tab w:val="center" w:pos="7290"/>
          <w:tab w:val="right" w:pos="9000"/>
        </w:tabs>
        <w:spacing w:line="240" w:lineRule="auto"/>
        <w:ind w:right="-58"/>
        <w:jc w:val="both"/>
        <w:rPr>
          <w:bCs w:val="0"/>
        </w:rPr>
      </w:pPr>
    </w:p>
    <w:p w:rsidR="002A6159" w:rsidRPr="00770B4B" w:rsidRDefault="002A6159" w:rsidP="002A6159">
      <w:pPr>
        <w:pStyle w:val="BodyText"/>
        <w:tabs>
          <w:tab w:val="left" w:pos="720"/>
          <w:tab w:val="left" w:pos="5580"/>
          <w:tab w:val="center" w:pos="7290"/>
          <w:tab w:val="right" w:pos="9000"/>
        </w:tabs>
        <w:spacing w:line="240" w:lineRule="auto"/>
        <w:ind w:right="-58"/>
        <w:jc w:val="both"/>
        <w:rPr>
          <w:bCs w:val="0"/>
          <w:u w:val="single"/>
        </w:rPr>
      </w:pPr>
      <w:r w:rsidRPr="00770B4B">
        <w:rPr>
          <w:bCs w:val="0"/>
        </w:rPr>
        <w:tab/>
      </w:r>
      <w:r w:rsidRPr="00770B4B">
        <w:rPr>
          <w:bCs w:val="0"/>
        </w:rPr>
        <w:tab/>
      </w:r>
      <w:r w:rsidRPr="00770B4B">
        <w:rPr>
          <w:bCs w:val="0"/>
          <w:u w:val="single"/>
        </w:rPr>
        <w:tab/>
        <w:t>$Millions</w:t>
      </w:r>
      <w:r w:rsidRPr="00770B4B">
        <w:rPr>
          <w:bCs w:val="0"/>
          <w:u w:val="single"/>
        </w:rPr>
        <w:tab/>
      </w:r>
    </w:p>
    <w:p w:rsidR="002A6159" w:rsidRPr="00770B4B" w:rsidRDefault="002A6159" w:rsidP="002A6159">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Cs w:val="0"/>
          <w:u w:val="single"/>
        </w:rPr>
      </w:pPr>
      <w:r w:rsidRPr="00FB03AA">
        <w:rPr>
          <w:bCs w:val="0"/>
          <w:color w:val="FFFFFF" w:themeColor="background1"/>
          <w:u w:val="single"/>
        </w:rPr>
        <w:t>Line</w:t>
      </w:r>
      <w:r w:rsidRPr="00770B4B">
        <w:rPr>
          <w:bCs w:val="0"/>
        </w:rPr>
        <w:tab/>
      </w:r>
      <w:r w:rsidRPr="00770B4B">
        <w:rPr>
          <w:bCs w:val="0"/>
        </w:rPr>
        <w:tab/>
      </w:r>
      <w:r w:rsidRPr="00770B4B">
        <w:rPr>
          <w:bCs w:val="0"/>
          <w:u w:val="single"/>
        </w:rPr>
        <w:tab/>
        <w:t>Electric</w:t>
      </w:r>
      <w:r w:rsidRPr="00770B4B">
        <w:rPr>
          <w:bCs w:val="0"/>
          <w:u w:val="single"/>
        </w:rPr>
        <w:tab/>
      </w:r>
      <w:r w:rsidRPr="00770B4B">
        <w:rPr>
          <w:bCs w:val="0"/>
        </w:rPr>
        <w:tab/>
      </w:r>
      <w:r w:rsidRPr="00770B4B">
        <w:rPr>
          <w:bCs w:val="0"/>
          <w:u w:val="single"/>
        </w:rPr>
        <w:tab/>
        <w:t>Natural Gas</w:t>
      </w:r>
      <w:r w:rsidRPr="00770B4B">
        <w:rPr>
          <w:bCs w:val="0"/>
          <w:u w:val="single"/>
        </w:rPr>
        <w:tab/>
      </w:r>
    </w:p>
    <w:p w:rsidR="002A6159" w:rsidRDefault="002A6159" w:rsidP="002A6159">
      <w:pPr>
        <w:pStyle w:val="BodyText"/>
        <w:tabs>
          <w:tab w:val="center" w:pos="270"/>
          <w:tab w:val="left" w:pos="720"/>
          <w:tab w:val="left" w:pos="5580"/>
          <w:tab w:val="center" w:pos="6300"/>
          <w:tab w:val="right" w:pos="7020"/>
          <w:tab w:val="left" w:pos="7560"/>
          <w:tab w:val="center" w:pos="8280"/>
          <w:tab w:val="right" w:pos="9000"/>
        </w:tabs>
        <w:spacing w:line="240" w:lineRule="auto"/>
        <w:ind w:right="-58"/>
        <w:jc w:val="both"/>
        <w:rPr>
          <w:b w:val="0"/>
          <w:bCs w:val="0"/>
          <w:u w:val="single"/>
        </w:rPr>
      </w:pPr>
    </w:p>
    <w:p w:rsidR="002A6159" w:rsidRPr="00A36B8B" w:rsidRDefault="002A6159" w:rsidP="006B1B3E">
      <w:pPr>
        <w:pStyle w:val="BodyText"/>
        <w:tabs>
          <w:tab w:val="center" w:pos="270"/>
          <w:tab w:val="left" w:pos="720"/>
          <w:tab w:val="left" w:pos="5580"/>
          <w:tab w:val="center" w:pos="6300"/>
          <w:tab w:val="right" w:pos="7020"/>
          <w:tab w:val="left" w:pos="7560"/>
          <w:tab w:val="center" w:pos="8280"/>
          <w:tab w:val="right" w:pos="9000"/>
        </w:tabs>
        <w:ind w:right="-58"/>
        <w:jc w:val="both"/>
        <w:rPr>
          <w:bCs w:val="0"/>
        </w:rPr>
      </w:pPr>
      <w:r>
        <w:rPr>
          <w:bCs w:val="0"/>
        </w:rPr>
        <w:tab/>
      </w:r>
      <w:r w:rsidRPr="00770B4B">
        <w:rPr>
          <w:b w:val="0"/>
          <w:bCs w:val="0"/>
        </w:rPr>
        <w:t>1</w:t>
      </w:r>
      <w:r>
        <w:rPr>
          <w:bCs w:val="0"/>
        </w:rPr>
        <w:tab/>
      </w:r>
      <w:r w:rsidRPr="0082002B">
        <w:rPr>
          <w:b w:val="0"/>
          <w:bCs w:val="0"/>
        </w:rPr>
        <w:t>Original Requests</w:t>
      </w:r>
      <w:r w:rsidRPr="0082002B">
        <w:rPr>
          <w:b w:val="0"/>
          <w:bCs w:val="0"/>
        </w:rPr>
        <w:tab/>
      </w:r>
      <w:r w:rsidRPr="0082002B">
        <w:rPr>
          <w:b w:val="0"/>
          <w:bCs w:val="0"/>
        </w:rPr>
        <w:tab/>
        <w:t>$</w:t>
      </w:r>
      <w:r w:rsidR="0082002B" w:rsidRPr="0082002B">
        <w:rPr>
          <w:b w:val="0"/>
          <w:bCs w:val="0"/>
        </w:rPr>
        <w:t>38.6</w:t>
      </w:r>
      <w:r w:rsidRPr="0082002B">
        <w:rPr>
          <w:b w:val="0"/>
          <w:bCs w:val="0"/>
        </w:rPr>
        <w:tab/>
      </w:r>
      <w:r w:rsidRPr="0082002B">
        <w:rPr>
          <w:b w:val="0"/>
          <w:bCs w:val="0"/>
        </w:rPr>
        <w:tab/>
      </w:r>
      <w:r w:rsidRPr="0082002B">
        <w:rPr>
          <w:b w:val="0"/>
          <w:bCs w:val="0"/>
        </w:rPr>
        <w:tab/>
        <w:t>$</w:t>
      </w:r>
      <w:r w:rsidR="003C712D">
        <w:rPr>
          <w:b w:val="0"/>
          <w:bCs w:val="0"/>
        </w:rPr>
        <w:t>4.4</w:t>
      </w:r>
    </w:p>
    <w:p w:rsidR="002A6159" w:rsidRDefault="002A6159" w:rsidP="006B1B3E">
      <w:pPr>
        <w:pStyle w:val="BodyText"/>
        <w:tabs>
          <w:tab w:val="center" w:pos="270"/>
          <w:tab w:val="left" w:pos="720"/>
          <w:tab w:val="left" w:pos="5580"/>
          <w:tab w:val="center" w:pos="6300"/>
          <w:tab w:val="right" w:pos="7020"/>
          <w:tab w:val="left" w:pos="7560"/>
          <w:tab w:val="center" w:pos="8280"/>
          <w:tab w:val="right" w:pos="9000"/>
        </w:tabs>
        <w:ind w:right="-58"/>
        <w:jc w:val="both"/>
        <w:rPr>
          <w:b w:val="0"/>
          <w:bCs w:val="0"/>
        </w:rPr>
      </w:pPr>
      <w:r>
        <w:rPr>
          <w:b w:val="0"/>
          <w:bCs w:val="0"/>
        </w:rPr>
        <w:t xml:space="preserve">  </w:t>
      </w:r>
      <w:r>
        <w:rPr>
          <w:b w:val="0"/>
          <w:bCs w:val="0"/>
        </w:rPr>
        <w:tab/>
      </w:r>
      <w:r w:rsidR="00DE7A26">
        <w:rPr>
          <w:b w:val="0"/>
          <w:bCs w:val="0"/>
        </w:rPr>
        <w:t>2</w:t>
      </w:r>
      <w:r>
        <w:rPr>
          <w:b w:val="0"/>
          <w:bCs w:val="0"/>
        </w:rPr>
        <w:tab/>
      </w:r>
      <w:r w:rsidR="00DE7A26">
        <w:rPr>
          <w:b w:val="0"/>
          <w:bCs w:val="0"/>
        </w:rPr>
        <w:t>Information Updates</w:t>
      </w:r>
      <w:r>
        <w:rPr>
          <w:b w:val="0"/>
          <w:bCs w:val="0"/>
        </w:rPr>
        <w:tab/>
      </w:r>
      <w:r w:rsidRPr="002D70C9">
        <w:rPr>
          <w:b w:val="0"/>
          <w:bCs w:val="0"/>
          <w:u w:val="single"/>
        </w:rPr>
        <w:tab/>
      </w:r>
      <w:r w:rsidR="00DE7A26">
        <w:rPr>
          <w:b w:val="0"/>
          <w:bCs w:val="0"/>
          <w:u w:val="single"/>
        </w:rPr>
        <w:t>$1.5</w:t>
      </w:r>
      <w:r w:rsidRPr="002D70C9">
        <w:rPr>
          <w:b w:val="0"/>
          <w:bCs w:val="0"/>
          <w:u w:val="single"/>
        </w:rPr>
        <w:tab/>
      </w:r>
      <w:r>
        <w:rPr>
          <w:b w:val="0"/>
          <w:bCs w:val="0"/>
        </w:rPr>
        <w:tab/>
      </w:r>
      <w:r w:rsidRPr="002D70C9">
        <w:rPr>
          <w:b w:val="0"/>
          <w:bCs w:val="0"/>
          <w:u w:val="single"/>
        </w:rPr>
        <w:tab/>
      </w:r>
      <w:r w:rsidR="00DE7A26">
        <w:rPr>
          <w:b w:val="0"/>
          <w:bCs w:val="0"/>
          <w:u w:val="single"/>
        </w:rPr>
        <w:t>$</w:t>
      </w:r>
      <w:r w:rsidR="003C712D">
        <w:rPr>
          <w:b w:val="0"/>
          <w:bCs w:val="0"/>
          <w:u w:val="single"/>
        </w:rPr>
        <w:t>3.5</w:t>
      </w:r>
      <w:r w:rsidRPr="002D70C9">
        <w:rPr>
          <w:b w:val="0"/>
          <w:bCs w:val="0"/>
          <w:u w:val="single"/>
        </w:rPr>
        <w:tab/>
      </w:r>
    </w:p>
    <w:p w:rsidR="002A6159" w:rsidRPr="00A36B8B" w:rsidRDefault="002A6159" w:rsidP="006B1B3E">
      <w:pPr>
        <w:pStyle w:val="BodyText"/>
        <w:tabs>
          <w:tab w:val="center" w:pos="270"/>
          <w:tab w:val="left" w:pos="720"/>
          <w:tab w:val="left" w:pos="5580"/>
          <w:tab w:val="center" w:pos="6300"/>
          <w:tab w:val="right" w:pos="7020"/>
          <w:tab w:val="left" w:pos="7560"/>
          <w:tab w:val="center" w:pos="8280"/>
          <w:tab w:val="right" w:pos="9000"/>
        </w:tabs>
        <w:ind w:right="-58"/>
        <w:jc w:val="both"/>
        <w:rPr>
          <w:bCs w:val="0"/>
        </w:rPr>
      </w:pPr>
      <w:r>
        <w:rPr>
          <w:bCs w:val="0"/>
        </w:rPr>
        <w:tab/>
      </w:r>
      <w:r w:rsidR="00DE7A26">
        <w:rPr>
          <w:b w:val="0"/>
          <w:bCs w:val="0"/>
        </w:rPr>
        <w:t>3</w:t>
      </w:r>
      <w:r>
        <w:rPr>
          <w:bCs w:val="0"/>
        </w:rPr>
        <w:tab/>
      </w:r>
      <w:r w:rsidR="00DE7A26">
        <w:rPr>
          <w:bCs w:val="0"/>
        </w:rPr>
        <w:t>Avista Updated Revenue Requirement</w:t>
      </w:r>
      <w:r w:rsidRPr="00A36B8B">
        <w:rPr>
          <w:bCs w:val="0"/>
        </w:rPr>
        <w:tab/>
      </w:r>
      <w:r w:rsidRPr="00A36B8B">
        <w:rPr>
          <w:bCs w:val="0"/>
        </w:rPr>
        <w:tab/>
        <w:t>$</w:t>
      </w:r>
      <w:r w:rsidR="00DE7A26">
        <w:rPr>
          <w:bCs w:val="0"/>
        </w:rPr>
        <w:t>40.1</w:t>
      </w:r>
      <w:r w:rsidRPr="00A36B8B">
        <w:rPr>
          <w:bCs w:val="0"/>
        </w:rPr>
        <w:tab/>
      </w:r>
      <w:r w:rsidRPr="00A36B8B">
        <w:rPr>
          <w:bCs w:val="0"/>
        </w:rPr>
        <w:tab/>
      </w:r>
      <w:r w:rsidRPr="00A36B8B">
        <w:rPr>
          <w:bCs w:val="0"/>
        </w:rPr>
        <w:tab/>
        <w:t>$</w:t>
      </w:r>
      <w:r w:rsidR="003C712D">
        <w:rPr>
          <w:bCs w:val="0"/>
        </w:rPr>
        <w:t>7.9</w:t>
      </w:r>
    </w:p>
    <w:p w:rsidR="002A6159" w:rsidRDefault="002A6159" w:rsidP="006B1B3E">
      <w:pPr>
        <w:pStyle w:val="BodyText"/>
        <w:tabs>
          <w:tab w:val="center" w:pos="270"/>
          <w:tab w:val="left" w:pos="720"/>
          <w:tab w:val="left" w:pos="5580"/>
          <w:tab w:val="center" w:pos="6300"/>
          <w:tab w:val="right" w:pos="7020"/>
          <w:tab w:val="left" w:pos="7560"/>
          <w:tab w:val="center" w:pos="8280"/>
          <w:tab w:val="right" w:pos="9000"/>
        </w:tabs>
        <w:spacing w:line="480" w:lineRule="auto"/>
        <w:ind w:right="-58"/>
        <w:jc w:val="both"/>
        <w:rPr>
          <w:b w:val="0"/>
          <w:bCs w:val="0"/>
        </w:rPr>
      </w:pPr>
    </w:p>
    <w:p w:rsidR="00D22710" w:rsidRDefault="002A6159" w:rsidP="006B1B3E">
      <w:pPr>
        <w:pStyle w:val="BodyText"/>
        <w:tabs>
          <w:tab w:val="left" w:pos="720"/>
          <w:tab w:val="left" w:pos="5580"/>
          <w:tab w:val="center" w:pos="7290"/>
          <w:tab w:val="right" w:pos="9000"/>
        </w:tabs>
        <w:spacing w:line="480" w:lineRule="auto"/>
        <w:ind w:right="-58"/>
        <w:jc w:val="both"/>
        <w:rPr>
          <w:b w:val="0"/>
          <w:bCs w:val="0"/>
        </w:rPr>
      </w:pPr>
      <w:r>
        <w:rPr>
          <w:bCs w:val="0"/>
        </w:rPr>
        <w:tab/>
      </w:r>
      <w:r w:rsidR="00D22710">
        <w:rPr>
          <w:b w:val="0"/>
          <w:bCs w:val="0"/>
        </w:rPr>
        <w:t>Ms. Andrews provides additional details related to th</w:t>
      </w:r>
      <w:r w:rsidR="006B1B3E">
        <w:rPr>
          <w:b w:val="0"/>
          <w:bCs w:val="0"/>
        </w:rPr>
        <w:t>e</w:t>
      </w:r>
      <w:r w:rsidR="00D22710">
        <w:rPr>
          <w:b w:val="0"/>
          <w:bCs w:val="0"/>
        </w:rPr>
        <w:t xml:space="preserve"> </w:t>
      </w:r>
      <w:r w:rsidR="006B1B3E">
        <w:rPr>
          <w:b w:val="0"/>
          <w:bCs w:val="0"/>
        </w:rPr>
        <w:t>information updates in her rebuttal testimony</w:t>
      </w:r>
      <w:r w:rsidR="00D22710">
        <w:rPr>
          <w:b w:val="0"/>
          <w:bCs w:val="0"/>
        </w:rPr>
        <w:t>.</w:t>
      </w:r>
    </w:p>
    <w:p w:rsidR="00D22710" w:rsidRPr="00971E3B" w:rsidRDefault="00D22710" w:rsidP="006B1B3E">
      <w:pPr>
        <w:pStyle w:val="BodyText"/>
        <w:tabs>
          <w:tab w:val="left" w:pos="720"/>
        </w:tabs>
        <w:spacing w:line="480" w:lineRule="auto"/>
        <w:ind w:right="-54" w:firstLine="720"/>
        <w:jc w:val="both"/>
        <w:rPr>
          <w:bCs w:val="0"/>
        </w:rPr>
      </w:pPr>
      <w:r w:rsidRPr="00971E3B">
        <w:rPr>
          <w:bCs w:val="0"/>
        </w:rPr>
        <w:t>Q.</w:t>
      </w:r>
      <w:r w:rsidRPr="00971E3B">
        <w:rPr>
          <w:bCs w:val="0"/>
        </w:rPr>
        <w:tab/>
        <w:t>How do these changes subsequent to Avista’s original filing compare with what occurred in the Company’s last general rate case?</w:t>
      </w:r>
    </w:p>
    <w:p w:rsidR="002D627E" w:rsidRPr="005C6082" w:rsidRDefault="00D22710" w:rsidP="005C6082">
      <w:pPr>
        <w:pStyle w:val="BodyText"/>
        <w:tabs>
          <w:tab w:val="left" w:pos="720"/>
        </w:tabs>
        <w:spacing w:line="480" w:lineRule="auto"/>
        <w:ind w:right="-54" w:firstLine="720"/>
        <w:jc w:val="both"/>
        <w:rPr>
          <w:b w:val="0"/>
          <w:bCs w:val="0"/>
          <w:vertAlign w:val="superscript"/>
        </w:rPr>
      </w:pPr>
      <w:r>
        <w:rPr>
          <w:b w:val="0"/>
          <w:bCs w:val="0"/>
        </w:rPr>
        <w:t>A.</w:t>
      </w:r>
      <w:r>
        <w:rPr>
          <w:b w:val="0"/>
          <w:bCs w:val="0"/>
        </w:rPr>
        <w:tab/>
        <w:t xml:space="preserve">In Avista’s last general rate case the Company’s need for a revenue increase, particularly for its electric operations, decreased significantly following its original filing.  The table below shows Avista’s original electric revenue increase request in its 2015 general rate case of $33.2 million, and the Company’s revised revenue adjustment proposal at the time of its rebuttal filing, based on updated information.  The updated information resulted in a </w:t>
      </w:r>
      <w:r w:rsidRPr="00AC2B0F">
        <w:rPr>
          <w:b w:val="0"/>
          <w:bCs w:val="0"/>
        </w:rPr>
        <w:t xml:space="preserve">proposed </w:t>
      </w:r>
      <w:r w:rsidRPr="00AC2B0F">
        <w:rPr>
          <w:b w:val="0"/>
          <w:bCs w:val="0"/>
          <w:u w:val="single"/>
        </w:rPr>
        <w:t>revenue reduction</w:t>
      </w:r>
      <w:r w:rsidR="00AC2B0F">
        <w:rPr>
          <w:b w:val="0"/>
          <w:bCs w:val="0"/>
        </w:rPr>
        <w:t xml:space="preserve"> of $6.4</w:t>
      </w:r>
      <w:r w:rsidRPr="00AC2B0F">
        <w:rPr>
          <w:b w:val="0"/>
          <w:bCs w:val="0"/>
        </w:rPr>
        <w:t xml:space="preserve"> million.</w:t>
      </w:r>
      <w:r w:rsidR="00DC27DB" w:rsidRPr="00AC2B0F">
        <w:rPr>
          <w:rStyle w:val="FootnoteReference"/>
          <w:b w:val="0"/>
          <w:bCs w:val="0"/>
        </w:rPr>
        <w:footnoteReference w:id="30"/>
      </w:r>
      <w:r w:rsidR="002D627E">
        <w:rPr>
          <w:u w:val="single"/>
        </w:rPr>
        <w:br w:type="page"/>
      </w:r>
    </w:p>
    <w:p w:rsidR="00EA24E1" w:rsidRPr="00976DE3" w:rsidRDefault="00251CF3" w:rsidP="00346BDD">
      <w:pPr>
        <w:pStyle w:val="BodyText"/>
        <w:tabs>
          <w:tab w:val="left" w:pos="720"/>
          <w:tab w:val="left" w:pos="5580"/>
          <w:tab w:val="center" w:pos="7290"/>
          <w:tab w:val="right" w:pos="9000"/>
        </w:tabs>
        <w:spacing w:line="480" w:lineRule="auto"/>
        <w:ind w:right="-58"/>
        <w:jc w:val="both"/>
        <w:rPr>
          <w:bCs w:val="0"/>
          <w:u w:val="single"/>
        </w:rPr>
      </w:pPr>
      <w:r w:rsidRPr="00251CF3">
        <w:rPr>
          <w:noProof/>
          <w:lang w:eastAsia="en-US"/>
        </w:rPr>
        <w:lastRenderedPageBreak/>
        <w:drawing>
          <wp:anchor distT="0" distB="0" distL="114300" distR="114300" simplePos="0" relativeHeight="251672576" behindDoc="1" locked="0" layoutInCell="1" allowOverlap="1" wp14:anchorId="1FE29590" wp14:editId="529084D0">
            <wp:simplePos x="0" y="0"/>
            <wp:positionH relativeFrom="page">
              <wp:align>center</wp:align>
            </wp:positionH>
            <wp:positionV relativeFrom="paragraph">
              <wp:posOffset>264543</wp:posOffset>
            </wp:positionV>
            <wp:extent cx="5132705" cy="38906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2705" cy="389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4E1" w:rsidRPr="00976DE3">
        <w:rPr>
          <w:bCs w:val="0"/>
          <w:u w:val="single"/>
        </w:rPr>
        <w:t xml:space="preserve">Table No. </w:t>
      </w:r>
      <w:r w:rsidR="00EA24E1">
        <w:rPr>
          <w:bCs w:val="0"/>
          <w:u w:val="single"/>
        </w:rPr>
        <w:t xml:space="preserve">6 </w:t>
      </w:r>
      <w:r w:rsidR="00EA24E1" w:rsidRPr="00976DE3">
        <w:rPr>
          <w:bCs w:val="0"/>
          <w:u w:val="single"/>
        </w:rPr>
        <w:t xml:space="preserve">– </w:t>
      </w:r>
      <w:r w:rsidR="00DC27DB">
        <w:rPr>
          <w:bCs w:val="0"/>
          <w:u w:val="single"/>
        </w:rPr>
        <w:t xml:space="preserve">2015 </w:t>
      </w:r>
      <w:r w:rsidR="00EA24E1" w:rsidRPr="00976DE3">
        <w:rPr>
          <w:bCs w:val="0"/>
          <w:u w:val="single"/>
        </w:rPr>
        <w:t xml:space="preserve">Electric Revenue </w:t>
      </w:r>
      <w:r w:rsidR="00EA24E1">
        <w:rPr>
          <w:bCs w:val="0"/>
          <w:u w:val="single"/>
        </w:rPr>
        <w:t xml:space="preserve">Requirement </w:t>
      </w:r>
      <w:r w:rsidR="00EA24E1" w:rsidRPr="00976DE3">
        <w:rPr>
          <w:bCs w:val="0"/>
          <w:u w:val="single"/>
        </w:rPr>
        <w:t>Reconciliation</w:t>
      </w:r>
      <w:r w:rsidR="00DC27DB">
        <w:rPr>
          <w:rStyle w:val="FootnoteReference"/>
          <w:bCs w:val="0"/>
          <w:u w:val="single"/>
        </w:rPr>
        <w:footnoteReference w:id="31"/>
      </w: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346BDD" w:rsidRDefault="00346BDD" w:rsidP="00346BDD">
      <w:pPr>
        <w:pStyle w:val="BodyText"/>
        <w:tabs>
          <w:tab w:val="center" w:pos="270"/>
          <w:tab w:val="left" w:pos="720"/>
          <w:tab w:val="left" w:pos="5580"/>
          <w:tab w:val="center" w:pos="6300"/>
          <w:tab w:val="right" w:pos="7020"/>
          <w:tab w:val="left" w:pos="7560"/>
          <w:tab w:val="center" w:pos="8280"/>
          <w:tab w:val="right" w:pos="9180"/>
        </w:tabs>
        <w:spacing w:line="480" w:lineRule="auto"/>
        <w:ind w:right="-58"/>
        <w:jc w:val="both"/>
        <w:rPr>
          <w:bCs w:val="0"/>
        </w:rPr>
      </w:pPr>
    </w:p>
    <w:p w:rsidR="00D22710" w:rsidRDefault="00FE6B78" w:rsidP="00FE6B78">
      <w:pPr>
        <w:pStyle w:val="BodyText"/>
        <w:tabs>
          <w:tab w:val="left" w:pos="720"/>
        </w:tabs>
        <w:spacing w:line="480" w:lineRule="auto"/>
        <w:ind w:right="-54"/>
        <w:jc w:val="both"/>
        <w:rPr>
          <w:b w:val="0"/>
          <w:bCs w:val="0"/>
        </w:rPr>
      </w:pPr>
      <w:r>
        <w:rPr>
          <w:b w:val="0"/>
          <w:bCs w:val="0"/>
        </w:rPr>
        <w:tab/>
      </w:r>
      <w:r w:rsidR="00D22710">
        <w:rPr>
          <w:b w:val="0"/>
          <w:bCs w:val="0"/>
        </w:rPr>
        <w:t>Much of the reduction to the Company’s original revenue increase request was caused by a reduction in power supply expense, due largely to the continuing decline in natural gas prices for thermal generation.</w:t>
      </w:r>
      <w:r w:rsidR="00D22710">
        <w:rPr>
          <w:rStyle w:val="FootnoteReference"/>
          <w:b w:val="0"/>
          <w:bCs w:val="0"/>
        </w:rPr>
        <w:footnoteReference w:id="32"/>
      </w:r>
      <w:r w:rsidR="00D22710">
        <w:rPr>
          <w:b w:val="0"/>
          <w:bCs w:val="0"/>
        </w:rPr>
        <w:t xml:space="preserve">  </w:t>
      </w:r>
    </w:p>
    <w:p w:rsidR="00FE6B78" w:rsidRDefault="00FE6B78" w:rsidP="00FE6B78">
      <w:pPr>
        <w:pStyle w:val="BodyText"/>
        <w:tabs>
          <w:tab w:val="left" w:pos="720"/>
        </w:tabs>
        <w:spacing w:line="480" w:lineRule="auto"/>
        <w:ind w:right="-54" w:firstLine="720"/>
        <w:jc w:val="both"/>
        <w:rPr>
          <w:b w:val="0"/>
          <w:bCs w:val="0"/>
        </w:rPr>
      </w:pPr>
      <w:r>
        <w:rPr>
          <w:b w:val="0"/>
          <w:bCs w:val="0"/>
        </w:rPr>
        <w:t xml:space="preserve">The Commission ultimately ordered an electric revenue </w:t>
      </w:r>
      <w:r w:rsidRPr="00435D15">
        <w:rPr>
          <w:b w:val="0"/>
          <w:bCs w:val="0"/>
          <w:u w:val="single"/>
        </w:rPr>
        <w:t>reduction</w:t>
      </w:r>
      <w:r>
        <w:rPr>
          <w:b w:val="0"/>
          <w:bCs w:val="0"/>
        </w:rPr>
        <w:t xml:space="preserve"> of $8.1 million.  And as explained earlier in my testimony, the after-the-fact earnings results for 2016 show that this revenue adjustment approved by the Commission was very close to where it needed to be for the Company to earn its allowed return. </w:t>
      </w:r>
    </w:p>
    <w:p w:rsidR="00D22710" w:rsidRDefault="00D22710" w:rsidP="00D74ED7">
      <w:pPr>
        <w:pStyle w:val="BodyText"/>
        <w:tabs>
          <w:tab w:val="left" w:pos="720"/>
        </w:tabs>
        <w:spacing w:line="480" w:lineRule="auto"/>
        <w:ind w:right="-54" w:firstLine="720"/>
        <w:jc w:val="both"/>
        <w:rPr>
          <w:b w:val="0"/>
          <w:bCs w:val="0"/>
        </w:rPr>
      </w:pPr>
      <w:r>
        <w:rPr>
          <w:b w:val="0"/>
          <w:bCs w:val="0"/>
        </w:rPr>
        <w:t>Following Avista’s original filing</w:t>
      </w:r>
      <w:r w:rsidR="00DB0F98">
        <w:rPr>
          <w:b w:val="0"/>
          <w:bCs w:val="0"/>
        </w:rPr>
        <w:t xml:space="preserve"> in this case</w:t>
      </w:r>
      <w:r>
        <w:rPr>
          <w:b w:val="0"/>
          <w:bCs w:val="0"/>
        </w:rPr>
        <w:t xml:space="preserve"> in February 2016</w:t>
      </w:r>
      <w:r w:rsidR="00D07D2A">
        <w:rPr>
          <w:b w:val="0"/>
          <w:bCs w:val="0"/>
        </w:rPr>
        <w:t>,</w:t>
      </w:r>
      <w:r>
        <w:rPr>
          <w:b w:val="0"/>
          <w:bCs w:val="0"/>
        </w:rPr>
        <w:t xml:space="preserve"> costs have gone up, and not down; in contrast to what </w:t>
      </w:r>
      <w:r w:rsidR="002B0FAA">
        <w:rPr>
          <w:b w:val="0"/>
          <w:bCs w:val="0"/>
        </w:rPr>
        <w:t>occurred</w:t>
      </w:r>
      <w:r>
        <w:rPr>
          <w:b w:val="0"/>
          <w:bCs w:val="0"/>
        </w:rPr>
        <w:t xml:space="preserve"> last year.  The Company’s need for an electric </w:t>
      </w:r>
      <w:r w:rsidR="00794B3C">
        <w:rPr>
          <w:noProof/>
          <w:lang w:eastAsia="en-US"/>
        </w:rPr>
        <w:lastRenderedPageBreak/>
        <mc:AlternateContent>
          <mc:Choice Requires="wps">
            <w:drawing>
              <wp:anchor distT="0" distB="0" distL="114300" distR="114300" simplePos="0" relativeHeight="251678720" behindDoc="0" locked="0" layoutInCell="1" allowOverlap="1" wp14:anchorId="74734013" wp14:editId="046DFC56">
                <wp:simplePos x="0" y="0"/>
                <wp:positionH relativeFrom="page">
                  <wp:align>center</wp:align>
                </wp:positionH>
                <wp:positionV relativeFrom="paragraph">
                  <wp:posOffset>-531628</wp:posOffset>
                </wp:positionV>
                <wp:extent cx="1903227" cy="287079"/>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3227"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B3C" w:rsidRDefault="00794B3C" w:rsidP="00794B3C">
                            <w:r>
                              <w:t>Revised - October 11,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34013" id="Text Box 6" o:spid="_x0000_s1028" type="#_x0000_t202" style="position:absolute;left:0;text-align:left;margin-left:0;margin-top:-41.85pt;width:149.85pt;height:22.6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" filled="f" stroked="f" strokeweight=".5pt">
                <v:textbox>
                  <w:txbxContent>
                    <w:p w:rsidR="00794B3C" w:rsidRDefault="00794B3C" w:rsidP="00794B3C">
                      <w:r>
                        <w:t>Revised - October 11, 2016</w:t>
                      </w:r>
                    </w:p>
                  </w:txbxContent>
                </v:textbox>
                <w10:wrap anchorx="page"/>
              </v:shape>
            </w:pict>
          </mc:Fallback>
        </mc:AlternateContent>
      </w:r>
      <w:r>
        <w:rPr>
          <w:b w:val="0"/>
          <w:bCs w:val="0"/>
        </w:rPr>
        <w:t xml:space="preserve">revenue adjustment </w:t>
      </w:r>
      <w:r w:rsidR="003E7C56">
        <w:rPr>
          <w:b w:val="0"/>
          <w:bCs w:val="0"/>
        </w:rPr>
        <w:t>for 2017</w:t>
      </w:r>
      <w:r>
        <w:rPr>
          <w:b w:val="0"/>
          <w:bCs w:val="0"/>
        </w:rPr>
        <w:t xml:space="preserve"> has increased from its original filing of $</w:t>
      </w:r>
      <w:r w:rsidR="00226EDB">
        <w:rPr>
          <w:b w:val="0"/>
          <w:bCs w:val="0"/>
        </w:rPr>
        <w:t>38.6</w:t>
      </w:r>
      <w:r>
        <w:rPr>
          <w:b w:val="0"/>
          <w:bCs w:val="0"/>
        </w:rPr>
        <w:t xml:space="preserve"> million to $</w:t>
      </w:r>
      <w:r w:rsidR="00564AFD">
        <w:rPr>
          <w:b w:val="0"/>
          <w:bCs w:val="0"/>
        </w:rPr>
        <w:t xml:space="preserve">40.1 </w:t>
      </w:r>
      <w:r>
        <w:rPr>
          <w:b w:val="0"/>
          <w:bCs w:val="0"/>
        </w:rPr>
        <w:t>million, and the Company’s need for a natural gas revenue adjustment has increased from $</w:t>
      </w:r>
      <w:r w:rsidR="00226EDB">
        <w:rPr>
          <w:b w:val="0"/>
          <w:bCs w:val="0"/>
        </w:rPr>
        <w:t>4.</w:t>
      </w:r>
      <w:r w:rsidR="003E7C56">
        <w:rPr>
          <w:b w:val="0"/>
          <w:bCs w:val="0"/>
        </w:rPr>
        <w:t>4</w:t>
      </w:r>
      <w:r w:rsidR="00226EDB">
        <w:rPr>
          <w:b w:val="0"/>
          <w:bCs w:val="0"/>
        </w:rPr>
        <w:t xml:space="preserve"> </w:t>
      </w:r>
      <w:r>
        <w:rPr>
          <w:b w:val="0"/>
          <w:bCs w:val="0"/>
        </w:rPr>
        <w:t>million to $</w:t>
      </w:r>
      <w:r w:rsidR="00564AFD">
        <w:rPr>
          <w:b w:val="0"/>
          <w:bCs w:val="0"/>
        </w:rPr>
        <w:t>7.9</w:t>
      </w:r>
      <w:r>
        <w:rPr>
          <w:b w:val="0"/>
          <w:bCs w:val="0"/>
        </w:rPr>
        <w:t xml:space="preserve"> million, as shown in </w:t>
      </w:r>
      <w:r w:rsidR="00750FA5">
        <w:rPr>
          <w:b w:val="0"/>
          <w:bCs w:val="0"/>
        </w:rPr>
        <w:t>Table No. 5 earlier</w:t>
      </w:r>
      <w:r>
        <w:rPr>
          <w:b w:val="0"/>
          <w:bCs w:val="0"/>
        </w:rPr>
        <w:t xml:space="preserve">.  </w:t>
      </w:r>
      <w:r w:rsidR="007A5BB4">
        <w:rPr>
          <w:b w:val="0"/>
          <w:bCs w:val="0"/>
        </w:rPr>
        <w:t>The Company’s need for an electric revenue adjustment for the January – June 2018 time period has increased from its original filing of $</w:t>
      </w:r>
      <w:r w:rsidR="00BE6EDF">
        <w:rPr>
          <w:b w:val="0"/>
          <w:bCs w:val="0"/>
        </w:rPr>
        <w:t>10.3</w:t>
      </w:r>
      <w:r w:rsidR="007A5BB4">
        <w:rPr>
          <w:b w:val="0"/>
          <w:bCs w:val="0"/>
        </w:rPr>
        <w:t xml:space="preserve"> million to $</w:t>
      </w:r>
      <w:r w:rsidR="009C1724">
        <w:rPr>
          <w:b w:val="0"/>
          <w:bCs w:val="0"/>
        </w:rPr>
        <w:t>10.5</w:t>
      </w:r>
      <w:r w:rsidR="007A5BB4">
        <w:rPr>
          <w:b w:val="0"/>
          <w:bCs w:val="0"/>
        </w:rPr>
        <w:t xml:space="preserve"> million, and the Company’s need for a natural gas revenue adjustment has increased from $</w:t>
      </w:r>
      <w:r w:rsidR="009C1724">
        <w:rPr>
          <w:b w:val="0"/>
          <w:bCs w:val="0"/>
        </w:rPr>
        <w:t>0.9</w:t>
      </w:r>
      <w:r w:rsidR="007A5BB4">
        <w:rPr>
          <w:b w:val="0"/>
          <w:bCs w:val="0"/>
        </w:rPr>
        <w:t xml:space="preserve"> million to $</w:t>
      </w:r>
      <w:r w:rsidR="009C1724">
        <w:rPr>
          <w:b w:val="0"/>
          <w:bCs w:val="0"/>
        </w:rPr>
        <w:t>1.5</w:t>
      </w:r>
      <w:r w:rsidR="007A5BB4">
        <w:rPr>
          <w:b w:val="0"/>
          <w:bCs w:val="0"/>
        </w:rPr>
        <w:t xml:space="preserve"> million.  </w:t>
      </w:r>
    </w:p>
    <w:p w:rsidR="002D627E" w:rsidRDefault="00D22710" w:rsidP="00D70DA1">
      <w:pPr>
        <w:pStyle w:val="BodyText"/>
        <w:tabs>
          <w:tab w:val="left" w:pos="720"/>
        </w:tabs>
        <w:spacing w:line="480" w:lineRule="auto"/>
        <w:ind w:right="-54" w:firstLine="720"/>
        <w:jc w:val="both"/>
        <w:rPr>
          <w:b w:val="0"/>
          <w:bCs w:val="0"/>
        </w:rPr>
      </w:pPr>
      <w:r>
        <w:rPr>
          <w:b w:val="0"/>
          <w:bCs w:val="0"/>
        </w:rPr>
        <w:t xml:space="preserve">Although </w:t>
      </w:r>
      <w:r w:rsidR="00C84FE8">
        <w:rPr>
          <w:b w:val="0"/>
          <w:bCs w:val="0"/>
        </w:rPr>
        <w:t>Avista’s need for electric and natural gas revenue increases exceed those originally filed, the Company</w:t>
      </w:r>
      <w:r>
        <w:rPr>
          <w:b w:val="0"/>
          <w:bCs w:val="0"/>
        </w:rPr>
        <w:t xml:space="preserve"> is not requesting higher revenue increases than its original filing.</w:t>
      </w:r>
    </w:p>
    <w:p w:rsidR="00D70DA1" w:rsidRPr="00D70DA1" w:rsidRDefault="00D70DA1" w:rsidP="00D70DA1">
      <w:pPr>
        <w:pStyle w:val="BodyText"/>
        <w:tabs>
          <w:tab w:val="left" w:pos="720"/>
        </w:tabs>
        <w:spacing w:line="480" w:lineRule="auto"/>
        <w:ind w:right="-54" w:firstLine="720"/>
        <w:jc w:val="both"/>
        <w:rPr>
          <w:rStyle w:val="PageNumber"/>
          <w:u w:val="single"/>
        </w:rPr>
      </w:pPr>
    </w:p>
    <w:p w:rsidR="00D22710" w:rsidRPr="00C15078" w:rsidRDefault="00D22710" w:rsidP="00D22710">
      <w:pPr>
        <w:pStyle w:val="BodyText"/>
        <w:tabs>
          <w:tab w:val="left" w:pos="720"/>
        </w:tabs>
        <w:spacing w:line="240" w:lineRule="auto"/>
        <w:ind w:right="-58"/>
        <w:rPr>
          <w:b w:val="0"/>
          <w:bCs w:val="0"/>
        </w:rPr>
      </w:pPr>
      <w:r>
        <w:rPr>
          <w:rStyle w:val="PageNumber"/>
          <w:u w:val="single"/>
        </w:rPr>
        <w:t>IX. DEFERRED ACCOUNTING TREATMENT MAY BE APPROPRIATE FOR TWO UNIQUE ISSUES</w:t>
      </w:r>
    </w:p>
    <w:p w:rsidR="00D22710" w:rsidRPr="00566797" w:rsidRDefault="00D22710" w:rsidP="00D22710"/>
    <w:p w:rsidR="00D22710" w:rsidRPr="00EC544D" w:rsidRDefault="00D22710" w:rsidP="00D22710">
      <w:pPr>
        <w:pStyle w:val="BodyText"/>
        <w:tabs>
          <w:tab w:val="left" w:pos="720"/>
        </w:tabs>
        <w:spacing w:line="480" w:lineRule="auto"/>
        <w:ind w:right="-54"/>
        <w:jc w:val="both"/>
        <w:rPr>
          <w:bCs w:val="0"/>
        </w:rPr>
      </w:pPr>
      <w:r w:rsidRPr="00EC544D">
        <w:rPr>
          <w:bCs w:val="0"/>
        </w:rPr>
        <w:tab/>
      </w:r>
      <w:r>
        <w:rPr>
          <w:bCs w:val="0"/>
        </w:rPr>
        <w:t>Q.</w:t>
      </w:r>
      <w:r>
        <w:rPr>
          <w:bCs w:val="0"/>
        </w:rPr>
        <w:tab/>
        <w:t xml:space="preserve">Following review of the testimony of Staff and other parties, what are the </w:t>
      </w:r>
      <w:r w:rsidRPr="006917D7">
        <w:rPr>
          <w:bCs w:val="0"/>
          <w:strike/>
        </w:rPr>
        <w:t xml:space="preserve">two </w:t>
      </w:r>
      <w:r>
        <w:rPr>
          <w:bCs w:val="0"/>
        </w:rPr>
        <w:t>specific issues in which deferred accounting may be a good solution to address the needs of all parties, including the Company?</w:t>
      </w:r>
    </w:p>
    <w:p w:rsidR="002B0FAA" w:rsidRPr="001718FB" w:rsidRDefault="00D22710" w:rsidP="001718FB">
      <w:pPr>
        <w:pStyle w:val="BodyText"/>
        <w:tabs>
          <w:tab w:val="left" w:pos="720"/>
        </w:tabs>
        <w:spacing w:line="480" w:lineRule="auto"/>
        <w:ind w:right="-54"/>
        <w:jc w:val="both"/>
        <w:rPr>
          <w:b w:val="0"/>
          <w:bCs w:val="0"/>
        </w:rPr>
      </w:pPr>
      <w:r>
        <w:rPr>
          <w:b w:val="0"/>
          <w:bCs w:val="0"/>
        </w:rPr>
        <w:tab/>
        <w:t>A.</w:t>
      </w:r>
      <w:r>
        <w:rPr>
          <w:b w:val="0"/>
          <w:bCs w:val="0"/>
        </w:rPr>
        <w:tab/>
        <w:t>Staff and other parties express</w:t>
      </w:r>
      <w:r w:rsidR="00CA5853">
        <w:rPr>
          <w:b w:val="0"/>
          <w:bCs w:val="0"/>
        </w:rPr>
        <w:t>ed</w:t>
      </w:r>
      <w:r>
        <w:rPr>
          <w:b w:val="0"/>
          <w:bCs w:val="0"/>
        </w:rPr>
        <w:t xml:space="preserve"> concerns in their testimony related to reflecting in retail rates </w:t>
      </w:r>
      <w:r w:rsidR="009D64F0">
        <w:rPr>
          <w:b w:val="0"/>
          <w:bCs w:val="0"/>
        </w:rPr>
        <w:t>in this case</w:t>
      </w:r>
      <w:r>
        <w:rPr>
          <w:b w:val="0"/>
          <w:bCs w:val="0"/>
        </w:rPr>
        <w:t xml:space="preserve"> the costs associated with </w:t>
      </w:r>
      <w:r w:rsidRPr="006917D7">
        <w:rPr>
          <w:b w:val="0"/>
          <w:bCs w:val="0"/>
          <w:strike/>
        </w:rPr>
        <w:t>Advanced Metering Infrastructure</w:t>
      </w:r>
      <w:r w:rsidR="009D64F0" w:rsidRPr="006917D7">
        <w:rPr>
          <w:b w:val="0"/>
          <w:bCs w:val="0"/>
          <w:strike/>
        </w:rPr>
        <w:t>,</w:t>
      </w:r>
      <w:r w:rsidRPr="006917D7">
        <w:rPr>
          <w:b w:val="0"/>
          <w:bCs w:val="0"/>
          <w:strike/>
        </w:rPr>
        <w:t xml:space="preserve"> and</w:t>
      </w:r>
      <w:r>
        <w:rPr>
          <w:b w:val="0"/>
          <w:bCs w:val="0"/>
        </w:rPr>
        <w:t xml:space="preserve"> the costs associated with the long-term lease arrangement for the Montana Riverbed.  I will briefly explain each of these issues below, and why deferred accounting treatment would be a good solution to address the concerns of all parties, in the event the Commission does not approve the ratemaking treatment originally proposed by the Company in this case.</w:t>
      </w:r>
      <w:r w:rsidR="001718FB">
        <w:rPr>
          <w:b w:val="0"/>
          <w:bCs w:val="0"/>
        </w:rPr>
        <w:br w:type="page"/>
      </w:r>
    </w:p>
    <w:p w:rsidR="00D22710" w:rsidRPr="00DB6F89" w:rsidRDefault="00D22710" w:rsidP="00D22710">
      <w:pPr>
        <w:pStyle w:val="BodyText"/>
        <w:tabs>
          <w:tab w:val="left" w:pos="720"/>
        </w:tabs>
        <w:spacing w:line="480" w:lineRule="auto"/>
        <w:ind w:right="-54"/>
        <w:jc w:val="both"/>
        <w:rPr>
          <w:bCs w:val="0"/>
          <w:u w:val="single"/>
        </w:rPr>
      </w:pPr>
      <w:r w:rsidRPr="00DB6F89">
        <w:rPr>
          <w:bCs w:val="0"/>
          <w:u w:val="single"/>
        </w:rPr>
        <w:lastRenderedPageBreak/>
        <w:t>Advanced Metering Infrastructure (AMI)</w:t>
      </w:r>
    </w:p>
    <w:p w:rsidR="00D22710" w:rsidRPr="00236B68" w:rsidRDefault="00D22710" w:rsidP="00D22710">
      <w:pPr>
        <w:pStyle w:val="BodyText"/>
        <w:tabs>
          <w:tab w:val="left" w:pos="720"/>
        </w:tabs>
        <w:spacing w:line="480" w:lineRule="auto"/>
        <w:ind w:right="-54"/>
        <w:jc w:val="both"/>
        <w:rPr>
          <w:bCs w:val="0"/>
        </w:rPr>
      </w:pPr>
      <w:r w:rsidRPr="00236B68">
        <w:rPr>
          <w:bCs w:val="0"/>
        </w:rPr>
        <w:tab/>
        <w:t>Q.</w:t>
      </w:r>
      <w:r w:rsidRPr="00236B68">
        <w:rPr>
          <w:bCs w:val="0"/>
        </w:rPr>
        <w:tab/>
        <w:t>What did Avista propose in this case regarding AMI, and what was the response of the other parties?</w:t>
      </w:r>
    </w:p>
    <w:p w:rsidR="00D22710" w:rsidRDefault="00D22710" w:rsidP="00D22710">
      <w:pPr>
        <w:pStyle w:val="BodyText"/>
        <w:tabs>
          <w:tab w:val="left" w:pos="720"/>
        </w:tabs>
        <w:spacing w:line="480" w:lineRule="auto"/>
        <w:ind w:right="-54" w:firstLine="720"/>
        <w:jc w:val="both"/>
        <w:rPr>
          <w:b w:val="0"/>
          <w:bCs w:val="0"/>
        </w:rPr>
      </w:pPr>
      <w:r>
        <w:rPr>
          <w:b w:val="0"/>
          <w:bCs w:val="0"/>
        </w:rPr>
        <w:t>A.</w:t>
      </w:r>
      <w:r>
        <w:rPr>
          <w:b w:val="0"/>
          <w:bCs w:val="0"/>
        </w:rPr>
        <w:tab/>
        <w:t>Avista is moving forward with the implementation of AMI.  In her testimony, Ms. Rosentrater explains in detail the Company’s efforts already in progress to implement AMI.  Avista i</w:t>
      </w:r>
      <w:r w:rsidR="009D64F0">
        <w:rPr>
          <w:b w:val="0"/>
          <w:bCs w:val="0"/>
        </w:rPr>
        <w:t>s</w:t>
      </w:r>
      <w:r>
        <w:rPr>
          <w:b w:val="0"/>
          <w:bCs w:val="0"/>
        </w:rPr>
        <w:t xml:space="preserve"> currently incurring operating costs and capital investment associated with AMI, and significant investment dollars are scheduled to be transferred to plant in service in 2017.</w:t>
      </w:r>
      <w:r>
        <w:rPr>
          <w:rStyle w:val="FootnoteReference"/>
          <w:b w:val="0"/>
          <w:bCs w:val="0"/>
        </w:rPr>
        <w:footnoteReference w:id="33"/>
      </w:r>
      <w:r>
        <w:rPr>
          <w:b w:val="0"/>
          <w:bCs w:val="0"/>
        </w:rPr>
        <w:t xml:space="preserve">  This rate case is designed to establish new retail rates</w:t>
      </w:r>
      <w:r w:rsidR="005A4561">
        <w:rPr>
          <w:b w:val="0"/>
          <w:bCs w:val="0"/>
        </w:rPr>
        <w:t>, in two steps,</w:t>
      </w:r>
      <w:r>
        <w:rPr>
          <w:b w:val="0"/>
          <w:bCs w:val="0"/>
        </w:rPr>
        <w:t xml:space="preserve"> for the 18-month period January 2017 through June 2018.  If the costs incurred by the Company for AMI during this period are not reflected in the revenue adjustments for the </w:t>
      </w:r>
      <w:r w:rsidR="009D64F0">
        <w:rPr>
          <w:b w:val="0"/>
          <w:bCs w:val="0"/>
        </w:rPr>
        <w:t xml:space="preserve">rate </w:t>
      </w:r>
      <w:r>
        <w:rPr>
          <w:b w:val="0"/>
          <w:bCs w:val="0"/>
        </w:rPr>
        <w:t>period, these costs would be absorbed by Avista, and it would not have the opportunity to earn its allowed return.</w:t>
      </w:r>
    </w:p>
    <w:p w:rsidR="00D22710" w:rsidRDefault="00D22710" w:rsidP="00D22710">
      <w:pPr>
        <w:pStyle w:val="BodyText"/>
        <w:tabs>
          <w:tab w:val="left" w:pos="720"/>
        </w:tabs>
        <w:spacing w:line="480" w:lineRule="auto"/>
        <w:ind w:right="-54" w:firstLine="720"/>
        <w:jc w:val="both"/>
        <w:rPr>
          <w:b w:val="0"/>
          <w:bCs w:val="0"/>
        </w:rPr>
      </w:pPr>
      <w:r>
        <w:rPr>
          <w:b w:val="0"/>
          <w:bCs w:val="0"/>
        </w:rPr>
        <w:t>With regard to Staff, Mr. Nightingale’s response to Avista’s AMI proposal was as follows:</w:t>
      </w:r>
    </w:p>
    <w:p w:rsidR="00D22710" w:rsidRDefault="00D22710" w:rsidP="00D22710">
      <w:pPr>
        <w:pStyle w:val="BodyText"/>
        <w:tabs>
          <w:tab w:val="left" w:pos="720"/>
          <w:tab w:val="left" w:pos="1170"/>
        </w:tabs>
        <w:spacing w:line="240" w:lineRule="auto"/>
        <w:ind w:left="720" w:right="-58"/>
        <w:jc w:val="both"/>
        <w:rPr>
          <w:b w:val="0"/>
          <w:bCs w:val="0"/>
        </w:rPr>
      </w:pPr>
      <w:r>
        <w:rPr>
          <w:b w:val="0"/>
          <w:bCs w:val="0"/>
        </w:rPr>
        <w:t>Because Avista has not yet placed AMI into service, I conclude that it is premature for the Commission to make a prudence determination and for Avista to recover any expenses for AMI.</w:t>
      </w:r>
      <w:r>
        <w:rPr>
          <w:rStyle w:val="FootnoteReference"/>
          <w:b w:val="0"/>
          <w:bCs w:val="0"/>
        </w:rPr>
        <w:footnoteReference w:id="34"/>
      </w:r>
    </w:p>
    <w:p w:rsidR="00D22710" w:rsidRDefault="00D22710" w:rsidP="00D22710">
      <w:pPr>
        <w:pStyle w:val="BodyText"/>
        <w:tabs>
          <w:tab w:val="left" w:pos="720"/>
        </w:tabs>
        <w:spacing w:line="480" w:lineRule="auto"/>
        <w:ind w:right="-54" w:firstLine="720"/>
        <w:jc w:val="both"/>
        <w:rPr>
          <w:b w:val="0"/>
          <w:bCs w:val="0"/>
        </w:rPr>
      </w:pPr>
    </w:p>
    <w:p w:rsidR="00D22710" w:rsidRDefault="00D22710" w:rsidP="00D22710">
      <w:pPr>
        <w:pStyle w:val="BodyText"/>
        <w:tabs>
          <w:tab w:val="left" w:pos="720"/>
        </w:tabs>
        <w:spacing w:line="480" w:lineRule="auto"/>
        <w:ind w:right="-54" w:firstLine="720"/>
        <w:jc w:val="both"/>
        <w:rPr>
          <w:b w:val="0"/>
          <w:bCs w:val="0"/>
        </w:rPr>
      </w:pPr>
      <w:r>
        <w:rPr>
          <w:b w:val="0"/>
          <w:bCs w:val="0"/>
        </w:rPr>
        <w:t>The other parties also opposed a decision related to prudence in this case, as well as opposed recovery of any costs through retail rates in this case.</w:t>
      </w:r>
      <w:r>
        <w:rPr>
          <w:rStyle w:val="FootnoteReference"/>
          <w:b w:val="0"/>
          <w:bCs w:val="0"/>
        </w:rPr>
        <w:footnoteReference w:id="35"/>
      </w:r>
    </w:p>
    <w:p w:rsidR="00D22710" w:rsidRPr="00DB6E30" w:rsidRDefault="00D22710" w:rsidP="00D22710">
      <w:pPr>
        <w:pStyle w:val="BodyText"/>
        <w:tabs>
          <w:tab w:val="left" w:pos="720"/>
        </w:tabs>
        <w:spacing w:line="480" w:lineRule="auto"/>
        <w:ind w:right="-54" w:firstLine="720"/>
        <w:jc w:val="both"/>
        <w:rPr>
          <w:bCs w:val="0"/>
        </w:rPr>
      </w:pPr>
      <w:r w:rsidRPr="00DB6E30">
        <w:rPr>
          <w:bCs w:val="0"/>
        </w:rPr>
        <w:t>Q.</w:t>
      </w:r>
      <w:r w:rsidRPr="00DB6E30">
        <w:rPr>
          <w:bCs w:val="0"/>
        </w:rPr>
        <w:tab/>
        <w:t>Why did Avista present an updated cost benefit analysis for AMI in this case, and request recovery of the costs associated with AMI during the rate period?</w:t>
      </w:r>
    </w:p>
    <w:p w:rsidR="00D22710" w:rsidRDefault="00D22710" w:rsidP="00D22710">
      <w:pPr>
        <w:pStyle w:val="BodyText"/>
        <w:tabs>
          <w:tab w:val="left" w:pos="720"/>
        </w:tabs>
        <w:spacing w:line="480" w:lineRule="auto"/>
        <w:ind w:right="-54" w:firstLine="720"/>
        <w:jc w:val="both"/>
        <w:rPr>
          <w:b w:val="0"/>
          <w:bCs w:val="0"/>
        </w:rPr>
      </w:pPr>
      <w:r>
        <w:rPr>
          <w:b w:val="0"/>
          <w:bCs w:val="0"/>
        </w:rPr>
        <w:lastRenderedPageBreak/>
        <w:t>A.</w:t>
      </w:r>
      <w:r>
        <w:rPr>
          <w:b w:val="0"/>
          <w:bCs w:val="0"/>
        </w:rPr>
        <w:tab/>
        <w:t xml:space="preserve">In prior dockets the Commission established the criteria it employs in a determination of prudence.  In its Order 05 in </w:t>
      </w:r>
      <w:r w:rsidR="00197137">
        <w:rPr>
          <w:b w:val="0"/>
          <w:bCs w:val="0"/>
        </w:rPr>
        <w:t xml:space="preserve">Docket Nos. </w:t>
      </w:r>
      <w:r>
        <w:rPr>
          <w:b w:val="0"/>
          <w:bCs w:val="0"/>
        </w:rPr>
        <w:t xml:space="preserve">UE-150204 and UG-150205, related to the prudence of Avista’s investment </w:t>
      </w:r>
      <w:r w:rsidR="008F6C0C">
        <w:rPr>
          <w:b w:val="0"/>
          <w:bCs w:val="0"/>
        </w:rPr>
        <w:t>in</w:t>
      </w:r>
      <w:r>
        <w:rPr>
          <w:b w:val="0"/>
          <w:bCs w:val="0"/>
        </w:rPr>
        <w:t xml:space="preserve"> Project Compass, the Commission reiterated this prudence criteria:</w:t>
      </w:r>
    </w:p>
    <w:p w:rsidR="00D22710" w:rsidRDefault="00D22710" w:rsidP="00D22710">
      <w:pPr>
        <w:pStyle w:val="BodyText"/>
        <w:tabs>
          <w:tab w:val="left" w:pos="1080"/>
        </w:tabs>
        <w:spacing w:line="240" w:lineRule="auto"/>
        <w:ind w:left="720" w:right="-58"/>
        <w:jc w:val="both"/>
        <w:rPr>
          <w:b w:val="0"/>
          <w:bCs w:val="0"/>
        </w:rPr>
      </w:pPr>
      <w:r w:rsidRPr="00E90DFE">
        <w:rPr>
          <w:b w:val="0"/>
          <w:bCs w:val="0"/>
          <w:i/>
        </w:rPr>
        <w:t>Decision.</w:t>
      </w:r>
      <w:r>
        <w:rPr>
          <w:b w:val="0"/>
          <w:bCs w:val="0"/>
        </w:rPr>
        <w:t xml:space="preserve">  In determining whether an investment is prudent, the Commission asks:</w:t>
      </w:r>
    </w:p>
    <w:p w:rsidR="00D22710" w:rsidRDefault="00D22710" w:rsidP="00D22710">
      <w:pPr>
        <w:pStyle w:val="BodyText"/>
        <w:tabs>
          <w:tab w:val="left" w:pos="1080"/>
        </w:tabs>
        <w:spacing w:line="240" w:lineRule="auto"/>
        <w:ind w:left="720" w:right="-58"/>
        <w:jc w:val="both"/>
        <w:rPr>
          <w:b w:val="0"/>
          <w:bCs w:val="0"/>
        </w:rPr>
      </w:pPr>
    </w:p>
    <w:p w:rsidR="00D22710" w:rsidRDefault="00D22710" w:rsidP="00B3562B">
      <w:pPr>
        <w:pStyle w:val="BodyText"/>
        <w:tabs>
          <w:tab w:val="left" w:pos="1080"/>
        </w:tabs>
        <w:spacing w:line="240" w:lineRule="auto"/>
        <w:ind w:left="720" w:right="-54"/>
        <w:jc w:val="both"/>
        <w:rPr>
          <w:b w:val="0"/>
          <w:bCs w:val="0"/>
        </w:rPr>
      </w:pPr>
      <w:proofErr w:type="gramStart"/>
      <w:r>
        <w:rPr>
          <w:b w:val="0"/>
          <w:bCs w:val="0"/>
        </w:rPr>
        <w:t>what</w:t>
      </w:r>
      <w:proofErr w:type="gramEnd"/>
      <w:r>
        <w:rPr>
          <w:b w:val="0"/>
          <w:bCs w:val="0"/>
        </w:rPr>
        <w:t xml:space="preserve"> would a reasonable board of directors and company management have decided given what they knew or reasonably should have known to be true </w:t>
      </w:r>
      <w:r w:rsidRPr="004F4FB8">
        <w:rPr>
          <w:b w:val="0"/>
          <w:bCs w:val="0"/>
          <w:u w:val="single"/>
        </w:rPr>
        <w:t>at the time they made a decision</w:t>
      </w:r>
      <w:r>
        <w:rPr>
          <w:b w:val="0"/>
          <w:bCs w:val="0"/>
        </w:rPr>
        <w:t xml:space="preserve">.  </w:t>
      </w:r>
      <w:r w:rsidRPr="004F4FB8">
        <w:rPr>
          <w:b w:val="0"/>
          <w:bCs w:val="0"/>
          <w:u w:val="single"/>
        </w:rPr>
        <w:t>This test applies both to the question of need and the appropriateness of the expenditures</w:t>
      </w:r>
      <w:r>
        <w:rPr>
          <w:b w:val="0"/>
          <w:bCs w:val="0"/>
        </w:rPr>
        <w:t xml:space="preserve">.  The company must establish that it adequately studied the question of whether to purchase these resources and made a reasonable decision, </w:t>
      </w:r>
      <w:r w:rsidRPr="004F4FB8">
        <w:rPr>
          <w:b w:val="0"/>
          <w:bCs w:val="0"/>
          <w:u w:val="single"/>
        </w:rPr>
        <w:t>using the data and methods that a reasonable management would have used at time the decisions were made</w:t>
      </w:r>
      <w:r>
        <w:rPr>
          <w:b w:val="0"/>
          <w:bCs w:val="0"/>
        </w:rPr>
        <w:t>.</w:t>
      </w:r>
      <w:r w:rsidRPr="008E5E39">
        <w:rPr>
          <w:rStyle w:val="FootnoteReference"/>
          <w:b w:val="0"/>
          <w:bCs w:val="0"/>
        </w:rPr>
        <w:t xml:space="preserve"> </w:t>
      </w:r>
      <w:r>
        <w:rPr>
          <w:rStyle w:val="FootnoteReference"/>
          <w:b w:val="0"/>
          <w:bCs w:val="0"/>
        </w:rPr>
        <w:footnoteReference w:id="36"/>
      </w:r>
      <w:r>
        <w:rPr>
          <w:b w:val="0"/>
          <w:bCs w:val="0"/>
        </w:rPr>
        <w:t xml:space="preserve">  (</w:t>
      </w:r>
      <w:proofErr w:type="gramStart"/>
      <w:r>
        <w:rPr>
          <w:b w:val="0"/>
          <w:bCs w:val="0"/>
        </w:rPr>
        <w:t>emphasis</w:t>
      </w:r>
      <w:proofErr w:type="gramEnd"/>
      <w:r>
        <w:rPr>
          <w:b w:val="0"/>
          <w:bCs w:val="0"/>
        </w:rPr>
        <w:t xml:space="preserve"> added)</w:t>
      </w:r>
    </w:p>
    <w:p w:rsidR="00B3562B" w:rsidRDefault="00B3562B" w:rsidP="00B3562B">
      <w:pPr>
        <w:pStyle w:val="BodyText"/>
        <w:tabs>
          <w:tab w:val="left" w:pos="1080"/>
        </w:tabs>
        <w:spacing w:line="240" w:lineRule="auto"/>
        <w:ind w:left="720" w:right="-54"/>
        <w:jc w:val="both"/>
        <w:rPr>
          <w:b w:val="0"/>
          <w:bCs w:val="0"/>
        </w:rPr>
      </w:pPr>
    </w:p>
    <w:p w:rsidR="00D22710" w:rsidRDefault="00D22710" w:rsidP="00D22710">
      <w:pPr>
        <w:pStyle w:val="BodyText"/>
        <w:tabs>
          <w:tab w:val="left" w:pos="720"/>
        </w:tabs>
        <w:spacing w:line="480" w:lineRule="auto"/>
        <w:ind w:right="-54" w:firstLine="720"/>
        <w:jc w:val="both"/>
        <w:rPr>
          <w:b w:val="0"/>
          <w:bCs w:val="0"/>
        </w:rPr>
      </w:pPr>
      <w:r>
        <w:rPr>
          <w:b w:val="0"/>
          <w:bCs w:val="0"/>
        </w:rPr>
        <w:t>Avista has made the decision to move forward with the implementation of AMI, and implementation is in progress.  Based on the criteria above, the Commission has before it the information necessary to make a determination of the prudence of Avista’s decision to move forward with AMI, i.e., a decision</w:t>
      </w:r>
      <w:r w:rsidR="006A538F">
        <w:rPr>
          <w:b w:val="0"/>
          <w:bCs w:val="0"/>
        </w:rPr>
        <w:t xml:space="preserve"> has been</w:t>
      </w:r>
      <w:r>
        <w:rPr>
          <w:b w:val="0"/>
          <w:bCs w:val="0"/>
        </w:rPr>
        <w:t xml:space="preserve"> made by the </w:t>
      </w:r>
      <w:r w:rsidRPr="006A538F">
        <w:rPr>
          <w:b w:val="0"/>
          <w:bCs w:val="0"/>
        </w:rPr>
        <w:t>Company and “the data and methods” used “at the time the decision w</w:t>
      </w:r>
      <w:r>
        <w:rPr>
          <w:b w:val="0"/>
          <w:bCs w:val="0"/>
        </w:rPr>
        <w:t>as made,” in the form of testimony and exhibits that fully explain the business case and the costs and benefits</w:t>
      </w:r>
      <w:r w:rsidR="006A538F">
        <w:rPr>
          <w:b w:val="0"/>
          <w:bCs w:val="0"/>
        </w:rPr>
        <w:t xml:space="preserve"> is provided in this case</w:t>
      </w:r>
      <w:r>
        <w:rPr>
          <w:b w:val="0"/>
          <w:bCs w:val="0"/>
        </w:rPr>
        <w:t>.</w:t>
      </w:r>
    </w:p>
    <w:p w:rsidR="00D22710" w:rsidRDefault="00D22710" w:rsidP="00D22710">
      <w:pPr>
        <w:pStyle w:val="BodyText"/>
        <w:tabs>
          <w:tab w:val="left" w:pos="720"/>
        </w:tabs>
        <w:spacing w:line="480" w:lineRule="auto"/>
        <w:ind w:right="-54" w:firstLine="720"/>
        <w:jc w:val="both"/>
        <w:rPr>
          <w:b w:val="0"/>
          <w:bCs w:val="0"/>
        </w:rPr>
      </w:pPr>
      <w:r>
        <w:rPr>
          <w:b w:val="0"/>
          <w:bCs w:val="0"/>
        </w:rPr>
        <w:t xml:space="preserve">In this case Avista is only requesting recovery of the AMI-related costs during the rate period, and the Company has provided supporting documentation for these costs.  If, on an after-the-fact basis, Avista spends more than the dollar amounts included in the rate period, Avista would need to demonstrate the prudence of those dollars in a future </w:t>
      </w:r>
      <w:r w:rsidR="006A538F">
        <w:rPr>
          <w:b w:val="0"/>
          <w:bCs w:val="0"/>
        </w:rPr>
        <w:t>case</w:t>
      </w:r>
      <w:r>
        <w:rPr>
          <w:b w:val="0"/>
          <w:bCs w:val="0"/>
        </w:rPr>
        <w:t>.</w:t>
      </w:r>
    </w:p>
    <w:p w:rsidR="00D22710" w:rsidRDefault="00D22710" w:rsidP="00D22710">
      <w:pPr>
        <w:pStyle w:val="BodyText"/>
        <w:tabs>
          <w:tab w:val="left" w:pos="720"/>
        </w:tabs>
        <w:spacing w:line="480" w:lineRule="auto"/>
        <w:ind w:right="-54" w:firstLine="720"/>
        <w:jc w:val="both"/>
        <w:rPr>
          <w:b w:val="0"/>
          <w:bCs w:val="0"/>
        </w:rPr>
      </w:pPr>
      <w:r w:rsidRPr="005A755E">
        <w:rPr>
          <w:b w:val="0"/>
          <w:bCs w:val="0"/>
          <w:u w:val="single"/>
        </w:rPr>
        <w:t>Avista is not requesting</w:t>
      </w:r>
      <w:r>
        <w:rPr>
          <w:b w:val="0"/>
          <w:bCs w:val="0"/>
        </w:rPr>
        <w:t xml:space="preserve"> prudence at this time of </w:t>
      </w:r>
      <w:r w:rsidRPr="008F6C0C">
        <w:rPr>
          <w:b w:val="0"/>
          <w:bCs w:val="0"/>
          <w:u w:val="single"/>
        </w:rPr>
        <w:t>all</w:t>
      </w:r>
      <w:r>
        <w:rPr>
          <w:b w:val="0"/>
          <w:bCs w:val="0"/>
        </w:rPr>
        <w:t xml:space="preserve"> future investments and operating costs associated with AMI.  As the Company continues to deploy AMI in future years it will request recovery of those incremental investments and costs for each respective year, and the </w:t>
      </w:r>
      <w:r>
        <w:rPr>
          <w:b w:val="0"/>
          <w:bCs w:val="0"/>
        </w:rPr>
        <w:lastRenderedPageBreak/>
        <w:t xml:space="preserve">Commission will have the opportunity to review those costs and make a determination of </w:t>
      </w:r>
      <w:r w:rsidR="006A538F">
        <w:rPr>
          <w:b w:val="0"/>
          <w:bCs w:val="0"/>
        </w:rPr>
        <w:t xml:space="preserve">the </w:t>
      </w:r>
      <w:r>
        <w:rPr>
          <w:b w:val="0"/>
          <w:bCs w:val="0"/>
        </w:rPr>
        <w:t>prudence</w:t>
      </w:r>
      <w:r w:rsidR="006A538F">
        <w:rPr>
          <w:b w:val="0"/>
          <w:bCs w:val="0"/>
        </w:rPr>
        <w:t xml:space="preserve"> of those specific costs</w:t>
      </w:r>
      <w:r>
        <w:rPr>
          <w:b w:val="0"/>
          <w:bCs w:val="0"/>
        </w:rPr>
        <w:t>.</w:t>
      </w:r>
    </w:p>
    <w:p w:rsidR="00D22710" w:rsidRPr="00B11F15" w:rsidRDefault="00D22710" w:rsidP="00D22710">
      <w:pPr>
        <w:pStyle w:val="BodyText"/>
        <w:tabs>
          <w:tab w:val="left" w:pos="720"/>
        </w:tabs>
        <w:spacing w:line="480" w:lineRule="auto"/>
        <w:ind w:right="-54" w:firstLine="720"/>
        <w:jc w:val="both"/>
        <w:rPr>
          <w:bCs w:val="0"/>
        </w:rPr>
      </w:pPr>
      <w:r w:rsidRPr="00B11F15">
        <w:rPr>
          <w:bCs w:val="0"/>
        </w:rPr>
        <w:t>Q.</w:t>
      </w:r>
      <w:r w:rsidRPr="00B11F15">
        <w:rPr>
          <w:bCs w:val="0"/>
        </w:rPr>
        <w:tab/>
        <w:t xml:space="preserve">On page 7 of his testimony, beginning on line 21, Mr. Nightingale states:  </w:t>
      </w:r>
    </w:p>
    <w:p w:rsidR="00D22710" w:rsidRPr="00B11F15" w:rsidRDefault="00D22710" w:rsidP="00D22710">
      <w:pPr>
        <w:pStyle w:val="BodyText"/>
        <w:tabs>
          <w:tab w:val="left" w:pos="720"/>
        </w:tabs>
        <w:spacing w:line="240" w:lineRule="auto"/>
        <w:ind w:left="720" w:right="-58"/>
        <w:jc w:val="both"/>
        <w:rPr>
          <w:bCs w:val="0"/>
        </w:rPr>
      </w:pPr>
      <w:r w:rsidRPr="00B11F15">
        <w:rPr>
          <w:bCs w:val="0"/>
        </w:rPr>
        <w:t xml:space="preserve">“To allow or suggest pre-approval would be counter to the Commission’s prudence practice and would limit the Commission’s ability to hold the Company accountable after the fact for appropriate expenditures and levels of expenditures for capital additions and operations.”  </w:t>
      </w:r>
    </w:p>
    <w:p w:rsidR="00D22710" w:rsidRPr="00B11F15" w:rsidRDefault="00D22710" w:rsidP="00D22710">
      <w:pPr>
        <w:pStyle w:val="BodyText"/>
        <w:tabs>
          <w:tab w:val="left" w:pos="720"/>
        </w:tabs>
        <w:spacing w:line="240" w:lineRule="auto"/>
        <w:ind w:left="720" w:right="-58"/>
        <w:jc w:val="both"/>
        <w:rPr>
          <w:bCs w:val="0"/>
        </w:rPr>
      </w:pPr>
    </w:p>
    <w:p w:rsidR="00D22710" w:rsidRPr="00B11F15" w:rsidRDefault="00D22710" w:rsidP="00D22710">
      <w:pPr>
        <w:pStyle w:val="BodyText"/>
        <w:tabs>
          <w:tab w:val="left" w:pos="720"/>
        </w:tabs>
        <w:spacing w:line="480" w:lineRule="auto"/>
        <w:ind w:right="-54"/>
        <w:jc w:val="both"/>
        <w:rPr>
          <w:bCs w:val="0"/>
        </w:rPr>
      </w:pPr>
      <w:r w:rsidRPr="00B11F15">
        <w:rPr>
          <w:bCs w:val="0"/>
        </w:rPr>
        <w:t xml:space="preserve">Would a decision now on Avista’s </w:t>
      </w:r>
      <w:r w:rsidRPr="00B11F15">
        <w:rPr>
          <w:bCs w:val="0"/>
          <w:u w:val="single"/>
        </w:rPr>
        <w:t>decision to move forward</w:t>
      </w:r>
      <w:r w:rsidRPr="00B11F15">
        <w:rPr>
          <w:bCs w:val="0"/>
        </w:rPr>
        <w:t xml:space="preserve"> with AMI be “counter to the Commission’s prudence practice?”</w:t>
      </w:r>
    </w:p>
    <w:p w:rsidR="00D22710" w:rsidRDefault="00D22710" w:rsidP="00D22710">
      <w:pPr>
        <w:pStyle w:val="BodyText"/>
        <w:tabs>
          <w:tab w:val="left" w:pos="720"/>
        </w:tabs>
        <w:spacing w:line="480" w:lineRule="auto"/>
        <w:ind w:right="-54"/>
        <w:jc w:val="both"/>
        <w:rPr>
          <w:b w:val="0"/>
          <w:bCs w:val="0"/>
        </w:rPr>
      </w:pPr>
      <w:r>
        <w:rPr>
          <w:b w:val="0"/>
          <w:bCs w:val="0"/>
        </w:rPr>
        <w:tab/>
        <w:t>A.</w:t>
      </w:r>
      <w:r>
        <w:rPr>
          <w:b w:val="0"/>
          <w:bCs w:val="0"/>
        </w:rPr>
        <w:tab/>
        <w:t>No.  A prudence decision now by the Commission on Avista’s decision to move forward with AMI</w:t>
      </w:r>
      <w:r w:rsidR="00D25DF1">
        <w:rPr>
          <w:b w:val="0"/>
          <w:bCs w:val="0"/>
        </w:rPr>
        <w:t>,</w:t>
      </w:r>
      <w:r>
        <w:rPr>
          <w:b w:val="0"/>
          <w:bCs w:val="0"/>
        </w:rPr>
        <w:t xml:space="preserve"> </w:t>
      </w:r>
      <w:r w:rsidR="00D25DF1">
        <w:rPr>
          <w:b w:val="0"/>
          <w:bCs w:val="0"/>
        </w:rPr>
        <w:t xml:space="preserve">and the costs that have been included in this case, </w:t>
      </w:r>
      <w:r>
        <w:rPr>
          <w:b w:val="0"/>
          <w:bCs w:val="0"/>
        </w:rPr>
        <w:t>would be fully consistent with the Commission’s prudence criteria.  As stated earlier, the Company has made the decision to move forward, and “the data and methods” used “at the time the decision was made” is before the Commission, consistent with its prudence criteria.</w:t>
      </w:r>
    </w:p>
    <w:p w:rsidR="00D22710" w:rsidRPr="003F5505" w:rsidRDefault="00D22710" w:rsidP="00D22710">
      <w:pPr>
        <w:pStyle w:val="BodyText"/>
        <w:tabs>
          <w:tab w:val="left" w:pos="720"/>
        </w:tabs>
        <w:spacing w:line="480" w:lineRule="auto"/>
        <w:ind w:right="-54"/>
        <w:jc w:val="both"/>
        <w:rPr>
          <w:bCs w:val="0"/>
        </w:rPr>
      </w:pPr>
      <w:r w:rsidRPr="003F5505">
        <w:rPr>
          <w:bCs w:val="0"/>
        </w:rPr>
        <w:tab/>
      </w:r>
      <w:r>
        <w:rPr>
          <w:bCs w:val="0"/>
        </w:rPr>
        <w:t>Q.</w:t>
      </w:r>
      <w:r>
        <w:rPr>
          <w:bCs w:val="0"/>
        </w:rPr>
        <w:tab/>
        <w:t>W</w:t>
      </w:r>
      <w:r w:rsidRPr="003F5505">
        <w:rPr>
          <w:bCs w:val="0"/>
        </w:rPr>
        <w:t>ould a Commission decision to provide r</w:t>
      </w:r>
      <w:r>
        <w:rPr>
          <w:bCs w:val="0"/>
        </w:rPr>
        <w:t>ecovery of the AMI costs</w:t>
      </w:r>
      <w:r w:rsidRPr="003F5505">
        <w:rPr>
          <w:bCs w:val="0"/>
        </w:rPr>
        <w:t xml:space="preserve"> in the rate period for this case “limit the Commission’s ability to hold the Company accountable after the fact for appropriate expenditures and levels of expenditures for capital additions and operations</w:t>
      </w:r>
      <w:r>
        <w:rPr>
          <w:bCs w:val="0"/>
        </w:rPr>
        <w:t>?</w:t>
      </w:r>
      <w:r w:rsidRPr="003F5505">
        <w:rPr>
          <w:bCs w:val="0"/>
        </w:rPr>
        <w:t>”</w:t>
      </w:r>
    </w:p>
    <w:p w:rsidR="00D22710" w:rsidRDefault="00D22710" w:rsidP="00D22710">
      <w:pPr>
        <w:pStyle w:val="BodyText"/>
        <w:tabs>
          <w:tab w:val="left" w:pos="720"/>
        </w:tabs>
        <w:spacing w:line="480" w:lineRule="auto"/>
        <w:ind w:right="-54"/>
        <w:jc w:val="both"/>
        <w:rPr>
          <w:b w:val="0"/>
          <w:bCs w:val="0"/>
        </w:rPr>
      </w:pPr>
      <w:r>
        <w:rPr>
          <w:b w:val="0"/>
          <w:bCs w:val="0"/>
        </w:rPr>
        <w:tab/>
        <w:t>A.</w:t>
      </w:r>
      <w:r>
        <w:rPr>
          <w:b w:val="0"/>
          <w:bCs w:val="0"/>
        </w:rPr>
        <w:tab/>
        <w:t>No.  Avista has provided supporting documentation for the AMI-related costs for the rate period, demonstrating the reasonableness of those costs.  All parties have had six months to review those costs and determine the reasonableness of those costs.  It is appropriate for that level of costs to be recovered during the rate period.</w:t>
      </w:r>
    </w:p>
    <w:p w:rsidR="00D22710" w:rsidRDefault="00D22710" w:rsidP="00D22710">
      <w:pPr>
        <w:pStyle w:val="BodyText"/>
        <w:tabs>
          <w:tab w:val="left" w:pos="720"/>
        </w:tabs>
        <w:spacing w:line="480" w:lineRule="auto"/>
        <w:ind w:right="-54"/>
        <w:jc w:val="both"/>
        <w:rPr>
          <w:b w:val="0"/>
          <w:bCs w:val="0"/>
        </w:rPr>
      </w:pPr>
      <w:r>
        <w:rPr>
          <w:b w:val="0"/>
          <w:bCs w:val="0"/>
        </w:rPr>
        <w:tab/>
        <w:t>If, after-the-fact, the Company were to spend more than that amount for AMI, the Commission would have the opportunity to determine the reasonableness of the additional expenditures.</w:t>
      </w:r>
    </w:p>
    <w:p w:rsidR="00E9241A" w:rsidRPr="000F1850" w:rsidRDefault="00E9241A" w:rsidP="00E9241A">
      <w:pPr>
        <w:pStyle w:val="BodyText"/>
        <w:tabs>
          <w:tab w:val="left" w:pos="720"/>
        </w:tabs>
        <w:spacing w:line="480" w:lineRule="auto"/>
        <w:ind w:right="-54"/>
        <w:jc w:val="both"/>
        <w:rPr>
          <w:bCs w:val="0"/>
        </w:rPr>
      </w:pPr>
      <w:r w:rsidRPr="000F1850">
        <w:rPr>
          <w:bCs w:val="0"/>
        </w:rPr>
        <w:lastRenderedPageBreak/>
        <w:tab/>
        <w:t>Q.</w:t>
      </w:r>
      <w:r w:rsidRPr="000F1850">
        <w:rPr>
          <w:bCs w:val="0"/>
        </w:rPr>
        <w:tab/>
        <w:t>Has the Commission recently applied its prudence criteria in a general rate case order?</w:t>
      </w:r>
    </w:p>
    <w:p w:rsidR="00E9241A" w:rsidRDefault="00E9241A" w:rsidP="00E9241A">
      <w:pPr>
        <w:pStyle w:val="BodyText"/>
        <w:tabs>
          <w:tab w:val="left" w:pos="720"/>
        </w:tabs>
        <w:spacing w:line="480" w:lineRule="auto"/>
        <w:ind w:right="-54"/>
        <w:jc w:val="both"/>
        <w:rPr>
          <w:b w:val="0"/>
          <w:bCs w:val="0"/>
        </w:rPr>
      </w:pPr>
      <w:r>
        <w:rPr>
          <w:b w:val="0"/>
          <w:bCs w:val="0"/>
        </w:rPr>
        <w:tab/>
        <w:t>A.</w:t>
      </w:r>
      <w:r>
        <w:rPr>
          <w:b w:val="0"/>
          <w:bCs w:val="0"/>
        </w:rPr>
        <w:tab/>
        <w:t>Yes.  In its Order 12, dated September 1, 2016, in the Pacific Power and Light general rate case (Docket No. UE-152253) the Commission stated as follows on page 33, paragraph 94:</w:t>
      </w:r>
    </w:p>
    <w:p w:rsidR="00E9241A" w:rsidRDefault="00E9241A" w:rsidP="00E9241A">
      <w:pPr>
        <w:pStyle w:val="BodyText"/>
        <w:tabs>
          <w:tab w:val="left" w:pos="720"/>
        </w:tabs>
        <w:spacing w:line="240" w:lineRule="auto"/>
        <w:ind w:left="720" w:right="-58"/>
        <w:jc w:val="both"/>
        <w:rPr>
          <w:b w:val="0"/>
          <w:bCs w:val="0"/>
        </w:rPr>
      </w:pPr>
      <w:r>
        <w:rPr>
          <w:b w:val="0"/>
          <w:bCs w:val="0"/>
        </w:rPr>
        <w:t>The Commission has often cited the prudence legal standard as thus:</w:t>
      </w:r>
    </w:p>
    <w:p w:rsidR="00E9241A" w:rsidRDefault="00E9241A" w:rsidP="00E9241A">
      <w:pPr>
        <w:pStyle w:val="BodyText"/>
        <w:tabs>
          <w:tab w:val="left" w:pos="720"/>
        </w:tabs>
        <w:spacing w:line="240" w:lineRule="auto"/>
        <w:ind w:left="720" w:right="-58"/>
        <w:jc w:val="both"/>
        <w:rPr>
          <w:b w:val="0"/>
          <w:bCs w:val="0"/>
        </w:rPr>
      </w:pPr>
    </w:p>
    <w:p w:rsidR="00E9241A" w:rsidRDefault="00E9241A" w:rsidP="00E9241A">
      <w:pPr>
        <w:pStyle w:val="BodyText"/>
        <w:tabs>
          <w:tab w:val="left" w:pos="720"/>
        </w:tabs>
        <w:spacing w:line="240" w:lineRule="auto"/>
        <w:ind w:left="720" w:right="-58"/>
        <w:jc w:val="both"/>
        <w:rPr>
          <w:b w:val="0"/>
          <w:bCs w:val="0"/>
        </w:rPr>
      </w:pPr>
      <w:r>
        <w:rPr>
          <w:b w:val="0"/>
          <w:bCs w:val="0"/>
        </w:rPr>
        <w:t xml:space="preserve">What would a reasonable board of directors and company management have decided </w:t>
      </w:r>
      <w:r w:rsidRPr="003D5E55">
        <w:rPr>
          <w:b w:val="0"/>
          <w:bCs w:val="0"/>
          <w:u w:val="single"/>
        </w:rPr>
        <w:t>given what they knew or reasonably should have known to be true at the time they made a decision</w:t>
      </w:r>
      <w:r>
        <w:rPr>
          <w:b w:val="0"/>
          <w:bCs w:val="0"/>
        </w:rPr>
        <w:t>?  (</w:t>
      </w:r>
      <w:proofErr w:type="gramStart"/>
      <w:r>
        <w:rPr>
          <w:b w:val="0"/>
          <w:bCs w:val="0"/>
        </w:rPr>
        <w:t>emphasis</w:t>
      </w:r>
      <w:proofErr w:type="gramEnd"/>
      <w:r>
        <w:rPr>
          <w:b w:val="0"/>
          <w:bCs w:val="0"/>
        </w:rPr>
        <w:t xml:space="preserve"> added) (</w:t>
      </w:r>
      <w:proofErr w:type="gramStart"/>
      <w:r>
        <w:rPr>
          <w:b w:val="0"/>
          <w:bCs w:val="0"/>
        </w:rPr>
        <w:t>footnote</w:t>
      </w:r>
      <w:proofErr w:type="gramEnd"/>
      <w:r>
        <w:rPr>
          <w:b w:val="0"/>
          <w:bCs w:val="0"/>
        </w:rPr>
        <w:t xml:space="preserve"> omitted)</w:t>
      </w:r>
    </w:p>
    <w:p w:rsidR="00E9241A" w:rsidRDefault="00E9241A" w:rsidP="00E9241A">
      <w:pPr>
        <w:pStyle w:val="BodyText"/>
        <w:tabs>
          <w:tab w:val="left" w:pos="720"/>
        </w:tabs>
        <w:spacing w:line="480" w:lineRule="auto"/>
        <w:ind w:right="-54"/>
        <w:jc w:val="both"/>
        <w:rPr>
          <w:b w:val="0"/>
          <w:bCs w:val="0"/>
        </w:rPr>
      </w:pPr>
    </w:p>
    <w:p w:rsidR="00E9241A" w:rsidRDefault="00E9241A" w:rsidP="00E9241A">
      <w:pPr>
        <w:pStyle w:val="BodyText"/>
        <w:tabs>
          <w:tab w:val="left" w:pos="720"/>
        </w:tabs>
        <w:spacing w:line="480" w:lineRule="auto"/>
        <w:ind w:right="-54"/>
        <w:jc w:val="both"/>
        <w:rPr>
          <w:b w:val="0"/>
          <w:bCs w:val="0"/>
        </w:rPr>
      </w:pPr>
      <w:r>
        <w:rPr>
          <w:b w:val="0"/>
          <w:bCs w:val="0"/>
        </w:rPr>
        <w:tab/>
        <w:t>And in Footnote 158 of the same Order, on page 36, the Commission also stated:</w:t>
      </w:r>
    </w:p>
    <w:p w:rsidR="00E9241A" w:rsidRDefault="00E9241A" w:rsidP="00E9241A">
      <w:pPr>
        <w:pStyle w:val="BodyText"/>
        <w:tabs>
          <w:tab w:val="left" w:pos="720"/>
        </w:tabs>
        <w:spacing w:line="240" w:lineRule="auto"/>
        <w:ind w:left="720" w:right="-58"/>
        <w:jc w:val="both"/>
        <w:rPr>
          <w:b w:val="0"/>
          <w:bCs w:val="0"/>
        </w:rPr>
      </w:pPr>
      <w:r>
        <w:rPr>
          <w:b w:val="0"/>
          <w:bCs w:val="0"/>
        </w:rPr>
        <w:t xml:space="preserve">We conclude that the appropriate point in time to end our examination of prudence is on December 1, 2013.  </w:t>
      </w:r>
      <w:r w:rsidRPr="00A44D37">
        <w:rPr>
          <w:b w:val="0"/>
          <w:bCs w:val="0"/>
          <w:u w:val="single"/>
        </w:rPr>
        <w:t>Although the Company, Staff, and intervening parties made vigorous attempts to include evidence and analysis after this point in time, we choose not to give any weight to such evidence and argument</w:t>
      </w:r>
      <w:r w:rsidRPr="00A44D37">
        <w:rPr>
          <w:b w:val="0"/>
          <w:bCs w:val="0"/>
        </w:rPr>
        <w:t>.  (</w:t>
      </w:r>
      <w:proofErr w:type="gramStart"/>
      <w:r w:rsidRPr="00A44D37">
        <w:rPr>
          <w:b w:val="0"/>
          <w:bCs w:val="0"/>
        </w:rPr>
        <w:t>emphasis</w:t>
      </w:r>
      <w:proofErr w:type="gramEnd"/>
      <w:r w:rsidRPr="00A44D37">
        <w:rPr>
          <w:b w:val="0"/>
          <w:bCs w:val="0"/>
        </w:rPr>
        <w:t xml:space="preserve"> added)</w:t>
      </w:r>
    </w:p>
    <w:p w:rsidR="00E9241A" w:rsidRDefault="00E9241A" w:rsidP="00E9241A">
      <w:pPr>
        <w:pStyle w:val="BodyText"/>
        <w:tabs>
          <w:tab w:val="left" w:pos="720"/>
        </w:tabs>
        <w:spacing w:line="480" w:lineRule="auto"/>
        <w:ind w:right="-54"/>
        <w:jc w:val="both"/>
        <w:rPr>
          <w:b w:val="0"/>
          <w:bCs w:val="0"/>
        </w:rPr>
      </w:pPr>
    </w:p>
    <w:p w:rsidR="00E9241A" w:rsidRDefault="00E9241A" w:rsidP="00E9241A">
      <w:pPr>
        <w:pStyle w:val="BodyText"/>
        <w:tabs>
          <w:tab w:val="left" w:pos="720"/>
        </w:tabs>
        <w:spacing w:line="480" w:lineRule="auto"/>
        <w:ind w:right="-54"/>
        <w:jc w:val="both"/>
        <w:rPr>
          <w:b w:val="0"/>
          <w:bCs w:val="0"/>
        </w:rPr>
      </w:pPr>
      <w:r>
        <w:rPr>
          <w:b w:val="0"/>
          <w:bCs w:val="0"/>
        </w:rPr>
        <w:tab/>
        <w:t>In this order, the Commission reinforced the point that the determination of prudence is based on the information available at the time the Company made a decision.  In the current Avista rate case the Commission has before it the evidence supporting Avista’s recent decision to move forward with AMI.  A delay in a determination of the prudence of Avista’s decision to move forward with AMI would cause the evidence available at the time the decision was made to become stale.</w:t>
      </w:r>
    </w:p>
    <w:p w:rsidR="00D22710" w:rsidRPr="00054156" w:rsidRDefault="00D22710" w:rsidP="00D22710">
      <w:pPr>
        <w:pStyle w:val="BodyText"/>
        <w:tabs>
          <w:tab w:val="left" w:pos="720"/>
        </w:tabs>
        <w:spacing w:line="480" w:lineRule="auto"/>
        <w:ind w:right="-54"/>
        <w:jc w:val="both"/>
        <w:rPr>
          <w:bCs w:val="0"/>
        </w:rPr>
      </w:pPr>
      <w:r w:rsidRPr="00054156">
        <w:rPr>
          <w:bCs w:val="0"/>
        </w:rPr>
        <w:tab/>
        <w:t>Q.</w:t>
      </w:r>
      <w:r w:rsidRPr="00054156">
        <w:rPr>
          <w:bCs w:val="0"/>
        </w:rPr>
        <w:tab/>
        <w:t>On page 7, beginning on line 7, of Mr. Nightingale’s testimony he states:</w:t>
      </w:r>
    </w:p>
    <w:p w:rsidR="00D22710" w:rsidRPr="00054156" w:rsidRDefault="00D22710" w:rsidP="00D22710">
      <w:pPr>
        <w:pStyle w:val="BodyText"/>
        <w:tabs>
          <w:tab w:val="left" w:pos="720"/>
        </w:tabs>
        <w:spacing w:line="240" w:lineRule="auto"/>
        <w:ind w:left="806" w:right="-58"/>
        <w:jc w:val="both"/>
        <w:rPr>
          <w:bCs w:val="0"/>
        </w:rPr>
      </w:pPr>
      <w:r w:rsidRPr="00054156">
        <w:rPr>
          <w:bCs w:val="0"/>
        </w:rPr>
        <w:t xml:space="preserve">Regarding the actual installation of the AMI communication systems and meters, that will not occur until 2017 and </w:t>
      </w:r>
      <w:r w:rsidRPr="006868A4">
        <w:rPr>
          <w:bCs w:val="0"/>
          <w:u w:val="single"/>
        </w:rPr>
        <w:t>will continue through full deployment, which Avista expects to accomplish by 2021</w:t>
      </w:r>
      <w:r w:rsidRPr="00054156">
        <w:rPr>
          <w:bCs w:val="0"/>
        </w:rPr>
        <w:t xml:space="preserve">. </w:t>
      </w:r>
      <w:r w:rsidRPr="006868A4">
        <w:rPr>
          <w:b w:val="0"/>
          <w:bCs w:val="0"/>
        </w:rPr>
        <w:t xml:space="preserve"> </w:t>
      </w:r>
      <w:r w:rsidR="006868A4" w:rsidRPr="006868A4">
        <w:rPr>
          <w:b w:val="0"/>
          <w:bCs w:val="0"/>
        </w:rPr>
        <w:t>(</w:t>
      </w:r>
      <w:proofErr w:type="gramStart"/>
      <w:r w:rsidR="006868A4" w:rsidRPr="006868A4">
        <w:rPr>
          <w:b w:val="0"/>
          <w:bCs w:val="0"/>
        </w:rPr>
        <w:t>emphasis</w:t>
      </w:r>
      <w:proofErr w:type="gramEnd"/>
      <w:r w:rsidR="006868A4" w:rsidRPr="006868A4">
        <w:rPr>
          <w:b w:val="0"/>
          <w:bCs w:val="0"/>
        </w:rPr>
        <w:t xml:space="preserve"> added)</w:t>
      </w:r>
    </w:p>
    <w:p w:rsidR="00D22710" w:rsidRPr="00054156" w:rsidRDefault="00D22710" w:rsidP="00D22710">
      <w:pPr>
        <w:pStyle w:val="BodyText"/>
        <w:tabs>
          <w:tab w:val="left" w:pos="720"/>
        </w:tabs>
        <w:spacing w:line="240" w:lineRule="auto"/>
        <w:ind w:left="806" w:right="-58"/>
        <w:jc w:val="both"/>
        <w:rPr>
          <w:bCs w:val="0"/>
        </w:rPr>
      </w:pPr>
    </w:p>
    <w:p w:rsidR="00D22710" w:rsidRPr="00054156" w:rsidRDefault="00D22710" w:rsidP="00D22710">
      <w:pPr>
        <w:pStyle w:val="BodyText"/>
        <w:tabs>
          <w:tab w:val="left" w:pos="720"/>
        </w:tabs>
        <w:spacing w:line="480" w:lineRule="auto"/>
        <w:ind w:right="-54"/>
        <w:jc w:val="both"/>
        <w:rPr>
          <w:bCs w:val="0"/>
        </w:rPr>
      </w:pPr>
      <w:r w:rsidRPr="00054156">
        <w:rPr>
          <w:bCs w:val="0"/>
        </w:rPr>
        <w:t>Do you have concerns related to this portion of Mr. Nightingale’s testimony?</w:t>
      </w:r>
    </w:p>
    <w:p w:rsidR="00D22710" w:rsidRDefault="00D22710" w:rsidP="00D22710">
      <w:pPr>
        <w:pStyle w:val="BodyText"/>
        <w:tabs>
          <w:tab w:val="left" w:pos="720"/>
        </w:tabs>
        <w:spacing w:line="480" w:lineRule="auto"/>
        <w:ind w:right="-58"/>
        <w:jc w:val="both"/>
        <w:rPr>
          <w:b w:val="0"/>
          <w:bCs w:val="0"/>
        </w:rPr>
      </w:pPr>
      <w:r>
        <w:rPr>
          <w:b w:val="0"/>
          <w:bCs w:val="0"/>
        </w:rPr>
        <w:lastRenderedPageBreak/>
        <w:tab/>
        <w:t>A.</w:t>
      </w:r>
      <w:r>
        <w:rPr>
          <w:b w:val="0"/>
          <w:bCs w:val="0"/>
        </w:rPr>
        <w:tab/>
        <w:t>Yes.  In light of the balance of Mr. Nightingale’s testimony recommending that all cost recovery wait until an after-the-fact review can be conducted, it is unclear from this portion of his testimony whether he is suggesting that no costs associated with AMI be recovered by Avista until after full deployment is completed in 2021.  Such a result would have a significant</w:t>
      </w:r>
      <w:r w:rsidR="006868A4">
        <w:rPr>
          <w:b w:val="0"/>
          <w:bCs w:val="0"/>
        </w:rPr>
        <w:t>,</w:t>
      </w:r>
      <w:r>
        <w:rPr>
          <w:b w:val="0"/>
          <w:bCs w:val="0"/>
        </w:rPr>
        <w:t xml:space="preserve"> negative</w:t>
      </w:r>
      <w:r w:rsidR="006868A4">
        <w:rPr>
          <w:b w:val="0"/>
          <w:bCs w:val="0"/>
        </w:rPr>
        <w:t>,</w:t>
      </w:r>
      <w:r>
        <w:rPr>
          <w:b w:val="0"/>
          <w:bCs w:val="0"/>
        </w:rPr>
        <w:t xml:space="preserve"> financial impact on </w:t>
      </w:r>
      <w:r w:rsidR="00720C48">
        <w:rPr>
          <w:b w:val="0"/>
          <w:bCs w:val="0"/>
        </w:rPr>
        <w:t xml:space="preserve">the </w:t>
      </w:r>
      <w:r>
        <w:rPr>
          <w:b w:val="0"/>
          <w:bCs w:val="0"/>
        </w:rPr>
        <w:t xml:space="preserve">Company.  </w:t>
      </w:r>
    </w:p>
    <w:p w:rsidR="00D22710" w:rsidRDefault="00D22710" w:rsidP="00D22710">
      <w:pPr>
        <w:pStyle w:val="BodyText"/>
        <w:tabs>
          <w:tab w:val="left" w:pos="720"/>
        </w:tabs>
        <w:spacing w:line="480" w:lineRule="auto"/>
        <w:ind w:right="-58"/>
        <w:jc w:val="both"/>
        <w:rPr>
          <w:b w:val="0"/>
          <w:bCs w:val="0"/>
        </w:rPr>
      </w:pPr>
      <w:r>
        <w:rPr>
          <w:b w:val="0"/>
          <w:bCs w:val="0"/>
        </w:rPr>
        <w:tab/>
        <w:t>Even if this were not the case, his recommendation to wait for any cost recovery until an after-the-fact review on a year-to-year basis can be conducted will also have a large negative financial impact on the Company.  A year-to-year after-the-fact review would essentially involve a Company filing in 2018 to allow review of the AMI investment in 2017, with recovery of the 2017 costs to begin at the conclusion of the case in 2019.  This would represent a two-year lag on recovery of a major investment by the Company.</w:t>
      </w:r>
    </w:p>
    <w:p w:rsidR="00D22710" w:rsidRDefault="00D22710" w:rsidP="00D22710">
      <w:pPr>
        <w:pStyle w:val="BodyText"/>
        <w:tabs>
          <w:tab w:val="left" w:pos="720"/>
        </w:tabs>
        <w:spacing w:line="480" w:lineRule="auto"/>
        <w:ind w:right="-58"/>
        <w:jc w:val="both"/>
        <w:rPr>
          <w:b w:val="0"/>
          <w:bCs w:val="0"/>
        </w:rPr>
      </w:pPr>
      <w:r>
        <w:rPr>
          <w:b w:val="0"/>
          <w:bCs w:val="0"/>
        </w:rPr>
        <w:tab/>
        <w:t xml:space="preserve">The AMI project involves a significant investment of dollars, but it is very different than other investments of its size, such as a new power plant, and it is </w:t>
      </w:r>
      <w:r w:rsidR="006868A4">
        <w:rPr>
          <w:b w:val="0"/>
          <w:bCs w:val="0"/>
        </w:rPr>
        <w:t xml:space="preserve">critically </w:t>
      </w:r>
      <w:r>
        <w:rPr>
          <w:b w:val="0"/>
          <w:bCs w:val="0"/>
        </w:rPr>
        <w:t xml:space="preserve">important that the ratemaking treatment match the uniqueness of the AMI project.  </w:t>
      </w:r>
    </w:p>
    <w:p w:rsidR="00D22710" w:rsidRPr="00C113F3" w:rsidRDefault="00D22710" w:rsidP="00D22710">
      <w:pPr>
        <w:pStyle w:val="BodyText"/>
        <w:tabs>
          <w:tab w:val="left" w:pos="720"/>
        </w:tabs>
        <w:spacing w:line="480" w:lineRule="auto"/>
        <w:ind w:right="-58"/>
        <w:jc w:val="both"/>
        <w:rPr>
          <w:bCs w:val="0"/>
        </w:rPr>
      </w:pPr>
      <w:r w:rsidRPr="00C113F3">
        <w:rPr>
          <w:bCs w:val="0"/>
        </w:rPr>
        <w:tab/>
        <w:t>Q.</w:t>
      </w:r>
      <w:r w:rsidRPr="00C113F3">
        <w:rPr>
          <w:bCs w:val="0"/>
        </w:rPr>
        <w:tab/>
        <w:t xml:space="preserve">How is </w:t>
      </w:r>
      <w:r>
        <w:rPr>
          <w:bCs w:val="0"/>
        </w:rPr>
        <w:t xml:space="preserve">the </w:t>
      </w:r>
      <w:r w:rsidRPr="00C113F3">
        <w:rPr>
          <w:bCs w:val="0"/>
        </w:rPr>
        <w:t>AMI project different than other projects of its size?</w:t>
      </w:r>
    </w:p>
    <w:p w:rsidR="00D22710" w:rsidRDefault="00D22710" w:rsidP="00D22710">
      <w:pPr>
        <w:pStyle w:val="BodyText"/>
        <w:tabs>
          <w:tab w:val="left" w:pos="720"/>
        </w:tabs>
        <w:spacing w:line="480" w:lineRule="auto"/>
        <w:ind w:right="-58"/>
        <w:jc w:val="both"/>
        <w:rPr>
          <w:b w:val="0"/>
          <w:bCs w:val="0"/>
        </w:rPr>
      </w:pPr>
      <w:r>
        <w:rPr>
          <w:b w:val="0"/>
          <w:bCs w:val="0"/>
        </w:rPr>
        <w:tab/>
        <w:t>A.</w:t>
      </w:r>
      <w:r>
        <w:rPr>
          <w:b w:val="0"/>
          <w:bCs w:val="0"/>
        </w:rPr>
        <w:tab/>
        <w:t xml:space="preserve">AMI is a major, multi-year project, but the dollars invested in the project will be </w:t>
      </w:r>
      <w:r w:rsidRPr="006868A4">
        <w:rPr>
          <w:b w:val="0"/>
          <w:bCs w:val="0"/>
          <w:u w:val="single"/>
        </w:rPr>
        <w:t>transferred to plant in service as certain components are completed along the way</w:t>
      </w:r>
      <w:r>
        <w:rPr>
          <w:b w:val="0"/>
          <w:bCs w:val="0"/>
        </w:rPr>
        <w:t>.  For example, when the meter data management system is completed in 2017 it will be transferred to plant in service, and as new AMI meters are installed they will transfer to plant in service on a month-to-month basis.  Once investment i</w:t>
      </w:r>
      <w:r w:rsidR="006868A4">
        <w:rPr>
          <w:b w:val="0"/>
          <w:bCs w:val="0"/>
        </w:rPr>
        <w:t>s</w:t>
      </w:r>
      <w:r>
        <w:rPr>
          <w:b w:val="0"/>
          <w:bCs w:val="0"/>
        </w:rPr>
        <w:t xml:space="preserve"> transferred to plant in service, allowance for funds used during construction (AFUDC) stops, and depreciation begins on the investment.  Unless the depreciation and other costs are included in retail rates on a timely basis, the Company will not recover the costs, and will suffer negative financial impacts.</w:t>
      </w:r>
    </w:p>
    <w:p w:rsidR="00D22710" w:rsidRDefault="00794B3C" w:rsidP="00D22710">
      <w:pPr>
        <w:pStyle w:val="BodyText"/>
        <w:tabs>
          <w:tab w:val="left" w:pos="720"/>
        </w:tabs>
        <w:spacing w:line="480" w:lineRule="auto"/>
        <w:ind w:right="-58"/>
        <w:jc w:val="both"/>
        <w:rPr>
          <w:b w:val="0"/>
          <w:bCs w:val="0"/>
        </w:rPr>
      </w:pPr>
      <w:r>
        <w:rPr>
          <w:noProof/>
          <w:lang w:eastAsia="en-US"/>
        </w:rPr>
        <w:lastRenderedPageBreak/>
        <mc:AlternateContent>
          <mc:Choice Requires="wps">
            <w:drawing>
              <wp:anchor distT="0" distB="0" distL="114300" distR="114300" simplePos="0" relativeHeight="251680768" behindDoc="0" locked="0" layoutInCell="1" allowOverlap="1" wp14:anchorId="10E2FCF8" wp14:editId="6F0F6239">
                <wp:simplePos x="0" y="0"/>
                <wp:positionH relativeFrom="page">
                  <wp:align>center</wp:align>
                </wp:positionH>
                <wp:positionV relativeFrom="paragraph">
                  <wp:posOffset>-499730</wp:posOffset>
                </wp:positionV>
                <wp:extent cx="1903227" cy="287079"/>
                <wp:effectExtent l="0" t="0" r="0" b="0"/>
                <wp:wrapNone/>
                <wp:docPr id="8" name="Text Box 8"/>
                <wp:cNvGraphicFramePr/>
                <a:graphic xmlns:a="http://schemas.openxmlformats.org/drawingml/2006/main">
                  <a:graphicData uri="http://schemas.microsoft.com/office/word/2010/wordprocessingShape">
                    <wps:wsp>
                      <wps:cNvSpPr txBox="1"/>
                      <wps:spPr>
                        <a:xfrm>
                          <a:off x="0" y="0"/>
                          <a:ext cx="1903227"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B3C" w:rsidRDefault="00794B3C" w:rsidP="00794B3C">
                            <w:r>
                              <w:t>Revised - October 11,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FCF8" id="Text Box 8" o:spid="_x0000_s1029" type="#_x0000_t202" style="position:absolute;left:0;text-align:left;margin-left:0;margin-top:-39.35pt;width:149.85pt;height:22.6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" filled="f" stroked="f" strokeweight=".5pt">
                <v:textbox>
                  <w:txbxContent>
                    <w:p w:rsidR="00794B3C" w:rsidRDefault="00794B3C" w:rsidP="00794B3C">
                      <w:r>
                        <w:t>Revised - October 11, 2016</w:t>
                      </w:r>
                    </w:p>
                  </w:txbxContent>
                </v:textbox>
                <w10:wrap anchorx="page"/>
              </v:shape>
            </w:pict>
          </mc:Fallback>
        </mc:AlternateContent>
      </w:r>
      <w:r w:rsidR="00D22710">
        <w:rPr>
          <w:b w:val="0"/>
          <w:bCs w:val="0"/>
        </w:rPr>
        <w:tab/>
        <w:t xml:space="preserve">In contrast to AMI, when the Company builds a new power plant over a multi-year period, for example, it is a single project and the investment in the project generally does not transfer to plant in service until the </w:t>
      </w:r>
      <w:r w:rsidR="006868A4">
        <w:rPr>
          <w:b w:val="0"/>
          <w:bCs w:val="0"/>
        </w:rPr>
        <w:t xml:space="preserve">multi-year </w:t>
      </w:r>
      <w:r w:rsidR="00D22710">
        <w:rPr>
          <w:b w:val="0"/>
          <w:bCs w:val="0"/>
        </w:rPr>
        <w:t xml:space="preserve">project is completed.  Until the project is complete the Company accrues AFUDC on the project to cover its carrying costs, and depreciation does not begin until the investment is transferred to plant in service.  </w:t>
      </w:r>
    </w:p>
    <w:p w:rsidR="00D22710" w:rsidRDefault="00D22710" w:rsidP="00D22710">
      <w:pPr>
        <w:pStyle w:val="BodyText"/>
        <w:tabs>
          <w:tab w:val="left" w:pos="720"/>
        </w:tabs>
        <w:spacing w:line="480" w:lineRule="auto"/>
        <w:ind w:right="-58"/>
        <w:jc w:val="both"/>
        <w:rPr>
          <w:b w:val="0"/>
          <w:bCs w:val="0"/>
        </w:rPr>
      </w:pPr>
      <w:r>
        <w:rPr>
          <w:b w:val="0"/>
          <w:bCs w:val="0"/>
        </w:rPr>
        <w:tab/>
        <w:t xml:space="preserve">For a major, multi-year project that transfers to plant in service all at one time, the Company has an opportunity to time a rate case to receive timely recovery of the costs.  For AMI, because “chunks” of the investment will be periodically moved to plant in service, there would be no opportunity for Avista to receive timely recovery of the costs if the costs are not included in each rate case as proposed by Avista in this case, </w:t>
      </w:r>
      <w:r w:rsidRPr="00106C87">
        <w:rPr>
          <w:b w:val="0"/>
          <w:bCs w:val="0"/>
          <w:strike/>
        </w:rPr>
        <w:t>or deferred accounting</w:t>
      </w:r>
      <w:r w:rsidR="00C322FF" w:rsidRPr="00106C87">
        <w:rPr>
          <w:b w:val="0"/>
          <w:bCs w:val="0"/>
          <w:strike/>
        </w:rPr>
        <w:t xml:space="preserve"> treatment</w:t>
      </w:r>
      <w:r w:rsidRPr="00106C87">
        <w:rPr>
          <w:b w:val="0"/>
          <w:bCs w:val="0"/>
          <w:strike/>
        </w:rPr>
        <w:t xml:space="preserve"> is approved for the project</w:t>
      </w:r>
      <w:r>
        <w:rPr>
          <w:b w:val="0"/>
          <w:bCs w:val="0"/>
        </w:rPr>
        <w:t xml:space="preserve">. </w:t>
      </w:r>
    </w:p>
    <w:p w:rsidR="00D22710" w:rsidRPr="00106C87" w:rsidRDefault="00D22710" w:rsidP="00D22710">
      <w:pPr>
        <w:pStyle w:val="BodyText"/>
        <w:tabs>
          <w:tab w:val="left" w:pos="720"/>
        </w:tabs>
        <w:spacing w:line="480" w:lineRule="auto"/>
        <w:ind w:right="-54"/>
        <w:jc w:val="both"/>
        <w:rPr>
          <w:bCs w:val="0"/>
          <w:strike/>
        </w:rPr>
      </w:pPr>
      <w:r w:rsidRPr="00283281">
        <w:rPr>
          <w:bCs w:val="0"/>
        </w:rPr>
        <w:tab/>
      </w:r>
      <w:r w:rsidRPr="00106C87">
        <w:rPr>
          <w:bCs w:val="0"/>
          <w:strike/>
        </w:rPr>
        <w:t>Q.</w:t>
      </w:r>
      <w:r w:rsidRPr="00106C87">
        <w:rPr>
          <w:bCs w:val="0"/>
          <w:strike/>
        </w:rPr>
        <w:tab/>
        <w:t>If the Commission does not include recovery of the AMI costs for the rate period</w:t>
      </w:r>
      <w:r w:rsidR="00C322FF" w:rsidRPr="00106C87">
        <w:rPr>
          <w:bCs w:val="0"/>
          <w:strike/>
        </w:rPr>
        <w:t>,</w:t>
      </w:r>
      <w:r w:rsidRPr="00106C87">
        <w:rPr>
          <w:bCs w:val="0"/>
          <w:strike/>
        </w:rPr>
        <w:t xml:space="preserve"> as proposed by the Company in this case, why would deferred accounting be a good solution to address the concerns of all parties, including the Company?</w:t>
      </w:r>
    </w:p>
    <w:p w:rsidR="00D22710" w:rsidRPr="00106C87" w:rsidRDefault="00D22710" w:rsidP="00D22710">
      <w:pPr>
        <w:pStyle w:val="BodyText"/>
        <w:tabs>
          <w:tab w:val="left" w:pos="720"/>
        </w:tabs>
        <w:spacing w:line="480" w:lineRule="auto"/>
        <w:ind w:right="-54"/>
        <w:jc w:val="both"/>
        <w:rPr>
          <w:b w:val="0"/>
          <w:bCs w:val="0"/>
          <w:strike/>
        </w:rPr>
      </w:pPr>
      <w:r w:rsidRPr="00106C87">
        <w:rPr>
          <w:b w:val="0"/>
          <w:bCs w:val="0"/>
          <w:strike/>
        </w:rPr>
        <w:tab/>
        <w:t>A.</w:t>
      </w:r>
      <w:r w:rsidRPr="00106C87">
        <w:rPr>
          <w:b w:val="0"/>
          <w:bCs w:val="0"/>
          <w:strike/>
        </w:rPr>
        <w:tab/>
        <w:t>If the Commission does not approve recovery of the AMI costs for the rate period as proposed by the Company in this case, Avista requests the Commission approve deferred accounting treatment for the AMI project.  With deferred accounting, the revenue requirement associated with the AMI costs that are transferred to plant in service would be set aside for the opportunity for future recovery.  The use of deferred accounting for this unique project would provide the following benefits for all stakeholders:</w:t>
      </w:r>
    </w:p>
    <w:p w:rsidR="00D22710" w:rsidRPr="00106C87" w:rsidRDefault="00D22710" w:rsidP="00D22710">
      <w:pPr>
        <w:pStyle w:val="BodyText"/>
        <w:tabs>
          <w:tab w:val="left" w:pos="1440"/>
        </w:tabs>
        <w:spacing w:line="240" w:lineRule="auto"/>
        <w:ind w:left="993" w:right="-58" w:hanging="446"/>
        <w:jc w:val="both"/>
        <w:rPr>
          <w:b w:val="0"/>
          <w:bCs w:val="0"/>
          <w:strike/>
        </w:rPr>
      </w:pPr>
      <w:r w:rsidRPr="00106C87">
        <w:rPr>
          <w:b w:val="0"/>
          <w:bCs w:val="0"/>
          <w:strike/>
        </w:rPr>
        <w:t>1.</w:t>
      </w:r>
      <w:r w:rsidRPr="00106C87">
        <w:rPr>
          <w:b w:val="0"/>
          <w:bCs w:val="0"/>
          <w:strike/>
        </w:rPr>
        <w:tab/>
      </w:r>
      <w:r w:rsidRPr="00106C87">
        <w:rPr>
          <w:bCs w:val="0"/>
          <w:strike/>
        </w:rPr>
        <w:t>Non-Company Parties:</w:t>
      </w:r>
      <w:r w:rsidRPr="00106C87">
        <w:rPr>
          <w:b w:val="0"/>
          <w:bCs w:val="0"/>
          <w:strike/>
        </w:rPr>
        <w:t xml:space="preserve">  For the parties in this case that oppose including AMI costs in retail rates, through</w:t>
      </w:r>
      <w:r w:rsidR="00C322FF" w:rsidRPr="00106C87">
        <w:rPr>
          <w:b w:val="0"/>
          <w:bCs w:val="0"/>
          <w:strike/>
        </w:rPr>
        <w:t xml:space="preserve"> the use of</w:t>
      </w:r>
      <w:r w:rsidRPr="00106C87">
        <w:rPr>
          <w:b w:val="0"/>
          <w:bCs w:val="0"/>
          <w:strike/>
        </w:rPr>
        <w:t xml:space="preserve"> deferred accounting the AMI costs would be </w:t>
      </w:r>
      <w:r w:rsidRPr="00106C87">
        <w:rPr>
          <w:b w:val="0"/>
          <w:bCs w:val="0"/>
          <w:strike/>
          <w:u w:val="single"/>
        </w:rPr>
        <w:t>excluded</w:t>
      </w:r>
      <w:r w:rsidRPr="00106C87">
        <w:rPr>
          <w:b w:val="0"/>
          <w:bCs w:val="0"/>
          <w:strike/>
        </w:rPr>
        <w:t xml:space="preserve"> from retail rates at this time.  </w:t>
      </w:r>
    </w:p>
    <w:p w:rsidR="00D22710" w:rsidRPr="00106C87" w:rsidRDefault="00D22710" w:rsidP="00D22710">
      <w:pPr>
        <w:pStyle w:val="BodyText"/>
        <w:tabs>
          <w:tab w:val="left" w:pos="1440"/>
        </w:tabs>
        <w:spacing w:line="240" w:lineRule="auto"/>
        <w:ind w:left="993" w:right="-58" w:hanging="446"/>
        <w:jc w:val="both"/>
        <w:rPr>
          <w:b w:val="0"/>
          <w:bCs w:val="0"/>
          <w:strike/>
        </w:rPr>
      </w:pPr>
    </w:p>
    <w:p w:rsidR="00D22710" w:rsidRPr="00106C87" w:rsidRDefault="00D22710" w:rsidP="00D22710">
      <w:pPr>
        <w:pStyle w:val="BodyText"/>
        <w:tabs>
          <w:tab w:val="left" w:pos="1440"/>
        </w:tabs>
        <w:spacing w:line="240" w:lineRule="auto"/>
        <w:ind w:left="993" w:right="-58" w:hanging="446"/>
        <w:jc w:val="both"/>
        <w:rPr>
          <w:b w:val="0"/>
          <w:bCs w:val="0"/>
          <w:strike/>
        </w:rPr>
      </w:pPr>
      <w:r w:rsidRPr="00106C87">
        <w:rPr>
          <w:b w:val="0"/>
          <w:bCs w:val="0"/>
          <w:strike/>
        </w:rPr>
        <w:t>2.</w:t>
      </w:r>
      <w:r w:rsidRPr="00106C87">
        <w:rPr>
          <w:b w:val="0"/>
          <w:bCs w:val="0"/>
          <w:strike/>
        </w:rPr>
        <w:tab/>
      </w:r>
      <w:r w:rsidRPr="00106C87">
        <w:rPr>
          <w:bCs w:val="0"/>
          <w:strike/>
        </w:rPr>
        <w:t>Avista:</w:t>
      </w:r>
      <w:r w:rsidRPr="00106C87">
        <w:rPr>
          <w:b w:val="0"/>
          <w:bCs w:val="0"/>
          <w:strike/>
        </w:rPr>
        <w:t xml:space="preserve">  With deferred accounting Avista would not experience the significant negative financial impact from excluding AMI cost recovery in this case.  </w:t>
      </w:r>
    </w:p>
    <w:p w:rsidR="00D22710" w:rsidRPr="00106C87" w:rsidRDefault="00106C87" w:rsidP="00D22710">
      <w:pPr>
        <w:pStyle w:val="BodyText"/>
        <w:tabs>
          <w:tab w:val="left" w:pos="1440"/>
        </w:tabs>
        <w:spacing w:line="240" w:lineRule="auto"/>
        <w:ind w:left="993" w:right="-58" w:hanging="446"/>
        <w:jc w:val="both"/>
        <w:rPr>
          <w:b w:val="0"/>
          <w:bCs w:val="0"/>
          <w:strike/>
        </w:rPr>
      </w:pPr>
      <w:r>
        <w:rPr>
          <w:noProof/>
          <w:lang w:eastAsia="en-US"/>
        </w:rPr>
        <w:lastRenderedPageBreak/>
        <mc:AlternateContent>
          <mc:Choice Requires="wps">
            <w:drawing>
              <wp:anchor distT="0" distB="0" distL="114300" distR="114300" simplePos="0" relativeHeight="251688960" behindDoc="0" locked="0" layoutInCell="1" allowOverlap="1" wp14:anchorId="1D2F7545" wp14:editId="40B29AAE">
                <wp:simplePos x="0" y="0"/>
                <wp:positionH relativeFrom="page">
                  <wp:align>center</wp:align>
                </wp:positionH>
                <wp:positionV relativeFrom="paragraph">
                  <wp:posOffset>-499125</wp:posOffset>
                </wp:positionV>
                <wp:extent cx="1903227" cy="28707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03227"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C87" w:rsidRDefault="00106C87" w:rsidP="00106C87">
                            <w:r>
                              <w:t>Revised - October 11,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F7545" id="Text Box 13" o:spid="_x0000_s1030" type="#_x0000_t202" style="position:absolute;left:0;text-align:left;margin-left:0;margin-top:-39.3pt;width:149.85pt;height:22.6pt;z-index:251688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" filled="f" stroked="f" strokeweight=".5pt">
                <v:textbox>
                  <w:txbxContent>
                    <w:p w:rsidR="00106C87" w:rsidRDefault="00106C87" w:rsidP="00106C87">
                      <w:r>
                        <w:t>Revised - October 11, 2016</w:t>
                      </w:r>
                    </w:p>
                  </w:txbxContent>
                </v:textbox>
                <w10:wrap anchorx="page"/>
              </v:shape>
            </w:pict>
          </mc:Fallback>
        </mc:AlternateContent>
      </w:r>
    </w:p>
    <w:p w:rsidR="00D22710" w:rsidRPr="00106C87" w:rsidRDefault="00D22710" w:rsidP="00D22710">
      <w:pPr>
        <w:pStyle w:val="BodyText"/>
        <w:tabs>
          <w:tab w:val="left" w:pos="1440"/>
        </w:tabs>
        <w:spacing w:line="240" w:lineRule="auto"/>
        <w:ind w:left="993" w:right="-58" w:hanging="446"/>
        <w:jc w:val="both"/>
        <w:rPr>
          <w:b w:val="0"/>
          <w:bCs w:val="0"/>
          <w:strike/>
        </w:rPr>
      </w:pPr>
      <w:r w:rsidRPr="00106C87">
        <w:rPr>
          <w:b w:val="0"/>
          <w:bCs w:val="0"/>
          <w:strike/>
        </w:rPr>
        <w:t>3.</w:t>
      </w:r>
      <w:r w:rsidRPr="00106C87">
        <w:rPr>
          <w:b w:val="0"/>
          <w:bCs w:val="0"/>
          <w:strike/>
        </w:rPr>
        <w:tab/>
      </w:r>
      <w:r w:rsidRPr="00106C87">
        <w:rPr>
          <w:bCs w:val="0"/>
          <w:strike/>
        </w:rPr>
        <w:t>Commission:</w:t>
      </w:r>
      <w:r w:rsidRPr="00106C87">
        <w:rPr>
          <w:b w:val="0"/>
          <w:bCs w:val="0"/>
          <w:strike/>
        </w:rPr>
        <w:t xml:space="preserve">  To the extent the Commission decides to defer a decision on the prudence of the project itself, or the year-by-year costs associated with the project, with deferred accounting the Commission will have the opportunity to review the costs after-the-fact, and make a prudence determination prior to the Company receiving recovery of the prudently incurred costs through retail rates.  </w:t>
      </w:r>
    </w:p>
    <w:p w:rsidR="00D22710" w:rsidRPr="00106C87" w:rsidRDefault="00D22710" w:rsidP="00D22710">
      <w:pPr>
        <w:pStyle w:val="BodyText"/>
        <w:tabs>
          <w:tab w:val="left" w:pos="720"/>
        </w:tabs>
        <w:spacing w:line="480" w:lineRule="auto"/>
        <w:ind w:right="-54"/>
        <w:jc w:val="both"/>
        <w:rPr>
          <w:b w:val="0"/>
          <w:bCs w:val="0"/>
          <w:strike/>
        </w:rPr>
      </w:pPr>
      <w:r w:rsidRPr="00106C87">
        <w:rPr>
          <w:b w:val="0"/>
          <w:bCs w:val="0"/>
          <w:strike/>
        </w:rPr>
        <w:tab/>
      </w:r>
    </w:p>
    <w:p w:rsidR="00D22710" w:rsidRPr="00106C87" w:rsidRDefault="00D22710" w:rsidP="00D22710">
      <w:pPr>
        <w:pStyle w:val="BodyText"/>
        <w:tabs>
          <w:tab w:val="left" w:pos="720"/>
        </w:tabs>
        <w:spacing w:line="480" w:lineRule="auto"/>
        <w:ind w:right="-54"/>
        <w:jc w:val="both"/>
        <w:rPr>
          <w:b w:val="0"/>
          <w:bCs w:val="0"/>
          <w:strike/>
        </w:rPr>
      </w:pPr>
      <w:r w:rsidRPr="00106C87">
        <w:rPr>
          <w:b w:val="0"/>
          <w:bCs w:val="0"/>
          <w:strike/>
        </w:rPr>
        <w:tab/>
        <w:t xml:space="preserve">With regard to WAC </w:t>
      </w:r>
      <w:r w:rsidR="00C46F07" w:rsidRPr="00106C87">
        <w:rPr>
          <w:b w:val="0"/>
          <w:bCs w:val="0"/>
          <w:strike/>
        </w:rPr>
        <w:t>480-07-370(1)(b)</w:t>
      </w:r>
      <w:r w:rsidRPr="00106C87">
        <w:rPr>
          <w:b w:val="0"/>
          <w:bCs w:val="0"/>
          <w:strike/>
        </w:rPr>
        <w:t xml:space="preserve">, should the Commission not approve recovery of the AMI costs for the rate period as proposed by the Company in this case, Avista </w:t>
      </w:r>
      <w:r w:rsidR="00452D68" w:rsidRPr="00106C87">
        <w:rPr>
          <w:b w:val="0"/>
          <w:bCs w:val="0"/>
          <w:strike/>
        </w:rPr>
        <w:t>requests the Commission approve</w:t>
      </w:r>
      <w:r w:rsidRPr="00106C87">
        <w:rPr>
          <w:b w:val="0"/>
          <w:bCs w:val="0"/>
          <w:strike/>
        </w:rPr>
        <w:t xml:space="preserve"> deferred accounting treatment for the AMI project.  Ms. Andrews provides additional details regarding the accounting for costs under deferred accounting treatment for AMI.</w:t>
      </w:r>
    </w:p>
    <w:p w:rsidR="00D22710" w:rsidRPr="00106C87" w:rsidRDefault="00D22710" w:rsidP="00D22710">
      <w:pPr>
        <w:pStyle w:val="BodyText"/>
        <w:tabs>
          <w:tab w:val="left" w:pos="720"/>
        </w:tabs>
        <w:spacing w:line="480" w:lineRule="auto"/>
        <w:ind w:right="-54"/>
        <w:jc w:val="both"/>
        <w:rPr>
          <w:bCs w:val="0"/>
          <w:strike/>
        </w:rPr>
      </w:pPr>
      <w:r w:rsidRPr="00106C87">
        <w:rPr>
          <w:bCs w:val="0"/>
          <w:strike/>
        </w:rPr>
        <w:tab/>
        <w:t>Q.</w:t>
      </w:r>
      <w:r w:rsidRPr="00106C87">
        <w:rPr>
          <w:bCs w:val="0"/>
          <w:strike/>
        </w:rPr>
        <w:tab/>
        <w:t>Has the Commission already approved deferred accounting treatment for one element of AMI?</w:t>
      </w:r>
    </w:p>
    <w:p w:rsidR="00D22710" w:rsidRPr="00106C87" w:rsidRDefault="00D22710" w:rsidP="00D22710">
      <w:pPr>
        <w:pStyle w:val="BodyText"/>
        <w:tabs>
          <w:tab w:val="left" w:pos="720"/>
        </w:tabs>
        <w:spacing w:line="480" w:lineRule="auto"/>
        <w:ind w:right="-54"/>
        <w:jc w:val="both"/>
        <w:rPr>
          <w:b w:val="0"/>
          <w:bCs w:val="0"/>
          <w:strike/>
        </w:rPr>
      </w:pPr>
      <w:r w:rsidRPr="00106C87">
        <w:rPr>
          <w:b w:val="0"/>
          <w:bCs w:val="0"/>
          <w:strike/>
        </w:rPr>
        <w:tab/>
        <w:t>A.</w:t>
      </w:r>
      <w:r w:rsidRPr="00106C87">
        <w:rPr>
          <w:b w:val="0"/>
          <w:bCs w:val="0"/>
          <w:strike/>
        </w:rPr>
        <w:tab/>
        <w:t>Yes.  In Order 01 in Docket</w:t>
      </w:r>
      <w:r w:rsidR="00435D15" w:rsidRPr="00106C87">
        <w:rPr>
          <w:b w:val="0"/>
          <w:bCs w:val="0"/>
          <w:strike/>
        </w:rPr>
        <w:t xml:space="preserve"> No. </w:t>
      </w:r>
      <w:r w:rsidRPr="00106C87">
        <w:rPr>
          <w:b w:val="0"/>
          <w:bCs w:val="0"/>
          <w:strike/>
        </w:rPr>
        <w:t xml:space="preserve">UE-160100 the Commission approved deferred accounting treatment for the costs associated with the existing electric meters that will be removed from service, as the new AMI meters are installed.   This deferred accounting was approved, in large part, because of the unique nature of the AMI project, and carries with it the same benefits for stakeholders that were identified immediately above for non-Company parties, Avista, and the Commission.  </w:t>
      </w:r>
    </w:p>
    <w:p w:rsidR="005C6082" w:rsidRPr="005C6082" w:rsidRDefault="00D22710" w:rsidP="005C6082">
      <w:pPr>
        <w:pStyle w:val="BodyText"/>
        <w:tabs>
          <w:tab w:val="left" w:pos="720"/>
        </w:tabs>
        <w:spacing w:line="480" w:lineRule="auto"/>
        <w:ind w:right="-54"/>
        <w:jc w:val="both"/>
        <w:rPr>
          <w:b w:val="0"/>
          <w:bCs w:val="0"/>
        </w:rPr>
      </w:pPr>
      <w:r w:rsidRPr="00106C87">
        <w:rPr>
          <w:b w:val="0"/>
          <w:bCs w:val="0"/>
          <w:strike/>
        </w:rPr>
        <w:tab/>
        <w:t>In the same vein, if the Commission does not approve recovery of the AMI costs for the rate period as proposed by the Company in this case, expansion of the deferred accounting treatment already approved for the AMI project would be a good solution to meet the needs of all the parties in this case.</w:t>
      </w:r>
      <w:r w:rsidR="005C6082">
        <w:rPr>
          <w:b w:val="0"/>
          <w:bCs w:val="0"/>
        </w:rPr>
        <w:br w:type="page"/>
      </w:r>
    </w:p>
    <w:p w:rsidR="00D22710" w:rsidRPr="00DB6F89" w:rsidRDefault="00D22710" w:rsidP="00D22710">
      <w:pPr>
        <w:pStyle w:val="BodyText"/>
        <w:tabs>
          <w:tab w:val="left" w:pos="720"/>
        </w:tabs>
        <w:spacing w:line="480" w:lineRule="auto"/>
        <w:ind w:right="-54"/>
        <w:jc w:val="both"/>
        <w:rPr>
          <w:bCs w:val="0"/>
          <w:u w:val="single"/>
        </w:rPr>
      </w:pPr>
      <w:r w:rsidRPr="000D4B93">
        <w:rPr>
          <w:bCs w:val="0"/>
          <w:u w:val="single"/>
        </w:rPr>
        <w:lastRenderedPageBreak/>
        <w:t>Montana Riverbed Lease</w:t>
      </w:r>
    </w:p>
    <w:p w:rsidR="000D4B93" w:rsidRPr="008345F3" w:rsidRDefault="000D4B93" w:rsidP="000D4B93">
      <w:pPr>
        <w:spacing w:line="480" w:lineRule="auto"/>
        <w:ind w:firstLine="720"/>
        <w:jc w:val="both"/>
        <w:rPr>
          <w:b/>
          <w:bCs/>
        </w:rPr>
      </w:pPr>
      <w:r w:rsidRPr="008345F3">
        <w:rPr>
          <w:b/>
          <w:bCs/>
        </w:rPr>
        <w:t>Q.</w:t>
      </w:r>
      <w:r w:rsidRPr="008345F3">
        <w:rPr>
          <w:b/>
          <w:bCs/>
        </w:rPr>
        <w:tab/>
        <w:t>Please describe the Company’s Montana Riverbed Lease.</w:t>
      </w:r>
    </w:p>
    <w:p w:rsidR="000D4B93" w:rsidRPr="008345F3" w:rsidRDefault="000D4B93" w:rsidP="000D4B93">
      <w:pPr>
        <w:spacing w:line="480" w:lineRule="auto"/>
        <w:ind w:firstLine="720"/>
        <w:jc w:val="both"/>
      </w:pPr>
      <w:r w:rsidRPr="008345F3">
        <w:rPr>
          <w:bCs/>
        </w:rPr>
        <w:t>A.</w:t>
      </w:r>
      <w:r w:rsidRPr="008345F3">
        <w:rPr>
          <w:bCs/>
        </w:rPr>
        <w:tab/>
      </w:r>
      <w:r>
        <w:rPr>
          <w:bCs/>
        </w:rPr>
        <w:t>T</w:t>
      </w:r>
      <w:r w:rsidRPr="008345F3">
        <w:rPr>
          <w:bCs/>
        </w:rPr>
        <w:t xml:space="preserve">he Company agreed to pay the State of Montana $4.0 million (electric system) annually beginning in 2007 with annual inflation adjustments.  </w:t>
      </w:r>
      <w:r w:rsidRPr="008345F3">
        <w:t>Avista’s obligation to pay the State of Montana rent under the Hydropower Site Lease for the Noxon Rapids Project (effective January 1, 2007) continues for the forty-five (45) year term of the lease ending February 28, 2046, or sooner if the FERC license terminates before its</w:t>
      </w:r>
      <w:r w:rsidR="00435D15">
        <w:t xml:space="preserve"> scheduled expiration in 2046.</w:t>
      </w:r>
      <w:r w:rsidR="00435D15">
        <w:rPr>
          <w:rStyle w:val="FootnoteReference"/>
        </w:rPr>
        <w:footnoteReference w:id="37"/>
      </w:r>
      <w:r>
        <w:t xml:space="preserve">  Per the initial agreement, after the first ten years of the lease (2007 - 2016) the parties are to meet to attempt to renegotiate the level of payments.  </w:t>
      </w:r>
      <w:r w:rsidRPr="008345F3">
        <w:t>The</w:t>
      </w:r>
      <w:r>
        <w:t>se renegotiations for the r</w:t>
      </w:r>
      <w:r w:rsidRPr="008345F3">
        <w:t xml:space="preserve">iverbed </w:t>
      </w:r>
      <w:r>
        <w:t>l</w:t>
      </w:r>
      <w:r w:rsidRPr="008345F3">
        <w:t xml:space="preserve">ease </w:t>
      </w:r>
      <w:r>
        <w:t>payment levels began in 2016</w:t>
      </w:r>
      <w:r w:rsidR="00C374AF">
        <w:t>,</w:t>
      </w:r>
      <w:r>
        <w:t xml:space="preserve"> but are on hold for reasons discussed below. </w:t>
      </w:r>
      <w:r w:rsidRPr="008345F3">
        <w:t>The obligation to pay the agreed-upon level of rent</w:t>
      </w:r>
      <w:r>
        <w:t>, however,</w:t>
      </w:r>
      <w:r w:rsidRPr="008345F3">
        <w:t xml:space="preserve"> does not terminate after the initial ten year period of the Site Lease</w:t>
      </w:r>
      <w:r w:rsidR="00C374AF">
        <w:t>,</w:t>
      </w:r>
      <w:r>
        <w:t xml:space="preserve"> and </w:t>
      </w:r>
      <w:r w:rsidRPr="008345F3">
        <w:t xml:space="preserve">the </w:t>
      </w:r>
      <w:r>
        <w:t>C</w:t>
      </w:r>
      <w:r w:rsidRPr="008345F3">
        <w:t>ompany is still required to make the scheduled rent payment in 2017 and beyond to the State of Montana</w:t>
      </w:r>
      <w:r>
        <w:t>, unless and until the parties both agree to an adjusted amount</w:t>
      </w:r>
      <w:r w:rsidRPr="008345F3">
        <w:t>.</w:t>
      </w:r>
      <w:r>
        <w:t xml:space="preserve"> </w:t>
      </w:r>
      <w:r w:rsidRPr="008345F3">
        <w:t>The 2017 lease payment will be approximately $5.2 million of which $3.4 million will be charged to Washington and is included in the Company’s direct filed case.</w:t>
      </w:r>
    </w:p>
    <w:p w:rsidR="000D4B93" w:rsidRPr="008345F3" w:rsidRDefault="000D4B93" w:rsidP="000D4B93">
      <w:pPr>
        <w:spacing w:line="480" w:lineRule="auto"/>
        <w:ind w:firstLine="720"/>
        <w:jc w:val="both"/>
        <w:rPr>
          <w:b/>
        </w:rPr>
      </w:pPr>
      <w:r w:rsidRPr="008345F3">
        <w:rPr>
          <w:b/>
        </w:rPr>
        <w:t xml:space="preserve">Q. </w:t>
      </w:r>
      <w:r w:rsidRPr="008345F3">
        <w:rPr>
          <w:b/>
        </w:rPr>
        <w:tab/>
        <w:t>Did any party propose to exclude these charges from the Company’s direct filed case?</w:t>
      </w:r>
    </w:p>
    <w:p w:rsidR="000D4B93" w:rsidRPr="008345F3" w:rsidRDefault="000D4B93" w:rsidP="000D4B93">
      <w:pPr>
        <w:spacing w:line="480" w:lineRule="auto"/>
        <w:ind w:firstLine="720"/>
        <w:jc w:val="both"/>
      </w:pPr>
      <w:r w:rsidRPr="008345F3">
        <w:t>A.</w:t>
      </w:r>
      <w:r w:rsidRPr="008345F3">
        <w:tab/>
        <w:t>Yes.  Washington Staff Ms. O’Connell recommended that the Montana Riverbed Lease amount be removed.  The effect of this modification is a reduction in revenue requirement of $3,526,475.</w:t>
      </w:r>
    </w:p>
    <w:p w:rsidR="000D4B93" w:rsidRPr="008345F3" w:rsidRDefault="000D4B93" w:rsidP="000D4B93">
      <w:pPr>
        <w:spacing w:line="480" w:lineRule="auto"/>
        <w:ind w:firstLine="720"/>
        <w:jc w:val="both"/>
        <w:rPr>
          <w:b/>
        </w:rPr>
      </w:pPr>
      <w:r w:rsidRPr="008345F3">
        <w:rPr>
          <w:b/>
        </w:rPr>
        <w:lastRenderedPageBreak/>
        <w:t xml:space="preserve">Q. </w:t>
      </w:r>
      <w:r w:rsidRPr="008345F3">
        <w:rPr>
          <w:b/>
        </w:rPr>
        <w:tab/>
        <w:t xml:space="preserve">Does the Company </w:t>
      </w:r>
      <w:r>
        <w:rPr>
          <w:b/>
        </w:rPr>
        <w:t>a</w:t>
      </w:r>
      <w:r w:rsidRPr="008345F3">
        <w:rPr>
          <w:b/>
        </w:rPr>
        <w:t>gree with the recommendation proposed by Ms. O’Connell?</w:t>
      </w:r>
    </w:p>
    <w:p w:rsidR="000D4B93" w:rsidRPr="008345F3" w:rsidRDefault="000D4B93" w:rsidP="000D4B93">
      <w:pPr>
        <w:spacing w:line="480" w:lineRule="auto"/>
        <w:ind w:firstLine="720"/>
        <w:jc w:val="both"/>
      </w:pPr>
      <w:r w:rsidRPr="008345F3">
        <w:t xml:space="preserve">A. </w:t>
      </w:r>
      <w:r w:rsidRPr="008345F3">
        <w:tab/>
        <w:t xml:space="preserve">No.  </w:t>
      </w:r>
      <w:r>
        <w:t xml:space="preserve">As noted above, </w:t>
      </w:r>
      <w:r w:rsidRPr="008345F3">
        <w:t>the Company is still required to make the scheduled rent payment in 2017</w:t>
      </w:r>
      <w:r w:rsidR="00C374AF">
        <w:t>,</w:t>
      </w:r>
      <w:r w:rsidRPr="008345F3">
        <w:t xml:space="preserve"> and beyond</w:t>
      </w:r>
      <w:r w:rsidR="00C374AF">
        <w:t>,</w:t>
      </w:r>
      <w:r w:rsidRPr="008345F3">
        <w:t xml:space="preserve"> to the State of Montana</w:t>
      </w:r>
      <w:r>
        <w:t>, and therefore will continue to incur this expense, until such time as the parties are able to reach agreement on any adjusted level for the remainder of the lease</w:t>
      </w:r>
      <w:r w:rsidRPr="008345F3">
        <w:t>.</w:t>
      </w:r>
    </w:p>
    <w:p w:rsidR="000D4B93" w:rsidRPr="008345F3" w:rsidRDefault="000D4B93" w:rsidP="000D4B93">
      <w:pPr>
        <w:spacing w:line="480" w:lineRule="auto"/>
        <w:ind w:firstLine="720"/>
        <w:jc w:val="both"/>
        <w:rPr>
          <w:b/>
        </w:rPr>
      </w:pPr>
      <w:r w:rsidRPr="008345F3">
        <w:rPr>
          <w:b/>
        </w:rPr>
        <w:t xml:space="preserve">Q. </w:t>
      </w:r>
      <w:r w:rsidRPr="008345F3">
        <w:rPr>
          <w:b/>
        </w:rPr>
        <w:tab/>
        <w:t>Please provide the historical background regarding the Montana Riverbed Lease Agreement?</w:t>
      </w:r>
    </w:p>
    <w:p w:rsidR="000D4B93" w:rsidRDefault="000D4B93" w:rsidP="000D4B93">
      <w:pPr>
        <w:spacing w:line="480" w:lineRule="auto"/>
        <w:ind w:firstLine="720"/>
        <w:jc w:val="both"/>
      </w:pPr>
      <w:r w:rsidRPr="008345F3">
        <w:t>A.</w:t>
      </w:r>
      <w:r w:rsidRPr="008345F3">
        <w:tab/>
      </w:r>
      <w:r>
        <w:t xml:space="preserve">In 2006, the State of Montana brought an action in Montana District Court against both Avista and </w:t>
      </w:r>
      <w:proofErr w:type="spellStart"/>
      <w:r>
        <w:t>PPL</w:t>
      </w:r>
      <w:proofErr w:type="spellEnd"/>
      <w:r>
        <w:t xml:space="preserve"> Montana (</w:t>
      </w:r>
      <w:proofErr w:type="spellStart"/>
      <w:r>
        <w:t>PPL</w:t>
      </w:r>
      <w:proofErr w:type="spellEnd"/>
      <w:r>
        <w:t>) as owners of hydroelectric dams in the State, contending that these dams encroached on state-owned lands consisting of the beds and banks of what it argued were “navigable waters.”  It argues that rent was owing for both prior trespass since the construction of the dams as well as prospectively for the term of the FERC license.</w:t>
      </w:r>
    </w:p>
    <w:p w:rsidR="000D4B93" w:rsidRPr="008345F3" w:rsidRDefault="000D4B93" w:rsidP="000D4B93">
      <w:pPr>
        <w:spacing w:line="480" w:lineRule="auto"/>
        <w:ind w:firstLine="720"/>
        <w:jc w:val="both"/>
      </w:pPr>
      <w:r w:rsidRPr="008345F3">
        <w:t xml:space="preserve">Several weeks before trial was to start against Avista and </w:t>
      </w:r>
      <w:proofErr w:type="spellStart"/>
      <w:r w:rsidRPr="008345F3">
        <w:t>PPL</w:t>
      </w:r>
      <w:proofErr w:type="spellEnd"/>
      <w:r w:rsidRPr="008345F3">
        <w:t xml:space="preserve"> Montana (“</w:t>
      </w:r>
      <w:proofErr w:type="spellStart"/>
      <w:r w:rsidRPr="008345F3">
        <w:t>PPL</w:t>
      </w:r>
      <w:proofErr w:type="spellEnd"/>
      <w:r w:rsidRPr="008345F3">
        <w:t xml:space="preserve">”), District Court Judge </w:t>
      </w:r>
      <w:proofErr w:type="spellStart"/>
      <w:r w:rsidRPr="008345F3">
        <w:t>Honzel</w:t>
      </w:r>
      <w:proofErr w:type="spellEnd"/>
      <w:r w:rsidRPr="008345F3">
        <w:t xml:space="preserve"> entered an Order in 2007 finding that the Clark Fork River and various other rivers on which </w:t>
      </w:r>
      <w:proofErr w:type="spellStart"/>
      <w:r w:rsidRPr="008345F3">
        <w:t>PPL</w:t>
      </w:r>
      <w:proofErr w:type="spellEnd"/>
      <w:r w:rsidRPr="008345F3">
        <w:t xml:space="preserve"> had hydro facilities were navigable and therefore the bed and banks of those rivers were owned by the State of Montana (“State”). As a result, the only issues for trial was the amount of past damages and future rental payments owed by Avista and </w:t>
      </w:r>
      <w:proofErr w:type="spellStart"/>
      <w:r w:rsidRPr="008345F3">
        <w:t>PPL</w:t>
      </w:r>
      <w:proofErr w:type="spellEnd"/>
      <w:r w:rsidRPr="008345F3">
        <w:t xml:space="preserve">. </w:t>
      </w:r>
    </w:p>
    <w:p w:rsidR="000D4B93" w:rsidRPr="008345F3" w:rsidRDefault="000D4B93" w:rsidP="000D4B93">
      <w:pPr>
        <w:spacing w:line="480" w:lineRule="auto"/>
        <w:ind w:firstLine="720"/>
        <w:jc w:val="both"/>
      </w:pPr>
      <w:r w:rsidRPr="008345F3">
        <w:t xml:space="preserve">Prior to trial, the State, through its expert, claimed that Avista owed $200,374,752 in damages for past rent, and rent of $8,416,510 per year starting in 2006. Faced with the District Court’s ruling on navigability, the significant judgment being sought, and the probability that </w:t>
      </w:r>
      <w:r w:rsidRPr="008345F3">
        <w:lastRenderedPageBreak/>
        <w:t xml:space="preserve">the Montana Supreme Court would affirm the District Court’s ruling (which it ultimately did), Avista reached a settlement with the State. In exchange for Avista agreeing to pay $4,000,000 per year in rent (with an annual CPI adjustment), the State agreed to dismiss all of its other claims, including all damages for past rent. In addition, the Settlement Agreement contained a Most Favored Nation provision which provides, among other things, that if </w:t>
      </w:r>
      <w:proofErr w:type="spellStart"/>
      <w:r w:rsidRPr="008345F3">
        <w:t>PPL</w:t>
      </w:r>
      <w:proofErr w:type="spellEnd"/>
      <w:r w:rsidRPr="008345F3">
        <w:t xml:space="preserve"> achieve</w:t>
      </w:r>
      <w:r>
        <w:t>d</w:t>
      </w:r>
      <w:r w:rsidRPr="008345F3">
        <w:t xml:space="preserve"> a more favorable outcome at trial or through settlement, Avista w</w:t>
      </w:r>
      <w:r>
        <w:t>ould</w:t>
      </w:r>
      <w:r w:rsidRPr="008345F3">
        <w:t xml:space="preserve"> receive the benefit of that outcome. </w:t>
      </w:r>
    </w:p>
    <w:p w:rsidR="000D4B93" w:rsidRPr="008345F3" w:rsidRDefault="000D4B93" w:rsidP="000D4B93">
      <w:pPr>
        <w:spacing w:line="480" w:lineRule="auto"/>
        <w:ind w:firstLine="720"/>
        <w:jc w:val="both"/>
      </w:pPr>
      <w:r w:rsidRPr="008345F3">
        <w:t xml:space="preserve">Following Avista’s settlement, the case proceeded to trial against </w:t>
      </w:r>
      <w:proofErr w:type="spellStart"/>
      <w:r w:rsidRPr="008345F3">
        <w:t>PPL</w:t>
      </w:r>
      <w:proofErr w:type="spellEnd"/>
      <w:r w:rsidRPr="008345F3">
        <w:t xml:space="preserve">. After hearing the evidence, Judge </w:t>
      </w:r>
      <w:proofErr w:type="spellStart"/>
      <w:r w:rsidRPr="008345F3">
        <w:t>Honzel</w:t>
      </w:r>
      <w:proofErr w:type="spellEnd"/>
      <w:r w:rsidRPr="008345F3">
        <w:t xml:space="preserve"> entered judgment against </w:t>
      </w:r>
      <w:proofErr w:type="spellStart"/>
      <w:r w:rsidRPr="008345F3">
        <w:t>PPL</w:t>
      </w:r>
      <w:proofErr w:type="spellEnd"/>
      <w:r w:rsidRPr="008345F3">
        <w:t xml:space="preserve"> for past rent of $34,743,261 and for annual payments of $6,207,919 starting in 2007. Based upon Judge </w:t>
      </w:r>
      <w:proofErr w:type="spellStart"/>
      <w:r w:rsidRPr="008345F3">
        <w:t>Honzel’s</w:t>
      </w:r>
      <w:proofErr w:type="spellEnd"/>
      <w:r w:rsidRPr="008345F3">
        <w:t xml:space="preserve"> ruling, if Avista had remained in the case, it is likely judgment would have been entered against it for approximately $5</w:t>
      </w:r>
      <w:r w:rsidR="00863C17">
        <w:t>9</w:t>
      </w:r>
      <w:r w:rsidRPr="008345F3">
        <w:t xml:space="preserve"> million for past rents and more than $7 million per year in future rents beginning in 2007, which, including post-judgment interest, would have exposed Avista’s ratepayers to an </w:t>
      </w:r>
      <w:r w:rsidRPr="008345F3">
        <w:rPr>
          <w:u w:val="single"/>
        </w:rPr>
        <w:t>additional</w:t>
      </w:r>
      <w:r w:rsidRPr="008345F3">
        <w:t xml:space="preserve"> $98 million in costs, beyond the agreed-upon level of rent.  Since Avista’s settlement was much more favorable than the outcome </w:t>
      </w:r>
      <w:proofErr w:type="spellStart"/>
      <w:r w:rsidRPr="008345F3">
        <w:t>PPL</w:t>
      </w:r>
      <w:proofErr w:type="spellEnd"/>
      <w:r w:rsidRPr="008345F3">
        <w:t xml:space="preserve"> obtained at trial, the Most Favored Nation provision was not triggered.</w:t>
      </w:r>
    </w:p>
    <w:p w:rsidR="000D4B93" w:rsidRPr="008345F3" w:rsidRDefault="000D4B93" w:rsidP="000D4B93">
      <w:pPr>
        <w:spacing w:line="480" w:lineRule="auto"/>
        <w:ind w:firstLine="720"/>
        <w:jc w:val="both"/>
      </w:pPr>
      <w:r w:rsidRPr="008345F3">
        <w:t xml:space="preserve">After the Montana Supreme Court affirmed the District Court’s ruling, </w:t>
      </w:r>
      <w:proofErr w:type="spellStart"/>
      <w:r w:rsidRPr="008345F3">
        <w:t>PPL</w:t>
      </w:r>
      <w:proofErr w:type="spellEnd"/>
      <w:r w:rsidRPr="008345F3">
        <w:t xml:space="preserve"> sought review in the U.S. Supreme Court.  Of the 7,713 cases filed in the U.S. Supreme Court during its 2011 Term, the Court only accepted 79 cases. </w:t>
      </w:r>
      <w:proofErr w:type="spellStart"/>
      <w:r w:rsidRPr="008345F3">
        <w:t>PPL’s</w:t>
      </w:r>
      <w:proofErr w:type="spellEnd"/>
      <w:r w:rsidRPr="008345F3">
        <w:t xml:space="preserve"> appeal was one of those few cases.  Had the Court not accepted review, the decision of the Montana Supreme Court against </w:t>
      </w:r>
      <w:proofErr w:type="spellStart"/>
      <w:r w:rsidRPr="008345F3">
        <w:t>PPL</w:t>
      </w:r>
      <w:proofErr w:type="spellEnd"/>
      <w:r w:rsidRPr="008345F3">
        <w:t xml:space="preserve"> would have stood.</w:t>
      </w:r>
    </w:p>
    <w:p w:rsidR="000D4B93" w:rsidRPr="008345F3" w:rsidRDefault="000D4B93" w:rsidP="000D4B93">
      <w:pPr>
        <w:spacing w:line="480" w:lineRule="auto"/>
        <w:ind w:firstLine="720"/>
        <w:jc w:val="both"/>
      </w:pPr>
      <w:r w:rsidRPr="008345F3">
        <w:t xml:space="preserve">The U.S. Supreme Court ultimately ruled that the determination of riverbed title, under the Equal-Footing Doctrine, should be made on a segment-by-segment basis depending on the </w:t>
      </w:r>
      <w:r w:rsidRPr="008345F3">
        <w:lastRenderedPageBreak/>
        <w:t xml:space="preserve">facts.  Consequently, the U.S. Supreme Court reversed the Montana Supreme Court and remanded the case against </w:t>
      </w:r>
      <w:proofErr w:type="spellStart"/>
      <w:r w:rsidRPr="008345F3">
        <w:t>PPL</w:t>
      </w:r>
      <w:proofErr w:type="spellEnd"/>
      <w:r w:rsidRPr="008345F3">
        <w:t xml:space="preserve"> back to Montana for further proceedings surrounding the navigability of each river segment.</w:t>
      </w:r>
      <w:r w:rsidR="008F6C0C">
        <w:rPr>
          <w:rStyle w:val="FootnoteReference"/>
        </w:rPr>
        <w:footnoteReference w:id="38"/>
      </w:r>
    </w:p>
    <w:p w:rsidR="000D4B93" w:rsidRPr="008345F3" w:rsidRDefault="000D4B93" w:rsidP="000D4B93">
      <w:pPr>
        <w:spacing w:line="480" w:lineRule="auto"/>
        <w:ind w:firstLine="720"/>
        <w:jc w:val="both"/>
        <w:rPr>
          <w:b/>
          <w:bCs/>
        </w:rPr>
      </w:pPr>
      <w:r w:rsidRPr="008345F3">
        <w:rPr>
          <w:b/>
          <w:bCs/>
        </w:rPr>
        <w:t>Q.</w:t>
      </w:r>
      <w:r w:rsidRPr="008345F3">
        <w:rPr>
          <w:b/>
          <w:bCs/>
        </w:rPr>
        <w:tab/>
        <w:t>What is the current status of the negotiations for the Montana Riverbed Lease Agreement?</w:t>
      </w:r>
    </w:p>
    <w:p w:rsidR="000D4B93" w:rsidRDefault="000D4B93" w:rsidP="000D4B93">
      <w:pPr>
        <w:spacing w:line="480" w:lineRule="auto"/>
        <w:ind w:firstLine="720"/>
        <w:jc w:val="both"/>
      </w:pPr>
      <w:r w:rsidRPr="008345F3">
        <w:rPr>
          <w:b/>
          <w:bCs/>
        </w:rPr>
        <w:t>A.</w:t>
      </w:r>
      <w:r w:rsidRPr="008345F3">
        <w:rPr>
          <w:bCs/>
        </w:rPr>
        <w:tab/>
      </w:r>
      <w:r w:rsidRPr="008345F3">
        <w:t>The case is currently pending in the United States District Court for the District of Montana</w:t>
      </w:r>
      <w:r>
        <w:t xml:space="preserve"> on remand for a determination of navigability and damages</w:t>
      </w:r>
      <w:r w:rsidRPr="008345F3">
        <w:t xml:space="preserve">.  A trial date concerning the navigability of the river on a segment-by-segment basis, has not yet been scheduled.  </w:t>
      </w:r>
      <w:r w:rsidRPr="003A6192">
        <w:t xml:space="preserve">Given the </w:t>
      </w:r>
      <w:r>
        <w:t>“</w:t>
      </w:r>
      <w:r w:rsidRPr="003A6192">
        <w:t>Most Favored Nation</w:t>
      </w:r>
      <w:r>
        <w:t>”</w:t>
      </w:r>
      <w:r w:rsidRPr="003A6192">
        <w:t xml:space="preserve"> provision </w:t>
      </w:r>
      <w:r>
        <w:t>negotiated by Avista in its</w:t>
      </w:r>
      <w:r w:rsidRPr="003A6192">
        <w:t xml:space="preserve"> Settlement Agreement, if </w:t>
      </w:r>
      <w:proofErr w:type="spellStart"/>
      <w:r w:rsidRPr="003A6192">
        <w:t>PPL</w:t>
      </w:r>
      <w:proofErr w:type="spellEnd"/>
      <w:r w:rsidRPr="003A6192">
        <w:t xml:space="preserve"> (or its successor</w:t>
      </w:r>
      <w:r>
        <w:t>-</w:t>
      </w:r>
      <w:r w:rsidRPr="003A6192">
        <w:t>in</w:t>
      </w:r>
      <w:r>
        <w:t>-</w:t>
      </w:r>
      <w:r w:rsidRPr="003A6192">
        <w:t xml:space="preserve">interest, </w:t>
      </w:r>
      <w:proofErr w:type="spellStart"/>
      <w:r w:rsidRPr="003A6192">
        <w:t>NorthWestern</w:t>
      </w:r>
      <w:proofErr w:type="spellEnd"/>
      <w:r w:rsidRPr="003A6192">
        <w:t>) achieves a more favorable outcome at trial or through settlement, the Most Favored Nation provision will be triggered and Avista will receive the benefit of that outcome through a reduction or elimination of the annual rent it is paying.</w:t>
      </w:r>
    </w:p>
    <w:p w:rsidR="000D4B93" w:rsidRDefault="000D4B93" w:rsidP="000D4B93">
      <w:pPr>
        <w:spacing w:line="480" w:lineRule="auto"/>
        <w:ind w:firstLine="720"/>
        <w:jc w:val="both"/>
      </w:pPr>
      <w:r w:rsidRPr="008345F3">
        <w:t xml:space="preserve">However, the level of rent payment owing under the Site Lease will only be adjusted </w:t>
      </w:r>
      <w:r>
        <w:t xml:space="preserve">for Avista </w:t>
      </w:r>
      <w:r w:rsidRPr="008345F3">
        <w:t>if one of the following occurs: (1) Avista and the State of Montana agree to a negotiated rate prior to September 30, 2016</w:t>
      </w:r>
      <w:r>
        <w:rPr>
          <w:rStyle w:val="FootnoteReference"/>
        </w:rPr>
        <w:footnoteReference w:id="39"/>
      </w:r>
      <w:r w:rsidRPr="008345F3">
        <w:t xml:space="preserve"> for the remaining term of the lease (something the state has thus far been unwilling to do, given the continued litigation over navigability in Federal and State courts following the U.S. Supreme Court’s remand of </w:t>
      </w:r>
      <w:proofErr w:type="spellStart"/>
      <w:r w:rsidRPr="008345F3">
        <w:t>PPL’s</w:t>
      </w:r>
      <w:proofErr w:type="spellEnd"/>
      <w:r w:rsidRPr="008345F3">
        <w:t xml:space="preserve"> appeal), or (2) If the amount of Rent is “reopened” under Section 5 of the Site Lease through application of  the “Most Favored Nations Clause”, whereby </w:t>
      </w:r>
      <w:proofErr w:type="spellStart"/>
      <w:r w:rsidRPr="008345F3">
        <w:t>PPL</w:t>
      </w:r>
      <w:proofErr w:type="spellEnd"/>
      <w:r w:rsidRPr="008345F3">
        <w:t xml:space="preserve"> Montana receives a more favorable result through renegotiations or litigation, which</w:t>
      </w:r>
      <w:r>
        <w:t xml:space="preserve"> also</w:t>
      </w:r>
      <w:r w:rsidRPr="008345F3">
        <w:t xml:space="preserve"> has not happened yet. </w:t>
      </w:r>
    </w:p>
    <w:p w:rsidR="000D4B93" w:rsidRPr="008345F3" w:rsidRDefault="000D4B93" w:rsidP="000D4B93">
      <w:pPr>
        <w:spacing w:line="480" w:lineRule="auto"/>
        <w:ind w:firstLine="720"/>
        <w:jc w:val="both"/>
      </w:pPr>
      <w:r w:rsidRPr="008345F3">
        <w:lastRenderedPageBreak/>
        <w:t xml:space="preserve">The State of Montana has brought an amended Complaint on Remand in State Court on March 31, 2016, in order to establish navigability, given the remand from the U.S. Supreme Court to determine navigability. (Northwestern, as successor-in-interest to </w:t>
      </w:r>
      <w:proofErr w:type="spellStart"/>
      <w:r w:rsidRPr="008345F3">
        <w:t>PPL</w:t>
      </w:r>
      <w:proofErr w:type="spellEnd"/>
      <w:r w:rsidRPr="008345F3">
        <w:t xml:space="preserve"> Montana, also has pending a motion to remove the case to Federal District Court in Montana.) The State of Montana is thus far unwilling to concede the non-navigability of the waters at issue and means to test that through further litigation, given the guidance received from the U.S. Supreme Court; or through subsequent Governmental action by the State of Montana or its agencies establishing a more favorable method for determining rent; or through a subsequent judicial determination concerning the navigability of the Clark Fork River.</w:t>
      </w:r>
    </w:p>
    <w:p w:rsidR="000D4B93" w:rsidRPr="00572FFC" w:rsidRDefault="000D4B93" w:rsidP="000D4B93">
      <w:pPr>
        <w:spacing w:line="480" w:lineRule="auto"/>
        <w:ind w:firstLine="720"/>
        <w:jc w:val="both"/>
        <w:rPr>
          <w:b/>
          <w:bCs/>
        </w:rPr>
      </w:pPr>
      <w:r w:rsidRPr="00572FFC">
        <w:rPr>
          <w:b/>
          <w:bCs/>
        </w:rPr>
        <w:t>Q.</w:t>
      </w:r>
      <w:r w:rsidRPr="00572FFC">
        <w:rPr>
          <w:b/>
          <w:bCs/>
        </w:rPr>
        <w:tab/>
        <w:t>Is Avista obligated to make a lease payment for 2017 and beyond?</w:t>
      </w:r>
    </w:p>
    <w:p w:rsidR="000D4B93" w:rsidRPr="008345F3" w:rsidRDefault="000D4B93" w:rsidP="000D4B93">
      <w:pPr>
        <w:spacing w:line="480" w:lineRule="auto"/>
        <w:ind w:firstLine="720"/>
        <w:jc w:val="both"/>
      </w:pPr>
      <w:r w:rsidRPr="008345F3">
        <w:rPr>
          <w:bCs/>
        </w:rPr>
        <w:t>A.</w:t>
      </w:r>
      <w:r w:rsidRPr="008345F3">
        <w:rPr>
          <w:bCs/>
        </w:rPr>
        <w:tab/>
        <w:t xml:space="preserve">Yes.  The obligation to pay the agreed-upon rent does not terminate until 2046.  </w:t>
      </w:r>
      <w:r w:rsidRPr="008345F3">
        <w:t>Until the pending litigation in Montana on remand resolves the factual question of navigability, the State of Montana is unwilling to renegotiate a lower level of rent</w:t>
      </w:r>
      <w:r w:rsidR="00DD3F7D">
        <w:t>.</w:t>
      </w:r>
      <w:r w:rsidRPr="008345F3">
        <w:rPr>
          <w:rStyle w:val="FootnoteReference"/>
        </w:rPr>
        <w:footnoteReference w:id="40"/>
      </w:r>
      <w:r w:rsidRPr="008345F3">
        <w:t xml:space="preserve">  Accordingly, under the Lease Agreement, Avista remains obligated to make future rental payments until the matter is resolved through further litigation or settlement.   Avista intends to make future payments to the State of Montana, who will hold such payments in escrow, pending resolution of the ongoing litigation.  Such payments will result in an expense to the Company until the litigation is resolved</w:t>
      </w:r>
      <w:r w:rsidRPr="008345F3">
        <w:rPr>
          <w:rStyle w:val="FootnoteReference"/>
        </w:rPr>
        <w:footnoteReference w:id="41"/>
      </w:r>
      <w:r w:rsidRPr="008345F3">
        <w:t xml:space="preserve">. If successful in reducing the level of rent owing through litigation or settlement, Avista would return to </w:t>
      </w:r>
      <w:proofErr w:type="gramStart"/>
      <w:r w:rsidRPr="008345F3">
        <w:t>customers</w:t>
      </w:r>
      <w:proofErr w:type="gramEnd"/>
      <w:r w:rsidRPr="008345F3">
        <w:t xml:space="preserve"> amounts paid by customers that exceed the amounts owed. </w:t>
      </w:r>
    </w:p>
    <w:p w:rsidR="000D4B93" w:rsidRPr="008345F3" w:rsidRDefault="000D4B93" w:rsidP="000D4B93">
      <w:pPr>
        <w:spacing w:line="480" w:lineRule="auto"/>
        <w:jc w:val="both"/>
      </w:pPr>
      <w:r w:rsidRPr="008345F3">
        <w:lastRenderedPageBreak/>
        <w:tab/>
      </w:r>
      <w:r w:rsidRPr="008345F3">
        <w:rPr>
          <w:b/>
        </w:rPr>
        <w:t>Q.</w:t>
      </w:r>
      <w:r w:rsidRPr="008345F3">
        <w:rPr>
          <w:b/>
        </w:rPr>
        <w:tab/>
        <w:t>Should the 2017 Montana Riverbed Lease payment be included within the Company’s request for rate relief?</w:t>
      </w:r>
    </w:p>
    <w:p w:rsidR="000D4B93" w:rsidRPr="008345F3" w:rsidRDefault="000D4B93" w:rsidP="000D4B93">
      <w:pPr>
        <w:spacing w:line="480" w:lineRule="auto"/>
        <w:ind w:firstLine="720"/>
        <w:jc w:val="both"/>
        <w:rPr>
          <w:bCs/>
        </w:rPr>
      </w:pPr>
      <w:r w:rsidRPr="008345F3">
        <w:rPr>
          <w:bCs/>
        </w:rPr>
        <w:t>A.</w:t>
      </w:r>
      <w:r w:rsidRPr="008345F3">
        <w:rPr>
          <w:bCs/>
        </w:rPr>
        <w:tab/>
        <w:t xml:space="preserve">Yes.  As Avista is presently still obligated to make the scheduled rent payment to the State of Montana for the Montana Riverbed Lease Agreement for 2017 and beyond, and because Avista and the State of Montana have not negotiated a modified rent payment, it is </w:t>
      </w:r>
      <w:r>
        <w:rPr>
          <w:bCs/>
        </w:rPr>
        <w:t>appropriate</w:t>
      </w:r>
      <w:r w:rsidRPr="008345F3">
        <w:rPr>
          <w:bCs/>
        </w:rPr>
        <w:t xml:space="preserve"> to continue to include the Montana Riverbed Lease payment as a recoverable expense. </w:t>
      </w:r>
      <w:r>
        <w:rPr>
          <w:bCs/>
        </w:rPr>
        <w:t xml:space="preserve"> As mentioned, Avista would return to customers any amounts paid by customers that actually exceed the amounts owed, as determined through subsequent litigation or settlement.</w:t>
      </w:r>
    </w:p>
    <w:p w:rsidR="000D4B93" w:rsidRPr="008345F3" w:rsidRDefault="000D4B93" w:rsidP="000D4B93">
      <w:pPr>
        <w:spacing w:line="480" w:lineRule="auto"/>
        <w:ind w:firstLine="720"/>
        <w:jc w:val="both"/>
        <w:rPr>
          <w:b/>
          <w:bCs/>
        </w:rPr>
      </w:pPr>
      <w:r w:rsidRPr="008345F3">
        <w:rPr>
          <w:b/>
          <w:bCs/>
        </w:rPr>
        <w:t>Q.</w:t>
      </w:r>
      <w:r w:rsidRPr="008345F3">
        <w:rPr>
          <w:b/>
          <w:bCs/>
        </w:rPr>
        <w:tab/>
        <w:t xml:space="preserve">If the Commission were to </w:t>
      </w:r>
      <w:r w:rsidR="003B33A3">
        <w:rPr>
          <w:b/>
          <w:bCs/>
        </w:rPr>
        <w:t>remove</w:t>
      </w:r>
      <w:r w:rsidRPr="008345F3">
        <w:rPr>
          <w:b/>
          <w:bCs/>
        </w:rPr>
        <w:t xml:space="preserve"> the 2017 rate year expense for the Montana Riverbed Lease Agreement from </w:t>
      </w:r>
      <w:r w:rsidR="003B33A3">
        <w:rPr>
          <w:b/>
          <w:bCs/>
        </w:rPr>
        <w:t xml:space="preserve">the revenue requirement in this case, </w:t>
      </w:r>
      <w:r w:rsidRPr="008345F3">
        <w:rPr>
          <w:b/>
          <w:bCs/>
        </w:rPr>
        <w:t xml:space="preserve">how does Avista request </w:t>
      </w:r>
      <w:r>
        <w:rPr>
          <w:b/>
          <w:bCs/>
        </w:rPr>
        <w:t>it</w:t>
      </w:r>
      <w:r w:rsidRPr="008345F3">
        <w:rPr>
          <w:b/>
          <w:bCs/>
        </w:rPr>
        <w:t xml:space="preserve"> be allowed to treat those payments?</w:t>
      </w:r>
    </w:p>
    <w:p w:rsidR="000D4B93" w:rsidRPr="008345F3" w:rsidRDefault="000D4B93" w:rsidP="000D4B93">
      <w:pPr>
        <w:spacing w:line="480" w:lineRule="auto"/>
        <w:ind w:firstLine="720"/>
        <w:jc w:val="both"/>
        <w:rPr>
          <w:bCs/>
        </w:rPr>
      </w:pPr>
      <w:r w:rsidRPr="008345F3">
        <w:rPr>
          <w:bCs/>
        </w:rPr>
        <w:t>A.</w:t>
      </w:r>
      <w:r w:rsidRPr="008345F3">
        <w:rPr>
          <w:bCs/>
        </w:rPr>
        <w:tab/>
        <w:t xml:space="preserve">If Avista is not allowed recovery during 2017 for the Montana </w:t>
      </w:r>
      <w:r w:rsidR="00FD2112">
        <w:rPr>
          <w:bCs/>
        </w:rPr>
        <w:t>Riverbed L</w:t>
      </w:r>
      <w:r w:rsidRPr="008345F3">
        <w:rPr>
          <w:bCs/>
        </w:rPr>
        <w:t>ease expense it will incur and record in 2017, the Company requests deferred accounting for actual lease expenses</w:t>
      </w:r>
      <w:r>
        <w:rPr>
          <w:bCs/>
        </w:rPr>
        <w:t xml:space="preserve"> incurred beginning </w:t>
      </w:r>
      <w:r w:rsidRPr="008345F3">
        <w:rPr>
          <w:bCs/>
        </w:rPr>
        <w:t>in 2017 and beyond</w:t>
      </w:r>
      <w:r>
        <w:rPr>
          <w:bCs/>
        </w:rPr>
        <w:t xml:space="preserve"> until </w:t>
      </w:r>
      <w:r w:rsidRPr="008345F3">
        <w:rPr>
          <w:bCs/>
        </w:rPr>
        <w:t xml:space="preserve">conclusion of litigation or settlement resolving this matter.  Deferred accounting treatment would allow </w:t>
      </w:r>
      <w:r w:rsidR="00DF0AD6">
        <w:rPr>
          <w:bCs/>
        </w:rPr>
        <w:t>removal of the expense for ratemaking purposes</w:t>
      </w:r>
      <w:r>
        <w:rPr>
          <w:bCs/>
        </w:rPr>
        <w:t xml:space="preserve"> in each affected year, </w:t>
      </w:r>
      <w:r w:rsidR="00DF0AD6">
        <w:rPr>
          <w:bCs/>
        </w:rPr>
        <w:t xml:space="preserve">but </w:t>
      </w:r>
      <w:r>
        <w:rPr>
          <w:bCs/>
        </w:rPr>
        <w:t>provid</w:t>
      </w:r>
      <w:r w:rsidR="00DF0AD6">
        <w:rPr>
          <w:bCs/>
        </w:rPr>
        <w:t>e</w:t>
      </w:r>
      <w:r>
        <w:rPr>
          <w:bCs/>
        </w:rPr>
        <w:t xml:space="preserve"> the opportunity for </w:t>
      </w:r>
      <w:r w:rsidRPr="008345F3">
        <w:rPr>
          <w:bCs/>
        </w:rPr>
        <w:t>recover</w:t>
      </w:r>
      <w:r>
        <w:rPr>
          <w:bCs/>
        </w:rPr>
        <w:t>y</w:t>
      </w:r>
      <w:r w:rsidRPr="008345F3">
        <w:rPr>
          <w:bCs/>
        </w:rPr>
        <w:t xml:space="preserve"> </w:t>
      </w:r>
      <w:r>
        <w:rPr>
          <w:bCs/>
        </w:rPr>
        <w:t>in a future period,</w:t>
      </w:r>
      <w:r w:rsidRPr="008345F3">
        <w:rPr>
          <w:bCs/>
        </w:rPr>
        <w:t xml:space="preserve"> protecting both customers and the Company</w:t>
      </w:r>
      <w:r>
        <w:rPr>
          <w:bCs/>
        </w:rPr>
        <w:t>, pending resolution of the ongoing litigation.</w:t>
      </w:r>
    </w:p>
    <w:p w:rsidR="000D4B93" w:rsidRPr="008345F3" w:rsidRDefault="000D4B93" w:rsidP="000D4B93">
      <w:pPr>
        <w:spacing w:line="480" w:lineRule="auto"/>
        <w:ind w:firstLine="720"/>
        <w:jc w:val="both"/>
        <w:rPr>
          <w:b/>
          <w:bCs/>
        </w:rPr>
      </w:pPr>
      <w:r w:rsidRPr="008345F3">
        <w:rPr>
          <w:b/>
          <w:bCs/>
        </w:rPr>
        <w:t>Q.</w:t>
      </w:r>
      <w:r w:rsidRPr="008345F3">
        <w:rPr>
          <w:b/>
          <w:bCs/>
        </w:rPr>
        <w:tab/>
        <w:t xml:space="preserve">What would be the impact on Avista’s requested </w:t>
      </w:r>
      <w:r w:rsidR="00147246">
        <w:rPr>
          <w:b/>
          <w:bCs/>
        </w:rPr>
        <w:t xml:space="preserve">electric </w:t>
      </w:r>
      <w:r w:rsidRPr="008345F3">
        <w:rPr>
          <w:b/>
          <w:bCs/>
        </w:rPr>
        <w:t>rate relief of deferring these costs for later recovery?</w:t>
      </w:r>
    </w:p>
    <w:p w:rsidR="000D4B93" w:rsidRPr="008345F3" w:rsidRDefault="000D4B93" w:rsidP="000D4B93">
      <w:pPr>
        <w:spacing w:line="480" w:lineRule="auto"/>
        <w:ind w:firstLine="720"/>
        <w:jc w:val="both"/>
        <w:rPr>
          <w:bCs/>
        </w:rPr>
      </w:pPr>
      <w:r w:rsidRPr="008345F3">
        <w:rPr>
          <w:bCs/>
        </w:rPr>
        <w:t>A.</w:t>
      </w:r>
      <w:r w:rsidRPr="008345F3">
        <w:rPr>
          <w:bCs/>
        </w:rPr>
        <w:tab/>
        <w:t>Deferring the Montana Lease expense for 2017 would result in reducing the Compa</w:t>
      </w:r>
      <w:r>
        <w:rPr>
          <w:bCs/>
        </w:rPr>
        <w:t xml:space="preserve">ny’s </w:t>
      </w:r>
      <w:r w:rsidR="00147246">
        <w:rPr>
          <w:bCs/>
        </w:rPr>
        <w:t xml:space="preserve">electric </w:t>
      </w:r>
      <w:r>
        <w:rPr>
          <w:bCs/>
        </w:rPr>
        <w:t>revenue requirement need by</w:t>
      </w:r>
      <w:r w:rsidRPr="008345F3">
        <w:rPr>
          <w:bCs/>
        </w:rPr>
        <w:t xml:space="preserve"> $3,529,000.</w:t>
      </w:r>
    </w:p>
    <w:p w:rsidR="000D4B93" w:rsidRPr="008345F3" w:rsidRDefault="000D4B93" w:rsidP="000D4B93">
      <w:pPr>
        <w:spacing w:line="480" w:lineRule="auto"/>
        <w:ind w:firstLine="720"/>
        <w:jc w:val="both"/>
        <w:rPr>
          <w:b/>
          <w:bCs/>
          <w:u w:val="double"/>
        </w:rPr>
      </w:pPr>
      <w:r w:rsidRPr="008345F3">
        <w:rPr>
          <w:b/>
          <w:bCs/>
        </w:rPr>
        <w:lastRenderedPageBreak/>
        <w:t xml:space="preserve">Q. </w:t>
      </w:r>
      <w:r w:rsidRPr="008345F3">
        <w:rPr>
          <w:b/>
          <w:bCs/>
        </w:rPr>
        <w:tab/>
        <w:t>Has the Commission approved deferred accounting treatment of Montana Lease expenses in prior Avista rate case proceedings?</w:t>
      </w:r>
    </w:p>
    <w:p w:rsidR="000D4B93" w:rsidRPr="00830F19" w:rsidRDefault="000D4B93" w:rsidP="000D4B93">
      <w:pPr>
        <w:spacing w:line="480" w:lineRule="auto"/>
        <w:ind w:firstLine="720"/>
        <w:jc w:val="both"/>
        <w:rPr>
          <w:b/>
          <w:bCs/>
        </w:rPr>
      </w:pPr>
      <w:r w:rsidRPr="008345F3">
        <w:rPr>
          <w:bCs/>
        </w:rPr>
        <w:t>A.</w:t>
      </w:r>
      <w:r w:rsidRPr="008345F3">
        <w:rPr>
          <w:bCs/>
        </w:rPr>
        <w:tab/>
        <w:t xml:space="preserve">Yes.  In Docket No. UE-072131 </w:t>
      </w:r>
      <w:r w:rsidRPr="008345F3">
        <w:t>the WUTC allowed Avista to defer its first two annual Montana Lease expense payments (2007 and 2008)</w:t>
      </w:r>
      <w:r>
        <w:t xml:space="preserve"> until those actual expenses could be reviewed and included in a future proceeding</w:t>
      </w:r>
      <w:r w:rsidRPr="008345F3">
        <w:t xml:space="preserve">.  In Docket No. UE-080416 (see Order No.  08), the Commission approved the Company’s accounting treatment of the deferred payments, including accrued interest, and allowed amortization of the deferred balance over the remaining eight years of the </w:t>
      </w:r>
      <w:r>
        <w:t xml:space="preserve">initial 10-year </w:t>
      </w:r>
      <w:r w:rsidRPr="008345F3">
        <w:t>agreement</w:t>
      </w:r>
      <w:r>
        <w:t>,</w:t>
      </w:r>
      <w:r w:rsidRPr="008345F3">
        <w:t xml:space="preserve"> starting on January 1, 2009.  Similarly, the Company would </w:t>
      </w:r>
      <w:r>
        <w:t xml:space="preserve">request approval </w:t>
      </w:r>
      <w:r w:rsidRPr="008345F3">
        <w:t xml:space="preserve">to treat any future rent payments as a deferred payment for future recovery until conclusion </w:t>
      </w:r>
      <w:r>
        <w:t>of the ongoing litigation</w:t>
      </w:r>
      <w:r w:rsidRPr="008345F3">
        <w:t xml:space="preserve">.  </w:t>
      </w:r>
    </w:p>
    <w:p w:rsidR="00BE3FCD" w:rsidRPr="00283281" w:rsidRDefault="00BE3FCD" w:rsidP="00BE3FCD">
      <w:pPr>
        <w:pStyle w:val="BodyText"/>
        <w:tabs>
          <w:tab w:val="left" w:pos="720"/>
        </w:tabs>
        <w:spacing w:line="480" w:lineRule="auto"/>
        <w:ind w:right="-54"/>
        <w:jc w:val="both"/>
        <w:rPr>
          <w:bCs w:val="0"/>
        </w:rPr>
      </w:pPr>
      <w:r w:rsidRPr="00283281">
        <w:rPr>
          <w:bCs w:val="0"/>
        </w:rPr>
        <w:tab/>
        <w:t>Q.</w:t>
      </w:r>
      <w:r w:rsidRPr="00283281">
        <w:rPr>
          <w:bCs w:val="0"/>
        </w:rPr>
        <w:tab/>
        <w:t xml:space="preserve">If the Commission does not include recovery of the </w:t>
      </w:r>
      <w:r>
        <w:rPr>
          <w:bCs w:val="0"/>
        </w:rPr>
        <w:t>Montana Riverbed Lease</w:t>
      </w:r>
      <w:r w:rsidRPr="00283281">
        <w:rPr>
          <w:bCs w:val="0"/>
        </w:rPr>
        <w:t xml:space="preserve"> costs for the rate period</w:t>
      </w:r>
      <w:r>
        <w:rPr>
          <w:bCs w:val="0"/>
        </w:rPr>
        <w:t>,</w:t>
      </w:r>
      <w:r w:rsidRPr="00283281">
        <w:rPr>
          <w:bCs w:val="0"/>
        </w:rPr>
        <w:t xml:space="preserve"> as proposed by the Company in this case, why would deferred accounting be a good solution to address the concerns of all parties, including the Company?</w:t>
      </w:r>
    </w:p>
    <w:p w:rsidR="00BE3FCD" w:rsidRPr="00C878BC" w:rsidRDefault="00BE3FCD" w:rsidP="00BE3FCD">
      <w:pPr>
        <w:pStyle w:val="BodyText"/>
        <w:tabs>
          <w:tab w:val="left" w:pos="720"/>
        </w:tabs>
        <w:spacing w:line="480" w:lineRule="auto"/>
        <w:ind w:right="-54"/>
        <w:jc w:val="both"/>
        <w:rPr>
          <w:b w:val="0"/>
          <w:bCs w:val="0"/>
        </w:rPr>
      </w:pPr>
      <w:r>
        <w:rPr>
          <w:b w:val="0"/>
          <w:bCs w:val="0"/>
        </w:rPr>
        <w:tab/>
        <w:t>A.</w:t>
      </w:r>
      <w:r>
        <w:rPr>
          <w:b w:val="0"/>
          <w:bCs w:val="0"/>
        </w:rPr>
        <w:tab/>
      </w:r>
      <w:r w:rsidRPr="00C878BC">
        <w:rPr>
          <w:b w:val="0"/>
          <w:bCs w:val="0"/>
        </w:rPr>
        <w:t xml:space="preserve">The use of deferred accounting for </w:t>
      </w:r>
      <w:r w:rsidR="00B20FBC" w:rsidRPr="00C878BC">
        <w:rPr>
          <w:b w:val="0"/>
          <w:bCs w:val="0"/>
        </w:rPr>
        <w:t>the Mo</w:t>
      </w:r>
      <w:r w:rsidR="00C878BC" w:rsidRPr="00C878BC">
        <w:rPr>
          <w:b w:val="0"/>
          <w:bCs w:val="0"/>
        </w:rPr>
        <w:t xml:space="preserve">ntana Riverbed Lease payments </w:t>
      </w:r>
      <w:r w:rsidRPr="00C878BC">
        <w:rPr>
          <w:b w:val="0"/>
          <w:bCs w:val="0"/>
        </w:rPr>
        <w:t>would provide the following benefits for all stakeholders:</w:t>
      </w:r>
    </w:p>
    <w:p w:rsidR="00BE3FCD" w:rsidRPr="00C878BC" w:rsidRDefault="00BE3FCD" w:rsidP="00BE3FCD">
      <w:pPr>
        <w:pStyle w:val="BodyText"/>
        <w:tabs>
          <w:tab w:val="left" w:pos="1440"/>
        </w:tabs>
        <w:spacing w:line="240" w:lineRule="auto"/>
        <w:ind w:left="993" w:right="-58" w:hanging="446"/>
        <w:jc w:val="both"/>
        <w:rPr>
          <w:b w:val="0"/>
          <w:bCs w:val="0"/>
        </w:rPr>
      </w:pPr>
      <w:r w:rsidRPr="00C878BC">
        <w:rPr>
          <w:b w:val="0"/>
          <w:bCs w:val="0"/>
        </w:rPr>
        <w:t>1.</w:t>
      </w:r>
      <w:r w:rsidRPr="00C878BC">
        <w:rPr>
          <w:b w:val="0"/>
          <w:bCs w:val="0"/>
        </w:rPr>
        <w:tab/>
      </w:r>
      <w:r w:rsidRPr="00C878BC">
        <w:rPr>
          <w:bCs w:val="0"/>
        </w:rPr>
        <w:t>Non-Company Parties:</w:t>
      </w:r>
      <w:r w:rsidRPr="00C878BC">
        <w:rPr>
          <w:b w:val="0"/>
          <w:bCs w:val="0"/>
        </w:rPr>
        <w:t xml:space="preserve">  For the parties in this case that oppose including </w:t>
      </w:r>
      <w:r w:rsidR="00C878BC" w:rsidRPr="00C878BC">
        <w:rPr>
          <w:b w:val="0"/>
          <w:bCs w:val="0"/>
        </w:rPr>
        <w:t>Montana Riverbed lease</w:t>
      </w:r>
      <w:r w:rsidRPr="00C878BC">
        <w:rPr>
          <w:b w:val="0"/>
          <w:bCs w:val="0"/>
        </w:rPr>
        <w:t xml:space="preserve"> costs in retail rates, through the use of deferred accounting the</w:t>
      </w:r>
      <w:r w:rsidR="009B7428">
        <w:rPr>
          <w:b w:val="0"/>
          <w:bCs w:val="0"/>
        </w:rPr>
        <w:t>s</w:t>
      </w:r>
      <w:r w:rsidR="00C878BC" w:rsidRPr="00C878BC">
        <w:rPr>
          <w:b w:val="0"/>
          <w:bCs w:val="0"/>
        </w:rPr>
        <w:t xml:space="preserve">e </w:t>
      </w:r>
      <w:r w:rsidRPr="00C878BC">
        <w:rPr>
          <w:b w:val="0"/>
          <w:bCs w:val="0"/>
        </w:rPr>
        <w:t xml:space="preserve">costs would be </w:t>
      </w:r>
      <w:r w:rsidRPr="00C878BC">
        <w:rPr>
          <w:b w:val="0"/>
          <w:bCs w:val="0"/>
          <w:u w:val="single"/>
        </w:rPr>
        <w:t>excluded</w:t>
      </w:r>
      <w:r w:rsidRPr="00C878BC">
        <w:rPr>
          <w:b w:val="0"/>
          <w:bCs w:val="0"/>
        </w:rPr>
        <w:t xml:space="preserve"> from retail rates at this time.  </w:t>
      </w:r>
    </w:p>
    <w:p w:rsidR="00BE3FCD" w:rsidRPr="00C878BC" w:rsidRDefault="00BE3FCD" w:rsidP="00BE3FCD">
      <w:pPr>
        <w:pStyle w:val="BodyText"/>
        <w:tabs>
          <w:tab w:val="left" w:pos="1440"/>
        </w:tabs>
        <w:spacing w:line="240" w:lineRule="auto"/>
        <w:ind w:left="993" w:right="-58" w:hanging="446"/>
        <w:jc w:val="both"/>
        <w:rPr>
          <w:b w:val="0"/>
          <w:bCs w:val="0"/>
        </w:rPr>
      </w:pPr>
    </w:p>
    <w:p w:rsidR="00BE3FCD" w:rsidRPr="00AA1334" w:rsidRDefault="00BE3FCD" w:rsidP="00BE3FCD">
      <w:pPr>
        <w:pStyle w:val="BodyText"/>
        <w:tabs>
          <w:tab w:val="left" w:pos="1440"/>
        </w:tabs>
        <w:spacing w:line="240" w:lineRule="auto"/>
        <w:ind w:left="993" w:right="-58" w:hanging="446"/>
        <w:jc w:val="both"/>
        <w:rPr>
          <w:b w:val="0"/>
          <w:bCs w:val="0"/>
        </w:rPr>
      </w:pPr>
      <w:r w:rsidRPr="00C878BC">
        <w:rPr>
          <w:b w:val="0"/>
          <w:bCs w:val="0"/>
        </w:rPr>
        <w:t>2.</w:t>
      </w:r>
      <w:r w:rsidRPr="00C878BC">
        <w:rPr>
          <w:b w:val="0"/>
          <w:bCs w:val="0"/>
        </w:rPr>
        <w:tab/>
      </w:r>
      <w:r w:rsidRPr="00C878BC">
        <w:rPr>
          <w:bCs w:val="0"/>
        </w:rPr>
        <w:t>Avista:</w:t>
      </w:r>
      <w:r w:rsidRPr="00C878BC">
        <w:rPr>
          <w:b w:val="0"/>
          <w:bCs w:val="0"/>
        </w:rPr>
        <w:t xml:space="preserve">  With deferred accounting Avista would not experience the significant negative financial impact from excluding cost recovery</w:t>
      </w:r>
      <w:r w:rsidR="00C878BC" w:rsidRPr="00C878BC">
        <w:rPr>
          <w:b w:val="0"/>
          <w:bCs w:val="0"/>
        </w:rPr>
        <w:t xml:space="preserve"> for the Montana Riverbed </w:t>
      </w:r>
      <w:r w:rsidR="00C878BC" w:rsidRPr="00AA1334">
        <w:rPr>
          <w:b w:val="0"/>
          <w:bCs w:val="0"/>
        </w:rPr>
        <w:t>Lease payments</w:t>
      </w:r>
      <w:r w:rsidRPr="00AA1334">
        <w:rPr>
          <w:b w:val="0"/>
          <w:bCs w:val="0"/>
        </w:rPr>
        <w:t xml:space="preserve"> in this case.  </w:t>
      </w:r>
    </w:p>
    <w:p w:rsidR="00BE3FCD" w:rsidRPr="00AA1334" w:rsidRDefault="00BE3FCD" w:rsidP="00BE3FCD">
      <w:pPr>
        <w:pStyle w:val="BodyText"/>
        <w:tabs>
          <w:tab w:val="left" w:pos="1440"/>
        </w:tabs>
        <w:spacing w:line="240" w:lineRule="auto"/>
        <w:ind w:left="993" w:right="-58" w:hanging="446"/>
        <w:jc w:val="both"/>
        <w:rPr>
          <w:b w:val="0"/>
          <w:bCs w:val="0"/>
        </w:rPr>
      </w:pPr>
    </w:p>
    <w:p w:rsidR="00AA1334" w:rsidRDefault="00BE3FCD" w:rsidP="00AA1334">
      <w:pPr>
        <w:pStyle w:val="BodyText"/>
        <w:tabs>
          <w:tab w:val="left" w:pos="1440"/>
        </w:tabs>
        <w:spacing w:line="240" w:lineRule="auto"/>
        <w:ind w:left="993" w:right="-58" w:hanging="446"/>
        <w:jc w:val="both"/>
        <w:rPr>
          <w:b w:val="0"/>
          <w:bCs w:val="0"/>
        </w:rPr>
      </w:pPr>
      <w:r w:rsidRPr="00AA1334">
        <w:rPr>
          <w:b w:val="0"/>
          <w:bCs w:val="0"/>
        </w:rPr>
        <w:t>3.</w:t>
      </w:r>
      <w:r w:rsidRPr="00AA1334">
        <w:rPr>
          <w:b w:val="0"/>
          <w:bCs w:val="0"/>
        </w:rPr>
        <w:tab/>
      </w:r>
      <w:r w:rsidRPr="00AA1334">
        <w:rPr>
          <w:bCs w:val="0"/>
        </w:rPr>
        <w:t>Commission:</w:t>
      </w:r>
      <w:r w:rsidRPr="00AA1334">
        <w:rPr>
          <w:b w:val="0"/>
          <w:bCs w:val="0"/>
        </w:rPr>
        <w:t xml:space="preserve">  To the extent the Commission </w:t>
      </w:r>
      <w:r w:rsidR="00627EBB" w:rsidRPr="00AA1334">
        <w:rPr>
          <w:b w:val="0"/>
          <w:bCs w:val="0"/>
        </w:rPr>
        <w:t>decides that the Montana Riverbed Lease payments should not be included in retail rates</w:t>
      </w:r>
      <w:r w:rsidRPr="00AA1334">
        <w:rPr>
          <w:b w:val="0"/>
          <w:bCs w:val="0"/>
        </w:rPr>
        <w:t xml:space="preserve">, with deferred accounting the Commission will have the opportunity to review the costs after-the-fact, and prior to the Company receiving recovery of the costs.  </w:t>
      </w:r>
    </w:p>
    <w:p w:rsidR="00BE3FCD" w:rsidRPr="00AA1334" w:rsidRDefault="00BE3FCD" w:rsidP="00AA1334">
      <w:pPr>
        <w:pStyle w:val="BodyText"/>
        <w:tabs>
          <w:tab w:val="left" w:pos="1440"/>
        </w:tabs>
        <w:spacing w:line="240" w:lineRule="auto"/>
        <w:ind w:left="993" w:right="-58" w:hanging="446"/>
        <w:jc w:val="both"/>
        <w:rPr>
          <w:b w:val="0"/>
          <w:bCs w:val="0"/>
        </w:rPr>
      </w:pPr>
      <w:r w:rsidRPr="00AA1334">
        <w:rPr>
          <w:b w:val="0"/>
          <w:bCs w:val="0"/>
        </w:rPr>
        <w:tab/>
      </w:r>
    </w:p>
    <w:p w:rsidR="00BE3FCD" w:rsidRDefault="00794B3C" w:rsidP="00BE3FCD">
      <w:pPr>
        <w:pStyle w:val="BodyText"/>
        <w:tabs>
          <w:tab w:val="left" w:pos="720"/>
        </w:tabs>
        <w:spacing w:line="480" w:lineRule="auto"/>
        <w:ind w:right="-54"/>
        <w:jc w:val="both"/>
        <w:rPr>
          <w:b w:val="0"/>
          <w:bCs w:val="0"/>
        </w:rPr>
      </w:pPr>
      <w:r>
        <w:rPr>
          <w:noProof/>
          <w:lang w:eastAsia="en-US"/>
        </w:rPr>
        <w:lastRenderedPageBreak/>
        <mc:AlternateContent>
          <mc:Choice Requires="wps">
            <w:drawing>
              <wp:anchor distT="0" distB="0" distL="114300" distR="114300" simplePos="0" relativeHeight="251682816" behindDoc="0" locked="0" layoutInCell="1" allowOverlap="1" wp14:anchorId="65F5AEAB" wp14:editId="1D3ABBCD">
                <wp:simplePos x="0" y="0"/>
                <wp:positionH relativeFrom="margin">
                  <wp:align>center</wp:align>
                </wp:positionH>
                <wp:positionV relativeFrom="paragraph">
                  <wp:posOffset>-489098</wp:posOffset>
                </wp:positionV>
                <wp:extent cx="1903227" cy="287079"/>
                <wp:effectExtent l="0" t="0" r="0" b="0"/>
                <wp:wrapNone/>
                <wp:docPr id="9" name="Text Box 9"/>
                <wp:cNvGraphicFramePr/>
                <a:graphic xmlns:a="http://schemas.openxmlformats.org/drawingml/2006/main">
                  <a:graphicData uri="http://schemas.microsoft.com/office/word/2010/wordprocessingShape">
                    <wps:wsp>
                      <wps:cNvSpPr txBox="1"/>
                      <wps:spPr>
                        <a:xfrm>
                          <a:off x="0" y="0"/>
                          <a:ext cx="1903227"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B3C" w:rsidRDefault="00794B3C" w:rsidP="00794B3C">
                            <w:r>
                              <w:t>Revised - October 11,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AEAB" id="Text Box 9" o:spid="_x0000_s1031" type="#_x0000_t202" style="position:absolute;left:0;text-align:left;margin-left:0;margin-top:-38.5pt;width:149.85pt;height:22.6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" filled="f" stroked="f" strokeweight=".5pt">
                <v:textbox>
                  <w:txbxContent>
                    <w:p w:rsidR="00794B3C" w:rsidRDefault="00794B3C" w:rsidP="00794B3C">
                      <w:r>
                        <w:t>Revised - October 11, 2016</w:t>
                      </w:r>
                    </w:p>
                  </w:txbxContent>
                </v:textbox>
                <w10:wrap anchorx="margin"/>
              </v:shape>
            </w:pict>
          </mc:Fallback>
        </mc:AlternateContent>
      </w:r>
      <w:r w:rsidR="00BE3FCD" w:rsidRPr="00AA1334">
        <w:rPr>
          <w:b w:val="0"/>
          <w:bCs w:val="0"/>
        </w:rPr>
        <w:tab/>
        <w:t>With regard</w:t>
      </w:r>
      <w:r w:rsidR="00BE3FCD">
        <w:rPr>
          <w:b w:val="0"/>
          <w:bCs w:val="0"/>
        </w:rPr>
        <w:t xml:space="preserve"> to WAC 480-07-370(1)(b), should the Commission not approve </w:t>
      </w:r>
      <w:r w:rsidR="00BE3FCD" w:rsidRPr="00F739A5">
        <w:rPr>
          <w:b w:val="0"/>
          <w:bCs w:val="0"/>
        </w:rPr>
        <w:t xml:space="preserve">recovery of the </w:t>
      </w:r>
      <w:r w:rsidR="00CB0375">
        <w:rPr>
          <w:b w:val="0"/>
          <w:bCs w:val="0"/>
        </w:rPr>
        <w:t>Montana Riverbed Lease</w:t>
      </w:r>
      <w:r w:rsidR="00CB0375" w:rsidRPr="00F739A5">
        <w:rPr>
          <w:b w:val="0"/>
          <w:bCs w:val="0"/>
        </w:rPr>
        <w:t xml:space="preserve"> </w:t>
      </w:r>
      <w:r w:rsidR="00BE3FCD" w:rsidRPr="00F739A5">
        <w:rPr>
          <w:b w:val="0"/>
          <w:bCs w:val="0"/>
        </w:rPr>
        <w:t>costs for the rate period as proposed by the Company in this case</w:t>
      </w:r>
      <w:r w:rsidR="00BE3FCD">
        <w:rPr>
          <w:b w:val="0"/>
          <w:bCs w:val="0"/>
        </w:rPr>
        <w:t xml:space="preserve">, Avista requests the Commission approve deferred accounting treatment for the </w:t>
      </w:r>
      <w:r w:rsidR="00CB0375">
        <w:rPr>
          <w:b w:val="0"/>
          <w:bCs w:val="0"/>
        </w:rPr>
        <w:t>Montana Riverbed Lease costs</w:t>
      </w:r>
      <w:r w:rsidR="00BE3FCD">
        <w:rPr>
          <w:b w:val="0"/>
          <w:bCs w:val="0"/>
        </w:rPr>
        <w:t xml:space="preserve">.  Ms. Andrews provides additional details regarding the accounting for costs under deferred accounting treatment for </w:t>
      </w:r>
      <w:r w:rsidR="00CB0375">
        <w:rPr>
          <w:b w:val="0"/>
          <w:bCs w:val="0"/>
        </w:rPr>
        <w:t>the Montana Riverbed Lease costs</w:t>
      </w:r>
      <w:r w:rsidR="00BE3FCD">
        <w:rPr>
          <w:b w:val="0"/>
          <w:bCs w:val="0"/>
        </w:rPr>
        <w:t>.</w:t>
      </w:r>
    </w:p>
    <w:p w:rsidR="00336ED5" w:rsidRPr="00F540CD" w:rsidRDefault="00336ED5" w:rsidP="00336ED5">
      <w:pPr>
        <w:pStyle w:val="TestBody"/>
        <w:tabs>
          <w:tab w:val="left" w:pos="1440"/>
        </w:tabs>
        <w:spacing w:line="480" w:lineRule="auto"/>
        <w:ind w:left="0" w:right="-54" w:firstLine="720"/>
        <w:rPr>
          <w:rFonts w:ascii="Times New Roman" w:hAnsi="Times New Roman" w:cs="Times New Roman"/>
          <w:b/>
          <w:bCs/>
        </w:rPr>
      </w:pPr>
      <w:r w:rsidRPr="00F540CD">
        <w:rPr>
          <w:rFonts w:ascii="Times New Roman" w:hAnsi="Times New Roman" w:cs="Times New Roman"/>
          <w:b/>
          <w:bCs/>
        </w:rPr>
        <w:t>Q.</w:t>
      </w:r>
      <w:r w:rsidRPr="00F540CD">
        <w:rPr>
          <w:rFonts w:ascii="Times New Roman" w:hAnsi="Times New Roman" w:cs="Times New Roman"/>
          <w:b/>
          <w:bCs/>
        </w:rPr>
        <w:tab/>
      </w:r>
      <w:r>
        <w:rPr>
          <w:rFonts w:ascii="Times New Roman" w:hAnsi="Times New Roman" w:cs="Times New Roman"/>
          <w:b/>
          <w:bCs/>
        </w:rPr>
        <w:t xml:space="preserve">Regarding the possible alternatives </w:t>
      </w:r>
      <w:r w:rsidRPr="004C1D6B">
        <w:rPr>
          <w:rFonts w:ascii="Times New Roman" w:hAnsi="Times New Roman" w:cs="Times New Roman"/>
          <w:b/>
          <w:bCs/>
          <w:strike/>
        </w:rPr>
        <w:t>of deferred accounting with respect to both AMI expenditures and</w:t>
      </w:r>
      <w:r w:rsidR="009C0A90" w:rsidRPr="004C1D6B">
        <w:rPr>
          <w:rFonts w:ascii="Times New Roman" w:hAnsi="Times New Roman" w:cs="Times New Roman"/>
          <w:b/>
          <w:bCs/>
          <w:strike/>
        </w:rPr>
        <w:t xml:space="preserve"> </w:t>
      </w:r>
      <w:r w:rsidR="009C0A90">
        <w:rPr>
          <w:rFonts w:ascii="Times New Roman" w:hAnsi="Times New Roman" w:cs="Times New Roman"/>
          <w:b/>
          <w:bCs/>
        </w:rPr>
        <w:t>the</w:t>
      </w:r>
      <w:r>
        <w:rPr>
          <w:rFonts w:ascii="Times New Roman" w:hAnsi="Times New Roman" w:cs="Times New Roman"/>
          <w:b/>
          <w:bCs/>
        </w:rPr>
        <w:t xml:space="preserve"> Montana </w:t>
      </w:r>
      <w:r w:rsidR="009C0A90">
        <w:rPr>
          <w:rFonts w:ascii="Times New Roman" w:hAnsi="Times New Roman" w:cs="Times New Roman"/>
          <w:b/>
          <w:bCs/>
        </w:rPr>
        <w:t>Riverbed Lease costs</w:t>
      </w:r>
      <w:r w:rsidR="00B92163">
        <w:rPr>
          <w:rFonts w:ascii="Times New Roman" w:hAnsi="Times New Roman" w:cs="Times New Roman"/>
          <w:b/>
          <w:bCs/>
        </w:rPr>
        <w:t xml:space="preserve">, is the Company seeking an accounting order </w:t>
      </w:r>
      <w:r w:rsidR="00B92163" w:rsidRPr="004C1D6B">
        <w:rPr>
          <w:rFonts w:ascii="Times New Roman" w:hAnsi="Times New Roman" w:cs="Times New Roman"/>
          <w:b/>
          <w:bCs/>
          <w:strike/>
        </w:rPr>
        <w:t>for both matters</w:t>
      </w:r>
      <w:r w:rsidR="00B92163">
        <w:rPr>
          <w:rFonts w:ascii="Times New Roman" w:hAnsi="Times New Roman" w:cs="Times New Roman"/>
          <w:b/>
          <w:bCs/>
        </w:rPr>
        <w:t xml:space="preserve"> in this case</w:t>
      </w:r>
      <w:r w:rsidRPr="00F540CD">
        <w:rPr>
          <w:rFonts w:ascii="Times New Roman" w:hAnsi="Times New Roman" w:cs="Times New Roman"/>
          <w:b/>
          <w:bCs/>
        </w:rPr>
        <w:t>?</w:t>
      </w:r>
    </w:p>
    <w:p w:rsidR="00BE3FCD" w:rsidRPr="00336ED5" w:rsidRDefault="00336ED5" w:rsidP="00336ED5">
      <w:pPr>
        <w:pStyle w:val="BodyText"/>
        <w:tabs>
          <w:tab w:val="left" w:pos="720"/>
        </w:tabs>
        <w:spacing w:line="480" w:lineRule="auto"/>
        <w:ind w:right="-54"/>
        <w:jc w:val="both"/>
        <w:rPr>
          <w:b w:val="0"/>
          <w:bCs w:val="0"/>
        </w:rPr>
      </w:pPr>
      <w:r>
        <w:tab/>
      </w:r>
      <w:r w:rsidR="009C0A90">
        <w:rPr>
          <w:b w:val="0"/>
        </w:rPr>
        <w:t>A.</w:t>
      </w:r>
      <w:r w:rsidR="009C0A90">
        <w:rPr>
          <w:b w:val="0"/>
        </w:rPr>
        <w:tab/>
        <w:t>Yes</w:t>
      </w:r>
      <w:r w:rsidR="00E26DCE">
        <w:rPr>
          <w:b w:val="0"/>
        </w:rPr>
        <w:t>.  I</w:t>
      </w:r>
      <w:r w:rsidR="00B92163">
        <w:rPr>
          <w:b w:val="0"/>
        </w:rPr>
        <w:t>f the Commission does not otherwise approve the recovery of costs included in the Company’s filing in this proceeding</w:t>
      </w:r>
      <w:r w:rsidR="00E26DCE">
        <w:rPr>
          <w:b w:val="0"/>
        </w:rPr>
        <w:t xml:space="preserve">, </w:t>
      </w:r>
      <w:r w:rsidR="00B92163">
        <w:rPr>
          <w:b w:val="0"/>
        </w:rPr>
        <w:t>Avista believes that this alternative would serve to address the concerns of the parties in this docket.  The necessary showing for such an accounting order has been made in this docket, including the proposed accounting treatment, as explained in Ms. Andrew’s rebuttal testimony.  If, however, the Commission</w:t>
      </w:r>
      <w:r w:rsidR="00BF435D">
        <w:rPr>
          <w:b w:val="0"/>
        </w:rPr>
        <w:t>’s preference is for separately-filed petitions for an accounting order containing this information, Avista will do so at the conclusion of this case.</w:t>
      </w:r>
    </w:p>
    <w:p w:rsidR="00351584" w:rsidRPr="00F540CD" w:rsidRDefault="00351584" w:rsidP="00351584">
      <w:pPr>
        <w:pStyle w:val="TestBody"/>
        <w:tabs>
          <w:tab w:val="left" w:pos="1440"/>
        </w:tabs>
        <w:spacing w:line="480" w:lineRule="auto"/>
        <w:ind w:left="0" w:right="-54" w:firstLine="720"/>
        <w:rPr>
          <w:rFonts w:ascii="Times New Roman" w:hAnsi="Times New Roman" w:cs="Times New Roman"/>
          <w:b/>
          <w:bCs/>
        </w:rPr>
      </w:pPr>
      <w:r w:rsidRPr="00F540CD">
        <w:rPr>
          <w:rFonts w:ascii="Times New Roman" w:hAnsi="Times New Roman" w:cs="Times New Roman"/>
          <w:b/>
          <w:bCs/>
        </w:rPr>
        <w:t>Q.</w:t>
      </w:r>
      <w:r w:rsidRPr="00F540CD">
        <w:rPr>
          <w:rFonts w:ascii="Times New Roman" w:hAnsi="Times New Roman" w:cs="Times New Roman"/>
          <w:b/>
          <w:bCs/>
        </w:rPr>
        <w:tab/>
      </w:r>
      <w:r>
        <w:rPr>
          <w:rFonts w:ascii="Times New Roman" w:hAnsi="Times New Roman" w:cs="Times New Roman"/>
          <w:b/>
          <w:bCs/>
        </w:rPr>
        <w:t xml:space="preserve">If the Commission were to approve deferred accounting </w:t>
      </w:r>
      <w:r w:rsidR="00B41013">
        <w:rPr>
          <w:rFonts w:ascii="Times New Roman" w:hAnsi="Times New Roman" w:cs="Times New Roman"/>
          <w:b/>
          <w:bCs/>
        </w:rPr>
        <w:t xml:space="preserve">treatment </w:t>
      </w:r>
      <w:r w:rsidRPr="004C1D6B">
        <w:rPr>
          <w:rFonts w:ascii="Times New Roman" w:hAnsi="Times New Roman" w:cs="Times New Roman"/>
          <w:b/>
          <w:bCs/>
          <w:strike/>
        </w:rPr>
        <w:t xml:space="preserve">for </w:t>
      </w:r>
      <w:r w:rsidR="004C1862" w:rsidRPr="004C1D6B">
        <w:rPr>
          <w:rFonts w:ascii="Times New Roman" w:hAnsi="Times New Roman" w:cs="Times New Roman"/>
          <w:b/>
          <w:bCs/>
          <w:strike/>
        </w:rPr>
        <w:t xml:space="preserve">AMI and </w:t>
      </w:r>
      <w:r w:rsidR="004C1862">
        <w:rPr>
          <w:rFonts w:ascii="Times New Roman" w:hAnsi="Times New Roman" w:cs="Times New Roman"/>
          <w:b/>
          <w:bCs/>
        </w:rPr>
        <w:t>the Montana Riverbed Lease costs, what would be the Company’s proposed revenue requirement be on rebuttal</w:t>
      </w:r>
      <w:r w:rsidRPr="00F540CD">
        <w:rPr>
          <w:rFonts w:ascii="Times New Roman" w:hAnsi="Times New Roman" w:cs="Times New Roman"/>
          <w:b/>
          <w:bCs/>
        </w:rPr>
        <w:t>?</w:t>
      </w:r>
    </w:p>
    <w:p w:rsidR="007D2671" w:rsidRDefault="00351584" w:rsidP="007D2671">
      <w:pPr>
        <w:pStyle w:val="BodyText"/>
        <w:tabs>
          <w:tab w:val="left" w:pos="720"/>
        </w:tabs>
        <w:spacing w:line="480" w:lineRule="auto"/>
        <w:ind w:right="-54"/>
        <w:jc w:val="both"/>
        <w:rPr>
          <w:bCs w:val="0"/>
        </w:rPr>
      </w:pPr>
      <w:r>
        <w:tab/>
      </w:r>
      <w:r>
        <w:rPr>
          <w:b w:val="0"/>
        </w:rPr>
        <w:t>A.</w:t>
      </w:r>
      <w:r>
        <w:rPr>
          <w:b w:val="0"/>
        </w:rPr>
        <w:tab/>
      </w:r>
      <w:r w:rsidR="004C1862">
        <w:rPr>
          <w:b w:val="0"/>
        </w:rPr>
        <w:t xml:space="preserve">Table No. </w:t>
      </w:r>
      <w:r w:rsidR="0049446E">
        <w:rPr>
          <w:b w:val="0"/>
        </w:rPr>
        <w:t xml:space="preserve">7 below provides the revenue requirement on rebuttal for 2017 and 2018 should the Commission approve deferred accounting for </w:t>
      </w:r>
      <w:r w:rsidR="0049446E" w:rsidRPr="009E0C92">
        <w:rPr>
          <w:b w:val="0"/>
          <w:strike/>
        </w:rPr>
        <w:t>AMI and</w:t>
      </w:r>
      <w:r w:rsidR="0049446E">
        <w:rPr>
          <w:b w:val="0"/>
        </w:rPr>
        <w:t xml:space="preserve"> Montana Riverbed Lease costs.</w:t>
      </w:r>
      <w:r w:rsidR="007D2671">
        <w:rPr>
          <w:b w:val="0"/>
        </w:rPr>
        <w:br w:type="page"/>
      </w:r>
    </w:p>
    <w:p w:rsidR="0049446E" w:rsidRPr="0049446E" w:rsidRDefault="00794B3C" w:rsidP="0049446E">
      <w:pPr>
        <w:pStyle w:val="BodyText"/>
        <w:tabs>
          <w:tab w:val="left" w:pos="720"/>
        </w:tabs>
        <w:spacing w:line="240" w:lineRule="auto"/>
        <w:ind w:right="-54"/>
        <w:jc w:val="both"/>
        <w:rPr>
          <w:bCs w:val="0"/>
          <w:u w:val="single"/>
        </w:rPr>
      </w:pPr>
      <w:r>
        <w:rPr>
          <w:noProof/>
          <w:lang w:eastAsia="en-US"/>
        </w:rPr>
        <w:lastRenderedPageBreak/>
        <mc:AlternateContent>
          <mc:Choice Requires="wps">
            <w:drawing>
              <wp:anchor distT="0" distB="0" distL="114300" distR="114300" simplePos="0" relativeHeight="251684864" behindDoc="0" locked="0" layoutInCell="1" allowOverlap="1" wp14:anchorId="2CF95D5F" wp14:editId="757FD947">
                <wp:simplePos x="0" y="0"/>
                <wp:positionH relativeFrom="page">
                  <wp:align>center</wp:align>
                </wp:positionH>
                <wp:positionV relativeFrom="paragraph">
                  <wp:posOffset>-520996</wp:posOffset>
                </wp:positionV>
                <wp:extent cx="1903227" cy="28707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3227"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B3C" w:rsidRDefault="00794B3C" w:rsidP="00794B3C">
                            <w:r>
                              <w:t>Revised - October 11,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5D5F" id="Text Box 10" o:spid="_x0000_s1032" type="#_x0000_t202" style="position:absolute;left:0;text-align:left;margin-left:0;margin-top:-41pt;width:149.85pt;height:22.6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" filled="f" stroked="f" strokeweight=".5pt">
                <v:textbox>
                  <w:txbxContent>
                    <w:p w:rsidR="00794B3C" w:rsidRDefault="00794B3C" w:rsidP="00794B3C">
                      <w:r>
                        <w:t>Revised - October 11, 2016</w:t>
                      </w:r>
                    </w:p>
                  </w:txbxContent>
                </v:textbox>
                <w10:wrap anchorx="page"/>
              </v:shape>
            </w:pict>
          </mc:Fallback>
        </mc:AlternateContent>
      </w:r>
      <w:r w:rsidR="0049446E" w:rsidRPr="0049446E">
        <w:rPr>
          <w:u w:val="single"/>
        </w:rPr>
        <w:t>Table No. 7:</w:t>
      </w:r>
      <w:r w:rsidR="0049446E">
        <w:rPr>
          <w:u w:val="single"/>
        </w:rPr>
        <w:t xml:space="preserve">  Rebuttal Revenue </w:t>
      </w:r>
      <w:r w:rsidR="00153276">
        <w:rPr>
          <w:u w:val="single"/>
        </w:rPr>
        <w:t>Requirement</w:t>
      </w:r>
      <w:r w:rsidR="0049446E">
        <w:rPr>
          <w:u w:val="single"/>
        </w:rPr>
        <w:t xml:space="preserve"> Incorporating Deferred Accounting Treatment</w:t>
      </w:r>
    </w:p>
    <w:p w:rsidR="00351584" w:rsidRDefault="0059324B" w:rsidP="00D633FA">
      <w:pPr>
        <w:pStyle w:val="BodyTextIndent3"/>
        <w:tabs>
          <w:tab w:val="clear" w:pos="1260"/>
          <w:tab w:val="left" w:pos="1440"/>
        </w:tabs>
        <w:ind w:right="-54"/>
        <w:jc w:val="center"/>
        <w:rPr>
          <w:u w:val="single"/>
        </w:rPr>
      </w:pPr>
      <w:r w:rsidRPr="0059324B">
        <w:drawing>
          <wp:anchor distT="0" distB="0" distL="114300" distR="114300" simplePos="0" relativeHeight="251689984" behindDoc="1" locked="0" layoutInCell="1" allowOverlap="1" wp14:anchorId="07780A99" wp14:editId="233B399E">
            <wp:simplePos x="0" y="0"/>
            <wp:positionH relativeFrom="margin">
              <wp:align>right</wp:align>
            </wp:positionH>
            <wp:positionV relativeFrom="paragraph">
              <wp:posOffset>223284</wp:posOffset>
            </wp:positionV>
            <wp:extent cx="5669280" cy="2469633"/>
            <wp:effectExtent l="0" t="0" r="762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280" cy="24696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46E" w:rsidRDefault="0049446E" w:rsidP="00D633FA">
      <w:pPr>
        <w:pStyle w:val="BodyTextIndent3"/>
        <w:tabs>
          <w:tab w:val="clear" w:pos="1260"/>
          <w:tab w:val="left" w:pos="1440"/>
        </w:tabs>
        <w:ind w:right="-54"/>
        <w:jc w:val="center"/>
        <w:rPr>
          <w:u w:val="single"/>
        </w:rPr>
      </w:pPr>
    </w:p>
    <w:p w:rsidR="0049446E" w:rsidRDefault="0049446E" w:rsidP="00D633FA">
      <w:pPr>
        <w:pStyle w:val="BodyTextIndent3"/>
        <w:tabs>
          <w:tab w:val="clear" w:pos="1260"/>
          <w:tab w:val="left" w:pos="1440"/>
        </w:tabs>
        <w:ind w:right="-54"/>
        <w:jc w:val="center"/>
        <w:rPr>
          <w:u w:val="single"/>
        </w:rPr>
      </w:pPr>
    </w:p>
    <w:p w:rsidR="0049446E" w:rsidRDefault="0049446E"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E230DF" w:rsidRDefault="00E230DF" w:rsidP="00D633FA">
      <w:pPr>
        <w:pStyle w:val="BodyTextIndent3"/>
        <w:tabs>
          <w:tab w:val="clear" w:pos="1260"/>
          <w:tab w:val="left" w:pos="1440"/>
        </w:tabs>
        <w:ind w:right="-54"/>
        <w:jc w:val="center"/>
        <w:rPr>
          <w:u w:val="single"/>
        </w:rPr>
      </w:pPr>
    </w:p>
    <w:p w:rsidR="00673767" w:rsidRDefault="00673767" w:rsidP="00D633FA">
      <w:pPr>
        <w:pStyle w:val="BodyTextIndent3"/>
        <w:tabs>
          <w:tab w:val="clear" w:pos="1260"/>
          <w:tab w:val="left" w:pos="1440"/>
        </w:tabs>
        <w:ind w:right="-54"/>
        <w:jc w:val="center"/>
        <w:rPr>
          <w:u w:val="single"/>
        </w:rPr>
      </w:pPr>
    </w:p>
    <w:p w:rsidR="006226FF" w:rsidRPr="00F540CD" w:rsidRDefault="00DD6C5B" w:rsidP="00673767">
      <w:pPr>
        <w:pStyle w:val="BodyTextIndent3"/>
        <w:tabs>
          <w:tab w:val="clear" w:pos="1260"/>
          <w:tab w:val="left" w:pos="1440"/>
        </w:tabs>
        <w:ind w:right="-54" w:firstLine="0"/>
        <w:jc w:val="center"/>
        <w:rPr>
          <w:u w:val="single"/>
        </w:rPr>
      </w:pPr>
      <w:r>
        <w:rPr>
          <w:u w:val="single"/>
        </w:rPr>
        <w:t>X</w:t>
      </w:r>
      <w:r w:rsidR="006226FF" w:rsidRPr="00F540CD">
        <w:rPr>
          <w:u w:val="single"/>
        </w:rPr>
        <w:t>.  OTHER COMPANY WITNESSES</w:t>
      </w:r>
    </w:p>
    <w:p w:rsidR="006226FF" w:rsidRPr="00F540CD" w:rsidRDefault="006226FF" w:rsidP="00D633FA">
      <w:pPr>
        <w:pStyle w:val="TestBody"/>
        <w:tabs>
          <w:tab w:val="left" w:pos="1440"/>
        </w:tabs>
        <w:spacing w:line="480" w:lineRule="auto"/>
        <w:ind w:left="0" w:right="-54" w:firstLine="720"/>
        <w:rPr>
          <w:rFonts w:ascii="Times New Roman" w:hAnsi="Times New Roman" w:cs="Times New Roman"/>
          <w:b/>
          <w:bCs/>
        </w:rPr>
      </w:pPr>
      <w:r w:rsidRPr="00F540CD">
        <w:rPr>
          <w:rFonts w:ascii="Times New Roman" w:hAnsi="Times New Roman" w:cs="Times New Roman"/>
          <w:b/>
          <w:bCs/>
        </w:rPr>
        <w:t>Q.</w:t>
      </w:r>
      <w:r w:rsidRPr="00F540CD">
        <w:rPr>
          <w:rFonts w:ascii="Times New Roman" w:hAnsi="Times New Roman" w:cs="Times New Roman"/>
          <w:b/>
          <w:bCs/>
        </w:rPr>
        <w:tab/>
        <w:t>Would you please provide a brief summary of the rebuttal testimony of the other witnesses representing Avista in this proceeding?</w:t>
      </w:r>
    </w:p>
    <w:p w:rsidR="006226FF" w:rsidRPr="00F540CD" w:rsidRDefault="006226FF" w:rsidP="00D633FA">
      <w:pPr>
        <w:pStyle w:val="TestBody"/>
        <w:tabs>
          <w:tab w:val="left" w:pos="1440"/>
        </w:tabs>
        <w:spacing w:line="480" w:lineRule="auto"/>
        <w:ind w:left="0" w:right="-54" w:firstLine="720"/>
        <w:rPr>
          <w:rFonts w:ascii="Times New Roman" w:hAnsi="Times New Roman" w:cs="Times New Roman"/>
        </w:rPr>
      </w:pPr>
      <w:r w:rsidRPr="00F540CD">
        <w:rPr>
          <w:rFonts w:ascii="Times New Roman" w:hAnsi="Times New Roman" w:cs="Times New Roman"/>
        </w:rPr>
        <w:t>A.</w:t>
      </w:r>
      <w:r w:rsidRPr="00F540CD">
        <w:rPr>
          <w:rFonts w:ascii="Times New Roman" w:hAnsi="Times New Roman" w:cs="Times New Roman"/>
        </w:rPr>
        <w:tab/>
        <w:t xml:space="preserve">Yes.  The following additional witnesses are presenting </w:t>
      </w:r>
      <w:r>
        <w:rPr>
          <w:rFonts w:ascii="Times New Roman" w:hAnsi="Times New Roman" w:cs="Times New Roman"/>
        </w:rPr>
        <w:t>rebuttal</w:t>
      </w:r>
      <w:r w:rsidRPr="00F540CD">
        <w:rPr>
          <w:rFonts w:ascii="Times New Roman" w:hAnsi="Times New Roman" w:cs="Times New Roman"/>
        </w:rPr>
        <w:t xml:space="preserve"> testimony on behalf of Avista:</w:t>
      </w:r>
    </w:p>
    <w:p w:rsidR="005D2128" w:rsidRPr="0067621D" w:rsidRDefault="005D2128" w:rsidP="005D2128">
      <w:pPr>
        <w:pStyle w:val="TestBody"/>
        <w:spacing w:line="480" w:lineRule="auto"/>
        <w:ind w:left="0" w:firstLine="720"/>
        <w:rPr>
          <w:rFonts w:ascii="Times New Roman" w:hAnsi="Times New Roman" w:cs="Times New Roman"/>
        </w:rPr>
      </w:pPr>
      <w:r w:rsidRPr="00AE35D9">
        <w:rPr>
          <w:rFonts w:ascii="Times New Roman" w:hAnsi="Times New Roman" w:cs="Times New Roman"/>
          <w:u w:val="single"/>
        </w:rPr>
        <w:t>Mr. Adrien McKenzie</w:t>
      </w:r>
      <w:r w:rsidRPr="00252E6C">
        <w:rPr>
          <w:rFonts w:ascii="Times New Roman" w:hAnsi="Times New Roman" w:cs="Times New Roman"/>
        </w:rPr>
        <w:t>,</w:t>
      </w:r>
      <w:r>
        <w:rPr>
          <w:rFonts w:ascii="Times New Roman" w:hAnsi="Times New Roman" w:cs="Times New Roman"/>
        </w:rPr>
        <w:t xml:space="preserve"> </w:t>
      </w:r>
      <w:r w:rsidRPr="0067621D">
        <w:rPr>
          <w:rFonts w:ascii="Times New Roman" w:hAnsi="Times New Roman" w:cs="Times New Roman"/>
        </w:rPr>
        <w:t>Vice President of Financial Concepts and Applications (</w:t>
      </w:r>
      <w:proofErr w:type="spellStart"/>
      <w:r w:rsidRPr="0067621D">
        <w:rPr>
          <w:rFonts w:ascii="Times New Roman" w:hAnsi="Times New Roman" w:cs="Times New Roman"/>
        </w:rPr>
        <w:t>FINCAP</w:t>
      </w:r>
      <w:proofErr w:type="spellEnd"/>
      <w:r w:rsidRPr="0067621D">
        <w:rPr>
          <w:rFonts w:ascii="Times New Roman" w:hAnsi="Times New Roman" w:cs="Times New Roman"/>
        </w:rPr>
        <w:t xml:space="preserve">), Inc., </w:t>
      </w:r>
      <w:r w:rsidR="0067621D" w:rsidRPr="0067621D">
        <w:rPr>
          <w:rFonts w:ascii="Times New Roman" w:hAnsi="Times New Roman" w:cs="Times New Roman"/>
        </w:rPr>
        <w:t xml:space="preserve">responds to Staff and intervenor testimony concerning the fair return on equity (ROE) for Avista.  Mr. McKenzie concludes that </w:t>
      </w:r>
      <w:r w:rsidR="0067621D">
        <w:rPr>
          <w:rFonts w:ascii="Times New Roman" w:hAnsi="Times New Roman" w:cs="Times New Roman"/>
        </w:rPr>
        <w:t>t</w:t>
      </w:r>
      <w:r w:rsidR="0067621D" w:rsidRPr="0067621D">
        <w:rPr>
          <w:rFonts w:ascii="Times New Roman" w:hAnsi="Times New Roman" w:cs="Times New Roman"/>
        </w:rPr>
        <w:t xml:space="preserve">he cost of equity recommendations of </w:t>
      </w:r>
      <w:r w:rsidR="00D3490F">
        <w:rPr>
          <w:rFonts w:ascii="Times New Roman" w:hAnsi="Times New Roman" w:cs="Times New Roman"/>
        </w:rPr>
        <w:t xml:space="preserve">Mr. </w:t>
      </w:r>
      <w:proofErr w:type="spellStart"/>
      <w:r w:rsidR="00D3490F">
        <w:rPr>
          <w:rFonts w:ascii="Times New Roman" w:hAnsi="Times New Roman" w:cs="Times New Roman"/>
        </w:rPr>
        <w:t>Parcell</w:t>
      </w:r>
      <w:proofErr w:type="spellEnd"/>
      <w:r w:rsidR="00D3490F">
        <w:rPr>
          <w:rFonts w:ascii="Times New Roman" w:hAnsi="Times New Roman" w:cs="Times New Roman"/>
        </w:rPr>
        <w:t xml:space="preserve"> and Mr. Gorman </w:t>
      </w:r>
      <w:r w:rsidR="0067621D" w:rsidRPr="0067621D">
        <w:rPr>
          <w:rFonts w:ascii="Times New Roman" w:hAnsi="Times New Roman" w:cs="Times New Roman"/>
        </w:rPr>
        <w:t xml:space="preserve">are simply too low and fail to reflect the risk perceptions and return requirements of real-world investors in the capital markets.    </w:t>
      </w:r>
    </w:p>
    <w:p w:rsidR="00492E03" w:rsidRDefault="006226FF" w:rsidP="00492E03">
      <w:pPr>
        <w:pStyle w:val="TestBody"/>
        <w:spacing w:line="480" w:lineRule="auto"/>
        <w:ind w:left="0" w:right="-54" w:firstLine="720"/>
        <w:rPr>
          <w:rFonts w:ascii="Times New Roman" w:hAnsi="Times New Roman" w:cs="Times New Roman"/>
        </w:rPr>
      </w:pPr>
      <w:r w:rsidRPr="0067621D">
        <w:rPr>
          <w:rFonts w:ascii="Times New Roman" w:hAnsi="Times New Roman" w:cs="Times New Roman"/>
          <w:u w:val="single"/>
        </w:rPr>
        <w:t>Ms. Elizabeth Andrews</w:t>
      </w:r>
      <w:r w:rsidRPr="0067621D">
        <w:rPr>
          <w:rFonts w:ascii="Times New Roman" w:hAnsi="Times New Roman" w:cs="Times New Roman"/>
        </w:rPr>
        <w:t xml:space="preserve">, </w:t>
      </w:r>
      <w:r w:rsidR="00492E03" w:rsidRPr="0067621D">
        <w:rPr>
          <w:rFonts w:ascii="Times New Roman" w:hAnsi="Times New Roman" w:cs="Times New Roman"/>
        </w:rPr>
        <w:t xml:space="preserve">Senior </w:t>
      </w:r>
      <w:r w:rsidRPr="0067621D">
        <w:rPr>
          <w:rFonts w:ascii="Times New Roman" w:hAnsi="Times New Roman" w:cs="Times New Roman"/>
        </w:rPr>
        <w:t>Man</w:t>
      </w:r>
      <w:r w:rsidRPr="00F540CD">
        <w:rPr>
          <w:rFonts w:ascii="Times New Roman" w:hAnsi="Times New Roman" w:cs="Times New Roman"/>
        </w:rPr>
        <w:t xml:space="preserve">ager of Revenue Requirements, </w:t>
      </w:r>
      <w:r w:rsidR="003D6B1C">
        <w:rPr>
          <w:rFonts w:ascii="Times New Roman" w:hAnsi="Times New Roman"/>
        </w:rPr>
        <w:t xml:space="preserve">explains that </w:t>
      </w:r>
      <w:r w:rsidR="003D6B1C" w:rsidRPr="00F40CF9">
        <w:rPr>
          <w:rFonts w:ascii="Times New Roman" w:hAnsi="Times New Roman"/>
        </w:rPr>
        <w:t xml:space="preserve">the Company’s </w:t>
      </w:r>
      <w:r w:rsidR="003D6B1C">
        <w:rPr>
          <w:rFonts w:ascii="Times New Roman" w:hAnsi="Times New Roman"/>
        </w:rPr>
        <w:t xml:space="preserve">request for rate relief </w:t>
      </w:r>
      <w:r w:rsidR="003D6B1C" w:rsidRPr="00F40CF9">
        <w:rPr>
          <w:rFonts w:ascii="Times New Roman" w:hAnsi="Times New Roman"/>
        </w:rPr>
        <w:t>for both electric and natural gas</w:t>
      </w:r>
      <w:r w:rsidR="003D6B1C">
        <w:rPr>
          <w:rFonts w:ascii="Times New Roman" w:hAnsi="Times New Roman"/>
        </w:rPr>
        <w:t xml:space="preserve"> remains as originally filed, even though the Company’s updated </w:t>
      </w:r>
      <w:r w:rsidR="003D6B1C" w:rsidRPr="00C7185A">
        <w:rPr>
          <w:rFonts w:ascii="Times New Roman" w:hAnsi="Times New Roman"/>
        </w:rPr>
        <w:t>electric and natural gas Attrition Studies</w:t>
      </w:r>
      <w:r w:rsidR="003D6B1C">
        <w:rPr>
          <w:rFonts w:ascii="Times New Roman" w:hAnsi="Times New Roman"/>
        </w:rPr>
        <w:t xml:space="preserve"> for the 18-month </w:t>
      </w:r>
      <w:r w:rsidR="00CC36C0">
        <w:rPr>
          <w:noProof/>
          <w:lang w:eastAsia="en-US"/>
        </w:rPr>
        <w:lastRenderedPageBreak/>
        <mc:AlternateContent>
          <mc:Choice Requires="wps">
            <w:drawing>
              <wp:anchor distT="0" distB="0" distL="114300" distR="114300" simplePos="0" relativeHeight="251686912" behindDoc="0" locked="0" layoutInCell="1" allowOverlap="1" wp14:anchorId="6C2D6BB4" wp14:editId="2589B7C7">
                <wp:simplePos x="0" y="0"/>
                <wp:positionH relativeFrom="page">
                  <wp:align>center</wp:align>
                </wp:positionH>
                <wp:positionV relativeFrom="paragraph">
                  <wp:posOffset>-510363</wp:posOffset>
                </wp:positionV>
                <wp:extent cx="1903227" cy="28707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03227" cy="2870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36C0" w:rsidRDefault="00CC36C0" w:rsidP="00CC36C0">
                            <w:r>
                              <w:t>Revised - October 11,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6BB4" id="Text Box 12" o:spid="_x0000_s1033" type="#_x0000_t202" style="position:absolute;left:0;text-align:left;margin-left:0;margin-top:-40.2pt;width:149.85pt;height:22.6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" filled="f" stroked="f" strokeweight=".5pt">
                <v:textbox>
                  <w:txbxContent>
                    <w:p w:rsidR="00CC36C0" w:rsidRDefault="00CC36C0" w:rsidP="00CC36C0">
                      <w:r>
                        <w:t>Revised - October 11, 2016</w:t>
                      </w:r>
                    </w:p>
                  </w:txbxContent>
                </v:textbox>
                <w10:wrap anchorx="page"/>
              </v:shape>
            </w:pict>
          </mc:Fallback>
        </mc:AlternateContent>
      </w:r>
      <w:r w:rsidR="003D6B1C">
        <w:rPr>
          <w:rFonts w:ascii="Times New Roman" w:hAnsi="Times New Roman"/>
        </w:rPr>
        <w:t xml:space="preserve">rate plan (January 2017 through June 2018) </w:t>
      </w:r>
      <w:r w:rsidR="00D3490F">
        <w:rPr>
          <w:rFonts w:ascii="Times New Roman" w:hAnsi="Times New Roman"/>
        </w:rPr>
        <w:t>reflect</w:t>
      </w:r>
      <w:r w:rsidR="003D6B1C">
        <w:rPr>
          <w:rFonts w:ascii="Times New Roman" w:hAnsi="Times New Roman"/>
        </w:rPr>
        <w:t xml:space="preserve"> a higher need than originally requested. </w:t>
      </w:r>
      <w:r w:rsidR="00E2502E">
        <w:rPr>
          <w:rFonts w:ascii="Times New Roman" w:hAnsi="Times New Roman"/>
        </w:rPr>
        <w:t xml:space="preserve">Ms. Andrews also </w:t>
      </w:r>
      <w:r w:rsidR="00DB73A0">
        <w:rPr>
          <w:rFonts w:ascii="Times New Roman" w:hAnsi="Times New Roman"/>
        </w:rPr>
        <w:t>discuss</w:t>
      </w:r>
      <w:r w:rsidR="00E2502E">
        <w:rPr>
          <w:rFonts w:ascii="Times New Roman" w:hAnsi="Times New Roman"/>
        </w:rPr>
        <w:t>es</w:t>
      </w:r>
      <w:r w:rsidR="00DB73A0">
        <w:rPr>
          <w:rFonts w:ascii="Times New Roman" w:hAnsi="Times New Roman"/>
        </w:rPr>
        <w:t xml:space="preserve"> the </w:t>
      </w:r>
      <w:r w:rsidR="00E2502E">
        <w:rPr>
          <w:rFonts w:ascii="Times New Roman" w:hAnsi="Times New Roman"/>
        </w:rPr>
        <w:t xml:space="preserve">various issues within the </w:t>
      </w:r>
      <w:r w:rsidR="00DB73A0">
        <w:rPr>
          <w:rFonts w:ascii="Times New Roman" w:hAnsi="Times New Roman"/>
        </w:rPr>
        <w:t>electric and natural gas Attrition Studies as proposed by Mr. Hancock and Mr. Mullins, and why their proposed revenue increases are not reasonable.</w:t>
      </w:r>
      <w:r w:rsidR="00E2502E">
        <w:rPr>
          <w:rFonts w:ascii="Times New Roman" w:hAnsi="Times New Roman"/>
        </w:rPr>
        <w:t xml:space="preserve">  In response to Mr. Watkins testimony</w:t>
      </w:r>
      <w:r w:rsidR="008B5A21" w:rsidRPr="008B5A21">
        <w:rPr>
          <w:rFonts w:ascii="Times New Roman" w:hAnsi="Times New Roman"/>
        </w:rPr>
        <w:t xml:space="preserve"> </w:t>
      </w:r>
      <w:r w:rsidR="008B5A21" w:rsidRPr="00163403">
        <w:rPr>
          <w:rFonts w:ascii="Times New Roman" w:hAnsi="Times New Roman"/>
        </w:rPr>
        <w:t xml:space="preserve">regarding </w:t>
      </w:r>
      <w:r w:rsidR="008B5A21">
        <w:rPr>
          <w:rFonts w:ascii="Times New Roman" w:hAnsi="Times New Roman"/>
        </w:rPr>
        <w:t xml:space="preserve">Avista’s </w:t>
      </w:r>
      <w:r w:rsidR="008B5A21" w:rsidRPr="00163403">
        <w:rPr>
          <w:rFonts w:ascii="Times New Roman" w:hAnsi="Times New Roman"/>
        </w:rPr>
        <w:t>O&amp;M and A&amp;G expenses</w:t>
      </w:r>
      <w:r w:rsidR="00E2502E">
        <w:rPr>
          <w:rFonts w:ascii="Times New Roman" w:hAnsi="Times New Roman"/>
        </w:rPr>
        <w:t xml:space="preserve">, she explains that his </w:t>
      </w:r>
      <w:r w:rsidR="008B5A21">
        <w:rPr>
          <w:rFonts w:ascii="Times New Roman" w:hAnsi="Times New Roman"/>
        </w:rPr>
        <w:t xml:space="preserve">analyses </w:t>
      </w:r>
      <w:r w:rsidR="008B5A21" w:rsidRPr="00163403">
        <w:rPr>
          <w:rFonts w:ascii="Times New Roman" w:hAnsi="Times New Roman"/>
        </w:rPr>
        <w:t>are inappropriate and misleading</w:t>
      </w:r>
      <w:r w:rsidR="008B5A21">
        <w:rPr>
          <w:rFonts w:ascii="Times New Roman" w:hAnsi="Times New Roman"/>
        </w:rPr>
        <w:t>, and do not represent Avista’s changes in overall costs in recent years</w:t>
      </w:r>
      <w:r w:rsidR="008B5A21" w:rsidRPr="00163403">
        <w:rPr>
          <w:rFonts w:ascii="Times New Roman" w:hAnsi="Times New Roman"/>
        </w:rPr>
        <w:t>.</w:t>
      </w:r>
      <w:r w:rsidR="008B5A21">
        <w:rPr>
          <w:rFonts w:ascii="Times New Roman" w:hAnsi="Times New Roman"/>
        </w:rPr>
        <w:t xml:space="preserve">  Lastly, </w:t>
      </w:r>
      <w:r w:rsidR="008B5A21" w:rsidRPr="0059435F">
        <w:rPr>
          <w:rFonts w:ascii="Times New Roman" w:hAnsi="Times New Roman"/>
        </w:rPr>
        <w:t xml:space="preserve">if the Commission decides to </w:t>
      </w:r>
      <w:r w:rsidR="008B5A21">
        <w:rPr>
          <w:rFonts w:ascii="Times New Roman" w:hAnsi="Times New Roman"/>
        </w:rPr>
        <w:t xml:space="preserve">approve deferred accounting treatment </w:t>
      </w:r>
      <w:bookmarkStart w:id="0" w:name="_GoBack"/>
      <w:r w:rsidR="008B5A21" w:rsidRPr="0059324B">
        <w:rPr>
          <w:rFonts w:ascii="Times New Roman" w:hAnsi="Times New Roman"/>
          <w:strike/>
        </w:rPr>
        <w:t>for the 2017 costs associated with the Advanced Metering Infrastructure (AMI) project</w:t>
      </w:r>
      <w:bookmarkEnd w:id="0"/>
      <w:r w:rsidR="008B5A21" w:rsidRPr="0059435F">
        <w:rPr>
          <w:rFonts w:ascii="Times New Roman" w:hAnsi="Times New Roman"/>
        </w:rPr>
        <w:t xml:space="preserve"> </w:t>
      </w:r>
      <w:r w:rsidR="008B5A21">
        <w:rPr>
          <w:rFonts w:ascii="Times New Roman" w:hAnsi="Times New Roman"/>
        </w:rPr>
        <w:t xml:space="preserve">and </w:t>
      </w:r>
      <w:r w:rsidR="008B5A21" w:rsidRPr="0059435F">
        <w:rPr>
          <w:rFonts w:ascii="Times New Roman" w:hAnsi="Times New Roman"/>
        </w:rPr>
        <w:t xml:space="preserve">the Montana Riverbed Lease, </w:t>
      </w:r>
      <w:r w:rsidR="008B5A21">
        <w:rPr>
          <w:rFonts w:ascii="Times New Roman" w:hAnsi="Times New Roman"/>
        </w:rPr>
        <w:t>Ms. Andrews explains the accounting entries that would be recorded.</w:t>
      </w:r>
      <w:r w:rsidR="00DB73A0">
        <w:rPr>
          <w:rFonts w:ascii="Times New Roman" w:hAnsi="Times New Roman"/>
        </w:rPr>
        <w:t xml:space="preserve">   </w:t>
      </w:r>
    </w:p>
    <w:p w:rsidR="00B842D3" w:rsidRDefault="00B842D3" w:rsidP="00B842D3">
      <w:pPr>
        <w:pStyle w:val="TestBody"/>
        <w:spacing w:line="480" w:lineRule="auto"/>
        <w:ind w:left="0" w:right="-54" w:firstLine="720"/>
        <w:rPr>
          <w:rFonts w:ascii="Times New Roman" w:hAnsi="Times New Roman" w:cs="Times New Roman"/>
        </w:rPr>
      </w:pPr>
      <w:r>
        <w:rPr>
          <w:rFonts w:ascii="Times New Roman" w:hAnsi="Times New Roman" w:cs="Times New Roman"/>
          <w:u w:val="single"/>
        </w:rPr>
        <w:t>Dr.</w:t>
      </w:r>
      <w:r w:rsidRPr="00F540CD">
        <w:rPr>
          <w:rFonts w:ascii="Times New Roman" w:hAnsi="Times New Roman" w:cs="Times New Roman"/>
          <w:u w:val="single"/>
        </w:rPr>
        <w:t xml:space="preserve"> </w:t>
      </w:r>
      <w:r>
        <w:rPr>
          <w:rFonts w:ascii="Times New Roman" w:hAnsi="Times New Roman" w:cs="Times New Roman"/>
          <w:u w:val="single"/>
        </w:rPr>
        <w:t>Grant Forsyth</w:t>
      </w:r>
      <w:r w:rsidRPr="00F540CD">
        <w:rPr>
          <w:rFonts w:ascii="Times New Roman" w:hAnsi="Times New Roman" w:cs="Times New Roman"/>
        </w:rPr>
        <w:t xml:space="preserve">, </w:t>
      </w:r>
      <w:r>
        <w:rPr>
          <w:rFonts w:ascii="Times New Roman" w:hAnsi="Times New Roman" w:cs="Times New Roman"/>
        </w:rPr>
        <w:t>Chief Economist</w:t>
      </w:r>
      <w:r w:rsidR="00216985">
        <w:rPr>
          <w:rFonts w:ascii="Times New Roman" w:hAnsi="Times New Roman" w:cs="Times New Roman"/>
        </w:rPr>
        <w:t xml:space="preserve">, will examine methodological issues associated Mr. Mullins’ electric </w:t>
      </w:r>
      <w:r w:rsidR="00216985" w:rsidRPr="00126EDC">
        <w:rPr>
          <w:rFonts w:ascii="Times New Roman" w:hAnsi="Times New Roman" w:cs="Times New Roman"/>
          <w:snapToGrid w:val="0"/>
        </w:rPr>
        <w:t xml:space="preserve">and natural gas model regression analyses, as well as Mr. Hancock’s natural gas regression analyses.  </w:t>
      </w:r>
      <w:r w:rsidR="001C5006">
        <w:rPr>
          <w:rFonts w:ascii="Times New Roman" w:hAnsi="Times New Roman" w:cs="Times New Roman"/>
          <w:snapToGrid w:val="0"/>
        </w:rPr>
        <w:t xml:space="preserve">He </w:t>
      </w:r>
      <w:r w:rsidR="001C5006" w:rsidRPr="00126EDC">
        <w:rPr>
          <w:rFonts w:ascii="Times New Roman" w:hAnsi="Times New Roman" w:cs="Times New Roman"/>
          <w:snapToGrid w:val="0"/>
        </w:rPr>
        <w:t>will also examine the application of price ind</w:t>
      </w:r>
      <w:r w:rsidR="001C5006">
        <w:rPr>
          <w:rFonts w:ascii="Times New Roman" w:hAnsi="Times New Roman" w:cs="Times New Roman"/>
          <w:snapToGrid w:val="0"/>
        </w:rPr>
        <w:t>ices</w:t>
      </w:r>
      <w:r w:rsidR="001C5006" w:rsidRPr="00126EDC">
        <w:rPr>
          <w:rFonts w:ascii="Times New Roman" w:hAnsi="Times New Roman" w:cs="Times New Roman"/>
          <w:snapToGrid w:val="0"/>
        </w:rPr>
        <w:t xml:space="preserve"> </w:t>
      </w:r>
      <w:r w:rsidR="001C5006">
        <w:rPr>
          <w:rFonts w:ascii="Times New Roman" w:hAnsi="Times New Roman" w:cs="Times New Roman"/>
          <w:snapToGrid w:val="0"/>
        </w:rPr>
        <w:t xml:space="preserve">used by </w:t>
      </w:r>
      <w:r w:rsidR="001C5006" w:rsidRPr="00126EDC">
        <w:rPr>
          <w:rFonts w:ascii="Times New Roman" w:hAnsi="Times New Roman" w:cs="Times New Roman"/>
          <w:snapToGrid w:val="0"/>
        </w:rPr>
        <w:t>Mr. Hancock</w:t>
      </w:r>
      <w:r w:rsidR="001C5006">
        <w:rPr>
          <w:rFonts w:ascii="Times New Roman" w:hAnsi="Times New Roman" w:cs="Times New Roman"/>
          <w:snapToGrid w:val="0"/>
        </w:rPr>
        <w:t xml:space="preserve"> within his analysis of determining appropriate growth rates for trending O&amp;M expenses, as well as the use of certain price </w:t>
      </w:r>
      <w:r w:rsidR="001C5006" w:rsidRPr="00126EDC">
        <w:rPr>
          <w:rFonts w:ascii="Times New Roman" w:hAnsi="Times New Roman" w:cs="Times New Roman"/>
          <w:snapToGrid w:val="0"/>
        </w:rPr>
        <w:t>ind</w:t>
      </w:r>
      <w:r w:rsidR="001C5006">
        <w:rPr>
          <w:rFonts w:ascii="Times New Roman" w:hAnsi="Times New Roman" w:cs="Times New Roman"/>
          <w:snapToGrid w:val="0"/>
        </w:rPr>
        <w:t>ices</w:t>
      </w:r>
      <w:r w:rsidR="001C5006" w:rsidRPr="00126EDC">
        <w:rPr>
          <w:rFonts w:ascii="Times New Roman" w:hAnsi="Times New Roman" w:cs="Times New Roman"/>
          <w:snapToGrid w:val="0"/>
        </w:rPr>
        <w:t xml:space="preserve"> </w:t>
      </w:r>
      <w:r w:rsidR="001C5006">
        <w:rPr>
          <w:rFonts w:ascii="Times New Roman" w:hAnsi="Times New Roman" w:cs="Times New Roman"/>
          <w:snapToGrid w:val="0"/>
        </w:rPr>
        <w:t xml:space="preserve">by Mr. Watkins, who compares these </w:t>
      </w:r>
      <w:r w:rsidR="001C5006" w:rsidRPr="00126EDC">
        <w:rPr>
          <w:rFonts w:ascii="Times New Roman" w:hAnsi="Times New Roman" w:cs="Times New Roman"/>
          <w:snapToGrid w:val="0"/>
        </w:rPr>
        <w:t>ind</w:t>
      </w:r>
      <w:r w:rsidR="001C5006">
        <w:rPr>
          <w:rFonts w:ascii="Times New Roman" w:hAnsi="Times New Roman" w:cs="Times New Roman"/>
          <w:snapToGrid w:val="0"/>
        </w:rPr>
        <w:t>ices</w:t>
      </w:r>
      <w:r w:rsidR="001C5006" w:rsidRPr="00126EDC">
        <w:rPr>
          <w:rFonts w:ascii="Times New Roman" w:hAnsi="Times New Roman" w:cs="Times New Roman"/>
          <w:snapToGrid w:val="0"/>
        </w:rPr>
        <w:t xml:space="preserve"> </w:t>
      </w:r>
      <w:r w:rsidR="001C5006">
        <w:rPr>
          <w:rFonts w:ascii="Times New Roman" w:hAnsi="Times New Roman" w:cs="Times New Roman"/>
          <w:snapToGrid w:val="0"/>
        </w:rPr>
        <w:t xml:space="preserve">to the trend in Avista’s actual expenditures over time.  </w:t>
      </w:r>
      <w:r w:rsidR="00216985" w:rsidRPr="00126EDC">
        <w:rPr>
          <w:rFonts w:ascii="Times New Roman" w:hAnsi="Times New Roman" w:cs="Times New Roman"/>
          <w:snapToGrid w:val="0"/>
        </w:rPr>
        <w:t xml:space="preserve"> </w:t>
      </w:r>
      <w:r w:rsidRPr="00C608D3">
        <w:rPr>
          <w:rFonts w:ascii="Times New Roman" w:hAnsi="Times New Roman" w:cs="Times New Roman"/>
        </w:rPr>
        <w:t xml:space="preserve"> </w:t>
      </w:r>
    </w:p>
    <w:p w:rsidR="00B842D3" w:rsidRPr="002B2F39" w:rsidRDefault="00B842D3" w:rsidP="00B842D3">
      <w:pPr>
        <w:pStyle w:val="TestBody"/>
        <w:spacing w:line="480" w:lineRule="auto"/>
        <w:ind w:left="0" w:firstLine="720"/>
        <w:rPr>
          <w:rFonts w:ascii="Times New Roman" w:hAnsi="Times New Roman"/>
        </w:rPr>
      </w:pPr>
      <w:r w:rsidRPr="002B2F39">
        <w:rPr>
          <w:rFonts w:ascii="Times New Roman" w:hAnsi="Times New Roman"/>
          <w:u w:val="single"/>
        </w:rPr>
        <w:t>Mr. Clint Kalich</w:t>
      </w:r>
      <w:r w:rsidRPr="002B2F39">
        <w:rPr>
          <w:rFonts w:ascii="Times New Roman" w:hAnsi="Times New Roman"/>
        </w:rPr>
        <w:t xml:space="preserve">, Manager of Resource Planning &amp; Power Supply Analyses, </w:t>
      </w:r>
      <w:r w:rsidR="002B2F39" w:rsidRPr="002B2F39">
        <w:rPr>
          <w:rFonts w:ascii="Times New Roman" w:hAnsi="Times New Roman"/>
        </w:rPr>
        <w:t>will explain why adjustments made to the Dispatch Model suggested by Mr. Mullins are not reflective of current fundamental market conditions and are not feasible given hydro license rest</w:t>
      </w:r>
      <w:r w:rsidR="00E230DF">
        <w:rPr>
          <w:rFonts w:ascii="Times New Roman" w:hAnsi="Times New Roman"/>
        </w:rPr>
        <w:t>rictions.  His</w:t>
      </w:r>
      <w:r w:rsidR="002B2F39" w:rsidRPr="002B2F39">
        <w:rPr>
          <w:rFonts w:ascii="Times New Roman" w:hAnsi="Times New Roman"/>
        </w:rPr>
        <w:t xml:space="preserve"> testimony will further counter ICNU’s representation of the Dispatch Models accuracy</w:t>
      </w:r>
      <w:r w:rsidR="00D3490F">
        <w:rPr>
          <w:rFonts w:ascii="Times New Roman" w:hAnsi="Times New Roman"/>
        </w:rPr>
        <w:t>,</w:t>
      </w:r>
      <w:r w:rsidR="002B2F39" w:rsidRPr="002B2F39">
        <w:rPr>
          <w:rFonts w:ascii="Times New Roman" w:hAnsi="Times New Roman"/>
        </w:rPr>
        <w:t xml:space="preserve"> and address why creating a special Demand Response tariff is premature.</w:t>
      </w:r>
    </w:p>
    <w:p w:rsidR="00B842D3" w:rsidRDefault="00B842D3" w:rsidP="00B842D3">
      <w:pPr>
        <w:pStyle w:val="TestBody"/>
        <w:spacing w:line="480" w:lineRule="auto"/>
        <w:ind w:left="0" w:firstLine="720"/>
        <w:rPr>
          <w:rFonts w:ascii="Times New Roman" w:hAnsi="Times New Roman" w:cs="Times New Roman"/>
        </w:rPr>
      </w:pPr>
      <w:r w:rsidRPr="00345A0E">
        <w:rPr>
          <w:rFonts w:ascii="Times New Roman" w:hAnsi="Times New Roman" w:cs="Times New Roman"/>
          <w:u w:val="single"/>
        </w:rPr>
        <w:t>Mr. William Johnson</w:t>
      </w:r>
      <w:r w:rsidRPr="00252E6C">
        <w:rPr>
          <w:rFonts w:ascii="Times New Roman" w:hAnsi="Times New Roman" w:cs="Times New Roman"/>
        </w:rPr>
        <w:t>,</w:t>
      </w:r>
      <w:r w:rsidRPr="00345A0E">
        <w:rPr>
          <w:rFonts w:ascii="Times New Roman" w:hAnsi="Times New Roman" w:cs="Times New Roman"/>
        </w:rPr>
        <w:t xml:space="preserve"> Wholesale Marketing Manager, </w:t>
      </w:r>
      <w:r w:rsidRPr="00BE21E7">
        <w:rPr>
          <w:rFonts w:ascii="Times New Roman" w:hAnsi="Times New Roman" w:cs="Times New Roman"/>
        </w:rPr>
        <w:t>will</w:t>
      </w:r>
      <w:r w:rsidRPr="00345A0E">
        <w:rPr>
          <w:rFonts w:ascii="Times New Roman" w:hAnsi="Times New Roman" w:cs="Times New Roman"/>
        </w:rPr>
        <w:t xml:space="preserve"> </w:t>
      </w:r>
      <w:r w:rsidR="00E230DF">
        <w:rPr>
          <w:rFonts w:ascii="Times New Roman" w:hAnsi="Times New Roman" w:cs="Times New Roman"/>
        </w:rPr>
        <w:t>explain</w:t>
      </w:r>
      <w:r w:rsidR="003C7A24">
        <w:rPr>
          <w:rFonts w:ascii="Times New Roman" w:hAnsi="Times New Roman" w:cs="Times New Roman"/>
        </w:rPr>
        <w:t>,</w:t>
      </w:r>
      <w:r w:rsidR="005448E8">
        <w:rPr>
          <w:rFonts w:ascii="Times New Roman" w:hAnsi="Times New Roman" w:cs="Times New Roman"/>
        </w:rPr>
        <w:t xml:space="preserve"> in response to Staff and ICNU testimony, </w:t>
      </w:r>
      <w:r w:rsidR="00E230DF">
        <w:rPr>
          <w:rFonts w:ascii="Times New Roman" w:hAnsi="Times New Roman" w:cs="Times New Roman"/>
        </w:rPr>
        <w:t xml:space="preserve">why </w:t>
      </w:r>
      <w:r w:rsidR="005448E8">
        <w:rPr>
          <w:rFonts w:ascii="Times New Roman" w:hAnsi="Times New Roman" w:cs="Times New Roman"/>
        </w:rPr>
        <w:t xml:space="preserve">the latest information regarding </w:t>
      </w:r>
      <w:r w:rsidR="00E452BD">
        <w:rPr>
          <w:rFonts w:ascii="Times New Roman" w:hAnsi="Times New Roman" w:cs="Times New Roman"/>
        </w:rPr>
        <w:t xml:space="preserve">changes in </w:t>
      </w:r>
      <w:r w:rsidR="006732C0">
        <w:rPr>
          <w:rFonts w:ascii="Times New Roman" w:hAnsi="Times New Roman" w:cs="Times New Roman"/>
        </w:rPr>
        <w:t xml:space="preserve">certain power </w:t>
      </w:r>
      <w:r w:rsidR="006732C0">
        <w:rPr>
          <w:rFonts w:ascii="Times New Roman" w:hAnsi="Times New Roman" w:cs="Times New Roman"/>
        </w:rPr>
        <w:lastRenderedPageBreak/>
        <w:t xml:space="preserve">supply </w:t>
      </w:r>
      <w:r w:rsidR="004B4AE6">
        <w:rPr>
          <w:rFonts w:ascii="Times New Roman" w:hAnsi="Times New Roman" w:cs="Times New Roman"/>
        </w:rPr>
        <w:t xml:space="preserve">and transmission </w:t>
      </w:r>
      <w:r w:rsidR="006732C0">
        <w:rPr>
          <w:rFonts w:ascii="Times New Roman" w:hAnsi="Times New Roman" w:cs="Times New Roman"/>
        </w:rPr>
        <w:t>contracts</w:t>
      </w:r>
      <w:r w:rsidR="00E452BD">
        <w:rPr>
          <w:rFonts w:ascii="Times New Roman" w:hAnsi="Times New Roman" w:cs="Times New Roman"/>
        </w:rPr>
        <w:t xml:space="preserve"> should be used</w:t>
      </w:r>
      <w:r w:rsidR="004B4AE6">
        <w:rPr>
          <w:rFonts w:ascii="Times New Roman" w:hAnsi="Times New Roman" w:cs="Times New Roman"/>
        </w:rPr>
        <w:t>, and will be reflected</w:t>
      </w:r>
      <w:r w:rsidR="008621BC">
        <w:rPr>
          <w:rFonts w:ascii="Times New Roman" w:hAnsi="Times New Roman" w:cs="Times New Roman"/>
        </w:rPr>
        <w:t xml:space="preserve"> in its November 1, 2016 power supply update</w:t>
      </w:r>
      <w:r w:rsidR="002D773D">
        <w:rPr>
          <w:rFonts w:ascii="Times New Roman" w:hAnsi="Times New Roman" w:cs="Times New Roman"/>
        </w:rPr>
        <w:t>.</w:t>
      </w:r>
      <w:r w:rsidRPr="00345A0E">
        <w:rPr>
          <w:rFonts w:ascii="Times New Roman" w:hAnsi="Times New Roman" w:cs="Times New Roman"/>
        </w:rPr>
        <w:t xml:space="preserve"> </w:t>
      </w:r>
    </w:p>
    <w:p w:rsidR="00D15D6A" w:rsidRPr="005D05AD" w:rsidRDefault="00D15D6A" w:rsidP="00D15D6A">
      <w:pPr>
        <w:pStyle w:val="TestBody"/>
        <w:spacing w:line="480" w:lineRule="auto"/>
        <w:ind w:left="0" w:firstLine="720"/>
        <w:rPr>
          <w:rFonts w:ascii="Times New Roman" w:hAnsi="Times New Roman" w:cs="Times New Roman"/>
        </w:rPr>
      </w:pPr>
      <w:r w:rsidRPr="006557D5">
        <w:rPr>
          <w:rFonts w:ascii="Times New Roman" w:hAnsi="Times New Roman" w:cs="Times New Roman"/>
          <w:u w:val="single"/>
        </w:rPr>
        <w:t>Ms. Heather Rosentrater</w:t>
      </w:r>
      <w:r w:rsidRPr="006557D5">
        <w:rPr>
          <w:rFonts w:ascii="Times New Roman" w:hAnsi="Times New Roman" w:cs="Times New Roman"/>
        </w:rPr>
        <w:t xml:space="preserve">, Vice President of Energy Delivery, </w:t>
      </w:r>
      <w:r w:rsidR="006557D5" w:rsidRPr="006557D5">
        <w:rPr>
          <w:rFonts w:ascii="Times New Roman" w:hAnsi="Times New Roman" w:cs="Times New Roman"/>
        </w:rPr>
        <w:t xml:space="preserve">will </w:t>
      </w:r>
      <w:r w:rsidR="004B4AE6">
        <w:rPr>
          <w:rFonts w:ascii="Times New Roman" w:hAnsi="Times New Roman" w:cs="Times New Roman"/>
        </w:rPr>
        <w:t>respond</w:t>
      </w:r>
      <w:r w:rsidR="006557D5" w:rsidRPr="006557D5">
        <w:rPr>
          <w:rFonts w:ascii="Times New Roman" w:hAnsi="Times New Roman" w:cs="Times New Roman"/>
        </w:rPr>
        <w:t xml:space="preserve"> to the testimony filed by Public Counsel and the Energy Project (“PC/EP”) witness Ms. Alexander and Staff witness Mr. Nightingale</w:t>
      </w:r>
      <w:r w:rsidR="007315B2">
        <w:rPr>
          <w:rFonts w:ascii="Times New Roman" w:hAnsi="Times New Roman" w:cs="Times New Roman"/>
        </w:rPr>
        <w:t xml:space="preserve"> related to the AMI Project</w:t>
      </w:r>
      <w:r w:rsidR="00E230DF">
        <w:rPr>
          <w:rFonts w:ascii="Times New Roman" w:hAnsi="Times New Roman" w:cs="Times New Roman"/>
        </w:rPr>
        <w:t xml:space="preserve"> and explain why </w:t>
      </w:r>
      <w:r w:rsidR="00E230DF">
        <w:t>Avista has made the decision to move forward with the deployment of advanced metering for our Washington customers</w:t>
      </w:r>
      <w:r w:rsidR="006557D5" w:rsidRPr="006557D5">
        <w:rPr>
          <w:rFonts w:ascii="Times New Roman" w:hAnsi="Times New Roman" w:cs="Times New Roman"/>
        </w:rPr>
        <w:t xml:space="preserve">. </w:t>
      </w:r>
      <w:r w:rsidR="00642CDF">
        <w:rPr>
          <w:rFonts w:ascii="Times New Roman" w:hAnsi="Times New Roman" w:cs="Times New Roman"/>
        </w:rPr>
        <w:t xml:space="preserve">She also </w:t>
      </w:r>
      <w:r w:rsidR="00642CDF" w:rsidRPr="005D05AD">
        <w:rPr>
          <w:rFonts w:ascii="Times New Roman" w:hAnsi="Times New Roman" w:cs="Times New Roman"/>
        </w:rPr>
        <w:t>addresses</w:t>
      </w:r>
      <w:r w:rsidR="006557D5" w:rsidRPr="005D05AD">
        <w:rPr>
          <w:rFonts w:ascii="Times New Roman" w:hAnsi="Times New Roman" w:cs="Times New Roman"/>
        </w:rPr>
        <w:t xml:space="preserve"> Avista’s distribution plant investments in response to the testimony filed by </w:t>
      </w:r>
      <w:r w:rsidR="00642CDF" w:rsidRPr="005D05AD">
        <w:rPr>
          <w:rFonts w:ascii="Times New Roman" w:hAnsi="Times New Roman" w:cs="Times New Roman"/>
        </w:rPr>
        <w:t xml:space="preserve">Staff, Public Counsel and </w:t>
      </w:r>
      <w:r w:rsidR="006557D5" w:rsidRPr="005D05AD">
        <w:rPr>
          <w:rFonts w:ascii="Times New Roman" w:hAnsi="Times New Roman" w:cs="Times New Roman"/>
        </w:rPr>
        <w:t>ICNU/NWIGU.</w:t>
      </w:r>
    </w:p>
    <w:p w:rsidR="00D15D6A" w:rsidRPr="00B10CC3" w:rsidRDefault="00D15D6A" w:rsidP="00D15D6A">
      <w:pPr>
        <w:pStyle w:val="TestBody"/>
        <w:spacing w:line="480" w:lineRule="auto"/>
        <w:ind w:left="0" w:right="-54" w:firstLine="720"/>
        <w:rPr>
          <w:rFonts w:ascii="Times New Roman" w:hAnsi="Times New Roman" w:cs="Times New Roman"/>
        </w:rPr>
      </w:pPr>
      <w:r w:rsidRPr="005D05AD">
        <w:rPr>
          <w:rFonts w:ascii="Times New Roman" w:hAnsi="Times New Roman" w:cs="Times New Roman"/>
          <w:u w:val="single"/>
        </w:rPr>
        <w:t>Ms. Karen Schuh</w:t>
      </w:r>
      <w:r w:rsidRPr="005D05AD">
        <w:rPr>
          <w:rFonts w:ascii="Times New Roman" w:hAnsi="Times New Roman" w:cs="Times New Roman"/>
        </w:rPr>
        <w:t xml:space="preserve">, Senior Regulatory Analyst, </w:t>
      </w:r>
      <w:r w:rsidR="005D05AD" w:rsidRPr="005D05AD">
        <w:rPr>
          <w:rFonts w:ascii="Times New Roman" w:hAnsi="Times New Roman" w:cs="Times New Roman"/>
        </w:rPr>
        <w:t xml:space="preserve">will </w:t>
      </w:r>
      <w:r w:rsidR="007315B2">
        <w:rPr>
          <w:rFonts w:ascii="Times New Roman" w:hAnsi="Times New Roman" w:cs="Times New Roman"/>
        </w:rPr>
        <w:t>r</w:t>
      </w:r>
      <w:r w:rsidR="000A2277">
        <w:rPr>
          <w:rFonts w:ascii="Times New Roman" w:hAnsi="Times New Roman" w:cs="Times New Roman"/>
        </w:rPr>
        <w:t>espond to the</w:t>
      </w:r>
      <w:r w:rsidR="005D05AD" w:rsidRPr="005D05AD">
        <w:rPr>
          <w:rFonts w:ascii="Times New Roman" w:hAnsi="Times New Roman" w:cs="Times New Roman"/>
        </w:rPr>
        <w:t xml:space="preserve"> positions of other parties regarding pro forma capital adjustments and their inclusion in the Modified Test Year Studies. In addition, </w:t>
      </w:r>
      <w:r w:rsidR="005D05AD">
        <w:rPr>
          <w:rFonts w:ascii="Times New Roman" w:hAnsi="Times New Roman" w:cs="Times New Roman"/>
        </w:rPr>
        <w:t>she</w:t>
      </w:r>
      <w:r w:rsidR="005D05AD" w:rsidRPr="005D05AD">
        <w:rPr>
          <w:rFonts w:ascii="Times New Roman" w:hAnsi="Times New Roman" w:cs="Times New Roman"/>
        </w:rPr>
        <w:t xml:space="preserve"> explain</w:t>
      </w:r>
      <w:r w:rsidR="005D05AD">
        <w:rPr>
          <w:rFonts w:ascii="Times New Roman" w:hAnsi="Times New Roman" w:cs="Times New Roman"/>
        </w:rPr>
        <w:t>s</w:t>
      </w:r>
      <w:r w:rsidR="005D05AD" w:rsidRPr="005D05AD">
        <w:rPr>
          <w:rFonts w:ascii="Times New Roman" w:hAnsi="Times New Roman" w:cs="Times New Roman"/>
        </w:rPr>
        <w:t xml:space="preserve"> the fact that the rate making studies prepared by Staff and other parties do not reflect the balance of plant-in-service that will benefit customers during the 2017 rate year</w:t>
      </w:r>
      <w:r w:rsidR="000A2277">
        <w:rPr>
          <w:rFonts w:ascii="Times New Roman" w:hAnsi="Times New Roman" w:cs="Times New Roman"/>
        </w:rPr>
        <w:t>,</w:t>
      </w:r>
      <w:r w:rsidR="005D05AD" w:rsidRPr="005D05AD">
        <w:rPr>
          <w:rFonts w:ascii="Times New Roman" w:hAnsi="Times New Roman" w:cs="Times New Roman"/>
        </w:rPr>
        <w:t xml:space="preserve"> and the January to June 2018 rate period. </w:t>
      </w:r>
      <w:r w:rsidR="000A2277">
        <w:rPr>
          <w:rFonts w:ascii="Times New Roman" w:hAnsi="Times New Roman" w:cs="Times New Roman"/>
        </w:rPr>
        <w:t xml:space="preserve">Among other things, she summarizes </w:t>
      </w:r>
      <w:r w:rsidR="005D05AD" w:rsidRPr="005D05AD">
        <w:rPr>
          <w:rFonts w:ascii="Times New Roman" w:hAnsi="Times New Roman" w:cs="Times New Roman"/>
        </w:rPr>
        <w:t xml:space="preserve">updates to the Company’s expected capital investments in utility plant through the </w:t>
      </w:r>
      <w:r w:rsidR="005D05AD" w:rsidRPr="00B10CC3">
        <w:rPr>
          <w:rFonts w:ascii="Times New Roman" w:hAnsi="Times New Roman" w:cs="Times New Roman"/>
        </w:rPr>
        <w:t xml:space="preserve">2017 rate year and the January to June 2018 rate period to reflect the most current information. </w:t>
      </w:r>
    </w:p>
    <w:p w:rsidR="00C01BE2" w:rsidRPr="006A545E" w:rsidRDefault="00C01BE2" w:rsidP="00492E03">
      <w:pPr>
        <w:pStyle w:val="TestBody"/>
        <w:spacing w:line="480" w:lineRule="auto"/>
        <w:ind w:left="0" w:right="-54" w:firstLine="720"/>
        <w:rPr>
          <w:rFonts w:ascii="Times New Roman" w:hAnsi="Times New Roman" w:cs="Times New Roman"/>
        </w:rPr>
      </w:pPr>
      <w:r w:rsidRPr="00B10CC3">
        <w:rPr>
          <w:rFonts w:ascii="Times New Roman" w:hAnsi="Times New Roman" w:cs="Times New Roman"/>
          <w:u w:val="single"/>
        </w:rPr>
        <w:t>Ms. Jennifer Smith</w:t>
      </w:r>
      <w:r w:rsidRPr="00B10CC3">
        <w:rPr>
          <w:rFonts w:ascii="Times New Roman" w:hAnsi="Times New Roman" w:cs="Times New Roman"/>
        </w:rPr>
        <w:t xml:space="preserve">, Senior Regulatory Analyst, </w:t>
      </w:r>
      <w:r w:rsidR="00B10CC3" w:rsidRPr="00B10CC3">
        <w:rPr>
          <w:rFonts w:ascii="Times New Roman" w:hAnsi="Times New Roman" w:cs="Times New Roman"/>
        </w:rPr>
        <w:t xml:space="preserve">will explain the Company’s updated Modified Test Year </w:t>
      </w:r>
      <w:r w:rsidR="00B10CC3">
        <w:rPr>
          <w:rFonts w:ascii="Times New Roman" w:hAnsi="Times New Roman" w:cs="Times New Roman"/>
        </w:rPr>
        <w:t xml:space="preserve">Studies </w:t>
      </w:r>
      <w:r w:rsidR="00B10CC3" w:rsidRPr="00B10CC3">
        <w:rPr>
          <w:rFonts w:ascii="Times New Roman" w:hAnsi="Times New Roman" w:cs="Times New Roman"/>
        </w:rPr>
        <w:t xml:space="preserve">and Cross Check Studies for both electric and natural gas </w:t>
      </w:r>
      <w:bookmarkStart w:id="1" w:name="OLE_LINK5"/>
      <w:bookmarkStart w:id="2" w:name="OLE_LINK6"/>
      <w:r w:rsidR="00B10CC3" w:rsidRPr="00B10CC3">
        <w:rPr>
          <w:rFonts w:ascii="Times New Roman" w:hAnsi="Times New Roman" w:cs="Times New Roman"/>
        </w:rPr>
        <w:t xml:space="preserve">to reflect adjustments by parties with which the Company agrees, and additional adjustments for updates and corrections that have </w:t>
      </w:r>
      <w:r w:rsidR="00B10CC3" w:rsidRPr="006A545E">
        <w:rPr>
          <w:rFonts w:ascii="Times New Roman" w:hAnsi="Times New Roman" w:cs="Times New Roman"/>
        </w:rPr>
        <w:t>been identified through the discovery process.</w:t>
      </w:r>
      <w:bookmarkEnd w:id="1"/>
      <w:bookmarkEnd w:id="2"/>
      <w:r w:rsidR="00B10CC3" w:rsidRPr="006A545E">
        <w:rPr>
          <w:rFonts w:ascii="Times New Roman" w:hAnsi="Times New Roman" w:cs="Times New Roman"/>
        </w:rPr>
        <w:t xml:space="preserve">  Ms. Smith will </w:t>
      </w:r>
      <w:r w:rsidR="00375310" w:rsidRPr="006A545E">
        <w:rPr>
          <w:rFonts w:ascii="Times New Roman" w:hAnsi="Times New Roman" w:cs="Times New Roman"/>
        </w:rPr>
        <w:t xml:space="preserve">also provide the Company’s response as to why </w:t>
      </w:r>
      <w:r w:rsidR="006A545E" w:rsidRPr="006A545E">
        <w:rPr>
          <w:rFonts w:ascii="Times New Roman" w:hAnsi="Times New Roman" w:cs="Times New Roman"/>
        </w:rPr>
        <w:t>certain adjustments proposed by the parties were not</w:t>
      </w:r>
      <w:r w:rsidR="00B10CC3" w:rsidRPr="006A545E">
        <w:rPr>
          <w:rFonts w:ascii="Times New Roman" w:hAnsi="Times New Roman" w:cs="Times New Roman"/>
        </w:rPr>
        <w:t xml:space="preserve"> accepted. </w:t>
      </w:r>
    </w:p>
    <w:p w:rsidR="001B31B7" w:rsidRPr="00DD2859" w:rsidRDefault="001B31B7" w:rsidP="001B31B7">
      <w:pPr>
        <w:adjustRightInd w:val="0"/>
        <w:spacing w:line="480" w:lineRule="auto"/>
        <w:ind w:firstLine="720"/>
        <w:jc w:val="both"/>
        <w:rPr>
          <w:rStyle w:val="LineNumber"/>
        </w:rPr>
      </w:pPr>
      <w:r w:rsidRPr="006A545E">
        <w:rPr>
          <w:u w:val="single"/>
        </w:rPr>
        <w:t>Ms. Tara Knox</w:t>
      </w:r>
      <w:r w:rsidRPr="006A545E">
        <w:t xml:space="preserve">, Senior Regulatory Analyst, </w:t>
      </w:r>
      <w:r w:rsidR="003F5FE6" w:rsidRPr="006A545E">
        <w:rPr>
          <w:rStyle w:val="LineNumber"/>
        </w:rPr>
        <w:t>e</w:t>
      </w:r>
      <w:r w:rsidR="00277176" w:rsidRPr="006A545E">
        <w:rPr>
          <w:rStyle w:val="LineNumber"/>
        </w:rPr>
        <w:t>xplain</w:t>
      </w:r>
      <w:r w:rsidR="003F5FE6" w:rsidRPr="006A545E">
        <w:rPr>
          <w:rStyle w:val="LineNumber"/>
        </w:rPr>
        <w:t>s</w:t>
      </w:r>
      <w:r w:rsidR="00277176" w:rsidRPr="006A545E">
        <w:rPr>
          <w:rStyle w:val="LineNumber"/>
        </w:rPr>
        <w:t xml:space="preserve"> that the Company’s electric cost of service study</w:t>
      </w:r>
      <w:r w:rsidR="00E231A9" w:rsidRPr="006A545E">
        <w:rPr>
          <w:rStyle w:val="LineNumber"/>
        </w:rPr>
        <w:t xml:space="preserve"> </w:t>
      </w:r>
      <w:r w:rsidR="00B34371" w:rsidRPr="006A545E">
        <w:rPr>
          <w:rStyle w:val="LineNumber"/>
        </w:rPr>
        <w:t>provides a fair representation</w:t>
      </w:r>
      <w:r w:rsidR="00B34371">
        <w:rPr>
          <w:rStyle w:val="LineNumber"/>
        </w:rPr>
        <w:t xml:space="preserve"> of the costs to serve </w:t>
      </w:r>
      <w:r w:rsidR="00C91ED1">
        <w:rPr>
          <w:rStyle w:val="LineNumber"/>
        </w:rPr>
        <w:t xml:space="preserve">each customer group.  She </w:t>
      </w:r>
      <w:r w:rsidR="00C91ED1">
        <w:rPr>
          <w:rStyle w:val="LineNumber"/>
        </w:rPr>
        <w:lastRenderedPageBreak/>
        <w:t xml:space="preserve">explains that </w:t>
      </w:r>
      <w:r w:rsidR="00F2285B">
        <w:rPr>
          <w:rStyle w:val="LineNumber"/>
        </w:rPr>
        <w:t xml:space="preserve">the Company’s peak credit methodology is fair and consistent with past Commission practice, as is the </w:t>
      </w:r>
      <w:r w:rsidR="00D81AB5">
        <w:rPr>
          <w:rStyle w:val="LineNumber"/>
        </w:rPr>
        <w:t>Company’s allocation of transmission costs</w:t>
      </w:r>
      <w:r w:rsidR="00F2285B">
        <w:rPr>
          <w:rStyle w:val="LineNumber"/>
        </w:rPr>
        <w:t xml:space="preserve">.  </w:t>
      </w:r>
      <w:r w:rsidR="00E231A9">
        <w:rPr>
          <w:rStyle w:val="LineNumber"/>
        </w:rPr>
        <w:t>In addition</w:t>
      </w:r>
      <w:r w:rsidR="000B78C4">
        <w:rPr>
          <w:rStyle w:val="LineNumber"/>
        </w:rPr>
        <w:t>,</w:t>
      </w:r>
      <w:r w:rsidR="00E231A9">
        <w:rPr>
          <w:rStyle w:val="LineNumber"/>
        </w:rPr>
        <w:t xml:space="preserve"> she provides testimony which </w:t>
      </w:r>
      <w:r w:rsidR="00E231A9" w:rsidRPr="00DD2859">
        <w:rPr>
          <w:rStyle w:val="LineNumber"/>
        </w:rPr>
        <w:t xml:space="preserve">demonstrates that, even if one were to change how AMI-related costs are </w:t>
      </w:r>
      <w:r w:rsidR="004F48D1" w:rsidRPr="00DD2859">
        <w:rPr>
          <w:rStyle w:val="LineNumber"/>
        </w:rPr>
        <w:t>classified</w:t>
      </w:r>
      <w:r w:rsidR="006E5D4A" w:rsidRPr="00DD2859">
        <w:rPr>
          <w:rStyle w:val="LineNumber"/>
        </w:rPr>
        <w:t xml:space="preserve"> in the study</w:t>
      </w:r>
      <w:r w:rsidR="004F48D1" w:rsidRPr="00DD2859">
        <w:rPr>
          <w:rStyle w:val="LineNumber"/>
        </w:rPr>
        <w:t xml:space="preserve">, the effect on the results of the study </w:t>
      </w:r>
      <w:r w:rsidR="006E5D4A" w:rsidRPr="00DD2859">
        <w:rPr>
          <w:rStyle w:val="LineNumber"/>
        </w:rPr>
        <w:t>do not</w:t>
      </w:r>
      <w:r w:rsidR="004F48D1" w:rsidRPr="00DD2859">
        <w:rPr>
          <w:rStyle w:val="LineNumber"/>
        </w:rPr>
        <w:t xml:space="preserve"> material</w:t>
      </w:r>
      <w:r w:rsidR="006E5D4A" w:rsidRPr="00DD2859">
        <w:rPr>
          <w:rStyle w:val="LineNumber"/>
        </w:rPr>
        <w:t>ly change</w:t>
      </w:r>
      <w:r w:rsidR="004F48D1" w:rsidRPr="00DD2859">
        <w:rPr>
          <w:rStyle w:val="LineNumber"/>
        </w:rPr>
        <w:t>.</w:t>
      </w:r>
    </w:p>
    <w:p w:rsidR="001B31B7" w:rsidRPr="00DD2859" w:rsidRDefault="001B31B7" w:rsidP="001B31B7">
      <w:pPr>
        <w:adjustRightInd w:val="0"/>
        <w:spacing w:line="480" w:lineRule="auto"/>
        <w:ind w:firstLine="720"/>
        <w:jc w:val="both"/>
      </w:pPr>
      <w:r w:rsidRPr="00DD2859">
        <w:rPr>
          <w:rStyle w:val="LineNumber"/>
          <w:u w:val="single"/>
        </w:rPr>
        <w:t>Mr. Joseph Miller</w:t>
      </w:r>
      <w:r w:rsidRPr="00DD2859">
        <w:rPr>
          <w:rStyle w:val="LineNumber"/>
        </w:rPr>
        <w:t xml:space="preserve">, Senior Regulatory Analyst, </w:t>
      </w:r>
      <w:r w:rsidR="003F5FE6" w:rsidRPr="00DD2859">
        <w:rPr>
          <w:rStyle w:val="LineNumber"/>
        </w:rPr>
        <w:t xml:space="preserve">explains that the Company’s </w:t>
      </w:r>
      <w:r w:rsidR="00E208ED" w:rsidRPr="00DD2859">
        <w:rPr>
          <w:rStyle w:val="LineNumber"/>
        </w:rPr>
        <w:t xml:space="preserve">natural gas </w:t>
      </w:r>
      <w:r w:rsidR="003F5FE6" w:rsidRPr="00DD2859">
        <w:rPr>
          <w:rStyle w:val="LineNumber"/>
        </w:rPr>
        <w:t xml:space="preserve">cost of service study is reasonable and accurate for the purpose of setting rates. </w:t>
      </w:r>
      <w:r w:rsidR="00E208ED" w:rsidRPr="00DD2859">
        <w:rPr>
          <w:rStyle w:val="LineNumber"/>
        </w:rPr>
        <w:t xml:space="preserve"> In his testimony he will show that the use of the Peak and Average </w:t>
      </w:r>
      <w:r w:rsidR="00A93B47" w:rsidRPr="00DD2859">
        <w:rPr>
          <w:rStyle w:val="LineNumber"/>
        </w:rPr>
        <w:t xml:space="preserve">cost </w:t>
      </w:r>
      <w:r w:rsidR="00E208ED" w:rsidRPr="00DD2859">
        <w:rPr>
          <w:rStyle w:val="LineNumber"/>
        </w:rPr>
        <w:t xml:space="preserve">assignment methodology is </w:t>
      </w:r>
      <w:r w:rsidR="004D067B" w:rsidRPr="00DD2859">
        <w:rPr>
          <w:rStyle w:val="LineNumber"/>
        </w:rPr>
        <w:t xml:space="preserve">appropriate in that it provides a balance </w:t>
      </w:r>
      <w:r w:rsidR="00A93B47" w:rsidRPr="00DD2859">
        <w:rPr>
          <w:rStyle w:val="LineNumber"/>
        </w:rPr>
        <w:t xml:space="preserve">between the </w:t>
      </w:r>
      <w:proofErr w:type="gramStart"/>
      <w:r w:rsidR="00A93B47" w:rsidRPr="00DD2859">
        <w:rPr>
          <w:rStyle w:val="LineNumber"/>
        </w:rPr>
        <w:t>way</w:t>
      </w:r>
      <w:proofErr w:type="gramEnd"/>
      <w:r w:rsidR="00A93B47" w:rsidRPr="00DD2859">
        <w:rPr>
          <w:rStyle w:val="LineNumber"/>
        </w:rPr>
        <w:t xml:space="preserve"> the natural gas system is designed (peak) and the way it is used (average). </w:t>
      </w:r>
      <w:r w:rsidR="00D46FBA" w:rsidRPr="00DD2859">
        <w:rPr>
          <w:rStyle w:val="LineNumber"/>
        </w:rPr>
        <w:t xml:space="preserve">He will further demonstrate that there is a more appropriate way to allocate distribution mains using a customer component than that proposed by NWIGU.  Finally, Mr. Miller will show that, after </w:t>
      </w:r>
      <w:r w:rsidR="00035B74" w:rsidRPr="00DD2859">
        <w:rPr>
          <w:rStyle w:val="LineNumber"/>
        </w:rPr>
        <w:t xml:space="preserve">changing the allocation of AMI-related costs, </w:t>
      </w:r>
      <w:r w:rsidR="00944BCF" w:rsidRPr="00DD2859">
        <w:rPr>
          <w:rStyle w:val="LineNumber"/>
        </w:rPr>
        <w:t>the effect on the Company’s cost of service study is minimal.</w:t>
      </w:r>
    </w:p>
    <w:p w:rsidR="005E77D4" w:rsidRDefault="001B31B7" w:rsidP="005E77D4">
      <w:pPr>
        <w:pStyle w:val="P106"/>
        <w:jc w:val="both"/>
        <w:rPr>
          <w:rFonts w:ascii="Times New Roman" w:hAnsi="Times New Roman" w:cs="Times New Roman"/>
        </w:rPr>
      </w:pPr>
      <w:r w:rsidRPr="00DD2859">
        <w:rPr>
          <w:rFonts w:ascii="Times New Roman" w:hAnsi="Times New Roman" w:cs="Times New Roman"/>
          <w:u w:val="single"/>
        </w:rPr>
        <w:t>Mr. Patrick Ehrbar</w:t>
      </w:r>
      <w:r w:rsidRPr="00DD2859">
        <w:rPr>
          <w:rFonts w:ascii="Times New Roman" w:hAnsi="Times New Roman" w:cs="Times New Roman"/>
        </w:rPr>
        <w:t xml:space="preserve">, Senior Manager of Rates and Tariffs, </w:t>
      </w:r>
      <w:r w:rsidR="005E77D4" w:rsidRPr="00DD2859">
        <w:rPr>
          <w:rFonts w:ascii="Times New Roman" w:hAnsi="Times New Roman" w:cs="Times New Roman"/>
        </w:rPr>
        <w:t>discuss</w:t>
      </w:r>
      <w:r w:rsidR="00E37AD6">
        <w:rPr>
          <w:rFonts w:ascii="Times New Roman" w:hAnsi="Times New Roman" w:cs="Times New Roman"/>
        </w:rPr>
        <w:t>es</w:t>
      </w:r>
      <w:r w:rsidR="005E77D4">
        <w:rPr>
          <w:rFonts w:ascii="Times New Roman" w:hAnsi="Times New Roman" w:cs="Times New Roman"/>
        </w:rPr>
        <w:t xml:space="preserve"> that, with the 2017 and 2018 requested revenue requirements remaining unchanged from the Company’s original filing as noted by Company witness Ms. Andrews, Avista</w:t>
      </w:r>
      <w:r w:rsidR="005E77D4" w:rsidRPr="00517BD6">
        <w:rPr>
          <w:rFonts w:ascii="Times New Roman" w:hAnsi="Times New Roman" w:cs="Times New Roman"/>
        </w:rPr>
        <w:t xml:space="preserve"> </w:t>
      </w:r>
      <w:r w:rsidR="005E77D4">
        <w:rPr>
          <w:rFonts w:ascii="Times New Roman" w:hAnsi="Times New Roman" w:cs="Times New Roman"/>
        </w:rPr>
        <w:t xml:space="preserve">continues to support </w:t>
      </w:r>
      <w:r w:rsidR="00E37AD6">
        <w:rPr>
          <w:rFonts w:ascii="Times New Roman" w:hAnsi="Times New Roman" w:cs="Times New Roman"/>
        </w:rPr>
        <w:t>its</w:t>
      </w:r>
      <w:r w:rsidR="005E77D4">
        <w:rPr>
          <w:rFonts w:ascii="Times New Roman" w:hAnsi="Times New Roman" w:cs="Times New Roman"/>
        </w:rPr>
        <w:t xml:space="preserve"> originally-filed electric and natural gas rate spread.  In addition</w:t>
      </w:r>
      <w:r w:rsidR="00E37AD6">
        <w:rPr>
          <w:rFonts w:ascii="Times New Roman" w:hAnsi="Times New Roman" w:cs="Times New Roman"/>
        </w:rPr>
        <w:t>,</w:t>
      </w:r>
      <w:r w:rsidR="005E77D4">
        <w:rPr>
          <w:rFonts w:ascii="Times New Roman" w:hAnsi="Times New Roman" w:cs="Times New Roman"/>
        </w:rPr>
        <w:t xml:space="preserve"> he</w:t>
      </w:r>
      <w:r w:rsidR="005E77D4" w:rsidRPr="005540EB">
        <w:rPr>
          <w:rFonts w:ascii="Times New Roman" w:hAnsi="Times New Roman" w:cs="Times New Roman"/>
        </w:rPr>
        <w:t xml:space="preserve"> </w:t>
      </w:r>
      <w:r w:rsidR="005E77D4">
        <w:rPr>
          <w:rFonts w:ascii="Times New Roman" w:hAnsi="Times New Roman" w:cs="Times New Roman"/>
        </w:rPr>
        <w:t xml:space="preserve">will provide the Company’s response to the rate spread proposals of Staff, ICNU, </w:t>
      </w:r>
      <w:r w:rsidR="00AF2FC2">
        <w:rPr>
          <w:rFonts w:ascii="Times New Roman" w:hAnsi="Times New Roman" w:cs="Times New Roman"/>
        </w:rPr>
        <w:t xml:space="preserve">and </w:t>
      </w:r>
      <w:r w:rsidR="005E77D4">
        <w:rPr>
          <w:rFonts w:ascii="Times New Roman" w:hAnsi="Times New Roman" w:cs="Times New Roman"/>
        </w:rPr>
        <w:t>NWIGU.  He will also provide the Company’s response to testimony related to:</w:t>
      </w:r>
    </w:p>
    <w:p w:rsidR="00BC2EFD" w:rsidRPr="000F408F" w:rsidRDefault="00BC2EFD" w:rsidP="00BC2EFD">
      <w:pPr>
        <w:pStyle w:val="P106"/>
        <w:numPr>
          <w:ilvl w:val="0"/>
          <w:numId w:val="20"/>
        </w:numPr>
        <w:spacing w:line="240" w:lineRule="auto"/>
        <w:jc w:val="both"/>
        <w:rPr>
          <w:rFonts w:ascii="Times New Roman" w:hAnsi="Times New Roman" w:cs="Times New Roman"/>
          <w:b/>
        </w:rPr>
      </w:pPr>
      <w:r w:rsidRPr="000F408F">
        <w:rPr>
          <w:rFonts w:ascii="Times New Roman" w:hAnsi="Times New Roman" w:cs="Times New Roman"/>
          <w:u w:val="single"/>
        </w:rPr>
        <w:t>Cost of Service Workshops</w:t>
      </w:r>
      <w:r>
        <w:rPr>
          <w:rFonts w:ascii="Times New Roman" w:hAnsi="Times New Roman" w:cs="Times New Roman"/>
        </w:rPr>
        <w:t xml:space="preserve"> – while the Company would be an active and engaged participant in a generic cost of service proceeding, Avista has concerns that a “one size fits all” approach</w:t>
      </w:r>
      <w:r w:rsidR="00E37AD6">
        <w:rPr>
          <w:rFonts w:ascii="Times New Roman" w:hAnsi="Times New Roman" w:cs="Times New Roman"/>
        </w:rPr>
        <w:t xml:space="preserve"> is not necessarily appropriate;</w:t>
      </w:r>
    </w:p>
    <w:p w:rsidR="00BC2EFD" w:rsidRDefault="00BC2EFD" w:rsidP="00BC2EFD">
      <w:pPr>
        <w:pStyle w:val="P106"/>
        <w:numPr>
          <w:ilvl w:val="0"/>
          <w:numId w:val="20"/>
        </w:numPr>
        <w:spacing w:line="240" w:lineRule="auto"/>
        <w:jc w:val="both"/>
        <w:rPr>
          <w:rFonts w:ascii="Times New Roman" w:hAnsi="Times New Roman" w:cs="Times New Roman"/>
        </w:rPr>
      </w:pPr>
      <w:r w:rsidRPr="000F408F">
        <w:rPr>
          <w:rFonts w:ascii="Times New Roman" w:hAnsi="Times New Roman" w:cs="Times New Roman"/>
          <w:u w:val="single"/>
        </w:rPr>
        <w:t>Basic Charge Increases</w:t>
      </w:r>
      <w:r>
        <w:rPr>
          <w:rFonts w:ascii="Times New Roman" w:hAnsi="Times New Roman" w:cs="Times New Roman"/>
        </w:rPr>
        <w:t xml:space="preserve"> – Avista continues to believe that the increases in basic charges proposed in this case should be approved, and are supported</w:t>
      </w:r>
      <w:r w:rsidR="00E37AD6">
        <w:rPr>
          <w:rFonts w:ascii="Times New Roman" w:hAnsi="Times New Roman" w:cs="Times New Roman"/>
        </w:rPr>
        <w:t xml:space="preserve"> by the cost of service studies;</w:t>
      </w:r>
    </w:p>
    <w:p w:rsidR="00BC2EFD" w:rsidRDefault="00BC2EFD" w:rsidP="00BC2EFD">
      <w:pPr>
        <w:pStyle w:val="P106"/>
        <w:numPr>
          <w:ilvl w:val="0"/>
          <w:numId w:val="20"/>
        </w:numPr>
        <w:spacing w:line="240" w:lineRule="auto"/>
        <w:jc w:val="both"/>
        <w:rPr>
          <w:rFonts w:ascii="Times New Roman" w:hAnsi="Times New Roman" w:cs="Times New Roman"/>
        </w:rPr>
      </w:pPr>
      <w:r w:rsidRPr="000F408F">
        <w:rPr>
          <w:rFonts w:ascii="Times New Roman" w:hAnsi="Times New Roman" w:cs="Times New Roman"/>
          <w:u w:val="single"/>
        </w:rPr>
        <w:t>Demand Side Management Funding for Schedule 25</w:t>
      </w:r>
      <w:r>
        <w:rPr>
          <w:rFonts w:ascii="Times New Roman" w:hAnsi="Times New Roman" w:cs="Times New Roman"/>
        </w:rPr>
        <w:t xml:space="preserve"> – Avista does not agree that the usage in the third block of Schedule 25 should be exempt from contributing towards DSM, however the amount of funding provid</w:t>
      </w:r>
      <w:r w:rsidR="00E37AD6">
        <w:rPr>
          <w:rFonts w:ascii="Times New Roman" w:hAnsi="Times New Roman" w:cs="Times New Roman"/>
        </w:rPr>
        <w:t>ed could reasonably be adjusted;</w:t>
      </w:r>
    </w:p>
    <w:p w:rsidR="00BC2EFD" w:rsidRDefault="00BC2EFD" w:rsidP="00BC2EFD">
      <w:pPr>
        <w:pStyle w:val="P106"/>
        <w:numPr>
          <w:ilvl w:val="0"/>
          <w:numId w:val="20"/>
        </w:numPr>
        <w:spacing w:line="240" w:lineRule="auto"/>
        <w:jc w:val="both"/>
        <w:rPr>
          <w:rFonts w:ascii="Times New Roman" w:hAnsi="Times New Roman" w:cs="Times New Roman"/>
        </w:rPr>
      </w:pPr>
      <w:r w:rsidRPr="000F408F">
        <w:rPr>
          <w:rFonts w:ascii="Times New Roman" w:hAnsi="Times New Roman" w:cs="Times New Roman"/>
          <w:u w:val="single"/>
        </w:rPr>
        <w:lastRenderedPageBreak/>
        <w:t>Natural Gas Transportation Service Applicability</w:t>
      </w:r>
      <w:r>
        <w:rPr>
          <w:rFonts w:ascii="Times New Roman" w:hAnsi="Times New Roman" w:cs="Times New Roman"/>
        </w:rPr>
        <w:t xml:space="preserve"> – Avista does not agree that a new natural gas transportation rat</w:t>
      </w:r>
      <w:r w:rsidR="00E37AD6">
        <w:rPr>
          <w:rFonts w:ascii="Times New Roman" w:hAnsi="Times New Roman" w:cs="Times New Roman"/>
        </w:rPr>
        <w:t>e schedule should be created; and</w:t>
      </w:r>
    </w:p>
    <w:p w:rsidR="00BC2EFD" w:rsidRPr="00243809" w:rsidRDefault="00BC2EFD" w:rsidP="00BC2EFD">
      <w:pPr>
        <w:pStyle w:val="P106"/>
        <w:numPr>
          <w:ilvl w:val="0"/>
          <w:numId w:val="20"/>
        </w:numPr>
        <w:spacing w:line="240" w:lineRule="auto"/>
        <w:jc w:val="both"/>
        <w:rPr>
          <w:rFonts w:ascii="Times New Roman" w:hAnsi="Times New Roman" w:cs="Times New Roman"/>
          <w:b/>
        </w:rPr>
      </w:pPr>
      <w:r w:rsidRPr="000F408F">
        <w:rPr>
          <w:rFonts w:ascii="Times New Roman" w:hAnsi="Times New Roman" w:cs="Times New Roman"/>
          <w:u w:val="single"/>
        </w:rPr>
        <w:t>Low Income Rate Assistance Program (LIRAP)</w:t>
      </w:r>
      <w:r w:rsidRPr="00243809">
        <w:rPr>
          <w:rFonts w:ascii="Times New Roman" w:hAnsi="Times New Roman" w:cs="Times New Roman"/>
        </w:rPr>
        <w:t xml:space="preserve"> </w:t>
      </w:r>
      <w:r>
        <w:rPr>
          <w:rFonts w:ascii="Times New Roman" w:hAnsi="Times New Roman" w:cs="Times New Roman"/>
        </w:rPr>
        <w:t>– adjustments to LIRAP, including program funding, are not necessary in this case given the recent five-year LIRAP rate plan as well as continuing discussions in the LIRAP Advisory Group regarding potential programs design options.</w:t>
      </w:r>
      <w:r w:rsidRPr="00243809">
        <w:rPr>
          <w:rFonts w:ascii="Times New Roman" w:hAnsi="Times New Roman" w:cs="Times New Roman"/>
        </w:rPr>
        <w:t xml:space="preserve"> </w:t>
      </w:r>
    </w:p>
    <w:p w:rsidR="001B31B7" w:rsidRPr="00345A0E" w:rsidRDefault="001B31B7" w:rsidP="001B31B7">
      <w:pPr>
        <w:pStyle w:val="TestBody"/>
        <w:spacing w:line="480" w:lineRule="auto"/>
        <w:ind w:left="0" w:firstLine="720"/>
        <w:rPr>
          <w:rFonts w:ascii="Times New Roman" w:hAnsi="Times New Roman" w:cs="Times New Roman"/>
        </w:rPr>
      </w:pPr>
    </w:p>
    <w:p w:rsidR="00342364" w:rsidRPr="00F540CD" w:rsidRDefault="00342364" w:rsidP="00867849">
      <w:pPr>
        <w:pStyle w:val="Heading2"/>
        <w:numPr>
          <w:ilvl w:val="2"/>
          <w:numId w:val="1"/>
        </w:numPr>
        <w:tabs>
          <w:tab w:val="clear" w:pos="1260"/>
          <w:tab w:val="left" w:pos="1296"/>
        </w:tabs>
        <w:ind w:right="-54"/>
      </w:pPr>
      <w:r w:rsidRPr="00F540CD">
        <w:t>Q.</w:t>
      </w:r>
      <w:r w:rsidRPr="00F540CD">
        <w:tab/>
        <w:t>Does this conclude your rebuttal testimony?</w:t>
      </w:r>
    </w:p>
    <w:p w:rsidR="00342364" w:rsidRPr="00F540CD" w:rsidRDefault="00342364" w:rsidP="00867849">
      <w:pPr>
        <w:tabs>
          <w:tab w:val="left" w:pos="720"/>
        </w:tabs>
        <w:spacing w:line="480" w:lineRule="auto"/>
        <w:ind w:right="-54" w:firstLine="720"/>
        <w:jc w:val="both"/>
      </w:pPr>
      <w:r w:rsidRPr="00F540CD">
        <w:t>A.</w:t>
      </w:r>
      <w:r w:rsidRPr="00F540CD">
        <w:tab/>
        <w:t>Yes.</w:t>
      </w:r>
    </w:p>
    <w:sectPr w:rsidR="00342364" w:rsidRPr="00F540CD" w:rsidSect="0077523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872" w:header="720" w:footer="437" w:gutter="0"/>
      <w:lnNumType w:countBy="1" w:distance="43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2F" w:rsidRDefault="00BD392F">
      <w:r>
        <w:separator/>
      </w:r>
    </w:p>
  </w:endnote>
  <w:endnote w:type="continuationSeparator" w:id="0">
    <w:p w:rsidR="00BD392F" w:rsidRDefault="00B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Footer"/>
      <w:tabs>
        <w:tab w:val="clear" w:pos="4320"/>
        <w:tab w:val="clear" w:pos="8640"/>
        <w:tab w:val="left" w:pos="180"/>
        <w:tab w:val="right" w:pos="9360"/>
      </w:tabs>
    </w:pPr>
    <w:r>
      <w:t>Rebuttal Testimony of Kelly O. Norwood</w:t>
    </w:r>
  </w:p>
  <w:p w:rsidR="00BD392F" w:rsidRDefault="00BD392F" w:rsidP="00843CCA">
    <w:pPr>
      <w:pStyle w:val="Footer"/>
      <w:tabs>
        <w:tab w:val="clear" w:pos="4320"/>
        <w:tab w:val="clear" w:pos="8640"/>
        <w:tab w:val="left" w:pos="180"/>
        <w:tab w:val="right" w:pos="9180"/>
      </w:tabs>
    </w:pPr>
    <w:r>
      <w:t>Avista Corporation</w:t>
    </w:r>
  </w:p>
  <w:p w:rsidR="00BD392F" w:rsidRDefault="00BD392F" w:rsidP="00056588">
    <w:pPr>
      <w:pStyle w:val="Footer"/>
      <w:tabs>
        <w:tab w:val="clear" w:pos="4320"/>
        <w:tab w:val="clear" w:pos="8640"/>
        <w:tab w:val="left" w:pos="180"/>
        <w:tab w:val="right" w:pos="9180"/>
      </w:tabs>
    </w:pPr>
    <w:r>
      <w:t>Docket Nos. UE-160228 and UG-160229</w:t>
    </w:r>
    <w:r>
      <w:tab/>
      <w:t xml:space="preserve">Page </w:t>
    </w:r>
    <w:r>
      <w:rPr>
        <w:rStyle w:val="PageNumber"/>
      </w:rPr>
      <w:fldChar w:fldCharType="begin"/>
    </w:r>
    <w:r>
      <w:rPr>
        <w:rStyle w:val="PageNumber"/>
      </w:rPr>
      <w:instrText xml:space="preserve"> PAGE </w:instrText>
    </w:r>
    <w:r>
      <w:rPr>
        <w:rStyle w:val="PageNumber"/>
      </w:rPr>
      <w:fldChar w:fldCharType="separate"/>
    </w:r>
    <w:r w:rsidR="0059324B">
      <w:rPr>
        <w:rStyle w:val="PageNumber"/>
        <w:noProof/>
      </w:rPr>
      <w:t>49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Footer"/>
      <w:tabs>
        <w:tab w:val="clear" w:pos="4320"/>
        <w:tab w:val="clear" w:pos="8640"/>
        <w:tab w:val="left" w:pos="180"/>
        <w:tab w:val="right" w:pos="9360"/>
      </w:tabs>
    </w:pPr>
    <w:r>
      <w:t>Rebuttal Testimony of Kelly O. Norwood</w:t>
    </w:r>
  </w:p>
  <w:p w:rsidR="00BD392F" w:rsidRDefault="00BD392F">
    <w:pPr>
      <w:pStyle w:val="Footer"/>
      <w:tabs>
        <w:tab w:val="clear" w:pos="4320"/>
        <w:tab w:val="clear" w:pos="8640"/>
        <w:tab w:val="left" w:pos="180"/>
        <w:tab w:val="right" w:pos="9360"/>
      </w:tabs>
    </w:pPr>
    <w:r>
      <w:t>Avista Corporation</w:t>
    </w:r>
  </w:p>
  <w:p w:rsidR="00BD392F" w:rsidRDefault="00BD392F" w:rsidP="00056588">
    <w:pPr>
      <w:pStyle w:val="Footer"/>
      <w:tabs>
        <w:tab w:val="clear" w:pos="4320"/>
        <w:tab w:val="clear" w:pos="8640"/>
        <w:tab w:val="left" w:pos="180"/>
        <w:tab w:val="right" w:pos="9360"/>
      </w:tabs>
    </w:pPr>
    <w:r>
      <w:t>Docket Nos. UE-160228 and UG-160229</w:t>
    </w:r>
    <w:r>
      <w:tab/>
      <w:t xml:space="preserve">Page </w:t>
    </w:r>
    <w:r>
      <w:rPr>
        <w:rStyle w:val="PageNumber"/>
      </w:rPr>
      <w:fldChar w:fldCharType="begin"/>
    </w:r>
    <w:r>
      <w:rPr>
        <w:rStyle w:val="PageNumber"/>
      </w:rPr>
      <w:instrText xml:space="preserve"> PAGE </w:instrText>
    </w:r>
    <w:r>
      <w:rPr>
        <w:rStyle w:val="PageNumber"/>
      </w:rPr>
      <w:fldChar w:fldCharType="separate"/>
    </w:r>
    <w:r w:rsidR="0059324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2F" w:rsidRDefault="00BD392F">
      <w:r>
        <w:separator/>
      </w:r>
    </w:p>
  </w:footnote>
  <w:footnote w:type="continuationSeparator" w:id="0">
    <w:p w:rsidR="00BD392F" w:rsidRDefault="00BD392F">
      <w:r>
        <w:continuationSeparator/>
      </w:r>
    </w:p>
  </w:footnote>
  <w:footnote w:id="1">
    <w:p w:rsidR="00BD392F" w:rsidRDefault="00BD392F" w:rsidP="00AB4BF2">
      <w:pPr>
        <w:pStyle w:val="FootnoteText"/>
      </w:pPr>
      <w:r>
        <w:rPr>
          <w:rStyle w:val="FootnoteReference"/>
        </w:rPr>
        <w:footnoteRef/>
      </w:r>
      <w:r>
        <w:t xml:space="preserve"> Exhibit No.__</w:t>
      </w:r>
      <w:proofErr w:type="gramStart"/>
      <w:r>
        <w:t>_(</w:t>
      </w:r>
      <w:proofErr w:type="spellStart"/>
      <w:proofErr w:type="gramEnd"/>
      <w:r>
        <w:t>SLM</w:t>
      </w:r>
      <w:proofErr w:type="spellEnd"/>
      <w:r>
        <w:t>-1T), p. 3:9-17.</w:t>
      </w:r>
    </w:p>
  </w:footnote>
  <w:footnote w:id="2">
    <w:p w:rsidR="003B1B94" w:rsidRDefault="003B1B94">
      <w:pPr>
        <w:pStyle w:val="FootnoteText"/>
      </w:pPr>
      <w:r>
        <w:rPr>
          <w:rStyle w:val="FootnoteReference"/>
        </w:rPr>
        <w:footnoteRef/>
      </w:r>
      <w:r>
        <w:t xml:space="preserve"> Exhibit No.__</w:t>
      </w:r>
      <w:proofErr w:type="gramStart"/>
      <w:r>
        <w:t>_(</w:t>
      </w:r>
      <w:proofErr w:type="spellStart"/>
      <w:proofErr w:type="gramEnd"/>
      <w:r w:rsidR="00566F50">
        <w:t>CSH</w:t>
      </w:r>
      <w:proofErr w:type="spellEnd"/>
      <w:r>
        <w:t xml:space="preserve">-1T), p. </w:t>
      </w:r>
      <w:r w:rsidR="00566F50">
        <w:t>8</w:t>
      </w:r>
      <w:r>
        <w:t>:</w:t>
      </w:r>
      <w:r w:rsidR="00566F50">
        <w:t>17-23</w:t>
      </w:r>
      <w:r>
        <w:t>.</w:t>
      </w:r>
    </w:p>
  </w:footnote>
  <w:footnote w:id="3">
    <w:p w:rsidR="00BD392F" w:rsidRDefault="00BD392F" w:rsidP="00697E1B">
      <w:pPr>
        <w:pStyle w:val="FootnoteText"/>
        <w:jc w:val="both"/>
      </w:pPr>
      <w:r>
        <w:rPr>
          <w:rStyle w:val="FootnoteReference"/>
        </w:rPr>
        <w:footnoteRef/>
      </w:r>
      <w:r>
        <w:t xml:space="preserve"> I will refer to each of the non-Company parties in these Dockets as follows: </w:t>
      </w:r>
      <w:r w:rsidRPr="00CD2B9E">
        <w:rPr>
          <w:bCs/>
        </w:rPr>
        <w:t>the Staff of the Washington Utilities and Transportation Commission (Staff), the Public Counsel Unit of the Washington Office of Attorney General (Public Counsel), the Industrial Customers of Northwest Utilities (ICNU), the Northwest Industrial Gas Users (NWIGU), and The Energy Project.</w:t>
      </w:r>
    </w:p>
  </w:footnote>
  <w:footnote w:id="4">
    <w:p w:rsidR="00BD392F" w:rsidRDefault="00BD392F" w:rsidP="00DC7448">
      <w:pPr>
        <w:pStyle w:val="FootnoteText"/>
      </w:pPr>
      <w:r>
        <w:rPr>
          <w:rStyle w:val="FootnoteReference"/>
        </w:rPr>
        <w:footnoteRef/>
      </w:r>
      <w:r>
        <w:t xml:space="preserve"> Exhibit No.__</w:t>
      </w:r>
      <w:proofErr w:type="gramStart"/>
      <w:r>
        <w:t>_(</w:t>
      </w:r>
      <w:proofErr w:type="gramEnd"/>
      <w:r>
        <w:t>BGM-1T), p. 3:11.</w:t>
      </w:r>
    </w:p>
  </w:footnote>
  <w:footnote w:id="5">
    <w:p w:rsidR="00BD392F" w:rsidRDefault="00BD392F" w:rsidP="00C3662A">
      <w:pPr>
        <w:pStyle w:val="FootnoteText"/>
        <w:jc w:val="both"/>
      </w:pPr>
      <w:r>
        <w:rPr>
          <w:rStyle w:val="FootnoteReference"/>
        </w:rPr>
        <w:footnoteRef/>
      </w:r>
      <w:r>
        <w:t xml:space="preserve"> I understand that ICNU’s revenue decrease and Avista’s increase are predicated on different levels of ROE.  That difference, however, represents a small fraction of the overall $42.4 million difference.</w:t>
      </w:r>
    </w:p>
  </w:footnote>
  <w:footnote w:id="6">
    <w:p w:rsidR="00BD392F" w:rsidRDefault="00BD392F" w:rsidP="00856E76">
      <w:pPr>
        <w:pStyle w:val="FootnoteText"/>
        <w:jc w:val="both"/>
      </w:pPr>
      <w:r>
        <w:rPr>
          <w:rStyle w:val="FootnoteReference"/>
        </w:rPr>
        <w:footnoteRef/>
      </w:r>
      <w:r>
        <w:t xml:space="preserve"> The equivalent return on equity earnings opportunity for Avista under the ICNU proposal would </w:t>
      </w:r>
      <w:r w:rsidR="00E627B8">
        <w:t xml:space="preserve">have been </w:t>
      </w:r>
      <w:r>
        <w:t>approximately 4.5%.</w:t>
      </w:r>
    </w:p>
  </w:footnote>
  <w:footnote w:id="7">
    <w:p w:rsidR="00BD392F" w:rsidRDefault="00BD392F" w:rsidP="00A15C2F">
      <w:pPr>
        <w:pStyle w:val="FootnoteText"/>
        <w:jc w:val="both"/>
      </w:pPr>
      <w:r w:rsidRPr="00A353D4">
        <w:rPr>
          <w:rStyle w:val="FootnoteReference"/>
        </w:rPr>
        <w:footnoteRef/>
      </w:r>
      <w:r w:rsidRPr="00A353D4">
        <w:t xml:space="preserve"> No stated ROE was agreed upon in the Settlement Stipulation approved by the Commission in Docket Nos. UE-140188 and UG-140189.</w:t>
      </w:r>
    </w:p>
  </w:footnote>
  <w:footnote w:id="8">
    <w:p w:rsidR="00BD392F" w:rsidRDefault="00BD392F">
      <w:pPr>
        <w:pStyle w:val="FootnoteText"/>
      </w:pPr>
      <w:r>
        <w:rPr>
          <w:rStyle w:val="FootnoteReference"/>
        </w:rPr>
        <w:footnoteRef/>
      </w:r>
      <w:r>
        <w:t xml:space="preserve"> Avista Corporation Form 10-Q, Securities and Exchange Commission, May 2016, pp. 44 and 46.</w:t>
      </w:r>
    </w:p>
  </w:footnote>
  <w:footnote w:id="9">
    <w:p w:rsidR="00BD392F" w:rsidRDefault="00BD392F" w:rsidP="003E6AB0">
      <w:pPr>
        <w:pStyle w:val="FootnoteText"/>
      </w:pPr>
      <w:r>
        <w:rPr>
          <w:rStyle w:val="FootnoteReference"/>
        </w:rPr>
        <w:footnoteRef/>
      </w:r>
      <w:r>
        <w:t xml:space="preserve"> Avista Corporation Form 10-Q, Securities and Exchange Commission, August 2016, pp. 41 and 43.</w:t>
      </w:r>
    </w:p>
  </w:footnote>
  <w:footnote w:id="10">
    <w:p w:rsidR="00BD392F" w:rsidRDefault="00BD392F" w:rsidP="00C15078">
      <w:pPr>
        <w:pStyle w:val="FootnoteText"/>
        <w:jc w:val="both"/>
      </w:pPr>
      <w:r>
        <w:rPr>
          <w:rStyle w:val="FootnoteReference"/>
        </w:rPr>
        <w:footnoteRef/>
      </w:r>
      <w:r>
        <w:t xml:space="preserve"> Docket Nos. UE-120436 </w:t>
      </w:r>
      <w:proofErr w:type="gramStart"/>
      <w:r>
        <w:t>et</w:t>
      </w:r>
      <w:proofErr w:type="gramEnd"/>
      <w:r>
        <w:t xml:space="preserve">. </w:t>
      </w:r>
      <w:proofErr w:type="gramStart"/>
      <w:r>
        <w:t>al</w:t>
      </w:r>
      <w:proofErr w:type="gramEnd"/>
      <w:r>
        <w:t>, Joint Testimony, page 26, lines 14-16.</w:t>
      </w:r>
    </w:p>
  </w:footnote>
  <w:footnote w:id="11">
    <w:p w:rsidR="00BD392F" w:rsidRDefault="00BD392F">
      <w:pPr>
        <w:pStyle w:val="FootnoteText"/>
      </w:pPr>
      <w:r>
        <w:rPr>
          <w:rStyle w:val="FootnoteReference"/>
        </w:rPr>
        <w:footnoteRef/>
      </w:r>
      <w:r>
        <w:t xml:space="preserve"> Exhibit No.__</w:t>
      </w:r>
      <w:proofErr w:type="gramStart"/>
      <w:r>
        <w:t>_(</w:t>
      </w:r>
      <w:proofErr w:type="spellStart"/>
      <w:proofErr w:type="gramEnd"/>
      <w:r>
        <w:t>CSH</w:t>
      </w:r>
      <w:proofErr w:type="spellEnd"/>
      <w:r>
        <w:t>-1T), p. 3:13-16.</w:t>
      </w:r>
    </w:p>
  </w:footnote>
  <w:footnote w:id="12">
    <w:p w:rsidR="00BD392F" w:rsidRPr="00472FDD" w:rsidRDefault="00BD392F" w:rsidP="00C15078">
      <w:pPr>
        <w:pStyle w:val="FootnoteText"/>
        <w:jc w:val="both"/>
      </w:pPr>
      <w:r w:rsidRPr="00472FDD">
        <w:rPr>
          <w:rStyle w:val="FootnoteReference"/>
        </w:rPr>
        <w:footnoteRef/>
      </w:r>
      <w:r w:rsidRPr="00472FDD">
        <w:t xml:space="preserve"> Fed. Power </w:t>
      </w:r>
      <w:proofErr w:type="spellStart"/>
      <w:r w:rsidRPr="00472FDD">
        <w:t>Comm’n</w:t>
      </w:r>
      <w:proofErr w:type="spellEnd"/>
      <w:r w:rsidRPr="00472FDD">
        <w:t xml:space="preserve"> v. Hope Natural Gas Co., 320 U.S. 591, 603 (1944)</w:t>
      </w:r>
      <w:r>
        <w:t>.</w:t>
      </w:r>
    </w:p>
  </w:footnote>
  <w:footnote w:id="13">
    <w:p w:rsidR="00BD392F" w:rsidRDefault="00BD392F">
      <w:pPr>
        <w:pStyle w:val="FootnoteText"/>
      </w:pPr>
      <w:r>
        <w:rPr>
          <w:rStyle w:val="FootnoteReference"/>
        </w:rPr>
        <w:footnoteRef/>
      </w:r>
      <w:r>
        <w:t xml:space="preserve"> Exhibit No.__</w:t>
      </w:r>
      <w:proofErr w:type="gramStart"/>
      <w:r>
        <w:t>_(</w:t>
      </w:r>
      <w:proofErr w:type="gramEnd"/>
      <w:r>
        <w:t>BGM-1T), p. 8.</w:t>
      </w:r>
    </w:p>
  </w:footnote>
  <w:footnote w:id="14">
    <w:p w:rsidR="00BD392F" w:rsidRDefault="00BD392F" w:rsidP="004669C7">
      <w:pPr>
        <w:pStyle w:val="FootnoteText"/>
        <w:jc w:val="both"/>
      </w:pPr>
      <w:r>
        <w:rPr>
          <w:rStyle w:val="FootnoteReference"/>
        </w:rPr>
        <w:footnoteRef/>
      </w:r>
      <w:r>
        <w:t xml:space="preserve"> See the prefiled testimony and exhibits of Company witnesses Mr. Thies, Ms. Rosentrater, Mr. Kinney, Mr. Cox, and Ms. Schuh.</w:t>
      </w:r>
    </w:p>
  </w:footnote>
  <w:footnote w:id="15">
    <w:p w:rsidR="00BD392F" w:rsidRDefault="00BD392F">
      <w:pPr>
        <w:pStyle w:val="FootnoteText"/>
      </w:pPr>
      <w:r>
        <w:rPr>
          <w:rStyle w:val="FootnoteReference"/>
        </w:rPr>
        <w:footnoteRef/>
      </w:r>
      <w:r>
        <w:t xml:space="preserve"> We recognize, however, that Public Counsel has taken issue with the AMI project.</w:t>
      </w:r>
    </w:p>
  </w:footnote>
  <w:footnote w:id="16">
    <w:p w:rsidR="00BD392F" w:rsidRDefault="00BD392F">
      <w:pPr>
        <w:pStyle w:val="FootnoteText"/>
      </w:pPr>
      <w:r>
        <w:rPr>
          <w:rStyle w:val="FootnoteReference"/>
        </w:rPr>
        <w:footnoteRef/>
      </w:r>
      <w:r>
        <w:t xml:space="preserve"> Exhibit No.__</w:t>
      </w:r>
      <w:proofErr w:type="gramStart"/>
      <w:r>
        <w:t>_(</w:t>
      </w:r>
      <w:proofErr w:type="spellStart"/>
      <w:proofErr w:type="gramEnd"/>
      <w:r>
        <w:t>GAW</w:t>
      </w:r>
      <w:proofErr w:type="spellEnd"/>
      <w:r>
        <w:t>-1T), p. 18.</w:t>
      </w:r>
    </w:p>
  </w:footnote>
  <w:footnote w:id="17">
    <w:p w:rsidR="00BD392F" w:rsidRDefault="00BD392F" w:rsidP="00C203F7">
      <w:pPr>
        <w:pStyle w:val="FootnoteText"/>
      </w:pPr>
      <w:r>
        <w:rPr>
          <w:rStyle w:val="FootnoteReference"/>
        </w:rPr>
        <w:footnoteRef/>
      </w:r>
      <w:r>
        <w:t xml:space="preserve"> Exhibit No.__</w:t>
      </w:r>
      <w:proofErr w:type="gramStart"/>
      <w:r>
        <w:t>_(</w:t>
      </w:r>
      <w:proofErr w:type="spellStart"/>
      <w:proofErr w:type="gramEnd"/>
      <w:r>
        <w:t>CSH</w:t>
      </w:r>
      <w:proofErr w:type="spellEnd"/>
      <w:r>
        <w:t>-1T), p. 20.</w:t>
      </w:r>
    </w:p>
  </w:footnote>
  <w:footnote w:id="18">
    <w:p w:rsidR="00BD392F" w:rsidRDefault="00BD392F">
      <w:pPr>
        <w:pStyle w:val="FootnoteText"/>
      </w:pPr>
      <w:r>
        <w:rPr>
          <w:rStyle w:val="FootnoteReference"/>
        </w:rPr>
        <w:footnoteRef/>
      </w:r>
      <w:r>
        <w:t xml:space="preserve"> Id.</w:t>
      </w:r>
    </w:p>
  </w:footnote>
  <w:footnote w:id="19">
    <w:p w:rsidR="00BD392F" w:rsidRDefault="00BD392F">
      <w:pPr>
        <w:pStyle w:val="FootnoteText"/>
      </w:pPr>
      <w:r>
        <w:rPr>
          <w:rStyle w:val="FootnoteReference"/>
        </w:rPr>
        <w:footnoteRef/>
      </w:r>
      <w:r>
        <w:t xml:space="preserve"> Id. p. 3:10-11.</w:t>
      </w:r>
    </w:p>
  </w:footnote>
  <w:footnote w:id="20">
    <w:p w:rsidR="00BD392F" w:rsidRDefault="00BD392F">
      <w:pPr>
        <w:pStyle w:val="FootnoteText"/>
      </w:pPr>
      <w:r>
        <w:rPr>
          <w:rStyle w:val="FootnoteReference"/>
        </w:rPr>
        <w:footnoteRef/>
      </w:r>
      <w:r>
        <w:t xml:space="preserve"> Docket Nos. UE-150204 &amp; UG-150205 (consolidated), Order 05, ¶47.</w:t>
      </w:r>
    </w:p>
  </w:footnote>
  <w:footnote w:id="21">
    <w:p w:rsidR="00BD392F" w:rsidRDefault="00BD392F">
      <w:pPr>
        <w:pStyle w:val="FootnoteText"/>
      </w:pPr>
      <w:r>
        <w:rPr>
          <w:rStyle w:val="FootnoteReference"/>
        </w:rPr>
        <w:footnoteRef/>
      </w:r>
      <w:r>
        <w:t xml:space="preserve"> Exhibit No.__</w:t>
      </w:r>
      <w:proofErr w:type="gramStart"/>
      <w:r>
        <w:t>_(</w:t>
      </w:r>
      <w:proofErr w:type="spellStart"/>
      <w:proofErr w:type="gramEnd"/>
      <w:r>
        <w:t>CSH</w:t>
      </w:r>
      <w:proofErr w:type="spellEnd"/>
      <w:r>
        <w:t>-1T), p. 14:11-12.</w:t>
      </w:r>
    </w:p>
  </w:footnote>
  <w:footnote w:id="22">
    <w:p w:rsidR="00BD392F" w:rsidRDefault="00BD392F" w:rsidP="00323491">
      <w:pPr>
        <w:pStyle w:val="FootnoteText"/>
        <w:jc w:val="both"/>
      </w:pPr>
      <w:r>
        <w:rPr>
          <w:rStyle w:val="FootnoteReference"/>
        </w:rPr>
        <w:footnoteRef/>
      </w:r>
      <w:r>
        <w:t xml:space="preserve"> </w:t>
      </w:r>
      <w:r w:rsidRPr="00323491">
        <w:t xml:space="preserve">Retail revenues for the rate year, for both electric and natural gas Attrition Studies, are based on the Company’s most recent retail load forecast.  The methodologies employed for the load forecast have been refined over time and have been shared regularly with stakeholders in the Integrated Resource Planning processes in Technical Advisory Committee meetings.  This is the same approach </w:t>
      </w:r>
      <w:r>
        <w:t xml:space="preserve">was </w:t>
      </w:r>
      <w:r w:rsidRPr="00323491">
        <w:t>used by Avista and Staff in our last rate case in Docket Nos. UE-150204 and UG-150205.</w:t>
      </w:r>
    </w:p>
  </w:footnote>
  <w:footnote w:id="23">
    <w:p w:rsidR="00BD392F" w:rsidRPr="00661363" w:rsidRDefault="00BD392F" w:rsidP="00A06C5F">
      <w:pPr>
        <w:pStyle w:val="FootnoteText"/>
        <w:jc w:val="both"/>
      </w:pPr>
      <w:r w:rsidRPr="00661363">
        <w:rPr>
          <w:rStyle w:val="FootnoteReference"/>
        </w:rPr>
        <w:footnoteRef/>
      </w:r>
      <w:r w:rsidRPr="00661363">
        <w:t xml:space="preserve"> See Docket Nos. UE-150204 and UG-150205, Ms. Andrews’ Exhibit No. </w:t>
      </w:r>
      <w:proofErr w:type="spellStart"/>
      <w:r w:rsidRPr="00661363">
        <w:t>EMA</w:t>
      </w:r>
      <w:proofErr w:type="spellEnd"/>
      <w:r w:rsidRPr="00661363">
        <w:t>-1T, p. 34 and Mr. McGuire’s Exhibit No. CRM-1T, p. 54.</w:t>
      </w:r>
    </w:p>
  </w:footnote>
  <w:footnote w:id="24">
    <w:p w:rsidR="00BD392F" w:rsidRDefault="00BD392F" w:rsidP="00A06C5F">
      <w:pPr>
        <w:pStyle w:val="FootnoteText"/>
        <w:jc w:val="both"/>
      </w:pPr>
      <w:r w:rsidRPr="00661363">
        <w:rPr>
          <w:rStyle w:val="FootnoteReference"/>
        </w:rPr>
        <w:footnoteRef/>
      </w:r>
      <w:r w:rsidRPr="00661363">
        <w:t xml:space="preserve"> See Ms. Andrews’ Exhibit No. </w:t>
      </w:r>
      <w:proofErr w:type="spellStart"/>
      <w:r w:rsidRPr="00661363">
        <w:t>EMA</w:t>
      </w:r>
      <w:proofErr w:type="spellEnd"/>
      <w:r w:rsidRPr="00661363">
        <w:t xml:space="preserve">-1T, p. </w:t>
      </w:r>
      <w:r>
        <w:t>26</w:t>
      </w:r>
      <w:r w:rsidRPr="00661363">
        <w:t xml:space="preserve"> and </w:t>
      </w:r>
      <w:r>
        <w:t>Mr. Hancock</w:t>
      </w:r>
      <w:r w:rsidRPr="00661363">
        <w:t xml:space="preserve">’s Exhibit No. </w:t>
      </w:r>
      <w:proofErr w:type="spellStart"/>
      <w:r w:rsidRPr="00661363">
        <w:t>C</w:t>
      </w:r>
      <w:r>
        <w:t>SH</w:t>
      </w:r>
      <w:proofErr w:type="spellEnd"/>
      <w:r w:rsidRPr="00661363">
        <w:t>-1T, p. 5</w:t>
      </w:r>
      <w:r>
        <w:t>2</w:t>
      </w:r>
      <w:r w:rsidRPr="00661363">
        <w:t>.</w:t>
      </w:r>
    </w:p>
  </w:footnote>
  <w:footnote w:id="25">
    <w:p w:rsidR="00BD392F" w:rsidRDefault="00BD392F">
      <w:pPr>
        <w:pStyle w:val="FootnoteText"/>
      </w:pPr>
      <w:r>
        <w:rPr>
          <w:rStyle w:val="FootnoteReference"/>
        </w:rPr>
        <w:footnoteRef/>
      </w:r>
      <w:r>
        <w:t xml:space="preserve"> See Docket Nos. UE-120436 &amp; UG-120437, Order 09, ¶10, Docket Nos. UE-140188 &amp; UG-140189, Order 5, ¶48, and Docket Nos. UE-150204 &amp; UG-150205, Order 05, ¶96-141.</w:t>
      </w:r>
    </w:p>
  </w:footnote>
  <w:footnote w:id="26">
    <w:p w:rsidR="00BD392F" w:rsidRDefault="00BD392F">
      <w:pPr>
        <w:pStyle w:val="FootnoteText"/>
      </w:pPr>
      <w:r>
        <w:rPr>
          <w:rStyle w:val="FootnoteReference"/>
        </w:rPr>
        <w:footnoteRef/>
      </w:r>
      <w:r>
        <w:t xml:space="preserve"> See Docket Nos. UE-140188 &amp; UG-140189, Exhibit No. </w:t>
      </w:r>
      <w:proofErr w:type="spellStart"/>
      <w:r>
        <w:t>EMA</w:t>
      </w:r>
      <w:proofErr w:type="spellEnd"/>
      <w:r>
        <w:t xml:space="preserve">-1T, p. 83:1-10, and Docket Nos. UE-150204 &amp; UG-150205, Exhibit No. </w:t>
      </w:r>
      <w:proofErr w:type="spellStart"/>
      <w:r>
        <w:t>EMA</w:t>
      </w:r>
      <w:proofErr w:type="spellEnd"/>
      <w:r>
        <w:t>-1T, p. 14:21-26.</w:t>
      </w:r>
    </w:p>
  </w:footnote>
  <w:footnote w:id="27">
    <w:p w:rsidR="00BD392F" w:rsidRDefault="00BD392F" w:rsidP="00DF4C4C">
      <w:pPr>
        <w:pStyle w:val="FootnoteText"/>
      </w:pPr>
      <w:r>
        <w:rPr>
          <w:rStyle w:val="FootnoteReference"/>
        </w:rPr>
        <w:footnoteRef/>
      </w:r>
      <w:r>
        <w:t xml:space="preserve"> Commission Order 05, </w:t>
      </w:r>
      <w:r w:rsidRPr="00361374">
        <w:t>Docket</w:t>
      </w:r>
      <w:r w:rsidRPr="00361374">
        <w:rPr>
          <w:bCs/>
        </w:rPr>
        <w:t xml:space="preserve"> No</w:t>
      </w:r>
      <w:r w:rsidRPr="00361374">
        <w:t>s</w:t>
      </w:r>
      <w:r w:rsidRPr="00361374">
        <w:rPr>
          <w:bCs/>
        </w:rPr>
        <w:t>.</w:t>
      </w:r>
      <w:r>
        <w:t xml:space="preserve">  UE-150204 and UG-150205, page 48, paragraph 129.</w:t>
      </w:r>
    </w:p>
  </w:footnote>
  <w:footnote w:id="28">
    <w:p w:rsidR="00BD392F" w:rsidRDefault="00BD392F" w:rsidP="00DF4C4C">
      <w:pPr>
        <w:pStyle w:val="FootnoteText"/>
      </w:pPr>
      <w:r>
        <w:rPr>
          <w:rStyle w:val="FootnoteReference"/>
        </w:rPr>
        <w:footnoteRef/>
      </w:r>
      <w:r>
        <w:t xml:space="preserve"> Exhibit No.__</w:t>
      </w:r>
      <w:proofErr w:type="gramStart"/>
      <w:r>
        <w:t>_(</w:t>
      </w:r>
      <w:proofErr w:type="gramEnd"/>
      <w:r>
        <w:t>MPG-1T), p. 11:8-12.</w:t>
      </w:r>
    </w:p>
  </w:footnote>
  <w:footnote w:id="29">
    <w:p w:rsidR="00BD392F" w:rsidRDefault="00BD392F" w:rsidP="00D22710">
      <w:pPr>
        <w:pStyle w:val="FootnoteText"/>
      </w:pPr>
      <w:r>
        <w:rPr>
          <w:rStyle w:val="FootnoteReference"/>
        </w:rPr>
        <w:footnoteRef/>
      </w:r>
      <w:r>
        <w:t xml:space="preserve"> Commission Order No. 04 in Docket Nos. UE-080416 and UG-080417, at paragraph 7.</w:t>
      </w:r>
    </w:p>
  </w:footnote>
  <w:footnote w:id="30">
    <w:p w:rsidR="00BD392F" w:rsidRDefault="00BD392F">
      <w:pPr>
        <w:pStyle w:val="FootnoteText"/>
      </w:pPr>
      <w:r>
        <w:rPr>
          <w:rStyle w:val="FootnoteReference"/>
        </w:rPr>
        <w:footnoteRef/>
      </w:r>
      <w:r>
        <w:t xml:space="preserve"> Docket Nos. UE-150204 and UG-150205, Exhibit No. KON-1T, p. 34.</w:t>
      </w:r>
    </w:p>
  </w:footnote>
  <w:footnote w:id="31">
    <w:p w:rsidR="00BD392F" w:rsidRDefault="00BD392F">
      <w:pPr>
        <w:pStyle w:val="FootnoteText"/>
      </w:pPr>
      <w:r>
        <w:rPr>
          <w:rStyle w:val="FootnoteReference"/>
        </w:rPr>
        <w:footnoteRef/>
      </w:r>
      <w:r>
        <w:t xml:space="preserve"> Id. (footnotes omitted)</w:t>
      </w:r>
    </w:p>
  </w:footnote>
  <w:footnote w:id="32">
    <w:p w:rsidR="00BD392F" w:rsidRDefault="00BD392F" w:rsidP="001F0BB5">
      <w:pPr>
        <w:pStyle w:val="FootnoteText"/>
        <w:jc w:val="both"/>
      </w:pPr>
      <w:r>
        <w:rPr>
          <w:rStyle w:val="FootnoteReference"/>
        </w:rPr>
        <w:footnoteRef/>
      </w:r>
      <w:r>
        <w:t xml:space="preserve"> Exhibit No. </w:t>
      </w:r>
      <w:proofErr w:type="spellStart"/>
      <w:r>
        <w:t>EMA-5T</w:t>
      </w:r>
      <w:proofErr w:type="spellEnd"/>
      <w:r>
        <w:t xml:space="preserve"> in Docket Nos. UE-150204 and UG-150205, provides further explanation of other revenue requirement changes following the Company’s original filing.</w:t>
      </w:r>
    </w:p>
  </w:footnote>
  <w:footnote w:id="33">
    <w:p w:rsidR="00BD392F" w:rsidRDefault="00BD392F" w:rsidP="00D22710">
      <w:pPr>
        <w:pStyle w:val="FootnoteText"/>
      </w:pPr>
      <w:r>
        <w:rPr>
          <w:rStyle w:val="FootnoteReference"/>
        </w:rPr>
        <w:footnoteRef/>
      </w:r>
      <w:r>
        <w:t xml:space="preserve"> See the Rebuttal Testimony of Karen K. Schuh, Exhibit No.__</w:t>
      </w:r>
      <w:proofErr w:type="gramStart"/>
      <w:r>
        <w:t>_(</w:t>
      </w:r>
      <w:proofErr w:type="gramEnd"/>
      <w:r>
        <w:t>KKS-</w:t>
      </w:r>
      <w:proofErr w:type="spellStart"/>
      <w:r>
        <w:t>8T</w:t>
      </w:r>
      <w:proofErr w:type="spellEnd"/>
      <w:r>
        <w:t>).</w:t>
      </w:r>
    </w:p>
  </w:footnote>
  <w:footnote w:id="34">
    <w:p w:rsidR="00BD392F" w:rsidRDefault="00BD392F" w:rsidP="00D22710">
      <w:pPr>
        <w:pStyle w:val="FootnoteText"/>
      </w:pPr>
      <w:r>
        <w:rPr>
          <w:rStyle w:val="FootnoteReference"/>
        </w:rPr>
        <w:footnoteRef/>
      </w:r>
      <w:r>
        <w:t xml:space="preserve"> Exhibit No.__</w:t>
      </w:r>
      <w:proofErr w:type="gramStart"/>
      <w:r>
        <w:t>_(</w:t>
      </w:r>
      <w:proofErr w:type="spellStart"/>
      <w:proofErr w:type="gramEnd"/>
      <w:r>
        <w:t>DN</w:t>
      </w:r>
      <w:proofErr w:type="spellEnd"/>
      <w:r>
        <w:t>-1T), p. 3:20.</w:t>
      </w:r>
    </w:p>
  </w:footnote>
  <w:footnote w:id="35">
    <w:p w:rsidR="00BD392F" w:rsidRDefault="00BD392F" w:rsidP="00D22710">
      <w:pPr>
        <w:pStyle w:val="FootnoteText"/>
      </w:pPr>
      <w:r>
        <w:rPr>
          <w:rStyle w:val="FootnoteReference"/>
        </w:rPr>
        <w:footnoteRef/>
      </w:r>
      <w:r>
        <w:t xml:space="preserve"> For Public Counsel and The Energy Project, see Exhibit No.__</w:t>
      </w:r>
      <w:proofErr w:type="gramStart"/>
      <w:r>
        <w:t>_(</w:t>
      </w:r>
      <w:proofErr w:type="gramEnd"/>
      <w:r>
        <w:t>BRA-1T), p. 61:14-15.  For ICNU and NWIGU, see Exhibit No.__</w:t>
      </w:r>
      <w:proofErr w:type="gramStart"/>
      <w:r>
        <w:t>_(</w:t>
      </w:r>
      <w:proofErr w:type="gramEnd"/>
      <w:r>
        <w:t>BGM-1T), p. 25:20.</w:t>
      </w:r>
    </w:p>
  </w:footnote>
  <w:footnote w:id="36">
    <w:p w:rsidR="00BD392F" w:rsidRDefault="00BD392F" w:rsidP="00D22710">
      <w:pPr>
        <w:pStyle w:val="FootnoteText"/>
      </w:pPr>
      <w:r>
        <w:rPr>
          <w:rStyle w:val="FootnoteReference"/>
        </w:rPr>
        <w:footnoteRef/>
      </w:r>
      <w:r>
        <w:t xml:space="preserve"> Order 05, Docket Nos. UE-150204 and UG-150205, page 61, paragraph 170. (footnote omitted)</w:t>
      </w:r>
    </w:p>
  </w:footnote>
  <w:footnote w:id="37">
    <w:p w:rsidR="00BD392F" w:rsidRDefault="00BD392F" w:rsidP="00435D15">
      <w:pPr>
        <w:pStyle w:val="FootnoteText"/>
        <w:jc w:val="both"/>
      </w:pPr>
      <w:r>
        <w:rPr>
          <w:rStyle w:val="FootnoteReference"/>
        </w:rPr>
        <w:footnoteRef/>
      </w:r>
      <w:r>
        <w:t xml:space="preserve"> A copy of the Hydropower Site Lease is attached as Exhibit No.___(</w:t>
      </w:r>
      <w:proofErr w:type="spellStart"/>
      <w:r>
        <w:t>EMA</w:t>
      </w:r>
      <w:proofErr w:type="spellEnd"/>
      <w:r>
        <w:t>-11) to Ms. Andrews’ Rebuttal Testimony</w:t>
      </w:r>
    </w:p>
  </w:footnote>
  <w:footnote w:id="38">
    <w:p w:rsidR="008F6C0C" w:rsidRDefault="008F6C0C" w:rsidP="008F6C0C">
      <w:pPr>
        <w:pStyle w:val="FootnoteText"/>
      </w:pPr>
      <w:r>
        <w:rPr>
          <w:rStyle w:val="FootnoteReference"/>
        </w:rPr>
        <w:footnoteRef/>
      </w:r>
      <w:r>
        <w:t xml:space="preserve"> This background information was provided by Avista in response to ICNU data request No. 115.</w:t>
      </w:r>
    </w:p>
  </w:footnote>
  <w:footnote w:id="39">
    <w:p w:rsidR="00BD392F" w:rsidRPr="000762D7" w:rsidRDefault="00BD392F" w:rsidP="000D4B93">
      <w:pPr>
        <w:pStyle w:val="FootnoteText"/>
        <w:jc w:val="both"/>
      </w:pPr>
      <w:r w:rsidRPr="000762D7">
        <w:rPr>
          <w:rStyle w:val="FootnoteReference"/>
        </w:rPr>
        <w:footnoteRef/>
      </w:r>
      <w:r w:rsidRPr="000762D7">
        <w:t xml:space="preserve"> On August 17, 2016, Avista and the State of Montana entered into a tolling agreement to extend the September 30, 2016 date until December 31, 2016.  If the litigation is not resolved by then, the parties will discuss the need for further extensions.</w:t>
      </w:r>
    </w:p>
  </w:footnote>
  <w:footnote w:id="40">
    <w:p w:rsidR="00BD392F" w:rsidRPr="00774271" w:rsidRDefault="00BD392F" w:rsidP="00E230DF">
      <w:pPr>
        <w:pStyle w:val="FootnoteText"/>
        <w:jc w:val="both"/>
      </w:pPr>
      <w:r w:rsidRPr="00774271">
        <w:rPr>
          <w:rStyle w:val="FootnoteReference"/>
        </w:rPr>
        <w:footnoteRef/>
      </w:r>
      <w:r w:rsidRPr="00774271">
        <w:t xml:space="preserve"> A motion in Federal Court in Montana, filed by Northwestern and </w:t>
      </w:r>
      <w:r>
        <w:t xml:space="preserve">Talen Montana (successor to </w:t>
      </w:r>
      <w:proofErr w:type="spellStart"/>
      <w:r>
        <w:t>PPL</w:t>
      </w:r>
      <w:proofErr w:type="spellEnd"/>
      <w:r>
        <w:t xml:space="preserve"> Montana) is also pending to confirm the non-navigability of the so-called “Great Falls Reach” relating to their projects, in light of findings from the U.S. Supreme Court pertaining to this waterway, which if granted, would benefit Avista and its ratepayers under its Most-Favored-Nation clause.</w:t>
      </w:r>
    </w:p>
  </w:footnote>
  <w:footnote w:id="41">
    <w:p w:rsidR="00BD392F" w:rsidRPr="003A6192" w:rsidRDefault="00BD392F" w:rsidP="00E230DF">
      <w:pPr>
        <w:pStyle w:val="FootnoteText"/>
        <w:jc w:val="both"/>
      </w:pPr>
      <w:r>
        <w:rPr>
          <w:rStyle w:val="FootnoteReference"/>
        </w:rPr>
        <w:footnoteRef/>
      </w:r>
      <w:r>
        <w:t xml:space="preserve"> </w:t>
      </w:r>
      <w:r w:rsidRPr="003A6192">
        <w:t>As this is an ongoing obligation, Avista will be required to book the expense according to Generally Accepted Accounting Principles (GAAP).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rsidP="00BA6761">
    <w:pPr>
      <w:pStyle w:val="Header"/>
      <w:ind w:right="-720"/>
      <w:jc w:val="right"/>
    </w:pPr>
    <w:r>
      <w:t>Exhibit No. _</w:t>
    </w:r>
    <w:proofErr w:type="gramStart"/>
    <w:r>
      <w:t>_(</w:t>
    </w:r>
    <w:proofErr w:type="gramEnd"/>
    <w:r>
      <w:t>KON-1T)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Header"/>
      <w:jc w:val="right"/>
    </w:pPr>
    <w:r>
      <w:t>Exhibit No. __</w:t>
    </w:r>
    <w:proofErr w:type="gramStart"/>
    <w:r>
      <w:t>_(</w:t>
    </w:r>
    <w:proofErr w:type="gramEnd"/>
    <w:r>
      <w:t>KON-1T)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2F" w:rsidRDefault="00BD392F">
    <w:pPr>
      <w:pStyle w:val="Header"/>
      <w:tabs>
        <w:tab w:val="clear" w:pos="8640"/>
        <w:tab w:val="right" w:pos="9270"/>
      </w:tabs>
    </w:pPr>
    <w:r>
      <w:tab/>
    </w:r>
    <w:r>
      <w:tab/>
      <w:t xml:space="preserve">  Exhibit No. __</w:t>
    </w:r>
    <w:proofErr w:type="gramStart"/>
    <w:r>
      <w:t>_(</w:t>
    </w:r>
    <w:proofErr w:type="gramEnd"/>
    <w:r>
      <w:t>KON-1T)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59E29896"/>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4" w15:restartNumberingAfterBreak="0">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4"/>
    <w:multiLevelType w:val="singleLevel"/>
    <w:tmpl w:val="00000004"/>
    <w:name w:val="WW8Num4"/>
    <w:lvl w:ilvl="0">
      <w:start w:val="1"/>
      <w:numFmt w:val="bullet"/>
      <w:pStyle w:val="AnswerBullets"/>
      <w:lvlText w:val=""/>
      <w:lvlJc w:val="left"/>
      <w:pPr>
        <w:tabs>
          <w:tab w:val="num" w:pos="360"/>
        </w:tabs>
        <w:ind w:left="360" w:hanging="360"/>
      </w:pPr>
      <w:rPr>
        <w:rFonts w:ascii="Symbol" w:hAnsi="Symbol" w:cs="Symbol"/>
      </w:rPr>
    </w:lvl>
  </w:abstractNum>
  <w:abstractNum w:abstractNumId="6" w15:restartNumberingAfterBreak="0">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0" w15:restartNumberingAfterBreak="0">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3591B12"/>
    <w:multiLevelType w:val="hybridMultilevel"/>
    <w:tmpl w:val="7C880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315E82"/>
    <w:multiLevelType w:val="hybridMultilevel"/>
    <w:tmpl w:val="6B6098D4"/>
    <w:lvl w:ilvl="0" w:tplc="CCD20AF2">
      <w:start w:val="201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195425"/>
    <w:multiLevelType w:val="hybridMultilevel"/>
    <w:tmpl w:val="894A6508"/>
    <w:lvl w:ilvl="0" w:tplc="6F907684">
      <w:start w:val="1"/>
      <w:numFmt w:val="bullet"/>
      <w:lvlText w:val=""/>
      <w:lvlJc w:val="left"/>
      <w:pPr>
        <w:tabs>
          <w:tab w:val="num" w:pos="1440"/>
        </w:tabs>
        <w:ind w:left="1440" w:hanging="360"/>
      </w:pPr>
      <w:rPr>
        <w:rFonts w:ascii="Symbol" w:hAnsi="Symbol" w:hint="default"/>
      </w:rPr>
    </w:lvl>
    <w:lvl w:ilvl="1" w:tplc="0580586C">
      <w:start w:val="1"/>
      <w:numFmt w:val="bullet"/>
      <w:lvlText w:val="o"/>
      <w:lvlJc w:val="left"/>
      <w:pPr>
        <w:tabs>
          <w:tab w:val="num" w:pos="2160"/>
        </w:tabs>
        <w:ind w:left="2160" w:hanging="360"/>
      </w:pPr>
      <w:rPr>
        <w:rFonts w:ascii="Courier New" w:hAnsi="Courier New" w:hint="default"/>
      </w:rPr>
    </w:lvl>
    <w:lvl w:ilvl="2" w:tplc="9AA89FB8">
      <w:start w:val="1"/>
      <w:numFmt w:val="bullet"/>
      <w:lvlText w:val=""/>
      <w:lvlJc w:val="left"/>
      <w:pPr>
        <w:tabs>
          <w:tab w:val="num" w:pos="2880"/>
        </w:tabs>
        <w:ind w:left="2880" w:hanging="360"/>
      </w:pPr>
      <w:rPr>
        <w:rFonts w:ascii="Wingdings" w:hAnsi="Wingdings" w:hint="default"/>
      </w:rPr>
    </w:lvl>
    <w:lvl w:ilvl="3" w:tplc="CA48AF9A">
      <w:start w:val="1"/>
      <w:numFmt w:val="bullet"/>
      <w:lvlText w:val=""/>
      <w:lvlJc w:val="left"/>
      <w:pPr>
        <w:tabs>
          <w:tab w:val="num" w:pos="3600"/>
        </w:tabs>
        <w:ind w:left="3600" w:hanging="360"/>
      </w:pPr>
      <w:rPr>
        <w:rFonts w:ascii="Symbol" w:hAnsi="Symbol" w:hint="default"/>
      </w:rPr>
    </w:lvl>
    <w:lvl w:ilvl="4" w:tplc="35C08108">
      <w:start w:val="1"/>
      <w:numFmt w:val="bullet"/>
      <w:lvlText w:val="o"/>
      <w:lvlJc w:val="left"/>
      <w:pPr>
        <w:tabs>
          <w:tab w:val="num" w:pos="4320"/>
        </w:tabs>
        <w:ind w:left="4320" w:hanging="360"/>
      </w:pPr>
      <w:rPr>
        <w:rFonts w:ascii="Courier New" w:hAnsi="Courier New" w:hint="default"/>
      </w:rPr>
    </w:lvl>
    <w:lvl w:ilvl="5" w:tplc="8962E140">
      <w:start w:val="1"/>
      <w:numFmt w:val="bullet"/>
      <w:lvlText w:val=""/>
      <w:lvlJc w:val="left"/>
      <w:pPr>
        <w:tabs>
          <w:tab w:val="num" w:pos="5040"/>
        </w:tabs>
        <w:ind w:left="5040" w:hanging="360"/>
      </w:pPr>
      <w:rPr>
        <w:rFonts w:ascii="Wingdings" w:hAnsi="Wingdings" w:hint="default"/>
      </w:rPr>
    </w:lvl>
    <w:lvl w:ilvl="6" w:tplc="CF8E1304">
      <w:start w:val="1"/>
      <w:numFmt w:val="bullet"/>
      <w:lvlText w:val=""/>
      <w:lvlJc w:val="left"/>
      <w:pPr>
        <w:tabs>
          <w:tab w:val="num" w:pos="5760"/>
        </w:tabs>
        <w:ind w:left="5760" w:hanging="360"/>
      </w:pPr>
      <w:rPr>
        <w:rFonts w:ascii="Symbol" w:hAnsi="Symbol" w:hint="default"/>
      </w:rPr>
    </w:lvl>
    <w:lvl w:ilvl="7" w:tplc="F2BE1650">
      <w:start w:val="1"/>
      <w:numFmt w:val="bullet"/>
      <w:lvlText w:val="o"/>
      <w:lvlJc w:val="left"/>
      <w:pPr>
        <w:tabs>
          <w:tab w:val="num" w:pos="6480"/>
        </w:tabs>
        <w:ind w:left="6480" w:hanging="360"/>
      </w:pPr>
      <w:rPr>
        <w:rFonts w:ascii="Courier New" w:hAnsi="Courier New" w:hint="default"/>
      </w:rPr>
    </w:lvl>
    <w:lvl w:ilvl="8" w:tplc="3920E39A">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1377666"/>
    <w:multiLevelType w:val="hybridMultilevel"/>
    <w:tmpl w:val="20D86A86"/>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17" w15:restartNumberingAfterBreak="0">
    <w:nsid w:val="517D67C2"/>
    <w:multiLevelType w:val="hybridMultilevel"/>
    <w:tmpl w:val="7062B9E8"/>
    <w:lvl w:ilvl="0" w:tplc="B18031FA">
      <w:start w:val="1"/>
      <w:numFmt w:val="upp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443B2C"/>
    <w:multiLevelType w:val="multilevel"/>
    <w:tmpl w:val="0000000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C1A5D9D"/>
    <w:multiLevelType w:val="hybridMultilevel"/>
    <w:tmpl w:val="13D05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8"/>
  </w:num>
  <w:num w:numId="6">
    <w:abstractNumId w:val="10"/>
  </w:num>
  <w:num w:numId="7">
    <w:abstractNumId w:val="15"/>
  </w:num>
  <w:num w:numId="8">
    <w:abstractNumId w:val="9"/>
  </w:num>
  <w:num w:numId="9">
    <w:abstractNumId w:val="6"/>
  </w:num>
  <w:num w:numId="10">
    <w:abstractNumId w:val="7"/>
  </w:num>
  <w:num w:numId="11">
    <w:abstractNumId w:val="0"/>
  </w:num>
  <w:num w:numId="12">
    <w:abstractNumId w:val="13"/>
  </w:num>
  <w:num w:numId="13">
    <w:abstractNumId w:val="1"/>
    <w:lvlOverride w:ilvl="0">
      <w:lvl w:ilvl="0">
        <w:numFmt w:val="bullet"/>
        <w:lvlText w:val=""/>
        <w:legacy w:legacy="1" w:legacySpace="0" w:legacyIndent="360"/>
        <w:lvlJc w:val="left"/>
        <w:rPr>
          <w:rFonts w:ascii="Symbol" w:hAnsi="Symbol" w:hint="default"/>
        </w:rPr>
      </w:lvl>
    </w:lvlOverride>
  </w:num>
  <w:num w:numId="14">
    <w:abstractNumId w:val="8"/>
  </w:num>
  <w:num w:numId="15">
    <w:abstractNumId w:val="11"/>
  </w:num>
  <w:num w:numId="16">
    <w:abstractNumId w:val="12"/>
  </w:num>
  <w:num w:numId="17">
    <w:abstractNumId w:val="16"/>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22529">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9B"/>
    <w:rsid w:val="00000DE2"/>
    <w:rsid w:val="00001760"/>
    <w:rsid w:val="000024C1"/>
    <w:rsid w:val="0000279B"/>
    <w:rsid w:val="00004D1B"/>
    <w:rsid w:val="000050E8"/>
    <w:rsid w:val="0000526F"/>
    <w:rsid w:val="00005BCC"/>
    <w:rsid w:val="00005F02"/>
    <w:rsid w:val="00006175"/>
    <w:rsid w:val="000113EB"/>
    <w:rsid w:val="00012BB9"/>
    <w:rsid w:val="00012ED7"/>
    <w:rsid w:val="000157BE"/>
    <w:rsid w:val="0001717B"/>
    <w:rsid w:val="00020398"/>
    <w:rsid w:val="0002177B"/>
    <w:rsid w:val="00021EC7"/>
    <w:rsid w:val="000235DD"/>
    <w:rsid w:val="00023E02"/>
    <w:rsid w:val="000245EF"/>
    <w:rsid w:val="00024902"/>
    <w:rsid w:val="00025892"/>
    <w:rsid w:val="00025AFC"/>
    <w:rsid w:val="00026B3A"/>
    <w:rsid w:val="000275F1"/>
    <w:rsid w:val="00027AD9"/>
    <w:rsid w:val="00027AEA"/>
    <w:rsid w:val="0003053E"/>
    <w:rsid w:val="00030667"/>
    <w:rsid w:val="00034556"/>
    <w:rsid w:val="0003515B"/>
    <w:rsid w:val="00035175"/>
    <w:rsid w:val="00035B74"/>
    <w:rsid w:val="000370F2"/>
    <w:rsid w:val="000373CF"/>
    <w:rsid w:val="000404DB"/>
    <w:rsid w:val="00040C48"/>
    <w:rsid w:val="00042362"/>
    <w:rsid w:val="000423A9"/>
    <w:rsid w:val="0004310D"/>
    <w:rsid w:val="0004377D"/>
    <w:rsid w:val="00044CBB"/>
    <w:rsid w:val="00045553"/>
    <w:rsid w:val="000468FB"/>
    <w:rsid w:val="0004691C"/>
    <w:rsid w:val="00052572"/>
    <w:rsid w:val="00053353"/>
    <w:rsid w:val="00053A29"/>
    <w:rsid w:val="00054380"/>
    <w:rsid w:val="00055242"/>
    <w:rsid w:val="00056588"/>
    <w:rsid w:val="00057FE8"/>
    <w:rsid w:val="00060125"/>
    <w:rsid w:val="00060227"/>
    <w:rsid w:val="00064128"/>
    <w:rsid w:val="00064A88"/>
    <w:rsid w:val="00064EF2"/>
    <w:rsid w:val="00065646"/>
    <w:rsid w:val="000656C9"/>
    <w:rsid w:val="00066678"/>
    <w:rsid w:val="0006743E"/>
    <w:rsid w:val="00070C5B"/>
    <w:rsid w:val="00071094"/>
    <w:rsid w:val="00071B5B"/>
    <w:rsid w:val="00074EEA"/>
    <w:rsid w:val="000753D9"/>
    <w:rsid w:val="00076C9B"/>
    <w:rsid w:val="00077103"/>
    <w:rsid w:val="00080671"/>
    <w:rsid w:val="00081B94"/>
    <w:rsid w:val="00085236"/>
    <w:rsid w:val="0008583E"/>
    <w:rsid w:val="00086FAB"/>
    <w:rsid w:val="0009034F"/>
    <w:rsid w:val="000923CD"/>
    <w:rsid w:val="00092919"/>
    <w:rsid w:val="00092AFD"/>
    <w:rsid w:val="000937ED"/>
    <w:rsid w:val="0009399A"/>
    <w:rsid w:val="00096116"/>
    <w:rsid w:val="00096560"/>
    <w:rsid w:val="00096649"/>
    <w:rsid w:val="00096A44"/>
    <w:rsid w:val="00097C63"/>
    <w:rsid w:val="000A0026"/>
    <w:rsid w:val="000A2277"/>
    <w:rsid w:val="000A2A55"/>
    <w:rsid w:val="000A3225"/>
    <w:rsid w:val="000A43DB"/>
    <w:rsid w:val="000A5342"/>
    <w:rsid w:val="000A5F5C"/>
    <w:rsid w:val="000A6B1B"/>
    <w:rsid w:val="000A7D97"/>
    <w:rsid w:val="000A7E39"/>
    <w:rsid w:val="000B0C21"/>
    <w:rsid w:val="000B3586"/>
    <w:rsid w:val="000B5B38"/>
    <w:rsid w:val="000B5D53"/>
    <w:rsid w:val="000B5EDD"/>
    <w:rsid w:val="000B6EF8"/>
    <w:rsid w:val="000B7172"/>
    <w:rsid w:val="000B760B"/>
    <w:rsid w:val="000B78C4"/>
    <w:rsid w:val="000B7B92"/>
    <w:rsid w:val="000C1B48"/>
    <w:rsid w:val="000C1BD1"/>
    <w:rsid w:val="000C32F3"/>
    <w:rsid w:val="000C33F8"/>
    <w:rsid w:val="000C55FB"/>
    <w:rsid w:val="000C5A82"/>
    <w:rsid w:val="000C7C2C"/>
    <w:rsid w:val="000D0E4C"/>
    <w:rsid w:val="000D249F"/>
    <w:rsid w:val="000D420A"/>
    <w:rsid w:val="000D4B93"/>
    <w:rsid w:val="000D5485"/>
    <w:rsid w:val="000D5756"/>
    <w:rsid w:val="000D5DD1"/>
    <w:rsid w:val="000D6259"/>
    <w:rsid w:val="000D7D14"/>
    <w:rsid w:val="000E0CE9"/>
    <w:rsid w:val="000E3994"/>
    <w:rsid w:val="000E3E5D"/>
    <w:rsid w:val="000E3FB6"/>
    <w:rsid w:val="000E5196"/>
    <w:rsid w:val="000E60DD"/>
    <w:rsid w:val="000E638B"/>
    <w:rsid w:val="000F174D"/>
    <w:rsid w:val="000F2777"/>
    <w:rsid w:val="000F2C1C"/>
    <w:rsid w:val="000F2D6A"/>
    <w:rsid w:val="000F402B"/>
    <w:rsid w:val="000F460A"/>
    <w:rsid w:val="000F557A"/>
    <w:rsid w:val="000F60E0"/>
    <w:rsid w:val="000F6662"/>
    <w:rsid w:val="0010008C"/>
    <w:rsid w:val="00100372"/>
    <w:rsid w:val="00101D2A"/>
    <w:rsid w:val="001029FF"/>
    <w:rsid w:val="00103050"/>
    <w:rsid w:val="001040E4"/>
    <w:rsid w:val="00105414"/>
    <w:rsid w:val="001056C4"/>
    <w:rsid w:val="001061F8"/>
    <w:rsid w:val="00106C87"/>
    <w:rsid w:val="00106F2F"/>
    <w:rsid w:val="00111991"/>
    <w:rsid w:val="00113C5C"/>
    <w:rsid w:val="00114CC7"/>
    <w:rsid w:val="001214C7"/>
    <w:rsid w:val="00122A82"/>
    <w:rsid w:val="00124036"/>
    <w:rsid w:val="00126C61"/>
    <w:rsid w:val="00127218"/>
    <w:rsid w:val="00127B15"/>
    <w:rsid w:val="00131DB6"/>
    <w:rsid w:val="001331A1"/>
    <w:rsid w:val="001339D0"/>
    <w:rsid w:val="001347AD"/>
    <w:rsid w:val="00135B62"/>
    <w:rsid w:val="0013636E"/>
    <w:rsid w:val="0013657E"/>
    <w:rsid w:val="0014260E"/>
    <w:rsid w:val="00145AC4"/>
    <w:rsid w:val="00145D9F"/>
    <w:rsid w:val="00146B9C"/>
    <w:rsid w:val="00146F7A"/>
    <w:rsid w:val="00147246"/>
    <w:rsid w:val="00150470"/>
    <w:rsid w:val="00151548"/>
    <w:rsid w:val="00153276"/>
    <w:rsid w:val="00153EBC"/>
    <w:rsid w:val="00153F77"/>
    <w:rsid w:val="0015425D"/>
    <w:rsid w:val="001546C1"/>
    <w:rsid w:val="00155375"/>
    <w:rsid w:val="00155A7B"/>
    <w:rsid w:val="001563B9"/>
    <w:rsid w:val="001575AA"/>
    <w:rsid w:val="00157645"/>
    <w:rsid w:val="00160BD0"/>
    <w:rsid w:val="00161883"/>
    <w:rsid w:val="00161D45"/>
    <w:rsid w:val="00161F0A"/>
    <w:rsid w:val="001644E4"/>
    <w:rsid w:val="00165D92"/>
    <w:rsid w:val="00167A9A"/>
    <w:rsid w:val="00167AA7"/>
    <w:rsid w:val="00170CDE"/>
    <w:rsid w:val="00171228"/>
    <w:rsid w:val="001713D5"/>
    <w:rsid w:val="0017143F"/>
    <w:rsid w:val="001718FB"/>
    <w:rsid w:val="00173378"/>
    <w:rsid w:val="0017355D"/>
    <w:rsid w:val="00174705"/>
    <w:rsid w:val="00174B96"/>
    <w:rsid w:val="00175FA0"/>
    <w:rsid w:val="0017604B"/>
    <w:rsid w:val="0017628C"/>
    <w:rsid w:val="001762B1"/>
    <w:rsid w:val="00176BD4"/>
    <w:rsid w:val="00177167"/>
    <w:rsid w:val="00177BC9"/>
    <w:rsid w:val="00182594"/>
    <w:rsid w:val="00183073"/>
    <w:rsid w:val="00184757"/>
    <w:rsid w:val="001855BF"/>
    <w:rsid w:val="001857E4"/>
    <w:rsid w:val="001869C1"/>
    <w:rsid w:val="001877EF"/>
    <w:rsid w:val="00187BAB"/>
    <w:rsid w:val="00190E50"/>
    <w:rsid w:val="00191659"/>
    <w:rsid w:val="00191ED1"/>
    <w:rsid w:val="001927F4"/>
    <w:rsid w:val="0019394E"/>
    <w:rsid w:val="001947B0"/>
    <w:rsid w:val="00195184"/>
    <w:rsid w:val="00195592"/>
    <w:rsid w:val="00197137"/>
    <w:rsid w:val="00197942"/>
    <w:rsid w:val="001A023E"/>
    <w:rsid w:val="001A24DE"/>
    <w:rsid w:val="001A28E2"/>
    <w:rsid w:val="001A3FAE"/>
    <w:rsid w:val="001A4238"/>
    <w:rsid w:val="001A5621"/>
    <w:rsid w:val="001A700B"/>
    <w:rsid w:val="001B0A1A"/>
    <w:rsid w:val="001B1916"/>
    <w:rsid w:val="001B2A78"/>
    <w:rsid w:val="001B31B7"/>
    <w:rsid w:val="001B43E9"/>
    <w:rsid w:val="001B4986"/>
    <w:rsid w:val="001B5035"/>
    <w:rsid w:val="001B5103"/>
    <w:rsid w:val="001B55A3"/>
    <w:rsid w:val="001B5EF1"/>
    <w:rsid w:val="001B6BA7"/>
    <w:rsid w:val="001B6E9C"/>
    <w:rsid w:val="001C1BE9"/>
    <w:rsid w:val="001C5006"/>
    <w:rsid w:val="001C51AC"/>
    <w:rsid w:val="001C588F"/>
    <w:rsid w:val="001D0797"/>
    <w:rsid w:val="001D0A84"/>
    <w:rsid w:val="001D1209"/>
    <w:rsid w:val="001D17B6"/>
    <w:rsid w:val="001D17ED"/>
    <w:rsid w:val="001D1F3D"/>
    <w:rsid w:val="001D3053"/>
    <w:rsid w:val="001D34D8"/>
    <w:rsid w:val="001D3FA1"/>
    <w:rsid w:val="001D5816"/>
    <w:rsid w:val="001D5877"/>
    <w:rsid w:val="001D6B99"/>
    <w:rsid w:val="001D70B8"/>
    <w:rsid w:val="001D7612"/>
    <w:rsid w:val="001D792F"/>
    <w:rsid w:val="001E0557"/>
    <w:rsid w:val="001E0CAB"/>
    <w:rsid w:val="001E327C"/>
    <w:rsid w:val="001E5E10"/>
    <w:rsid w:val="001F08E7"/>
    <w:rsid w:val="001F0BB5"/>
    <w:rsid w:val="001F1E80"/>
    <w:rsid w:val="001F355E"/>
    <w:rsid w:val="001F3B62"/>
    <w:rsid w:val="001F453C"/>
    <w:rsid w:val="001F4DCB"/>
    <w:rsid w:val="001F746D"/>
    <w:rsid w:val="002001BC"/>
    <w:rsid w:val="00200639"/>
    <w:rsid w:val="00200D37"/>
    <w:rsid w:val="00203004"/>
    <w:rsid w:val="0020301E"/>
    <w:rsid w:val="00203416"/>
    <w:rsid w:val="002047A5"/>
    <w:rsid w:val="00204971"/>
    <w:rsid w:val="00207AB5"/>
    <w:rsid w:val="00207C1C"/>
    <w:rsid w:val="002103B9"/>
    <w:rsid w:val="00210481"/>
    <w:rsid w:val="00210E14"/>
    <w:rsid w:val="002113ED"/>
    <w:rsid w:val="00211719"/>
    <w:rsid w:val="00212480"/>
    <w:rsid w:val="00212515"/>
    <w:rsid w:val="00213598"/>
    <w:rsid w:val="0021451B"/>
    <w:rsid w:val="00214F4C"/>
    <w:rsid w:val="002150A8"/>
    <w:rsid w:val="00216985"/>
    <w:rsid w:val="00216A2B"/>
    <w:rsid w:val="00224FE1"/>
    <w:rsid w:val="002267A8"/>
    <w:rsid w:val="00226EDB"/>
    <w:rsid w:val="002275C2"/>
    <w:rsid w:val="00227717"/>
    <w:rsid w:val="00230A45"/>
    <w:rsid w:val="00230CDF"/>
    <w:rsid w:val="00230EF0"/>
    <w:rsid w:val="00230F3D"/>
    <w:rsid w:val="00231926"/>
    <w:rsid w:val="002379B9"/>
    <w:rsid w:val="002410FB"/>
    <w:rsid w:val="002417C1"/>
    <w:rsid w:val="00241A77"/>
    <w:rsid w:val="00241CFF"/>
    <w:rsid w:val="00242E0D"/>
    <w:rsid w:val="002434C6"/>
    <w:rsid w:val="00243D51"/>
    <w:rsid w:val="0024516A"/>
    <w:rsid w:val="002456E8"/>
    <w:rsid w:val="00246980"/>
    <w:rsid w:val="00247D17"/>
    <w:rsid w:val="0025008C"/>
    <w:rsid w:val="00251275"/>
    <w:rsid w:val="00251CF3"/>
    <w:rsid w:val="00252CC4"/>
    <w:rsid w:val="00253DCF"/>
    <w:rsid w:val="0025491B"/>
    <w:rsid w:val="00256709"/>
    <w:rsid w:val="002567F1"/>
    <w:rsid w:val="00257AEE"/>
    <w:rsid w:val="002612CC"/>
    <w:rsid w:val="00261D16"/>
    <w:rsid w:val="002640E3"/>
    <w:rsid w:val="00265E3C"/>
    <w:rsid w:val="002665AF"/>
    <w:rsid w:val="00267DC7"/>
    <w:rsid w:val="002704A0"/>
    <w:rsid w:val="00271314"/>
    <w:rsid w:val="002713E0"/>
    <w:rsid w:val="00273379"/>
    <w:rsid w:val="00274B76"/>
    <w:rsid w:val="00275105"/>
    <w:rsid w:val="00277176"/>
    <w:rsid w:val="00277F27"/>
    <w:rsid w:val="00280E96"/>
    <w:rsid w:val="00282A84"/>
    <w:rsid w:val="00282F60"/>
    <w:rsid w:val="00283B04"/>
    <w:rsid w:val="00283FB0"/>
    <w:rsid w:val="002857A1"/>
    <w:rsid w:val="002872AF"/>
    <w:rsid w:val="00287725"/>
    <w:rsid w:val="002914E3"/>
    <w:rsid w:val="00291DC3"/>
    <w:rsid w:val="00294B09"/>
    <w:rsid w:val="00297FBD"/>
    <w:rsid w:val="002A11A4"/>
    <w:rsid w:val="002A212F"/>
    <w:rsid w:val="002A365D"/>
    <w:rsid w:val="002A4672"/>
    <w:rsid w:val="002A57EB"/>
    <w:rsid w:val="002A6159"/>
    <w:rsid w:val="002A6B5F"/>
    <w:rsid w:val="002B0322"/>
    <w:rsid w:val="002B0987"/>
    <w:rsid w:val="002B0FAA"/>
    <w:rsid w:val="002B1671"/>
    <w:rsid w:val="002B1A0D"/>
    <w:rsid w:val="002B2BF2"/>
    <w:rsid w:val="002B2F39"/>
    <w:rsid w:val="002B3459"/>
    <w:rsid w:val="002B3D2D"/>
    <w:rsid w:val="002B4667"/>
    <w:rsid w:val="002B5A14"/>
    <w:rsid w:val="002B6008"/>
    <w:rsid w:val="002B7800"/>
    <w:rsid w:val="002C063D"/>
    <w:rsid w:val="002C2978"/>
    <w:rsid w:val="002C48DC"/>
    <w:rsid w:val="002C5FA5"/>
    <w:rsid w:val="002D0524"/>
    <w:rsid w:val="002D0870"/>
    <w:rsid w:val="002D222A"/>
    <w:rsid w:val="002D230A"/>
    <w:rsid w:val="002D28F0"/>
    <w:rsid w:val="002D38A7"/>
    <w:rsid w:val="002D3F96"/>
    <w:rsid w:val="002D571B"/>
    <w:rsid w:val="002D5E3B"/>
    <w:rsid w:val="002D627E"/>
    <w:rsid w:val="002D70C9"/>
    <w:rsid w:val="002D7166"/>
    <w:rsid w:val="002D769B"/>
    <w:rsid w:val="002D773D"/>
    <w:rsid w:val="002E0554"/>
    <w:rsid w:val="002E3050"/>
    <w:rsid w:val="002E322E"/>
    <w:rsid w:val="002E3A5A"/>
    <w:rsid w:val="002E4AE0"/>
    <w:rsid w:val="002E594D"/>
    <w:rsid w:val="002E6BAF"/>
    <w:rsid w:val="002E7B80"/>
    <w:rsid w:val="002E7DE6"/>
    <w:rsid w:val="002F06BA"/>
    <w:rsid w:val="002F24BB"/>
    <w:rsid w:val="002F2797"/>
    <w:rsid w:val="002F2950"/>
    <w:rsid w:val="002F3671"/>
    <w:rsid w:val="002F4A68"/>
    <w:rsid w:val="002F56C6"/>
    <w:rsid w:val="002F5970"/>
    <w:rsid w:val="002F5A83"/>
    <w:rsid w:val="002F5EE7"/>
    <w:rsid w:val="002F7DFE"/>
    <w:rsid w:val="00301102"/>
    <w:rsid w:val="00301A3D"/>
    <w:rsid w:val="00301F1A"/>
    <w:rsid w:val="00302B86"/>
    <w:rsid w:val="00302BF3"/>
    <w:rsid w:val="0030320E"/>
    <w:rsid w:val="003042ED"/>
    <w:rsid w:val="00304544"/>
    <w:rsid w:val="00304736"/>
    <w:rsid w:val="00304EFF"/>
    <w:rsid w:val="003060E0"/>
    <w:rsid w:val="00307F29"/>
    <w:rsid w:val="0031179D"/>
    <w:rsid w:val="00313109"/>
    <w:rsid w:val="003133B8"/>
    <w:rsid w:val="003143B1"/>
    <w:rsid w:val="00315567"/>
    <w:rsid w:val="003159AD"/>
    <w:rsid w:val="0031676E"/>
    <w:rsid w:val="003176C2"/>
    <w:rsid w:val="00317AB4"/>
    <w:rsid w:val="00320C3F"/>
    <w:rsid w:val="00321259"/>
    <w:rsid w:val="003213CB"/>
    <w:rsid w:val="003219F6"/>
    <w:rsid w:val="00322B0C"/>
    <w:rsid w:val="00323491"/>
    <w:rsid w:val="0032379E"/>
    <w:rsid w:val="00325E48"/>
    <w:rsid w:val="00326AE1"/>
    <w:rsid w:val="003278BD"/>
    <w:rsid w:val="00331691"/>
    <w:rsid w:val="003317D5"/>
    <w:rsid w:val="00332C46"/>
    <w:rsid w:val="00335AC2"/>
    <w:rsid w:val="0033654E"/>
    <w:rsid w:val="00336ED5"/>
    <w:rsid w:val="00342364"/>
    <w:rsid w:val="00342DE8"/>
    <w:rsid w:val="00342DFF"/>
    <w:rsid w:val="00342F5D"/>
    <w:rsid w:val="00344FBC"/>
    <w:rsid w:val="00346133"/>
    <w:rsid w:val="00346BDD"/>
    <w:rsid w:val="003501F7"/>
    <w:rsid w:val="00350952"/>
    <w:rsid w:val="00351038"/>
    <w:rsid w:val="003511D6"/>
    <w:rsid w:val="00351584"/>
    <w:rsid w:val="003522AF"/>
    <w:rsid w:val="00352819"/>
    <w:rsid w:val="00352D68"/>
    <w:rsid w:val="003542C7"/>
    <w:rsid w:val="00356563"/>
    <w:rsid w:val="00361374"/>
    <w:rsid w:val="00362194"/>
    <w:rsid w:val="0036258B"/>
    <w:rsid w:val="00362A3F"/>
    <w:rsid w:val="0036514D"/>
    <w:rsid w:val="003665E9"/>
    <w:rsid w:val="003666CC"/>
    <w:rsid w:val="003667F6"/>
    <w:rsid w:val="00366BC7"/>
    <w:rsid w:val="00370FC6"/>
    <w:rsid w:val="003714B3"/>
    <w:rsid w:val="003729E8"/>
    <w:rsid w:val="00373473"/>
    <w:rsid w:val="00375097"/>
    <w:rsid w:val="00375310"/>
    <w:rsid w:val="003767F2"/>
    <w:rsid w:val="00376BE7"/>
    <w:rsid w:val="00376F93"/>
    <w:rsid w:val="00377072"/>
    <w:rsid w:val="0037784A"/>
    <w:rsid w:val="00380FD4"/>
    <w:rsid w:val="00381E50"/>
    <w:rsid w:val="00383923"/>
    <w:rsid w:val="00384268"/>
    <w:rsid w:val="003843A7"/>
    <w:rsid w:val="00384EDC"/>
    <w:rsid w:val="00385621"/>
    <w:rsid w:val="00387F99"/>
    <w:rsid w:val="003921F2"/>
    <w:rsid w:val="00393836"/>
    <w:rsid w:val="00395F32"/>
    <w:rsid w:val="0039614C"/>
    <w:rsid w:val="003A0579"/>
    <w:rsid w:val="003A0CB5"/>
    <w:rsid w:val="003A0DB6"/>
    <w:rsid w:val="003A34E2"/>
    <w:rsid w:val="003A3877"/>
    <w:rsid w:val="003A50B0"/>
    <w:rsid w:val="003A5F1E"/>
    <w:rsid w:val="003A6472"/>
    <w:rsid w:val="003B0344"/>
    <w:rsid w:val="003B0839"/>
    <w:rsid w:val="003B0AEF"/>
    <w:rsid w:val="003B1548"/>
    <w:rsid w:val="003B1B94"/>
    <w:rsid w:val="003B3178"/>
    <w:rsid w:val="003B33A3"/>
    <w:rsid w:val="003B48B3"/>
    <w:rsid w:val="003B4B12"/>
    <w:rsid w:val="003B564D"/>
    <w:rsid w:val="003B57B3"/>
    <w:rsid w:val="003C0B77"/>
    <w:rsid w:val="003C11E9"/>
    <w:rsid w:val="003C158A"/>
    <w:rsid w:val="003C52F4"/>
    <w:rsid w:val="003C5604"/>
    <w:rsid w:val="003C5711"/>
    <w:rsid w:val="003C6D0E"/>
    <w:rsid w:val="003C6E4B"/>
    <w:rsid w:val="003C712D"/>
    <w:rsid w:val="003C7A24"/>
    <w:rsid w:val="003D015B"/>
    <w:rsid w:val="003D33D2"/>
    <w:rsid w:val="003D46DA"/>
    <w:rsid w:val="003D570F"/>
    <w:rsid w:val="003D67C7"/>
    <w:rsid w:val="003D6B1C"/>
    <w:rsid w:val="003D7AF2"/>
    <w:rsid w:val="003D7F9B"/>
    <w:rsid w:val="003E1D2C"/>
    <w:rsid w:val="003E1F60"/>
    <w:rsid w:val="003E286B"/>
    <w:rsid w:val="003E4DA1"/>
    <w:rsid w:val="003E629B"/>
    <w:rsid w:val="003E6AB0"/>
    <w:rsid w:val="003E6C89"/>
    <w:rsid w:val="003E7C56"/>
    <w:rsid w:val="003F05B6"/>
    <w:rsid w:val="003F09E1"/>
    <w:rsid w:val="003F0EA3"/>
    <w:rsid w:val="003F1FCE"/>
    <w:rsid w:val="003F37AA"/>
    <w:rsid w:val="003F4AE2"/>
    <w:rsid w:val="003F4CD5"/>
    <w:rsid w:val="003F4E87"/>
    <w:rsid w:val="003F5661"/>
    <w:rsid w:val="003F56AC"/>
    <w:rsid w:val="003F5F8F"/>
    <w:rsid w:val="003F5FE6"/>
    <w:rsid w:val="003F6D28"/>
    <w:rsid w:val="003F6EE6"/>
    <w:rsid w:val="003F7B7A"/>
    <w:rsid w:val="00400E0B"/>
    <w:rsid w:val="00401002"/>
    <w:rsid w:val="004017FE"/>
    <w:rsid w:val="0040283E"/>
    <w:rsid w:val="004047D5"/>
    <w:rsid w:val="00405A4A"/>
    <w:rsid w:val="00406601"/>
    <w:rsid w:val="0040704F"/>
    <w:rsid w:val="004079A0"/>
    <w:rsid w:val="00410F0D"/>
    <w:rsid w:val="00411F8A"/>
    <w:rsid w:val="00412B33"/>
    <w:rsid w:val="00415A64"/>
    <w:rsid w:val="00417D0C"/>
    <w:rsid w:val="004203B3"/>
    <w:rsid w:val="004217D3"/>
    <w:rsid w:val="00422043"/>
    <w:rsid w:val="004223D3"/>
    <w:rsid w:val="00423620"/>
    <w:rsid w:val="00424C4F"/>
    <w:rsid w:val="00426022"/>
    <w:rsid w:val="00426A57"/>
    <w:rsid w:val="0042761D"/>
    <w:rsid w:val="00427AD9"/>
    <w:rsid w:val="00427F72"/>
    <w:rsid w:val="00431AB9"/>
    <w:rsid w:val="00431F0A"/>
    <w:rsid w:val="0043204B"/>
    <w:rsid w:val="00433356"/>
    <w:rsid w:val="00433A17"/>
    <w:rsid w:val="004356B8"/>
    <w:rsid w:val="00435A86"/>
    <w:rsid w:val="00435D15"/>
    <w:rsid w:val="004361BF"/>
    <w:rsid w:val="004407C7"/>
    <w:rsid w:val="00443421"/>
    <w:rsid w:val="00443BD4"/>
    <w:rsid w:val="00445159"/>
    <w:rsid w:val="0044567E"/>
    <w:rsid w:val="00446EB1"/>
    <w:rsid w:val="00446F13"/>
    <w:rsid w:val="00447CEC"/>
    <w:rsid w:val="004521B6"/>
    <w:rsid w:val="00452522"/>
    <w:rsid w:val="004527E8"/>
    <w:rsid w:val="00452D68"/>
    <w:rsid w:val="00454AE9"/>
    <w:rsid w:val="00456CE0"/>
    <w:rsid w:val="00457664"/>
    <w:rsid w:val="00457F11"/>
    <w:rsid w:val="0046006F"/>
    <w:rsid w:val="00460352"/>
    <w:rsid w:val="00462D28"/>
    <w:rsid w:val="0046408A"/>
    <w:rsid w:val="00466849"/>
    <w:rsid w:val="004669C7"/>
    <w:rsid w:val="00467038"/>
    <w:rsid w:val="00467CDF"/>
    <w:rsid w:val="004716C1"/>
    <w:rsid w:val="00472FDD"/>
    <w:rsid w:val="00473C2B"/>
    <w:rsid w:val="00475940"/>
    <w:rsid w:val="00476669"/>
    <w:rsid w:val="004767D3"/>
    <w:rsid w:val="004769F6"/>
    <w:rsid w:val="00477463"/>
    <w:rsid w:val="00480478"/>
    <w:rsid w:val="0048081A"/>
    <w:rsid w:val="00481D1E"/>
    <w:rsid w:val="00483BF6"/>
    <w:rsid w:val="00484A53"/>
    <w:rsid w:val="0048511D"/>
    <w:rsid w:val="00486784"/>
    <w:rsid w:val="004873FD"/>
    <w:rsid w:val="00487537"/>
    <w:rsid w:val="0049001D"/>
    <w:rsid w:val="00490107"/>
    <w:rsid w:val="00491AE9"/>
    <w:rsid w:val="00491B78"/>
    <w:rsid w:val="00492160"/>
    <w:rsid w:val="00492E03"/>
    <w:rsid w:val="00492E6D"/>
    <w:rsid w:val="0049446E"/>
    <w:rsid w:val="00495AC2"/>
    <w:rsid w:val="00496FD7"/>
    <w:rsid w:val="004A1210"/>
    <w:rsid w:val="004A3730"/>
    <w:rsid w:val="004A3B57"/>
    <w:rsid w:val="004A4E18"/>
    <w:rsid w:val="004A6E8F"/>
    <w:rsid w:val="004A73AC"/>
    <w:rsid w:val="004A786B"/>
    <w:rsid w:val="004B03B3"/>
    <w:rsid w:val="004B1F63"/>
    <w:rsid w:val="004B3E74"/>
    <w:rsid w:val="004B4AE6"/>
    <w:rsid w:val="004B53C2"/>
    <w:rsid w:val="004B5420"/>
    <w:rsid w:val="004B6A80"/>
    <w:rsid w:val="004C09B0"/>
    <w:rsid w:val="004C1419"/>
    <w:rsid w:val="004C14D1"/>
    <w:rsid w:val="004C1862"/>
    <w:rsid w:val="004C1D6B"/>
    <w:rsid w:val="004C3A27"/>
    <w:rsid w:val="004C42E9"/>
    <w:rsid w:val="004C470E"/>
    <w:rsid w:val="004C4F6F"/>
    <w:rsid w:val="004C5947"/>
    <w:rsid w:val="004C5C6E"/>
    <w:rsid w:val="004C615D"/>
    <w:rsid w:val="004C6E5D"/>
    <w:rsid w:val="004D067B"/>
    <w:rsid w:val="004D1641"/>
    <w:rsid w:val="004D1C46"/>
    <w:rsid w:val="004D1CF6"/>
    <w:rsid w:val="004D1F1B"/>
    <w:rsid w:val="004D25D7"/>
    <w:rsid w:val="004D2D3B"/>
    <w:rsid w:val="004D447C"/>
    <w:rsid w:val="004D4BC8"/>
    <w:rsid w:val="004D609F"/>
    <w:rsid w:val="004D631F"/>
    <w:rsid w:val="004D66C2"/>
    <w:rsid w:val="004D7795"/>
    <w:rsid w:val="004D7E25"/>
    <w:rsid w:val="004E19F0"/>
    <w:rsid w:val="004E2B6A"/>
    <w:rsid w:val="004E4E98"/>
    <w:rsid w:val="004E6AF8"/>
    <w:rsid w:val="004F0F24"/>
    <w:rsid w:val="004F436C"/>
    <w:rsid w:val="004F48D1"/>
    <w:rsid w:val="004F7E28"/>
    <w:rsid w:val="00500064"/>
    <w:rsid w:val="0050073C"/>
    <w:rsid w:val="005008C3"/>
    <w:rsid w:val="00500D68"/>
    <w:rsid w:val="005051A4"/>
    <w:rsid w:val="0050527C"/>
    <w:rsid w:val="00505973"/>
    <w:rsid w:val="00507183"/>
    <w:rsid w:val="00507431"/>
    <w:rsid w:val="005078AF"/>
    <w:rsid w:val="0051267C"/>
    <w:rsid w:val="00512AD6"/>
    <w:rsid w:val="00514088"/>
    <w:rsid w:val="00514598"/>
    <w:rsid w:val="00514875"/>
    <w:rsid w:val="00514FF6"/>
    <w:rsid w:val="00515BFA"/>
    <w:rsid w:val="0051717E"/>
    <w:rsid w:val="0051741A"/>
    <w:rsid w:val="005213BB"/>
    <w:rsid w:val="00521A7E"/>
    <w:rsid w:val="00522D0E"/>
    <w:rsid w:val="00524CC6"/>
    <w:rsid w:val="00525DEA"/>
    <w:rsid w:val="00525E18"/>
    <w:rsid w:val="0052773E"/>
    <w:rsid w:val="00527EA6"/>
    <w:rsid w:val="005304C2"/>
    <w:rsid w:val="00530A74"/>
    <w:rsid w:val="00531C13"/>
    <w:rsid w:val="00531FFB"/>
    <w:rsid w:val="00532E9B"/>
    <w:rsid w:val="00534ECE"/>
    <w:rsid w:val="005355FA"/>
    <w:rsid w:val="005375E4"/>
    <w:rsid w:val="0054094E"/>
    <w:rsid w:val="005415ED"/>
    <w:rsid w:val="00541B28"/>
    <w:rsid w:val="0054429B"/>
    <w:rsid w:val="005448E8"/>
    <w:rsid w:val="005451DB"/>
    <w:rsid w:val="0054626A"/>
    <w:rsid w:val="00551B32"/>
    <w:rsid w:val="005536CE"/>
    <w:rsid w:val="00553C66"/>
    <w:rsid w:val="00554F0A"/>
    <w:rsid w:val="005552AA"/>
    <w:rsid w:val="00555374"/>
    <w:rsid w:val="0055583C"/>
    <w:rsid w:val="00555FB8"/>
    <w:rsid w:val="005565D7"/>
    <w:rsid w:val="00560043"/>
    <w:rsid w:val="00561240"/>
    <w:rsid w:val="005615F6"/>
    <w:rsid w:val="00564259"/>
    <w:rsid w:val="00564976"/>
    <w:rsid w:val="00564A18"/>
    <w:rsid w:val="00564AFD"/>
    <w:rsid w:val="00565B98"/>
    <w:rsid w:val="00566797"/>
    <w:rsid w:val="00566F50"/>
    <w:rsid w:val="00567A19"/>
    <w:rsid w:val="005720D2"/>
    <w:rsid w:val="0057232A"/>
    <w:rsid w:val="005729A5"/>
    <w:rsid w:val="00572C9C"/>
    <w:rsid w:val="005742CE"/>
    <w:rsid w:val="00575AF9"/>
    <w:rsid w:val="00576443"/>
    <w:rsid w:val="00576C22"/>
    <w:rsid w:val="00576CD0"/>
    <w:rsid w:val="00577133"/>
    <w:rsid w:val="0057767D"/>
    <w:rsid w:val="00583C0D"/>
    <w:rsid w:val="0058451F"/>
    <w:rsid w:val="00585549"/>
    <w:rsid w:val="00585F6A"/>
    <w:rsid w:val="00587608"/>
    <w:rsid w:val="00587A27"/>
    <w:rsid w:val="005903B9"/>
    <w:rsid w:val="00590465"/>
    <w:rsid w:val="005926D2"/>
    <w:rsid w:val="0059289E"/>
    <w:rsid w:val="0059324B"/>
    <w:rsid w:val="005941C6"/>
    <w:rsid w:val="0059453C"/>
    <w:rsid w:val="00595448"/>
    <w:rsid w:val="00595F4B"/>
    <w:rsid w:val="005960DD"/>
    <w:rsid w:val="00596C40"/>
    <w:rsid w:val="005A0F3C"/>
    <w:rsid w:val="005A11D5"/>
    <w:rsid w:val="005A41BD"/>
    <w:rsid w:val="005A4561"/>
    <w:rsid w:val="005A5036"/>
    <w:rsid w:val="005A60EC"/>
    <w:rsid w:val="005A625F"/>
    <w:rsid w:val="005A66E0"/>
    <w:rsid w:val="005A6B12"/>
    <w:rsid w:val="005B1020"/>
    <w:rsid w:val="005B1A39"/>
    <w:rsid w:val="005B2048"/>
    <w:rsid w:val="005B3CA2"/>
    <w:rsid w:val="005C0590"/>
    <w:rsid w:val="005C2888"/>
    <w:rsid w:val="005C33E5"/>
    <w:rsid w:val="005C4D29"/>
    <w:rsid w:val="005C6082"/>
    <w:rsid w:val="005C7BE8"/>
    <w:rsid w:val="005D0067"/>
    <w:rsid w:val="005D05AD"/>
    <w:rsid w:val="005D1A21"/>
    <w:rsid w:val="005D2128"/>
    <w:rsid w:val="005D2DD0"/>
    <w:rsid w:val="005D3FB4"/>
    <w:rsid w:val="005D434E"/>
    <w:rsid w:val="005D4722"/>
    <w:rsid w:val="005D482E"/>
    <w:rsid w:val="005D4E7E"/>
    <w:rsid w:val="005D5B2B"/>
    <w:rsid w:val="005D6B72"/>
    <w:rsid w:val="005D7497"/>
    <w:rsid w:val="005D74B0"/>
    <w:rsid w:val="005D7806"/>
    <w:rsid w:val="005E22E7"/>
    <w:rsid w:val="005E26FF"/>
    <w:rsid w:val="005E4411"/>
    <w:rsid w:val="005E493A"/>
    <w:rsid w:val="005E58AF"/>
    <w:rsid w:val="005E605F"/>
    <w:rsid w:val="005E77D4"/>
    <w:rsid w:val="005E7F78"/>
    <w:rsid w:val="005F10E1"/>
    <w:rsid w:val="005F333F"/>
    <w:rsid w:val="005F38C5"/>
    <w:rsid w:val="005F3E2A"/>
    <w:rsid w:val="005F4878"/>
    <w:rsid w:val="005F48C0"/>
    <w:rsid w:val="005F5D09"/>
    <w:rsid w:val="005F63C5"/>
    <w:rsid w:val="00601389"/>
    <w:rsid w:val="006023DC"/>
    <w:rsid w:val="00603768"/>
    <w:rsid w:val="00605143"/>
    <w:rsid w:val="00606914"/>
    <w:rsid w:val="00606B96"/>
    <w:rsid w:val="00606F96"/>
    <w:rsid w:val="00607724"/>
    <w:rsid w:val="00611206"/>
    <w:rsid w:val="006135B9"/>
    <w:rsid w:val="00615AB9"/>
    <w:rsid w:val="00616A67"/>
    <w:rsid w:val="00617896"/>
    <w:rsid w:val="00617D29"/>
    <w:rsid w:val="00620079"/>
    <w:rsid w:val="00620AA0"/>
    <w:rsid w:val="006226FF"/>
    <w:rsid w:val="006227F4"/>
    <w:rsid w:val="00624ADB"/>
    <w:rsid w:val="006258D6"/>
    <w:rsid w:val="00625B27"/>
    <w:rsid w:val="00627EBB"/>
    <w:rsid w:val="00631578"/>
    <w:rsid w:val="006322C8"/>
    <w:rsid w:val="00632D00"/>
    <w:rsid w:val="00633998"/>
    <w:rsid w:val="00634C95"/>
    <w:rsid w:val="00634F77"/>
    <w:rsid w:val="00635E01"/>
    <w:rsid w:val="006402EC"/>
    <w:rsid w:val="00640F67"/>
    <w:rsid w:val="00640FE2"/>
    <w:rsid w:val="00642CDF"/>
    <w:rsid w:val="00651B8C"/>
    <w:rsid w:val="0065238F"/>
    <w:rsid w:val="006529F5"/>
    <w:rsid w:val="00654ECE"/>
    <w:rsid w:val="006557D5"/>
    <w:rsid w:val="00656C46"/>
    <w:rsid w:val="00657040"/>
    <w:rsid w:val="00657F56"/>
    <w:rsid w:val="00660632"/>
    <w:rsid w:val="00660719"/>
    <w:rsid w:val="00660AA8"/>
    <w:rsid w:val="00661363"/>
    <w:rsid w:val="00662018"/>
    <w:rsid w:val="00662374"/>
    <w:rsid w:val="00662E49"/>
    <w:rsid w:val="00663023"/>
    <w:rsid w:val="00664024"/>
    <w:rsid w:val="006666BD"/>
    <w:rsid w:val="006716FD"/>
    <w:rsid w:val="00672281"/>
    <w:rsid w:val="006732C0"/>
    <w:rsid w:val="00673767"/>
    <w:rsid w:val="0067397B"/>
    <w:rsid w:val="0067472B"/>
    <w:rsid w:val="00675630"/>
    <w:rsid w:val="00675F97"/>
    <w:rsid w:val="0067621D"/>
    <w:rsid w:val="00676B07"/>
    <w:rsid w:val="00676CAD"/>
    <w:rsid w:val="006804C9"/>
    <w:rsid w:val="00680BD3"/>
    <w:rsid w:val="00682061"/>
    <w:rsid w:val="006830E5"/>
    <w:rsid w:val="006831C6"/>
    <w:rsid w:val="00685937"/>
    <w:rsid w:val="00686728"/>
    <w:rsid w:val="006868A4"/>
    <w:rsid w:val="006871FC"/>
    <w:rsid w:val="00690C63"/>
    <w:rsid w:val="00690DA5"/>
    <w:rsid w:val="00690FB8"/>
    <w:rsid w:val="006917D7"/>
    <w:rsid w:val="00691942"/>
    <w:rsid w:val="00691BD9"/>
    <w:rsid w:val="006925C4"/>
    <w:rsid w:val="006938D5"/>
    <w:rsid w:val="00697726"/>
    <w:rsid w:val="00697E1B"/>
    <w:rsid w:val="006A0BA9"/>
    <w:rsid w:val="006A433E"/>
    <w:rsid w:val="006A4AAA"/>
    <w:rsid w:val="006A538F"/>
    <w:rsid w:val="006A545E"/>
    <w:rsid w:val="006A66D2"/>
    <w:rsid w:val="006A6D8B"/>
    <w:rsid w:val="006A7330"/>
    <w:rsid w:val="006A7CF0"/>
    <w:rsid w:val="006B1B3E"/>
    <w:rsid w:val="006B269B"/>
    <w:rsid w:val="006B28A4"/>
    <w:rsid w:val="006B357E"/>
    <w:rsid w:val="006B4AE0"/>
    <w:rsid w:val="006B56DB"/>
    <w:rsid w:val="006B5B0D"/>
    <w:rsid w:val="006B5D26"/>
    <w:rsid w:val="006B5DD9"/>
    <w:rsid w:val="006B6C74"/>
    <w:rsid w:val="006B7128"/>
    <w:rsid w:val="006C1182"/>
    <w:rsid w:val="006C2B5A"/>
    <w:rsid w:val="006C4A1F"/>
    <w:rsid w:val="006C6ADC"/>
    <w:rsid w:val="006C6E7B"/>
    <w:rsid w:val="006C795D"/>
    <w:rsid w:val="006D13B7"/>
    <w:rsid w:val="006D1426"/>
    <w:rsid w:val="006D25D3"/>
    <w:rsid w:val="006D2E5D"/>
    <w:rsid w:val="006D3C6B"/>
    <w:rsid w:val="006D3ECA"/>
    <w:rsid w:val="006D4103"/>
    <w:rsid w:val="006D55A5"/>
    <w:rsid w:val="006D7302"/>
    <w:rsid w:val="006E0447"/>
    <w:rsid w:val="006E1962"/>
    <w:rsid w:val="006E2AFE"/>
    <w:rsid w:val="006E2E75"/>
    <w:rsid w:val="006E5D4A"/>
    <w:rsid w:val="006E71D2"/>
    <w:rsid w:val="006F15B3"/>
    <w:rsid w:val="006F2551"/>
    <w:rsid w:val="006F32DB"/>
    <w:rsid w:val="006F41EC"/>
    <w:rsid w:val="006F42B7"/>
    <w:rsid w:val="006F44AF"/>
    <w:rsid w:val="006F527D"/>
    <w:rsid w:val="006F6837"/>
    <w:rsid w:val="00700047"/>
    <w:rsid w:val="007004FD"/>
    <w:rsid w:val="0070314F"/>
    <w:rsid w:val="00703A85"/>
    <w:rsid w:val="0070471C"/>
    <w:rsid w:val="00704750"/>
    <w:rsid w:val="00705895"/>
    <w:rsid w:val="00705EED"/>
    <w:rsid w:val="00706DAC"/>
    <w:rsid w:val="00706E68"/>
    <w:rsid w:val="00710033"/>
    <w:rsid w:val="00710187"/>
    <w:rsid w:val="00710733"/>
    <w:rsid w:val="00713518"/>
    <w:rsid w:val="00713E2C"/>
    <w:rsid w:val="00713F39"/>
    <w:rsid w:val="00714C12"/>
    <w:rsid w:val="007159F4"/>
    <w:rsid w:val="00715D88"/>
    <w:rsid w:val="0071752E"/>
    <w:rsid w:val="00717C32"/>
    <w:rsid w:val="00720C48"/>
    <w:rsid w:val="00721095"/>
    <w:rsid w:val="00722F3A"/>
    <w:rsid w:val="00723269"/>
    <w:rsid w:val="00723EBE"/>
    <w:rsid w:val="00724E9F"/>
    <w:rsid w:val="00725019"/>
    <w:rsid w:val="00725463"/>
    <w:rsid w:val="00726FEB"/>
    <w:rsid w:val="007270C7"/>
    <w:rsid w:val="00727C19"/>
    <w:rsid w:val="00730FD6"/>
    <w:rsid w:val="007315B2"/>
    <w:rsid w:val="00733B14"/>
    <w:rsid w:val="00733F81"/>
    <w:rsid w:val="00734B8B"/>
    <w:rsid w:val="0073537E"/>
    <w:rsid w:val="00736422"/>
    <w:rsid w:val="00736EB3"/>
    <w:rsid w:val="00740075"/>
    <w:rsid w:val="0074118E"/>
    <w:rsid w:val="00741515"/>
    <w:rsid w:val="00743475"/>
    <w:rsid w:val="007440A9"/>
    <w:rsid w:val="00750FA5"/>
    <w:rsid w:val="007514AE"/>
    <w:rsid w:val="007532AD"/>
    <w:rsid w:val="007543D7"/>
    <w:rsid w:val="00754912"/>
    <w:rsid w:val="00754FCA"/>
    <w:rsid w:val="0075643E"/>
    <w:rsid w:val="00756A9A"/>
    <w:rsid w:val="00757001"/>
    <w:rsid w:val="007575CF"/>
    <w:rsid w:val="00762104"/>
    <w:rsid w:val="007622A1"/>
    <w:rsid w:val="00762C94"/>
    <w:rsid w:val="00764490"/>
    <w:rsid w:val="00764834"/>
    <w:rsid w:val="00764D25"/>
    <w:rsid w:val="00767E95"/>
    <w:rsid w:val="00770104"/>
    <w:rsid w:val="00770B4B"/>
    <w:rsid w:val="00771F20"/>
    <w:rsid w:val="0077248C"/>
    <w:rsid w:val="007732CB"/>
    <w:rsid w:val="00773A4D"/>
    <w:rsid w:val="00774278"/>
    <w:rsid w:val="007751D1"/>
    <w:rsid w:val="00775225"/>
    <w:rsid w:val="00775238"/>
    <w:rsid w:val="00775E3C"/>
    <w:rsid w:val="00777BCE"/>
    <w:rsid w:val="007823D6"/>
    <w:rsid w:val="00782449"/>
    <w:rsid w:val="00782C29"/>
    <w:rsid w:val="00783A30"/>
    <w:rsid w:val="0078641D"/>
    <w:rsid w:val="00786EB4"/>
    <w:rsid w:val="007878DC"/>
    <w:rsid w:val="00790626"/>
    <w:rsid w:val="00791D2E"/>
    <w:rsid w:val="00793890"/>
    <w:rsid w:val="00794B3C"/>
    <w:rsid w:val="00794BEE"/>
    <w:rsid w:val="00795084"/>
    <w:rsid w:val="007977D5"/>
    <w:rsid w:val="007A338A"/>
    <w:rsid w:val="007A36BA"/>
    <w:rsid w:val="007A3E9D"/>
    <w:rsid w:val="007A5BB4"/>
    <w:rsid w:val="007B233F"/>
    <w:rsid w:val="007B42DB"/>
    <w:rsid w:val="007B4301"/>
    <w:rsid w:val="007B63E1"/>
    <w:rsid w:val="007B7B9D"/>
    <w:rsid w:val="007C0241"/>
    <w:rsid w:val="007C2F9D"/>
    <w:rsid w:val="007C306A"/>
    <w:rsid w:val="007C39D9"/>
    <w:rsid w:val="007C3E07"/>
    <w:rsid w:val="007C4F79"/>
    <w:rsid w:val="007C6CCB"/>
    <w:rsid w:val="007C6DC0"/>
    <w:rsid w:val="007C6ECA"/>
    <w:rsid w:val="007C7CBF"/>
    <w:rsid w:val="007D02FA"/>
    <w:rsid w:val="007D054D"/>
    <w:rsid w:val="007D0AD1"/>
    <w:rsid w:val="007D11F4"/>
    <w:rsid w:val="007D2671"/>
    <w:rsid w:val="007D4EE6"/>
    <w:rsid w:val="007D5EF5"/>
    <w:rsid w:val="007D66E3"/>
    <w:rsid w:val="007E08CE"/>
    <w:rsid w:val="007E0975"/>
    <w:rsid w:val="007E09B3"/>
    <w:rsid w:val="007E1AB8"/>
    <w:rsid w:val="007E1BB7"/>
    <w:rsid w:val="007E2EB7"/>
    <w:rsid w:val="007E5EA7"/>
    <w:rsid w:val="007E5F1B"/>
    <w:rsid w:val="007E6523"/>
    <w:rsid w:val="007F00B7"/>
    <w:rsid w:val="007F122C"/>
    <w:rsid w:val="007F1B63"/>
    <w:rsid w:val="007F29FC"/>
    <w:rsid w:val="007F3039"/>
    <w:rsid w:val="007F3311"/>
    <w:rsid w:val="007F38FA"/>
    <w:rsid w:val="007F3B7A"/>
    <w:rsid w:val="007F4426"/>
    <w:rsid w:val="007F71E2"/>
    <w:rsid w:val="007F7D67"/>
    <w:rsid w:val="00800756"/>
    <w:rsid w:val="0080153B"/>
    <w:rsid w:val="00802C28"/>
    <w:rsid w:val="008033CD"/>
    <w:rsid w:val="0080351D"/>
    <w:rsid w:val="008035C6"/>
    <w:rsid w:val="00803648"/>
    <w:rsid w:val="008048F0"/>
    <w:rsid w:val="0080494D"/>
    <w:rsid w:val="00806784"/>
    <w:rsid w:val="008103BF"/>
    <w:rsid w:val="00810F3F"/>
    <w:rsid w:val="008111CF"/>
    <w:rsid w:val="00811F1B"/>
    <w:rsid w:val="0081253B"/>
    <w:rsid w:val="008126E3"/>
    <w:rsid w:val="00813861"/>
    <w:rsid w:val="00814025"/>
    <w:rsid w:val="00814CB3"/>
    <w:rsid w:val="00815BA4"/>
    <w:rsid w:val="008162C5"/>
    <w:rsid w:val="00817206"/>
    <w:rsid w:val="0082002B"/>
    <w:rsid w:val="00821141"/>
    <w:rsid w:val="0082164A"/>
    <w:rsid w:val="008242E7"/>
    <w:rsid w:val="008257C3"/>
    <w:rsid w:val="008304AE"/>
    <w:rsid w:val="00830A0B"/>
    <w:rsid w:val="00830D98"/>
    <w:rsid w:val="00831043"/>
    <w:rsid w:val="008329BC"/>
    <w:rsid w:val="008356EA"/>
    <w:rsid w:val="00835723"/>
    <w:rsid w:val="00835DDF"/>
    <w:rsid w:val="00837765"/>
    <w:rsid w:val="0084035F"/>
    <w:rsid w:val="00841058"/>
    <w:rsid w:val="00841751"/>
    <w:rsid w:val="008421F6"/>
    <w:rsid w:val="00843723"/>
    <w:rsid w:val="00843CCA"/>
    <w:rsid w:val="008444E2"/>
    <w:rsid w:val="0085129B"/>
    <w:rsid w:val="00852FD8"/>
    <w:rsid w:val="00853362"/>
    <w:rsid w:val="008542FA"/>
    <w:rsid w:val="008553B5"/>
    <w:rsid w:val="00856E76"/>
    <w:rsid w:val="00857019"/>
    <w:rsid w:val="00857EC1"/>
    <w:rsid w:val="00860AC3"/>
    <w:rsid w:val="008621BC"/>
    <w:rsid w:val="00862266"/>
    <w:rsid w:val="00863C17"/>
    <w:rsid w:val="00867849"/>
    <w:rsid w:val="00871B70"/>
    <w:rsid w:val="008725D0"/>
    <w:rsid w:val="00875DF6"/>
    <w:rsid w:val="008801BF"/>
    <w:rsid w:val="00882763"/>
    <w:rsid w:val="00882EB6"/>
    <w:rsid w:val="0088415F"/>
    <w:rsid w:val="00887552"/>
    <w:rsid w:val="00890866"/>
    <w:rsid w:val="00891A79"/>
    <w:rsid w:val="00891F58"/>
    <w:rsid w:val="00892B69"/>
    <w:rsid w:val="00893906"/>
    <w:rsid w:val="00893BE1"/>
    <w:rsid w:val="00893CD5"/>
    <w:rsid w:val="00894751"/>
    <w:rsid w:val="00894D45"/>
    <w:rsid w:val="008953BA"/>
    <w:rsid w:val="008957A2"/>
    <w:rsid w:val="00896A7F"/>
    <w:rsid w:val="0089723C"/>
    <w:rsid w:val="008A1AD3"/>
    <w:rsid w:val="008A45B4"/>
    <w:rsid w:val="008A5F04"/>
    <w:rsid w:val="008A7E10"/>
    <w:rsid w:val="008B0F8F"/>
    <w:rsid w:val="008B145B"/>
    <w:rsid w:val="008B3CBB"/>
    <w:rsid w:val="008B408E"/>
    <w:rsid w:val="008B415F"/>
    <w:rsid w:val="008B5093"/>
    <w:rsid w:val="008B5A21"/>
    <w:rsid w:val="008B7DA8"/>
    <w:rsid w:val="008C0A5F"/>
    <w:rsid w:val="008C0F6D"/>
    <w:rsid w:val="008C1B92"/>
    <w:rsid w:val="008C33AD"/>
    <w:rsid w:val="008C39F8"/>
    <w:rsid w:val="008C4EA1"/>
    <w:rsid w:val="008C51CF"/>
    <w:rsid w:val="008C63CA"/>
    <w:rsid w:val="008C6810"/>
    <w:rsid w:val="008D0422"/>
    <w:rsid w:val="008D118A"/>
    <w:rsid w:val="008D3FEF"/>
    <w:rsid w:val="008D44DD"/>
    <w:rsid w:val="008D524E"/>
    <w:rsid w:val="008D53C4"/>
    <w:rsid w:val="008D5C7C"/>
    <w:rsid w:val="008D7854"/>
    <w:rsid w:val="008E01C7"/>
    <w:rsid w:val="008E2724"/>
    <w:rsid w:val="008E3826"/>
    <w:rsid w:val="008E54EF"/>
    <w:rsid w:val="008E7146"/>
    <w:rsid w:val="008E7168"/>
    <w:rsid w:val="008F1102"/>
    <w:rsid w:val="008F11E1"/>
    <w:rsid w:val="008F1971"/>
    <w:rsid w:val="008F2DC6"/>
    <w:rsid w:val="008F3AE2"/>
    <w:rsid w:val="008F3C2D"/>
    <w:rsid w:val="008F3F4B"/>
    <w:rsid w:val="008F495A"/>
    <w:rsid w:val="008F4D24"/>
    <w:rsid w:val="008F68EE"/>
    <w:rsid w:val="008F6C0C"/>
    <w:rsid w:val="008F6CDE"/>
    <w:rsid w:val="00900EE7"/>
    <w:rsid w:val="00902788"/>
    <w:rsid w:val="00903BE0"/>
    <w:rsid w:val="00907808"/>
    <w:rsid w:val="009109FA"/>
    <w:rsid w:val="0091323D"/>
    <w:rsid w:val="00913CEF"/>
    <w:rsid w:val="00914DED"/>
    <w:rsid w:val="00915AF0"/>
    <w:rsid w:val="00917248"/>
    <w:rsid w:val="009175C0"/>
    <w:rsid w:val="0091784E"/>
    <w:rsid w:val="00917AFB"/>
    <w:rsid w:val="00920D46"/>
    <w:rsid w:val="009218EE"/>
    <w:rsid w:val="00923855"/>
    <w:rsid w:val="00924AF4"/>
    <w:rsid w:val="00925670"/>
    <w:rsid w:val="00926730"/>
    <w:rsid w:val="0093010F"/>
    <w:rsid w:val="00933EC1"/>
    <w:rsid w:val="009341EF"/>
    <w:rsid w:val="009342E5"/>
    <w:rsid w:val="009349FD"/>
    <w:rsid w:val="0093519C"/>
    <w:rsid w:val="00937B18"/>
    <w:rsid w:val="00940345"/>
    <w:rsid w:val="0094040A"/>
    <w:rsid w:val="00941A13"/>
    <w:rsid w:val="009423E3"/>
    <w:rsid w:val="00943789"/>
    <w:rsid w:val="00944BCF"/>
    <w:rsid w:val="00945AAF"/>
    <w:rsid w:val="009470F2"/>
    <w:rsid w:val="00947FC0"/>
    <w:rsid w:val="009507A7"/>
    <w:rsid w:val="00950AFD"/>
    <w:rsid w:val="00951713"/>
    <w:rsid w:val="00953803"/>
    <w:rsid w:val="00953838"/>
    <w:rsid w:val="00953E72"/>
    <w:rsid w:val="0095483A"/>
    <w:rsid w:val="009565F0"/>
    <w:rsid w:val="00957B16"/>
    <w:rsid w:val="00957F7B"/>
    <w:rsid w:val="00962614"/>
    <w:rsid w:val="00964F3A"/>
    <w:rsid w:val="00965845"/>
    <w:rsid w:val="009662DE"/>
    <w:rsid w:val="00966992"/>
    <w:rsid w:val="0096791D"/>
    <w:rsid w:val="0097196B"/>
    <w:rsid w:val="00971B37"/>
    <w:rsid w:val="00976DE3"/>
    <w:rsid w:val="0098390C"/>
    <w:rsid w:val="00985B62"/>
    <w:rsid w:val="0098683F"/>
    <w:rsid w:val="00987B06"/>
    <w:rsid w:val="009906D7"/>
    <w:rsid w:val="00990E1C"/>
    <w:rsid w:val="00991D5B"/>
    <w:rsid w:val="009941CF"/>
    <w:rsid w:val="0099457A"/>
    <w:rsid w:val="00995423"/>
    <w:rsid w:val="009955B4"/>
    <w:rsid w:val="00996452"/>
    <w:rsid w:val="00996C31"/>
    <w:rsid w:val="009977ED"/>
    <w:rsid w:val="00997AE0"/>
    <w:rsid w:val="009A1998"/>
    <w:rsid w:val="009A25CD"/>
    <w:rsid w:val="009A34F1"/>
    <w:rsid w:val="009A36FD"/>
    <w:rsid w:val="009A3EE9"/>
    <w:rsid w:val="009A4A65"/>
    <w:rsid w:val="009A65B2"/>
    <w:rsid w:val="009A6A30"/>
    <w:rsid w:val="009A76D5"/>
    <w:rsid w:val="009B0076"/>
    <w:rsid w:val="009B14B0"/>
    <w:rsid w:val="009B37C5"/>
    <w:rsid w:val="009B583F"/>
    <w:rsid w:val="009B6386"/>
    <w:rsid w:val="009B684B"/>
    <w:rsid w:val="009B7185"/>
    <w:rsid w:val="009B7428"/>
    <w:rsid w:val="009C0988"/>
    <w:rsid w:val="009C0A90"/>
    <w:rsid w:val="009C1724"/>
    <w:rsid w:val="009C1A2D"/>
    <w:rsid w:val="009C30CC"/>
    <w:rsid w:val="009C3123"/>
    <w:rsid w:val="009C3198"/>
    <w:rsid w:val="009C3F23"/>
    <w:rsid w:val="009C499D"/>
    <w:rsid w:val="009C4D0B"/>
    <w:rsid w:val="009C588B"/>
    <w:rsid w:val="009C5AAB"/>
    <w:rsid w:val="009C69FA"/>
    <w:rsid w:val="009C7045"/>
    <w:rsid w:val="009C72FF"/>
    <w:rsid w:val="009D0D85"/>
    <w:rsid w:val="009D0E11"/>
    <w:rsid w:val="009D4032"/>
    <w:rsid w:val="009D5E12"/>
    <w:rsid w:val="009D64F0"/>
    <w:rsid w:val="009E0C92"/>
    <w:rsid w:val="009E0F5A"/>
    <w:rsid w:val="009E1182"/>
    <w:rsid w:val="009E35DA"/>
    <w:rsid w:val="009E3B0F"/>
    <w:rsid w:val="009E4B2E"/>
    <w:rsid w:val="009E5D7E"/>
    <w:rsid w:val="009E6D9D"/>
    <w:rsid w:val="009E77DA"/>
    <w:rsid w:val="009F0F42"/>
    <w:rsid w:val="009F1C92"/>
    <w:rsid w:val="009F1FB5"/>
    <w:rsid w:val="009F2E59"/>
    <w:rsid w:val="009F331E"/>
    <w:rsid w:val="009F4495"/>
    <w:rsid w:val="009F5153"/>
    <w:rsid w:val="009F5DE8"/>
    <w:rsid w:val="009F7FF1"/>
    <w:rsid w:val="00A00017"/>
    <w:rsid w:val="00A01AA2"/>
    <w:rsid w:val="00A02010"/>
    <w:rsid w:val="00A02516"/>
    <w:rsid w:val="00A0255B"/>
    <w:rsid w:val="00A02D06"/>
    <w:rsid w:val="00A0459F"/>
    <w:rsid w:val="00A045F0"/>
    <w:rsid w:val="00A051D3"/>
    <w:rsid w:val="00A05CDF"/>
    <w:rsid w:val="00A0669C"/>
    <w:rsid w:val="00A06C5F"/>
    <w:rsid w:val="00A071B3"/>
    <w:rsid w:val="00A1068C"/>
    <w:rsid w:val="00A127AD"/>
    <w:rsid w:val="00A1286D"/>
    <w:rsid w:val="00A12F2F"/>
    <w:rsid w:val="00A13381"/>
    <w:rsid w:val="00A1344C"/>
    <w:rsid w:val="00A14628"/>
    <w:rsid w:val="00A14F2B"/>
    <w:rsid w:val="00A152E6"/>
    <w:rsid w:val="00A15C2F"/>
    <w:rsid w:val="00A15FF7"/>
    <w:rsid w:val="00A170D5"/>
    <w:rsid w:val="00A176B9"/>
    <w:rsid w:val="00A2082A"/>
    <w:rsid w:val="00A22770"/>
    <w:rsid w:val="00A238CD"/>
    <w:rsid w:val="00A24009"/>
    <w:rsid w:val="00A25D0D"/>
    <w:rsid w:val="00A30342"/>
    <w:rsid w:val="00A30A8D"/>
    <w:rsid w:val="00A33C91"/>
    <w:rsid w:val="00A353D4"/>
    <w:rsid w:val="00A3599F"/>
    <w:rsid w:val="00A36B8B"/>
    <w:rsid w:val="00A36E94"/>
    <w:rsid w:val="00A37414"/>
    <w:rsid w:val="00A37A2E"/>
    <w:rsid w:val="00A37CB6"/>
    <w:rsid w:val="00A426CB"/>
    <w:rsid w:val="00A42B17"/>
    <w:rsid w:val="00A4432D"/>
    <w:rsid w:val="00A456D4"/>
    <w:rsid w:val="00A46F96"/>
    <w:rsid w:val="00A5042E"/>
    <w:rsid w:val="00A50A2F"/>
    <w:rsid w:val="00A50BFE"/>
    <w:rsid w:val="00A50D16"/>
    <w:rsid w:val="00A516FF"/>
    <w:rsid w:val="00A51BEF"/>
    <w:rsid w:val="00A51DB5"/>
    <w:rsid w:val="00A52777"/>
    <w:rsid w:val="00A536C6"/>
    <w:rsid w:val="00A53E56"/>
    <w:rsid w:val="00A5638A"/>
    <w:rsid w:val="00A56C5E"/>
    <w:rsid w:val="00A573CF"/>
    <w:rsid w:val="00A579AD"/>
    <w:rsid w:val="00A62FE0"/>
    <w:rsid w:val="00A635B1"/>
    <w:rsid w:val="00A639BA"/>
    <w:rsid w:val="00A64D74"/>
    <w:rsid w:val="00A66D04"/>
    <w:rsid w:val="00A6706D"/>
    <w:rsid w:val="00A67465"/>
    <w:rsid w:val="00A67B08"/>
    <w:rsid w:val="00A7091B"/>
    <w:rsid w:val="00A709DC"/>
    <w:rsid w:val="00A70BF0"/>
    <w:rsid w:val="00A70CA4"/>
    <w:rsid w:val="00A72758"/>
    <w:rsid w:val="00A7293F"/>
    <w:rsid w:val="00A732C4"/>
    <w:rsid w:val="00A75812"/>
    <w:rsid w:val="00A76EBD"/>
    <w:rsid w:val="00A77016"/>
    <w:rsid w:val="00A83473"/>
    <w:rsid w:val="00A83987"/>
    <w:rsid w:val="00A843D8"/>
    <w:rsid w:val="00A84790"/>
    <w:rsid w:val="00A85254"/>
    <w:rsid w:val="00A85563"/>
    <w:rsid w:val="00A859B7"/>
    <w:rsid w:val="00A8640C"/>
    <w:rsid w:val="00A8698A"/>
    <w:rsid w:val="00A87773"/>
    <w:rsid w:val="00A87A19"/>
    <w:rsid w:val="00A87B4A"/>
    <w:rsid w:val="00A912F3"/>
    <w:rsid w:val="00A92C8A"/>
    <w:rsid w:val="00A93B47"/>
    <w:rsid w:val="00A94D7E"/>
    <w:rsid w:val="00A956B9"/>
    <w:rsid w:val="00A957B1"/>
    <w:rsid w:val="00A95C15"/>
    <w:rsid w:val="00A9690C"/>
    <w:rsid w:val="00A9748B"/>
    <w:rsid w:val="00AA02AC"/>
    <w:rsid w:val="00AA1024"/>
    <w:rsid w:val="00AA1334"/>
    <w:rsid w:val="00AA1C71"/>
    <w:rsid w:val="00AA52D7"/>
    <w:rsid w:val="00AA752D"/>
    <w:rsid w:val="00AB066A"/>
    <w:rsid w:val="00AB0C44"/>
    <w:rsid w:val="00AB3167"/>
    <w:rsid w:val="00AB445B"/>
    <w:rsid w:val="00AB4518"/>
    <w:rsid w:val="00AB4BF2"/>
    <w:rsid w:val="00AB6846"/>
    <w:rsid w:val="00AB73E7"/>
    <w:rsid w:val="00AB77ED"/>
    <w:rsid w:val="00AC2149"/>
    <w:rsid w:val="00AC2B0F"/>
    <w:rsid w:val="00AC3FF9"/>
    <w:rsid w:val="00AC4416"/>
    <w:rsid w:val="00AC65A7"/>
    <w:rsid w:val="00AC6E15"/>
    <w:rsid w:val="00AC7B5B"/>
    <w:rsid w:val="00AD0582"/>
    <w:rsid w:val="00AD200A"/>
    <w:rsid w:val="00AD2C60"/>
    <w:rsid w:val="00AD60E3"/>
    <w:rsid w:val="00AD60F9"/>
    <w:rsid w:val="00AD7A9D"/>
    <w:rsid w:val="00AE0ED8"/>
    <w:rsid w:val="00AE1877"/>
    <w:rsid w:val="00AE2B57"/>
    <w:rsid w:val="00AE30EE"/>
    <w:rsid w:val="00AE3B6E"/>
    <w:rsid w:val="00AE471E"/>
    <w:rsid w:val="00AE487F"/>
    <w:rsid w:val="00AE4B9D"/>
    <w:rsid w:val="00AE6202"/>
    <w:rsid w:val="00AE6FDB"/>
    <w:rsid w:val="00AE7982"/>
    <w:rsid w:val="00AF0BF4"/>
    <w:rsid w:val="00AF2FC2"/>
    <w:rsid w:val="00AF39F4"/>
    <w:rsid w:val="00AF4CC8"/>
    <w:rsid w:val="00AF6A5F"/>
    <w:rsid w:val="00AF7FDD"/>
    <w:rsid w:val="00B0008C"/>
    <w:rsid w:val="00B02D03"/>
    <w:rsid w:val="00B037D6"/>
    <w:rsid w:val="00B05934"/>
    <w:rsid w:val="00B05AB9"/>
    <w:rsid w:val="00B07107"/>
    <w:rsid w:val="00B0728F"/>
    <w:rsid w:val="00B07E8B"/>
    <w:rsid w:val="00B104D5"/>
    <w:rsid w:val="00B10A6B"/>
    <w:rsid w:val="00B10CC3"/>
    <w:rsid w:val="00B135E8"/>
    <w:rsid w:val="00B13825"/>
    <w:rsid w:val="00B1518A"/>
    <w:rsid w:val="00B16229"/>
    <w:rsid w:val="00B162A1"/>
    <w:rsid w:val="00B16DCF"/>
    <w:rsid w:val="00B17AD9"/>
    <w:rsid w:val="00B203D6"/>
    <w:rsid w:val="00B20B64"/>
    <w:rsid w:val="00B20FBC"/>
    <w:rsid w:val="00B21E20"/>
    <w:rsid w:val="00B23042"/>
    <w:rsid w:val="00B244E9"/>
    <w:rsid w:val="00B24E1D"/>
    <w:rsid w:val="00B26257"/>
    <w:rsid w:val="00B3363D"/>
    <w:rsid w:val="00B33A55"/>
    <w:rsid w:val="00B3407F"/>
    <w:rsid w:val="00B34215"/>
    <w:rsid w:val="00B34371"/>
    <w:rsid w:val="00B3562B"/>
    <w:rsid w:val="00B3585A"/>
    <w:rsid w:val="00B35868"/>
    <w:rsid w:val="00B3598C"/>
    <w:rsid w:val="00B36480"/>
    <w:rsid w:val="00B3674D"/>
    <w:rsid w:val="00B36B8E"/>
    <w:rsid w:val="00B36C0A"/>
    <w:rsid w:val="00B378F1"/>
    <w:rsid w:val="00B37F43"/>
    <w:rsid w:val="00B40349"/>
    <w:rsid w:val="00B40818"/>
    <w:rsid w:val="00B40A5A"/>
    <w:rsid w:val="00B41013"/>
    <w:rsid w:val="00B41E6B"/>
    <w:rsid w:val="00B4279B"/>
    <w:rsid w:val="00B42F64"/>
    <w:rsid w:val="00B42FA4"/>
    <w:rsid w:val="00B443D4"/>
    <w:rsid w:val="00B447AD"/>
    <w:rsid w:val="00B452EA"/>
    <w:rsid w:val="00B45CF4"/>
    <w:rsid w:val="00B46673"/>
    <w:rsid w:val="00B47182"/>
    <w:rsid w:val="00B471EF"/>
    <w:rsid w:val="00B47BA6"/>
    <w:rsid w:val="00B50C1F"/>
    <w:rsid w:val="00B521FB"/>
    <w:rsid w:val="00B5498C"/>
    <w:rsid w:val="00B55005"/>
    <w:rsid w:val="00B5545C"/>
    <w:rsid w:val="00B567F0"/>
    <w:rsid w:val="00B5784E"/>
    <w:rsid w:val="00B60DB6"/>
    <w:rsid w:val="00B617C3"/>
    <w:rsid w:val="00B62B41"/>
    <w:rsid w:val="00B63041"/>
    <w:rsid w:val="00B6465F"/>
    <w:rsid w:val="00B70D5A"/>
    <w:rsid w:val="00B70E62"/>
    <w:rsid w:val="00B737AE"/>
    <w:rsid w:val="00B74308"/>
    <w:rsid w:val="00B753B9"/>
    <w:rsid w:val="00B76DC0"/>
    <w:rsid w:val="00B7726B"/>
    <w:rsid w:val="00B804C4"/>
    <w:rsid w:val="00B81F92"/>
    <w:rsid w:val="00B82307"/>
    <w:rsid w:val="00B82816"/>
    <w:rsid w:val="00B83234"/>
    <w:rsid w:val="00B83709"/>
    <w:rsid w:val="00B83DB9"/>
    <w:rsid w:val="00B842D3"/>
    <w:rsid w:val="00B85FF6"/>
    <w:rsid w:val="00B905ED"/>
    <w:rsid w:val="00B912EF"/>
    <w:rsid w:val="00B91B16"/>
    <w:rsid w:val="00B92163"/>
    <w:rsid w:val="00B92502"/>
    <w:rsid w:val="00B927C1"/>
    <w:rsid w:val="00B92AD5"/>
    <w:rsid w:val="00B92F1B"/>
    <w:rsid w:val="00B9313C"/>
    <w:rsid w:val="00B93DA7"/>
    <w:rsid w:val="00B94039"/>
    <w:rsid w:val="00B95025"/>
    <w:rsid w:val="00B953DD"/>
    <w:rsid w:val="00B96BF6"/>
    <w:rsid w:val="00B97A51"/>
    <w:rsid w:val="00B97C41"/>
    <w:rsid w:val="00BA0AF5"/>
    <w:rsid w:val="00BA1447"/>
    <w:rsid w:val="00BA31E5"/>
    <w:rsid w:val="00BA482F"/>
    <w:rsid w:val="00BA5DF4"/>
    <w:rsid w:val="00BA5E11"/>
    <w:rsid w:val="00BA6761"/>
    <w:rsid w:val="00BA79F3"/>
    <w:rsid w:val="00BB2802"/>
    <w:rsid w:val="00BB391D"/>
    <w:rsid w:val="00BB4687"/>
    <w:rsid w:val="00BB73EE"/>
    <w:rsid w:val="00BC09CA"/>
    <w:rsid w:val="00BC1139"/>
    <w:rsid w:val="00BC2EFD"/>
    <w:rsid w:val="00BC3073"/>
    <w:rsid w:val="00BC3451"/>
    <w:rsid w:val="00BC530E"/>
    <w:rsid w:val="00BC5512"/>
    <w:rsid w:val="00BC5D16"/>
    <w:rsid w:val="00BC6DCC"/>
    <w:rsid w:val="00BD03EE"/>
    <w:rsid w:val="00BD1608"/>
    <w:rsid w:val="00BD1BF1"/>
    <w:rsid w:val="00BD3190"/>
    <w:rsid w:val="00BD332B"/>
    <w:rsid w:val="00BD3907"/>
    <w:rsid w:val="00BD392F"/>
    <w:rsid w:val="00BD39A9"/>
    <w:rsid w:val="00BD3BF4"/>
    <w:rsid w:val="00BD40E2"/>
    <w:rsid w:val="00BD58E1"/>
    <w:rsid w:val="00BD5F87"/>
    <w:rsid w:val="00BD62CD"/>
    <w:rsid w:val="00BD672B"/>
    <w:rsid w:val="00BD6B5B"/>
    <w:rsid w:val="00BD6BAD"/>
    <w:rsid w:val="00BD7463"/>
    <w:rsid w:val="00BE1A58"/>
    <w:rsid w:val="00BE1E65"/>
    <w:rsid w:val="00BE3FCD"/>
    <w:rsid w:val="00BE4535"/>
    <w:rsid w:val="00BE482E"/>
    <w:rsid w:val="00BE4AB4"/>
    <w:rsid w:val="00BE50C4"/>
    <w:rsid w:val="00BE566F"/>
    <w:rsid w:val="00BE5D77"/>
    <w:rsid w:val="00BE6A59"/>
    <w:rsid w:val="00BE6EDF"/>
    <w:rsid w:val="00BE737C"/>
    <w:rsid w:val="00BE7825"/>
    <w:rsid w:val="00BF22BA"/>
    <w:rsid w:val="00BF331B"/>
    <w:rsid w:val="00BF342D"/>
    <w:rsid w:val="00BF435D"/>
    <w:rsid w:val="00BF4EC9"/>
    <w:rsid w:val="00BF5B02"/>
    <w:rsid w:val="00BF6E8A"/>
    <w:rsid w:val="00BF763C"/>
    <w:rsid w:val="00C00490"/>
    <w:rsid w:val="00C00E2E"/>
    <w:rsid w:val="00C01BA3"/>
    <w:rsid w:val="00C01BE2"/>
    <w:rsid w:val="00C03762"/>
    <w:rsid w:val="00C03799"/>
    <w:rsid w:val="00C0635B"/>
    <w:rsid w:val="00C068A6"/>
    <w:rsid w:val="00C0699F"/>
    <w:rsid w:val="00C07653"/>
    <w:rsid w:val="00C07D61"/>
    <w:rsid w:val="00C119B9"/>
    <w:rsid w:val="00C13764"/>
    <w:rsid w:val="00C13AFB"/>
    <w:rsid w:val="00C14332"/>
    <w:rsid w:val="00C14CEA"/>
    <w:rsid w:val="00C15078"/>
    <w:rsid w:val="00C17D2B"/>
    <w:rsid w:val="00C20243"/>
    <w:rsid w:val="00C203F7"/>
    <w:rsid w:val="00C20874"/>
    <w:rsid w:val="00C21693"/>
    <w:rsid w:val="00C21E09"/>
    <w:rsid w:val="00C25688"/>
    <w:rsid w:val="00C25D2A"/>
    <w:rsid w:val="00C26200"/>
    <w:rsid w:val="00C262CA"/>
    <w:rsid w:val="00C30051"/>
    <w:rsid w:val="00C3057C"/>
    <w:rsid w:val="00C3216F"/>
    <w:rsid w:val="00C322FF"/>
    <w:rsid w:val="00C3662A"/>
    <w:rsid w:val="00C374AF"/>
    <w:rsid w:val="00C40A1B"/>
    <w:rsid w:val="00C4193F"/>
    <w:rsid w:val="00C4348A"/>
    <w:rsid w:val="00C435D8"/>
    <w:rsid w:val="00C43DE7"/>
    <w:rsid w:val="00C440C5"/>
    <w:rsid w:val="00C457BC"/>
    <w:rsid w:val="00C46F07"/>
    <w:rsid w:val="00C5035E"/>
    <w:rsid w:val="00C50459"/>
    <w:rsid w:val="00C5208F"/>
    <w:rsid w:val="00C5212D"/>
    <w:rsid w:val="00C52284"/>
    <w:rsid w:val="00C5791C"/>
    <w:rsid w:val="00C608D3"/>
    <w:rsid w:val="00C61030"/>
    <w:rsid w:val="00C61DD2"/>
    <w:rsid w:val="00C6283A"/>
    <w:rsid w:val="00C62C8F"/>
    <w:rsid w:val="00C63546"/>
    <w:rsid w:val="00C637CF"/>
    <w:rsid w:val="00C64E7D"/>
    <w:rsid w:val="00C6590F"/>
    <w:rsid w:val="00C712FC"/>
    <w:rsid w:val="00C715F3"/>
    <w:rsid w:val="00C74D95"/>
    <w:rsid w:val="00C7693C"/>
    <w:rsid w:val="00C770DE"/>
    <w:rsid w:val="00C77903"/>
    <w:rsid w:val="00C81D97"/>
    <w:rsid w:val="00C82482"/>
    <w:rsid w:val="00C829FA"/>
    <w:rsid w:val="00C838A8"/>
    <w:rsid w:val="00C83D6F"/>
    <w:rsid w:val="00C83EF4"/>
    <w:rsid w:val="00C8434E"/>
    <w:rsid w:val="00C849A5"/>
    <w:rsid w:val="00C84FE8"/>
    <w:rsid w:val="00C87855"/>
    <w:rsid w:val="00C878BC"/>
    <w:rsid w:val="00C90971"/>
    <w:rsid w:val="00C90B41"/>
    <w:rsid w:val="00C91098"/>
    <w:rsid w:val="00C91ED1"/>
    <w:rsid w:val="00C927A2"/>
    <w:rsid w:val="00C92A3A"/>
    <w:rsid w:val="00C92B19"/>
    <w:rsid w:val="00C92EE2"/>
    <w:rsid w:val="00C930F4"/>
    <w:rsid w:val="00C9581C"/>
    <w:rsid w:val="00C95A45"/>
    <w:rsid w:val="00C964C0"/>
    <w:rsid w:val="00C9670B"/>
    <w:rsid w:val="00C97229"/>
    <w:rsid w:val="00C97992"/>
    <w:rsid w:val="00CA166C"/>
    <w:rsid w:val="00CA182E"/>
    <w:rsid w:val="00CA2931"/>
    <w:rsid w:val="00CA5853"/>
    <w:rsid w:val="00CA6199"/>
    <w:rsid w:val="00CA67E3"/>
    <w:rsid w:val="00CA7FA6"/>
    <w:rsid w:val="00CB0375"/>
    <w:rsid w:val="00CB0C57"/>
    <w:rsid w:val="00CB1365"/>
    <w:rsid w:val="00CB2FEC"/>
    <w:rsid w:val="00CB32A8"/>
    <w:rsid w:val="00CB330A"/>
    <w:rsid w:val="00CB3A34"/>
    <w:rsid w:val="00CB3BE0"/>
    <w:rsid w:val="00CB6419"/>
    <w:rsid w:val="00CB6C1E"/>
    <w:rsid w:val="00CB7E8C"/>
    <w:rsid w:val="00CC005F"/>
    <w:rsid w:val="00CC0EA3"/>
    <w:rsid w:val="00CC1B35"/>
    <w:rsid w:val="00CC2F00"/>
    <w:rsid w:val="00CC36C0"/>
    <w:rsid w:val="00CC38C9"/>
    <w:rsid w:val="00CC4A43"/>
    <w:rsid w:val="00CC5C93"/>
    <w:rsid w:val="00CC5D5B"/>
    <w:rsid w:val="00CC66AB"/>
    <w:rsid w:val="00CD0691"/>
    <w:rsid w:val="00CD0B1F"/>
    <w:rsid w:val="00CD107E"/>
    <w:rsid w:val="00CD129A"/>
    <w:rsid w:val="00CD1B2C"/>
    <w:rsid w:val="00CD21A9"/>
    <w:rsid w:val="00CD266F"/>
    <w:rsid w:val="00CD2B9E"/>
    <w:rsid w:val="00CD2D92"/>
    <w:rsid w:val="00CD2F3D"/>
    <w:rsid w:val="00CD3ED7"/>
    <w:rsid w:val="00CD4466"/>
    <w:rsid w:val="00CD48E6"/>
    <w:rsid w:val="00CD5624"/>
    <w:rsid w:val="00CD6268"/>
    <w:rsid w:val="00CD6978"/>
    <w:rsid w:val="00CE0B72"/>
    <w:rsid w:val="00CE0EB1"/>
    <w:rsid w:val="00CE0F86"/>
    <w:rsid w:val="00CE15D0"/>
    <w:rsid w:val="00CE2543"/>
    <w:rsid w:val="00CE3A1E"/>
    <w:rsid w:val="00CE455E"/>
    <w:rsid w:val="00CE58F9"/>
    <w:rsid w:val="00CE62D7"/>
    <w:rsid w:val="00CE69C1"/>
    <w:rsid w:val="00CE7ED1"/>
    <w:rsid w:val="00CE7F85"/>
    <w:rsid w:val="00CF1C05"/>
    <w:rsid w:val="00CF1E86"/>
    <w:rsid w:val="00CF37F4"/>
    <w:rsid w:val="00CF5143"/>
    <w:rsid w:val="00CF6CBE"/>
    <w:rsid w:val="00CF6D85"/>
    <w:rsid w:val="00D028EE"/>
    <w:rsid w:val="00D0380B"/>
    <w:rsid w:val="00D0433A"/>
    <w:rsid w:val="00D05360"/>
    <w:rsid w:val="00D05C86"/>
    <w:rsid w:val="00D06625"/>
    <w:rsid w:val="00D07D2A"/>
    <w:rsid w:val="00D07EA0"/>
    <w:rsid w:val="00D11829"/>
    <w:rsid w:val="00D11862"/>
    <w:rsid w:val="00D13C95"/>
    <w:rsid w:val="00D15D05"/>
    <w:rsid w:val="00D15D6A"/>
    <w:rsid w:val="00D174A9"/>
    <w:rsid w:val="00D17F75"/>
    <w:rsid w:val="00D22703"/>
    <w:rsid w:val="00D22710"/>
    <w:rsid w:val="00D22DBD"/>
    <w:rsid w:val="00D241E4"/>
    <w:rsid w:val="00D24F4B"/>
    <w:rsid w:val="00D24FA7"/>
    <w:rsid w:val="00D2551E"/>
    <w:rsid w:val="00D25724"/>
    <w:rsid w:val="00D25DF1"/>
    <w:rsid w:val="00D3034C"/>
    <w:rsid w:val="00D30674"/>
    <w:rsid w:val="00D31F26"/>
    <w:rsid w:val="00D3228C"/>
    <w:rsid w:val="00D335DF"/>
    <w:rsid w:val="00D3378F"/>
    <w:rsid w:val="00D33C90"/>
    <w:rsid w:val="00D3490F"/>
    <w:rsid w:val="00D34AF0"/>
    <w:rsid w:val="00D403AE"/>
    <w:rsid w:val="00D405C4"/>
    <w:rsid w:val="00D42707"/>
    <w:rsid w:val="00D439E2"/>
    <w:rsid w:val="00D441BC"/>
    <w:rsid w:val="00D44DAC"/>
    <w:rsid w:val="00D450C2"/>
    <w:rsid w:val="00D45173"/>
    <w:rsid w:val="00D4579B"/>
    <w:rsid w:val="00D468F5"/>
    <w:rsid w:val="00D46FBA"/>
    <w:rsid w:val="00D4733A"/>
    <w:rsid w:val="00D47CA8"/>
    <w:rsid w:val="00D50DE6"/>
    <w:rsid w:val="00D510D4"/>
    <w:rsid w:val="00D5159B"/>
    <w:rsid w:val="00D52835"/>
    <w:rsid w:val="00D604A7"/>
    <w:rsid w:val="00D6098B"/>
    <w:rsid w:val="00D62A7E"/>
    <w:rsid w:val="00D633FA"/>
    <w:rsid w:val="00D63444"/>
    <w:rsid w:val="00D648FC"/>
    <w:rsid w:val="00D6497B"/>
    <w:rsid w:val="00D65E8E"/>
    <w:rsid w:val="00D67DD5"/>
    <w:rsid w:val="00D7052D"/>
    <w:rsid w:val="00D70DA1"/>
    <w:rsid w:val="00D71494"/>
    <w:rsid w:val="00D726C2"/>
    <w:rsid w:val="00D72A3F"/>
    <w:rsid w:val="00D72EB9"/>
    <w:rsid w:val="00D7320D"/>
    <w:rsid w:val="00D73971"/>
    <w:rsid w:val="00D73F71"/>
    <w:rsid w:val="00D7440B"/>
    <w:rsid w:val="00D74ED7"/>
    <w:rsid w:val="00D7679C"/>
    <w:rsid w:val="00D77FD7"/>
    <w:rsid w:val="00D81AB5"/>
    <w:rsid w:val="00D81CC3"/>
    <w:rsid w:val="00D8202E"/>
    <w:rsid w:val="00D836A5"/>
    <w:rsid w:val="00D84612"/>
    <w:rsid w:val="00D850DC"/>
    <w:rsid w:val="00D8621F"/>
    <w:rsid w:val="00D875C6"/>
    <w:rsid w:val="00D9003A"/>
    <w:rsid w:val="00D9007E"/>
    <w:rsid w:val="00D902F9"/>
    <w:rsid w:val="00D90FEC"/>
    <w:rsid w:val="00D90FF9"/>
    <w:rsid w:val="00D91B57"/>
    <w:rsid w:val="00D9249D"/>
    <w:rsid w:val="00D92B41"/>
    <w:rsid w:val="00D95339"/>
    <w:rsid w:val="00D954A7"/>
    <w:rsid w:val="00D97966"/>
    <w:rsid w:val="00DA597F"/>
    <w:rsid w:val="00DA6C5B"/>
    <w:rsid w:val="00DA6E28"/>
    <w:rsid w:val="00DB0F98"/>
    <w:rsid w:val="00DB1879"/>
    <w:rsid w:val="00DB1992"/>
    <w:rsid w:val="00DB23A2"/>
    <w:rsid w:val="00DB5383"/>
    <w:rsid w:val="00DB5489"/>
    <w:rsid w:val="00DB6EDE"/>
    <w:rsid w:val="00DB73A0"/>
    <w:rsid w:val="00DB7616"/>
    <w:rsid w:val="00DC1710"/>
    <w:rsid w:val="00DC1E18"/>
    <w:rsid w:val="00DC27DB"/>
    <w:rsid w:val="00DC2E56"/>
    <w:rsid w:val="00DC37B7"/>
    <w:rsid w:val="00DC530B"/>
    <w:rsid w:val="00DC5605"/>
    <w:rsid w:val="00DC58BF"/>
    <w:rsid w:val="00DC6C38"/>
    <w:rsid w:val="00DC72FE"/>
    <w:rsid w:val="00DC7448"/>
    <w:rsid w:val="00DD0FEC"/>
    <w:rsid w:val="00DD2859"/>
    <w:rsid w:val="00DD2FEB"/>
    <w:rsid w:val="00DD3296"/>
    <w:rsid w:val="00DD3F7D"/>
    <w:rsid w:val="00DD52CE"/>
    <w:rsid w:val="00DD5BE5"/>
    <w:rsid w:val="00DD5FB7"/>
    <w:rsid w:val="00DD69C9"/>
    <w:rsid w:val="00DD6C5B"/>
    <w:rsid w:val="00DD704D"/>
    <w:rsid w:val="00DD77F5"/>
    <w:rsid w:val="00DE1085"/>
    <w:rsid w:val="00DE10CB"/>
    <w:rsid w:val="00DE2914"/>
    <w:rsid w:val="00DE2D7E"/>
    <w:rsid w:val="00DE2F01"/>
    <w:rsid w:val="00DE3800"/>
    <w:rsid w:val="00DE7A26"/>
    <w:rsid w:val="00DF0AD6"/>
    <w:rsid w:val="00DF24F9"/>
    <w:rsid w:val="00DF2573"/>
    <w:rsid w:val="00DF25E6"/>
    <w:rsid w:val="00DF2B90"/>
    <w:rsid w:val="00DF2FD2"/>
    <w:rsid w:val="00DF47AE"/>
    <w:rsid w:val="00DF4C4C"/>
    <w:rsid w:val="00DF62B3"/>
    <w:rsid w:val="00DF65CE"/>
    <w:rsid w:val="00DF6A85"/>
    <w:rsid w:val="00E0018F"/>
    <w:rsid w:val="00E02B10"/>
    <w:rsid w:val="00E02C31"/>
    <w:rsid w:val="00E05E03"/>
    <w:rsid w:val="00E065EB"/>
    <w:rsid w:val="00E074A3"/>
    <w:rsid w:val="00E10029"/>
    <w:rsid w:val="00E1169C"/>
    <w:rsid w:val="00E13151"/>
    <w:rsid w:val="00E14454"/>
    <w:rsid w:val="00E145F0"/>
    <w:rsid w:val="00E14CC2"/>
    <w:rsid w:val="00E205F7"/>
    <w:rsid w:val="00E2071D"/>
    <w:rsid w:val="00E208ED"/>
    <w:rsid w:val="00E20E7F"/>
    <w:rsid w:val="00E21356"/>
    <w:rsid w:val="00E230DF"/>
    <w:rsid w:val="00E231A9"/>
    <w:rsid w:val="00E231D0"/>
    <w:rsid w:val="00E2502E"/>
    <w:rsid w:val="00E252DD"/>
    <w:rsid w:val="00E26069"/>
    <w:rsid w:val="00E2657F"/>
    <w:rsid w:val="00E26DCE"/>
    <w:rsid w:val="00E276C2"/>
    <w:rsid w:val="00E27A16"/>
    <w:rsid w:val="00E31313"/>
    <w:rsid w:val="00E33CE7"/>
    <w:rsid w:val="00E34BF8"/>
    <w:rsid w:val="00E34C61"/>
    <w:rsid w:val="00E35979"/>
    <w:rsid w:val="00E35AF0"/>
    <w:rsid w:val="00E35ECD"/>
    <w:rsid w:val="00E361BF"/>
    <w:rsid w:val="00E36541"/>
    <w:rsid w:val="00E36B1A"/>
    <w:rsid w:val="00E37210"/>
    <w:rsid w:val="00E37AD6"/>
    <w:rsid w:val="00E422B2"/>
    <w:rsid w:val="00E43BA6"/>
    <w:rsid w:val="00E44D33"/>
    <w:rsid w:val="00E450B4"/>
    <w:rsid w:val="00E452BD"/>
    <w:rsid w:val="00E46ADE"/>
    <w:rsid w:val="00E46D55"/>
    <w:rsid w:val="00E500D1"/>
    <w:rsid w:val="00E51850"/>
    <w:rsid w:val="00E51C9B"/>
    <w:rsid w:val="00E524B5"/>
    <w:rsid w:val="00E5279D"/>
    <w:rsid w:val="00E52B87"/>
    <w:rsid w:val="00E542F5"/>
    <w:rsid w:val="00E54F33"/>
    <w:rsid w:val="00E54F75"/>
    <w:rsid w:val="00E54FBC"/>
    <w:rsid w:val="00E55DF9"/>
    <w:rsid w:val="00E573CC"/>
    <w:rsid w:val="00E614BD"/>
    <w:rsid w:val="00E627B8"/>
    <w:rsid w:val="00E63766"/>
    <w:rsid w:val="00E63CC3"/>
    <w:rsid w:val="00E64242"/>
    <w:rsid w:val="00E647F9"/>
    <w:rsid w:val="00E650EF"/>
    <w:rsid w:val="00E65648"/>
    <w:rsid w:val="00E66215"/>
    <w:rsid w:val="00E67697"/>
    <w:rsid w:val="00E7062D"/>
    <w:rsid w:val="00E73197"/>
    <w:rsid w:val="00E74041"/>
    <w:rsid w:val="00E75B5A"/>
    <w:rsid w:val="00E766F2"/>
    <w:rsid w:val="00E779BE"/>
    <w:rsid w:val="00E831CD"/>
    <w:rsid w:val="00E838A9"/>
    <w:rsid w:val="00E83A29"/>
    <w:rsid w:val="00E85CAC"/>
    <w:rsid w:val="00E85E50"/>
    <w:rsid w:val="00E874F4"/>
    <w:rsid w:val="00E90386"/>
    <w:rsid w:val="00E90D8F"/>
    <w:rsid w:val="00E90DC9"/>
    <w:rsid w:val="00E9241A"/>
    <w:rsid w:val="00E92C9E"/>
    <w:rsid w:val="00E93518"/>
    <w:rsid w:val="00E941B7"/>
    <w:rsid w:val="00E95005"/>
    <w:rsid w:val="00E96A7E"/>
    <w:rsid w:val="00EA06CD"/>
    <w:rsid w:val="00EA1755"/>
    <w:rsid w:val="00EA1DCD"/>
    <w:rsid w:val="00EA24E1"/>
    <w:rsid w:val="00EA329E"/>
    <w:rsid w:val="00EA4887"/>
    <w:rsid w:val="00EA5597"/>
    <w:rsid w:val="00EA7639"/>
    <w:rsid w:val="00EB2427"/>
    <w:rsid w:val="00EB282C"/>
    <w:rsid w:val="00EB3C1C"/>
    <w:rsid w:val="00EB6500"/>
    <w:rsid w:val="00EB7469"/>
    <w:rsid w:val="00EC22F7"/>
    <w:rsid w:val="00EC28A2"/>
    <w:rsid w:val="00EC3422"/>
    <w:rsid w:val="00EC4D55"/>
    <w:rsid w:val="00EC4D98"/>
    <w:rsid w:val="00EC544D"/>
    <w:rsid w:val="00EC62A8"/>
    <w:rsid w:val="00EC79AC"/>
    <w:rsid w:val="00ED07E5"/>
    <w:rsid w:val="00ED1BC7"/>
    <w:rsid w:val="00ED2E92"/>
    <w:rsid w:val="00ED58C1"/>
    <w:rsid w:val="00ED5CA3"/>
    <w:rsid w:val="00ED5F56"/>
    <w:rsid w:val="00ED7FCC"/>
    <w:rsid w:val="00EE009B"/>
    <w:rsid w:val="00EE029D"/>
    <w:rsid w:val="00EE30E9"/>
    <w:rsid w:val="00EE5DEF"/>
    <w:rsid w:val="00EF0197"/>
    <w:rsid w:val="00EF037B"/>
    <w:rsid w:val="00EF08AD"/>
    <w:rsid w:val="00EF091F"/>
    <w:rsid w:val="00EF09BC"/>
    <w:rsid w:val="00EF0F7E"/>
    <w:rsid w:val="00EF2014"/>
    <w:rsid w:val="00EF2CBB"/>
    <w:rsid w:val="00EF5E24"/>
    <w:rsid w:val="00F00464"/>
    <w:rsid w:val="00F005FE"/>
    <w:rsid w:val="00F0164A"/>
    <w:rsid w:val="00F01DD6"/>
    <w:rsid w:val="00F03073"/>
    <w:rsid w:val="00F03C92"/>
    <w:rsid w:val="00F03CC3"/>
    <w:rsid w:val="00F03DA1"/>
    <w:rsid w:val="00F03F80"/>
    <w:rsid w:val="00F04781"/>
    <w:rsid w:val="00F05BC0"/>
    <w:rsid w:val="00F110E5"/>
    <w:rsid w:val="00F122BB"/>
    <w:rsid w:val="00F12345"/>
    <w:rsid w:val="00F12520"/>
    <w:rsid w:val="00F17580"/>
    <w:rsid w:val="00F21D41"/>
    <w:rsid w:val="00F21F88"/>
    <w:rsid w:val="00F2285B"/>
    <w:rsid w:val="00F25E24"/>
    <w:rsid w:val="00F33792"/>
    <w:rsid w:val="00F34160"/>
    <w:rsid w:val="00F3476E"/>
    <w:rsid w:val="00F3594C"/>
    <w:rsid w:val="00F35955"/>
    <w:rsid w:val="00F3655D"/>
    <w:rsid w:val="00F40D79"/>
    <w:rsid w:val="00F44004"/>
    <w:rsid w:val="00F449DB"/>
    <w:rsid w:val="00F46246"/>
    <w:rsid w:val="00F47066"/>
    <w:rsid w:val="00F51003"/>
    <w:rsid w:val="00F51528"/>
    <w:rsid w:val="00F51A28"/>
    <w:rsid w:val="00F51B67"/>
    <w:rsid w:val="00F53508"/>
    <w:rsid w:val="00F540CD"/>
    <w:rsid w:val="00F57BE9"/>
    <w:rsid w:val="00F631B1"/>
    <w:rsid w:val="00F637D0"/>
    <w:rsid w:val="00F6473B"/>
    <w:rsid w:val="00F64DF9"/>
    <w:rsid w:val="00F65C61"/>
    <w:rsid w:val="00F669D5"/>
    <w:rsid w:val="00F67522"/>
    <w:rsid w:val="00F67751"/>
    <w:rsid w:val="00F67A7C"/>
    <w:rsid w:val="00F67F85"/>
    <w:rsid w:val="00F71209"/>
    <w:rsid w:val="00F72BEB"/>
    <w:rsid w:val="00F730BB"/>
    <w:rsid w:val="00F73466"/>
    <w:rsid w:val="00F74395"/>
    <w:rsid w:val="00F744A1"/>
    <w:rsid w:val="00F75020"/>
    <w:rsid w:val="00F75C6E"/>
    <w:rsid w:val="00F7717B"/>
    <w:rsid w:val="00F82401"/>
    <w:rsid w:val="00F82E88"/>
    <w:rsid w:val="00F84537"/>
    <w:rsid w:val="00F84BCE"/>
    <w:rsid w:val="00F85C03"/>
    <w:rsid w:val="00F85CD5"/>
    <w:rsid w:val="00F86256"/>
    <w:rsid w:val="00F92661"/>
    <w:rsid w:val="00F9327B"/>
    <w:rsid w:val="00F938B1"/>
    <w:rsid w:val="00F95AB5"/>
    <w:rsid w:val="00F97671"/>
    <w:rsid w:val="00F9792F"/>
    <w:rsid w:val="00F97FE3"/>
    <w:rsid w:val="00FA096A"/>
    <w:rsid w:val="00FA0A28"/>
    <w:rsid w:val="00FA0C7E"/>
    <w:rsid w:val="00FA1717"/>
    <w:rsid w:val="00FA1DE3"/>
    <w:rsid w:val="00FA28BC"/>
    <w:rsid w:val="00FA49AA"/>
    <w:rsid w:val="00FA6F07"/>
    <w:rsid w:val="00FA7B52"/>
    <w:rsid w:val="00FB0156"/>
    <w:rsid w:val="00FB03AA"/>
    <w:rsid w:val="00FB1832"/>
    <w:rsid w:val="00FB376C"/>
    <w:rsid w:val="00FB3E44"/>
    <w:rsid w:val="00FC0F26"/>
    <w:rsid w:val="00FC13C9"/>
    <w:rsid w:val="00FC313C"/>
    <w:rsid w:val="00FC35DD"/>
    <w:rsid w:val="00FC3A18"/>
    <w:rsid w:val="00FC64A4"/>
    <w:rsid w:val="00FC69AF"/>
    <w:rsid w:val="00FC767E"/>
    <w:rsid w:val="00FC7A45"/>
    <w:rsid w:val="00FD1392"/>
    <w:rsid w:val="00FD2112"/>
    <w:rsid w:val="00FD3BFF"/>
    <w:rsid w:val="00FD4F79"/>
    <w:rsid w:val="00FD508B"/>
    <w:rsid w:val="00FE081C"/>
    <w:rsid w:val="00FE1B75"/>
    <w:rsid w:val="00FE433C"/>
    <w:rsid w:val="00FE43AE"/>
    <w:rsid w:val="00FE4593"/>
    <w:rsid w:val="00FE4835"/>
    <w:rsid w:val="00FE4FD0"/>
    <w:rsid w:val="00FE5EBA"/>
    <w:rsid w:val="00FE6B78"/>
    <w:rsid w:val="00FE6BE2"/>
    <w:rsid w:val="00FE6D5C"/>
    <w:rsid w:val="00FF14F0"/>
    <w:rsid w:val="00FF3822"/>
    <w:rsid w:val="00FF4189"/>
    <w:rsid w:val="00FF4B3A"/>
    <w:rsid w:val="00FF4E88"/>
    <w:rsid w:val="00FF5CF1"/>
    <w:rsid w:val="00FF7814"/>
    <w:rsid w:val="00FF7A37"/>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4]" strokecolor="none [1]" shadowcolor="none [2]"/>
    </o:shapedefaults>
    <o:shapelayout v:ext="edit">
      <o:idmap v:ext="edit" data="1"/>
    </o:shapelayout>
  </w:shapeDefaults>
  <w:decimalSymbol w:val="."/>
  <w:listSeparator w:val=","/>
  <w15:docId w15:val="{2457D7EF-DDA0-4A2B-99F9-9B5AB865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A9"/>
    <w:pPr>
      <w:suppressAutoHyphens/>
      <w:autoSpaceDE w:val="0"/>
    </w:pPr>
    <w:rPr>
      <w:rFonts w:eastAsia="MS Mincho"/>
      <w:sz w:val="24"/>
      <w:szCs w:val="24"/>
      <w:lang w:eastAsia="ar-SA"/>
    </w:rPr>
  </w:style>
  <w:style w:type="paragraph" w:styleId="Heading1">
    <w:name w:val="heading 1"/>
    <w:basedOn w:val="Normal"/>
    <w:next w:val="Normal"/>
    <w:qFormat/>
    <w:rsid w:val="007440A9"/>
    <w:pPr>
      <w:keepNext/>
      <w:numPr>
        <w:numId w:val="1"/>
      </w:numPr>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7440A9"/>
    <w:pPr>
      <w:keepNext/>
      <w:numPr>
        <w:ilvl w:val="1"/>
        <w:numId w:val="1"/>
      </w:numPr>
      <w:tabs>
        <w:tab w:val="left" w:pos="1260"/>
      </w:tabs>
      <w:spacing w:line="480" w:lineRule="auto"/>
      <w:ind w:left="0" w:firstLine="720"/>
      <w:jc w:val="both"/>
      <w:outlineLvl w:val="1"/>
    </w:pPr>
    <w:rPr>
      <w:b/>
      <w:bCs/>
    </w:rPr>
  </w:style>
  <w:style w:type="paragraph" w:styleId="Heading3">
    <w:name w:val="heading 3"/>
    <w:basedOn w:val="Normal"/>
    <w:next w:val="Normal"/>
    <w:qFormat/>
    <w:rsid w:val="007440A9"/>
    <w:pPr>
      <w:keepNext/>
      <w:numPr>
        <w:ilvl w:val="2"/>
        <w:numId w:val="1"/>
      </w:numPr>
      <w:tabs>
        <w:tab w:val="left" w:pos="1260"/>
      </w:tabs>
      <w:spacing w:line="480" w:lineRule="auto"/>
      <w:ind w:left="0" w:firstLine="720"/>
      <w:jc w:val="center"/>
      <w:outlineLvl w:val="2"/>
    </w:pPr>
    <w:rPr>
      <w:b/>
      <w:bCs/>
    </w:rPr>
  </w:style>
  <w:style w:type="paragraph" w:styleId="Heading4">
    <w:name w:val="heading 4"/>
    <w:basedOn w:val="Normal"/>
    <w:next w:val="Normal"/>
    <w:qFormat/>
    <w:rsid w:val="007440A9"/>
    <w:pPr>
      <w:keepNext/>
      <w:numPr>
        <w:ilvl w:val="3"/>
        <w:numId w:val="1"/>
      </w:numPr>
      <w:tabs>
        <w:tab w:val="left" w:pos="2340"/>
      </w:tabs>
      <w:spacing w:line="480" w:lineRule="auto"/>
      <w:ind w:left="540" w:hanging="540"/>
      <w:jc w:val="center"/>
      <w:outlineLvl w:val="3"/>
    </w:pPr>
    <w:rPr>
      <w:b/>
      <w:bCs/>
    </w:rPr>
  </w:style>
  <w:style w:type="paragraph" w:styleId="Heading5">
    <w:name w:val="heading 5"/>
    <w:basedOn w:val="Normal"/>
    <w:next w:val="Normal"/>
    <w:qFormat/>
    <w:rsid w:val="007440A9"/>
    <w:pPr>
      <w:keepNext/>
      <w:numPr>
        <w:ilvl w:val="4"/>
        <w:numId w:val="1"/>
      </w:numPr>
      <w:spacing w:line="480" w:lineRule="auto"/>
      <w:jc w:val="center"/>
      <w:outlineLvl w:val="4"/>
    </w:pPr>
    <w:rPr>
      <w:b/>
      <w:bCs/>
    </w:rPr>
  </w:style>
  <w:style w:type="paragraph" w:styleId="Heading6">
    <w:name w:val="heading 6"/>
    <w:basedOn w:val="Normal"/>
    <w:next w:val="Normal"/>
    <w:qFormat/>
    <w:rsid w:val="007440A9"/>
    <w:pPr>
      <w:keepNext/>
      <w:numPr>
        <w:ilvl w:val="5"/>
        <w:numId w:val="1"/>
      </w:numPr>
      <w:tabs>
        <w:tab w:val="left" w:pos="1260"/>
      </w:tabs>
      <w:spacing w:line="480" w:lineRule="auto"/>
      <w:jc w:val="center"/>
      <w:outlineLvl w:val="5"/>
    </w:pPr>
    <w:rPr>
      <w:b/>
      <w:bCs/>
      <w:sz w:val="20"/>
      <w:szCs w:val="20"/>
    </w:rPr>
  </w:style>
  <w:style w:type="paragraph" w:styleId="Heading7">
    <w:name w:val="heading 7"/>
    <w:basedOn w:val="Normal"/>
    <w:next w:val="Normal"/>
    <w:qFormat/>
    <w:rsid w:val="007440A9"/>
    <w:pPr>
      <w:keepNext/>
      <w:numPr>
        <w:ilvl w:val="6"/>
        <w:numId w:val="1"/>
      </w:numPr>
      <w:tabs>
        <w:tab w:val="left" w:pos="1260"/>
      </w:tabs>
      <w:jc w:val="right"/>
      <w:outlineLvl w:val="6"/>
    </w:pPr>
    <w:rPr>
      <w:sz w:val="20"/>
      <w:szCs w:val="20"/>
    </w:rPr>
  </w:style>
  <w:style w:type="paragraph" w:styleId="Heading8">
    <w:name w:val="heading 8"/>
    <w:basedOn w:val="Normal"/>
    <w:next w:val="Normal"/>
    <w:qFormat/>
    <w:rsid w:val="007440A9"/>
    <w:pPr>
      <w:keepNext/>
      <w:numPr>
        <w:ilvl w:val="7"/>
        <w:numId w:val="1"/>
      </w:numPr>
      <w:tabs>
        <w:tab w:val="left" w:pos="1260"/>
      </w:tabs>
      <w:spacing w:line="480" w:lineRule="auto"/>
      <w:jc w:val="both"/>
      <w:outlineLvl w:val="7"/>
    </w:pPr>
    <w:rPr>
      <w:b/>
      <w:bCs/>
      <w:u w:val="single"/>
      <w:lang w:val="fr-FR"/>
    </w:rPr>
  </w:style>
  <w:style w:type="paragraph" w:styleId="Heading9">
    <w:name w:val="heading 9"/>
    <w:basedOn w:val="Normal"/>
    <w:next w:val="Normal"/>
    <w:qFormat/>
    <w:rsid w:val="007440A9"/>
    <w:pPr>
      <w:keepNext/>
      <w:numPr>
        <w:ilvl w:val="8"/>
        <w:numId w:val="1"/>
      </w:numPr>
      <w:tabs>
        <w:tab w:val="left" w:pos="1260"/>
      </w:tabs>
      <w:spacing w:line="480" w:lineRule="auto"/>
      <w:ind w:left="0"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7440A9"/>
    <w:rPr>
      <w:rFonts w:ascii="Symbol" w:hAnsi="Symbol" w:cs="Symbol"/>
    </w:rPr>
  </w:style>
  <w:style w:type="character" w:customStyle="1" w:styleId="Absatz-Standardschriftart">
    <w:name w:val="Absatz-Standardschriftart"/>
    <w:rsid w:val="007440A9"/>
  </w:style>
  <w:style w:type="character" w:customStyle="1" w:styleId="WW8Num1z0">
    <w:name w:val="WW8Num1z0"/>
    <w:rsid w:val="007440A9"/>
    <w:rPr>
      <w:rFonts w:ascii="Symbol" w:hAnsi="Symbol" w:cs="Symbol"/>
    </w:rPr>
  </w:style>
  <w:style w:type="character" w:customStyle="1" w:styleId="WW8Num1z1">
    <w:name w:val="WW8Num1z1"/>
    <w:rsid w:val="007440A9"/>
    <w:rPr>
      <w:rFonts w:ascii="Courier New" w:hAnsi="Courier New" w:cs="Courier New"/>
    </w:rPr>
  </w:style>
  <w:style w:type="character" w:customStyle="1" w:styleId="WW8Num1z2">
    <w:name w:val="WW8Num1z2"/>
    <w:rsid w:val="007440A9"/>
    <w:rPr>
      <w:rFonts w:ascii="Wingdings" w:hAnsi="Wingdings" w:cs="Wingdings"/>
    </w:rPr>
  </w:style>
  <w:style w:type="character" w:customStyle="1" w:styleId="WW8Num3z1">
    <w:name w:val="WW8Num3z1"/>
    <w:rsid w:val="007440A9"/>
    <w:rPr>
      <w:rFonts w:ascii="Courier New" w:hAnsi="Courier New" w:cs="Courier New"/>
    </w:rPr>
  </w:style>
  <w:style w:type="character" w:customStyle="1" w:styleId="WW8Num3z2">
    <w:name w:val="WW8Num3z2"/>
    <w:rsid w:val="007440A9"/>
    <w:rPr>
      <w:rFonts w:ascii="Wingdings" w:hAnsi="Wingdings" w:cs="Wingdings"/>
    </w:rPr>
  </w:style>
  <w:style w:type="character" w:customStyle="1" w:styleId="WW8Num3z3">
    <w:name w:val="WW8Num3z3"/>
    <w:rsid w:val="007440A9"/>
    <w:rPr>
      <w:rFonts w:ascii="Symbol" w:hAnsi="Symbol" w:cs="Symbol"/>
    </w:rPr>
  </w:style>
  <w:style w:type="character" w:customStyle="1" w:styleId="WW8Num7z0">
    <w:name w:val="WW8Num7z0"/>
    <w:rsid w:val="007440A9"/>
    <w:rPr>
      <w:rFonts w:ascii="Symbol" w:hAnsi="Symbol" w:cs="Symbol"/>
    </w:rPr>
  </w:style>
  <w:style w:type="character" w:customStyle="1" w:styleId="WW8Num7z1">
    <w:name w:val="WW8Num7z1"/>
    <w:rsid w:val="007440A9"/>
    <w:rPr>
      <w:rFonts w:ascii="Courier New" w:hAnsi="Courier New" w:cs="Courier New"/>
    </w:rPr>
  </w:style>
  <w:style w:type="character" w:customStyle="1" w:styleId="WW8Num7z2">
    <w:name w:val="WW8Num7z2"/>
    <w:rsid w:val="007440A9"/>
    <w:rPr>
      <w:rFonts w:ascii="Wingdings" w:hAnsi="Wingdings" w:cs="Wingdings"/>
    </w:rPr>
  </w:style>
  <w:style w:type="character" w:customStyle="1" w:styleId="WW8Num8z0">
    <w:name w:val="WW8Num8z0"/>
    <w:rsid w:val="007440A9"/>
    <w:rPr>
      <w:rFonts w:ascii="Symbol" w:hAnsi="Symbol" w:cs="Symbol"/>
    </w:rPr>
  </w:style>
  <w:style w:type="character" w:customStyle="1" w:styleId="WW8Num8z1">
    <w:name w:val="WW8Num8z1"/>
    <w:rsid w:val="007440A9"/>
    <w:rPr>
      <w:rFonts w:ascii="Courier New" w:hAnsi="Courier New" w:cs="Courier New"/>
    </w:rPr>
  </w:style>
  <w:style w:type="character" w:customStyle="1" w:styleId="WW8Num8z2">
    <w:name w:val="WW8Num8z2"/>
    <w:rsid w:val="007440A9"/>
    <w:rPr>
      <w:rFonts w:ascii="Wingdings" w:hAnsi="Wingdings" w:cs="Wingdings"/>
    </w:rPr>
  </w:style>
  <w:style w:type="character" w:customStyle="1" w:styleId="WW8Num9z0">
    <w:name w:val="WW8Num9z0"/>
    <w:rsid w:val="007440A9"/>
    <w:rPr>
      <w:rFonts w:ascii="Symbol" w:hAnsi="Symbol" w:cs="Symbol"/>
    </w:rPr>
  </w:style>
  <w:style w:type="character" w:customStyle="1" w:styleId="WW8Num9z1">
    <w:name w:val="WW8Num9z1"/>
    <w:rsid w:val="007440A9"/>
    <w:rPr>
      <w:rFonts w:ascii="Courier New" w:hAnsi="Courier New" w:cs="Courier New"/>
    </w:rPr>
  </w:style>
  <w:style w:type="character" w:customStyle="1" w:styleId="WW8Num9z2">
    <w:name w:val="WW8Num9z2"/>
    <w:rsid w:val="007440A9"/>
    <w:rPr>
      <w:rFonts w:ascii="Wingdings" w:hAnsi="Wingdings" w:cs="Wingdings"/>
    </w:rPr>
  </w:style>
  <w:style w:type="character" w:customStyle="1" w:styleId="WW8Num10z0">
    <w:name w:val="WW8Num10z0"/>
    <w:rsid w:val="007440A9"/>
    <w:rPr>
      <w:rFonts w:ascii="Symbol" w:hAnsi="Symbol" w:cs="Symbol"/>
    </w:rPr>
  </w:style>
  <w:style w:type="character" w:customStyle="1" w:styleId="WW8Num11z0">
    <w:name w:val="WW8Num11z0"/>
    <w:rsid w:val="007440A9"/>
    <w:rPr>
      <w:rFonts w:ascii="Symbol" w:hAnsi="Symbol" w:cs="Symbol"/>
    </w:rPr>
  </w:style>
  <w:style w:type="character" w:customStyle="1" w:styleId="WW8Num11z1">
    <w:name w:val="WW8Num11z1"/>
    <w:rsid w:val="007440A9"/>
    <w:rPr>
      <w:rFonts w:ascii="Courier New" w:hAnsi="Courier New" w:cs="Courier New"/>
    </w:rPr>
  </w:style>
  <w:style w:type="character" w:customStyle="1" w:styleId="WW8Num11z2">
    <w:name w:val="WW8Num11z2"/>
    <w:rsid w:val="007440A9"/>
    <w:rPr>
      <w:rFonts w:ascii="Wingdings" w:hAnsi="Wingdings" w:cs="Wingdings"/>
    </w:rPr>
  </w:style>
  <w:style w:type="character" w:customStyle="1" w:styleId="WW8Num13z0">
    <w:name w:val="WW8Num13z0"/>
    <w:rsid w:val="007440A9"/>
    <w:rPr>
      <w:b w:val="0"/>
      <w:bCs w:val="0"/>
      <w:i/>
      <w:iCs/>
      <w:sz w:val="18"/>
      <w:szCs w:val="18"/>
    </w:rPr>
  </w:style>
  <w:style w:type="character" w:customStyle="1" w:styleId="WW8Num14z0">
    <w:name w:val="WW8Num14z0"/>
    <w:rsid w:val="007440A9"/>
    <w:rPr>
      <w:rFonts w:ascii="Symbol" w:hAnsi="Symbol" w:cs="Symbol"/>
    </w:rPr>
  </w:style>
  <w:style w:type="character" w:customStyle="1" w:styleId="WW8Num14z1">
    <w:name w:val="WW8Num14z1"/>
    <w:rsid w:val="007440A9"/>
    <w:rPr>
      <w:rFonts w:ascii="Courier New" w:hAnsi="Courier New" w:cs="Courier New"/>
    </w:rPr>
  </w:style>
  <w:style w:type="character" w:customStyle="1" w:styleId="WW8Num14z2">
    <w:name w:val="WW8Num14z2"/>
    <w:rsid w:val="007440A9"/>
    <w:rPr>
      <w:rFonts w:ascii="Wingdings" w:hAnsi="Wingdings" w:cs="Wingdings"/>
    </w:rPr>
  </w:style>
  <w:style w:type="character" w:customStyle="1" w:styleId="WW8Num15z0">
    <w:name w:val="WW8Num15z0"/>
    <w:rsid w:val="007440A9"/>
    <w:rPr>
      <w:rFonts w:ascii="Symbol" w:hAnsi="Symbol" w:cs="Symbol"/>
    </w:rPr>
  </w:style>
  <w:style w:type="character" w:customStyle="1" w:styleId="WW8Num16z0">
    <w:name w:val="WW8Num16z0"/>
    <w:rsid w:val="007440A9"/>
    <w:rPr>
      <w:rFonts w:ascii="Symbol" w:hAnsi="Symbol" w:cs="Symbol"/>
    </w:rPr>
  </w:style>
  <w:style w:type="character" w:customStyle="1" w:styleId="WW8Num16z1">
    <w:name w:val="WW8Num16z1"/>
    <w:rsid w:val="007440A9"/>
    <w:rPr>
      <w:rFonts w:ascii="Courier New" w:hAnsi="Courier New" w:cs="Courier New"/>
    </w:rPr>
  </w:style>
  <w:style w:type="character" w:customStyle="1" w:styleId="WW8Num16z2">
    <w:name w:val="WW8Num16z2"/>
    <w:rsid w:val="007440A9"/>
    <w:rPr>
      <w:rFonts w:ascii="Wingdings" w:hAnsi="Wingdings" w:cs="Wingdings"/>
    </w:rPr>
  </w:style>
  <w:style w:type="character" w:customStyle="1" w:styleId="WW8Num17z0">
    <w:name w:val="WW8Num17z0"/>
    <w:rsid w:val="007440A9"/>
    <w:rPr>
      <w:rFonts w:ascii="Symbol" w:hAnsi="Symbol" w:cs="Symbol"/>
    </w:rPr>
  </w:style>
  <w:style w:type="character" w:customStyle="1" w:styleId="WW8Num17z1">
    <w:name w:val="WW8Num17z1"/>
    <w:rsid w:val="007440A9"/>
    <w:rPr>
      <w:rFonts w:ascii="Courier New" w:hAnsi="Courier New" w:cs="Courier New"/>
    </w:rPr>
  </w:style>
  <w:style w:type="character" w:customStyle="1" w:styleId="WW8Num17z2">
    <w:name w:val="WW8Num17z2"/>
    <w:rsid w:val="007440A9"/>
    <w:rPr>
      <w:rFonts w:ascii="Wingdings" w:hAnsi="Wingdings" w:cs="Wingdings"/>
    </w:rPr>
  </w:style>
  <w:style w:type="character" w:styleId="PageNumber">
    <w:name w:val="page number"/>
    <w:basedOn w:val="DefaultParagraphFont"/>
    <w:rsid w:val="007440A9"/>
    <w:rPr>
      <w:rFonts w:ascii="Times New Roman" w:hAnsi="Times New Roman" w:cs="Times New Roman"/>
      <w:sz w:val="24"/>
      <w:szCs w:val="24"/>
    </w:rPr>
  </w:style>
  <w:style w:type="character" w:styleId="LineNumber">
    <w:name w:val="line number"/>
    <w:basedOn w:val="DefaultParagraphFont"/>
    <w:rsid w:val="007440A9"/>
    <w:rPr>
      <w:rFonts w:ascii="Times New Roman" w:hAnsi="Times New Roman" w:cs="Times New Roman"/>
      <w:sz w:val="24"/>
      <w:szCs w:val="24"/>
    </w:rPr>
  </w:style>
  <w:style w:type="character" w:customStyle="1" w:styleId="FootnoteCharacters">
    <w:name w:val="Footnote Characters"/>
    <w:basedOn w:val="DefaultParagraphFont"/>
    <w:rsid w:val="007440A9"/>
    <w:rPr>
      <w:vertAlign w:val="superscript"/>
    </w:rPr>
  </w:style>
  <w:style w:type="character" w:customStyle="1" w:styleId="answerChar">
    <w:name w:val="answer Char"/>
    <w:basedOn w:val="DefaultParagraphFont"/>
    <w:rsid w:val="007440A9"/>
    <w:rPr>
      <w:rFonts w:eastAsia="SimSun"/>
      <w:sz w:val="24"/>
      <w:szCs w:val="24"/>
      <w:lang w:val="en-US"/>
    </w:rPr>
  </w:style>
  <w:style w:type="character" w:customStyle="1" w:styleId="T11">
    <w:name w:val="T11"/>
    <w:rsid w:val="007440A9"/>
    <w:rPr>
      <w:b/>
    </w:rPr>
  </w:style>
  <w:style w:type="character" w:styleId="Hyperlink">
    <w:name w:val="Hyperlink"/>
    <w:basedOn w:val="DefaultParagraphFont"/>
    <w:uiPriority w:val="99"/>
    <w:rsid w:val="007440A9"/>
    <w:rPr>
      <w:color w:val="0000FF"/>
      <w:u w:val="single"/>
    </w:rPr>
  </w:style>
  <w:style w:type="character" w:styleId="FootnoteReference">
    <w:name w:val="footnote reference"/>
    <w:aliases w:val="Style 11,Style 24,o,fr,Style 17,Style 28,Style 8,Style 13,Style 15,Style 9,o1,fr1,o2,fr2,o3,fr3,Style 18,(NECG) Footnote Reference,Style 20,Style 7,Style 19,Style 16,Style 30,Sty,o2...,Styl,Style 21,SR FR,fnr,.,Style 4"/>
    <w:qFormat/>
    <w:rsid w:val="007440A9"/>
    <w:rPr>
      <w:vertAlign w:val="superscript"/>
    </w:rPr>
  </w:style>
  <w:style w:type="character" w:customStyle="1" w:styleId="EndnoteCharacters">
    <w:name w:val="Endnote Characters"/>
    <w:rsid w:val="007440A9"/>
    <w:rPr>
      <w:vertAlign w:val="superscript"/>
    </w:rPr>
  </w:style>
  <w:style w:type="character" w:customStyle="1" w:styleId="WW-EndnoteCharacters">
    <w:name w:val="WW-Endnote Characters"/>
    <w:rsid w:val="007440A9"/>
  </w:style>
  <w:style w:type="character" w:styleId="EndnoteReference">
    <w:name w:val="endnote reference"/>
    <w:semiHidden/>
    <w:rsid w:val="007440A9"/>
    <w:rPr>
      <w:vertAlign w:val="superscript"/>
    </w:rPr>
  </w:style>
  <w:style w:type="paragraph" w:customStyle="1" w:styleId="Heading">
    <w:name w:val="Heading"/>
    <w:basedOn w:val="Normal"/>
    <w:next w:val="BodyText"/>
    <w:rsid w:val="007440A9"/>
    <w:pPr>
      <w:keepNext/>
      <w:spacing w:before="240" w:after="120"/>
    </w:pPr>
    <w:rPr>
      <w:rFonts w:ascii="Arial" w:hAnsi="Arial" w:cs="Tahoma"/>
      <w:sz w:val="28"/>
      <w:szCs w:val="28"/>
    </w:rPr>
  </w:style>
  <w:style w:type="paragraph" w:styleId="BodyText">
    <w:name w:val="Body Text"/>
    <w:basedOn w:val="Normal"/>
    <w:link w:val="BodyTextChar"/>
    <w:semiHidden/>
    <w:rsid w:val="007440A9"/>
    <w:pPr>
      <w:spacing w:line="360" w:lineRule="auto"/>
      <w:jc w:val="center"/>
    </w:pPr>
    <w:rPr>
      <w:b/>
      <w:bCs/>
    </w:rPr>
  </w:style>
  <w:style w:type="paragraph" w:styleId="List">
    <w:name w:val="List"/>
    <w:basedOn w:val="BodyText"/>
    <w:semiHidden/>
    <w:rsid w:val="007440A9"/>
    <w:rPr>
      <w:rFonts w:cs="Tahoma"/>
    </w:rPr>
  </w:style>
  <w:style w:type="paragraph" w:styleId="Caption">
    <w:name w:val="caption"/>
    <w:basedOn w:val="Normal"/>
    <w:qFormat/>
    <w:rsid w:val="007440A9"/>
    <w:pPr>
      <w:suppressLineNumbers/>
      <w:spacing w:before="120" w:after="120"/>
    </w:pPr>
    <w:rPr>
      <w:rFonts w:cs="Tahoma"/>
      <w:i/>
      <w:iCs/>
    </w:rPr>
  </w:style>
  <w:style w:type="paragraph" w:customStyle="1" w:styleId="Index">
    <w:name w:val="Index"/>
    <w:basedOn w:val="Normal"/>
    <w:rsid w:val="007440A9"/>
    <w:pPr>
      <w:suppressLineNumbers/>
    </w:pPr>
    <w:rPr>
      <w:rFonts w:cs="Tahoma"/>
    </w:rPr>
  </w:style>
  <w:style w:type="paragraph" w:styleId="Header">
    <w:name w:val="header"/>
    <w:basedOn w:val="Normal"/>
    <w:semiHidden/>
    <w:rsid w:val="007440A9"/>
    <w:pPr>
      <w:tabs>
        <w:tab w:val="center" w:pos="4320"/>
        <w:tab w:val="right" w:pos="8640"/>
      </w:tabs>
    </w:pPr>
  </w:style>
  <w:style w:type="paragraph" w:styleId="Footer">
    <w:name w:val="footer"/>
    <w:basedOn w:val="Normal"/>
    <w:semiHidden/>
    <w:rsid w:val="007440A9"/>
    <w:pPr>
      <w:tabs>
        <w:tab w:val="center" w:pos="4320"/>
        <w:tab w:val="right" w:pos="8640"/>
      </w:tabs>
    </w:pPr>
  </w:style>
  <w:style w:type="paragraph" w:styleId="BodyTextIndent">
    <w:name w:val="Body Text Indent"/>
    <w:basedOn w:val="Normal"/>
    <w:semiHidden/>
    <w:rsid w:val="007440A9"/>
    <w:pPr>
      <w:spacing w:after="120"/>
      <w:ind w:left="360"/>
    </w:pPr>
  </w:style>
  <w:style w:type="paragraph" w:styleId="BodyTextIndent2">
    <w:name w:val="Body Text Indent 2"/>
    <w:basedOn w:val="Normal"/>
    <w:rsid w:val="007440A9"/>
    <w:pPr>
      <w:tabs>
        <w:tab w:val="left" w:pos="2340"/>
      </w:tabs>
      <w:spacing w:line="480" w:lineRule="auto"/>
      <w:ind w:left="540" w:hanging="540"/>
      <w:jc w:val="both"/>
    </w:pPr>
  </w:style>
  <w:style w:type="paragraph" w:styleId="BodyTextIndent3">
    <w:name w:val="Body Text Indent 3"/>
    <w:basedOn w:val="Normal"/>
    <w:rsid w:val="007440A9"/>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Style 25,f"/>
    <w:basedOn w:val="Normal"/>
    <w:link w:val="FootnoteTextChar"/>
    <w:qFormat/>
    <w:rsid w:val="007440A9"/>
    <w:rPr>
      <w:sz w:val="20"/>
      <w:szCs w:val="20"/>
    </w:rPr>
  </w:style>
  <w:style w:type="paragraph" w:styleId="DocumentMap">
    <w:name w:val="Document Map"/>
    <w:basedOn w:val="Normal"/>
    <w:rsid w:val="007440A9"/>
    <w:pPr>
      <w:shd w:val="clear" w:color="auto" w:fill="000080"/>
    </w:pPr>
    <w:rPr>
      <w:rFonts w:ascii="Tahoma" w:hAnsi="Tahoma" w:cs="Tahoma"/>
    </w:rPr>
  </w:style>
  <w:style w:type="paragraph" w:customStyle="1" w:styleId="TestBody">
    <w:name w:val="Test Body"/>
    <w:rsid w:val="007440A9"/>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7440A9"/>
    <w:pPr>
      <w:numPr>
        <w:numId w:val="4"/>
      </w:numPr>
    </w:pPr>
  </w:style>
  <w:style w:type="paragraph" w:customStyle="1" w:styleId="answer">
    <w:name w:val="answer"/>
    <w:basedOn w:val="Normal"/>
    <w:rsid w:val="007440A9"/>
    <w:pPr>
      <w:autoSpaceDE/>
      <w:spacing w:before="120" w:after="120" w:line="480" w:lineRule="auto"/>
      <w:ind w:left="720" w:hanging="720"/>
    </w:pPr>
    <w:rPr>
      <w:rFonts w:eastAsia="SimSun"/>
    </w:rPr>
  </w:style>
  <w:style w:type="paragraph" w:customStyle="1" w:styleId="P31">
    <w:name w:val="P31"/>
    <w:basedOn w:val="Normal"/>
    <w:rsid w:val="007440A9"/>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7440A9"/>
    <w:pPr>
      <w:suppressLineNumbers/>
    </w:pPr>
  </w:style>
  <w:style w:type="paragraph" w:customStyle="1" w:styleId="TableHeading">
    <w:name w:val="Table Heading"/>
    <w:basedOn w:val="TableContents"/>
    <w:rsid w:val="007440A9"/>
    <w:pPr>
      <w:jc w:val="center"/>
    </w:pPr>
    <w:rPr>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4716C1"/>
    <w:rPr>
      <w:rFonts w:eastAsia="MS Mincho"/>
      <w:lang w:eastAsia="ar-SA"/>
    </w:rPr>
  </w:style>
  <w:style w:type="paragraph" w:customStyle="1" w:styleId="P106">
    <w:name w:val="P106"/>
    <w:basedOn w:val="Normal"/>
    <w:hidden/>
    <w:rsid w:val="00182594"/>
    <w:pPr>
      <w:widowControl w:val="0"/>
      <w:tabs>
        <w:tab w:val="left" w:pos="810"/>
        <w:tab w:val="left" w:pos="1440"/>
      </w:tabs>
      <w:suppressAutoHyphens w:val="0"/>
      <w:autoSpaceDN w:val="0"/>
      <w:adjustRightInd w:val="0"/>
      <w:spacing w:line="480" w:lineRule="auto"/>
      <w:ind w:firstLine="720"/>
    </w:pPr>
    <w:rPr>
      <w:rFonts w:ascii="Courier" w:eastAsia="Times New Roman" w:hAnsi="Courier" w:cs="Courier"/>
      <w:szCs w:val="20"/>
      <w:lang w:eastAsia="en-US"/>
    </w:rPr>
  </w:style>
  <w:style w:type="character" w:customStyle="1" w:styleId="BodyTextChar">
    <w:name w:val="Body Text Char"/>
    <w:basedOn w:val="DefaultParagraphFont"/>
    <w:link w:val="BodyText"/>
    <w:semiHidden/>
    <w:rsid w:val="00D15D05"/>
    <w:rPr>
      <w:rFonts w:eastAsia="MS Mincho"/>
      <w:b/>
      <w:bCs/>
      <w:sz w:val="24"/>
      <w:szCs w:val="24"/>
      <w:lang w:eastAsia="ar-SA"/>
    </w:rPr>
  </w:style>
  <w:style w:type="paragraph" w:styleId="TOCHeading">
    <w:name w:val="TOC Heading"/>
    <w:basedOn w:val="Heading1"/>
    <w:next w:val="Normal"/>
    <w:uiPriority w:val="39"/>
    <w:semiHidden/>
    <w:unhideWhenUsed/>
    <w:qFormat/>
    <w:rsid w:val="008F6CDE"/>
    <w:pPr>
      <w:numPr>
        <w:numId w:val="0"/>
      </w:numPr>
      <w:suppressAutoHyphens w:val="0"/>
      <w:autoSpaceDN w:val="0"/>
      <w:outlineLvl w:val="9"/>
    </w:pPr>
    <w:rPr>
      <w:rFonts w:eastAsia="Times New Roman"/>
      <w:lang w:eastAsia="en-US"/>
    </w:rPr>
  </w:style>
  <w:style w:type="paragraph" w:styleId="TOC1">
    <w:name w:val="toc 1"/>
    <w:aliases w:val="Testimony - WA"/>
    <w:basedOn w:val="Normal"/>
    <w:next w:val="Normal"/>
    <w:autoRedefine/>
    <w:uiPriority w:val="39"/>
    <w:qFormat/>
    <w:rsid w:val="008F6CDE"/>
    <w:pPr>
      <w:tabs>
        <w:tab w:val="right" w:leader="dot" w:pos="9350"/>
      </w:tabs>
      <w:suppressAutoHyphens w:val="0"/>
      <w:autoSpaceDN w:val="0"/>
      <w:ind w:left="900" w:hanging="450"/>
    </w:pPr>
    <w:rPr>
      <w:rFonts w:eastAsia="Times New Roman"/>
      <w:lang w:eastAsia="en-US"/>
    </w:rPr>
  </w:style>
  <w:style w:type="paragraph" w:styleId="TOC2">
    <w:name w:val="toc 2"/>
    <w:basedOn w:val="Normal"/>
    <w:next w:val="Normal"/>
    <w:autoRedefine/>
    <w:uiPriority w:val="39"/>
    <w:rsid w:val="008F6CDE"/>
    <w:pPr>
      <w:tabs>
        <w:tab w:val="right" w:leader="dot" w:pos="9350"/>
      </w:tabs>
      <w:suppressAutoHyphens w:val="0"/>
      <w:autoSpaceDN w:val="0"/>
      <w:ind w:left="1350" w:hanging="450"/>
    </w:pPr>
    <w:rPr>
      <w:rFonts w:eastAsia="Times New Roman"/>
      <w:lang w:eastAsia="en-US"/>
    </w:rPr>
  </w:style>
  <w:style w:type="paragraph" w:styleId="BalloonText">
    <w:name w:val="Balloon Text"/>
    <w:basedOn w:val="Normal"/>
    <w:link w:val="BalloonTextChar"/>
    <w:uiPriority w:val="99"/>
    <w:semiHidden/>
    <w:unhideWhenUsed/>
    <w:rsid w:val="00EE30E9"/>
    <w:rPr>
      <w:rFonts w:ascii="Tahoma" w:hAnsi="Tahoma" w:cs="Tahoma"/>
      <w:sz w:val="16"/>
      <w:szCs w:val="16"/>
    </w:rPr>
  </w:style>
  <w:style w:type="character" w:customStyle="1" w:styleId="BalloonTextChar">
    <w:name w:val="Balloon Text Char"/>
    <w:basedOn w:val="DefaultParagraphFont"/>
    <w:link w:val="BalloonText"/>
    <w:uiPriority w:val="99"/>
    <w:semiHidden/>
    <w:rsid w:val="00EE30E9"/>
    <w:rPr>
      <w:rFonts w:ascii="Tahoma" w:eastAsia="MS Mincho" w:hAnsi="Tahoma" w:cs="Tahoma"/>
      <w:sz w:val="16"/>
      <w:szCs w:val="16"/>
      <w:lang w:eastAsia="ar-SA"/>
    </w:rPr>
  </w:style>
  <w:style w:type="paragraph" w:styleId="ListParagraph">
    <w:name w:val="List Paragraph"/>
    <w:basedOn w:val="Normal"/>
    <w:uiPriority w:val="34"/>
    <w:qFormat/>
    <w:rsid w:val="00F1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687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1136291986">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47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2016-10-11T07:00:00+00:00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DD4EFC-1522-4C03-B4FC-B23AA1AD5539}">
  <ds:schemaRefs>
    <ds:schemaRef ds:uri="http://schemas.openxmlformats.org/officeDocument/2006/bibliography"/>
  </ds:schemaRefs>
</ds:datastoreItem>
</file>

<file path=customXml/itemProps2.xml><?xml version="1.0" encoding="utf-8"?>
<ds:datastoreItem xmlns:ds="http://schemas.openxmlformats.org/officeDocument/2006/customXml" ds:itemID="{88E2AD18-CA38-413B-9314-EC527F9EA9C3}"/>
</file>

<file path=customXml/itemProps3.xml><?xml version="1.0" encoding="utf-8"?>
<ds:datastoreItem xmlns:ds="http://schemas.openxmlformats.org/officeDocument/2006/customXml" ds:itemID="{189BC516-980B-4BE7-A148-432EDBFFBB41}"/>
</file>

<file path=customXml/itemProps4.xml><?xml version="1.0" encoding="utf-8"?>
<ds:datastoreItem xmlns:ds="http://schemas.openxmlformats.org/officeDocument/2006/customXml" ds:itemID="{988A8BC1-5984-42E6-ABBC-D1D97AF1AAC0}"/>
</file>

<file path=customXml/itemProps5.xml><?xml version="1.0" encoding="utf-8"?>
<ds:datastoreItem xmlns:ds="http://schemas.openxmlformats.org/officeDocument/2006/customXml" ds:itemID="{9061EBB5-D879-45B5-B7FB-1A18A65566D0}"/>
</file>

<file path=docProps/app.xml><?xml version="1.0" encoding="utf-8"?>
<Properties xmlns="http://schemas.openxmlformats.org/officeDocument/2006/extended-properties" xmlns:vt="http://schemas.openxmlformats.org/officeDocument/2006/docPropsVTypes">
  <Template>Normal.dotm</Template>
  <TotalTime>891</TotalTime>
  <Pages>50</Pages>
  <Words>12267</Words>
  <Characters>69928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Corp</Company>
  <LinksUpToDate>false</LinksUpToDate>
  <CharactersWithSpaces>82031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164</cp:revision>
  <cp:lastPrinted>2016-09-19T17:53:00Z</cp:lastPrinted>
  <dcterms:created xsi:type="dcterms:W3CDTF">2016-09-06T13:54:00Z</dcterms:created>
  <dcterms:modified xsi:type="dcterms:W3CDTF">2016-10-10T21:55:00Z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