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C4DD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009F425" wp14:editId="58E80FC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423B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</w:p>
    <w:p w14:paraId="22409326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59D7BF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BB6840A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3F462AD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17A682E" w14:textId="77777777" w:rsidR="00094127" w:rsidRDefault="00094127" w:rsidP="00A733A0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B84AE" w14:textId="77777777" w:rsidR="005658EC" w:rsidRPr="00094127" w:rsidRDefault="00A733A0" w:rsidP="00A733A0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27">
        <w:rPr>
          <w:rFonts w:ascii="Times New Roman" w:hAnsi="Times New Roman" w:cs="Times New Roman"/>
          <w:sz w:val="24"/>
          <w:szCs w:val="24"/>
        </w:rPr>
        <w:fldChar w:fldCharType="begin"/>
      </w:r>
      <w:r w:rsidRPr="00094127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Pr="00094127">
        <w:rPr>
          <w:rFonts w:ascii="Times New Roman" w:hAnsi="Times New Roman" w:cs="Times New Roman"/>
          <w:sz w:val="24"/>
          <w:szCs w:val="24"/>
        </w:rPr>
        <w:fldChar w:fldCharType="separate"/>
      </w:r>
      <w:r w:rsidR="00094127">
        <w:rPr>
          <w:rFonts w:ascii="Times New Roman" w:hAnsi="Times New Roman" w:cs="Times New Roman"/>
          <w:noProof/>
          <w:sz w:val="24"/>
          <w:szCs w:val="24"/>
        </w:rPr>
        <w:t>December 29, 2016</w:t>
      </w:r>
      <w:r w:rsidRPr="0009412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1DC420" w14:textId="77777777" w:rsidR="0096509A" w:rsidRPr="00094127" w:rsidRDefault="0096509A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3F9F351" w14:textId="77777777" w:rsidR="005C1B7E" w:rsidRPr="00094127" w:rsidRDefault="00904F16" w:rsidP="00A733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3315E" w:rsidRPr="0009412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733A0" w:rsidRPr="00094127">
        <w:rPr>
          <w:rFonts w:ascii="Times New Roman" w:hAnsi="Times New Roman" w:cs="Times New Roman"/>
          <w:b/>
          <w:sz w:val="24"/>
          <w:szCs w:val="24"/>
        </w:rPr>
        <w:t>REVISED</w:t>
      </w:r>
      <w:r w:rsidRPr="00094127">
        <w:rPr>
          <w:rFonts w:ascii="Times New Roman" w:hAnsi="Times New Roman" w:cs="Times New Roman"/>
          <w:b/>
          <w:sz w:val="24"/>
          <w:szCs w:val="24"/>
        </w:rPr>
        <w:t xml:space="preserve"> PROCEDURAL SCHEDULE</w:t>
      </w:r>
      <w:r w:rsidR="00252B74" w:rsidRPr="00094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F82F48" w14:textId="77777777" w:rsidR="002E33AD" w:rsidRPr="00094127" w:rsidRDefault="002E33AD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ADA96" w14:textId="77777777" w:rsidR="005C1B7E" w:rsidRPr="00094127" w:rsidRDefault="00A733A0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7">
        <w:rPr>
          <w:rFonts w:ascii="Times New Roman" w:hAnsi="Times New Roman" w:cs="Times New Roman"/>
          <w:b/>
          <w:sz w:val="24"/>
          <w:szCs w:val="24"/>
        </w:rPr>
        <w:t>AND</w:t>
      </w:r>
    </w:p>
    <w:p w14:paraId="2EE08908" w14:textId="77777777" w:rsidR="005C1B7E" w:rsidRPr="00094127" w:rsidRDefault="005C1B7E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5B7E4" w14:textId="77777777" w:rsidR="00BD69F4" w:rsidRPr="00094127" w:rsidRDefault="00BD69F4" w:rsidP="00BD69F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7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A733A0" w:rsidRPr="00094127">
        <w:rPr>
          <w:rFonts w:ascii="Times New Roman" w:hAnsi="Times New Roman" w:cs="Times New Roman"/>
          <w:b/>
          <w:sz w:val="24"/>
          <w:szCs w:val="24"/>
        </w:rPr>
        <w:t xml:space="preserve">EVIDENTIARY </w:t>
      </w:r>
      <w:r w:rsidRPr="00094127">
        <w:rPr>
          <w:rFonts w:ascii="Times New Roman" w:hAnsi="Times New Roman" w:cs="Times New Roman"/>
          <w:b/>
          <w:sz w:val="24"/>
          <w:szCs w:val="24"/>
        </w:rPr>
        <w:t xml:space="preserve">HEARING </w:t>
      </w:r>
    </w:p>
    <w:p w14:paraId="4B9CAAAD" w14:textId="77777777" w:rsidR="00BD69F4" w:rsidRPr="00094127" w:rsidRDefault="00BD69F4" w:rsidP="00BD69F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7">
        <w:rPr>
          <w:rFonts w:ascii="Times New Roman" w:hAnsi="Times New Roman" w:cs="Times New Roman"/>
          <w:b/>
          <w:sz w:val="24"/>
          <w:szCs w:val="24"/>
        </w:rPr>
        <w:t xml:space="preserve">(Set for </w:t>
      </w:r>
      <w:r w:rsidR="00A733A0" w:rsidRPr="00094127">
        <w:rPr>
          <w:rFonts w:ascii="Times New Roman" w:hAnsi="Times New Roman" w:cs="Times New Roman"/>
          <w:b/>
          <w:sz w:val="24"/>
          <w:szCs w:val="24"/>
        </w:rPr>
        <w:t>February 14-15, 2017</w:t>
      </w:r>
      <w:r w:rsidRPr="00094127">
        <w:rPr>
          <w:rFonts w:ascii="Times New Roman" w:hAnsi="Times New Roman" w:cs="Times New Roman"/>
          <w:b/>
          <w:sz w:val="24"/>
          <w:szCs w:val="24"/>
        </w:rPr>
        <w:t xml:space="preserve">, at </w:t>
      </w:r>
      <w:r w:rsidR="00A733A0" w:rsidRPr="00094127">
        <w:rPr>
          <w:rFonts w:ascii="Times New Roman" w:hAnsi="Times New Roman" w:cs="Times New Roman"/>
          <w:b/>
          <w:sz w:val="24"/>
          <w:szCs w:val="24"/>
        </w:rPr>
        <w:t>9</w:t>
      </w:r>
      <w:r w:rsidRPr="00094127">
        <w:rPr>
          <w:rFonts w:ascii="Times New Roman" w:hAnsi="Times New Roman" w:cs="Times New Roman"/>
          <w:b/>
          <w:sz w:val="24"/>
          <w:szCs w:val="24"/>
        </w:rPr>
        <w:t>:</w:t>
      </w:r>
      <w:r w:rsidR="00A733A0" w:rsidRPr="00094127">
        <w:rPr>
          <w:rFonts w:ascii="Times New Roman" w:hAnsi="Times New Roman" w:cs="Times New Roman"/>
          <w:b/>
          <w:sz w:val="24"/>
          <w:szCs w:val="24"/>
        </w:rPr>
        <w:t>3</w:t>
      </w:r>
      <w:r w:rsidRPr="00094127">
        <w:rPr>
          <w:rFonts w:ascii="Times New Roman" w:hAnsi="Times New Roman" w:cs="Times New Roman"/>
          <w:b/>
          <w:sz w:val="24"/>
          <w:szCs w:val="24"/>
        </w:rPr>
        <w:t>0 a.m.)</w:t>
      </w:r>
    </w:p>
    <w:p w14:paraId="544C8AA2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76F5640" w14:textId="77777777" w:rsidR="00094127" w:rsidRPr="00094127" w:rsidRDefault="00094127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54C9038" w14:textId="77777777" w:rsidR="005658EC" w:rsidRPr="00094127" w:rsidRDefault="005658EC" w:rsidP="005658EC">
      <w:pPr>
        <w:ind w:left="720" w:hanging="720"/>
      </w:pPr>
      <w:r w:rsidRPr="00094127">
        <w:t>Re:</w:t>
      </w:r>
      <w:r w:rsidRPr="00094127">
        <w:tab/>
      </w:r>
      <w:r w:rsidR="00A733A0" w:rsidRPr="00094127">
        <w:rPr>
          <w:i/>
        </w:rPr>
        <w:t>In re Application of MEI Northwest, LLC for a Certificate of Public Convenience and Necessity to Operate Vessels in Furnishing Passenger Ferry Service</w:t>
      </w:r>
      <w:r w:rsidR="003A1DA6" w:rsidRPr="00094127">
        <w:t xml:space="preserve">, Docket </w:t>
      </w:r>
      <w:r w:rsidR="00A733A0" w:rsidRPr="00094127">
        <w:t>TS-160479</w:t>
      </w:r>
    </w:p>
    <w:p w14:paraId="05458C50" w14:textId="77777777" w:rsidR="005658EC" w:rsidRPr="00094127" w:rsidRDefault="005658EC" w:rsidP="005658EC">
      <w:pPr>
        <w:ind w:left="720" w:hanging="720"/>
      </w:pPr>
    </w:p>
    <w:p w14:paraId="582495FA" w14:textId="77777777" w:rsidR="005658EC" w:rsidRPr="00094127" w:rsidRDefault="005658EC" w:rsidP="005658EC">
      <w:pPr>
        <w:ind w:left="720" w:hanging="720"/>
      </w:pPr>
      <w:r w:rsidRPr="00094127">
        <w:t>TO ALL PARTIES:</w:t>
      </w:r>
    </w:p>
    <w:p w14:paraId="0E9A8B83" w14:textId="77777777" w:rsidR="005658EC" w:rsidRPr="00094127" w:rsidRDefault="005658EC" w:rsidP="005658EC">
      <w:pPr>
        <w:ind w:left="720" w:hanging="720"/>
      </w:pPr>
    </w:p>
    <w:p w14:paraId="59E6E573" w14:textId="77777777" w:rsidR="000C7F26" w:rsidRPr="00094127" w:rsidRDefault="000C7F26" w:rsidP="000C7F26">
      <w:r w:rsidRPr="00094127">
        <w:t xml:space="preserve">On </w:t>
      </w:r>
      <w:r w:rsidR="00A733A0" w:rsidRPr="00094127">
        <w:t>December 27, 2016</w:t>
      </w:r>
      <w:r w:rsidRPr="00094127">
        <w:t xml:space="preserve">, the Washington Utilities and Transportation Commission (Commission) </w:t>
      </w:r>
      <w:r w:rsidR="00A733A0" w:rsidRPr="00094127">
        <w:t xml:space="preserve">issued a Notice </w:t>
      </w:r>
      <w:r w:rsidR="0083315E" w:rsidRPr="00094127">
        <w:t xml:space="preserve">Suspending Procedural Schedule (Notice) in Docket TS-160479. </w:t>
      </w:r>
      <w:r w:rsidR="0076092F" w:rsidRPr="00094127">
        <w:t xml:space="preserve">Since that Notice, the parties have verified </w:t>
      </w:r>
      <w:r w:rsidR="00B30D01" w:rsidRPr="00094127">
        <w:t>that their witnesses are available for rescheduled evidentiary hearing.</w:t>
      </w:r>
      <w:r w:rsidR="0076092F" w:rsidRPr="00094127">
        <w:t xml:space="preserve"> Thus, the Commission establishes the following procedural schedule:</w:t>
      </w:r>
    </w:p>
    <w:p w14:paraId="09FD43D9" w14:textId="77777777" w:rsidR="0076092F" w:rsidRDefault="0076092F" w:rsidP="000C7F26"/>
    <w:p w14:paraId="542091DB" w14:textId="77777777" w:rsidR="00094127" w:rsidRPr="00094127" w:rsidRDefault="00094127" w:rsidP="000C7F2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0"/>
        <w:gridCol w:w="3150"/>
      </w:tblGrid>
      <w:tr w:rsidR="0076092F" w:rsidRPr="00094127" w14:paraId="2D05670A" w14:textId="77777777" w:rsidTr="00B30D01">
        <w:tc>
          <w:tcPr>
            <w:tcW w:w="5270" w:type="dxa"/>
            <w:tcBorders>
              <w:top w:val="thickThinSmallGap" w:sz="24" w:space="0" w:color="000000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</w:tcPr>
          <w:p w14:paraId="008856FA" w14:textId="77777777" w:rsidR="0076092F" w:rsidRPr="00094127" w:rsidRDefault="001D154F" w:rsidP="005658EC">
            <w:pPr>
              <w:rPr>
                <w:b/>
                <w:u w:val="single"/>
              </w:rPr>
            </w:pPr>
            <w:r w:rsidRPr="00094127">
              <w:rPr>
                <w:b/>
                <w:u w:val="single"/>
              </w:rPr>
              <w:t>EVENT</w:t>
            </w:r>
          </w:p>
        </w:tc>
        <w:tc>
          <w:tcPr>
            <w:tcW w:w="3150" w:type="dxa"/>
            <w:tcBorders>
              <w:top w:val="thickThinSmallGap" w:sz="24" w:space="0" w:color="000000"/>
              <w:left w:val="single" w:sz="2" w:space="0" w:color="auto"/>
              <w:bottom w:val="single" w:sz="12" w:space="0" w:color="auto"/>
              <w:right w:val="thickThinSmallGap" w:sz="24" w:space="0" w:color="000000"/>
            </w:tcBorders>
          </w:tcPr>
          <w:p w14:paraId="097D7530" w14:textId="77777777" w:rsidR="0076092F" w:rsidRPr="00094127" w:rsidRDefault="001D154F" w:rsidP="005658EC">
            <w:pPr>
              <w:rPr>
                <w:b/>
                <w:u w:val="single"/>
              </w:rPr>
            </w:pPr>
            <w:r w:rsidRPr="00094127">
              <w:rPr>
                <w:b/>
                <w:u w:val="single"/>
              </w:rPr>
              <w:t>DATE</w:t>
            </w:r>
          </w:p>
        </w:tc>
      </w:tr>
      <w:tr w:rsidR="0076092F" w:rsidRPr="00094127" w14:paraId="37763A64" w14:textId="77777777" w:rsidTr="00B30D01">
        <w:tc>
          <w:tcPr>
            <w:tcW w:w="52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</w:tcPr>
          <w:p w14:paraId="434EBD3E" w14:textId="77777777" w:rsidR="0076092F" w:rsidRPr="00094127" w:rsidRDefault="001D154F" w:rsidP="005658EC">
            <w:r w:rsidRPr="00094127">
              <w:t>Deadline for Arrow Launch to propound data requests to MEI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24" w:space="0" w:color="000000"/>
            </w:tcBorders>
          </w:tcPr>
          <w:p w14:paraId="3EBEC41C" w14:textId="77777777" w:rsidR="0076092F" w:rsidRPr="00094127" w:rsidRDefault="001D154F" w:rsidP="005658EC">
            <w:r w:rsidRPr="00094127">
              <w:t>January 16, 2017</w:t>
            </w:r>
            <w:r w:rsidRPr="00094127">
              <w:rPr>
                <w:rStyle w:val="FootnoteReference"/>
              </w:rPr>
              <w:footnoteReference w:id="1"/>
            </w:r>
          </w:p>
        </w:tc>
      </w:tr>
      <w:tr w:rsidR="0076092F" w:rsidRPr="00094127" w14:paraId="3C9C5474" w14:textId="77777777" w:rsidTr="00B30D01">
        <w:tc>
          <w:tcPr>
            <w:tcW w:w="52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</w:tcPr>
          <w:p w14:paraId="4DAAEE76" w14:textId="77777777" w:rsidR="0076092F" w:rsidRPr="00094127" w:rsidRDefault="001D154F" w:rsidP="001D154F">
            <w:r w:rsidRPr="00094127">
              <w:t>Deadline for Arrow Launch to file additional testimony on the narrow issue raised by Exh. No. RSE-8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24" w:space="0" w:color="000000"/>
            </w:tcBorders>
          </w:tcPr>
          <w:p w14:paraId="318B006E" w14:textId="77777777" w:rsidR="0076092F" w:rsidRPr="00094127" w:rsidRDefault="001D154F" w:rsidP="005658EC">
            <w:r w:rsidRPr="00094127">
              <w:t>January 26, 2017</w:t>
            </w:r>
          </w:p>
        </w:tc>
      </w:tr>
      <w:tr w:rsidR="0076092F" w:rsidRPr="00094127" w14:paraId="40DC6CF4" w14:textId="77777777" w:rsidTr="00B30D01">
        <w:tc>
          <w:tcPr>
            <w:tcW w:w="52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</w:tcPr>
          <w:p w14:paraId="5460AD79" w14:textId="77777777" w:rsidR="0076092F" w:rsidRPr="00094127" w:rsidRDefault="001D154F" w:rsidP="005658EC">
            <w:r w:rsidRPr="00094127">
              <w:t>Deadline for filing cross examination exhibits, witness lists, and cross examination estimates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24" w:space="0" w:color="000000"/>
            </w:tcBorders>
          </w:tcPr>
          <w:p w14:paraId="1BEBD1CD" w14:textId="77777777" w:rsidR="0076092F" w:rsidRPr="00094127" w:rsidRDefault="001D154F" w:rsidP="005658EC">
            <w:r w:rsidRPr="00094127">
              <w:t>February 8, 2017</w:t>
            </w:r>
          </w:p>
        </w:tc>
      </w:tr>
      <w:tr w:rsidR="0076092F" w:rsidRPr="00094127" w14:paraId="64D9767C" w14:textId="77777777" w:rsidTr="00B30D01">
        <w:tc>
          <w:tcPr>
            <w:tcW w:w="527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2" w:space="0" w:color="auto"/>
            </w:tcBorders>
          </w:tcPr>
          <w:p w14:paraId="634CB16B" w14:textId="77777777" w:rsidR="0076092F" w:rsidRPr="00094127" w:rsidRDefault="001D154F" w:rsidP="005658EC">
            <w:r w:rsidRPr="00094127">
              <w:t>Evidentiary hearing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thickThinSmallGap" w:sz="24" w:space="0" w:color="000000"/>
              <w:right w:val="thickThinSmallGap" w:sz="24" w:space="0" w:color="000000"/>
            </w:tcBorders>
          </w:tcPr>
          <w:p w14:paraId="103F3B7A" w14:textId="77777777" w:rsidR="0076092F" w:rsidRPr="00094127" w:rsidRDefault="001D154F" w:rsidP="005658EC">
            <w:r w:rsidRPr="00094127">
              <w:t>February 14 and 15, 2017</w:t>
            </w:r>
          </w:p>
        </w:tc>
      </w:tr>
    </w:tbl>
    <w:p w14:paraId="05A3519C" w14:textId="77777777" w:rsidR="000C7F26" w:rsidRPr="00094127" w:rsidRDefault="000C7F26" w:rsidP="005658EC">
      <w:pPr>
        <w:ind w:left="720" w:hanging="720"/>
      </w:pPr>
    </w:p>
    <w:p w14:paraId="657E89FD" w14:textId="77777777" w:rsidR="00BD69F4" w:rsidRDefault="00BD69F4" w:rsidP="00BD69F4">
      <w:pPr>
        <w:spacing w:line="264" w:lineRule="auto"/>
      </w:pPr>
    </w:p>
    <w:p w14:paraId="42809137" w14:textId="77777777" w:rsidR="00094127" w:rsidRPr="00094127" w:rsidRDefault="00094127" w:rsidP="00BD69F4">
      <w:pPr>
        <w:spacing w:line="264" w:lineRule="auto"/>
      </w:pPr>
    </w:p>
    <w:p w14:paraId="594FD0CF" w14:textId="77777777" w:rsidR="00BD69F4" w:rsidRPr="00094127" w:rsidRDefault="00BD69F4" w:rsidP="00BD69F4">
      <w:pPr>
        <w:rPr>
          <w:b/>
        </w:rPr>
      </w:pPr>
      <w:r w:rsidRPr="00094127">
        <w:rPr>
          <w:b/>
        </w:rPr>
        <w:t>THE COMMISSION GIVES NOTICE That it will conduct a</w:t>
      </w:r>
      <w:r w:rsidR="001D154F" w:rsidRPr="00094127">
        <w:rPr>
          <w:b/>
        </w:rPr>
        <w:t>n</w:t>
      </w:r>
      <w:r w:rsidRPr="00094127">
        <w:rPr>
          <w:b/>
        </w:rPr>
        <w:t xml:space="preserve"> </w:t>
      </w:r>
      <w:r w:rsidR="001D154F" w:rsidRPr="00094127">
        <w:rPr>
          <w:b/>
        </w:rPr>
        <w:t>evidentiary</w:t>
      </w:r>
      <w:r w:rsidRPr="00094127">
        <w:rPr>
          <w:b/>
        </w:rPr>
        <w:t xml:space="preserve"> hearing </w:t>
      </w:r>
      <w:r w:rsidR="001D154F" w:rsidRPr="00094127">
        <w:rPr>
          <w:b/>
        </w:rPr>
        <w:t xml:space="preserve">beginning </w:t>
      </w:r>
      <w:r w:rsidRPr="00094127">
        <w:rPr>
          <w:b/>
        </w:rPr>
        <w:t xml:space="preserve">on Tuesday, </w:t>
      </w:r>
      <w:r w:rsidR="001D154F" w:rsidRPr="00094127">
        <w:rPr>
          <w:b/>
        </w:rPr>
        <w:t>February 14, 2017</w:t>
      </w:r>
      <w:r w:rsidRPr="00094127">
        <w:rPr>
          <w:b/>
        </w:rPr>
        <w:t xml:space="preserve">, at </w:t>
      </w:r>
      <w:r w:rsidR="001D154F" w:rsidRPr="00094127">
        <w:rPr>
          <w:b/>
        </w:rPr>
        <w:t>9</w:t>
      </w:r>
      <w:r w:rsidR="002F7B3F" w:rsidRPr="00094127">
        <w:rPr>
          <w:b/>
        </w:rPr>
        <w:t>:</w:t>
      </w:r>
      <w:r w:rsidR="001D154F" w:rsidRPr="00094127">
        <w:rPr>
          <w:b/>
        </w:rPr>
        <w:t>3</w:t>
      </w:r>
      <w:r w:rsidRPr="00094127">
        <w:rPr>
          <w:b/>
        </w:rPr>
        <w:t>0 a.m., in Room 206, Richard Hemstad Building, 1300 S. Evergreen Park Drive S.W., Olympia, Washington.</w:t>
      </w:r>
      <w:r w:rsidR="00B30D01" w:rsidRPr="00094127">
        <w:rPr>
          <w:b/>
        </w:rPr>
        <w:t xml:space="preserve"> The hearing will continue from day to day thereafter, or as otherwise scheduled, until completed. The Commission may alter this schedule by subsequent notice.</w:t>
      </w:r>
    </w:p>
    <w:p w14:paraId="660A6944" w14:textId="77777777" w:rsidR="00BD69F4" w:rsidRPr="00094127" w:rsidRDefault="00BD69F4" w:rsidP="00BD69F4">
      <w:pPr>
        <w:spacing w:line="264" w:lineRule="auto"/>
      </w:pPr>
    </w:p>
    <w:p w14:paraId="38754E43" w14:textId="77777777" w:rsidR="0096509A" w:rsidRPr="00094127" w:rsidRDefault="0096509A" w:rsidP="005658EC">
      <w:pPr>
        <w:ind w:left="720" w:hanging="720"/>
      </w:pPr>
    </w:p>
    <w:p w14:paraId="07484426" w14:textId="77777777" w:rsidR="008C40A2" w:rsidRPr="00094127" w:rsidRDefault="008C40A2" w:rsidP="005658EC">
      <w:pPr>
        <w:ind w:left="720" w:hanging="720"/>
      </w:pPr>
    </w:p>
    <w:p w14:paraId="7A6B172E" w14:textId="77777777" w:rsidR="0096509A" w:rsidRPr="00094127" w:rsidRDefault="0096509A" w:rsidP="005658EC">
      <w:pPr>
        <w:ind w:left="720" w:hanging="720"/>
      </w:pPr>
    </w:p>
    <w:p w14:paraId="79653472" w14:textId="77777777" w:rsidR="00606DDF" w:rsidRPr="00094127" w:rsidRDefault="00BD69F4" w:rsidP="005658EC">
      <w:r w:rsidRPr="00094127">
        <w:t>MARGUERITE E. FRIEDLANDER</w:t>
      </w:r>
    </w:p>
    <w:p w14:paraId="3A99F99E" w14:textId="77777777" w:rsidR="00606DDF" w:rsidRPr="00094127" w:rsidRDefault="00606DDF" w:rsidP="005658EC">
      <w:r w:rsidRPr="00094127">
        <w:t>Administrative Law Judge</w:t>
      </w:r>
    </w:p>
    <w:sectPr w:rsidR="00606DDF" w:rsidRPr="00094127" w:rsidSect="00094127">
      <w:headerReference w:type="default" r:id="rId11"/>
      <w:headerReference w:type="first" r:id="rId12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A518" w14:textId="77777777" w:rsidR="00D70D14" w:rsidRDefault="00D70D14" w:rsidP="00B314A6">
      <w:r>
        <w:separator/>
      </w:r>
    </w:p>
  </w:endnote>
  <w:endnote w:type="continuationSeparator" w:id="0">
    <w:p w14:paraId="706A1346" w14:textId="77777777" w:rsidR="00D70D14" w:rsidRDefault="00D70D14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A74C" w14:textId="77777777" w:rsidR="00D70D14" w:rsidRDefault="00D70D14" w:rsidP="00B314A6">
      <w:r>
        <w:separator/>
      </w:r>
    </w:p>
  </w:footnote>
  <w:footnote w:type="continuationSeparator" w:id="0">
    <w:p w14:paraId="1BD38F72" w14:textId="77777777" w:rsidR="00D70D14" w:rsidRDefault="00D70D14" w:rsidP="00B314A6">
      <w:r>
        <w:continuationSeparator/>
      </w:r>
    </w:p>
  </w:footnote>
  <w:footnote w:id="1">
    <w:p w14:paraId="4EA1A4FA" w14:textId="77777777" w:rsidR="001D154F" w:rsidRDefault="001D154F" w:rsidP="00094127">
      <w:pPr>
        <w:pStyle w:val="FootnoteText"/>
        <w:spacing w:after="120"/>
      </w:pPr>
      <w:r w:rsidRPr="00002A86">
        <w:rPr>
          <w:rStyle w:val="FootnoteReference"/>
          <w:sz w:val="22"/>
        </w:rPr>
        <w:footnoteRef/>
      </w:r>
      <w:r w:rsidRPr="00002A86">
        <w:rPr>
          <w:sz w:val="22"/>
        </w:rPr>
        <w:t xml:space="preserve"> </w:t>
      </w:r>
      <w:r>
        <w:rPr>
          <w:sz w:val="22"/>
        </w:rPr>
        <w:t>MEI agreed to respond to data requests propounded by Arrow Launch within five business days.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F64C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 </w:t>
    </w:r>
    <w:r w:rsidR="001D154F">
      <w:rPr>
        <w:b/>
        <w:bCs/>
        <w:sz w:val="20"/>
      </w:rPr>
      <w:t>TS-160479</w:t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427D12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6FF78F62" w14:textId="77777777" w:rsidR="002232CD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  <w:p w14:paraId="07449146" w14:textId="77777777" w:rsidR="00094127" w:rsidRPr="0097498A" w:rsidRDefault="00094127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28C12" w14:textId="0022BAB6" w:rsidR="00765D2E" w:rsidRPr="00765D2E" w:rsidRDefault="00765D2E" w:rsidP="00765D2E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="00427D12">
      <w:t>Service Date: December 29,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02A86"/>
    <w:rsid w:val="00051490"/>
    <w:rsid w:val="000711D9"/>
    <w:rsid w:val="00094127"/>
    <w:rsid w:val="000C7F26"/>
    <w:rsid w:val="000E640C"/>
    <w:rsid w:val="001C5AB1"/>
    <w:rsid w:val="001D154F"/>
    <w:rsid w:val="001E1D7A"/>
    <w:rsid w:val="001E3772"/>
    <w:rsid w:val="002232CD"/>
    <w:rsid w:val="00252B74"/>
    <w:rsid w:val="002C039A"/>
    <w:rsid w:val="002E33AD"/>
    <w:rsid w:val="002F7B3F"/>
    <w:rsid w:val="00330545"/>
    <w:rsid w:val="003A1DA6"/>
    <w:rsid w:val="003E5355"/>
    <w:rsid w:val="00427D12"/>
    <w:rsid w:val="00434DF8"/>
    <w:rsid w:val="004C2902"/>
    <w:rsid w:val="004F5B93"/>
    <w:rsid w:val="00500834"/>
    <w:rsid w:val="00503416"/>
    <w:rsid w:val="00552600"/>
    <w:rsid w:val="005658EC"/>
    <w:rsid w:val="005A6C74"/>
    <w:rsid w:val="005C1B7E"/>
    <w:rsid w:val="005C4EEE"/>
    <w:rsid w:val="005C517E"/>
    <w:rsid w:val="005D07DD"/>
    <w:rsid w:val="005E2372"/>
    <w:rsid w:val="00606DDF"/>
    <w:rsid w:val="00620247"/>
    <w:rsid w:val="00672F7B"/>
    <w:rsid w:val="006A41EE"/>
    <w:rsid w:val="007341FF"/>
    <w:rsid w:val="0076092F"/>
    <w:rsid w:val="00765D2E"/>
    <w:rsid w:val="007B7130"/>
    <w:rsid w:val="007F1296"/>
    <w:rsid w:val="0083315E"/>
    <w:rsid w:val="008C40A2"/>
    <w:rsid w:val="008D6337"/>
    <w:rsid w:val="00904F16"/>
    <w:rsid w:val="0096509A"/>
    <w:rsid w:val="0097498A"/>
    <w:rsid w:val="009E6B77"/>
    <w:rsid w:val="00A15436"/>
    <w:rsid w:val="00A40023"/>
    <w:rsid w:val="00A50088"/>
    <w:rsid w:val="00A66C68"/>
    <w:rsid w:val="00A733A0"/>
    <w:rsid w:val="00A84C2A"/>
    <w:rsid w:val="00AD3312"/>
    <w:rsid w:val="00AE273E"/>
    <w:rsid w:val="00B13041"/>
    <w:rsid w:val="00B148E4"/>
    <w:rsid w:val="00B30D01"/>
    <w:rsid w:val="00B314A6"/>
    <w:rsid w:val="00BD69F4"/>
    <w:rsid w:val="00C16635"/>
    <w:rsid w:val="00C5760B"/>
    <w:rsid w:val="00C62C38"/>
    <w:rsid w:val="00CB7763"/>
    <w:rsid w:val="00CF2FCB"/>
    <w:rsid w:val="00D70D14"/>
    <w:rsid w:val="00DA1B86"/>
    <w:rsid w:val="00DD2A47"/>
    <w:rsid w:val="00DF2CB8"/>
    <w:rsid w:val="00EB401C"/>
    <w:rsid w:val="00F21B68"/>
    <w:rsid w:val="00F477BA"/>
    <w:rsid w:val="00F64E5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B15C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A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2016-12-29T23:08:20+00:00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8E55EC-CB5F-4F5B-8C14-7816F9323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663CD-1FFD-4537-8CE4-3DC9A6C2FE2B}">
  <ds:schemaRefs>
    <ds:schemaRef ds:uri="http://www.w3.org/XML/1998/namespace"/>
    <ds:schemaRef ds:uri="http://schemas.microsoft.com/office/2006/metadata/properties"/>
    <ds:schemaRef ds:uri="4554ae50-06e8-4536-9b65-e0b3a2b78f82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7784F-24A4-4204-9C8D-BCFC1C300602}"/>
</file>

<file path=customXml/itemProps4.xml><?xml version="1.0" encoding="utf-8"?>
<ds:datastoreItem xmlns:ds="http://schemas.openxmlformats.org/officeDocument/2006/customXml" ds:itemID="{C219E2AD-7B70-481B-B088-59685F3302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9F4230-F8D6-42EA-A535-0F7BDF364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Revised Procedural Schedule and Notice of Evidentiary Hearing</dc:title>
  <dc:creator/>
  <cp:lastModifiedBy/>
  <cp:revision>1</cp:revision>
  <dcterms:created xsi:type="dcterms:W3CDTF">2016-12-29T22:54:00Z</dcterms:created>
  <dcterms:modified xsi:type="dcterms:W3CDTF">2016-12-29T22:57:00Z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