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BA684" w14:textId="77777777" w:rsidR="00FD6156" w:rsidRPr="004A1F6F" w:rsidRDefault="00FD6156" w:rsidP="00FD6156">
      <w:pPr>
        <w:tabs>
          <w:tab w:val="center" w:pos="4680"/>
        </w:tabs>
        <w:ind w:left="-360" w:right="-252"/>
        <w:jc w:val="center"/>
      </w:pPr>
      <w:r w:rsidRPr="004A1F6F">
        <w:t>BEFORE THE WASHINGTON UTILITIES AND TRANSPORTATION COMMISSION</w:t>
      </w:r>
    </w:p>
    <w:p w14:paraId="115BA685"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115BA696"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115BA686" w14:textId="77777777" w:rsidR="00FD6156" w:rsidRPr="004A1F6F" w:rsidRDefault="00FD6156" w:rsidP="00FD6156">
            <w:r w:rsidRPr="004A1F6F">
              <w:t>WASHINGTON UTILITIES AND TRANSPORTATION COMMISSION,</w:t>
            </w:r>
          </w:p>
          <w:p w14:paraId="115BA687" w14:textId="77777777" w:rsidR="00FD6156" w:rsidRPr="004A1F6F" w:rsidRDefault="00FD6156" w:rsidP="00FD6156"/>
          <w:p w14:paraId="115BA688" w14:textId="77777777" w:rsidR="00FD6156" w:rsidRPr="004A1F6F" w:rsidRDefault="00FD6156" w:rsidP="00FD6156">
            <w:pPr>
              <w:tabs>
                <w:tab w:val="left" w:pos="1800"/>
              </w:tabs>
            </w:pPr>
            <w:r w:rsidRPr="004A1F6F">
              <w:tab/>
              <w:t>Complainant,</w:t>
            </w:r>
          </w:p>
          <w:p w14:paraId="115BA689" w14:textId="77777777" w:rsidR="00FD6156" w:rsidRPr="004A1F6F" w:rsidRDefault="00FD6156" w:rsidP="00FD6156"/>
          <w:p w14:paraId="115BA68A" w14:textId="77777777" w:rsidR="00FD6156" w:rsidRPr="004A1F6F" w:rsidRDefault="00FD6156" w:rsidP="00FD6156">
            <w:r w:rsidRPr="004A1F6F">
              <w:t>v.</w:t>
            </w:r>
          </w:p>
          <w:p w14:paraId="115BA68B" w14:textId="77777777" w:rsidR="00FD6156" w:rsidRPr="004A1F6F" w:rsidRDefault="00FD6156" w:rsidP="00FD6156">
            <w:pPr>
              <w:jc w:val="center"/>
            </w:pPr>
          </w:p>
          <w:p w14:paraId="115BA68C" w14:textId="77777777" w:rsidR="00FD6156" w:rsidRPr="004A1F6F" w:rsidRDefault="00FD6156" w:rsidP="00FD6156">
            <w:r w:rsidRPr="004A1F6F">
              <w:t>AVISTA CORPORATION, dba</w:t>
            </w:r>
          </w:p>
          <w:p w14:paraId="115BA68D" w14:textId="77777777" w:rsidR="00FD6156" w:rsidRPr="004A1F6F" w:rsidRDefault="00FD6156" w:rsidP="00FD6156">
            <w:r w:rsidRPr="004A1F6F">
              <w:t>AVISTA UTILITIES,</w:t>
            </w:r>
          </w:p>
          <w:p w14:paraId="115BA68E" w14:textId="77777777" w:rsidR="00FD6156" w:rsidRPr="004A1F6F" w:rsidRDefault="00FD6156" w:rsidP="00FD6156">
            <w:pPr>
              <w:jc w:val="center"/>
            </w:pPr>
          </w:p>
          <w:p w14:paraId="115BA68F" w14:textId="77777777" w:rsidR="00FD6156" w:rsidRPr="004A1F6F" w:rsidRDefault="00FD6156" w:rsidP="00FD6156">
            <w:pPr>
              <w:tabs>
                <w:tab w:val="left" w:pos="1800"/>
              </w:tabs>
            </w:pPr>
            <w:r w:rsidRPr="004A1F6F">
              <w:tab/>
              <w:t>Respondent.</w:t>
            </w:r>
          </w:p>
          <w:p w14:paraId="115BA690"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115BA691" w14:textId="77777777" w:rsidR="00FD6156" w:rsidRPr="004A1F6F" w:rsidRDefault="00FD6156" w:rsidP="00FD6156">
            <w:pPr>
              <w:ind w:left="450"/>
            </w:pPr>
            <w:r w:rsidRPr="004A1F6F">
              <w:t xml:space="preserve">DOCKETS UE-150204 and </w:t>
            </w:r>
          </w:p>
          <w:p w14:paraId="115BA692" w14:textId="77777777" w:rsidR="00FD6156" w:rsidRPr="004A1F6F" w:rsidRDefault="00FD6156" w:rsidP="00FD6156">
            <w:pPr>
              <w:ind w:left="450"/>
            </w:pPr>
            <w:r w:rsidRPr="004A1F6F">
              <w:t xml:space="preserve">UG-150205 </w:t>
            </w:r>
            <w:r w:rsidRPr="004A1F6F">
              <w:rPr>
                <w:i/>
              </w:rPr>
              <w:t>(Consolidated)</w:t>
            </w:r>
          </w:p>
          <w:p w14:paraId="115BA693" w14:textId="77777777" w:rsidR="00FD6156" w:rsidRDefault="00FD6156" w:rsidP="00FD6156">
            <w:pPr>
              <w:tabs>
                <w:tab w:val="center" w:pos="4680"/>
              </w:tabs>
            </w:pPr>
          </w:p>
          <w:p w14:paraId="115BA694" w14:textId="77777777" w:rsidR="004A1F6F" w:rsidRPr="004A1F6F" w:rsidRDefault="004A1F6F" w:rsidP="004A1F6F">
            <w:pPr>
              <w:tabs>
                <w:tab w:val="center" w:pos="4680"/>
              </w:tabs>
              <w:ind w:left="498"/>
            </w:pPr>
            <w:r>
              <w:t>COMMISSION STAFF</w:t>
            </w:r>
            <w:r w:rsidR="00425796">
              <w:t>’S</w:t>
            </w:r>
            <w:r>
              <w:t xml:space="preserve"> SUPPLEMENTAL ARGUMENT ON BRIEF </w:t>
            </w:r>
          </w:p>
          <w:p w14:paraId="115BA695" w14:textId="77777777" w:rsidR="00FD6156" w:rsidRPr="004A1F6F" w:rsidRDefault="00FD6156" w:rsidP="00FD6156">
            <w:pPr>
              <w:tabs>
                <w:tab w:val="center" w:pos="4680"/>
              </w:tabs>
              <w:jc w:val="center"/>
            </w:pPr>
          </w:p>
        </w:tc>
      </w:tr>
    </w:tbl>
    <w:p w14:paraId="115BA697" w14:textId="77777777" w:rsidR="00FD6156" w:rsidRDefault="00FD6156" w:rsidP="00FD6156"/>
    <w:p w14:paraId="115BA698" w14:textId="77777777" w:rsidR="00E5126C" w:rsidRDefault="00425796" w:rsidP="00425796">
      <w:pPr>
        <w:pStyle w:val="ListParagraph"/>
        <w:numPr>
          <w:ilvl w:val="0"/>
          <w:numId w:val="15"/>
        </w:numPr>
        <w:spacing w:line="480" w:lineRule="auto"/>
        <w:contextualSpacing w:val="0"/>
      </w:pPr>
      <w:r>
        <w:tab/>
      </w:r>
      <w:r w:rsidRPr="00425796">
        <w:t>We offer for your consideration additional argument to present more clearly and forcefully, Commission Staff’s case on attrition and whether the Commission should grant Avista’s request for an attrition allowance.</w:t>
      </w:r>
    </w:p>
    <w:p w14:paraId="115BA699" w14:textId="77777777" w:rsidR="00425796" w:rsidRDefault="00425796" w:rsidP="00425796">
      <w:pPr>
        <w:pStyle w:val="ListParagraph"/>
        <w:numPr>
          <w:ilvl w:val="0"/>
          <w:numId w:val="15"/>
        </w:numPr>
        <w:spacing w:line="480" w:lineRule="auto"/>
        <w:contextualSpacing w:val="0"/>
      </w:pPr>
      <w:r>
        <w:tab/>
      </w:r>
      <w:r w:rsidRPr="00425796">
        <w:t>We offer no new or additional evidence, only a</w:t>
      </w:r>
      <w:r w:rsidR="008557D3">
        <w:t>n enhanced</w:t>
      </w:r>
      <w:r w:rsidRPr="00425796">
        <w:t xml:space="preserve"> emphasis </w:t>
      </w:r>
      <w:r w:rsidR="008557D3">
        <w:t>of the key elements of our</w:t>
      </w:r>
      <w:r w:rsidRPr="00425796">
        <w:t xml:space="preserve"> argument, while not exceeding the brief’s 60-page limitation. In short, the facts, circumstances, and record evidence warrant an attrition allowance in this case.</w:t>
      </w:r>
    </w:p>
    <w:p w14:paraId="115BA69A" w14:textId="77777777" w:rsidR="000163E7" w:rsidRDefault="00425796" w:rsidP="00425796">
      <w:pPr>
        <w:pStyle w:val="ListParagraph"/>
        <w:numPr>
          <w:ilvl w:val="0"/>
          <w:numId w:val="15"/>
        </w:numPr>
        <w:spacing w:line="480" w:lineRule="auto"/>
        <w:contextualSpacing w:val="0"/>
      </w:pPr>
      <w:r>
        <w:tab/>
      </w:r>
      <w:r w:rsidR="00C22552">
        <w:t xml:space="preserve">Through </w:t>
      </w:r>
      <w:r w:rsidR="008557D3">
        <w:t>his</w:t>
      </w:r>
      <w:r w:rsidR="00C22552">
        <w:t xml:space="preserve"> own attrition study, Commission Staff</w:t>
      </w:r>
      <w:r w:rsidR="008840C9">
        <w:t xml:space="preserve"> </w:t>
      </w:r>
      <w:r w:rsidR="008557D3">
        <w:t xml:space="preserve">witness Chris McGuire </w:t>
      </w:r>
      <w:r w:rsidR="008840C9">
        <w:t>determined that</w:t>
      </w:r>
      <w:r w:rsidR="008557D3">
        <w:t xml:space="preserve"> </w:t>
      </w:r>
      <w:r w:rsidR="008840C9">
        <w:t>“</w:t>
      </w:r>
      <w:r>
        <w:t xml:space="preserve">rates calculated using a modified historical test year approach will likely be insufficient to provide the Company with a fair opportunity to earn </w:t>
      </w:r>
      <w:r w:rsidR="00A42148">
        <w:t>the Settlement rate of return.”</w:t>
      </w:r>
      <w:r w:rsidR="005D057B">
        <w:rPr>
          <w:rStyle w:val="FootnoteReference"/>
        </w:rPr>
        <w:footnoteReference w:id="2"/>
      </w:r>
      <w:r>
        <w:t xml:space="preserve"> </w:t>
      </w:r>
      <w:r w:rsidR="000163E7">
        <w:t xml:space="preserve">To provide Avista with an opportunity to earn a fair rate of return, </w:t>
      </w:r>
      <w:r>
        <w:t>Staff recommends the Commission provide Avista with an attrition allowance of $14.7 million for electric operations and $5.4 million for natural gas operations.</w:t>
      </w:r>
      <w:r w:rsidR="005D057B">
        <w:rPr>
          <w:rStyle w:val="FootnoteReference"/>
        </w:rPr>
        <w:footnoteReference w:id="3"/>
      </w:r>
      <w:r>
        <w:t xml:space="preserve"> </w:t>
      </w:r>
      <w:r w:rsidR="000163E7">
        <w:t>As Staff explains</w:t>
      </w:r>
      <w:r w:rsidR="009F63CC">
        <w:t xml:space="preserve">, this </w:t>
      </w:r>
      <w:r w:rsidR="009F63CC">
        <w:lastRenderedPageBreak/>
        <w:t>attrition allowance would provide revenues incremental to the revenue requirement calculated using a modified historical test year approach.</w:t>
      </w:r>
      <w:r w:rsidR="003B6000">
        <w:rPr>
          <w:rStyle w:val="FootnoteReference"/>
        </w:rPr>
        <w:footnoteReference w:id="4"/>
      </w:r>
    </w:p>
    <w:p w14:paraId="115BA69B" w14:textId="77777777" w:rsidR="001F7436" w:rsidRDefault="00156BBD" w:rsidP="00425796">
      <w:pPr>
        <w:pStyle w:val="ListParagraph"/>
        <w:numPr>
          <w:ilvl w:val="0"/>
          <w:numId w:val="15"/>
        </w:numPr>
        <w:spacing w:line="480" w:lineRule="auto"/>
        <w:contextualSpacing w:val="0"/>
      </w:pPr>
      <w:r>
        <w:tab/>
      </w:r>
      <w:r w:rsidR="005B5A54">
        <w:t>The Commission has previously determined that prospective changes to load</w:t>
      </w:r>
      <w:r w:rsidR="00B124AD">
        <w:t xml:space="preserve"> may create the circumstances</w:t>
      </w:r>
      <w:r w:rsidR="005B5A54">
        <w:t xml:space="preserve"> sufficient to warrant an attrition </w:t>
      </w:r>
      <w:r w:rsidR="00B124AD">
        <w:t>adjustment.</w:t>
      </w:r>
      <w:r w:rsidR="00B124AD">
        <w:rPr>
          <w:rStyle w:val="FootnoteReference"/>
        </w:rPr>
        <w:footnoteReference w:id="5"/>
      </w:r>
      <w:r w:rsidR="00B124AD">
        <w:t xml:space="preserve"> L</w:t>
      </w:r>
      <w:r w:rsidR="00E54385">
        <w:t xml:space="preserve">ow load </w:t>
      </w:r>
      <w:r w:rsidR="008557D3">
        <w:t xml:space="preserve">growth </w:t>
      </w:r>
      <w:r w:rsidR="00BF4A19">
        <w:t>ails</w:t>
      </w:r>
      <w:r w:rsidR="00E54385">
        <w:t xml:space="preserve"> Avista presently.</w:t>
      </w:r>
      <w:r w:rsidR="006C1879">
        <w:rPr>
          <w:rStyle w:val="FootnoteReference"/>
        </w:rPr>
        <w:footnoteReference w:id="6"/>
      </w:r>
      <w:r w:rsidR="00E54385">
        <w:t xml:space="preserve"> </w:t>
      </w:r>
      <w:r w:rsidR="00E832A4">
        <w:t>Given</w:t>
      </w:r>
      <w:r w:rsidR="001F7436">
        <w:t xml:space="preserve"> Avista’s </w:t>
      </w:r>
      <w:r w:rsidR="00E832A4">
        <w:t xml:space="preserve">level of </w:t>
      </w:r>
      <w:r w:rsidR="001F7436">
        <w:t xml:space="preserve">load growth </w:t>
      </w:r>
      <w:r w:rsidR="00E832A4">
        <w:t>priced at current rates</w:t>
      </w:r>
      <w:r w:rsidR="00856CCF">
        <w:t xml:space="preserve"> coupled with ongoing capital expansion</w:t>
      </w:r>
      <w:r w:rsidR="00E832A4">
        <w:t>, Mr. McGuire’s attrition study shows a likelihood that Avista will not be able to recover its</w:t>
      </w:r>
      <w:r w:rsidR="001F7436">
        <w:t xml:space="preserve"> ordinary business expenses</w:t>
      </w:r>
      <w:r w:rsidR="00E832A4">
        <w:t xml:space="preserve"> and earn a fair return on rate base.</w:t>
      </w:r>
      <w:r w:rsidR="00496170">
        <w:rPr>
          <w:rStyle w:val="FootnoteReference"/>
        </w:rPr>
        <w:footnoteReference w:id="7"/>
      </w:r>
      <w:r w:rsidR="00E832A4">
        <w:t xml:space="preserve"> Therefore</w:t>
      </w:r>
      <w:r w:rsidR="001F7436">
        <w:t xml:space="preserve">, </w:t>
      </w:r>
      <w:r w:rsidR="00E832A4">
        <w:t xml:space="preserve">Avista </w:t>
      </w:r>
      <w:r w:rsidR="001F7436">
        <w:t xml:space="preserve">will likely experience </w:t>
      </w:r>
      <w:r w:rsidR="00E832A4">
        <w:t xml:space="preserve">earnings </w:t>
      </w:r>
      <w:r w:rsidR="001F7436">
        <w:t>attrition</w:t>
      </w:r>
      <w:r w:rsidR="00C530B6">
        <w:t xml:space="preserve"> in the rate-effective period</w:t>
      </w:r>
      <w:r w:rsidR="001F7436">
        <w:t xml:space="preserve">. </w:t>
      </w:r>
      <w:r w:rsidR="00D5424F">
        <w:t xml:space="preserve">As Mr. McGuire </w:t>
      </w:r>
      <w:r w:rsidR="00DD50E1">
        <w:t>testified</w:t>
      </w:r>
      <w:r w:rsidR="00D5424F">
        <w:t xml:space="preserve">, “Avista has been experiencing very low load growth </w:t>
      </w:r>
      <w:r w:rsidR="001C2D8B">
        <w:t>over the last several years, an</w:t>
      </w:r>
      <w:r w:rsidR="00C530B6">
        <w:t>d</w:t>
      </w:r>
      <w:r w:rsidR="001C2D8B">
        <w:t xml:space="preserve"> if that load growth continues at a slow pace, the Company is not going to be able to generate the revenues necessary to cover the expenses moving forward.”</w:t>
      </w:r>
      <w:r w:rsidR="001C2D8B">
        <w:rPr>
          <w:rStyle w:val="FootnoteReference"/>
        </w:rPr>
        <w:footnoteReference w:id="8"/>
      </w:r>
      <w:r w:rsidR="00914779">
        <w:t xml:space="preserve"> </w:t>
      </w:r>
      <w:r w:rsidR="00311241">
        <w:t xml:space="preserve">It is </w:t>
      </w:r>
      <w:r w:rsidR="00856CCF">
        <w:t xml:space="preserve">Avista’s need to maintain the reliability of its electricity and gas delivery systems coupled with </w:t>
      </w:r>
      <w:r w:rsidR="00311241">
        <w:t xml:space="preserve">low growth in load that defines an extraordinary circumstance. </w:t>
      </w:r>
      <w:r w:rsidR="00914779">
        <w:t>Thus, “extraordinary circumstances” has been met in this case.</w:t>
      </w:r>
    </w:p>
    <w:p w14:paraId="115BA69C" w14:textId="77777777" w:rsidR="00914779" w:rsidRDefault="00156BBD" w:rsidP="00425796">
      <w:pPr>
        <w:pStyle w:val="ListParagraph"/>
        <w:numPr>
          <w:ilvl w:val="0"/>
          <w:numId w:val="15"/>
        </w:numPr>
        <w:spacing w:line="480" w:lineRule="auto"/>
        <w:contextualSpacing w:val="0"/>
      </w:pPr>
      <w:r>
        <w:tab/>
      </w:r>
      <w:r w:rsidR="00311241">
        <w:t>T</w:t>
      </w:r>
      <w:r w:rsidR="003C7F7D">
        <w:t xml:space="preserve">he Commission need only rely on an attrition study to determine whether </w:t>
      </w:r>
      <w:r w:rsidR="00BE7BEB">
        <w:t>the Company is experiencing</w:t>
      </w:r>
      <w:r w:rsidR="003C7F7D">
        <w:t xml:space="preserve"> differential rates of growth in revenues, expenses and rate base.</w:t>
      </w:r>
      <w:r w:rsidR="00DE6906">
        <w:rPr>
          <w:rStyle w:val="FootnoteReference"/>
        </w:rPr>
        <w:footnoteReference w:id="9"/>
      </w:r>
      <w:r w:rsidR="00793609">
        <w:t xml:space="preserve"> </w:t>
      </w:r>
      <w:r w:rsidR="00101613">
        <w:t xml:space="preserve"> </w:t>
      </w:r>
      <w:r w:rsidR="00793609">
        <w:t xml:space="preserve">Mr. McGuire explains that “[a]n attrition study </w:t>
      </w:r>
      <w:r w:rsidR="00793609">
        <w:rPr>
          <w:lang w:eastAsia="x-none"/>
        </w:rPr>
        <w:t>evaluates prevailing rates of growth in revenue, expenses and rate base</w:t>
      </w:r>
      <w:r w:rsidR="00793609" w:rsidDel="00C01D74">
        <w:rPr>
          <w:lang w:eastAsia="x-none"/>
        </w:rPr>
        <w:t xml:space="preserve"> </w:t>
      </w:r>
      <w:r w:rsidR="00793609">
        <w:rPr>
          <w:lang w:eastAsia="x-none"/>
        </w:rPr>
        <w:t xml:space="preserve">to determine if there is evidence to indicate whether those </w:t>
      </w:r>
      <w:r w:rsidR="00793609">
        <w:rPr>
          <w:lang w:eastAsia="x-none"/>
        </w:rPr>
        <w:lastRenderedPageBreak/>
        <w:t>relationships, known and measured in the test period, are likely to be materially different than those in the rate-effective period.</w:t>
      </w:r>
      <w:r w:rsidR="00DB3F80">
        <w:rPr>
          <w:lang w:eastAsia="x-none"/>
        </w:rPr>
        <w:t>”</w:t>
      </w:r>
      <w:r w:rsidR="004554DF">
        <w:rPr>
          <w:rStyle w:val="FootnoteReference"/>
          <w:lang w:eastAsia="x-none"/>
        </w:rPr>
        <w:footnoteReference w:id="10"/>
      </w:r>
      <w:r w:rsidR="00DB3F80">
        <w:rPr>
          <w:lang w:eastAsia="x-none"/>
        </w:rPr>
        <w:t xml:space="preserve"> </w:t>
      </w:r>
      <w:r w:rsidR="00101613">
        <w:t>Staff’s objective attrition analysis</w:t>
      </w:r>
      <w:r w:rsidR="00DB3F80">
        <w:t xml:space="preserve">, while adhering to the basic </w:t>
      </w:r>
      <w:r w:rsidR="004554DF">
        <w:t xml:space="preserve">scientifically objective, </w:t>
      </w:r>
      <w:r w:rsidR="00DB3F80">
        <w:t>analytical parameters accepted by this Commission,</w:t>
      </w:r>
      <w:r w:rsidR="00DB3F80">
        <w:rPr>
          <w:rStyle w:val="FootnoteReference"/>
        </w:rPr>
        <w:footnoteReference w:id="11"/>
      </w:r>
      <w:r w:rsidR="00101613">
        <w:t xml:space="preserve"> demonstrates that an attrition allowance is warranted in this case.</w:t>
      </w:r>
      <w:r w:rsidR="00850310">
        <w:rPr>
          <w:rStyle w:val="FootnoteReference"/>
        </w:rPr>
        <w:footnoteReference w:id="12"/>
      </w:r>
      <w:r w:rsidR="00101613">
        <w:t xml:space="preserve"> </w:t>
      </w:r>
      <w:r w:rsidR="00311241">
        <w:t>Reliance on a modified historical test year requires that the</w:t>
      </w:r>
      <w:r w:rsidR="006414B9">
        <w:t xml:space="preserve"> test year</w:t>
      </w:r>
      <w:r w:rsidR="00311241">
        <w:t xml:space="preserve"> </w:t>
      </w:r>
      <w:r w:rsidR="00BB3F83">
        <w:t xml:space="preserve">relationships between </w:t>
      </w:r>
      <w:r w:rsidR="00311241">
        <w:t>revenue</w:t>
      </w:r>
      <w:r w:rsidR="00BB3F83">
        <w:t xml:space="preserve">, </w:t>
      </w:r>
      <w:r w:rsidR="006414B9">
        <w:t>expenses</w:t>
      </w:r>
      <w:r w:rsidR="00BB3F83">
        <w:t xml:space="preserve"> and </w:t>
      </w:r>
      <w:r w:rsidR="00311241">
        <w:t xml:space="preserve">rate base will hold into the rate year.  </w:t>
      </w:r>
      <w:r w:rsidR="006414B9">
        <w:t>Mr. Mc</w:t>
      </w:r>
      <w:r w:rsidR="00BB3F83">
        <w:t xml:space="preserve">Guire’s attrition analysis proves that these relationships will </w:t>
      </w:r>
      <w:r w:rsidR="006414B9">
        <w:t>fall out of balance</w:t>
      </w:r>
      <w:r w:rsidR="00BB3F83">
        <w:t xml:space="preserve"> during the rate year </w:t>
      </w:r>
      <w:r w:rsidR="006414B9">
        <w:t xml:space="preserve">thus </w:t>
      </w:r>
      <w:r w:rsidR="00BB3F83">
        <w:t xml:space="preserve">requiring </w:t>
      </w:r>
      <w:r w:rsidR="006414B9">
        <w:t xml:space="preserve">the attrition adjustment </w:t>
      </w:r>
      <w:r w:rsidR="00311241">
        <w:t>presented by Mr. McGuire.</w:t>
      </w:r>
    </w:p>
    <w:p w14:paraId="115BA69D" w14:textId="77777777" w:rsidR="00FD6156" w:rsidRPr="00FD6156" w:rsidRDefault="00425796" w:rsidP="00425796">
      <w:pPr>
        <w:pStyle w:val="ListParagraph"/>
        <w:numPr>
          <w:ilvl w:val="0"/>
          <w:numId w:val="15"/>
        </w:numPr>
        <w:spacing w:line="480" w:lineRule="auto"/>
        <w:contextualSpacing w:val="0"/>
      </w:pPr>
      <w:r>
        <w:tab/>
        <w:t xml:space="preserve">Put simply, </w:t>
      </w:r>
      <w:r w:rsidR="00886455">
        <w:t>there is ample evidence in this case</w:t>
      </w:r>
      <w:r w:rsidR="00842977">
        <w:t>, both subjective and scientific,</w:t>
      </w:r>
      <w:r w:rsidR="00886455">
        <w:t xml:space="preserve"> demonstrating that</w:t>
      </w:r>
      <w:r>
        <w:t xml:space="preserve"> </w:t>
      </w:r>
      <w:r w:rsidR="00E832A4">
        <w:t xml:space="preserve">the simple determination of rates based on an historical modified test year will not suffice to offer Avista an opportunity to earn a fair rate of return, and that </w:t>
      </w:r>
      <w:r w:rsidR="00886455">
        <w:t xml:space="preserve">an attrition allowance is necessary to provide Avista with </w:t>
      </w:r>
      <w:r w:rsidR="004503E0">
        <w:t>that</w:t>
      </w:r>
      <w:r w:rsidR="00886455">
        <w:t xml:space="preserve"> fair opportunity.</w:t>
      </w:r>
      <w:r w:rsidR="004503E0">
        <w:t xml:space="preserve"> Staff reiterates our support of an attrition allowance as a reasonable means to determine fair, just</w:t>
      </w:r>
      <w:r w:rsidR="004554DF">
        <w:t>, reasonable</w:t>
      </w:r>
      <w:r w:rsidR="004503E0">
        <w:t xml:space="preserve"> and sufficient rates.</w:t>
      </w:r>
      <w:r w:rsidR="00886455">
        <w:t xml:space="preserve"> </w:t>
      </w:r>
    </w:p>
    <w:p w14:paraId="115BA69E" w14:textId="77777777" w:rsidR="003B3320" w:rsidRDefault="003B3320" w:rsidP="00156BBD">
      <w:pPr>
        <w:ind w:left="720"/>
      </w:pPr>
      <w:r w:rsidRPr="003B3320">
        <w:t xml:space="preserve">DATED this </w:t>
      </w:r>
      <w:r w:rsidR="00156BBD">
        <w:t>4th</w:t>
      </w:r>
      <w:r w:rsidR="00E5126C">
        <w:t xml:space="preserve"> day of Dec</w:t>
      </w:r>
      <w:r w:rsidRPr="003B3320">
        <w:t>ember 2015.</w:t>
      </w:r>
    </w:p>
    <w:p w14:paraId="115BA69F" w14:textId="77777777" w:rsidR="00156BBD" w:rsidRPr="003B3320" w:rsidRDefault="00156BBD" w:rsidP="00156BBD">
      <w:pPr>
        <w:ind w:left="720"/>
      </w:pPr>
    </w:p>
    <w:p w14:paraId="115BA6A0" w14:textId="77777777" w:rsidR="003B3320" w:rsidRPr="003B3320" w:rsidRDefault="003B3320" w:rsidP="00156BBD">
      <w:pPr>
        <w:ind w:left="4320"/>
        <w:jc w:val="both"/>
      </w:pPr>
      <w:r w:rsidRPr="003B3320">
        <w:t xml:space="preserve">Respectfully submitted, </w:t>
      </w:r>
    </w:p>
    <w:p w14:paraId="115BA6A1" w14:textId="77777777" w:rsidR="003B3320" w:rsidRPr="003B3320" w:rsidRDefault="003B3320" w:rsidP="00156BBD">
      <w:pPr>
        <w:ind w:left="4320"/>
        <w:jc w:val="both"/>
      </w:pPr>
    </w:p>
    <w:p w14:paraId="115BA6A2" w14:textId="77777777" w:rsidR="003B3320" w:rsidRPr="003B3320" w:rsidRDefault="003B3320" w:rsidP="00156BBD">
      <w:pPr>
        <w:ind w:left="4320"/>
        <w:jc w:val="both"/>
      </w:pPr>
      <w:r w:rsidRPr="003B3320">
        <w:t xml:space="preserve">ROBERT W. FERGUSON </w:t>
      </w:r>
    </w:p>
    <w:p w14:paraId="115BA6A3" w14:textId="77777777" w:rsidR="003B3320" w:rsidRDefault="003B3320" w:rsidP="00156BBD">
      <w:pPr>
        <w:ind w:left="4320"/>
        <w:jc w:val="both"/>
      </w:pPr>
      <w:r w:rsidRPr="003B3320">
        <w:t>Attorney General</w:t>
      </w:r>
    </w:p>
    <w:p w14:paraId="115BA6A4" w14:textId="77777777" w:rsidR="00425796" w:rsidRPr="003B3320" w:rsidRDefault="00425796" w:rsidP="00156BBD">
      <w:pPr>
        <w:ind w:left="4320"/>
        <w:jc w:val="both"/>
      </w:pPr>
    </w:p>
    <w:p w14:paraId="115BA6A5" w14:textId="77777777" w:rsidR="003B3320" w:rsidRPr="003B3320" w:rsidRDefault="003B3320" w:rsidP="00156BBD">
      <w:pPr>
        <w:ind w:left="4320"/>
        <w:jc w:val="both"/>
      </w:pPr>
    </w:p>
    <w:p w14:paraId="115BA6A6" w14:textId="77777777" w:rsidR="003B3320" w:rsidRPr="003B3320" w:rsidRDefault="003B3320" w:rsidP="00156BBD">
      <w:pPr>
        <w:ind w:left="4320"/>
        <w:jc w:val="both"/>
      </w:pPr>
      <w:r w:rsidRPr="003B3320">
        <w:t>______________________________________</w:t>
      </w:r>
    </w:p>
    <w:p w14:paraId="115BA6A7" w14:textId="77777777" w:rsidR="003B3320" w:rsidRPr="003B3320" w:rsidRDefault="00E5126C" w:rsidP="00156BBD">
      <w:pPr>
        <w:ind w:left="4320"/>
        <w:jc w:val="both"/>
      </w:pPr>
      <w:r>
        <w:t>SALLY BROWN</w:t>
      </w:r>
    </w:p>
    <w:p w14:paraId="115BA6A8" w14:textId="77777777" w:rsidR="003B3320" w:rsidRPr="003B3320" w:rsidRDefault="00E5126C" w:rsidP="00156BBD">
      <w:pPr>
        <w:ind w:left="4320"/>
        <w:jc w:val="both"/>
      </w:pPr>
      <w:r>
        <w:t xml:space="preserve">Senior </w:t>
      </w:r>
      <w:r w:rsidR="003B3320" w:rsidRPr="003B3320">
        <w:t>Assistant Attorney General</w:t>
      </w:r>
    </w:p>
    <w:p w14:paraId="115BA6A9" w14:textId="77777777" w:rsidR="003B3320" w:rsidRPr="003B3320" w:rsidRDefault="003B3320" w:rsidP="00156BBD">
      <w:pPr>
        <w:ind w:left="4320"/>
        <w:jc w:val="both"/>
      </w:pPr>
      <w:r w:rsidRPr="003B3320">
        <w:t>Counsel for Washington Utilities and</w:t>
      </w:r>
    </w:p>
    <w:p w14:paraId="115BA6AA" w14:textId="77777777" w:rsidR="006A5D82" w:rsidRPr="003B3320" w:rsidRDefault="003B3320" w:rsidP="00156BBD">
      <w:pPr>
        <w:ind w:left="4320"/>
        <w:jc w:val="both"/>
      </w:pPr>
      <w:r w:rsidRPr="003B3320">
        <w:t>Transportation Commission Staff</w:t>
      </w:r>
    </w:p>
    <w:sectPr w:rsidR="006A5D82" w:rsidRPr="003B3320" w:rsidSect="00425796">
      <w:footerReference w:type="default" r:id="rId11"/>
      <w:pgSz w:w="12240" w:h="15840" w:code="1"/>
      <w:pgMar w:top="1440" w:right="1440" w:bottom="720" w:left="187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A6AE" w14:textId="77777777" w:rsidR="00156EE6" w:rsidRDefault="00156EE6" w:rsidP="00321309">
      <w:r>
        <w:separator/>
      </w:r>
    </w:p>
  </w:endnote>
  <w:endnote w:type="continuationSeparator" w:id="0">
    <w:p w14:paraId="115BA6AF" w14:textId="77777777" w:rsidR="00156EE6" w:rsidRDefault="00156EE6" w:rsidP="00321309">
      <w:r>
        <w:continuationSeparator/>
      </w:r>
    </w:p>
  </w:endnote>
  <w:endnote w:type="continuationNotice" w:id="1">
    <w:p w14:paraId="115BA6B0" w14:textId="77777777" w:rsidR="00156EE6" w:rsidRDefault="0015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A6B1" w14:textId="77777777" w:rsidR="00726FEF" w:rsidRPr="00FD6156" w:rsidRDefault="00726FEF">
    <w:pPr>
      <w:pStyle w:val="Footer"/>
    </w:pPr>
  </w:p>
  <w:p w14:paraId="115BA6B2" w14:textId="77777777" w:rsidR="00425796" w:rsidRDefault="00425796">
    <w:pPr>
      <w:pStyle w:val="Footer"/>
      <w:rPr>
        <w:sz w:val="20"/>
        <w:szCs w:val="20"/>
      </w:rPr>
    </w:pPr>
    <w:r>
      <w:rPr>
        <w:sz w:val="20"/>
        <w:szCs w:val="20"/>
      </w:rPr>
      <w:t>SUPPLEMENTAL ARGUMENT ON BRIEF</w:t>
    </w:r>
  </w:p>
  <w:p w14:paraId="115BA6B3" w14:textId="77777777" w:rsidR="00726FEF" w:rsidRDefault="00425796">
    <w:pPr>
      <w:pStyle w:val="Footer"/>
      <w:rPr>
        <w:rStyle w:val="PageNumber"/>
        <w:sz w:val="20"/>
        <w:szCs w:val="20"/>
      </w:rPr>
    </w:pPr>
    <w:r>
      <w:rPr>
        <w:sz w:val="20"/>
        <w:szCs w:val="20"/>
      </w:rPr>
      <w:t>ON BEHALF OF COMMISSION STAFF</w:t>
    </w:r>
    <w:r w:rsidR="00726FEF" w:rsidRPr="00FD6156">
      <w:rPr>
        <w:sz w:val="20"/>
        <w:szCs w:val="20"/>
      </w:rPr>
      <w:t xml:space="preserve"> - </w:t>
    </w:r>
    <w:r w:rsidR="00726FEF" w:rsidRPr="00FD6156">
      <w:rPr>
        <w:rStyle w:val="PageNumber"/>
        <w:sz w:val="20"/>
        <w:szCs w:val="20"/>
      </w:rPr>
      <w:fldChar w:fldCharType="begin"/>
    </w:r>
    <w:r w:rsidR="00726FEF" w:rsidRPr="00FD6156">
      <w:rPr>
        <w:rStyle w:val="PageNumber"/>
        <w:sz w:val="20"/>
        <w:szCs w:val="20"/>
      </w:rPr>
      <w:instrText xml:space="preserve"> PAGE </w:instrText>
    </w:r>
    <w:r w:rsidR="00726FEF" w:rsidRPr="00FD6156">
      <w:rPr>
        <w:rStyle w:val="PageNumber"/>
        <w:sz w:val="20"/>
        <w:szCs w:val="20"/>
      </w:rPr>
      <w:fldChar w:fldCharType="separate"/>
    </w:r>
    <w:r w:rsidR="002C6906">
      <w:rPr>
        <w:rStyle w:val="PageNumber"/>
        <w:noProof/>
        <w:sz w:val="20"/>
        <w:szCs w:val="20"/>
      </w:rPr>
      <w:t>3</w:t>
    </w:r>
    <w:r w:rsidR="00726FEF" w:rsidRPr="00FD6156">
      <w:rPr>
        <w:rStyle w:val="PageNumber"/>
        <w:sz w:val="20"/>
        <w:szCs w:val="20"/>
      </w:rPr>
      <w:fldChar w:fldCharType="end"/>
    </w:r>
  </w:p>
  <w:p w14:paraId="115BA6B4" w14:textId="77777777" w:rsidR="00156BBD" w:rsidRPr="00FD6156" w:rsidRDefault="00156BB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BA6AB" w14:textId="77777777" w:rsidR="00156EE6" w:rsidRDefault="00156EE6" w:rsidP="00321309">
      <w:r>
        <w:separator/>
      </w:r>
    </w:p>
  </w:footnote>
  <w:footnote w:type="continuationSeparator" w:id="0">
    <w:p w14:paraId="115BA6AC" w14:textId="77777777" w:rsidR="00156EE6" w:rsidRDefault="00156EE6" w:rsidP="00321309">
      <w:r>
        <w:continuationSeparator/>
      </w:r>
    </w:p>
  </w:footnote>
  <w:footnote w:type="continuationNotice" w:id="1">
    <w:p w14:paraId="115BA6AD" w14:textId="77777777" w:rsidR="00156EE6" w:rsidRDefault="00156EE6"/>
  </w:footnote>
  <w:footnote w:id="2">
    <w:p w14:paraId="115BA6B5" w14:textId="77777777" w:rsidR="005D057B" w:rsidRDefault="005D057B">
      <w:pPr>
        <w:pStyle w:val="FootnoteText"/>
      </w:pPr>
      <w:r>
        <w:rPr>
          <w:rStyle w:val="FootnoteReference"/>
        </w:rPr>
        <w:footnoteRef/>
      </w:r>
      <w:r>
        <w:t xml:space="preserve"> CRM-1T, 5:13-15</w:t>
      </w:r>
      <w:r w:rsidR="003B0622">
        <w:t>.</w:t>
      </w:r>
    </w:p>
  </w:footnote>
  <w:footnote w:id="3">
    <w:p w14:paraId="115BA6B6" w14:textId="77777777" w:rsidR="005D057B" w:rsidRDefault="005D057B">
      <w:pPr>
        <w:pStyle w:val="FootnoteText"/>
      </w:pPr>
      <w:r>
        <w:rPr>
          <w:rStyle w:val="FootnoteReference"/>
        </w:rPr>
        <w:footnoteRef/>
      </w:r>
      <w:r>
        <w:t xml:space="preserve"> CRM-1T, 28:8-12.</w:t>
      </w:r>
    </w:p>
  </w:footnote>
  <w:footnote w:id="4">
    <w:p w14:paraId="115BA6B7" w14:textId="77777777" w:rsidR="003B6000" w:rsidRDefault="003B6000">
      <w:pPr>
        <w:pStyle w:val="FootnoteText"/>
      </w:pPr>
      <w:r>
        <w:rPr>
          <w:rStyle w:val="FootnoteReference"/>
        </w:rPr>
        <w:footnoteRef/>
      </w:r>
      <w:r>
        <w:t xml:space="preserve"> </w:t>
      </w:r>
      <w:r w:rsidR="003B0622" w:rsidRPr="00E4573B">
        <w:t>CRM-1T, 5:19-20.</w:t>
      </w:r>
    </w:p>
  </w:footnote>
  <w:footnote w:id="5">
    <w:p w14:paraId="115BA6B8" w14:textId="70F5EFB6" w:rsidR="00B124AD" w:rsidRDefault="00B124AD">
      <w:pPr>
        <w:pStyle w:val="FootnoteText"/>
      </w:pPr>
      <w:r>
        <w:rPr>
          <w:rStyle w:val="FootnoteReference"/>
        </w:rPr>
        <w:footnoteRef/>
      </w:r>
      <w:r>
        <w:t xml:space="preserve"> </w:t>
      </w:r>
      <w:r w:rsidRPr="007B1973">
        <w:rPr>
          <w:i/>
        </w:rPr>
        <w:t xml:space="preserve">Wash. Utils. </w:t>
      </w:r>
      <w:r>
        <w:rPr>
          <w:i/>
        </w:rPr>
        <w:t>&amp;</w:t>
      </w:r>
      <w:r w:rsidRPr="007B1973">
        <w:rPr>
          <w:i/>
        </w:rPr>
        <w:t xml:space="preserve"> Transp. Com</w:t>
      </w:r>
      <w:r>
        <w:rPr>
          <w:i/>
        </w:rPr>
        <w:t xml:space="preserve">m’n v. Cascade Natural Gas Co., </w:t>
      </w:r>
      <w:r w:rsidRPr="00347366">
        <w:t>Cause U-77-83, 2</w:t>
      </w:r>
      <w:r w:rsidRPr="00347366">
        <w:rPr>
          <w:vertAlign w:val="superscript"/>
        </w:rPr>
        <w:t>nd</w:t>
      </w:r>
      <w:r w:rsidRPr="00347366">
        <w:t xml:space="preserve"> </w:t>
      </w:r>
      <w:r w:rsidR="002C6906">
        <w:t>Supp</w:t>
      </w:r>
      <w:r w:rsidRPr="00347366">
        <w:t>. Order</w:t>
      </w:r>
      <w:r>
        <w:t xml:space="preserve"> at 10</w:t>
      </w:r>
      <w:r w:rsidR="002C6906">
        <w:t>, CRM-1T at n.25,</w:t>
      </w:r>
      <w:bookmarkStart w:id="0" w:name="_GoBack"/>
      <w:bookmarkEnd w:id="0"/>
      <w:r w:rsidR="00DD50E1">
        <w:t xml:space="preserve"> CRM-6 at 2.</w:t>
      </w:r>
    </w:p>
  </w:footnote>
  <w:footnote w:id="6">
    <w:p w14:paraId="115BA6B9" w14:textId="77777777" w:rsidR="006C1879" w:rsidRDefault="006C1879">
      <w:pPr>
        <w:pStyle w:val="FootnoteText"/>
      </w:pPr>
      <w:r>
        <w:rPr>
          <w:rStyle w:val="FootnoteReference"/>
        </w:rPr>
        <w:footnoteRef/>
      </w:r>
      <w:r>
        <w:t xml:space="preserve"> </w:t>
      </w:r>
      <w:r w:rsidR="008F6325">
        <w:t xml:space="preserve">CRM-1T, 16:10-15. </w:t>
      </w:r>
      <w:r>
        <w:t xml:space="preserve"> </w:t>
      </w:r>
    </w:p>
  </w:footnote>
  <w:footnote w:id="7">
    <w:p w14:paraId="115BA6BA" w14:textId="77777777" w:rsidR="00496170" w:rsidRDefault="00496170">
      <w:pPr>
        <w:pStyle w:val="FootnoteText"/>
      </w:pPr>
      <w:r>
        <w:rPr>
          <w:rStyle w:val="FootnoteReference"/>
        </w:rPr>
        <w:footnoteRef/>
      </w:r>
      <w:r>
        <w:t xml:space="preserve"> CRM-1T, 27:16-28:4. </w:t>
      </w:r>
    </w:p>
  </w:footnote>
  <w:footnote w:id="8">
    <w:p w14:paraId="115BA6BB" w14:textId="77777777" w:rsidR="001C2D8B" w:rsidRDefault="001C2D8B">
      <w:pPr>
        <w:pStyle w:val="FootnoteText"/>
      </w:pPr>
      <w:r>
        <w:rPr>
          <w:rStyle w:val="FootnoteReference"/>
        </w:rPr>
        <w:footnoteRef/>
      </w:r>
      <w:r>
        <w:t xml:space="preserve"> McGuire TR. 446:24-447:3.</w:t>
      </w:r>
    </w:p>
  </w:footnote>
  <w:footnote w:id="9">
    <w:p w14:paraId="115BA6BC" w14:textId="77777777" w:rsidR="00DE6906" w:rsidRPr="00DE6906" w:rsidRDefault="00DE6906">
      <w:pPr>
        <w:pStyle w:val="FootnoteText"/>
      </w:pPr>
      <w:r>
        <w:rPr>
          <w:rStyle w:val="FootnoteReference"/>
        </w:rPr>
        <w:footnoteRef/>
      </w:r>
      <w:r>
        <w:t xml:space="preserve"> CRM-1T, 28:19-22. Mr. </w:t>
      </w:r>
      <w:r w:rsidRPr="00DE6906">
        <w:t>McGuire explains that “</w:t>
      </w:r>
      <w:r w:rsidRPr="00A42148">
        <w:t>In ratemaking, the term “attrition” typically refers to the erosion of a company’s rate of return over time because the historical test period relationship in revenues, expenses and rate base does not hold during a future rate year.  If this erosion occurs, it can deprive the utility of a reasonable opportunity to earn a fair rate of return</w:t>
      </w:r>
      <w:r w:rsidRPr="00856CCF">
        <w:rPr>
          <w:rStyle w:val="LineNumber"/>
          <w:sz w:val="20"/>
          <w:szCs w:val="20"/>
        </w:rPr>
        <w:t>.</w:t>
      </w:r>
      <w:r w:rsidR="00850310">
        <w:rPr>
          <w:rStyle w:val="LineNumber"/>
          <w:sz w:val="20"/>
          <w:szCs w:val="20"/>
        </w:rPr>
        <w:t>”</w:t>
      </w:r>
      <w:r w:rsidRPr="00856CCF">
        <w:rPr>
          <w:rStyle w:val="LineNumber"/>
          <w:sz w:val="20"/>
          <w:szCs w:val="20"/>
        </w:rPr>
        <w:t xml:space="preserve">  </w:t>
      </w:r>
    </w:p>
  </w:footnote>
  <w:footnote w:id="10">
    <w:p w14:paraId="115BA6BD" w14:textId="77777777" w:rsidR="004554DF" w:rsidRDefault="004554DF">
      <w:pPr>
        <w:pStyle w:val="FootnoteText"/>
      </w:pPr>
      <w:r>
        <w:rPr>
          <w:rStyle w:val="FootnoteReference"/>
        </w:rPr>
        <w:footnoteRef/>
      </w:r>
      <w:r>
        <w:t xml:space="preserve"> CRM-1T, 34:1-4.</w:t>
      </w:r>
    </w:p>
  </w:footnote>
  <w:footnote w:id="11">
    <w:p w14:paraId="115BA6BE" w14:textId="77777777" w:rsidR="00DB3F80" w:rsidRDefault="00DB3F80">
      <w:pPr>
        <w:pStyle w:val="FootnoteText"/>
      </w:pPr>
      <w:r>
        <w:rPr>
          <w:rStyle w:val="FootnoteReference"/>
        </w:rPr>
        <w:footnoteRef/>
      </w:r>
      <w:r>
        <w:t xml:space="preserve"> CRM-1T, 33:6-13.</w:t>
      </w:r>
    </w:p>
  </w:footnote>
  <w:footnote w:id="12">
    <w:p w14:paraId="115BA6BF" w14:textId="77777777" w:rsidR="00850310" w:rsidRPr="00850310" w:rsidRDefault="00850310">
      <w:pPr>
        <w:pStyle w:val="FootnoteText"/>
      </w:pPr>
      <w:r>
        <w:rPr>
          <w:rStyle w:val="FootnoteReference"/>
        </w:rPr>
        <w:footnoteRef/>
      </w:r>
      <w:r>
        <w:t xml:space="preserve"> </w:t>
      </w:r>
      <w:r>
        <w:rPr>
          <w:i/>
        </w:rPr>
        <w:t>See</w:t>
      </w:r>
      <w:r>
        <w:t xml:space="preserve"> CRM-2 and CRM-3.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A551F"/>
    <w:multiLevelType w:val="hybridMultilevel"/>
    <w:tmpl w:val="90FA2F48"/>
    <w:lvl w:ilvl="0" w:tplc="65F4D69C">
      <w:start w:val="1"/>
      <w:numFmt w:val="decimal"/>
      <w:lvlText w:val="%1"/>
      <w:lvlJc w:val="left"/>
      <w:pPr>
        <w:ind w:left="0" w:hanging="720"/>
      </w:pPr>
      <w:rPr>
        <w:rFonts w:ascii="Times New Roman" w:hAnsi="Times New Roman" w:hint="default"/>
        <w:b w:val="0"/>
        <w:i/>
        <w:sz w:val="22"/>
        <w:szCs w:val="22"/>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5"/>
  </w:num>
  <w:num w:numId="2">
    <w:abstractNumId w:val="10"/>
  </w:num>
  <w:num w:numId="3">
    <w:abstractNumId w:val="9"/>
  </w:num>
  <w:num w:numId="4">
    <w:abstractNumId w:val="12"/>
  </w:num>
  <w:num w:numId="5">
    <w:abstractNumId w:val="4"/>
  </w:num>
  <w:num w:numId="6">
    <w:abstractNumId w:val="0"/>
  </w:num>
  <w:num w:numId="7">
    <w:abstractNumId w:val="8"/>
  </w:num>
  <w:num w:numId="8">
    <w:abstractNumId w:val="2"/>
  </w:num>
  <w:num w:numId="9">
    <w:abstractNumId w:val="13"/>
  </w:num>
  <w:num w:numId="10">
    <w:abstractNumId w:val="6"/>
  </w:num>
  <w:num w:numId="11">
    <w:abstractNumId w:val="3"/>
  </w:num>
  <w:num w:numId="12">
    <w:abstractNumId w:val="11"/>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14D18"/>
    <w:rsid w:val="000163E7"/>
    <w:rsid w:val="00022932"/>
    <w:rsid w:val="00042AC1"/>
    <w:rsid w:val="000439DD"/>
    <w:rsid w:val="00043F91"/>
    <w:rsid w:val="000600E4"/>
    <w:rsid w:val="00061C66"/>
    <w:rsid w:val="00063CA6"/>
    <w:rsid w:val="00064503"/>
    <w:rsid w:val="00071B6C"/>
    <w:rsid w:val="00073F7E"/>
    <w:rsid w:val="00075829"/>
    <w:rsid w:val="00076BC4"/>
    <w:rsid w:val="00085303"/>
    <w:rsid w:val="000921F7"/>
    <w:rsid w:val="000B4E81"/>
    <w:rsid w:val="000B6DFF"/>
    <w:rsid w:val="000D112E"/>
    <w:rsid w:val="000D3A97"/>
    <w:rsid w:val="000D5633"/>
    <w:rsid w:val="000E3B1E"/>
    <w:rsid w:val="000F3A2C"/>
    <w:rsid w:val="000F6F8C"/>
    <w:rsid w:val="00101613"/>
    <w:rsid w:val="00107E37"/>
    <w:rsid w:val="00111EDF"/>
    <w:rsid w:val="00112B43"/>
    <w:rsid w:val="00114178"/>
    <w:rsid w:val="00126819"/>
    <w:rsid w:val="0013197F"/>
    <w:rsid w:val="00133FDE"/>
    <w:rsid w:val="0013502B"/>
    <w:rsid w:val="001351BD"/>
    <w:rsid w:val="00141625"/>
    <w:rsid w:val="00146AF6"/>
    <w:rsid w:val="00156BBD"/>
    <w:rsid w:val="00156EE6"/>
    <w:rsid w:val="00157663"/>
    <w:rsid w:val="00161505"/>
    <w:rsid w:val="0016408C"/>
    <w:rsid w:val="00164C04"/>
    <w:rsid w:val="00165308"/>
    <w:rsid w:val="001733E7"/>
    <w:rsid w:val="00173BBB"/>
    <w:rsid w:val="00182B83"/>
    <w:rsid w:val="0018500F"/>
    <w:rsid w:val="00185300"/>
    <w:rsid w:val="0019544B"/>
    <w:rsid w:val="001A52EF"/>
    <w:rsid w:val="001B3EE9"/>
    <w:rsid w:val="001B6E16"/>
    <w:rsid w:val="001C0696"/>
    <w:rsid w:val="001C2D8B"/>
    <w:rsid w:val="001D358C"/>
    <w:rsid w:val="001E4381"/>
    <w:rsid w:val="001E4AA3"/>
    <w:rsid w:val="001F3914"/>
    <w:rsid w:val="001F6050"/>
    <w:rsid w:val="001F7436"/>
    <w:rsid w:val="001F79A0"/>
    <w:rsid w:val="001F7B88"/>
    <w:rsid w:val="00204EA1"/>
    <w:rsid w:val="00206A39"/>
    <w:rsid w:val="00221E58"/>
    <w:rsid w:val="00226752"/>
    <w:rsid w:val="002327D6"/>
    <w:rsid w:val="0024131F"/>
    <w:rsid w:val="00242B00"/>
    <w:rsid w:val="0024769D"/>
    <w:rsid w:val="002555EC"/>
    <w:rsid w:val="0027340C"/>
    <w:rsid w:val="00274720"/>
    <w:rsid w:val="002925C4"/>
    <w:rsid w:val="002940C1"/>
    <w:rsid w:val="00295AC6"/>
    <w:rsid w:val="00297113"/>
    <w:rsid w:val="00297E9C"/>
    <w:rsid w:val="002A37C9"/>
    <w:rsid w:val="002A5D1B"/>
    <w:rsid w:val="002B037A"/>
    <w:rsid w:val="002B2E9E"/>
    <w:rsid w:val="002B439A"/>
    <w:rsid w:val="002C17E0"/>
    <w:rsid w:val="002C6906"/>
    <w:rsid w:val="002E634D"/>
    <w:rsid w:val="002E6C2C"/>
    <w:rsid w:val="002E7120"/>
    <w:rsid w:val="002F1F9F"/>
    <w:rsid w:val="002F2F11"/>
    <w:rsid w:val="002F333A"/>
    <w:rsid w:val="002F482C"/>
    <w:rsid w:val="00300F25"/>
    <w:rsid w:val="00307411"/>
    <w:rsid w:val="00311241"/>
    <w:rsid w:val="0031509B"/>
    <w:rsid w:val="0031742D"/>
    <w:rsid w:val="00321309"/>
    <w:rsid w:val="00325D0B"/>
    <w:rsid w:val="00331B32"/>
    <w:rsid w:val="00333619"/>
    <w:rsid w:val="00337019"/>
    <w:rsid w:val="00337136"/>
    <w:rsid w:val="003405FF"/>
    <w:rsid w:val="0034560E"/>
    <w:rsid w:val="00350CAC"/>
    <w:rsid w:val="00352878"/>
    <w:rsid w:val="00353BDF"/>
    <w:rsid w:val="003550D5"/>
    <w:rsid w:val="003557EA"/>
    <w:rsid w:val="00362559"/>
    <w:rsid w:val="00387197"/>
    <w:rsid w:val="00396F98"/>
    <w:rsid w:val="003A5664"/>
    <w:rsid w:val="003B0622"/>
    <w:rsid w:val="003B3320"/>
    <w:rsid w:val="003B6000"/>
    <w:rsid w:val="003B7720"/>
    <w:rsid w:val="003C7F7D"/>
    <w:rsid w:val="003D30EA"/>
    <w:rsid w:val="003D7E44"/>
    <w:rsid w:val="003E364F"/>
    <w:rsid w:val="003F1A7E"/>
    <w:rsid w:val="003F1FDA"/>
    <w:rsid w:val="003F2BE4"/>
    <w:rsid w:val="003F37C9"/>
    <w:rsid w:val="003F6A16"/>
    <w:rsid w:val="00404B38"/>
    <w:rsid w:val="004069BF"/>
    <w:rsid w:val="004110DA"/>
    <w:rsid w:val="004161B5"/>
    <w:rsid w:val="00424945"/>
    <w:rsid w:val="00425796"/>
    <w:rsid w:val="004305C5"/>
    <w:rsid w:val="0043451C"/>
    <w:rsid w:val="00441B95"/>
    <w:rsid w:val="004503E0"/>
    <w:rsid w:val="004523D7"/>
    <w:rsid w:val="00452AE9"/>
    <w:rsid w:val="004554DF"/>
    <w:rsid w:val="00467EA3"/>
    <w:rsid w:val="00472402"/>
    <w:rsid w:val="00474D9F"/>
    <w:rsid w:val="004823FF"/>
    <w:rsid w:val="00496170"/>
    <w:rsid w:val="004965D5"/>
    <w:rsid w:val="004A1AD8"/>
    <w:rsid w:val="004A1F6F"/>
    <w:rsid w:val="004A536D"/>
    <w:rsid w:val="004A5DDC"/>
    <w:rsid w:val="004B6CE9"/>
    <w:rsid w:val="004C4EFB"/>
    <w:rsid w:val="004C6D0D"/>
    <w:rsid w:val="004D20D6"/>
    <w:rsid w:val="004D2661"/>
    <w:rsid w:val="004D4309"/>
    <w:rsid w:val="004D772E"/>
    <w:rsid w:val="004E237A"/>
    <w:rsid w:val="004E4E8A"/>
    <w:rsid w:val="004E72B0"/>
    <w:rsid w:val="004F2EB5"/>
    <w:rsid w:val="004F3762"/>
    <w:rsid w:val="004F5589"/>
    <w:rsid w:val="00504ACE"/>
    <w:rsid w:val="005056C5"/>
    <w:rsid w:val="00512AE5"/>
    <w:rsid w:val="00513279"/>
    <w:rsid w:val="00521470"/>
    <w:rsid w:val="00522D6F"/>
    <w:rsid w:val="00534CF5"/>
    <w:rsid w:val="00536F67"/>
    <w:rsid w:val="0055547B"/>
    <w:rsid w:val="0056083A"/>
    <w:rsid w:val="00565B2F"/>
    <w:rsid w:val="00587278"/>
    <w:rsid w:val="00590114"/>
    <w:rsid w:val="00597129"/>
    <w:rsid w:val="005A69D0"/>
    <w:rsid w:val="005B0DFA"/>
    <w:rsid w:val="005B5A54"/>
    <w:rsid w:val="005B6E39"/>
    <w:rsid w:val="005C0877"/>
    <w:rsid w:val="005C2BAD"/>
    <w:rsid w:val="005C31CC"/>
    <w:rsid w:val="005C51A2"/>
    <w:rsid w:val="005C5D99"/>
    <w:rsid w:val="005C7A71"/>
    <w:rsid w:val="005D057B"/>
    <w:rsid w:val="005D633B"/>
    <w:rsid w:val="005D6ED0"/>
    <w:rsid w:val="005E590C"/>
    <w:rsid w:val="005F1F36"/>
    <w:rsid w:val="005F54D7"/>
    <w:rsid w:val="005F5CFF"/>
    <w:rsid w:val="00604FB6"/>
    <w:rsid w:val="006339E5"/>
    <w:rsid w:val="00634084"/>
    <w:rsid w:val="00635D40"/>
    <w:rsid w:val="00636B58"/>
    <w:rsid w:val="00640C41"/>
    <w:rsid w:val="006414B9"/>
    <w:rsid w:val="00645494"/>
    <w:rsid w:val="006455D5"/>
    <w:rsid w:val="00645B4F"/>
    <w:rsid w:val="006474FD"/>
    <w:rsid w:val="00651D6A"/>
    <w:rsid w:val="00655692"/>
    <w:rsid w:val="006615AD"/>
    <w:rsid w:val="006742AA"/>
    <w:rsid w:val="0068182E"/>
    <w:rsid w:val="00683296"/>
    <w:rsid w:val="00686DF8"/>
    <w:rsid w:val="0068796D"/>
    <w:rsid w:val="0069233D"/>
    <w:rsid w:val="006A5D82"/>
    <w:rsid w:val="006B182F"/>
    <w:rsid w:val="006B3C65"/>
    <w:rsid w:val="006B6519"/>
    <w:rsid w:val="006C1879"/>
    <w:rsid w:val="006C6EB5"/>
    <w:rsid w:val="006D1609"/>
    <w:rsid w:val="006E5F04"/>
    <w:rsid w:val="006F213D"/>
    <w:rsid w:val="006F7132"/>
    <w:rsid w:val="006F7D80"/>
    <w:rsid w:val="007001F0"/>
    <w:rsid w:val="00705F9D"/>
    <w:rsid w:val="00707C07"/>
    <w:rsid w:val="007130B7"/>
    <w:rsid w:val="0071456F"/>
    <w:rsid w:val="0071535F"/>
    <w:rsid w:val="00726FEF"/>
    <w:rsid w:val="00736539"/>
    <w:rsid w:val="00742694"/>
    <w:rsid w:val="007504D1"/>
    <w:rsid w:val="0075351B"/>
    <w:rsid w:val="00766B08"/>
    <w:rsid w:val="00767244"/>
    <w:rsid w:val="007675A5"/>
    <w:rsid w:val="007709D9"/>
    <w:rsid w:val="00774EC5"/>
    <w:rsid w:val="007853F2"/>
    <w:rsid w:val="00793609"/>
    <w:rsid w:val="00795AFF"/>
    <w:rsid w:val="00796A12"/>
    <w:rsid w:val="007A6364"/>
    <w:rsid w:val="007B464D"/>
    <w:rsid w:val="007B715E"/>
    <w:rsid w:val="007C0A5D"/>
    <w:rsid w:val="007D0141"/>
    <w:rsid w:val="007D34FF"/>
    <w:rsid w:val="007D4B4A"/>
    <w:rsid w:val="007E1904"/>
    <w:rsid w:val="007E2F74"/>
    <w:rsid w:val="007E49A4"/>
    <w:rsid w:val="007E792F"/>
    <w:rsid w:val="007F18DB"/>
    <w:rsid w:val="007F44DC"/>
    <w:rsid w:val="007F72D9"/>
    <w:rsid w:val="008075C8"/>
    <w:rsid w:val="00807ACD"/>
    <w:rsid w:val="00810CAF"/>
    <w:rsid w:val="00822FA9"/>
    <w:rsid w:val="008241F6"/>
    <w:rsid w:val="00824E35"/>
    <w:rsid w:val="008264CE"/>
    <w:rsid w:val="00842977"/>
    <w:rsid w:val="00850310"/>
    <w:rsid w:val="00851E5B"/>
    <w:rsid w:val="00855264"/>
    <w:rsid w:val="008557D3"/>
    <w:rsid w:val="00856A39"/>
    <w:rsid w:val="00856CCF"/>
    <w:rsid w:val="0086237A"/>
    <w:rsid w:val="008633E0"/>
    <w:rsid w:val="00863DBA"/>
    <w:rsid w:val="00882D79"/>
    <w:rsid w:val="008840C9"/>
    <w:rsid w:val="00886455"/>
    <w:rsid w:val="00891317"/>
    <w:rsid w:val="008C32B0"/>
    <w:rsid w:val="008C4838"/>
    <w:rsid w:val="008C7086"/>
    <w:rsid w:val="008C7A6C"/>
    <w:rsid w:val="008D77BB"/>
    <w:rsid w:val="008E0439"/>
    <w:rsid w:val="008E263E"/>
    <w:rsid w:val="008E3EC0"/>
    <w:rsid w:val="008F11CB"/>
    <w:rsid w:val="008F1D5E"/>
    <w:rsid w:val="008F3FBF"/>
    <w:rsid w:val="008F6325"/>
    <w:rsid w:val="008F6352"/>
    <w:rsid w:val="00912584"/>
    <w:rsid w:val="009141CE"/>
    <w:rsid w:val="00914779"/>
    <w:rsid w:val="0093070A"/>
    <w:rsid w:val="00937F7C"/>
    <w:rsid w:val="00951822"/>
    <w:rsid w:val="009522CA"/>
    <w:rsid w:val="00953D90"/>
    <w:rsid w:val="0097485F"/>
    <w:rsid w:val="00982C31"/>
    <w:rsid w:val="0098677E"/>
    <w:rsid w:val="00997207"/>
    <w:rsid w:val="009A1837"/>
    <w:rsid w:val="009A21E2"/>
    <w:rsid w:val="009A2221"/>
    <w:rsid w:val="009A33E8"/>
    <w:rsid w:val="009B262A"/>
    <w:rsid w:val="009B3CD9"/>
    <w:rsid w:val="009B4EDE"/>
    <w:rsid w:val="009B5CAF"/>
    <w:rsid w:val="009C4156"/>
    <w:rsid w:val="009D023D"/>
    <w:rsid w:val="009D09C5"/>
    <w:rsid w:val="009D5713"/>
    <w:rsid w:val="009E012B"/>
    <w:rsid w:val="009E44D2"/>
    <w:rsid w:val="009F63CC"/>
    <w:rsid w:val="009F6F65"/>
    <w:rsid w:val="00A03D15"/>
    <w:rsid w:val="00A10516"/>
    <w:rsid w:val="00A14E42"/>
    <w:rsid w:val="00A16FC7"/>
    <w:rsid w:val="00A172D7"/>
    <w:rsid w:val="00A22D5B"/>
    <w:rsid w:val="00A24B08"/>
    <w:rsid w:val="00A30097"/>
    <w:rsid w:val="00A326A9"/>
    <w:rsid w:val="00A32704"/>
    <w:rsid w:val="00A35FE3"/>
    <w:rsid w:val="00A3643E"/>
    <w:rsid w:val="00A42148"/>
    <w:rsid w:val="00A54C93"/>
    <w:rsid w:val="00A659CF"/>
    <w:rsid w:val="00A66738"/>
    <w:rsid w:val="00A67A81"/>
    <w:rsid w:val="00A7320A"/>
    <w:rsid w:val="00A8192F"/>
    <w:rsid w:val="00A83C19"/>
    <w:rsid w:val="00A86F81"/>
    <w:rsid w:val="00AA10F8"/>
    <w:rsid w:val="00AA3358"/>
    <w:rsid w:val="00AA5E7F"/>
    <w:rsid w:val="00AB0163"/>
    <w:rsid w:val="00AB1E9C"/>
    <w:rsid w:val="00AB26FC"/>
    <w:rsid w:val="00AB28D5"/>
    <w:rsid w:val="00AB34D9"/>
    <w:rsid w:val="00AB6F4E"/>
    <w:rsid w:val="00AB70A6"/>
    <w:rsid w:val="00AC2013"/>
    <w:rsid w:val="00AC666C"/>
    <w:rsid w:val="00AD1407"/>
    <w:rsid w:val="00AE0EDC"/>
    <w:rsid w:val="00AF5076"/>
    <w:rsid w:val="00AF533B"/>
    <w:rsid w:val="00AF7BCD"/>
    <w:rsid w:val="00B02131"/>
    <w:rsid w:val="00B02553"/>
    <w:rsid w:val="00B05287"/>
    <w:rsid w:val="00B101FA"/>
    <w:rsid w:val="00B124AD"/>
    <w:rsid w:val="00B22FD7"/>
    <w:rsid w:val="00B2670F"/>
    <w:rsid w:val="00B30845"/>
    <w:rsid w:val="00B35105"/>
    <w:rsid w:val="00B37087"/>
    <w:rsid w:val="00B45F7A"/>
    <w:rsid w:val="00B67BF5"/>
    <w:rsid w:val="00B94256"/>
    <w:rsid w:val="00B94808"/>
    <w:rsid w:val="00B96AC2"/>
    <w:rsid w:val="00BA2D7E"/>
    <w:rsid w:val="00BB3F83"/>
    <w:rsid w:val="00BB5C33"/>
    <w:rsid w:val="00BB7328"/>
    <w:rsid w:val="00BC14A1"/>
    <w:rsid w:val="00BC3332"/>
    <w:rsid w:val="00BC7B33"/>
    <w:rsid w:val="00BD17A2"/>
    <w:rsid w:val="00BD1A99"/>
    <w:rsid w:val="00BD29A3"/>
    <w:rsid w:val="00BD62DD"/>
    <w:rsid w:val="00BE1FCD"/>
    <w:rsid w:val="00BE7029"/>
    <w:rsid w:val="00BE7BEB"/>
    <w:rsid w:val="00BE7E5C"/>
    <w:rsid w:val="00BF2ACB"/>
    <w:rsid w:val="00BF422A"/>
    <w:rsid w:val="00BF4A19"/>
    <w:rsid w:val="00C07020"/>
    <w:rsid w:val="00C161D2"/>
    <w:rsid w:val="00C170A4"/>
    <w:rsid w:val="00C22552"/>
    <w:rsid w:val="00C274FA"/>
    <w:rsid w:val="00C32141"/>
    <w:rsid w:val="00C42493"/>
    <w:rsid w:val="00C4331E"/>
    <w:rsid w:val="00C530B6"/>
    <w:rsid w:val="00C53B4D"/>
    <w:rsid w:val="00C55F3A"/>
    <w:rsid w:val="00C70E44"/>
    <w:rsid w:val="00C7273C"/>
    <w:rsid w:val="00C859AE"/>
    <w:rsid w:val="00C86913"/>
    <w:rsid w:val="00C92047"/>
    <w:rsid w:val="00CA1DDE"/>
    <w:rsid w:val="00CA7312"/>
    <w:rsid w:val="00CB02B5"/>
    <w:rsid w:val="00CC0651"/>
    <w:rsid w:val="00CC1530"/>
    <w:rsid w:val="00CD119E"/>
    <w:rsid w:val="00CD2481"/>
    <w:rsid w:val="00CD366C"/>
    <w:rsid w:val="00CE045E"/>
    <w:rsid w:val="00CE1811"/>
    <w:rsid w:val="00CE2622"/>
    <w:rsid w:val="00CE30F5"/>
    <w:rsid w:val="00CF51C3"/>
    <w:rsid w:val="00CF7450"/>
    <w:rsid w:val="00CF7CD2"/>
    <w:rsid w:val="00D0341F"/>
    <w:rsid w:val="00D06E38"/>
    <w:rsid w:val="00D07AA1"/>
    <w:rsid w:val="00D1084C"/>
    <w:rsid w:val="00D12DB0"/>
    <w:rsid w:val="00D16BCD"/>
    <w:rsid w:val="00D211BD"/>
    <w:rsid w:val="00D30279"/>
    <w:rsid w:val="00D311AE"/>
    <w:rsid w:val="00D32386"/>
    <w:rsid w:val="00D422CC"/>
    <w:rsid w:val="00D465CC"/>
    <w:rsid w:val="00D5424F"/>
    <w:rsid w:val="00D676CD"/>
    <w:rsid w:val="00D736B8"/>
    <w:rsid w:val="00D82236"/>
    <w:rsid w:val="00D82C67"/>
    <w:rsid w:val="00D859A5"/>
    <w:rsid w:val="00D863D2"/>
    <w:rsid w:val="00D947AA"/>
    <w:rsid w:val="00DA0EA5"/>
    <w:rsid w:val="00DB01A0"/>
    <w:rsid w:val="00DB234D"/>
    <w:rsid w:val="00DB3F80"/>
    <w:rsid w:val="00DC289A"/>
    <w:rsid w:val="00DC2CB0"/>
    <w:rsid w:val="00DC5823"/>
    <w:rsid w:val="00DD145F"/>
    <w:rsid w:val="00DD50E1"/>
    <w:rsid w:val="00DD6067"/>
    <w:rsid w:val="00DE45E1"/>
    <w:rsid w:val="00DE6906"/>
    <w:rsid w:val="00DF1513"/>
    <w:rsid w:val="00DF1C33"/>
    <w:rsid w:val="00DF66AE"/>
    <w:rsid w:val="00E06D5E"/>
    <w:rsid w:val="00E2016E"/>
    <w:rsid w:val="00E223DA"/>
    <w:rsid w:val="00E23132"/>
    <w:rsid w:val="00E3764C"/>
    <w:rsid w:val="00E40FB2"/>
    <w:rsid w:val="00E4573B"/>
    <w:rsid w:val="00E5126C"/>
    <w:rsid w:val="00E51996"/>
    <w:rsid w:val="00E53E38"/>
    <w:rsid w:val="00E54385"/>
    <w:rsid w:val="00E6234D"/>
    <w:rsid w:val="00E666A7"/>
    <w:rsid w:val="00E7185C"/>
    <w:rsid w:val="00E815CB"/>
    <w:rsid w:val="00E832A4"/>
    <w:rsid w:val="00E83B80"/>
    <w:rsid w:val="00E84677"/>
    <w:rsid w:val="00E85E59"/>
    <w:rsid w:val="00E92C6B"/>
    <w:rsid w:val="00EA17AE"/>
    <w:rsid w:val="00EB2164"/>
    <w:rsid w:val="00EC4566"/>
    <w:rsid w:val="00ED0558"/>
    <w:rsid w:val="00ED0918"/>
    <w:rsid w:val="00ED15BA"/>
    <w:rsid w:val="00ED1F01"/>
    <w:rsid w:val="00ED1FB0"/>
    <w:rsid w:val="00ED2378"/>
    <w:rsid w:val="00ED3A74"/>
    <w:rsid w:val="00ED4591"/>
    <w:rsid w:val="00ED65B7"/>
    <w:rsid w:val="00EE2F9C"/>
    <w:rsid w:val="00F07985"/>
    <w:rsid w:val="00F100DA"/>
    <w:rsid w:val="00F30BBC"/>
    <w:rsid w:val="00F34DF8"/>
    <w:rsid w:val="00F43BA5"/>
    <w:rsid w:val="00F4445A"/>
    <w:rsid w:val="00F47B15"/>
    <w:rsid w:val="00F47E91"/>
    <w:rsid w:val="00F515C2"/>
    <w:rsid w:val="00F54181"/>
    <w:rsid w:val="00F5748F"/>
    <w:rsid w:val="00F77F2D"/>
    <w:rsid w:val="00F80196"/>
    <w:rsid w:val="00F808AA"/>
    <w:rsid w:val="00F93B3C"/>
    <w:rsid w:val="00F97159"/>
    <w:rsid w:val="00FB2B3E"/>
    <w:rsid w:val="00FC2190"/>
    <w:rsid w:val="00FC5C1A"/>
    <w:rsid w:val="00FC7124"/>
    <w:rsid w:val="00FD6156"/>
    <w:rsid w:val="00FE653C"/>
    <w:rsid w:val="00FF0D7A"/>
    <w:rsid w:val="00FF1669"/>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A684"/>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 w:type="character" w:styleId="LineNumber">
    <w:name w:val="line number"/>
    <w:basedOn w:val="DefaultParagraphFont"/>
    <w:uiPriority w:val="99"/>
    <w:rsid w:val="00DE6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2015-12-05T00:47:13+00:00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1AC4B1-3022-4616-86D0-25579F1D59C9}"/>
</file>

<file path=customXml/itemProps2.xml><?xml version="1.0" encoding="utf-8"?>
<ds:datastoreItem xmlns:ds="http://schemas.openxmlformats.org/officeDocument/2006/customXml" ds:itemID="{7E176869-A311-4F3A-A1F8-674B8842DCA1}"/>
</file>

<file path=customXml/itemProps3.xml><?xml version="1.0" encoding="utf-8"?>
<ds:datastoreItem xmlns:ds="http://schemas.openxmlformats.org/officeDocument/2006/customXml" ds:itemID="{8A990686-CED4-4A2D-97A0-D6A3167D02DB}"/>
</file>

<file path=customXml/itemProps4.xml><?xml version="1.0" encoding="utf-8"?>
<ds:datastoreItem xmlns:ds="http://schemas.openxmlformats.org/officeDocument/2006/customXml" ds:itemID="{881C461E-CA02-4565-9090-4EDE182D9E82}"/>
</file>

<file path=customXml/itemProps5.xml><?xml version="1.0" encoding="utf-8"?>
<ds:datastoreItem xmlns:ds="http://schemas.openxmlformats.org/officeDocument/2006/customXml" ds:itemID="{F09A4B1B-5D17-4649-9606-5CF169CF8ED6}"/>
</file>

<file path=docProps/app.xml><?xml version="1.0" encoding="utf-8"?>
<Properties xmlns="http://schemas.openxmlformats.org/officeDocument/2006/extended-properties" xmlns:vt="http://schemas.openxmlformats.org/officeDocument/2006/docPropsVTypes">
  <Template>Normal.dotm</Template>
  <TotalTime>19</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DeMarco, Betsy (UTC)</cp:lastModifiedBy>
  <cp:revision>5</cp:revision>
  <cp:lastPrinted>2015-12-04T23:52:00Z</cp:lastPrinted>
  <dcterms:created xsi:type="dcterms:W3CDTF">2015-12-04T23:38:00Z</dcterms:created>
  <dcterms:modified xsi:type="dcterms:W3CDTF">2015-12-04T23:54:00Z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