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C9" w:rsidRDefault="003304C9" w:rsidP="00B14915">
      <w:pPr>
        <w:pStyle w:val="BodyText"/>
        <w:rPr>
          <w:b/>
          <w:bCs/>
        </w:rPr>
      </w:pPr>
    </w:p>
    <w:p w:rsidR="00500823" w:rsidRDefault="00500823" w:rsidP="00B14915">
      <w:pPr>
        <w:pStyle w:val="BodyText"/>
        <w:rPr>
          <w:b/>
          <w:bCs/>
        </w:rPr>
      </w:pPr>
    </w:p>
    <w:p w:rsidR="00DE34FA" w:rsidRDefault="00DE34FA" w:rsidP="00B14915">
      <w:pPr>
        <w:pStyle w:val="BodyText"/>
        <w:rPr>
          <w:b/>
          <w:bCs/>
        </w:rPr>
      </w:pPr>
    </w:p>
    <w:p w:rsidR="00DE34FA" w:rsidRDefault="00DE34FA" w:rsidP="00B14915">
      <w:pPr>
        <w:pStyle w:val="BodyText"/>
        <w:rPr>
          <w:b/>
          <w:bCs/>
        </w:rPr>
      </w:pPr>
    </w:p>
    <w:p w:rsidR="00324DB2" w:rsidRDefault="00324DB2" w:rsidP="00B14915">
      <w:pPr>
        <w:pStyle w:val="BodyText"/>
        <w:rPr>
          <w:b/>
          <w:bCs/>
        </w:rPr>
      </w:pPr>
    </w:p>
    <w:p w:rsidR="00324DB2" w:rsidRDefault="00324DB2" w:rsidP="00B14915">
      <w:pPr>
        <w:pStyle w:val="BodyText"/>
        <w:rPr>
          <w:b/>
          <w:bCs/>
        </w:rPr>
      </w:pPr>
    </w:p>
    <w:p w:rsidR="00324DB2" w:rsidRDefault="00324DB2" w:rsidP="00B14915">
      <w:pPr>
        <w:pStyle w:val="BodyText"/>
        <w:rPr>
          <w:b/>
          <w:bCs/>
        </w:rPr>
      </w:pPr>
    </w:p>
    <w:p w:rsidR="00324DB2" w:rsidRDefault="00324DB2" w:rsidP="00B14915">
      <w:pPr>
        <w:pStyle w:val="BodyText"/>
        <w:rPr>
          <w:b/>
          <w:bCs/>
        </w:rPr>
      </w:pPr>
    </w:p>
    <w:p w:rsidR="00C011AB" w:rsidRPr="00626E54" w:rsidRDefault="00C011AB" w:rsidP="00B14915">
      <w:pPr>
        <w:pStyle w:val="BodyText"/>
        <w:rPr>
          <w:b/>
          <w:bCs/>
        </w:rPr>
      </w:pPr>
      <w:r w:rsidRPr="00626E54">
        <w:rPr>
          <w:b/>
          <w:bCs/>
        </w:rPr>
        <w:t xml:space="preserve">BEFORE THE WASHINGTON </w:t>
      </w:r>
    </w:p>
    <w:p w:rsidR="00C011AB" w:rsidRPr="00626E54" w:rsidRDefault="00C011AB" w:rsidP="00B14915">
      <w:pPr>
        <w:pStyle w:val="BodyText"/>
        <w:rPr>
          <w:b/>
          <w:bCs/>
        </w:rPr>
      </w:pPr>
      <w:r w:rsidRPr="00626E54">
        <w:rPr>
          <w:b/>
          <w:bCs/>
        </w:rPr>
        <w:t>UTILITIES AND TRANSPORTATION COMMISSION</w:t>
      </w:r>
    </w:p>
    <w:p w:rsidR="00B6350E" w:rsidRPr="00626E54" w:rsidRDefault="00B6350E" w:rsidP="00B14915">
      <w:pPr>
        <w:pStyle w:val="BodyText"/>
      </w:pPr>
    </w:p>
    <w:tbl>
      <w:tblPr>
        <w:tblW w:w="0" w:type="auto"/>
        <w:tblLook w:val="0000" w:firstRow="0" w:lastRow="0" w:firstColumn="0" w:lastColumn="0" w:noHBand="0" w:noVBand="0"/>
      </w:tblPr>
      <w:tblGrid>
        <w:gridCol w:w="4372"/>
        <w:gridCol w:w="236"/>
        <w:gridCol w:w="4752"/>
      </w:tblGrid>
      <w:tr w:rsidR="00C011AB" w:rsidRPr="00626E54" w:rsidTr="003304C9">
        <w:trPr>
          <w:trHeight w:val="3825"/>
        </w:trPr>
        <w:tc>
          <w:tcPr>
            <w:tcW w:w="4372" w:type="dxa"/>
            <w:tcBorders>
              <w:bottom w:val="single" w:sz="4" w:space="0" w:color="auto"/>
              <w:right w:val="single" w:sz="4" w:space="0" w:color="auto"/>
            </w:tcBorders>
          </w:tcPr>
          <w:p w:rsidR="00236B8B" w:rsidRPr="00626E54" w:rsidRDefault="00236B8B" w:rsidP="00B14915">
            <w:pPr>
              <w:spacing w:line="264" w:lineRule="auto"/>
            </w:pPr>
            <w:r w:rsidRPr="00626E54">
              <w:t>WASHINGTON UTILITIES AND TRANSPORTATION COMMISSION,</w:t>
            </w:r>
          </w:p>
          <w:p w:rsidR="00236B8B" w:rsidRPr="00626E54" w:rsidRDefault="00236B8B" w:rsidP="00B14915">
            <w:pPr>
              <w:spacing w:line="264" w:lineRule="auto"/>
            </w:pPr>
          </w:p>
          <w:p w:rsidR="00236B8B" w:rsidRPr="00626E54" w:rsidRDefault="00236B8B" w:rsidP="00B14915">
            <w:pPr>
              <w:tabs>
                <w:tab w:val="left" w:pos="1800"/>
              </w:tabs>
              <w:spacing w:line="264" w:lineRule="auto"/>
            </w:pPr>
            <w:r w:rsidRPr="00626E54">
              <w:tab/>
              <w:t>Complainant,</w:t>
            </w:r>
          </w:p>
          <w:p w:rsidR="00236B8B" w:rsidRPr="00626E54" w:rsidRDefault="00236B8B" w:rsidP="00B14915">
            <w:pPr>
              <w:spacing w:line="264" w:lineRule="auto"/>
            </w:pPr>
          </w:p>
          <w:p w:rsidR="00236B8B" w:rsidRPr="00626E54" w:rsidRDefault="00236B8B" w:rsidP="00B14915">
            <w:pPr>
              <w:spacing w:line="264" w:lineRule="auto"/>
            </w:pPr>
            <w:r w:rsidRPr="00626E54">
              <w:t>v.</w:t>
            </w:r>
          </w:p>
          <w:p w:rsidR="00236B8B" w:rsidRPr="00626E54" w:rsidRDefault="00236B8B" w:rsidP="00B14915">
            <w:pPr>
              <w:spacing w:line="264" w:lineRule="auto"/>
              <w:jc w:val="center"/>
            </w:pPr>
          </w:p>
          <w:p w:rsidR="00236B8B" w:rsidRPr="00626E54" w:rsidRDefault="00236B8B" w:rsidP="00B14915">
            <w:pPr>
              <w:spacing w:line="264" w:lineRule="auto"/>
            </w:pPr>
            <w:r w:rsidRPr="00626E54">
              <w:t xml:space="preserve">AVISTA CORPORATION, </w:t>
            </w:r>
            <w:r w:rsidR="00C64288" w:rsidRPr="00626E54">
              <w:t>D</w:t>
            </w:r>
            <w:r w:rsidR="004D6EE3" w:rsidRPr="00626E54">
              <w:t>/</w:t>
            </w:r>
            <w:r w:rsidR="00C64288" w:rsidRPr="00626E54">
              <w:t>B</w:t>
            </w:r>
            <w:r w:rsidR="004D6EE3" w:rsidRPr="00626E54">
              <w:t>/</w:t>
            </w:r>
            <w:r w:rsidR="00C64288" w:rsidRPr="00626E54">
              <w:t>A</w:t>
            </w:r>
            <w:r w:rsidRPr="00626E54">
              <w:t xml:space="preserve"> AVISTA UTILITIES,</w:t>
            </w:r>
          </w:p>
          <w:p w:rsidR="00236B8B" w:rsidRPr="00626E54" w:rsidRDefault="00236B8B" w:rsidP="00B14915">
            <w:pPr>
              <w:spacing w:line="264" w:lineRule="auto"/>
              <w:jc w:val="center"/>
            </w:pPr>
          </w:p>
          <w:p w:rsidR="00C011AB" w:rsidRPr="00626E54" w:rsidRDefault="00236B8B" w:rsidP="00F57110">
            <w:pPr>
              <w:tabs>
                <w:tab w:val="left" w:pos="1800"/>
              </w:tabs>
              <w:spacing w:line="264" w:lineRule="auto"/>
            </w:pPr>
            <w:r w:rsidRPr="00626E54">
              <w:tab/>
              <w:t>Respondent.</w:t>
            </w:r>
          </w:p>
        </w:tc>
        <w:tc>
          <w:tcPr>
            <w:tcW w:w="236" w:type="dxa"/>
            <w:tcBorders>
              <w:left w:val="single" w:sz="4" w:space="0" w:color="auto"/>
            </w:tcBorders>
          </w:tcPr>
          <w:p w:rsidR="00C011AB" w:rsidRPr="00626E54" w:rsidRDefault="00C011AB" w:rsidP="00B14915"/>
        </w:tc>
        <w:tc>
          <w:tcPr>
            <w:tcW w:w="4752" w:type="dxa"/>
          </w:tcPr>
          <w:p w:rsidR="00236B8B" w:rsidRPr="00626E54" w:rsidRDefault="00C011AB" w:rsidP="00B14915">
            <w:pPr>
              <w:spacing w:line="264" w:lineRule="auto"/>
              <w:rPr>
                <w:bCs/>
              </w:rPr>
            </w:pPr>
            <w:r w:rsidRPr="00626E54">
              <w:t>DOCKET</w:t>
            </w:r>
            <w:r w:rsidR="00236B8B" w:rsidRPr="00626E54">
              <w:t>S</w:t>
            </w:r>
            <w:r w:rsidRPr="00626E54">
              <w:t xml:space="preserve"> </w:t>
            </w:r>
            <w:r w:rsidR="00236B8B" w:rsidRPr="00626E54">
              <w:rPr>
                <w:bCs/>
              </w:rPr>
              <w:t>UE-</w:t>
            </w:r>
            <w:r w:rsidR="00C03769" w:rsidRPr="00626E54">
              <w:rPr>
                <w:bCs/>
              </w:rPr>
              <w:t>160228</w:t>
            </w:r>
            <w:r w:rsidR="00236B8B" w:rsidRPr="00626E54">
              <w:rPr>
                <w:bCs/>
              </w:rPr>
              <w:t xml:space="preserve"> and </w:t>
            </w:r>
          </w:p>
          <w:p w:rsidR="00C011AB" w:rsidRPr="00626E54" w:rsidRDefault="00236B8B" w:rsidP="00B14915">
            <w:pPr>
              <w:spacing w:line="264" w:lineRule="auto"/>
            </w:pPr>
            <w:r w:rsidRPr="00626E54">
              <w:rPr>
                <w:bCs/>
              </w:rPr>
              <w:t>UG-1</w:t>
            </w:r>
            <w:r w:rsidR="00C03769" w:rsidRPr="00626E54">
              <w:rPr>
                <w:bCs/>
              </w:rPr>
              <w:t>60229</w:t>
            </w:r>
            <w:r w:rsidRPr="00626E54">
              <w:rPr>
                <w:bCs/>
              </w:rPr>
              <w:t xml:space="preserve"> (</w:t>
            </w:r>
            <w:r w:rsidRPr="00626E54">
              <w:rPr>
                <w:bCs/>
                <w:i/>
              </w:rPr>
              <w:t>Consolidated</w:t>
            </w:r>
            <w:r w:rsidRPr="00626E54">
              <w:rPr>
                <w:bCs/>
              </w:rPr>
              <w:t>)</w:t>
            </w:r>
          </w:p>
          <w:p w:rsidR="00C011AB" w:rsidRPr="00626E54" w:rsidRDefault="00C011AB" w:rsidP="00B14915">
            <w:pPr>
              <w:spacing w:line="264" w:lineRule="auto"/>
            </w:pPr>
          </w:p>
          <w:p w:rsidR="00C011AB" w:rsidRPr="00626E54" w:rsidRDefault="003931BD" w:rsidP="00B14915">
            <w:pPr>
              <w:spacing w:line="264" w:lineRule="auto"/>
            </w:pPr>
            <w:r>
              <w:t>ANSWER OF AVISTA CORPORATION TO STAFF MOTION TO STRIKE</w:t>
            </w:r>
          </w:p>
          <w:p w:rsidR="00B6350E" w:rsidRPr="00626E54" w:rsidRDefault="00B6350E" w:rsidP="00B14915">
            <w:pPr>
              <w:spacing w:line="264" w:lineRule="auto"/>
            </w:pPr>
          </w:p>
          <w:p w:rsidR="00B6350E" w:rsidRPr="00626E54" w:rsidRDefault="00B6350E" w:rsidP="00B14915">
            <w:pPr>
              <w:spacing w:line="264" w:lineRule="auto"/>
            </w:pPr>
          </w:p>
          <w:p w:rsidR="00C011AB" w:rsidRPr="00626E54" w:rsidRDefault="00C011AB" w:rsidP="00B14915">
            <w:pPr>
              <w:pStyle w:val="BodyText"/>
              <w:rPr>
                <w:b/>
                <w:bCs/>
              </w:rPr>
            </w:pPr>
          </w:p>
          <w:p w:rsidR="00C011AB" w:rsidRPr="00626E54" w:rsidRDefault="00C011AB" w:rsidP="00B14915"/>
          <w:p w:rsidR="00C011AB" w:rsidRPr="00626E54" w:rsidRDefault="00C011AB" w:rsidP="00B14915">
            <w:pPr>
              <w:pStyle w:val="Header"/>
              <w:tabs>
                <w:tab w:val="clear" w:pos="4320"/>
                <w:tab w:val="clear" w:pos="8640"/>
              </w:tabs>
            </w:pPr>
          </w:p>
        </w:tc>
      </w:tr>
    </w:tbl>
    <w:p w:rsidR="00C011AB" w:rsidRDefault="00C011AB" w:rsidP="00B14915">
      <w:pPr>
        <w:spacing w:line="288" w:lineRule="auto"/>
      </w:pPr>
    </w:p>
    <w:p w:rsidR="00F533D1" w:rsidRDefault="000F7811" w:rsidP="0092222E">
      <w:pPr>
        <w:pStyle w:val="Heading1"/>
      </w:pPr>
      <w:r>
        <w:tab/>
        <w:t>Pursuant to WAC 480.07.37</w:t>
      </w:r>
      <w:r w:rsidR="00401F71">
        <w:t>4</w:t>
      </w:r>
      <w:r w:rsidR="00F533D1">
        <w:t xml:space="preserve">, Avista Corporation (“Avista” or “Company”) answers Staff’s “Motion to Strike, </w:t>
      </w:r>
      <w:r>
        <w:t>o</w:t>
      </w:r>
      <w:r w:rsidR="00F533D1">
        <w:t xml:space="preserve">r in the Alternative, Motion for </w:t>
      </w:r>
      <w:r w:rsidR="00401F71">
        <w:t xml:space="preserve">Surrebuttal </w:t>
      </w:r>
      <w:r w:rsidR="00F533D1">
        <w:t>on Behalf of Commission Staff,” as filed on October 4, 2016 (hereinafter “Motion”). In its Motion, Staff seeks to strike those portions of Company Witness Norwood and Andrews’ testimony that address the Company’s alternative proposal for deferred accounting treatment of AMI costs. In the alternative, St</w:t>
      </w:r>
      <w:r w:rsidR="00401F71">
        <w:t>aff moves for leave to file sur</w:t>
      </w:r>
      <w:r w:rsidR="00F533D1">
        <w:t xml:space="preserve">rebuttal testimony after the close of the evidentiary hearing (together with a supplemental hearing on the issue), or to otherwise be </w:t>
      </w:r>
      <w:r w:rsidR="00401F71">
        <w:t>given leave to present oral sur</w:t>
      </w:r>
      <w:r w:rsidR="00F533D1">
        <w:t>rebuttal at the time of the scheduled evidentiary hearing on October 12, 2016.</w:t>
      </w:r>
      <w:r w:rsidR="00401F71">
        <w:rPr>
          <w:rStyle w:val="FootnoteReference"/>
        </w:rPr>
        <w:footnoteReference w:id="1"/>
      </w:r>
      <w:r w:rsidR="00F533D1">
        <w:t xml:space="preserve"> </w:t>
      </w:r>
    </w:p>
    <w:p w:rsidR="00A2262B" w:rsidRDefault="00A2262B" w:rsidP="00974123">
      <w:pPr>
        <w:pStyle w:val="Heading1"/>
      </w:pPr>
      <w:r>
        <w:lastRenderedPageBreak/>
        <w:tab/>
        <w:t xml:space="preserve">Avista objects to Staff’s Motion to Strike, as well as its alternative Motion for </w:t>
      </w:r>
      <w:r w:rsidR="00401F71">
        <w:t>Surrebuttal</w:t>
      </w:r>
      <w:r>
        <w:t xml:space="preserve"> Testimony for the following reasons: </w:t>
      </w:r>
    </w:p>
    <w:p w:rsidR="00A2262B" w:rsidRPr="00545F44" w:rsidRDefault="00545F44" w:rsidP="00401F71">
      <w:pPr>
        <w:spacing w:after="240"/>
        <w:jc w:val="center"/>
        <w:rPr>
          <w:b/>
        </w:rPr>
      </w:pPr>
      <w:r w:rsidRPr="00545F44">
        <w:rPr>
          <w:b/>
        </w:rPr>
        <w:t xml:space="preserve">I.  </w:t>
      </w:r>
      <w:r>
        <w:rPr>
          <w:b/>
          <w:u w:val="single"/>
        </w:rPr>
        <w:t xml:space="preserve">STAFF’S MOTION IS UNTIMELY AND </w:t>
      </w:r>
      <w:r w:rsidR="00401F71">
        <w:rPr>
          <w:b/>
          <w:u w:val="single"/>
        </w:rPr>
        <w:t>DISRUPTIVE OF THE PROCEDURAL SCHEDULE</w:t>
      </w:r>
    </w:p>
    <w:p w:rsidR="00A2262B" w:rsidRDefault="00A2262B" w:rsidP="00974123">
      <w:pPr>
        <w:pStyle w:val="Heading1"/>
      </w:pPr>
      <w:r>
        <w:tab/>
        <w:t>Before addressing the merits of Staff’s Motion, there is a threshold reason why it should be rejected. The Company filed its rebuttal testimony on September 19, 2016 – nearly two and one-</w:t>
      </w:r>
      <w:r w:rsidR="000F7811">
        <w:t xml:space="preserve">half weeks before the filing of Staff’s </w:t>
      </w:r>
      <w:r>
        <w:t xml:space="preserve">Motion. Nowhere does Staff explain why it waited until </w:t>
      </w:r>
      <w:r w:rsidR="00974123">
        <w:t xml:space="preserve">only </w:t>
      </w:r>
      <w:r>
        <w:t xml:space="preserve">one week prior to hearing before submitting </w:t>
      </w:r>
      <w:r w:rsidR="000F7811">
        <w:t xml:space="preserve">its </w:t>
      </w:r>
      <w:r>
        <w:t xml:space="preserve">Motion. It </w:t>
      </w:r>
      <w:r w:rsidR="0064030F">
        <w:t>sh</w:t>
      </w:r>
      <w:r>
        <w:t xml:space="preserve">ould have </w:t>
      </w:r>
      <w:bookmarkStart w:id="0" w:name="_GoBack"/>
      <w:bookmarkEnd w:id="0"/>
      <w:r>
        <w:t xml:space="preserve">submitted its Motion much earlier, in order to allow for a reasonable period to respond and an orderly disposition of this matter. </w:t>
      </w:r>
      <w:r w:rsidR="000F7811">
        <w:t xml:space="preserve"> </w:t>
      </w:r>
      <w:r>
        <w:t xml:space="preserve">Instead, what the Commission is left with is a Motion on the eve of the evidentiary hearing in which Staff is suggesting, if its Motion is not granted to strike, that either written supplemental testimony be provided (together with a supplemental hearing </w:t>
      </w:r>
      <w:r w:rsidRPr="00A2262B">
        <w:rPr>
          <w:u w:val="single"/>
        </w:rPr>
        <w:t>after</w:t>
      </w:r>
      <w:r>
        <w:t xml:space="preserve"> the evidentiary hearing scheduled to begin on October 12, 2016</w:t>
      </w:r>
      <w:r w:rsidR="00974123">
        <w:t>)</w:t>
      </w:r>
      <w:r>
        <w:t xml:space="preserve">, or </w:t>
      </w:r>
      <w:r w:rsidR="00974123">
        <w:t xml:space="preserve">the creation of </w:t>
      </w:r>
      <w:r>
        <w:t xml:space="preserve">additional process during the scheduled hearing dates to allow for oral </w:t>
      </w:r>
      <w:r w:rsidR="00401F71">
        <w:t>surrebuttal</w:t>
      </w:r>
      <w:r>
        <w:t xml:space="preserve"> testimony on the issue. Neither is appropriate at this juncture of the proceeding. Had the Staff otherwise timely filed this Motion, this would have provided a reasonable opportunity, were the </w:t>
      </w:r>
      <w:r w:rsidR="00974123">
        <w:t xml:space="preserve">alternative </w:t>
      </w:r>
      <w:r>
        <w:t xml:space="preserve">Motion granted, for the filing of the </w:t>
      </w:r>
      <w:r w:rsidR="00401F71">
        <w:t>surrebuttal</w:t>
      </w:r>
      <w:r>
        <w:t xml:space="preserve"> testimony, as well as Avista’s </w:t>
      </w:r>
      <w:r w:rsidR="00974123">
        <w:t>written answering testimony</w:t>
      </w:r>
      <w:r>
        <w:t xml:space="preserve">– all in advance of the scheduled hearing dates. That is what the orderly disposition of this case </w:t>
      </w:r>
      <w:r w:rsidR="00974123">
        <w:t xml:space="preserve">would </w:t>
      </w:r>
      <w:r w:rsidR="000F7811">
        <w:t>suggest</w:t>
      </w:r>
      <w:r>
        <w:t xml:space="preserve">. </w:t>
      </w:r>
    </w:p>
    <w:p w:rsidR="00A2262B" w:rsidRDefault="00A2262B" w:rsidP="00974123">
      <w:pPr>
        <w:pStyle w:val="Heading1"/>
      </w:pPr>
      <w:r>
        <w:tab/>
        <w:t xml:space="preserve">Moreover, Staff could have, but did not, include the actual </w:t>
      </w:r>
      <w:r w:rsidR="000F7811">
        <w:t xml:space="preserve">form of </w:t>
      </w:r>
      <w:r w:rsidR="00401F71">
        <w:t>surrebuttal</w:t>
      </w:r>
      <w:r>
        <w:t xml:space="preserve"> testimony that it is proposing, along with its Motion. Because it did not, the Commission and the Company are left to wonder about its scope and reasoning. In that regard, it is entirely unclear as to whether this matter can or should be addressed during the scheduled evidentiary hearing, or the scope of any necessary reply by Avista to the </w:t>
      </w:r>
      <w:r w:rsidR="00401F71">
        <w:t>surrebuttal</w:t>
      </w:r>
      <w:r>
        <w:t xml:space="preserve">. Accordingly, the Motion is deficient </w:t>
      </w:r>
      <w:r w:rsidR="00974123">
        <w:t xml:space="preserve">on its face </w:t>
      </w:r>
      <w:r>
        <w:t>i</w:t>
      </w:r>
      <w:r w:rsidR="00BE42BF">
        <w:t xml:space="preserve">n that regard, </w:t>
      </w:r>
      <w:r w:rsidR="000F7811">
        <w:t xml:space="preserve">as </w:t>
      </w:r>
      <w:r>
        <w:t>well</w:t>
      </w:r>
      <w:r w:rsidR="00BE42BF">
        <w:t xml:space="preserve">, </w:t>
      </w:r>
      <w:r w:rsidR="00974123">
        <w:t>because it failed</w:t>
      </w:r>
      <w:r>
        <w:t xml:space="preserve"> to provide the proposed </w:t>
      </w:r>
      <w:r w:rsidR="00401F71">
        <w:t>surrebuttal</w:t>
      </w:r>
      <w:r>
        <w:t xml:space="preserve"> testimony. </w:t>
      </w:r>
    </w:p>
    <w:p w:rsidR="00A2262B" w:rsidRDefault="00A2262B" w:rsidP="00974123">
      <w:pPr>
        <w:pStyle w:val="Heading1"/>
      </w:pPr>
      <w:r>
        <w:lastRenderedPageBreak/>
        <w:tab/>
        <w:t xml:space="preserve">In conclusion, the timing of Staff’s Motion, and the lack of specificity concerning the nature of its proposed </w:t>
      </w:r>
      <w:r w:rsidR="00401F71">
        <w:t>surrebuttal</w:t>
      </w:r>
      <w:r>
        <w:t>, should prove</w:t>
      </w:r>
      <w:r w:rsidR="00BE42BF">
        <w:t xml:space="preserve"> as troubling to the Commission</w:t>
      </w:r>
      <w:r>
        <w:t xml:space="preserve"> as it does to the </w:t>
      </w:r>
      <w:r w:rsidR="00974123">
        <w:t xml:space="preserve">Company. </w:t>
      </w:r>
      <w:r w:rsidR="00545F44">
        <w:t>This could have been avoided had the Motion been brought on a timely basis</w:t>
      </w:r>
      <w:r w:rsidR="00974123">
        <w:t xml:space="preserve">, with the proposed surrebuttal attached. </w:t>
      </w:r>
      <w:r w:rsidR="00545F44">
        <w:t xml:space="preserve">At this late juncture, Staff’s Motion will disrupt the orderly processing of this proceeding. </w:t>
      </w:r>
    </w:p>
    <w:p w:rsidR="00545F44" w:rsidRPr="00545F44" w:rsidRDefault="00545F44" w:rsidP="000F7811">
      <w:pPr>
        <w:spacing w:after="240"/>
        <w:jc w:val="center"/>
        <w:rPr>
          <w:b/>
          <w:u w:val="single"/>
        </w:rPr>
      </w:pPr>
      <w:r>
        <w:rPr>
          <w:b/>
        </w:rPr>
        <w:t xml:space="preserve">II.  </w:t>
      </w:r>
      <w:r>
        <w:rPr>
          <w:b/>
          <w:u w:val="single"/>
        </w:rPr>
        <w:t>APART FROM ITS UNTIMELY NATURE, THE MOTION SHOULD BE DENIED ON ITS MERITS</w:t>
      </w:r>
    </w:p>
    <w:p w:rsidR="00545F44" w:rsidRPr="00A2262B" w:rsidRDefault="00545F44" w:rsidP="000F7811">
      <w:pPr>
        <w:spacing w:after="240"/>
        <w:ind w:left="720" w:hanging="720"/>
        <w:jc w:val="both"/>
      </w:pPr>
      <w:r>
        <w:rPr>
          <w:b/>
        </w:rPr>
        <w:t>A.</w:t>
      </w:r>
      <w:r>
        <w:rPr>
          <w:b/>
        </w:rPr>
        <w:tab/>
      </w:r>
      <w:r w:rsidRPr="00545F44">
        <w:rPr>
          <w:b/>
          <w:u w:val="single"/>
        </w:rPr>
        <w:t>The Company’s Proposal for Deferred Accounting, as an Alternative, Does Not Constitute Improper Rebuttal</w:t>
      </w:r>
      <w:r>
        <w:rPr>
          <w:b/>
        </w:rPr>
        <w:t xml:space="preserve">. </w:t>
      </w:r>
    </w:p>
    <w:p w:rsidR="00192956" w:rsidRDefault="00545F44" w:rsidP="00974123">
      <w:pPr>
        <w:pStyle w:val="Heading1"/>
      </w:pPr>
      <w:r>
        <w:tab/>
        <w:t xml:space="preserve">Staff argues that Avista “could have easily presented its proposal for deferred accounting treatment for the AMI Project as an alternative in its Direct Testimony, which is where it belongs because it is Direct Testimony.” (Motion at ¶9) Staff is incorrect. Indeed, Avista’s proposed alternative of deferred accounting for AMI is utterly consistent with the </w:t>
      </w:r>
      <w:r w:rsidR="000F7811">
        <w:t xml:space="preserve">very </w:t>
      </w:r>
      <w:r>
        <w:t xml:space="preserve">purpose of rebuttal, because it responds to testimony in opposition to AMI as filed by Public Counsel and Staff. Avista </w:t>
      </w:r>
      <w:r w:rsidRPr="00974123">
        <w:rPr>
          <w:u w:val="single"/>
        </w:rPr>
        <w:t>is not required to anticipate in its direct case</w:t>
      </w:r>
      <w:r w:rsidR="00974123">
        <w:t xml:space="preserve"> t</w:t>
      </w:r>
      <w:r>
        <w:t>he position of parties on AMI and suggest alternative resolutions addressing their concerns</w:t>
      </w:r>
      <w:r w:rsidR="000F7811">
        <w:t xml:space="preserve"> at that time</w:t>
      </w:r>
      <w:r>
        <w:t xml:space="preserve">. And that is because their concerns have yet to be expressed. Avista is not required to </w:t>
      </w:r>
      <w:r w:rsidRPr="00545F44">
        <w:rPr>
          <w:u w:val="single"/>
        </w:rPr>
        <w:t>assume</w:t>
      </w:r>
      <w:r>
        <w:t xml:space="preserve"> opposition to an issue in its direct case, or in the case of AMI, to assume the nature of that opposition. Indeed, if it were otherwise, </w:t>
      </w:r>
      <w:r w:rsidR="00B600A1">
        <w:t xml:space="preserve">virtually every piece of rebuttal would be subject to strike, because </w:t>
      </w:r>
      <w:r w:rsidR="00192956">
        <w:t xml:space="preserve">it could be argued that </w:t>
      </w:r>
      <w:r w:rsidR="00B600A1">
        <w:t xml:space="preserve">the Company’s Direct Testimony </w:t>
      </w:r>
      <w:r w:rsidR="00192956">
        <w:t xml:space="preserve">should </w:t>
      </w:r>
      <w:r w:rsidR="00B600A1">
        <w:t xml:space="preserve">have somehow anticipated the issue. </w:t>
      </w:r>
    </w:p>
    <w:p w:rsidR="00324DB2" w:rsidRDefault="00324DB2">
      <w:pPr>
        <w:rPr>
          <w:bCs/>
          <w:color w:val="000000"/>
          <w:szCs w:val="32"/>
        </w:rPr>
      </w:pPr>
      <w:r>
        <w:br w:type="page"/>
      </w:r>
    </w:p>
    <w:p w:rsidR="00B600A1" w:rsidRDefault="00192956" w:rsidP="00192956">
      <w:pPr>
        <w:pStyle w:val="Heading1"/>
      </w:pPr>
      <w:r>
        <w:lastRenderedPageBreak/>
        <w:t xml:space="preserve"> </w:t>
      </w:r>
      <w:r>
        <w:tab/>
      </w:r>
      <w:r w:rsidRPr="00192956">
        <w:rPr>
          <w:u w:val="single"/>
        </w:rPr>
        <w:t>A</w:t>
      </w:r>
      <w:r w:rsidR="00B600A1" w:rsidRPr="00192956">
        <w:rPr>
          <w:u w:val="single"/>
        </w:rPr>
        <w:t>fter</w:t>
      </w:r>
      <w:r w:rsidR="00B600A1">
        <w:t xml:space="preserve"> reviewing the pre-filed testimony of parties in opposition to AMI, Avista responded with an alternative solution </w:t>
      </w:r>
      <w:r w:rsidR="00B600A1" w:rsidRPr="00626E54">
        <w:t xml:space="preserve">to address the concerns </w:t>
      </w:r>
      <w:r w:rsidR="000F7811">
        <w:t xml:space="preserve">expressed by </w:t>
      </w:r>
      <w:r w:rsidR="00B600A1" w:rsidRPr="00626E54">
        <w:t>parties with re</w:t>
      </w:r>
      <w:r w:rsidR="000F7811">
        <w:t xml:space="preserve">gard to the recovery of any AMI </w:t>
      </w:r>
      <w:r w:rsidR="00B600A1" w:rsidRPr="00626E54">
        <w:t>costs</w:t>
      </w:r>
      <w:r>
        <w:t xml:space="preserve">. It did so </w:t>
      </w:r>
      <w:r w:rsidR="00B600A1" w:rsidRPr="00626E54">
        <w:t xml:space="preserve">in the form of </w:t>
      </w:r>
      <w:r>
        <w:t xml:space="preserve">proposing </w:t>
      </w:r>
      <w:r w:rsidR="00B600A1" w:rsidRPr="00626E54">
        <w:t xml:space="preserve">deferred accounting for </w:t>
      </w:r>
      <w:r>
        <w:t xml:space="preserve">AMI </w:t>
      </w:r>
      <w:r w:rsidR="00B600A1" w:rsidRPr="00626E54">
        <w:t>costs.</w:t>
      </w:r>
      <w:r w:rsidR="00B600A1" w:rsidRPr="00626E54">
        <w:rPr>
          <w:rStyle w:val="FootnoteReference"/>
        </w:rPr>
        <w:footnoteReference w:id="2"/>
      </w:r>
      <w:r w:rsidR="00B600A1" w:rsidRPr="00626E54">
        <w:t xml:space="preserve"> With deferred accounting, as testified to by Mr. Norwood, the revenue requirement associated with the AMI costs that are transferred to plant-in-service would be set aside for the opportunity </w:t>
      </w:r>
      <w:r>
        <w:t xml:space="preserve">(not guarantee) </w:t>
      </w:r>
      <w:r w:rsidR="00B600A1" w:rsidRPr="00626E54">
        <w:t>for future recovery.</w:t>
      </w:r>
      <w:r w:rsidR="00B600A1" w:rsidRPr="00626E54">
        <w:rPr>
          <w:rStyle w:val="FootnoteReference"/>
        </w:rPr>
        <w:footnoteReference w:id="3"/>
      </w:r>
      <w:r w:rsidR="00B600A1" w:rsidRPr="00626E54">
        <w:t xml:space="preserve"> Accordingly, for those parties in this</w:t>
      </w:r>
      <w:r w:rsidR="00C14B07">
        <w:t xml:space="preserve"> case that oppose including AMI </w:t>
      </w:r>
      <w:r w:rsidR="00B600A1" w:rsidRPr="00626E54">
        <w:t xml:space="preserve">costs </w:t>
      </w:r>
      <w:r w:rsidR="00C14B07">
        <w:t xml:space="preserve">in </w:t>
      </w:r>
      <w:r w:rsidR="00B600A1" w:rsidRPr="00626E54">
        <w:t>retail rates, through the use of deferred accounting the AMI costs would be excluded from retail rates at this time. For its part, with deferred accounting, Avista would not experience the significant negative financial impact otherwi</w:t>
      </w:r>
      <w:r w:rsidR="00C14B07">
        <w:t>se associated with excluding AMI</w:t>
      </w:r>
      <w:r w:rsidR="00B600A1" w:rsidRPr="00626E54">
        <w:t xml:space="preserve"> cost recovery in this case.</w:t>
      </w:r>
      <w:r>
        <w:rPr>
          <w:rStyle w:val="FootnoteReference"/>
        </w:rPr>
        <w:footnoteReference w:id="4"/>
      </w:r>
      <w:r w:rsidR="00B600A1" w:rsidRPr="00626E54">
        <w:t xml:space="preserve"> And finally, through deferred accounting, the Commission will have the opportunity to review such costs after-the-fact, and make a prudence determination prior to the Company receiving recovery of </w:t>
      </w:r>
      <w:r w:rsidR="00C14B07">
        <w:t xml:space="preserve">any </w:t>
      </w:r>
      <w:r w:rsidR="00B600A1" w:rsidRPr="00626E54">
        <w:t>prudently incurred costs through retail rates.</w:t>
      </w:r>
      <w:r w:rsidR="00B600A1" w:rsidRPr="00626E54">
        <w:rPr>
          <w:rStyle w:val="FootnoteReference"/>
        </w:rPr>
        <w:footnoteReference w:id="5"/>
      </w:r>
      <w:r w:rsidR="00B600A1" w:rsidRPr="00626E54">
        <w:t xml:space="preserve"> Accordingly, should the Commission not approve recovery of the AMI costs for the rate period, through an after-attrit</w:t>
      </w:r>
      <w:r w:rsidR="00B600A1">
        <w:t xml:space="preserve">ion adjustment, Avista requested </w:t>
      </w:r>
      <w:r w:rsidR="00B600A1" w:rsidRPr="00626E54">
        <w:t>that the Commission approve deferred accounting treatment for the AMI Project.</w:t>
      </w:r>
      <w:r w:rsidR="00B600A1" w:rsidRPr="00626E54">
        <w:rPr>
          <w:rStyle w:val="FootnoteReference"/>
        </w:rPr>
        <w:footnoteReference w:id="6"/>
      </w:r>
      <w:r w:rsidR="00B600A1" w:rsidRPr="00626E54">
        <w:t xml:space="preserve"> (See also, rebuttal testimony of Ms. Andrews regarding the accounting for costs under deferred accounting for AMI.)</w:t>
      </w:r>
      <w:r w:rsidR="00B600A1" w:rsidRPr="00626E54">
        <w:rPr>
          <w:rStyle w:val="FootnoteReference"/>
        </w:rPr>
        <w:footnoteReference w:id="7"/>
      </w:r>
    </w:p>
    <w:p w:rsidR="00324DB2" w:rsidRDefault="00324DB2">
      <w:pPr>
        <w:rPr>
          <w:b/>
        </w:rPr>
      </w:pPr>
      <w:r>
        <w:rPr>
          <w:b/>
        </w:rPr>
        <w:br w:type="page"/>
      </w:r>
    </w:p>
    <w:p w:rsidR="00B600A1" w:rsidRPr="00B600A1" w:rsidRDefault="00B600A1" w:rsidP="00B600A1">
      <w:pPr>
        <w:spacing w:line="480" w:lineRule="auto"/>
        <w:jc w:val="both"/>
        <w:rPr>
          <w:b/>
        </w:rPr>
      </w:pPr>
      <w:r>
        <w:rPr>
          <w:b/>
        </w:rPr>
        <w:lastRenderedPageBreak/>
        <w:t>B.</w:t>
      </w:r>
      <w:r>
        <w:rPr>
          <w:b/>
        </w:rPr>
        <w:tab/>
      </w:r>
      <w:r>
        <w:rPr>
          <w:b/>
          <w:u w:val="single"/>
        </w:rPr>
        <w:t>Staff’s Motion Would Deprive the Commission of a Constructive Alternative</w:t>
      </w:r>
      <w:r>
        <w:rPr>
          <w:b/>
        </w:rPr>
        <w:t>.</w:t>
      </w:r>
    </w:p>
    <w:p w:rsidR="00B600A1" w:rsidRDefault="00B600A1" w:rsidP="00F61CE7">
      <w:pPr>
        <w:pStyle w:val="Heading1"/>
      </w:pPr>
      <w:r>
        <w:tab/>
        <w:t xml:space="preserve">Particularly disturbing is the fact that </w:t>
      </w:r>
      <w:r w:rsidR="00F61CE7">
        <w:t xml:space="preserve">Staff’s </w:t>
      </w:r>
      <w:r>
        <w:t xml:space="preserve">Motion challenges what is proffered as </w:t>
      </w:r>
      <w:r w:rsidR="00C14B07">
        <w:t xml:space="preserve">a </w:t>
      </w:r>
      <w:r w:rsidR="00F61CE7">
        <w:t xml:space="preserve">constructive </w:t>
      </w:r>
      <w:r w:rsidR="00C14B07">
        <w:t xml:space="preserve">alternative </w:t>
      </w:r>
      <w:r>
        <w:t>to address the concerns of all parties, as discussed above. While it still remains the position of the Company that it should be allowed the recovery of AMI costs incurred during 2017</w:t>
      </w:r>
      <w:r w:rsidR="00F61CE7">
        <w:t xml:space="preserve"> in this case</w:t>
      </w:r>
      <w:r>
        <w:t xml:space="preserve">, the Company has suggested the reasonable alternative of deferred accounting. Indeed, as recently as March 15, 2016, this Commission issued its “Order Granting Amended Accounting Petition Subject </w:t>
      </w:r>
      <w:r w:rsidR="00A24C49">
        <w:t xml:space="preserve">to Conditions,” in Docket UE-160100, approving an accounting order authorizing deferred accounting treatment related to the undepreciated net book value of the Company’s existing </w:t>
      </w:r>
      <w:r w:rsidR="00F61CE7">
        <w:t xml:space="preserve">(soon to be retired) </w:t>
      </w:r>
      <w:r w:rsidR="00A24C49">
        <w:t xml:space="preserve">electric meters. As will be discussed below, the use of deferred accounting is a recognized approach for addressing matters in dispute, pending their final resolution. </w:t>
      </w:r>
      <w:r w:rsidR="00F61CE7">
        <w:t xml:space="preserve">No party will be harmed through deferred accounting and the parties will have preserved their positions to subsequently argue the prudency of </w:t>
      </w:r>
      <w:r w:rsidR="00C14B07">
        <w:t xml:space="preserve">the </w:t>
      </w:r>
      <w:r w:rsidR="00F61CE7">
        <w:t>AMI expenditures</w:t>
      </w:r>
      <w:r w:rsidR="00C14B07">
        <w:t xml:space="preserve"> at issue in this case</w:t>
      </w:r>
      <w:r w:rsidR="00F61CE7">
        <w:t xml:space="preserve">. </w:t>
      </w:r>
    </w:p>
    <w:p w:rsidR="00A24C49" w:rsidRDefault="00A24C49" w:rsidP="003304C9">
      <w:pPr>
        <w:keepNext/>
        <w:keepLines/>
        <w:spacing w:after="240"/>
        <w:ind w:left="720" w:hanging="720"/>
        <w:jc w:val="both"/>
      </w:pPr>
      <w:r>
        <w:rPr>
          <w:b/>
        </w:rPr>
        <w:t>C.</w:t>
      </w:r>
      <w:r>
        <w:rPr>
          <w:b/>
        </w:rPr>
        <w:tab/>
      </w:r>
      <w:r>
        <w:rPr>
          <w:b/>
          <w:u w:val="single"/>
        </w:rPr>
        <w:t>Staff’s Position Reflects a Misunderstanding of the Purpose and Effect of Deferred Accounting</w:t>
      </w:r>
      <w:r>
        <w:rPr>
          <w:b/>
        </w:rPr>
        <w:t xml:space="preserve">. </w:t>
      </w:r>
    </w:p>
    <w:p w:rsidR="00A24C49" w:rsidRDefault="00A24C49" w:rsidP="00693F95">
      <w:pPr>
        <w:pStyle w:val="Heading1"/>
      </w:pPr>
      <w:r>
        <w:tab/>
        <w:t>In its Motion, Staff suggests that deferred accounting treatment creates a “greater expectation of recovery; which as a practical matter, makes it more difficult for non-Company parties who ultimately conduct the prudence investigation to contest prudence.” (</w:t>
      </w:r>
      <w:r>
        <w:rPr>
          <w:u w:val="single"/>
        </w:rPr>
        <w:t>See</w:t>
      </w:r>
      <w:r>
        <w:t xml:space="preserve"> Motion at ¶11) This position, of course, ignores the very conditions placed on </w:t>
      </w:r>
      <w:r w:rsidRPr="00693F95">
        <w:rPr>
          <w:u w:val="single"/>
        </w:rPr>
        <w:t>any</w:t>
      </w:r>
      <w:r>
        <w:t xml:space="preserve"> </w:t>
      </w:r>
      <w:r w:rsidR="00693F95">
        <w:t>d</w:t>
      </w:r>
      <w:r>
        <w:t xml:space="preserve">eferred </w:t>
      </w:r>
      <w:r w:rsidR="00693F95">
        <w:t>a</w:t>
      </w:r>
      <w:r>
        <w:t xml:space="preserve">ccounting </w:t>
      </w:r>
      <w:r w:rsidR="00693F95">
        <w:t>o</w:t>
      </w:r>
      <w:r>
        <w:t>rder</w:t>
      </w:r>
      <w:r w:rsidR="00693F95">
        <w:t>.</w:t>
      </w:r>
      <w:r>
        <w:t xml:space="preserve"> This is best illustrated by the Commission’s </w:t>
      </w:r>
      <w:r w:rsidR="00693F95">
        <w:t>recent d</w:t>
      </w:r>
      <w:r>
        <w:t xml:space="preserve">eferred </w:t>
      </w:r>
      <w:r w:rsidR="00693F95">
        <w:t>a</w:t>
      </w:r>
      <w:r>
        <w:t xml:space="preserve">ccounting </w:t>
      </w:r>
      <w:r w:rsidR="00693F95">
        <w:t>o</w:t>
      </w:r>
      <w:r>
        <w:t xml:space="preserve">rder on the retired meters, </w:t>
      </w:r>
      <w:r>
        <w:rPr>
          <w:u w:val="single"/>
        </w:rPr>
        <w:t>supra</w:t>
      </w:r>
      <w:r>
        <w:t xml:space="preserve">, where it stated: </w:t>
      </w:r>
    </w:p>
    <w:p w:rsidR="0020634A" w:rsidRDefault="00A24C49" w:rsidP="0020634A">
      <w:pPr>
        <w:pStyle w:val="BLOCKQUOTE"/>
      </w:pPr>
      <w:r>
        <w:t xml:space="preserve">Further, </w:t>
      </w:r>
      <w:r w:rsidRPr="00693F95">
        <w:rPr>
          <w:u w:val="single"/>
        </w:rPr>
        <w:t>our decision in no way constitutes a pre-approval of the Company’s AMI investment, and the Commission makes no finding regarding the prudence of the investment</w:t>
      </w:r>
      <w:r>
        <w:t>. Avista recognizes that a determination of prudence and the eligibility for recovery of any costs associated with the Company’s AMI investment will be addressed in</w:t>
      </w:r>
      <w:r w:rsidR="0020634A">
        <w:t xml:space="preserve"> a future regulatory proceeding. As the Company noted in its Amended </w:t>
      </w:r>
      <w:r w:rsidR="0020634A">
        <w:lastRenderedPageBreak/>
        <w:t xml:space="preserve">Petition, ‘[w]e also agree the obligation to demonstrate both that the decision to move forward was prudent, and the costs of installation are prudent, rests solely with the Company, and we will proceed on that basis.’ </w:t>
      </w:r>
      <w:r w:rsidR="00693F95">
        <w:t xml:space="preserve">(Emphasis added) </w:t>
      </w:r>
    </w:p>
    <w:p w:rsidR="00A24C49" w:rsidRDefault="0020634A" w:rsidP="00F533D1">
      <w:pPr>
        <w:spacing w:line="480" w:lineRule="auto"/>
        <w:jc w:val="both"/>
      </w:pPr>
      <w:r>
        <w:t xml:space="preserve">(Order 01, </w:t>
      </w:r>
      <w:r>
        <w:rPr>
          <w:u w:val="single"/>
        </w:rPr>
        <w:t>supra</w:t>
      </w:r>
      <w:r>
        <w:t>, at ¶9.</w:t>
      </w:r>
      <w:r w:rsidR="00693F95">
        <w:t>)</w:t>
      </w:r>
      <w:r>
        <w:t xml:space="preserve"> Finally, in its </w:t>
      </w:r>
      <w:r w:rsidR="00693F95">
        <w:t>O</w:t>
      </w:r>
      <w:r>
        <w:t xml:space="preserve">rdering </w:t>
      </w:r>
      <w:r w:rsidR="00693F95">
        <w:t>P</w:t>
      </w:r>
      <w:r>
        <w:t>aragraph</w:t>
      </w:r>
      <w:r w:rsidR="00C14B07">
        <w:t xml:space="preserve"> 20</w:t>
      </w:r>
      <w:r>
        <w:t>, the Commission, as it always does, stated: “Nor shall this Order granting Petition be construed as an agreement to any estimate, determination of costs, valuation of property claimed or asserted or to the possible recovery of, or return on, the amounts deferred to the regulatory asset.” (</w:t>
      </w:r>
      <w:r>
        <w:rPr>
          <w:u w:val="single"/>
        </w:rPr>
        <w:t>See</w:t>
      </w:r>
      <w:r>
        <w:t xml:space="preserve"> Order 01, </w:t>
      </w:r>
      <w:r>
        <w:rPr>
          <w:u w:val="single"/>
        </w:rPr>
        <w:t>supra</w:t>
      </w:r>
      <w:r>
        <w:t xml:space="preserve">, at ¶20) In its alternative proposal for deferred accounting in this proceeding, Avista has made it quite clear that it is not otherwise seeking a prudency determination as part of its deferred accounting request. </w:t>
      </w:r>
    </w:p>
    <w:p w:rsidR="0020634A" w:rsidRDefault="0020634A" w:rsidP="0020634A">
      <w:pPr>
        <w:spacing w:line="480" w:lineRule="auto"/>
        <w:jc w:val="center"/>
      </w:pPr>
      <w:r>
        <w:rPr>
          <w:b/>
        </w:rPr>
        <w:t xml:space="preserve">III.  </w:t>
      </w:r>
      <w:r>
        <w:rPr>
          <w:b/>
          <w:u w:val="single"/>
        </w:rPr>
        <w:t>CONCLUSION</w:t>
      </w:r>
    </w:p>
    <w:p w:rsidR="0020634A" w:rsidRDefault="0020634A" w:rsidP="002A1104">
      <w:pPr>
        <w:pStyle w:val="Heading1"/>
      </w:pPr>
      <w:r>
        <w:tab/>
        <w:t>The Commission should deny Staff’s Motions. For the reasons stated above, Staff’s Motion to Strike should be denied, not only as untimely, but on its meri</w:t>
      </w:r>
      <w:r w:rsidR="00693F95">
        <w:t>ts</w:t>
      </w:r>
      <w:r>
        <w:t xml:space="preserve"> as well. If granted, it would suggest that nearly any piece of rebuttal testimony could be rejected as improper</w:t>
      </w:r>
      <w:r w:rsidR="000222C8">
        <w:t xml:space="preserve"> because</w:t>
      </w:r>
      <w:r>
        <w:t xml:space="preserve"> </w:t>
      </w:r>
      <w:r w:rsidR="00C14B07">
        <w:t xml:space="preserve">a suggested alternative resolution </w:t>
      </w:r>
      <w:r>
        <w:t xml:space="preserve">was not previously raised in a party’s </w:t>
      </w:r>
      <w:r w:rsidR="00693F95">
        <w:t xml:space="preserve">own </w:t>
      </w:r>
      <w:r>
        <w:t xml:space="preserve">Direct Testimony. That would create bad precedent and disrupt the orderly processing of </w:t>
      </w:r>
      <w:r w:rsidR="00324DB2">
        <w:t xml:space="preserve">rate </w:t>
      </w:r>
      <w:r>
        <w:t xml:space="preserve">proceedings. </w:t>
      </w:r>
      <w:r w:rsidR="00C14B07">
        <w:t>For that reason</w:t>
      </w:r>
      <w:r w:rsidR="009518EB">
        <w:t xml:space="preserve"> alone, the Motion to Strike should be denied. </w:t>
      </w:r>
      <w:r>
        <w:t>Avista, however, understands that it is important for the Commission to have the information it needs before it, in order to make a reasoned deci</w:t>
      </w:r>
      <w:r w:rsidR="00C14B07">
        <w:t xml:space="preserve">sion. If the Commission elects </w:t>
      </w:r>
      <w:r>
        <w:t xml:space="preserve">to entertain additional </w:t>
      </w:r>
      <w:r w:rsidR="00401F71">
        <w:t>surrebuttal</w:t>
      </w:r>
      <w:r>
        <w:t xml:space="preserve"> testimony by Staff on the issue of deferred accounting, the Company urges the Commission to reject outright the </w:t>
      </w:r>
      <w:r w:rsidR="009518EB">
        <w:t xml:space="preserve">proposed </w:t>
      </w:r>
      <w:r>
        <w:t xml:space="preserve">pre-filing of supplemental </w:t>
      </w:r>
      <w:r w:rsidR="00401F71">
        <w:t>surrebuttal</w:t>
      </w:r>
      <w:r w:rsidR="00A545C5">
        <w:t xml:space="preserve"> on this issue and the setting of an additional hearing after the close of the evidentiary hearings scheduled for October 12, 2016. The schedule is already sufficiently compressed, and </w:t>
      </w:r>
      <w:r w:rsidR="009518EB">
        <w:t xml:space="preserve">to add another procedural step </w:t>
      </w:r>
      <w:r w:rsidR="00A545C5">
        <w:t xml:space="preserve">would only deprive the parties of additional time for briefing as well as the rendering of a decision by this Commission. Therefore, if the Commission wishes to entertain additional </w:t>
      </w:r>
      <w:r w:rsidR="00401F71">
        <w:t>surrebuttal</w:t>
      </w:r>
      <w:r w:rsidR="00A545C5">
        <w:t xml:space="preserve"> from Staff, the Company would not object </w:t>
      </w:r>
      <w:r w:rsidR="00A545C5">
        <w:lastRenderedPageBreak/>
        <w:t xml:space="preserve">to a brief oral presentation by Staff, in this regard, at the time of the October 12-14 hearing dates, so long as the Company would be allowed to recall a witness to reply to such oral </w:t>
      </w:r>
      <w:r w:rsidR="00401F71">
        <w:t>surrebuttal</w:t>
      </w:r>
      <w:r w:rsidR="00A545C5">
        <w:t xml:space="preserve">. </w:t>
      </w:r>
    </w:p>
    <w:p w:rsidR="00A545C5" w:rsidRPr="0020634A" w:rsidRDefault="00A545C5" w:rsidP="00806396">
      <w:pPr>
        <w:pStyle w:val="Heading1"/>
      </w:pPr>
      <w:r>
        <w:tab/>
        <w:t xml:space="preserve">RESPECTFULLY SUBMITTED this ___ day of October, 2016. </w:t>
      </w:r>
    </w:p>
    <w:p w:rsidR="00A545C5" w:rsidRPr="0041098E" w:rsidRDefault="00A545C5" w:rsidP="00A545C5">
      <w:pPr>
        <w:pStyle w:val="SignatureBlock"/>
        <w:spacing w:line="240" w:lineRule="auto"/>
        <w:ind w:left="3330"/>
        <w:rPr>
          <w:caps/>
        </w:rPr>
      </w:pPr>
      <w:r>
        <w:rPr>
          <w:caps/>
        </w:rPr>
        <w:t xml:space="preserve">AVISTA CORPORATION </w:t>
      </w:r>
    </w:p>
    <w:p w:rsidR="00A545C5" w:rsidRDefault="00A545C5" w:rsidP="00A545C5">
      <w:pPr>
        <w:ind w:left="3330"/>
      </w:pPr>
    </w:p>
    <w:p w:rsidR="00A545C5" w:rsidRDefault="00A545C5" w:rsidP="00A545C5">
      <w:pPr>
        <w:tabs>
          <w:tab w:val="right" w:pos="4242"/>
          <w:tab w:val="right" w:pos="4530"/>
        </w:tabs>
        <w:ind w:left="3330"/>
      </w:pPr>
    </w:p>
    <w:p w:rsidR="00A545C5" w:rsidRDefault="00A545C5" w:rsidP="00A545C5">
      <w:pPr>
        <w:tabs>
          <w:tab w:val="right" w:pos="4242"/>
          <w:tab w:val="right" w:pos="4530"/>
        </w:tabs>
        <w:ind w:left="3330"/>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45C5" w:rsidRDefault="00A545C5" w:rsidP="00A545C5">
      <w:pPr>
        <w:pStyle w:val="SignatureName"/>
        <w:spacing w:line="240" w:lineRule="auto"/>
        <w:ind w:left="3330" w:firstLine="540"/>
      </w:pPr>
      <w:bookmarkStart w:id="1" w:name="Attorneys"/>
      <w:r>
        <w:t>David J. Meyer</w:t>
      </w:r>
    </w:p>
    <w:p w:rsidR="00A545C5" w:rsidRDefault="00A545C5" w:rsidP="00A545C5">
      <w:pPr>
        <w:pStyle w:val="SignatureName"/>
        <w:spacing w:line="240" w:lineRule="auto"/>
        <w:ind w:left="3330" w:firstLine="540"/>
      </w:pPr>
      <w:r>
        <w:t>WSBA No. 8717</w:t>
      </w:r>
    </w:p>
    <w:p w:rsidR="00A545C5" w:rsidRDefault="00A545C5" w:rsidP="00A545C5">
      <w:pPr>
        <w:pStyle w:val="SignatureName"/>
        <w:spacing w:line="240" w:lineRule="auto"/>
        <w:ind w:left="3330" w:firstLine="540"/>
      </w:pPr>
      <w:r>
        <w:t>Chief Counsel for Regulatory and Governmental Affairs</w:t>
      </w:r>
    </w:p>
    <w:p w:rsidR="00A545C5" w:rsidRDefault="00A545C5" w:rsidP="00A545C5">
      <w:pPr>
        <w:pStyle w:val="SignatureName"/>
        <w:spacing w:line="240" w:lineRule="auto"/>
        <w:ind w:left="3330" w:firstLine="540"/>
      </w:pPr>
      <w:r>
        <w:t>Attorney for Avista Corporation</w:t>
      </w:r>
    </w:p>
    <w:bookmarkEnd w:id="1"/>
    <w:p w:rsidR="0020634A" w:rsidRDefault="0020634A" w:rsidP="00A545C5">
      <w:pPr>
        <w:spacing w:line="480" w:lineRule="auto"/>
        <w:jc w:val="both"/>
      </w:pPr>
    </w:p>
    <w:p w:rsidR="003304C9" w:rsidRPr="00FE0258" w:rsidRDefault="005E40A4" w:rsidP="000D202F">
      <w:pPr>
        <w:pStyle w:val="Signature"/>
        <w:spacing w:after="0"/>
        <w:ind w:left="0"/>
        <w:rPr>
          <w:sz w:val="16"/>
          <w:szCs w:val="16"/>
        </w:rPr>
      </w:pPr>
      <w:r>
        <w:rPr>
          <w:noProof/>
          <w:sz w:val="16"/>
          <w:szCs w:val="16"/>
        </w:rPr>
        <w:t>I:\SPODOCS\11150\02940\PLEAD\01581442.DOCX</w:t>
      </w:r>
    </w:p>
    <w:p w:rsidR="00A545C5" w:rsidRDefault="00A545C5" w:rsidP="00A545C5">
      <w:pPr>
        <w:spacing w:line="480" w:lineRule="auto"/>
        <w:jc w:val="both"/>
      </w:pPr>
    </w:p>
    <w:sectPr w:rsidR="00A545C5" w:rsidSect="00F57110">
      <w:headerReference w:type="default" r:id="rId11"/>
      <w:footerReference w:type="default" r:id="rId12"/>
      <w:type w:val="continuous"/>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34" w:rsidRDefault="00061D34">
      <w:r>
        <w:separator/>
      </w:r>
    </w:p>
  </w:endnote>
  <w:endnote w:type="continuationSeparator" w:id="0">
    <w:p w:rsidR="00061D34" w:rsidRDefault="0006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4" w:rsidRPr="008B2C04" w:rsidRDefault="003931BD" w:rsidP="00643360">
    <w:pPr>
      <w:pStyle w:val="Footer"/>
      <w:rPr>
        <w:sz w:val="20"/>
        <w:szCs w:val="20"/>
      </w:rPr>
    </w:pPr>
    <w:r w:rsidRPr="003931BD">
      <w:rPr>
        <w:sz w:val="20"/>
        <w:szCs w:val="20"/>
      </w:rPr>
      <w:t>ANSWER OF AVISTA CORPORATION TO STAFF MOTION TO STRIKE</w:t>
    </w:r>
    <w:r w:rsidR="00061D34" w:rsidRPr="008B2C04">
      <w:rPr>
        <w:sz w:val="20"/>
        <w:szCs w:val="20"/>
      </w:rPr>
      <w:t xml:space="preserve"> - </w:t>
    </w:r>
    <w:r w:rsidR="00061D34" w:rsidRPr="008B2C04">
      <w:rPr>
        <w:sz w:val="20"/>
        <w:szCs w:val="20"/>
      </w:rPr>
      <w:fldChar w:fldCharType="begin"/>
    </w:r>
    <w:r w:rsidR="00061D34" w:rsidRPr="008B2C04">
      <w:rPr>
        <w:sz w:val="20"/>
        <w:szCs w:val="20"/>
      </w:rPr>
      <w:instrText xml:space="preserve"> PAGE   \* MERGEFORMAT </w:instrText>
    </w:r>
    <w:r w:rsidR="00061D34" w:rsidRPr="008B2C04">
      <w:rPr>
        <w:sz w:val="20"/>
        <w:szCs w:val="20"/>
      </w:rPr>
      <w:fldChar w:fldCharType="separate"/>
    </w:r>
    <w:r w:rsidR="0064030F">
      <w:rPr>
        <w:noProof/>
        <w:sz w:val="20"/>
        <w:szCs w:val="20"/>
      </w:rPr>
      <w:t>6</w:t>
    </w:r>
    <w:r w:rsidR="00061D34" w:rsidRPr="008B2C04">
      <w:rPr>
        <w:noProof/>
        <w:sz w:val="20"/>
        <w:szCs w:val="20"/>
      </w:rPr>
      <w:fldChar w:fldCharType="end"/>
    </w:r>
  </w:p>
  <w:p w:rsidR="00061D34" w:rsidRDefault="0006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34" w:rsidRDefault="00061D34">
      <w:r>
        <w:separator/>
      </w:r>
    </w:p>
  </w:footnote>
  <w:footnote w:type="continuationSeparator" w:id="0">
    <w:p w:rsidR="00061D34" w:rsidRDefault="00061D34">
      <w:r>
        <w:continuationSeparator/>
      </w:r>
    </w:p>
  </w:footnote>
  <w:footnote w:id="1">
    <w:p w:rsidR="00401F71" w:rsidRDefault="00401F71" w:rsidP="00806396">
      <w:pPr>
        <w:pStyle w:val="FootnoteText"/>
        <w:ind w:left="270" w:hanging="270"/>
        <w:jc w:val="both"/>
      </w:pPr>
      <w:r>
        <w:rPr>
          <w:rStyle w:val="FootnoteReference"/>
        </w:rPr>
        <w:footnoteRef/>
      </w:r>
      <w:r>
        <w:t xml:space="preserve"> </w:t>
      </w:r>
      <w:r w:rsidR="00806396">
        <w:tab/>
      </w:r>
      <w:r>
        <w:t xml:space="preserve">On October 5, 2016, Public Counsel/The Energy Project filed a Response in Support of Staff’s Motion, but raising no new arguments. Accordingly, Avista’s Answer to Staff’s Motion should be deemed to address Public Counsel/The Energy Project’s Response as well. </w:t>
      </w:r>
    </w:p>
  </w:footnote>
  <w:footnote w:id="2">
    <w:p w:rsidR="00B600A1" w:rsidRPr="00F57110" w:rsidRDefault="00B600A1" w:rsidP="00B600A1">
      <w:pPr>
        <w:pStyle w:val="FootnoteText"/>
        <w:ind w:left="270" w:hanging="270"/>
        <w:jc w:val="both"/>
      </w:pPr>
      <w:r w:rsidRPr="00F57110">
        <w:rPr>
          <w:rStyle w:val="FootnoteReference"/>
        </w:rPr>
        <w:footnoteRef/>
      </w:r>
      <w:r w:rsidRPr="00F57110">
        <w:t xml:space="preserve"> </w:t>
      </w:r>
      <w:r w:rsidR="00806396">
        <w:tab/>
      </w:r>
      <w:r w:rsidRPr="00F57110">
        <w:t xml:space="preserve">Exh. No. KON-1T, p.35:12 – 36:24. </w:t>
      </w:r>
    </w:p>
  </w:footnote>
  <w:footnote w:id="3">
    <w:p w:rsidR="00B600A1" w:rsidRPr="00F57110" w:rsidRDefault="00B600A1" w:rsidP="00F61CE7">
      <w:pPr>
        <w:pStyle w:val="FootnoteText"/>
        <w:ind w:left="270" w:hanging="270"/>
        <w:jc w:val="both"/>
      </w:pPr>
      <w:r w:rsidRPr="00F57110">
        <w:rPr>
          <w:rStyle w:val="FootnoteReference"/>
        </w:rPr>
        <w:footnoteRef/>
      </w:r>
      <w:r w:rsidRPr="00F57110">
        <w:t xml:space="preserve"> </w:t>
      </w:r>
      <w:r w:rsidR="00F61CE7">
        <w:tab/>
      </w:r>
      <w:r w:rsidRPr="00F57110">
        <w:rPr>
          <w:u w:val="single"/>
        </w:rPr>
        <w:t>Id</w:t>
      </w:r>
      <w:r w:rsidRPr="00F57110">
        <w:t xml:space="preserve">. </w:t>
      </w:r>
    </w:p>
  </w:footnote>
  <w:footnote w:id="4">
    <w:p w:rsidR="00192956" w:rsidRPr="00192956" w:rsidRDefault="00192956" w:rsidP="00806396">
      <w:pPr>
        <w:pStyle w:val="FootnoteText"/>
        <w:ind w:left="270" w:hanging="270"/>
        <w:jc w:val="both"/>
      </w:pPr>
      <w:r>
        <w:rPr>
          <w:rStyle w:val="FootnoteReference"/>
        </w:rPr>
        <w:footnoteRef/>
      </w:r>
      <w:r>
        <w:t xml:space="preserve"> </w:t>
      </w:r>
      <w:r w:rsidR="00F61CE7">
        <w:tab/>
      </w:r>
      <w:r>
        <w:t xml:space="preserve">The Company has included approximately $17.9 million of transfers-to-plant associated with AMI in 2017, along with net operating expenses of $2.2 million. These are included in its “after-attrition adjustment” and account for a revenue </w:t>
      </w:r>
      <w:r w:rsidR="00C14B07">
        <w:t xml:space="preserve">requirement </w:t>
      </w:r>
      <w:r>
        <w:t>need of $4.9 million. If the Commission does not either approve this request</w:t>
      </w:r>
      <w:r w:rsidR="00C14B07">
        <w:t>ed</w:t>
      </w:r>
      <w:r>
        <w:t xml:space="preserve"> adjustment, or </w:t>
      </w:r>
      <w:r w:rsidR="00C14B07">
        <w:t xml:space="preserve">otherwise </w:t>
      </w:r>
      <w:r>
        <w:t xml:space="preserve">grant deferred </w:t>
      </w:r>
      <w:r w:rsidR="00C14B07">
        <w:t xml:space="preserve">recovery of </w:t>
      </w:r>
      <w:r>
        <w:t xml:space="preserve">these amounts, it will have </w:t>
      </w:r>
      <w:r>
        <w:rPr>
          <w:u w:val="single"/>
        </w:rPr>
        <w:t>effectively denied</w:t>
      </w:r>
      <w:r>
        <w:t xml:space="preserve"> the Company recovery </w:t>
      </w:r>
      <w:r w:rsidR="00BA7B72">
        <w:t xml:space="preserve">of these expenditures, without otherwise determining that they were imprudent. </w:t>
      </w:r>
    </w:p>
  </w:footnote>
  <w:footnote w:id="5">
    <w:p w:rsidR="00B600A1" w:rsidRPr="00F57110" w:rsidRDefault="00B600A1" w:rsidP="00F61CE7">
      <w:pPr>
        <w:pStyle w:val="FootnoteText"/>
        <w:ind w:left="270" w:hanging="270"/>
        <w:jc w:val="both"/>
      </w:pPr>
      <w:r w:rsidRPr="00F57110">
        <w:rPr>
          <w:rStyle w:val="FootnoteReference"/>
        </w:rPr>
        <w:footnoteRef/>
      </w:r>
      <w:r w:rsidRPr="00F57110">
        <w:t xml:space="preserve"> </w:t>
      </w:r>
      <w:r w:rsidR="00F61CE7">
        <w:tab/>
      </w:r>
      <w:r w:rsidRPr="00F57110">
        <w:t xml:space="preserve">Exh. No. KON-1T, p.35:21 – 36:12. </w:t>
      </w:r>
    </w:p>
  </w:footnote>
  <w:footnote w:id="6">
    <w:p w:rsidR="00B600A1" w:rsidRPr="00F57110" w:rsidRDefault="00B600A1" w:rsidP="00B600A1">
      <w:pPr>
        <w:pStyle w:val="FootnoteText"/>
        <w:ind w:left="270" w:hanging="270"/>
        <w:jc w:val="both"/>
      </w:pPr>
      <w:r w:rsidRPr="00F57110">
        <w:rPr>
          <w:rStyle w:val="FootnoteReference"/>
        </w:rPr>
        <w:footnoteRef/>
      </w:r>
      <w:r w:rsidRPr="00F57110">
        <w:t xml:space="preserve"> </w:t>
      </w:r>
      <w:r w:rsidR="00F61CE7">
        <w:tab/>
      </w:r>
      <w:r w:rsidRPr="00F57110">
        <w:rPr>
          <w:u w:val="single"/>
        </w:rPr>
        <w:t>Id</w:t>
      </w:r>
      <w:r w:rsidRPr="00F57110">
        <w:t xml:space="preserve">. </w:t>
      </w:r>
    </w:p>
  </w:footnote>
  <w:footnote w:id="7">
    <w:p w:rsidR="00B600A1" w:rsidRPr="00F57110" w:rsidRDefault="00B600A1" w:rsidP="00B600A1">
      <w:pPr>
        <w:pStyle w:val="FootnoteText"/>
        <w:ind w:left="270" w:hanging="270"/>
        <w:jc w:val="both"/>
      </w:pPr>
      <w:r w:rsidRPr="00F57110">
        <w:rPr>
          <w:rStyle w:val="FootnoteReference"/>
        </w:rPr>
        <w:footnoteRef/>
      </w:r>
      <w:r w:rsidRPr="00F57110">
        <w:t xml:space="preserve"> </w:t>
      </w:r>
      <w:r w:rsidR="00F61CE7">
        <w:tab/>
      </w:r>
      <w:r w:rsidRPr="00F57110">
        <w:t xml:space="preserve">Exh. No. EMA-6T, p.52:10 – 53:18.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4" w:rsidRDefault="00061D34" w:rsidP="00F37788">
    <w:pPr>
      <w:pStyle w:val="Header"/>
      <w:rPr>
        <w:rStyle w:val="PageNumber"/>
        <w:b/>
        <w:bCs/>
        <w:sz w:val="20"/>
      </w:rPr>
    </w:pPr>
  </w:p>
  <w:p w:rsidR="00061D34" w:rsidRPr="00C61316" w:rsidRDefault="00061D34">
    <w:pPr>
      <w:pStyle w:val="Header"/>
      <w:tabs>
        <w:tab w:val="clear" w:pos="8640"/>
        <w:tab w:val="right" w:pos="8100"/>
      </w:tabs>
      <w:rPr>
        <w:rStyle w:val="PageNumber"/>
        <w:b/>
        <w:bCs/>
        <w:sz w:val="20"/>
      </w:rPr>
    </w:pPr>
  </w:p>
  <w:p w:rsidR="00061D34" w:rsidRPr="00C61316" w:rsidRDefault="00061D34">
    <w:pPr>
      <w:pStyle w:val="Header"/>
      <w:tabs>
        <w:tab w:val="clear" w:pos="8640"/>
        <w:tab w:val="right" w:pos="8100"/>
      </w:tabs>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D2843BD"/>
    <w:multiLevelType w:val="hybridMultilevel"/>
    <w:tmpl w:val="C1F08AFA"/>
    <w:lvl w:ilvl="0" w:tplc="7616BCD0">
      <w:start w:val="1"/>
      <w:numFmt w:val="decimal"/>
      <w:lvlText w:val="%1"/>
      <w:lvlJc w:val="left"/>
      <w:pPr>
        <w:ind w:left="72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1A5CC5"/>
    <w:multiLevelType w:val="multilevel"/>
    <w:tmpl w:val="22EC2284"/>
    <w:name w:val="Heading"/>
    <w:lvl w:ilvl="0">
      <w:start w:val="1"/>
      <w:numFmt w:val="decimal"/>
      <w:pStyle w:val="Heading1"/>
      <w:lvlText w:val="%1"/>
      <w:lvlJc w:val="left"/>
      <w:pPr>
        <w:tabs>
          <w:tab w:val="num" w:pos="0"/>
        </w:tabs>
        <w:ind w:left="0" w:hanging="274"/>
      </w:pPr>
      <w:rPr>
        <w:rFonts w:ascii="Times New Roman Bold" w:hAnsi="Times New Roman Bold"/>
        <w:b/>
        <w:i w:val="0"/>
        <w:caps/>
        <w:smallCaps w:val="0"/>
        <w:strike w:val="0"/>
        <w:dstrike w:val="0"/>
        <w:outline w:val="0"/>
        <w:shadow w:val="0"/>
        <w:emboss w:val="0"/>
        <w:imprint w:val="0"/>
        <w:vanish w:val="0"/>
        <w:color w:val="000000"/>
        <w:sz w:val="28"/>
        <w:u w:val="none" w:color="000000"/>
        <w:effect w:val="none"/>
        <w:vertAlign w:val="superscript"/>
      </w:rPr>
    </w:lvl>
    <w:lvl w:ilvl="1">
      <w:start w:val="1"/>
      <w:numFmt w:val="upperLetter"/>
      <w:pStyle w:val="Heading2"/>
      <w:lvlText w:val="%2."/>
      <w:lvlJc w:val="left"/>
      <w:pPr>
        <w:tabs>
          <w:tab w:val="num" w:pos="0"/>
        </w:tabs>
        <w:ind w:left="72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Heading5"/>
      <w:lvlText w:val="%5."/>
      <w:lvlJc w:val="left"/>
      <w:pPr>
        <w:tabs>
          <w:tab w:val="num" w:pos="0"/>
        </w:tabs>
        <w:ind w:left="2880" w:hanging="706"/>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upperLetter"/>
      <w:pStyle w:val="Heading6"/>
      <w:lvlText w:val="(%6)"/>
      <w:lvlJc w:val="left"/>
      <w:pPr>
        <w:tabs>
          <w:tab w:val="num" w:pos="0"/>
        </w:tabs>
        <w:ind w:left="430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decimal"/>
      <w:pStyle w:val="Heading7"/>
      <w:lvlText w:val="(%7)"/>
      <w:lvlJc w:val="left"/>
      <w:pPr>
        <w:tabs>
          <w:tab w:val="num" w:pos="0"/>
        </w:tabs>
        <w:ind w:left="502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Letter"/>
      <w:pStyle w:val="Heading8"/>
      <w:lvlText w:val="(%8)"/>
      <w:lvlJc w:val="left"/>
      <w:pPr>
        <w:tabs>
          <w:tab w:val="num" w:pos="0"/>
        </w:tabs>
        <w:ind w:left="574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pStyle w:val="Heading9"/>
      <w:lvlText w:val="(%9)"/>
      <w:lvlJc w:val="left"/>
      <w:pPr>
        <w:tabs>
          <w:tab w:val="num" w:pos="0"/>
        </w:tabs>
        <w:ind w:left="646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4"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214073"/>
    <w:multiLevelType w:val="hybridMultilevel"/>
    <w:tmpl w:val="870C40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1038B"/>
    <w:rsid w:val="0002162B"/>
    <w:rsid w:val="000222C8"/>
    <w:rsid w:val="0002613D"/>
    <w:rsid w:val="0003399B"/>
    <w:rsid w:val="000459DE"/>
    <w:rsid w:val="00051539"/>
    <w:rsid w:val="0005501B"/>
    <w:rsid w:val="00061D34"/>
    <w:rsid w:val="0006345C"/>
    <w:rsid w:val="000702CE"/>
    <w:rsid w:val="00073280"/>
    <w:rsid w:val="00080717"/>
    <w:rsid w:val="00085C24"/>
    <w:rsid w:val="00095E41"/>
    <w:rsid w:val="000A24A4"/>
    <w:rsid w:val="000A2537"/>
    <w:rsid w:val="000A253A"/>
    <w:rsid w:val="000A4BE8"/>
    <w:rsid w:val="000B0934"/>
    <w:rsid w:val="000B5163"/>
    <w:rsid w:val="000D08A9"/>
    <w:rsid w:val="000D39AA"/>
    <w:rsid w:val="000D6B79"/>
    <w:rsid w:val="000E5DD0"/>
    <w:rsid w:val="000F42FC"/>
    <w:rsid w:val="000F478B"/>
    <w:rsid w:val="000F7719"/>
    <w:rsid w:val="000F7811"/>
    <w:rsid w:val="00125CB0"/>
    <w:rsid w:val="001328E0"/>
    <w:rsid w:val="001350C5"/>
    <w:rsid w:val="0013769F"/>
    <w:rsid w:val="00153F0C"/>
    <w:rsid w:val="001714B2"/>
    <w:rsid w:val="00173F52"/>
    <w:rsid w:val="00185315"/>
    <w:rsid w:val="001907EC"/>
    <w:rsid w:val="00192956"/>
    <w:rsid w:val="00195112"/>
    <w:rsid w:val="001C2E71"/>
    <w:rsid w:val="001C3A74"/>
    <w:rsid w:val="001C6510"/>
    <w:rsid w:val="001D2D6F"/>
    <w:rsid w:val="001D5DB9"/>
    <w:rsid w:val="001E10DF"/>
    <w:rsid w:val="001E2559"/>
    <w:rsid w:val="001E7CFF"/>
    <w:rsid w:val="001F0E98"/>
    <w:rsid w:val="001F53AA"/>
    <w:rsid w:val="0020634A"/>
    <w:rsid w:val="00214948"/>
    <w:rsid w:val="00215446"/>
    <w:rsid w:val="00216F8B"/>
    <w:rsid w:val="0023144D"/>
    <w:rsid w:val="00233536"/>
    <w:rsid w:val="00236B8B"/>
    <w:rsid w:val="0024762C"/>
    <w:rsid w:val="00255C19"/>
    <w:rsid w:val="0025641D"/>
    <w:rsid w:val="00283ED0"/>
    <w:rsid w:val="00285660"/>
    <w:rsid w:val="0029782F"/>
    <w:rsid w:val="002A3450"/>
    <w:rsid w:val="002A56D6"/>
    <w:rsid w:val="002B478D"/>
    <w:rsid w:val="002C1CE6"/>
    <w:rsid w:val="002D4D64"/>
    <w:rsid w:val="002D4DE8"/>
    <w:rsid w:val="002E1E12"/>
    <w:rsid w:val="002F17F5"/>
    <w:rsid w:val="002F7155"/>
    <w:rsid w:val="00310DAC"/>
    <w:rsid w:val="0031199B"/>
    <w:rsid w:val="003167C8"/>
    <w:rsid w:val="0032034A"/>
    <w:rsid w:val="00321B1D"/>
    <w:rsid w:val="00321E45"/>
    <w:rsid w:val="00324DB2"/>
    <w:rsid w:val="003304C9"/>
    <w:rsid w:val="00334D19"/>
    <w:rsid w:val="00342629"/>
    <w:rsid w:val="00345AE6"/>
    <w:rsid w:val="00345CB8"/>
    <w:rsid w:val="00351091"/>
    <w:rsid w:val="00354864"/>
    <w:rsid w:val="003730F9"/>
    <w:rsid w:val="0037367A"/>
    <w:rsid w:val="003835C1"/>
    <w:rsid w:val="003931BD"/>
    <w:rsid w:val="00393440"/>
    <w:rsid w:val="00397EDC"/>
    <w:rsid w:val="003A0122"/>
    <w:rsid w:val="003A707A"/>
    <w:rsid w:val="003C38AA"/>
    <w:rsid w:val="003C5C70"/>
    <w:rsid w:val="003D2792"/>
    <w:rsid w:val="003E380C"/>
    <w:rsid w:val="003F0213"/>
    <w:rsid w:val="00401F71"/>
    <w:rsid w:val="00401FE5"/>
    <w:rsid w:val="00407D04"/>
    <w:rsid w:val="00432752"/>
    <w:rsid w:val="004350BB"/>
    <w:rsid w:val="0044543F"/>
    <w:rsid w:val="00452AD4"/>
    <w:rsid w:val="00460DAB"/>
    <w:rsid w:val="00463496"/>
    <w:rsid w:val="00491469"/>
    <w:rsid w:val="004A7BC0"/>
    <w:rsid w:val="004B7B01"/>
    <w:rsid w:val="004D1576"/>
    <w:rsid w:val="004D6EE3"/>
    <w:rsid w:val="004E6CCE"/>
    <w:rsid w:val="004F137A"/>
    <w:rsid w:val="004F569B"/>
    <w:rsid w:val="004F5FE5"/>
    <w:rsid w:val="004F64CC"/>
    <w:rsid w:val="0050041F"/>
    <w:rsid w:val="00500823"/>
    <w:rsid w:val="005045C3"/>
    <w:rsid w:val="0051493B"/>
    <w:rsid w:val="00533A8D"/>
    <w:rsid w:val="0053524A"/>
    <w:rsid w:val="00545F44"/>
    <w:rsid w:val="0055421A"/>
    <w:rsid w:val="005A6B13"/>
    <w:rsid w:val="005B1BB1"/>
    <w:rsid w:val="005D4645"/>
    <w:rsid w:val="005D5176"/>
    <w:rsid w:val="005D5A03"/>
    <w:rsid w:val="005E3DCF"/>
    <w:rsid w:val="005E40A4"/>
    <w:rsid w:val="005F3D31"/>
    <w:rsid w:val="00602616"/>
    <w:rsid w:val="00603543"/>
    <w:rsid w:val="00604A8A"/>
    <w:rsid w:val="0061773A"/>
    <w:rsid w:val="006252F7"/>
    <w:rsid w:val="00626E54"/>
    <w:rsid w:val="0064030F"/>
    <w:rsid w:val="00643360"/>
    <w:rsid w:val="00666C41"/>
    <w:rsid w:val="00671328"/>
    <w:rsid w:val="006832D1"/>
    <w:rsid w:val="00690596"/>
    <w:rsid w:val="00693413"/>
    <w:rsid w:val="00693F95"/>
    <w:rsid w:val="00695E68"/>
    <w:rsid w:val="006B1188"/>
    <w:rsid w:val="006B163F"/>
    <w:rsid w:val="006B343C"/>
    <w:rsid w:val="006B3A57"/>
    <w:rsid w:val="006B4CFA"/>
    <w:rsid w:val="006B534A"/>
    <w:rsid w:val="006B7E83"/>
    <w:rsid w:val="006D1DFA"/>
    <w:rsid w:val="006D2471"/>
    <w:rsid w:val="006D44FA"/>
    <w:rsid w:val="006D54B5"/>
    <w:rsid w:val="006E281E"/>
    <w:rsid w:val="006F3723"/>
    <w:rsid w:val="006F7225"/>
    <w:rsid w:val="007035A5"/>
    <w:rsid w:val="00710EAA"/>
    <w:rsid w:val="00716516"/>
    <w:rsid w:val="007279CB"/>
    <w:rsid w:val="00732797"/>
    <w:rsid w:val="00733FD2"/>
    <w:rsid w:val="00734CF0"/>
    <w:rsid w:val="00736385"/>
    <w:rsid w:val="00741405"/>
    <w:rsid w:val="00750BD4"/>
    <w:rsid w:val="0077583C"/>
    <w:rsid w:val="00791555"/>
    <w:rsid w:val="00791814"/>
    <w:rsid w:val="00793F55"/>
    <w:rsid w:val="007A5BB0"/>
    <w:rsid w:val="007C050C"/>
    <w:rsid w:val="007D1FE5"/>
    <w:rsid w:val="007D324D"/>
    <w:rsid w:val="007E4A8F"/>
    <w:rsid w:val="00801E95"/>
    <w:rsid w:val="00802EA7"/>
    <w:rsid w:val="00806396"/>
    <w:rsid w:val="008106CA"/>
    <w:rsid w:val="008133A1"/>
    <w:rsid w:val="008133D2"/>
    <w:rsid w:val="0083075C"/>
    <w:rsid w:val="00831BCD"/>
    <w:rsid w:val="00845B60"/>
    <w:rsid w:val="00852200"/>
    <w:rsid w:val="0085269B"/>
    <w:rsid w:val="00865BFD"/>
    <w:rsid w:val="0087676A"/>
    <w:rsid w:val="00884C9E"/>
    <w:rsid w:val="00884FA0"/>
    <w:rsid w:val="00893D7A"/>
    <w:rsid w:val="00895615"/>
    <w:rsid w:val="008A3D90"/>
    <w:rsid w:val="008B2C04"/>
    <w:rsid w:val="008D1DAE"/>
    <w:rsid w:val="008E21F7"/>
    <w:rsid w:val="009064F2"/>
    <w:rsid w:val="0092222E"/>
    <w:rsid w:val="00925BCD"/>
    <w:rsid w:val="009263A9"/>
    <w:rsid w:val="00933FC8"/>
    <w:rsid w:val="00943897"/>
    <w:rsid w:val="009459E8"/>
    <w:rsid w:val="00946BAD"/>
    <w:rsid w:val="009518EB"/>
    <w:rsid w:val="0097200E"/>
    <w:rsid w:val="0097345A"/>
    <w:rsid w:val="00974123"/>
    <w:rsid w:val="00981B3B"/>
    <w:rsid w:val="009A7662"/>
    <w:rsid w:val="009B2F25"/>
    <w:rsid w:val="009C686D"/>
    <w:rsid w:val="009D1FD4"/>
    <w:rsid w:val="009E4A10"/>
    <w:rsid w:val="009F072C"/>
    <w:rsid w:val="009F5448"/>
    <w:rsid w:val="009F7A1E"/>
    <w:rsid w:val="00A00F04"/>
    <w:rsid w:val="00A0696C"/>
    <w:rsid w:val="00A2242E"/>
    <w:rsid w:val="00A2262B"/>
    <w:rsid w:val="00A23384"/>
    <w:rsid w:val="00A24C49"/>
    <w:rsid w:val="00A27659"/>
    <w:rsid w:val="00A30AC1"/>
    <w:rsid w:val="00A51AA1"/>
    <w:rsid w:val="00A545C5"/>
    <w:rsid w:val="00A54EB2"/>
    <w:rsid w:val="00A5726D"/>
    <w:rsid w:val="00A66035"/>
    <w:rsid w:val="00A71F69"/>
    <w:rsid w:val="00A71F82"/>
    <w:rsid w:val="00A727F6"/>
    <w:rsid w:val="00A83425"/>
    <w:rsid w:val="00A83480"/>
    <w:rsid w:val="00A83A8F"/>
    <w:rsid w:val="00A8722E"/>
    <w:rsid w:val="00A87569"/>
    <w:rsid w:val="00A9218B"/>
    <w:rsid w:val="00AB060F"/>
    <w:rsid w:val="00AB07D1"/>
    <w:rsid w:val="00AB264C"/>
    <w:rsid w:val="00AB403A"/>
    <w:rsid w:val="00AB7373"/>
    <w:rsid w:val="00AC362B"/>
    <w:rsid w:val="00AC4E4C"/>
    <w:rsid w:val="00AD4ACB"/>
    <w:rsid w:val="00AE0C79"/>
    <w:rsid w:val="00AF1ABC"/>
    <w:rsid w:val="00AF3EEC"/>
    <w:rsid w:val="00B025E1"/>
    <w:rsid w:val="00B02D2F"/>
    <w:rsid w:val="00B11E32"/>
    <w:rsid w:val="00B12E66"/>
    <w:rsid w:val="00B14915"/>
    <w:rsid w:val="00B169C2"/>
    <w:rsid w:val="00B2121B"/>
    <w:rsid w:val="00B217C3"/>
    <w:rsid w:val="00B32C32"/>
    <w:rsid w:val="00B33079"/>
    <w:rsid w:val="00B330B6"/>
    <w:rsid w:val="00B34B87"/>
    <w:rsid w:val="00B47A77"/>
    <w:rsid w:val="00B56524"/>
    <w:rsid w:val="00B600A1"/>
    <w:rsid w:val="00B62034"/>
    <w:rsid w:val="00B6350E"/>
    <w:rsid w:val="00B67223"/>
    <w:rsid w:val="00B80C16"/>
    <w:rsid w:val="00B91FB5"/>
    <w:rsid w:val="00BA7B72"/>
    <w:rsid w:val="00BB4736"/>
    <w:rsid w:val="00BC5CD1"/>
    <w:rsid w:val="00BC66F7"/>
    <w:rsid w:val="00BD1EB2"/>
    <w:rsid w:val="00BD325C"/>
    <w:rsid w:val="00BD43C5"/>
    <w:rsid w:val="00BE42BF"/>
    <w:rsid w:val="00BE5207"/>
    <w:rsid w:val="00BF2BD9"/>
    <w:rsid w:val="00C011AB"/>
    <w:rsid w:val="00C03769"/>
    <w:rsid w:val="00C06096"/>
    <w:rsid w:val="00C14B07"/>
    <w:rsid w:val="00C15767"/>
    <w:rsid w:val="00C45E70"/>
    <w:rsid w:val="00C51C45"/>
    <w:rsid w:val="00C55B00"/>
    <w:rsid w:val="00C61316"/>
    <w:rsid w:val="00C64288"/>
    <w:rsid w:val="00C6444C"/>
    <w:rsid w:val="00C723C7"/>
    <w:rsid w:val="00C7528B"/>
    <w:rsid w:val="00C77E1E"/>
    <w:rsid w:val="00C91699"/>
    <w:rsid w:val="00C94C13"/>
    <w:rsid w:val="00C94F47"/>
    <w:rsid w:val="00CC464B"/>
    <w:rsid w:val="00CC4C27"/>
    <w:rsid w:val="00CF22E5"/>
    <w:rsid w:val="00D044AD"/>
    <w:rsid w:val="00D11B58"/>
    <w:rsid w:val="00D12B7B"/>
    <w:rsid w:val="00D15E24"/>
    <w:rsid w:val="00D22AC7"/>
    <w:rsid w:val="00D57CC6"/>
    <w:rsid w:val="00D6633B"/>
    <w:rsid w:val="00D66672"/>
    <w:rsid w:val="00D81228"/>
    <w:rsid w:val="00D85EF3"/>
    <w:rsid w:val="00D91720"/>
    <w:rsid w:val="00D935BC"/>
    <w:rsid w:val="00DB401D"/>
    <w:rsid w:val="00DC48CD"/>
    <w:rsid w:val="00DE34FA"/>
    <w:rsid w:val="00DF4092"/>
    <w:rsid w:val="00DF6057"/>
    <w:rsid w:val="00DF7BBF"/>
    <w:rsid w:val="00E164BC"/>
    <w:rsid w:val="00E4103A"/>
    <w:rsid w:val="00E479AC"/>
    <w:rsid w:val="00E520CC"/>
    <w:rsid w:val="00E579EA"/>
    <w:rsid w:val="00E66D79"/>
    <w:rsid w:val="00E67D9F"/>
    <w:rsid w:val="00E809CA"/>
    <w:rsid w:val="00E84B87"/>
    <w:rsid w:val="00E855BD"/>
    <w:rsid w:val="00EA5A40"/>
    <w:rsid w:val="00EA7AED"/>
    <w:rsid w:val="00EB3BDF"/>
    <w:rsid w:val="00EB4040"/>
    <w:rsid w:val="00EB4125"/>
    <w:rsid w:val="00ED7FD4"/>
    <w:rsid w:val="00EF341F"/>
    <w:rsid w:val="00F01062"/>
    <w:rsid w:val="00F046BC"/>
    <w:rsid w:val="00F12D85"/>
    <w:rsid w:val="00F368EB"/>
    <w:rsid w:val="00F36EB2"/>
    <w:rsid w:val="00F37788"/>
    <w:rsid w:val="00F409C4"/>
    <w:rsid w:val="00F4409C"/>
    <w:rsid w:val="00F442EE"/>
    <w:rsid w:val="00F52A38"/>
    <w:rsid w:val="00F533D1"/>
    <w:rsid w:val="00F53D41"/>
    <w:rsid w:val="00F56D2D"/>
    <w:rsid w:val="00F57110"/>
    <w:rsid w:val="00F61CE7"/>
    <w:rsid w:val="00F73F8A"/>
    <w:rsid w:val="00F76F44"/>
    <w:rsid w:val="00F82DD9"/>
    <w:rsid w:val="00F869C9"/>
    <w:rsid w:val="00FA360F"/>
    <w:rsid w:val="00FA38A7"/>
    <w:rsid w:val="00FC0DFF"/>
    <w:rsid w:val="00FD1046"/>
    <w:rsid w:val="00FD4C07"/>
    <w:rsid w:val="00FD578E"/>
    <w:rsid w:val="00FE27D5"/>
    <w:rsid w:val="00FE2EBA"/>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footnote text" w:uiPriority="99" w:qFormat="1"/>
    <w:lsdException w:name="caption" w:semiHidden="1" w:unhideWhenUsed="1" w:qFormat="1"/>
    <w:lsdException w:name="footnote reference" w:uiPriority="99" w:qFormat="1"/>
    <w:lsdException w:name="lin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2"/>
    <w:rsid w:val="000F7811"/>
    <w:pPr>
      <w:numPr>
        <w:numId w:val="6"/>
      </w:numPr>
      <w:tabs>
        <w:tab w:val="clear" w:pos="0"/>
      </w:tabs>
      <w:spacing w:line="480" w:lineRule="auto"/>
      <w:jc w:val="both"/>
      <w:outlineLvl w:val="0"/>
    </w:pPr>
    <w:rPr>
      <w:bCs/>
      <w:color w:val="000000"/>
      <w:szCs w:val="32"/>
    </w:rPr>
  </w:style>
  <w:style w:type="paragraph" w:styleId="Heading2">
    <w:name w:val="heading 2"/>
    <w:basedOn w:val="Normal"/>
    <w:next w:val="BodyText2"/>
    <w:rsid w:val="000F7811"/>
    <w:pPr>
      <w:keepNext/>
      <w:keepLines/>
      <w:numPr>
        <w:ilvl w:val="1"/>
        <w:numId w:val="6"/>
      </w:numPr>
      <w:tabs>
        <w:tab w:val="clear" w:pos="0"/>
      </w:tabs>
      <w:autoSpaceDE w:val="0"/>
      <w:autoSpaceDN w:val="0"/>
      <w:adjustRightInd w:val="0"/>
      <w:spacing w:after="240"/>
      <w:jc w:val="both"/>
      <w:outlineLvl w:val="1"/>
    </w:pPr>
    <w:rPr>
      <w:b/>
      <w:bCs/>
      <w:color w:val="000000"/>
      <w:u w:val="single"/>
    </w:rPr>
  </w:style>
  <w:style w:type="paragraph" w:styleId="Heading3">
    <w:name w:val="heading 3"/>
    <w:basedOn w:val="Normal"/>
    <w:next w:val="BodyText2"/>
    <w:rsid w:val="000F7811"/>
    <w:pPr>
      <w:keepNext/>
      <w:keepLines/>
      <w:numPr>
        <w:ilvl w:val="2"/>
        <w:numId w:val="6"/>
      </w:numPr>
      <w:tabs>
        <w:tab w:val="clear" w:pos="0"/>
      </w:tabs>
      <w:spacing w:after="240"/>
      <w:jc w:val="both"/>
      <w:outlineLvl w:val="2"/>
    </w:pPr>
    <w:rPr>
      <w:bCs/>
      <w:color w:val="000000"/>
      <w:u w:val="single"/>
    </w:rPr>
  </w:style>
  <w:style w:type="paragraph" w:styleId="Heading4">
    <w:name w:val="heading 4"/>
    <w:basedOn w:val="Normal"/>
    <w:next w:val="BodyText2"/>
    <w:rsid w:val="000F7811"/>
    <w:pPr>
      <w:keepNext/>
      <w:keepLines/>
      <w:numPr>
        <w:ilvl w:val="3"/>
        <w:numId w:val="6"/>
      </w:numPr>
      <w:tabs>
        <w:tab w:val="clear" w:pos="0"/>
      </w:tabs>
      <w:spacing w:after="240"/>
      <w:jc w:val="both"/>
      <w:outlineLvl w:val="3"/>
    </w:pPr>
    <w:rPr>
      <w:bCs/>
      <w:i/>
      <w:color w:val="000000"/>
    </w:rPr>
  </w:style>
  <w:style w:type="paragraph" w:styleId="Heading5">
    <w:name w:val="heading 5"/>
    <w:basedOn w:val="Normal"/>
    <w:next w:val="BodyText2"/>
    <w:link w:val="Heading5Char"/>
    <w:unhideWhenUsed/>
    <w:rsid w:val="000F7811"/>
    <w:pPr>
      <w:keepNext/>
      <w:keepLines/>
      <w:numPr>
        <w:ilvl w:val="4"/>
        <w:numId w:val="6"/>
      </w:numPr>
      <w:tabs>
        <w:tab w:val="clear" w:pos="0"/>
      </w:tabs>
      <w:spacing w:after="240"/>
      <w:outlineLvl w:val="4"/>
    </w:pPr>
    <w:rPr>
      <w:rFonts w:eastAsiaTheme="majorEastAsia"/>
      <w:b/>
      <w:color w:val="000000"/>
    </w:rPr>
  </w:style>
  <w:style w:type="paragraph" w:styleId="Heading6">
    <w:name w:val="heading 6"/>
    <w:basedOn w:val="Normal"/>
    <w:next w:val="BodyText2"/>
    <w:link w:val="Heading6Char"/>
    <w:semiHidden/>
    <w:unhideWhenUsed/>
    <w:rsid w:val="000F7811"/>
    <w:pPr>
      <w:widowControl w:val="0"/>
      <w:numPr>
        <w:ilvl w:val="5"/>
        <w:numId w:val="6"/>
      </w:numPr>
      <w:tabs>
        <w:tab w:val="clear" w:pos="0"/>
      </w:tabs>
      <w:spacing w:after="240"/>
      <w:outlineLvl w:val="5"/>
    </w:pPr>
    <w:rPr>
      <w:rFonts w:eastAsiaTheme="majorEastAsia"/>
      <w:color w:val="000000"/>
    </w:rPr>
  </w:style>
  <w:style w:type="paragraph" w:styleId="Heading7">
    <w:name w:val="heading 7"/>
    <w:basedOn w:val="Normal"/>
    <w:next w:val="BodyText2"/>
    <w:rsid w:val="000F7811"/>
    <w:pPr>
      <w:widowControl w:val="0"/>
      <w:numPr>
        <w:ilvl w:val="6"/>
        <w:numId w:val="6"/>
      </w:numPr>
      <w:tabs>
        <w:tab w:val="clear" w:pos="0"/>
      </w:tabs>
      <w:spacing w:after="240"/>
      <w:outlineLvl w:val="6"/>
    </w:pPr>
    <w:rPr>
      <w:color w:val="000000"/>
    </w:rPr>
  </w:style>
  <w:style w:type="paragraph" w:styleId="Heading8">
    <w:name w:val="heading 8"/>
    <w:basedOn w:val="Normal"/>
    <w:next w:val="BodyText2"/>
    <w:link w:val="Heading8Char"/>
    <w:semiHidden/>
    <w:unhideWhenUsed/>
    <w:rsid w:val="000F7811"/>
    <w:pPr>
      <w:widowControl w:val="0"/>
      <w:numPr>
        <w:ilvl w:val="7"/>
        <w:numId w:val="6"/>
      </w:numPr>
      <w:tabs>
        <w:tab w:val="clear" w:pos="0"/>
      </w:tabs>
      <w:spacing w:after="240"/>
      <w:outlineLvl w:val="7"/>
    </w:pPr>
    <w:rPr>
      <w:rFonts w:eastAsiaTheme="majorEastAsia"/>
      <w:color w:val="000000"/>
      <w:szCs w:val="21"/>
    </w:rPr>
  </w:style>
  <w:style w:type="paragraph" w:styleId="Heading9">
    <w:name w:val="heading 9"/>
    <w:basedOn w:val="Normal"/>
    <w:next w:val="BodyText2"/>
    <w:link w:val="Heading9Char"/>
    <w:semiHidden/>
    <w:unhideWhenUsed/>
    <w:rsid w:val="000F7811"/>
    <w:pPr>
      <w:widowControl w:val="0"/>
      <w:numPr>
        <w:ilvl w:val="8"/>
        <w:numId w:val="6"/>
      </w:numPr>
      <w:tabs>
        <w:tab w:val="clear" w:pos="0"/>
      </w:tabs>
      <w:spacing w:after="240"/>
      <w:outlineLvl w:val="8"/>
    </w:pPr>
    <w:rPr>
      <w:rFonts w:eastAsiaTheme="majorEastAsia"/>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Style 24,Style 30,Style 6,Sty,o2...,Style 21,f"/>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C45E70"/>
  </w:style>
  <w:style w:type="paragraph" w:customStyle="1" w:styleId="Level1">
    <w:name w:val="Level 1"/>
    <w:basedOn w:val="Normal"/>
    <w:rsid w:val="00A9218B"/>
    <w:pPr>
      <w:widowControl w:val="0"/>
      <w:autoSpaceDE w:val="0"/>
      <w:autoSpaceDN w:val="0"/>
      <w:adjustRightInd w:val="0"/>
      <w:ind w:left="720" w:hanging="720"/>
    </w:pPr>
    <w:rPr>
      <w:rFonts w:ascii="Arial" w:hAnsi="Arial"/>
      <w:sz w:val="20"/>
    </w:rPr>
  </w:style>
  <w:style w:type="paragraph" w:styleId="NoSpacing">
    <w:name w:val="No Spacing"/>
    <w:uiPriority w:val="1"/>
    <w:qFormat/>
    <w:rsid w:val="00A9218B"/>
    <w:rPr>
      <w:sz w:val="24"/>
      <w:szCs w:val="24"/>
    </w:rPr>
  </w:style>
  <w:style w:type="paragraph" w:styleId="BalloonText">
    <w:name w:val="Balloon Text"/>
    <w:basedOn w:val="Normal"/>
    <w:link w:val="BalloonTextChar"/>
    <w:rsid w:val="00802EA7"/>
    <w:rPr>
      <w:rFonts w:ascii="Segoe UI" w:hAnsi="Segoe UI" w:cs="Segoe UI"/>
      <w:sz w:val="18"/>
      <w:szCs w:val="18"/>
    </w:rPr>
  </w:style>
  <w:style w:type="character" w:customStyle="1" w:styleId="BalloonTextChar">
    <w:name w:val="Balloon Text Char"/>
    <w:link w:val="BalloonText"/>
    <w:rsid w:val="00802EA7"/>
    <w:rPr>
      <w:rFonts w:ascii="Segoe UI" w:hAnsi="Segoe UI" w:cs="Segoe UI"/>
      <w:sz w:val="18"/>
      <w:szCs w:val="18"/>
    </w:rPr>
  </w:style>
  <w:style w:type="paragraph" w:customStyle="1" w:styleId="BLOCKQUOTE">
    <w:name w:val="BLOCK QUOTE"/>
    <w:basedOn w:val="Normal"/>
    <w:qFormat/>
    <w:rsid w:val="00B34B87"/>
    <w:pPr>
      <w:spacing w:after="240"/>
      <w:ind w:left="720" w:right="720"/>
      <w:jc w:val="both"/>
    </w:pPr>
  </w:style>
  <w:style w:type="paragraph" w:customStyle="1" w:styleId="BLOCK">
    <w:name w:val="BLOCK"/>
    <w:basedOn w:val="Normal"/>
    <w:qFormat/>
    <w:rsid w:val="001E2559"/>
    <w:pPr>
      <w:spacing w:after="160"/>
      <w:ind w:left="720" w:right="720"/>
      <w:jc w:val="both"/>
    </w:pPr>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946BAD"/>
    <w:rPr>
      <w:rFonts w:eastAsiaTheme="majorEastAsia"/>
      <w:b/>
      <w:color w:val="000000"/>
      <w:sz w:val="24"/>
      <w:szCs w:val="24"/>
    </w:rPr>
  </w:style>
  <w:style w:type="character" w:customStyle="1" w:styleId="Heading6Char">
    <w:name w:val="Heading 6 Char"/>
    <w:basedOn w:val="DefaultParagraphFont"/>
    <w:link w:val="Heading6"/>
    <w:semiHidden/>
    <w:rsid w:val="00946BAD"/>
    <w:rPr>
      <w:rFonts w:eastAsiaTheme="majorEastAsia"/>
      <w:color w:val="000000"/>
      <w:sz w:val="24"/>
      <w:szCs w:val="24"/>
    </w:rPr>
  </w:style>
  <w:style w:type="character" w:customStyle="1" w:styleId="Heading8Char">
    <w:name w:val="Heading 8 Char"/>
    <w:basedOn w:val="DefaultParagraphFont"/>
    <w:link w:val="Heading8"/>
    <w:semiHidden/>
    <w:rsid w:val="00946BAD"/>
    <w:rPr>
      <w:rFonts w:eastAsiaTheme="majorEastAsia"/>
      <w:color w:val="000000"/>
      <w:sz w:val="24"/>
      <w:szCs w:val="21"/>
    </w:rPr>
  </w:style>
  <w:style w:type="character" w:customStyle="1" w:styleId="Heading9Char">
    <w:name w:val="Heading 9 Char"/>
    <w:basedOn w:val="DefaultParagraphFont"/>
    <w:link w:val="Heading9"/>
    <w:semiHidden/>
    <w:rsid w:val="00946BAD"/>
    <w:rPr>
      <w:rFonts w:eastAsiaTheme="majorEastAsia"/>
      <w:iCs/>
      <w:color w:val="000000"/>
      <w:sz w:val="24"/>
      <w:szCs w:val="21"/>
    </w:rPr>
  </w:style>
  <w:style w:type="paragraph" w:styleId="BodyText2">
    <w:name w:val="Body Text 2"/>
    <w:basedOn w:val="Normal"/>
    <w:link w:val="BodyText2Char"/>
    <w:rsid w:val="00946BAD"/>
    <w:pPr>
      <w:spacing w:after="120" w:line="480" w:lineRule="auto"/>
    </w:pPr>
  </w:style>
  <w:style w:type="character" w:customStyle="1" w:styleId="BodyText2Char">
    <w:name w:val="Body Text 2 Char"/>
    <w:basedOn w:val="DefaultParagraphFont"/>
    <w:link w:val="BodyText2"/>
    <w:rsid w:val="00946BAD"/>
    <w:rPr>
      <w:sz w:val="24"/>
      <w:szCs w:val="24"/>
    </w:rPr>
  </w:style>
  <w:style w:type="character" w:styleId="LineNumber">
    <w:name w:val="line number"/>
    <w:uiPriority w:val="99"/>
    <w:rsid w:val="00643360"/>
    <w:rPr>
      <w:rFonts w:ascii="Times New Roman" w:hAnsi="Times New Roman" w:cs="Times New Roman"/>
      <w:sz w:val="24"/>
      <w:szCs w:val="24"/>
    </w:rPr>
  </w:style>
  <w:style w:type="paragraph" w:styleId="TOC1">
    <w:name w:val="toc 1"/>
    <w:basedOn w:val="Normal"/>
    <w:next w:val="Normal"/>
    <w:autoRedefine/>
    <w:uiPriority w:val="39"/>
    <w:rsid w:val="009263A9"/>
    <w:pPr>
      <w:tabs>
        <w:tab w:val="right" w:leader="dot" w:pos="9090"/>
      </w:tabs>
      <w:spacing w:after="120"/>
      <w:ind w:left="720" w:right="540" w:hanging="720"/>
    </w:pPr>
  </w:style>
  <w:style w:type="paragraph" w:styleId="TOC2">
    <w:name w:val="toc 2"/>
    <w:basedOn w:val="Normal"/>
    <w:next w:val="Normal"/>
    <w:autoRedefine/>
    <w:uiPriority w:val="39"/>
    <w:rsid w:val="009263A9"/>
    <w:pPr>
      <w:tabs>
        <w:tab w:val="right" w:leader="dot" w:pos="9090"/>
      </w:tabs>
      <w:spacing w:after="100"/>
      <w:ind w:left="1440" w:right="630" w:hanging="720"/>
    </w:pPr>
  </w:style>
  <w:style w:type="paragraph" w:styleId="TOC3">
    <w:name w:val="toc 3"/>
    <w:basedOn w:val="Normal"/>
    <w:next w:val="Normal"/>
    <w:autoRedefine/>
    <w:uiPriority w:val="39"/>
    <w:rsid w:val="006D44FA"/>
    <w:pPr>
      <w:tabs>
        <w:tab w:val="right" w:leader="dot" w:pos="8640"/>
        <w:tab w:val="right" w:leader="dot" w:pos="9360"/>
      </w:tabs>
      <w:spacing w:after="100"/>
      <w:ind w:left="2160" w:hanging="720"/>
    </w:pPr>
  </w:style>
  <w:style w:type="paragraph" w:styleId="TOC4">
    <w:name w:val="toc 4"/>
    <w:basedOn w:val="Normal"/>
    <w:next w:val="Normal"/>
    <w:autoRedefine/>
    <w:uiPriority w:val="39"/>
    <w:rsid w:val="006D44FA"/>
    <w:pPr>
      <w:tabs>
        <w:tab w:val="right" w:leader="dot" w:pos="8640"/>
        <w:tab w:val="right" w:leader="dot" w:pos="9360"/>
      </w:tabs>
      <w:spacing w:after="100"/>
      <w:ind w:left="2880" w:hanging="720"/>
    </w:pPr>
  </w:style>
  <w:style w:type="paragraph" w:styleId="TOC5">
    <w:name w:val="toc 5"/>
    <w:basedOn w:val="Normal"/>
    <w:next w:val="Normal"/>
    <w:autoRedefine/>
    <w:uiPriority w:val="39"/>
    <w:rsid w:val="006D44FA"/>
    <w:pPr>
      <w:tabs>
        <w:tab w:val="right" w:leader="dot" w:pos="8640"/>
        <w:tab w:val="right" w:leader="dot" w:pos="9360"/>
      </w:tabs>
      <w:spacing w:after="100"/>
      <w:ind w:left="3600" w:hanging="720"/>
    </w:pPr>
  </w:style>
  <w:style w:type="paragraph" w:styleId="TOC6">
    <w:name w:val="toc 6"/>
    <w:basedOn w:val="Normal"/>
    <w:next w:val="Normal"/>
    <w:autoRedefine/>
    <w:rsid w:val="006D44FA"/>
    <w:pPr>
      <w:spacing w:after="100"/>
      <w:ind w:left="1200"/>
    </w:pPr>
  </w:style>
  <w:style w:type="paragraph" w:styleId="TOC7">
    <w:name w:val="toc 7"/>
    <w:basedOn w:val="Normal"/>
    <w:next w:val="Normal"/>
    <w:autoRedefine/>
    <w:rsid w:val="006D44FA"/>
    <w:pPr>
      <w:spacing w:after="100"/>
      <w:ind w:left="1440"/>
    </w:pPr>
  </w:style>
  <w:style w:type="paragraph" w:styleId="TOC8">
    <w:name w:val="toc 8"/>
    <w:basedOn w:val="Normal"/>
    <w:next w:val="Normal"/>
    <w:autoRedefine/>
    <w:rsid w:val="006D44FA"/>
    <w:pPr>
      <w:spacing w:after="100"/>
      <w:ind w:left="1680"/>
    </w:pPr>
  </w:style>
  <w:style w:type="paragraph" w:styleId="TOC9">
    <w:name w:val="toc 9"/>
    <w:basedOn w:val="Normal"/>
    <w:next w:val="Normal"/>
    <w:autoRedefine/>
    <w:rsid w:val="006D44FA"/>
    <w:pPr>
      <w:spacing w:after="100"/>
      <w:ind w:left="1920"/>
    </w:pPr>
  </w:style>
  <w:style w:type="paragraph" w:styleId="Signature">
    <w:name w:val="Signature"/>
    <w:basedOn w:val="Normal"/>
    <w:link w:val="SignatureChar"/>
    <w:rsid w:val="00E164BC"/>
    <w:pPr>
      <w:keepLines/>
      <w:spacing w:after="240"/>
      <w:ind w:left="4320"/>
      <w:contextualSpacing/>
    </w:pPr>
  </w:style>
  <w:style w:type="character" w:customStyle="1" w:styleId="SignatureChar">
    <w:name w:val="Signature Char"/>
    <w:basedOn w:val="DefaultParagraphFont"/>
    <w:link w:val="Signature"/>
    <w:rsid w:val="00E164BC"/>
    <w:rPr>
      <w:sz w:val="24"/>
      <w:szCs w:val="24"/>
    </w:rPr>
  </w:style>
  <w:style w:type="character" w:styleId="Strong">
    <w:name w:val="Strong"/>
    <w:basedOn w:val="DefaultParagraphFont"/>
    <w:qFormat/>
    <w:rsid w:val="00EA5A40"/>
    <w:rPr>
      <w:b/>
      <w:bCs/>
    </w:rPr>
  </w:style>
  <w:style w:type="paragraph" w:customStyle="1" w:styleId="Answer">
    <w:name w:val="Answer"/>
    <w:basedOn w:val="Normal"/>
    <w:link w:val="AnswerCharChar"/>
    <w:qFormat/>
    <w:rsid w:val="00153F0C"/>
    <w:pPr>
      <w:tabs>
        <w:tab w:val="left" w:pos="720"/>
        <w:tab w:val="left" w:pos="1440"/>
      </w:tabs>
      <w:suppressAutoHyphens/>
      <w:spacing w:line="480" w:lineRule="auto"/>
      <w:ind w:firstLine="720"/>
      <w:jc w:val="both"/>
    </w:pPr>
    <w:rPr>
      <w:kern w:val="16"/>
      <w:szCs w:val="20"/>
    </w:rPr>
  </w:style>
  <w:style w:type="character" w:customStyle="1" w:styleId="AnswerCharChar">
    <w:name w:val="Answer Char Char"/>
    <w:link w:val="Answer"/>
    <w:locked/>
    <w:rsid w:val="00153F0C"/>
    <w:rPr>
      <w:kern w:val="16"/>
      <w:sz w:val="24"/>
    </w:rPr>
  </w:style>
  <w:style w:type="paragraph" w:customStyle="1" w:styleId="TableCaption">
    <w:name w:val="Table Caption"/>
    <w:basedOn w:val="Normal"/>
    <w:next w:val="Normal"/>
    <w:rsid w:val="00D22AC7"/>
    <w:pPr>
      <w:keepNext/>
      <w:keepLines/>
      <w:spacing w:before="440" w:after="440" w:line="240" w:lineRule="atLeast"/>
      <w:jc w:val="center"/>
    </w:pPr>
    <w:rPr>
      <w:rFonts w:ascii="Times New Roman Bold" w:hAnsi="Times New Roman Bold"/>
      <w:b/>
      <w:caps/>
      <w:sz w:val="20"/>
      <w:szCs w:val="20"/>
    </w:rPr>
  </w:style>
  <w:style w:type="paragraph" w:customStyle="1" w:styleId="SignatureBlock">
    <w:name w:val="Signature Block"/>
    <w:basedOn w:val="Normal"/>
    <w:rsid w:val="00A545C5"/>
    <w:pPr>
      <w:keepNext/>
      <w:spacing w:line="240" w:lineRule="exact"/>
    </w:pPr>
  </w:style>
  <w:style w:type="paragraph" w:customStyle="1" w:styleId="SignatureName">
    <w:name w:val="Signature Name"/>
    <w:basedOn w:val="Normal"/>
    <w:rsid w:val="00A545C5"/>
    <w:pPr>
      <w:keepNext/>
      <w:spacing w:line="240" w:lineRule="exact"/>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7134">
      <w:bodyDiv w:val="1"/>
      <w:marLeft w:val="0"/>
      <w:marRight w:val="0"/>
      <w:marTop w:val="0"/>
      <w:marBottom w:val="0"/>
      <w:divBdr>
        <w:top w:val="none" w:sz="0" w:space="0" w:color="auto"/>
        <w:left w:val="none" w:sz="0" w:space="0" w:color="auto"/>
        <w:bottom w:val="none" w:sz="0" w:space="0" w:color="auto"/>
        <w:right w:val="none" w:sz="0" w:space="0" w:color="auto"/>
      </w:divBdr>
    </w:div>
    <w:div w:id="821779169">
      <w:bodyDiv w:val="1"/>
      <w:marLeft w:val="0"/>
      <w:marRight w:val="0"/>
      <w:marTop w:val="0"/>
      <w:marBottom w:val="0"/>
      <w:divBdr>
        <w:top w:val="none" w:sz="0" w:space="0" w:color="auto"/>
        <w:left w:val="none" w:sz="0" w:space="0" w:color="auto"/>
        <w:bottom w:val="none" w:sz="0" w:space="0" w:color="auto"/>
        <w:right w:val="none" w:sz="0" w:space="0" w:color="auto"/>
      </w:divBdr>
    </w:div>
    <w:div w:id="895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EA5F5B-9C21-481C-B93B-3BDFA0CDD9B6}">
  <ds:schemaRefs>
    <ds:schemaRef ds:uri="http://schemas.microsoft.com/office/2006/metadata/properties"/>
    <ds:schemaRef ds:uri="http://schemas.microsoft.com/office/infopath/2007/PartnerControls"/>
    <ds:schemaRef ds:uri="fdbe071c-6926-4705-b29f-f52cff258abe"/>
  </ds:schemaRefs>
</ds:datastoreItem>
</file>

<file path=customXml/itemProps2.xml><?xml version="1.0" encoding="utf-8"?>
<ds:datastoreItem xmlns:ds="http://schemas.openxmlformats.org/officeDocument/2006/customXml" ds:itemID="{E2512AF3-3E49-47D6-A983-4044ED075D84}">
  <ds:schemaRefs>
    <ds:schemaRef ds:uri="http://schemas.microsoft.com/sharepoint/v3/contenttype/forms"/>
  </ds:schemaRefs>
</ds:datastoreItem>
</file>

<file path=customXml/itemProps3.xml><?xml version="1.0" encoding="utf-8"?>
<ds:datastoreItem xmlns:ds="http://schemas.openxmlformats.org/officeDocument/2006/customXml" ds:itemID="{176B1F23-A4AA-438D-A8B3-0912A0158B3A}"/>
</file>

<file path=customXml/itemProps4.xml><?xml version="1.0" encoding="utf-8"?>
<ds:datastoreItem xmlns:ds="http://schemas.openxmlformats.org/officeDocument/2006/customXml" ds:itemID="{F2E0747D-A3B3-456F-BE64-9D058F1581F5}">
  <ds:schemaRefs>
    <ds:schemaRef ds:uri="http://schemas.openxmlformats.org/officeDocument/2006/bibliography"/>
  </ds:schemaRefs>
</ds:datastoreItem>
</file>

<file path=customXml/itemProps5.xml><?xml version="1.0" encoding="utf-8"?>
<ds:datastoreItem xmlns:ds="http://schemas.openxmlformats.org/officeDocument/2006/customXml" ds:itemID="{94D0CCCC-6850-41B8-8D0D-5BF11D071E1B}"/>
</file>

<file path=docProps/app.xml><?xml version="1.0" encoding="utf-8"?>
<Properties xmlns="http://schemas.openxmlformats.org/officeDocument/2006/extended-properties" xmlns:vt="http://schemas.openxmlformats.org/officeDocument/2006/docPropsVTypes">
  <Template>Normal.dotm</Template>
  <TotalTime>0</TotalTime>
  <Pages>7</Pages>
  <Words>1718</Words>
  <Characters>9366</Characters>
  <Application>Microsoft Office Word</Application>
  <DocSecurity>0</DocSecurity>
  <PresentationFormat/>
  <Lines>78</Lines>
  <Paragraphs>22</Paragraphs>
  <ScaleCrop>false</ScaleCrop>
  <HeadingPairs>
    <vt:vector size="2" baseType="variant">
      <vt:variant>
        <vt:lpstr>Title</vt:lpstr>
      </vt:variant>
      <vt:variant>
        <vt:i4>1</vt:i4>
      </vt:variant>
    </vt:vector>
  </HeadingPairs>
  <TitlesOfParts>
    <vt:vector size="1" baseType="lpstr">
      <vt:lpstr>2016 - ANSWER OF AVISTA CORPORATION TO STAFF MOTION TO STRIKE (01581442).DOCX</vt:lpstr>
    </vt:vector>
  </TitlesOfParts>
  <Company/>
  <LinksUpToDate>false</LinksUpToDate>
  <CharactersWithSpaces>11062</CharactersWithSpaces>
  <SharedDoc>false</SharedDoc>
  <HyperlinkBase/>
  <HLinks>
    <vt:vector size="228" baseType="variant">
      <vt:variant>
        <vt:i4>1769505</vt:i4>
      </vt:variant>
      <vt:variant>
        <vt:i4>111</vt:i4>
      </vt:variant>
      <vt:variant>
        <vt:i4>0</vt:i4>
      </vt:variant>
      <vt:variant>
        <vt:i4>5</vt:i4>
      </vt:variant>
      <vt:variant>
        <vt:lpwstr>mailto:michael@awish.net</vt:lpwstr>
      </vt:variant>
      <vt:variant>
        <vt:lpwstr/>
      </vt:variant>
      <vt:variant>
        <vt:i4>7536744</vt:i4>
      </vt:variant>
      <vt:variant>
        <vt:i4>108</vt:i4>
      </vt:variant>
      <vt:variant>
        <vt:i4>0</vt:i4>
      </vt:variant>
      <vt:variant>
        <vt:i4>5</vt:i4>
      </vt:variant>
      <vt:variant>
        <vt:lpwstr>mailto:shawn_collins@oppco.org</vt:lpwstr>
      </vt:variant>
      <vt:variant>
        <vt:lpwstr/>
      </vt:variant>
      <vt:variant>
        <vt:i4>1114175</vt:i4>
      </vt:variant>
      <vt:variant>
        <vt:i4>105</vt:i4>
      </vt:variant>
      <vt:variant>
        <vt:i4>0</vt:i4>
      </vt:variant>
      <vt:variant>
        <vt:i4>5</vt:i4>
      </vt:variant>
      <vt:variant>
        <vt:lpwstr>mailto:ronaldroseman@comcast.net</vt:lpwstr>
      </vt:variant>
      <vt:variant>
        <vt:lpwstr/>
      </vt:variant>
      <vt:variant>
        <vt:i4>7602277</vt:i4>
      </vt:variant>
      <vt:variant>
        <vt:i4>102</vt:i4>
      </vt:variant>
      <vt:variant>
        <vt:i4>0</vt:i4>
      </vt:variant>
      <vt:variant>
        <vt:i4>5</vt:i4>
      </vt:variant>
      <vt:variant>
        <vt:lpwstr>mailto:Chuck_eberdt@oppco.org</vt:lpwstr>
      </vt:variant>
      <vt:variant>
        <vt:lpwstr/>
      </vt:variant>
      <vt:variant>
        <vt:i4>5177446</vt:i4>
      </vt:variant>
      <vt:variant>
        <vt:i4>99</vt:i4>
      </vt:variant>
      <vt:variant>
        <vt:i4>0</vt:i4>
      </vt:variant>
      <vt:variant>
        <vt:i4>5</vt:i4>
      </vt:variant>
      <vt:variant>
        <vt:lpwstr>mailto:mgorman@consultbai.com</vt:lpwstr>
      </vt:variant>
      <vt:variant>
        <vt:lpwstr/>
      </vt:variant>
      <vt:variant>
        <vt:i4>8126545</vt:i4>
      </vt:variant>
      <vt:variant>
        <vt:i4>96</vt:i4>
      </vt:variant>
      <vt:variant>
        <vt:i4>0</vt:i4>
      </vt:variant>
      <vt:variant>
        <vt:i4>5</vt:i4>
      </vt:variant>
      <vt:variant>
        <vt:lpwstr>mailto:skimmel@cablehuston.com</vt:lpwstr>
      </vt:variant>
      <vt:variant>
        <vt:lpwstr/>
      </vt:variant>
      <vt:variant>
        <vt:i4>8192084</vt:i4>
      </vt:variant>
      <vt:variant>
        <vt:i4>93</vt:i4>
      </vt:variant>
      <vt:variant>
        <vt:i4>0</vt:i4>
      </vt:variant>
      <vt:variant>
        <vt:i4>5</vt:i4>
      </vt:variant>
      <vt:variant>
        <vt:lpwstr>mailto:tbrooks@cablehuston.com</vt:lpwstr>
      </vt:variant>
      <vt:variant>
        <vt:lpwstr/>
      </vt:variant>
      <vt:variant>
        <vt:i4>6815819</vt:i4>
      </vt:variant>
      <vt:variant>
        <vt:i4>90</vt:i4>
      </vt:variant>
      <vt:variant>
        <vt:i4>0</vt:i4>
      </vt:variant>
      <vt:variant>
        <vt:i4>5</vt:i4>
      </vt:variant>
      <vt:variant>
        <vt:lpwstr>mailto:cstokes@cablehuston.com</vt:lpwstr>
      </vt:variant>
      <vt:variant>
        <vt:lpwstr/>
      </vt:variant>
      <vt:variant>
        <vt:i4>7077970</vt:i4>
      </vt:variant>
      <vt:variant>
        <vt:i4>87</vt:i4>
      </vt:variant>
      <vt:variant>
        <vt:i4>0</vt:i4>
      </vt:variant>
      <vt:variant>
        <vt:i4>5</vt:i4>
      </vt:variant>
      <vt:variant>
        <vt:lpwstr>mailto:efinklea@nwigu.org</vt:lpwstr>
      </vt:variant>
      <vt:variant>
        <vt:lpwstr/>
      </vt:variant>
      <vt:variant>
        <vt:i4>1769516</vt:i4>
      </vt:variant>
      <vt:variant>
        <vt:i4>84</vt:i4>
      </vt:variant>
      <vt:variant>
        <vt:i4>0</vt:i4>
      </vt:variant>
      <vt:variant>
        <vt:i4>5</vt:i4>
      </vt:variant>
      <vt:variant>
        <vt:lpwstr>mailto:brmullins@mwanalytics.com</vt:lpwstr>
      </vt:variant>
      <vt:variant>
        <vt:lpwstr/>
      </vt:variant>
      <vt:variant>
        <vt:i4>2293761</vt:i4>
      </vt:variant>
      <vt:variant>
        <vt:i4>81</vt:i4>
      </vt:variant>
      <vt:variant>
        <vt:i4>0</vt:i4>
      </vt:variant>
      <vt:variant>
        <vt:i4>5</vt:i4>
      </vt:variant>
      <vt:variant>
        <vt:lpwstr>mailto:swilhelms@consultbai.com</vt:lpwstr>
      </vt:variant>
      <vt:variant>
        <vt:lpwstr/>
      </vt:variant>
      <vt:variant>
        <vt:i4>4063234</vt:i4>
      </vt:variant>
      <vt:variant>
        <vt:i4>78</vt:i4>
      </vt:variant>
      <vt:variant>
        <vt:i4>0</vt:i4>
      </vt:variant>
      <vt:variant>
        <vt:i4>5</vt:i4>
      </vt:variant>
      <vt:variant>
        <vt:lpwstr>mailto:bstephens@consultbai.com</vt:lpwstr>
      </vt:variant>
      <vt:variant>
        <vt:lpwstr/>
      </vt:variant>
      <vt:variant>
        <vt:i4>5177446</vt:i4>
      </vt:variant>
      <vt:variant>
        <vt:i4>75</vt:i4>
      </vt:variant>
      <vt:variant>
        <vt:i4>0</vt:i4>
      </vt:variant>
      <vt:variant>
        <vt:i4>5</vt:i4>
      </vt:variant>
      <vt:variant>
        <vt:lpwstr>mailto:mgorman@consultbai.com</vt:lpwstr>
      </vt:variant>
      <vt:variant>
        <vt:lpwstr/>
      </vt:variant>
      <vt:variant>
        <vt:i4>4718699</vt:i4>
      </vt:variant>
      <vt:variant>
        <vt:i4>72</vt:i4>
      </vt:variant>
      <vt:variant>
        <vt:i4>0</vt:i4>
      </vt:variant>
      <vt:variant>
        <vt:i4>5</vt:i4>
      </vt:variant>
      <vt:variant>
        <vt:lpwstr>mailto:jog@dvclaw.com</vt:lpwstr>
      </vt:variant>
      <vt:variant>
        <vt:lpwstr/>
      </vt:variant>
      <vt:variant>
        <vt:i4>4325472</vt:i4>
      </vt:variant>
      <vt:variant>
        <vt:i4>69</vt:i4>
      </vt:variant>
      <vt:variant>
        <vt:i4>0</vt:i4>
      </vt:variant>
      <vt:variant>
        <vt:i4>5</vt:i4>
      </vt:variant>
      <vt:variant>
        <vt:lpwstr>mailto:tds@dvclaw.com</vt:lpwstr>
      </vt:variant>
      <vt:variant>
        <vt:lpwstr/>
      </vt:variant>
      <vt:variant>
        <vt:i4>4980833</vt:i4>
      </vt:variant>
      <vt:variant>
        <vt:i4>66</vt:i4>
      </vt:variant>
      <vt:variant>
        <vt:i4>0</vt:i4>
      </vt:variant>
      <vt:variant>
        <vt:i4>5</vt:i4>
      </vt:variant>
      <vt:variant>
        <vt:lpwstr>mailto:jec@dvclaw.com</vt:lpwstr>
      </vt:variant>
      <vt:variant>
        <vt:lpwstr/>
      </vt:variant>
      <vt:variant>
        <vt:i4>2490447</vt:i4>
      </vt:variant>
      <vt:variant>
        <vt:i4>63</vt:i4>
      </vt:variant>
      <vt:variant>
        <vt:i4>0</vt:i4>
      </vt:variant>
      <vt:variant>
        <vt:i4>5</vt:i4>
      </vt:variant>
      <vt:variant>
        <vt:lpwstr>mailto:stefaniej@atg.wa.gov</vt:lpwstr>
      </vt:variant>
      <vt:variant>
        <vt:lpwstr/>
      </vt:variant>
      <vt:variant>
        <vt:i4>5832753</vt:i4>
      </vt:variant>
      <vt:variant>
        <vt:i4>60</vt:i4>
      </vt:variant>
      <vt:variant>
        <vt:i4>0</vt:i4>
      </vt:variant>
      <vt:variant>
        <vt:i4>5</vt:i4>
      </vt:variant>
      <vt:variant>
        <vt:lpwstr>mailto:chandam@atg.wa.gov</vt:lpwstr>
      </vt:variant>
      <vt:variant>
        <vt:lpwstr/>
      </vt:variant>
      <vt:variant>
        <vt:i4>917611</vt:i4>
      </vt:variant>
      <vt:variant>
        <vt:i4>57</vt:i4>
      </vt:variant>
      <vt:variant>
        <vt:i4>0</vt:i4>
      </vt:variant>
      <vt:variant>
        <vt:i4>5</vt:i4>
      </vt:variant>
      <vt:variant>
        <vt:lpwstr>mailto:kymh@atg.wa.gov</vt:lpwstr>
      </vt:variant>
      <vt:variant>
        <vt:lpwstr/>
      </vt:variant>
      <vt:variant>
        <vt:i4>2293765</vt:i4>
      </vt:variant>
      <vt:variant>
        <vt:i4>54</vt:i4>
      </vt:variant>
      <vt:variant>
        <vt:i4>0</vt:i4>
      </vt:variant>
      <vt:variant>
        <vt:i4>5</vt:i4>
      </vt:variant>
      <vt:variant>
        <vt:lpwstr>mailto:lisa4w@atg.wa.gov</vt:lpwstr>
      </vt:variant>
      <vt:variant>
        <vt:lpwstr/>
      </vt:variant>
      <vt:variant>
        <vt:i4>7864346</vt:i4>
      </vt:variant>
      <vt:variant>
        <vt:i4>51</vt:i4>
      </vt:variant>
      <vt:variant>
        <vt:i4>0</vt:i4>
      </vt:variant>
      <vt:variant>
        <vt:i4>5</vt:i4>
      </vt:variant>
      <vt:variant>
        <vt:lpwstr>mailto:simonf@atg.wa.gov</vt:lpwstr>
      </vt:variant>
      <vt:variant>
        <vt:lpwstr/>
      </vt:variant>
      <vt:variant>
        <vt:i4>1835131</vt:i4>
      </vt:variant>
      <vt:variant>
        <vt:i4>48</vt:i4>
      </vt:variant>
      <vt:variant>
        <vt:i4>0</vt:i4>
      </vt:variant>
      <vt:variant>
        <vt:i4>5</vt:i4>
      </vt:variant>
      <vt:variant>
        <vt:lpwstr>mailto:tschoole@utc.wa.gov</vt:lpwstr>
      </vt:variant>
      <vt:variant>
        <vt:lpwstr/>
      </vt:variant>
      <vt:variant>
        <vt:i4>852094</vt:i4>
      </vt:variant>
      <vt:variant>
        <vt:i4>45</vt:i4>
      </vt:variant>
      <vt:variant>
        <vt:i4>0</vt:i4>
      </vt:variant>
      <vt:variant>
        <vt:i4>5</vt:i4>
      </vt:variant>
      <vt:variant>
        <vt:lpwstr>mailto:bdemarco@utc.wa.gov</vt:lpwstr>
      </vt:variant>
      <vt:variant>
        <vt:lpwstr/>
      </vt:variant>
      <vt:variant>
        <vt:i4>6422545</vt:i4>
      </vt:variant>
      <vt:variant>
        <vt:i4>42</vt:i4>
      </vt:variant>
      <vt:variant>
        <vt:i4>0</vt:i4>
      </vt:variant>
      <vt:variant>
        <vt:i4>5</vt:i4>
      </vt:variant>
      <vt:variant>
        <vt:lpwstr>mailto:kgross@utc.wa.gov</vt:lpwstr>
      </vt:variant>
      <vt:variant>
        <vt:lpwstr/>
      </vt:variant>
      <vt:variant>
        <vt:i4>2555988</vt:i4>
      </vt:variant>
      <vt:variant>
        <vt:i4>39</vt:i4>
      </vt:variant>
      <vt:variant>
        <vt:i4>0</vt:i4>
      </vt:variant>
      <vt:variant>
        <vt:i4>5</vt:i4>
      </vt:variant>
      <vt:variant>
        <vt:lpwstr>mailto:aoconnell@utc.wa.gov</vt:lpwstr>
      </vt:variant>
      <vt:variant>
        <vt:lpwstr/>
      </vt:variant>
      <vt:variant>
        <vt:i4>589944</vt:i4>
      </vt:variant>
      <vt:variant>
        <vt:i4>36</vt:i4>
      </vt:variant>
      <vt:variant>
        <vt:i4>0</vt:i4>
      </vt:variant>
      <vt:variant>
        <vt:i4>5</vt:i4>
      </vt:variant>
      <vt:variant>
        <vt:lpwstr>mailto:jcameron@utc.wa.gov</vt:lpwstr>
      </vt:variant>
      <vt:variant>
        <vt:lpwstr/>
      </vt:variant>
      <vt:variant>
        <vt:i4>393340</vt:i4>
      </vt:variant>
      <vt:variant>
        <vt:i4>33</vt:i4>
      </vt:variant>
      <vt:variant>
        <vt:i4>0</vt:i4>
      </vt:variant>
      <vt:variant>
        <vt:i4>5</vt:i4>
      </vt:variant>
      <vt:variant>
        <vt:lpwstr>mailto:bshearer@utc.wa.gov</vt:lpwstr>
      </vt:variant>
      <vt:variant>
        <vt:lpwstr/>
      </vt:variant>
      <vt:variant>
        <vt:i4>6422536</vt:i4>
      </vt:variant>
      <vt:variant>
        <vt:i4>30</vt:i4>
      </vt:variant>
      <vt:variant>
        <vt:i4>0</vt:i4>
      </vt:variant>
      <vt:variant>
        <vt:i4>5</vt:i4>
      </vt:variant>
      <vt:variant>
        <vt:lpwstr>mailto:poshie@utc.wa.gov</vt:lpwstr>
      </vt:variant>
      <vt:variant>
        <vt:lpwstr/>
      </vt:variant>
      <vt:variant>
        <vt:i4>4915262</vt:i4>
      </vt:variant>
      <vt:variant>
        <vt:i4>27</vt:i4>
      </vt:variant>
      <vt:variant>
        <vt:i4>0</vt:i4>
      </vt:variant>
      <vt:variant>
        <vt:i4>5</vt:i4>
      </vt:variant>
      <vt:variant>
        <vt:lpwstr>mailto:liz.andrews@avistacorp.com</vt:lpwstr>
      </vt:variant>
      <vt:variant>
        <vt:lpwstr/>
      </vt:variant>
      <vt:variant>
        <vt:i4>2293766</vt:i4>
      </vt:variant>
      <vt:variant>
        <vt:i4>24</vt:i4>
      </vt:variant>
      <vt:variant>
        <vt:i4>0</vt:i4>
      </vt:variant>
      <vt:variant>
        <vt:i4>5</vt:i4>
      </vt:variant>
      <vt:variant>
        <vt:lpwstr>mailto:avistadockets@avistacorp.com</vt:lpwstr>
      </vt:variant>
      <vt:variant>
        <vt:lpwstr/>
      </vt:variant>
      <vt:variant>
        <vt:i4>2555968</vt:i4>
      </vt:variant>
      <vt:variant>
        <vt:i4>21</vt:i4>
      </vt:variant>
      <vt:variant>
        <vt:i4>0</vt:i4>
      </vt:variant>
      <vt:variant>
        <vt:i4>5</vt:i4>
      </vt:variant>
      <vt:variant>
        <vt:lpwstr>mailto:patrick.ehrbar@avistacorp.com</vt:lpwstr>
      </vt:variant>
      <vt:variant>
        <vt:lpwstr/>
      </vt:variant>
      <vt:variant>
        <vt:i4>6160436</vt:i4>
      </vt:variant>
      <vt:variant>
        <vt:i4>18</vt:i4>
      </vt:variant>
      <vt:variant>
        <vt:i4>0</vt:i4>
      </vt:variant>
      <vt:variant>
        <vt:i4>5</vt:i4>
      </vt:variant>
      <vt:variant>
        <vt:lpwstr>mailto:david.meyer@avistacorp.com</vt:lpwstr>
      </vt:variant>
      <vt:variant>
        <vt:lpwstr/>
      </vt:variant>
      <vt:variant>
        <vt:i4>2555970</vt:i4>
      </vt:variant>
      <vt:variant>
        <vt:i4>15</vt:i4>
      </vt:variant>
      <vt:variant>
        <vt:i4>0</vt:i4>
      </vt:variant>
      <vt:variant>
        <vt:i4>5</vt:i4>
      </vt:variant>
      <vt:variant>
        <vt:lpwstr>mailto:kelly.norwood@avistacorp.com</vt:lpwstr>
      </vt:variant>
      <vt:variant>
        <vt:lpwstr/>
      </vt:variant>
      <vt:variant>
        <vt:i4>7602192</vt:i4>
      </vt:variant>
      <vt:variant>
        <vt:i4>12</vt:i4>
      </vt:variant>
      <vt:variant>
        <vt:i4>0</vt:i4>
      </vt:variant>
      <vt:variant>
        <vt:i4>5</vt:i4>
      </vt:variant>
      <vt:variant>
        <vt:lpwstr>mailto:gkopta@utc.wa.gov</vt:lpwstr>
      </vt:variant>
      <vt:variant>
        <vt:lpwstr/>
      </vt:variant>
      <vt:variant>
        <vt:i4>131174</vt:i4>
      </vt:variant>
      <vt:variant>
        <vt:i4>9</vt:i4>
      </vt:variant>
      <vt:variant>
        <vt:i4>0</vt:i4>
      </vt:variant>
      <vt:variant>
        <vt:i4>5</vt:i4>
      </vt:variant>
      <vt:variant>
        <vt:lpwstr>mailto:rpearson@utc.wa.gov</vt:lpwstr>
      </vt:variant>
      <vt:variant>
        <vt:lpwstr/>
      </vt:variant>
      <vt:variant>
        <vt:i4>3801160</vt:i4>
      </vt:variant>
      <vt:variant>
        <vt:i4>6</vt:i4>
      </vt:variant>
      <vt:variant>
        <vt:i4>0</vt:i4>
      </vt:variant>
      <vt:variant>
        <vt:i4>5</vt:i4>
      </vt:variant>
      <vt:variant>
        <vt:lpwstr>mailto:dmoss@utc.wa.gov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2016-10-07T19:24:00Z</dcterms:created>
  <dcterms:modified xsi:type="dcterms:W3CDTF">2016-10-07T19:24:00Z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