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69E" w:rsidRPr="00CE672F" w:rsidRDefault="000246B5" w:rsidP="00BC271F">
      <w:pPr>
        <w:rPr>
          <w:rFonts w:ascii="Tahoma" w:hAnsi="Tahoma" w:cs="Tahoma"/>
          <w:b/>
          <w:sz w:val="22"/>
          <w:szCs w:val="22"/>
        </w:rPr>
      </w:pPr>
      <w:r w:rsidRPr="00CE672F">
        <w:rPr>
          <w:rFonts w:ascii="Tahoma" w:hAnsi="Tahoma" w:cs="Tahoma"/>
          <w:b/>
          <w:noProof/>
          <w:sz w:val="22"/>
          <w:szCs w:val="22"/>
        </w:rPr>
        <w:drawing>
          <wp:anchor distT="0" distB="274320" distL="114300" distR="114300" simplePos="0" relativeHeight="251659264" behindDoc="0" locked="0" layoutInCell="1" allowOverlap="1" wp14:anchorId="384C0AA2" wp14:editId="5840B640">
            <wp:simplePos x="0" y="0"/>
            <wp:positionH relativeFrom="column">
              <wp:posOffset>-117475</wp:posOffset>
            </wp:positionH>
            <wp:positionV relativeFrom="paragraph">
              <wp:posOffset>-479425</wp:posOffset>
            </wp:positionV>
            <wp:extent cx="2679700" cy="935355"/>
            <wp:effectExtent l="0" t="0" r="6350" b="0"/>
            <wp:wrapTopAndBottom/>
            <wp:docPr id="5" name="Picture 5"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NG-Color-300dpi"/>
                    <pic:cNvPicPr>
                      <a:picLocks noChangeAspect="1" noChangeArrowheads="1"/>
                    </pic:cNvPicPr>
                  </pic:nvPicPr>
                  <pic:blipFill>
                    <a:blip r:embed="rId7" cstate="print">
                      <a:extLst>
                        <a:ext uri="{28A0092B-C50C-407E-A947-70E740481C1C}">
                          <a14:useLocalDpi xmlns:a14="http://schemas.microsoft.com/office/drawing/2010/main" val="0"/>
                        </a:ext>
                      </a:extLst>
                    </a:blip>
                    <a:srcRect b="15152"/>
                    <a:stretch>
                      <a:fillRect/>
                    </a:stretch>
                  </pic:blipFill>
                  <pic:spPr bwMode="auto">
                    <a:xfrm>
                      <a:off x="0" y="0"/>
                      <a:ext cx="2679700" cy="935355"/>
                    </a:xfrm>
                    <a:prstGeom prst="rect">
                      <a:avLst/>
                    </a:prstGeom>
                    <a:noFill/>
                  </pic:spPr>
                </pic:pic>
              </a:graphicData>
            </a:graphic>
            <wp14:sizeRelH relativeFrom="page">
              <wp14:pctWidth>0</wp14:pctWidth>
            </wp14:sizeRelH>
            <wp14:sizeRelV relativeFrom="page">
              <wp14:pctHeight>0</wp14:pctHeight>
            </wp14:sizeRelV>
          </wp:anchor>
        </w:drawing>
      </w:r>
      <w:r w:rsidR="00BC271F" w:rsidRPr="00CE672F">
        <w:rPr>
          <w:rFonts w:ascii="Tahoma" w:hAnsi="Tahoma" w:cs="Tahoma"/>
          <w:b/>
          <w:sz w:val="22"/>
          <w:szCs w:val="22"/>
        </w:rPr>
        <w:t>6</w:t>
      </w:r>
      <w:r w:rsidR="00BC2C47" w:rsidRPr="00CE672F">
        <w:rPr>
          <w:rFonts w:ascii="Tahoma" w:hAnsi="Tahoma" w:cs="Tahoma"/>
          <w:b/>
          <w:sz w:val="22"/>
          <w:szCs w:val="22"/>
          <w:vertAlign w:val="superscript"/>
        </w:rPr>
        <w:t>th</w:t>
      </w:r>
      <w:r w:rsidR="00B7269E" w:rsidRPr="00CE672F">
        <w:rPr>
          <w:rFonts w:ascii="Tahoma" w:hAnsi="Tahoma" w:cs="Tahoma"/>
          <w:b/>
          <w:sz w:val="22"/>
          <w:szCs w:val="22"/>
        </w:rPr>
        <w:t xml:space="preserve"> </w:t>
      </w:r>
      <w:r w:rsidR="00BC3FD1" w:rsidRPr="00CE672F">
        <w:rPr>
          <w:rFonts w:ascii="Tahoma" w:hAnsi="Tahoma" w:cs="Tahoma"/>
          <w:b/>
          <w:sz w:val="22"/>
          <w:szCs w:val="22"/>
        </w:rPr>
        <w:t>External</w:t>
      </w:r>
      <w:r w:rsidR="00B7269E" w:rsidRPr="00CE672F">
        <w:rPr>
          <w:rFonts w:ascii="Tahoma" w:hAnsi="Tahoma" w:cs="Tahoma"/>
          <w:b/>
          <w:sz w:val="22"/>
          <w:szCs w:val="22"/>
        </w:rPr>
        <w:t xml:space="preserve"> </w:t>
      </w:r>
      <w:r w:rsidR="00F55D66" w:rsidRPr="00CE672F">
        <w:rPr>
          <w:rFonts w:ascii="Tahoma" w:hAnsi="Tahoma" w:cs="Tahoma"/>
          <w:b/>
          <w:sz w:val="22"/>
          <w:szCs w:val="22"/>
        </w:rPr>
        <w:t>TAG</w:t>
      </w:r>
      <w:r w:rsidR="00B7269E" w:rsidRPr="00CE672F">
        <w:rPr>
          <w:rFonts w:ascii="Tahoma" w:hAnsi="Tahoma" w:cs="Tahoma"/>
          <w:b/>
          <w:sz w:val="22"/>
          <w:szCs w:val="22"/>
        </w:rPr>
        <w:t xml:space="preserve"> Meeting</w:t>
      </w:r>
      <w:bookmarkStart w:id="0" w:name="_GoBack"/>
      <w:bookmarkEnd w:id="0"/>
    </w:p>
    <w:p w:rsidR="00B7269E" w:rsidRPr="00CE672F" w:rsidRDefault="003E6977">
      <w:pPr>
        <w:rPr>
          <w:rFonts w:ascii="Tahoma" w:hAnsi="Tahoma" w:cs="Tahoma"/>
        </w:rPr>
      </w:pPr>
      <w:r w:rsidRPr="00CE672F">
        <w:rPr>
          <w:rFonts w:ascii="Tahoma" w:hAnsi="Tahoma" w:cs="Tahoma"/>
          <w:b/>
        </w:rPr>
        <w:t>Date &amp; time</w:t>
      </w:r>
      <w:r w:rsidR="009E02D2" w:rsidRPr="00CE672F">
        <w:rPr>
          <w:rFonts w:ascii="Tahoma" w:hAnsi="Tahoma" w:cs="Tahoma"/>
          <w:b/>
        </w:rPr>
        <w:t>:</w:t>
      </w:r>
      <w:r w:rsidR="009E02D2" w:rsidRPr="00CE672F">
        <w:rPr>
          <w:rFonts w:ascii="Tahoma" w:hAnsi="Tahoma" w:cs="Tahoma"/>
          <w:b/>
        </w:rPr>
        <w:tab/>
      </w:r>
      <w:r w:rsidR="009E02D2" w:rsidRPr="00CE672F">
        <w:rPr>
          <w:rFonts w:ascii="Tahoma" w:hAnsi="Tahoma" w:cs="Tahoma"/>
          <w:b/>
        </w:rPr>
        <w:tab/>
      </w:r>
      <w:r w:rsidR="00BC271F" w:rsidRPr="00CE672F">
        <w:rPr>
          <w:rFonts w:ascii="Tahoma" w:hAnsi="Tahoma" w:cs="Tahoma"/>
        </w:rPr>
        <w:t>11/17/</w:t>
      </w:r>
      <w:r w:rsidR="00134B7C" w:rsidRPr="00CE672F">
        <w:rPr>
          <w:rFonts w:ascii="Tahoma" w:hAnsi="Tahoma" w:cs="Tahoma"/>
        </w:rPr>
        <w:t>2016,</w:t>
      </w:r>
      <w:r w:rsidR="00BC2C47" w:rsidRPr="00CE672F">
        <w:rPr>
          <w:rFonts w:ascii="Tahoma" w:hAnsi="Tahoma" w:cs="Tahoma"/>
        </w:rPr>
        <w:t xml:space="preserve"> 09:00</w:t>
      </w:r>
      <w:r w:rsidR="00134B7C" w:rsidRPr="00CE672F">
        <w:rPr>
          <w:rFonts w:ascii="Tahoma" w:hAnsi="Tahoma" w:cs="Tahoma"/>
        </w:rPr>
        <w:t xml:space="preserve"> AM</w:t>
      </w:r>
      <w:r w:rsidR="00BC271F" w:rsidRPr="00CE672F">
        <w:rPr>
          <w:rFonts w:ascii="Tahoma" w:hAnsi="Tahoma" w:cs="Tahoma"/>
        </w:rPr>
        <w:t xml:space="preserve"> – 10:38 AM</w:t>
      </w:r>
    </w:p>
    <w:p w:rsidR="009E02D2" w:rsidRPr="00CE672F" w:rsidRDefault="009E02D2">
      <w:pPr>
        <w:rPr>
          <w:rFonts w:ascii="Tahoma" w:hAnsi="Tahoma" w:cs="Tahoma"/>
        </w:rPr>
      </w:pPr>
      <w:r w:rsidRPr="00CE672F">
        <w:rPr>
          <w:rFonts w:ascii="Tahoma" w:hAnsi="Tahoma" w:cs="Tahoma"/>
          <w:b/>
        </w:rPr>
        <w:t>Location:</w:t>
      </w:r>
      <w:r w:rsidRPr="00CE672F">
        <w:rPr>
          <w:rFonts w:ascii="Tahoma" w:hAnsi="Tahoma" w:cs="Tahoma"/>
          <w:b/>
        </w:rPr>
        <w:tab/>
      </w:r>
      <w:r w:rsidRPr="00CE672F">
        <w:rPr>
          <w:rFonts w:ascii="Tahoma" w:hAnsi="Tahoma" w:cs="Tahoma"/>
          <w:b/>
        </w:rPr>
        <w:tab/>
      </w:r>
      <w:r w:rsidR="001B0E89" w:rsidRPr="00CE672F">
        <w:rPr>
          <w:rFonts w:ascii="Tahoma" w:hAnsi="Tahoma" w:cs="Tahoma"/>
        </w:rPr>
        <w:t>WebEx from Kennewick GO</w:t>
      </w:r>
    </w:p>
    <w:p w:rsidR="00390197" w:rsidRPr="00CE672F" w:rsidRDefault="00390197">
      <w:pPr>
        <w:rPr>
          <w:rFonts w:ascii="Tahoma" w:hAnsi="Tahoma" w:cs="Tahoma"/>
        </w:rPr>
      </w:pPr>
      <w:r w:rsidRPr="00CE672F">
        <w:rPr>
          <w:rFonts w:ascii="Tahoma" w:hAnsi="Tahoma" w:cs="Tahoma"/>
          <w:b/>
        </w:rPr>
        <w:t>Presenters:</w:t>
      </w:r>
      <w:r w:rsidRPr="00CE672F">
        <w:rPr>
          <w:rFonts w:ascii="Tahoma" w:hAnsi="Tahoma" w:cs="Tahoma"/>
          <w:b/>
        </w:rPr>
        <w:tab/>
      </w:r>
      <w:r w:rsidRPr="00CE672F">
        <w:rPr>
          <w:rFonts w:ascii="Tahoma" w:hAnsi="Tahoma" w:cs="Tahoma"/>
          <w:b/>
        </w:rPr>
        <w:tab/>
      </w:r>
      <w:r w:rsidR="00231B46" w:rsidRPr="00CE672F">
        <w:rPr>
          <w:rFonts w:ascii="Tahoma" w:hAnsi="Tahoma" w:cs="Tahoma"/>
        </w:rPr>
        <w:t xml:space="preserve">Mark Sellers-Vaughn, </w:t>
      </w:r>
      <w:r w:rsidR="00925D4C" w:rsidRPr="00CE672F">
        <w:rPr>
          <w:rFonts w:ascii="Tahoma" w:hAnsi="Tahoma" w:cs="Tahoma"/>
        </w:rPr>
        <w:t>Brian Robertson &amp;</w:t>
      </w:r>
      <w:r w:rsidR="00BC2C47" w:rsidRPr="00CE672F">
        <w:rPr>
          <w:rFonts w:ascii="Tahoma" w:hAnsi="Tahoma" w:cs="Tahoma"/>
        </w:rPr>
        <w:t xml:space="preserve"> Devin McGreal</w:t>
      </w:r>
    </w:p>
    <w:p w:rsidR="00971A8C" w:rsidRPr="00CE672F" w:rsidRDefault="00B7269E" w:rsidP="00B7269E">
      <w:pPr>
        <w:ind w:left="2160" w:hanging="2160"/>
        <w:rPr>
          <w:rFonts w:ascii="Tahoma" w:hAnsi="Tahoma" w:cs="Tahoma"/>
        </w:rPr>
      </w:pPr>
      <w:r w:rsidRPr="00CE672F">
        <w:rPr>
          <w:rFonts w:ascii="Tahoma" w:hAnsi="Tahoma" w:cs="Tahoma"/>
          <w:b/>
        </w:rPr>
        <w:t>In attendance</w:t>
      </w:r>
      <w:r w:rsidRPr="00CE672F">
        <w:rPr>
          <w:rFonts w:ascii="Tahoma" w:hAnsi="Tahoma" w:cs="Tahoma"/>
        </w:rPr>
        <w:t>:</w:t>
      </w:r>
      <w:r w:rsidRPr="00CE672F">
        <w:rPr>
          <w:rFonts w:ascii="Tahoma" w:hAnsi="Tahoma" w:cs="Tahoma"/>
        </w:rPr>
        <w:tab/>
      </w:r>
      <w:r w:rsidR="00971A8C" w:rsidRPr="00CE672F">
        <w:rPr>
          <w:rFonts w:ascii="Tahoma" w:hAnsi="Tahoma" w:cs="Tahoma"/>
        </w:rPr>
        <w:t xml:space="preserve">Mark Sellers-Vaughn, </w:t>
      </w:r>
      <w:r w:rsidR="00BC2C47" w:rsidRPr="00CE672F">
        <w:rPr>
          <w:rFonts w:ascii="Tahoma" w:hAnsi="Tahoma" w:cs="Tahoma"/>
        </w:rPr>
        <w:t>Brian Robertson, Devin McGreal</w:t>
      </w:r>
      <w:r w:rsidR="00231B46" w:rsidRPr="00CE672F">
        <w:rPr>
          <w:rFonts w:ascii="Tahoma" w:hAnsi="Tahoma" w:cs="Tahoma"/>
        </w:rPr>
        <w:t>,</w:t>
      </w:r>
      <w:r w:rsidR="00BC2C47" w:rsidRPr="00CE672F">
        <w:rPr>
          <w:rFonts w:ascii="Tahoma" w:hAnsi="Tahoma" w:cs="Tahoma"/>
        </w:rPr>
        <w:t xml:space="preserve"> </w:t>
      </w:r>
      <w:r w:rsidR="00825024" w:rsidRPr="00CE672F">
        <w:rPr>
          <w:rFonts w:ascii="Tahoma" w:hAnsi="Tahoma" w:cs="Tahoma"/>
        </w:rPr>
        <w:t xml:space="preserve">Mike Parvinen, </w:t>
      </w:r>
      <w:r w:rsidR="001B0E89" w:rsidRPr="00CE672F">
        <w:rPr>
          <w:rFonts w:ascii="Tahoma" w:hAnsi="Tahoma" w:cs="Tahoma"/>
        </w:rPr>
        <w:t>Jennifer Gross</w:t>
      </w:r>
      <w:r w:rsidR="00BC271F" w:rsidRPr="00CE672F">
        <w:rPr>
          <w:rFonts w:ascii="Tahoma" w:hAnsi="Tahoma" w:cs="Tahoma"/>
        </w:rPr>
        <w:t>, Pam Archer, Brian Hoyle, Eric Wood, Carolyn Stone</w:t>
      </w:r>
    </w:p>
    <w:p w:rsidR="00DE415A" w:rsidRPr="00CE672F" w:rsidRDefault="00971A8C" w:rsidP="000244B2">
      <w:pPr>
        <w:ind w:left="2160" w:hanging="2160"/>
        <w:rPr>
          <w:rFonts w:ascii="Tahoma" w:hAnsi="Tahoma" w:cs="Tahoma"/>
        </w:rPr>
      </w:pPr>
      <w:r w:rsidRPr="00CE672F">
        <w:rPr>
          <w:rFonts w:ascii="Tahoma" w:hAnsi="Tahoma" w:cs="Tahoma"/>
          <w:b/>
        </w:rPr>
        <w:t>Call</w:t>
      </w:r>
      <w:r w:rsidR="00906ACE" w:rsidRPr="00CE672F">
        <w:rPr>
          <w:rFonts w:ascii="Tahoma" w:hAnsi="Tahoma" w:cs="Tahoma"/>
          <w:b/>
        </w:rPr>
        <w:t>ed in</w:t>
      </w:r>
      <w:r w:rsidRPr="00CE672F">
        <w:rPr>
          <w:rFonts w:ascii="Tahoma" w:hAnsi="Tahoma" w:cs="Tahoma"/>
        </w:rPr>
        <w:t>:</w:t>
      </w:r>
      <w:r w:rsidRPr="00CE672F">
        <w:rPr>
          <w:rFonts w:ascii="Tahoma" w:hAnsi="Tahoma" w:cs="Tahoma"/>
        </w:rPr>
        <w:tab/>
      </w:r>
      <w:r w:rsidR="00BC271F" w:rsidRPr="00CE672F">
        <w:rPr>
          <w:rFonts w:ascii="Tahoma" w:hAnsi="Tahoma" w:cs="Tahoma"/>
        </w:rPr>
        <w:t>Garret Senger, Marty</w:t>
      </w:r>
      <w:r w:rsidR="00672C50">
        <w:rPr>
          <w:rFonts w:ascii="Tahoma" w:hAnsi="Tahoma" w:cs="Tahoma"/>
        </w:rPr>
        <w:t xml:space="preserve"> Saldivar</w:t>
      </w:r>
      <w:r w:rsidR="00BC271F" w:rsidRPr="00CE672F">
        <w:rPr>
          <w:rFonts w:ascii="Tahoma" w:hAnsi="Tahoma" w:cs="Tahoma"/>
        </w:rPr>
        <w:t xml:space="preserve"> - NWP, E</w:t>
      </w:r>
      <w:r w:rsidR="00DE415A" w:rsidRPr="00CE672F">
        <w:rPr>
          <w:rFonts w:ascii="Tahoma" w:hAnsi="Tahoma" w:cs="Tahoma"/>
        </w:rPr>
        <w:t>d Finklea,</w:t>
      </w:r>
      <w:r w:rsidR="00BC271F" w:rsidRPr="00CE672F">
        <w:rPr>
          <w:rFonts w:ascii="Tahoma" w:hAnsi="Tahoma" w:cs="Tahoma"/>
        </w:rPr>
        <w:t xml:space="preserve"> Kary Burin, Kathi Scanlan, David Nightingale</w:t>
      </w:r>
      <w:r w:rsidR="00DE415A" w:rsidRPr="00CE672F">
        <w:rPr>
          <w:rFonts w:ascii="Tahoma" w:hAnsi="Tahoma" w:cs="Tahoma"/>
        </w:rPr>
        <w:t>,</w:t>
      </w:r>
      <w:r w:rsidR="00BC271F" w:rsidRPr="00CE672F">
        <w:rPr>
          <w:rFonts w:ascii="Tahoma" w:hAnsi="Tahoma" w:cs="Tahoma"/>
        </w:rPr>
        <w:t xml:space="preserve"> Jeremy Twitchell,</w:t>
      </w:r>
      <w:r w:rsidR="00DE415A" w:rsidRPr="00CE672F">
        <w:rPr>
          <w:rFonts w:ascii="Tahoma" w:hAnsi="Tahoma" w:cs="Tahoma"/>
        </w:rPr>
        <w:t xml:space="preserve"> </w:t>
      </w:r>
      <w:r w:rsidR="00825024" w:rsidRPr="00CE672F">
        <w:rPr>
          <w:rFonts w:ascii="Tahoma" w:hAnsi="Tahoma" w:cs="Tahoma"/>
        </w:rPr>
        <w:t xml:space="preserve">Monica Cowlishaw </w:t>
      </w:r>
      <w:r w:rsidR="00DE415A" w:rsidRPr="00CE672F">
        <w:rPr>
          <w:rFonts w:ascii="Tahoma" w:hAnsi="Tahoma" w:cs="Tahoma"/>
        </w:rPr>
        <w:t>&amp; Bruce Folsom.</w:t>
      </w:r>
    </w:p>
    <w:p w:rsidR="000E7F43" w:rsidRPr="00CE672F" w:rsidRDefault="000E7F43" w:rsidP="000244B2">
      <w:pPr>
        <w:ind w:left="2160" w:hanging="2160"/>
        <w:rPr>
          <w:rFonts w:ascii="Tahoma" w:hAnsi="Tahoma" w:cs="Tahoma"/>
        </w:rPr>
      </w:pPr>
      <w:r w:rsidRPr="00CE672F">
        <w:rPr>
          <w:rFonts w:ascii="Tahoma" w:hAnsi="Tahoma" w:cs="Tahoma"/>
          <w:b/>
        </w:rPr>
        <w:t>Minutes by</w:t>
      </w:r>
      <w:r w:rsidRPr="00CE672F">
        <w:rPr>
          <w:rFonts w:ascii="Tahoma" w:hAnsi="Tahoma" w:cs="Tahoma"/>
        </w:rPr>
        <w:t>:</w:t>
      </w:r>
      <w:r w:rsidRPr="00CE672F">
        <w:rPr>
          <w:rFonts w:ascii="Tahoma" w:hAnsi="Tahoma" w:cs="Tahoma"/>
        </w:rPr>
        <w:tab/>
        <w:t>Carolyn P Stone</w:t>
      </w:r>
    </w:p>
    <w:p w:rsidR="00931724" w:rsidRPr="00CE672F" w:rsidRDefault="00421CCD" w:rsidP="00491A81">
      <w:pPr>
        <w:rPr>
          <w:rFonts w:ascii="Tahoma" w:hAnsi="Tahoma" w:cs="Tahoma"/>
        </w:rPr>
      </w:pPr>
      <w:r w:rsidRPr="00CE672F">
        <w:rPr>
          <w:rFonts w:ascii="Tahoma" w:hAnsi="Tahoma" w:cs="Tahoma"/>
        </w:rPr>
        <w:t>Mark began the meeting by welcoming everyone.</w:t>
      </w:r>
      <w:r w:rsidR="00265B72">
        <w:rPr>
          <w:rFonts w:ascii="Tahoma" w:hAnsi="Tahoma" w:cs="Tahoma"/>
        </w:rPr>
        <w:t xml:space="preserve"> The purpose of today’s meeting</w:t>
      </w:r>
      <w:r w:rsidR="005B5A2C">
        <w:rPr>
          <w:rFonts w:ascii="Tahoma" w:hAnsi="Tahoma" w:cs="Tahoma"/>
        </w:rPr>
        <w:t>, he explained,</w:t>
      </w:r>
      <w:r w:rsidR="00265B72">
        <w:rPr>
          <w:rFonts w:ascii="Tahoma" w:hAnsi="Tahoma" w:cs="Tahoma"/>
        </w:rPr>
        <w:t xml:space="preserve"> is to expand on how Sendout is used.  On Monday there will be a “live configuration” of Sendout.</w:t>
      </w:r>
    </w:p>
    <w:p w:rsidR="00265B72" w:rsidRDefault="00931724" w:rsidP="00491A81">
      <w:pPr>
        <w:rPr>
          <w:rFonts w:ascii="Tahoma" w:hAnsi="Tahoma" w:cs="Tahoma"/>
        </w:rPr>
      </w:pPr>
      <w:r w:rsidRPr="00CE672F">
        <w:rPr>
          <w:rFonts w:ascii="Tahoma" w:hAnsi="Tahoma" w:cs="Tahoma"/>
        </w:rPr>
        <w:t>Mark</w:t>
      </w:r>
      <w:r w:rsidR="00265B72">
        <w:rPr>
          <w:rFonts w:ascii="Tahoma" w:hAnsi="Tahoma" w:cs="Tahoma"/>
        </w:rPr>
        <w:t xml:space="preserve"> then went through introductions and asked Garret Senger if he had anything to say before the meeting.  Garret said he appreciated this meeting being set up and mentioned that the IRP deadline is coming up. He thanked the IRP group for following up on comm</w:t>
      </w:r>
      <w:r w:rsidR="00036738">
        <w:rPr>
          <w:rFonts w:ascii="Tahoma" w:hAnsi="Tahoma" w:cs="Tahoma"/>
        </w:rPr>
        <w:t>ents.</w:t>
      </w:r>
    </w:p>
    <w:p w:rsidR="00265B72" w:rsidRDefault="00265B72" w:rsidP="00491A81">
      <w:pPr>
        <w:rPr>
          <w:rFonts w:ascii="Tahoma" w:hAnsi="Tahoma" w:cs="Tahoma"/>
        </w:rPr>
      </w:pPr>
      <w:r>
        <w:rPr>
          <w:rFonts w:ascii="Tahoma" w:hAnsi="Tahoma" w:cs="Tahoma"/>
        </w:rPr>
        <w:t xml:space="preserve">Mark then went over the Agenda including what the Sendout is, </w:t>
      </w:r>
      <w:r w:rsidR="00B74753">
        <w:rPr>
          <w:rFonts w:ascii="Tahoma" w:hAnsi="Tahoma" w:cs="Tahoma"/>
        </w:rPr>
        <w:t>its</w:t>
      </w:r>
      <w:r>
        <w:rPr>
          <w:rFonts w:ascii="Tahoma" w:hAnsi="Tahoma" w:cs="Tahoma"/>
        </w:rPr>
        <w:t xml:space="preserve"> history, methodology, simulation examples, results/solves and conclusion.</w:t>
      </w:r>
    </w:p>
    <w:p w:rsidR="00C70A54" w:rsidRDefault="00C70A54" w:rsidP="00C70A54">
      <w:pPr>
        <w:spacing w:after="0"/>
      </w:pPr>
      <w:r w:rsidRPr="009837CE">
        <w:rPr>
          <w:i/>
        </w:rPr>
        <w:t>Presentation #1</w:t>
      </w:r>
      <w:r>
        <w:t xml:space="preserve"> – Mark Sellers-Vaughn</w:t>
      </w:r>
    </w:p>
    <w:p w:rsidR="00C70A54" w:rsidRDefault="00F40AD3" w:rsidP="00C70A54">
      <w:pPr>
        <w:spacing w:after="0"/>
        <w:rPr>
          <w:b/>
        </w:rPr>
      </w:pPr>
      <w:r>
        <w:rPr>
          <w:b/>
        </w:rPr>
        <w:t>What is Sendout?</w:t>
      </w:r>
    </w:p>
    <w:p w:rsidR="00C70A54" w:rsidRDefault="00C70A54" w:rsidP="00C70A54">
      <w:pPr>
        <w:spacing w:after="0"/>
        <w:rPr>
          <w:b/>
        </w:rPr>
      </w:pPr>
    </w:p>
    <w:p w:rsidR="00265B72" w:rsidRPr="00F40AD3" w:rsidRDefault="00E44414" w:rsidP="00F40AD3">
      <w:pPr>
        <w:pStyle w:val="ListParagraph"/>
        <w:numPr>
          <w:ilvl w:val="0"/>
          <w:numId w:val="42"/>
        </w:numPr>
        <w:rPr>
          <w:rFonts w:ascii="Tahoma" w:hAnsi="Tahoma" w:cs="Tahoma"/>
        </w:rPr>
      </w:pPr>
      <w:r>
        <w:rPr>
          <w:rFonts w:ascii="Tahoma" w:hAnsi="Tahoma" w:cs="Tahoma"/>
        </w:rPr>
        <w:t xml:space="preserve">Slide </w:t>
      </w:r>
      <w:r w:rsidR="00C96508">
        <w:rPr>
          <w:rFonts w:ascii="Tahoma" w:hAnsi="Tahoma" w:cs="Tahoma"/>
        </w:rPr>
        <w:t xml:space="preserve">3 </w:t>
      </w:r>
      <w:r w:rsidR="00265B72" w:rsidRPr="00F40AD3">
        <w:rPr>
          <w:rFonts w:ascii="Tahoma" w:hAnsi="Tahoma" w:cs="Tahoma"/>
        </w:rPr>
        <w:t>explains that the Sendout is a “Resource Optimization Model” which develops portfolios.  It is powerful &amp; complex.  A 20 year “horizon” is used.</w:t>
      </w:r>
    </w:p>
    <w:p w:rsidR="00265B72" w:rsidRDefault="00265B72" w:rsidP="00F40AD3">
      <w:pPr>
        <w:pStyle w:val="ListParagraph"/>
        <w:numPr>
          <w:ilvl w:val="0"/>
          <w:numId w:val="42"/>
        </w:numPr>
        <w:rPr>
          <w:rFonts w:ascii="Tahoma" w:hAnsi="Tahoma" w:cs="Tahoma"/>
        </w:rPr>
      </w:pPr>
      <w:r w:rsidRPr="00F40AD3">
        <w:rPr>
          <w:rFonts w:ascii="Tahoma" w:hAnsi="Tahoma" w:cs="Tahoma"/>
        </w:rPr>
        <w:t>Slide 4 – Sendout uses a “Linear Programming Approach”</w:t>
      </w:r>
      <w:r w:rsidR="00F40AD3">
        <w:rPr>
          <w:rFonts w:ascii="Tahoma" w:hAnsi="Tahoma" w:cs="Tahoma"/>
        </w:rPr>
        <w:t xml:space="preserve">.  </w:t>
      </w:r>
    </w:p>
    <w:p w:rsidR="00F40AD3" w:rsidRDefault="00F40AD3" w:rsidP="00F40AD3">
      <w:pPr>
        <w:pStyle w:val="ListParagraph"/>
        <w:numPr>
          <w:ilvl w:val="0"/>
          <w:numId w:val="42"/>
        </w:numPr>
        <w:rPr>
          <w:rFonts w:ascii="Tahoma" w:hAnsi="Tahoma" w:cs="Tahoma"/>
        </w:rPr>
      </w:pPr>
      <w:r>
        <w:rPr>
          <w:rFonts w:ascii="Tahoma" w:hAnsi="Tahoma" w:cs="Tahoma"/>
        </w:rPr>
        <w:t>Our knowledge and experience is needed along with the results</w:t>
      </w:r>
      <w:r w:rsidR="00580E74">
        <w:rPr>
          <w:rFonts w:ascii="Tahoma" w:hAnsi="Tahoma" w:cs="Tahoma"/>
        </w:rPr>
        <w:t xml:space="preserve"> of Sendout</w:t>
      </w:r>
      <w:r>
        <w:rPr>
          <w:rFonts w:ascii="Tahoma" w:hAnsi="Tahoma" w:cs="Tahoma"/>
        </w:rPr>
        <w:t xml:space="preserve"> to decide the best solution</w:t>
      </w:r>
      <w:r w:rsidR="00B74753">
        <w:rPr>
          <w:rFonts w:ascii="Tahoma" w:hAnsi="Tahoma" w:cs="Tahoma"/>
        </w:rPr>
        <w:t xml:space="preserve"> for CNG.</w:t>
      </w:r>
    </w:p>
    <w:p w:rsidR="00C96508" w:rsidRPr="00C96508" w:rsidRDefault="00C96508" w:rsidP="00C96508">
      <w:pPr>
        <w:rPr>
          <w:rFonts w:ascii="Tahoma" w:hAnsi="Tahoma" w:cs="Tahoma"/>
          <w:b/>
        </w:rPr>
      </w:pPr>
      <w:r w:rsidRPr="00C96508">
        <w:rPr>
          <w:rFonts w:ascii="Tahoma" w:hAnsi="Tahoma" w:cs="Tahoma"/>
          <w:b/>
        </w:rPr>
        <w:t>History</w:t>
      </w:r>
    </w:p>
    <w:p w:rsidR="00C96508" w:rsidRDefault="00E44414" w:rsidP="00F40AD3">
      <w:pPr>
        <w:pStyle w:val="ListParagraph"/>
        <w:numPr>
          <w:ilvl w:val="0"/>
          <w:numId w:val="42"/>
        </w:numPr>
        <w:rPr>
          <w:rFonts w:ascii="Tahoma" w:hAnsi="Tahoma" w:cs="Tahoma"/>
        </w:rPr>
      </w:pPr>
      <w:r>
        <w:rPr>
          <w:rFonts w:ascii="Tahoma" w:hAnsi="Tahoma" w:cs="Tahoma"/>
        </w:rPr>
        <w:t xml:space="preserve">Slide </w:t>
      </w:r>
      <w:r w:rsidR="00C96508">
        <w:rPr>
          <w:rFonts w:ascii="Tahoma" w:hAnsi="Tahoma" w:cs="Tahoma"/>
        </w:rPr>
        <w:t>5 shows a progression of configuration changes made to Sendout over time.  In 2004 the configuration was simplified compared to today.</w:t>
      </w:r>
    </w:p>
    <w:p w:rsidR="00C96508" w:rsidRDefault="00C96508" w:rsidP="00F40AD3">
      <w:pPr>
        <w:pStyle w:val="ListParagraph"/>
        <w:numPr>
          <w:ilvl w:val="0"/>
          <w:numId w:val="42"/>
        </w:numPr>
        <w:rPr>
          <w:rFonts w:ascii="Tahoma" w:hAnsi="Tahoma" w:cs="Tahoma"/>
        </w:rPr>
      </w:pPr>
      <w:r>
        <w:rPr>
          <w:rFonts w:ascii="Tahoma" w:hAnsi="Tahoma" w:cs="Tahoma"/>
        </w:rPr>
        <w:t xml:space="preserve">In 2016 the configuration is improved by </w:t>
      </w:r>
      <w:r w:rsidR="00370BD5">
        <w:rPr>
          <w:rFonts w:ascii="Tahoma" w:hAnsi="Tahoma" w:cs="Tahoma"/>
        </w:rPr>
        <w:t xml:space="preserve">adding load </w:t>
      </w:r>
      <w:r w:rsidR="00580E74">
        <w:rPr>
          <w:rFonts w:ascii="Tahoma" w:hAnsi="Tahoma" w:cs="Tahoma"/>
        </w:rPr>
        <w:t>city</w:t>
      </w:r>
      <w:r w:rsidR="00370BD5">
        <w:rPr>
          <w:rFonts w:ascii="Tahoma" w:hAnsi="Tahoma" w:cs="Tahoma"/>
        </w:rPr>
        <w:t>gate station, rate schedule &amp; zonal parameters</w:t>
      </w:r>
      <w:r w:rsidR="00C66043">
        <w:rPr>
          <w:rFonts w:ascii="Tahoma" w:hAnsi="Tahoma" w:cs="Tahoma"/>
        </w:rPr>
        <w:t>.</w:t>
      </w:r>
    </w:p>
    <w:p w:rsidR="00370BD5" w:rsidRDefault="00E44414" w:rsidP="00F40AD3">
      <w:pPr>
        <w:pStyle w:val="ListParagraph"/>
        <w:numPr>
          <w:ilvl w:val="0"/>
          <w:numId w:val="42"/>
        </w:numPr>
        <w:rPr>
          <w:rFonts w:ascii="Tahoma" w:hAnsi="Tahoma" w:cs="Tahoma"/>
        </w:rPr>
      </w:pPr>
      <w:r>
        <w:rPr>
          <w:rFonts w:ascii="Tahoma" w:hAnsi="Tahoma" w:cs="Tahoma"/>
        </w:rPr>
        <w:t xml:space="preserve">Slide </w:t>
      </w:r>
      <w:r w:rsidR="00370BD5">
        <w:rPr>
          <w:rFonts w:ascii="Tahoma" w:hAnsi="Tahoma" w:cs="Tahoma"/>
        </w:rPr>
        <w:t xml:space="preserve">6 shows a table with history of IRP solves – at a high </w:t>
      </w:r>
      <w:r w:rsidR="002C32FA">
        <w:rPr>
          <w:rFonts w:ascii="Tahoma" w:hAnsi="Tahoma" w:cs="Tahoma"/>
        </w:rPr>
        <w:t>level.  Mark</w:t>
      </w:r>
      <w:r w:rsidR="000F14EB">
        <w:rPr>
          <w:rFonts w:ascii="Tahoma" w:hAnsi="Tahoma" w:cs="Tahoma"/>
        </w:rPr>
        <w:t xml:space="preserve"> stated that the “takeaway” from this</w:t>
      </w:r>
      <w:r w:rsidR="002C32FA">
        <w:rPr>
          <w:rFonts w:ascii="Tahoma" w:hAnsi="Tahoma" w:cs="Tahoma"/>
        </w:rPr>
        <w:t xml:space="preserve"> slide</w:t>
      </w:r>
      <w:r w:rsidR="000F14EB">
        <w:rPr>
          <w:rFonts w:ascii="Tahoma" w:hAnsi="Tahoma" w:cs="Tahoma"/>
        </w:rPr>
        <w:t xml:space="preserve"> is that the principal solves are consistently “incremental supply” and the resources to move the supply needed and added storage in Oregon, not Washington.</w:t>
      </w:r>
    </w:p>
    <w:p w:rsidR="00777604" w:rsidRDefault="00777604" w:rsidP="00CD5D32">
      <w:pPr>
        <w:ind w:left="1440" w:hanging="1440"/>
        <w:rPr>
          <w:rFonts w:ascii="Tahoma" w:hAnsi="Tahoma" w:cs="Tahoma"/>
        </w:rPr>
      </w:pPr>
      <w:r w:rsidRPr="00777604">
        <w:rPr>
          <w:rFonts w:ascii="Tahoma" w:hAnsi="Tahoma" w:cs="Tahoma"/>
          <w:b/>
          <w:highlight w:val="yellow"/>
        </w:rPr>
        <w:t>Question</w:t>
      </w:r>
      <w:r>
        <w:rPr>
          <w:rFonts w:ascii="Tahoma" w:hAnsi="Tahoma" w:cs="Tahoma"/>
        </w:rPr>
        <w:t>:</w:t>
      </w:r>
      <w:r>
        <w:rPr>
          <w:rFonts w:ascii="Tahoma" w:hAnsi="Tahoma" w:cs="Tahoma"/>
        </w:rPr>
        <w:tab/>
        <w:t>Mark Asked Kathi Scanlan if Staff would like an expansion of these slides on historical solves from Sendout as an Appendix?  If so, which Appendix would you like us to use or should we build a new one?</w:t>
      </w:r>
    </w:p>
    <w:p w:rsidR="00777604" w:rsidRDefault="00777604" w:rsidP="00CD5D32">
      <w:pPr>
        <w:ind w:left="1440" w:hanging="1440"/>
        <w:rPr>
          <w:rFonts w:ascii="Tahoma" w:hAnsi="Tahoma" w:cs="Tahoma"/>
        </w:rPr>
      </w:pPr>
      <w:r w:rsidRPr="00777604">
        <w:rPr>
          <w:rFonts w:ascii="Tahoma" w:hAnsi="Tahoma" w:cs="Tahoma"/>
          <w:b/>
          <w:highlight w:val="cyan"/>
        </w:rPr>
        <w:t>Answer</w:t>
      </w:r>
      <w:r>
        <w:rPr>
          <w:rFonts w:ascii="Tahoma" w:hAnsi="Tahoma" w:cs="Tahoma"/>
          <w:b/>
        </w:rPr>
        <w:t>:</w:t>
      </w:r>
      <w:r>
        <w:rPr>
          <w:rFonts w:ascii="Tahoma" w:hAnsi="Tahoma" w:cs="Tahoma"/>
          <w:b/>
        </w:rPr>
        <w:tab/>
      </w:r>
      <w:r w:rsidRPr="00C443D4">
        <w:rPr>
          <w:rFonts w:ascii="Tahoma" w:hAnsi="Tahoma" w:cs="Tahoma"/>
        </w:rPr>
        <w:t>Kathi stated yes this would be good in an Appendix and it should be a NEW one.</w:t>
      </w:r>
    </w:p>
    <w:p w:rsidR="00E1019C" w:rsidRDefault="00E1019C" w:rsidP="00E1019C">
      <w:pPr>
        <w:spacing w:after="0"/>
      </w:pPr>
      <w:r w:rsidRPr="009837CE">
        <w:rPr>
          <w:i/>
        </w:rPr>
        <w:t>Presentation #</w:t>
      </w:r>
      <w:r>
        <w:rPr>
          <w:i/>
        </w:rPr>
        <w:t>2</w:t>
      </w:r>
      <w:r>
        <w:t xml:space="preserve"> – Brian Robertson</w:t>
      </w:r>
    </w:p>
    <w:p w:rsidR="00E1019C" w:rsidRDefault="00627880" w:rsidP="00E1019C">
      <w:pPr>
        <w:spacing w:after="0"/>
        <w:rPr>
          <w:b/>
        </w:rPr>
      </w:pPr>
      <w:r>
        <w:rPr>
          <w:b/>
        </w:rPr>
        <w:t>Current Methodology</w:t>
      </w:r>
    </w:p>
    <w:p w:rsidR="00627880" w:rsidRDefault="00627880" w:rsidP="00E1019C">
      <w:pPr>
        <w:spacing w:after="0"/>
        <w:rPr>
          <w:b/>
        </w:rPr>
      </w:pPr>
    </w:p>
    <w:p w:rsidR="00672C50" w:rsidRDefault="00580E74" w:rsidP="00672C50">
      <w:pPr>
        <w:pStyle w:val="ListParagraph"/>
        <w:numPr>
          <w:ilvl w:val="0"/>
          <w:numId w:val="43"/>
        </w:numPr>
        <w:spacing w:after="0"/>
      </w:pPr>
      <w:r>
        <w:t>Bria</w:t>
      </w:r>
      <w:r w:rsidR="00672C50">
        <w:t>n Robertson started his prese</w:t>
      </w:r>
      <w:r w:rsidR="00E44414">
        <w:t xml:space="preserve">ntation by showing us on Slide </w:t>
      </w:r>
      <w:r w:rsidR="00672C50">
        <w:t xml:space="preserve">11 the Current Methodology Flow Chart.  </w:t>
      </w:r>
    </w:p>
    <w:p w:rsidR="00672C50" w:rsidRDefault="00672C50" w:rsidP="00672C50">
      <w:pPr>
        <w:pStyle w:val="ListParagraph"/>
        <w:numPr>
          <w:ilvl w:val="0"/>
          <w:numId w:val="43"/>
        </w:numPr>
        <w:spacing w:after="0"/>
      </w:pPr>
      <w:r>
        <w:t>The first two red boxes show all the required inputs.  The Demand Forecast Model is used here.</w:t>
      </w:r>
    </w:p>
    <w:p w:rsidR="00E44414" w:rsidRDefault="00580E74" w:rsidP="00065B21">
      <w:pPr>
        <w:pStyle w:val="ListParagraph"/>
        <w:numPr>
          <w:ilvl w:val="0"/>
          <w:numId w:val="43"/>
        </w:numPr>
        <w:spacing w:after="0"/>
      </w:pPr>
      <w:r>
        <w:t>Brian discussed the different types of supplies in SENDOUT; base, fixed, winter base, day supply, and Peak.</w:t>
      </w:r>
    </w:p>
    <w:p w:rsidR="00A07585" w:rsidRDefault="00910431" w:rsidP="00910431">
      <w:pPr>
        <w:pStyle w:val="ListParagraph"/>
        <w:numPr>
          <w:ilvl w:val="0"/>
          <w:numId w:val="43"/>
        </w:numPr>
        <w:spacing w:after="0"/>
      </w:pPr>
      <w:r>
        <w:t>Slide 26 – Storage</w:t>
      </w:r>
      <w:r w:rsidR="00A07585">
        <w:t>:</w:t>
      </w:r>
    </w:p>
    <w:p w:rsidR="00A07585" w:rsidRDefault="00A07585" w:rsidP="00A07585">
      <w:pPr>
        <w:pStyle w:val="ListParagraph"/>
        <w:numPr>
          <w:ilvl w:val="1"/>
          <w:numId w:val="43"/>
        </w:numPr>
        <w:spacing w:after="0"/>
      </w:pPr>
      <w:r>
        <w:t>Shows</w:t>
      </w:r>
      <w:r w:rsidR="00910431">
        <w:t xml:space="preserve"> JP and Plymouth and </w:t>
      </w:r>
      <w:r>
        <w:t>contracts associated with those storage locations.</w:t>
      </w:r>
      <w:r w:rsidR="00910431">
        <w:t xml:space="preserve">  </w:t>
      </w:r>
    </w:p>
    <w:p w:rsidR="00A07585" w:rsidRDefault="00910431" w:rsidP="00A07585">
      <w:pPr>
        <w:pStyle w:val="ListParagraph"/>
        <w:numPr>
          <w:ilvl w:val="1"/>
          <w:numId w:val="43"/>
        </w:numPr>
        <w:spacing w:after="0"/>
      </w:pPr>
      <w:r>
        <w:t xml:space="preserve">The storage targets are by Tariff.  </w:t>
      </w:r>
    </w:p>
    <w:p w:rsidR="00910431" w:rsidRDefault="00910431" w:rsidP="00A07585">
      <w:pPr>
        <w:pStyle w:val="ListParagraph"/>
        <w:numPr>
          <w:ilvl w:val="1"/>
          <w:numId w:val="43"/>
        </w:numPr>
        <w:spacing w:after="0"/>
      </w:pPr>
      <w:r>
        <w:t>Total withdrawal per day is 56K from JP and 78K from Plymouth.</w:t>
      </w:r>
    </w:p>
    <w:p w:rsidR="00910431" w:rsidRDefault="00910431" w:rsidP="00910431">
      <w:pPr>
        <w:spacing w:after="0"/>
      </w:pPr>
    </w:p>
    <w:p w:rsidR="00910431" w:rsidRDefault="00910431" w:rsidP="00910431">
      <w:pPr>
        <w:spacing w:after="0"/>
      </w:pPr>
      <w:r w:rsidRPr="00910431">
        <w:rPr>
          <w:b/>
          <w:highlight w:val="yellow"/>
        </w:rPr>
        <w:t>Question</w:t>
      </w:r>
      <w:r>
        <w:t>:</w:t>
      </w:r>
      <w:r>
        <w:tab/>
        <w:t>David Nightingale asked if CNG owned the storage or it was contracted.</w:t>
      </w:r>
    </w:p>
    <w:p w:rsidR="00910431" w:rsidRDefault="00910431" w:rsidP="00910431">
      <w:pPr>
        <w:spacing w:after="0"/>
      </w:pPr>
      <w:r w:rsidRPr="00910431">
        <w:rPr>
          <w:b/>
          <w:highlight w:val="cyan"/>
        </w:rPr>
        <w:t>Answer</w:t>
      </w:r>
      <w:r>
        <w:rPr>
          <w:b/>
        </w:rPr>
        <w:t>:</w:t>
      </w:r>
      <w:r>
        <w:rPr>
          <w:b/>
        </w:rPr>
        <w:tab/>
      </w:r>
      <w:r>
        <w:t>Mark responded that the storage is leased.  Cascade owns no storage facilities.</w:t>
      </w:r>
    </w:p>
    <w:p w:rsidR="00910431" w:rsidRDefault="00910431" w:rsidP="00910431">
      <w:pPr>
        <w:spacing w:after="0"/>
      </w:pPr>
    </w:p>
    <w:p w:rsidR="00910431" w:rsidRPr="00910431" w:rsidRDefault="00910431" w:rsidP="00910431">
      <w:pPr>
        <w:pStyle w:val="ListParagraph"/>
        <w:numPr>
          <w:ilvl w:val="0"/>
          <w:numId w:val="43"/>
        </w:numPr>
        <w:spacing w:after="0"/>
      </w:pPr>
      <w:r>
        <w:t xml:space="preserve">Slide 27 shows a storage example including the associated contracts for Jackson Prairie (JP).   </w:t>
      </w:r>
    </w:p>
    <w:p w:rsidR="00910431" w:rsidRDefault="00910431" w:rsidP="00910431">
      <w:pPr>
        <w:pStyle w:val="ListParagraph"/>
        <w:numPr>
          <w:ilvl w:val="0"/>
          <w:numId w:val="43"/>
        </w:numPr>
        <w:spacing w:after="0"/>
      </w:pPr>
      <w:r>
        <w:t>Slide 28</w:t>
      </w:r>
      <w:r w:rsidR="001A4D96">
        <w:t xml:space="preserve"> – </w:t>
      </w:r>
      <w:r w:rsidR="006C493D">
        <w:t>S</w:t>
      </w:r>
      <w:r w:rsidR="00B61871">
        <w:t>hows how storage</w:t>
      </w:r>
      <w:r w:rsidR="00780D71">
        <w:t xml:space="preserve"> is modeled </w:t>
      </w:r>
      <w:r w:rsidR="00B61871">
        <w:t>in Sendout.  The inputs are the capacity and max per day</w:t>
      </w:r>
      <w:r w:rsidR="00240A4E">
        <w:t xml:space="preserve"> allowed</w:t>
      </w:r>
      <w:r w:rsidR="00B61871">
        <w:t xml:space="preserve"> along with the storage % targets for June, August &amp; September, 2017.</w:t>
      </w:r>
      <w:r w:rsidR="00A32375">
        <w:t xml:space="preserve"> </w:t>
      </w:r>
    </w:p>
    <w:p w:rsidR="00240A4E" w:rsidRDefault="005D4E18" w:rsidP="00910431">
      <w:pPr>
        <w:pStyle w:val="ListParagraph"/>
        <w:numPr>
          <w:ilvl w:val="0"/>
          <w:numId w:val="43"/>
        </w:numPr>
        <w:spacing w:after="0"/>
      </w:pPr>
      <w:r>
        <w:t xml:space="preserve">Slide 29 – </w:t>
      </w:r>
      <w:r w:rsidR="00580E74">
        <w:t>Brian discussed transportation.</w:t>
      </w:r>
      <w:r>
        <w:t xml:space="preserve"> </w:t>
      </w:r>
    </w:p>
    <w:p w:rsidR="005D4E18" w:rsidRDefault="005D4E18" w:rsidP="00910431">
      <w:pPr>
        <w:pStyle w:val="ListParagraph"/>
        <w:numPr>
          <w:ilvl w:val="0"/>
          <w:numId w:val="43"/>
        </w:numPr>
        <w:spacing w:after="0"/>
      </w:pPr>
      <w:r>
        <w:t>D1 Rate is a reservation Rate.  The transportation rate is per Dth</w:t>
      </w:r>
      <w:r w:rsidR="00780D71">
        <w:t>,</w:t>
      </w:r>
      <w:r>
        <w:t xml:space="preserve"> to move the gas.</w:t>
      </w:r>
    </w:p>
    <w:p w:rsidR="005D4E18" w:rsidRDefault="006C493D" w:rsidP="00910431">
      <w:pPr>
        <w:pStyle w:val="ListParagraph"/>
        <w:numPr>
          <w:ilvl w:val="0"/>
          <w:numId w:val="43"/>
        </w:numPr>
        <w:spacing w:after="0"/>
      </w:pPr>
      <w:r>
        <w:t>Slide 31 – S</w:t>
      </w:r>
      <w:r w:rsidR="005D4E18">
        <w:t>hows a transport example.  There is a constraint at Kemmerer that is not shown in this example.</w:t>
      </w:r>
    </w:p>
    <w:p w:rsidR="005D4E18" w:rsidRDefault="005D4E18" w:rsidP="00910431">
      <w:pPr>
        <w:pStyle w:val="ListParagraph"/>
        <w:numPr>
          <w:ilvl w:val="0"/>
          <w:numId w:val="43"/>
        </w:numPr>
        <w:spacing w:after="0"/>
      </w:pPr>
      <w:r>
        <w:t>Slide 32</w:t>
      </w:r>
      <w:r w:rsidR="001A4D96">
        <w:t xml:space="preserve"> – </w:t>
      </w:r>
      <w:r w:rsidR="006C493D">
        <w:t>H</w:t>
      </w:r>
      <w:r>
        <w:t>ow the transport example shown looks in Sendout.</w:t>
      </w:r>
    </w:p>
    <w:p w:rsidR="005D4E18" w:rsidRDefault="005D4E18" w:rsidP="00910431">
      <w:pPr>
        <w:pStyle w:val="ListParagraph"/>
        <w:numPr>
          <w:ilvl w:val="0"/>
          <w:numId w:val="43"/>
        </w:numPr>
        <w:spacing w:after="0"/>
      </w:pPr>
      <w:r>
        <w:t xml:space="preserve">Slide 33 </w:t>
      </w:r>
      <w:r w:rsidR="00E345BE">
        <w:t>–</w:t>
      </w:r>
      <w:r>
        <w:t xml:space="preserve"> </w:t>
      </w:r>
      <w:r w:rsidR="006C493D">
        <w:t>E</w:t>
      </w:r>
      <w:r w:rsidR="00E345BE">
        <w:t>xplains how Cascade has more delivery than receipt rights, 457K Dth of delivery, 360K of receipt.  This allows flexibility!  Slide 34, shows an example o</w:t>
      </w:r>
      <w:r w:rsidR="006C493D">
        <w:t>f that flexibility and Slide 35</w:t>
      </w:r>
      <w:r w:rsidR="00E345BE">
        <w:t xml:space="preserve"> shows how it looks when you do not have flexibility.</w:t>
      </w:r>
    </w:p>
    <w:p w:rsidR="001A4D96" w:rsidRDefault="00E345BE" w:rsidP="001A4D96">
      <w:pPr>
        <w:pStyle w:val="ListParagraph"/>
        <w:numPr>
          <w:ilvl w:val="0"/>
          <w:numId w:val="43"/>
        </w:numPr>
        <w:spacing w:after="0"/>
      </w:pPr>
      <w:r>
        <w:lastRenderedPageBreak/>
        <w:t>Slide 36</w:t>
      </w:r>
      <w:r w:rsidR="006C493D">
        <w:t xml:space="preserve"> </w:t>
      </w:r>
      <w:r w:rsidR="001A4D96">
        <w:t>–</w:t>
      </w:r>
      <w:r w:rsidR="006C493D">
        <w:t xml:space="preserve"> </w:t>
      </w:r>
      <w:r w:rsidR="001A4D96">
        <w:t>Brian explains the flexibility of Cascade’s transportation contracts.</w:t>
      </w:r>
      <w:r>
        <w:t xml:space="preserve">  </w:t>
      </w:r>
    </w:p>
    <w:p w:rsidR="001D18D3" w:rsidRDefault="001D18D3" w:rsidP="001A4D96">
      <w:pPr>
        <w:pStyle w:val="ListParagraph"/>
        <w:numPr>
          <w:ilvl w:val="0"/>
          <w:numId w:val="43"/>
        </w:numPr>
        <w:spacing w:after="0"/>
      </w:pPr>
      <w:r>
        <w:t>Slide 42 – shows demand behind the gate.  Brian explained that CNG is trying to get as granular as possible</w:t>
      </w:r>
      <w:r w:rsidR="00DF2353">
        <w:t>.  CNG is now</w:t>
      </w:r>
      <w:r>
        <w:t xml:space="preserve"> forecasting by Rate Schedule. There is a</w:t>
      </w:r>
      <w:r w:rsidR="00DF2353">
        <w:t xml:space="preserve"> DSM by</w:t>
      </w:r>
      <w:r>
        <w:t xml:space="preserve"> gate complication though because some towns are served by different pipelines.</w:t>
      </w:r>
      <w:r w:rsidR="00DF2353">
        <w:t xml:space="preserve"> This year Climate zone was added.</w:t>
      </w:r>
    </w:p>
    <w:p w:rsidR="00DF2353" w:rsidRDefault="00DF2353" w:rsidP="001D18D3">
      <w:pPr>
        <w:pStyle w:val="ListParagraph"/>
        <w:numPr>
          <w:ilvl w:val="0"/>
          <w:numId w:val="43"/>
        </w:numPr>
        <w:spacing w:after="0"/>
      </w:pPr>
      <w:r>
        <w:t xml:space="preserve">Slide 43 </w:t>
      </w:r>
      <w:r w:rsidR="00682C43">
        <w:t>- D</w:t>
      </w:r>
      <w:r>
        <w:t>iscusses how demand is forecasted for NWP and GTN and the associated inputs</w:t>
      </w:r>
      <w:r w:rsidR="00682C43">
        <w:t>.</w:t>
      </w:r>
    </w:p>
    <w:p w:rsidR="00DF2353" w:rsidRDefault="00DF2353" w:rsidP="001D18D3">
      <w:pPr>
        <w:pStyle w:val="ListParagraph"/>
        <w:numPr>
          <w:ilvl w:val="0"/>
          <w:numId w:val="43"/>
        </w:numPr>
        <w:spacing w:after="0"/>
      </w:pPr>
      <w:r>
        <w:t>Slide 44</w:t>
      </w:r>
      <w:r w:rsidR="00682C43">
        <w:t xml:space="preserve"> - Shows a</w:t>
      </w:r>
      <w:r>
        <w:t xml:space="preserve"> demand example using Zone 11</w:t>
      </w:r>
      <w:r w:rsidR="00682C43">
        <w:t>.</w:t>
      </w:r>
    </w:p>
    <w:p w:rsidR="00DF2353" w:rsidRDefault="00DF2353" w:rsidP="001D18D3">
      <w:pPr>
        <w:pStyle w:val="ListParagraph"/>
        <w:numPr>
          <w:ilvl w:val="0"/>
          <w:numId w:val="43"/>
        </w:numPr>
        <w:spacing w:after="0"/>
      </w:pPr>
      <w:r>
        <w:t>Slide 45</w:t>
      </w:r>
      <w:r w:rsidR="00682C43">
        <w:t xml:space="preserve"> - Shows a</w:t>
      </w:r>
      <w:r>
        <w:t xml:space="preserve"> demand example </w:t>
      </w:r>
      <w:r w:rsidR="00682C43">
        <w:t xml:space="preserve">modeled </w:t>
      </w:r>
      <w:r>
        <w:t>in Sendout</w:t>
      </w:r>
      <w:r w:rsidR="00682C43">
        <w:t>.</w:t>
      </w:r>
    </w:p>
    <w:p w:rsidR="00DF2353" w:rsidRDefault="00DF2353" w:rsidP="001D18D3">
      <w:pPr>
        <w:pStyle w:val="ListParagraph"/>
        <w:numPr>
          <w:ilvl w:val="0"/>
          <w:numId w:val="43"/>
        </w:numPr>
        <w:spacing w:after="0"/>
      </w:pPr>
      <w:r>
        <w:t xml:space="preserve">Slide 46 </w:t>
      </w:r>
      <w:r w:rsidR="00682C43">
        <w:t>– D</w:t>
      </w:r>
      <w:r>
        <w:t>iscusses Weather inputs for Sendout.  The Monte Carlo uses mean, standard deviation and max/min.  Historical data used from 1986 – 2015.</w:t>
      </w:r>
    </w:p>
    <w:p w:rsidR="00DF2353" w:rsidRDefault="00DF2353" w:rsidP="001D18D3">
      <w:pPr>
        <w:pStyle w:val="ListParagraph"/>
        <w:numPr>
          <w:ilvl w:val="0"/>
          <w:numId w:val="43"/>
        </w:numPr>
        <w:spacing w:after="0"/>
      </w:pPr>
      <w:r>
        <w:t>Slide 47</w:t>
      </w:r>
      <w:r w:rsidR="001A4D96">
        <w:t xml:space="preserve"> - </w:t>
      </w:r>
      <w:r w:rsidR="00682C43">
        <w:t>S</w:t>
      </w:r>
      <w:r>
        <w:t>hows the weather example using the Monte Carlo</w:t>
      </w:r>
      <w:r w:rsidR="00682C43">
        <w:t xml:space="preserve"> simulation.</w:t>
      </w:r>
    </w:p>
    <w:p w:rsidR="0078671D" w:rsidRDefault="0078671D" w:rsidP="001A4D96">
      <w:pPr>
        <w:spacing w:after="0"/>
      </w:pPr>
    </w:p>
    <w:p w:rsidR="00FF3C74" w:rsidRDefault="00FF3C74" w:rsidP="00FF3C74">
      <w:pPr>
        <w:spacing w:after="0"/>
      </w:pPr>
      <w:r w:rsidRPr="009837CE">
        <w:rPr>
          <w:i/>
        </w:rPr>
        <w:t>Presentation #</w:t>
      </w:r>
      <w:r>
        <w:rPr>
          <w:i/>
        </w:rPr>
        <w:t>3</w:t>
      </w:r>
      <w:r>
        <w:t xml:space="preserve"> – Devin McGreal</w:t>
      </w:r>
    </w:p>
    <w:p w:rsidR="00FF3C74" w:rsidRDefault="00FF3C74" w:rsidP="00FF3C74">
      <w:pPr>
        <w:spacing w:after="0"/>
        <w:rPr>
          <w:b/>
        </w:rPr>
      </w:pPr>
      <w:r>
        <w:rPr>
          <w:b/>
        </w:rPr>
        <w:t>Results/Analysis</w:t>
      </w:r>
    </w:p>
    <w:p w:rsidR="00FF3C74" w:rsidRDefault="00FF3C74" w:rsidP="00DF2353">
      <w:pPr>
        <w:spacing w:after="0"/>
        <w:ind w:left="1440" w:hanging="1440"/>
      </w:pPr>
    </w:p>
    <w:p w:rsidR="0078671D" w:rsidRDefault="00682C43" w:rsidP="00FF3C74">
      <w:pPr>
        <w:pStyle w:val="ListParagraph"/>
        <w:numPr>
          <w:ilvl w:val="0"/>
          <w:numId w:val="43"/>
        </w:numPr>
        <w:spacing w:after="0"/>
      </w:pPr>
      <w:r>
        <w:t>Slide 48 - S</w:t>
      </w:r>
      <w:r w:rsidR="0078671D">
        <w:t>hows the Current Methodology flow chart.</w:t>
      </w:r>
      <w:r w:rsidR="00FF3C74">
        <w:t xml:space="preserve">  All inputs put into Sendout in an “as is case” and Sendout tells where there are deficiencies, using Zone, Citygate, etc. </w:t>
      </w:r>
      <w:r w:rsidR="00BB51E5">
        <w:t>Deficiencies refer to “unserved demand” - see box 4 of flow chart.</w:t>
      </w:r>
    </w:p>
    <w:p w:rsidR="00BB51E5" w:rsidRDefault="00BB51E5" w:rsidP="00BB51E5">
      <w:pPr>
        <w:pStyle w:val="ListParagraph"/>
        <w:numPr>
          <w:ilvl w:val="0"/>
          <w:numId w:val="43"/>
        </w:numPr>
        <w:spacing w:after="0"/>
      </w:pPr>
      <w:r>
        <w:t>When Sendout resolves, not every option is taken.  If solutions not satisfactory, change inputs and test again to try and get the optimal solve for the resource portfolio.</w:t>
      </w:r>
    </w:p>
    <w:p w:rsidR="00BB51E5" w:rsidRDefault="00BB51E5" w:rsidP="00FF3C74">
      <w:pPr>
        <w:pStyle w:val="ListParagraph"/>
        <w:numPr>
          <w:ilvl w:val="0"/>
          <w:numId w:val="43"/>
        </w:numPr>
        <w:spacing w:after="0"/>
      </w:pPr>
      <w:r>
        <w:t>Results as is:</w:t>
      </w:r>
    </w:p>
    <w:p w:rsidR="00BB51E5" w:rsidRDefault="00BB51E5" w:rsidP="00BB51E5">
      <w:pPr>
        <w:pStyle w:val="ListParagraph"/>
        <w:numPr>
          <w:ilvl w:val="1"/>
          <w:numId w:val="43"/>
        </w:numPr>
        <w:spacing w:after="0"/>
      </w:pPr>
      <w:r>
        <w:t>All contracts go through 20 years</w:t>
      </w:r>
    </w:p>
    <w:p w:rsidR="00BB51E5" w:rsidRDefault="00BB51E5" w:rsidP="00BB51E5">
      <w:pPr>
        <w:pStyle w:val="ListParagraph"/>
        <w:numPr>
          <w:ilvl w:val="1"/>
          <w:numId w:val="43"/>
        </w:numPr>
        <w:spacing w:after="0"/>
      </w:pPr>
      <w:r>
        <w:lastRenderedPageBreak/>
        <w:t>Optimal Portfolio to eliminate deficiencies at the lowest cost!</w:t>
      </w:r>
    </w:p>
    <w:p w:rsidR="00BB51E5" w:rsidRDefault="00BB51E5" w:rsidP="00BB51E5">
      <w:pPr>
        <w:pStyle w:val="ListParagraph"/>
        <w:numPr>
          <w:ilvl w:val="1"/>
          <w:numId w:val="43"/>
        </w:numPr>
        <w:spacing w:after="0"/>
      </w:pPr>
      <w:r>
        <w:t>Sendout finds a mix of resources which = “Expected Scenario”</w:t>
      </w:r>
    </w:p>
    <w:p w:rsidR="00BB51E5" w:rsidRDefault="00BB51E5" w:rsidP="00BB51E5">
      <w:pPr>
        <w:pStyle w:val="ListParagraph"/>
        <w:numPr>
          <w:ilvl w:val="0"/>
          <w:numId w:val="43"/>
        </w:numPr>
        <w:spacing w:after="0"/>
      </w:pPr>
      <w:r>
        <w:t>Slide 50</w:t>
      </w:r>
      <w:r>
        <w:tab/>
        <w:t xml:space="preserve"> shows load centers with potential peak day unserved demand from the “As Is Scenario” from 2017 through 2036.</w:t>
      </w:r>
    </w:p>
    <w:p w:rsidR="00BB51E5" w:rsidRDefault="00271240" w:rsidP="00BB51E5">
      <w:pPr>
        <w:pStyle w:val="ListParagraph"/>
        <w:numPr>
          <w:ilvl w:val="0"/>
          <w:numId w:val="43"/>
        </w:numPr>
        <w:spacing w:after="0"/>
      </w:pPr>
      <w:r>
        <w:t>Slide 51 shows the incremental resources recommended by S</w:t>
      </w:r>
      <w:r w:rsidR="00B33A04">
        <w:t>endout to serve demand Ex:  Acquire GTN capacity of 20.472 in 10 years.</w:t>
      </w:r>
    </w:p>
    <w:p w:rsidR="001E7D65" w:rsidRDefault="001E7D65" w:rsidP="00B33A04">
      <w:pPr>
        <w:spacing w:after="0"/>
        <w:ind w:left="1440" w:hanging="1440"/>
      </w:pPr>
    </w:p>
    <w:p w:rsidR="001E7D65" w:rsidRDefault="001E7D65" w:rsidP="00B33A04">
      <w:pPr>
        <w:spacing w:after="0"/>
        <w:ind w:left="1440" w:hanging="1440"/>
      </w:pPr>
      <w:r w:rsidRPr="001E7D65">
        <w:rPr>
          <w:b/>
          <w:highlight w:val="yellow"/>
        </w:rPr>
        <w:t>Question</w:t>
      </w:r>
      <w:r>
        <w:t>:</w:t>
      </w:r>
      <w:r>
        <w:tab/>
        <w:t>Kathy asked about Bend, Wenatchee &amp; Yakima in 2017 on Slide 51, what’s going on there?</w:t>
      </w:r>
    </w:p>
    <w:p w:rsidR="001E7D65" w:rsidRDefault="001E7D65" w:rsidP="00B33A04">
      <w:pPr>
        <w:spacing w:after="0"/>
        <w:ind w:left="1440" w:hanging="1440"/>
      </w:pPr>
      <w:r w:rsidRPr="001E7D65">
        <w:rPr>
          <w:b/>
          <w:highlight w:val="cyan"/>
        </w:rPr>
        <w:t>Answer</w:t>
      </w:r>
      <w:r w:rsidRPr="001E7D65">
        <w:t>:</w:t>
      </w:r>
      <w:r>
        <w:tab/>
      </w:r>
      <w:r w:rsidR="00352E02">
        <w:t>Mark stated that existing capacity within the zone may not be sufficient.  We could get short-term capacity until we get long-term in place.</w:t>
      </w:r>
    </w:p>
    <w:p w:rsidR="001A4D96" w:rsidRDefault="001A4D96" w:rsidP="00B33A04">
      <w:pPr>
        <w:spacing w:after="0"/>
        <w:ind w:left="1440" w:hanging="1440"/>
      </w:pPr>
    </w:p>
    <w:p w:rsidR="00352E02" w:rsidRDefault="00352E02" w:rsidP="00B33A04">
      <w:pPr>
        <w:spacing w:after="0"/>
        <w:ind w:left="1440" w:hanging="1440"/>
      </w:pPr>
      <w:r w:rsidRPr="00352E02">
        <w:rPr>
          <w:b/>
          <w:highlight w:val="yellow"/>
        </w:rPr>
        <w:t>Question</w:t>
      </w:r>
      <w:r w:rsidRPr="00352E02">
        <w:t>:</w:t>
      </w:r>
      <w:r>
        <w:tab/>
        <w:t>David Nightingale asked why DSM (Demand Side Management) was not mentioned here as a resource option?</w:t>
      </w:r>
    </w:p>
    <w:p w:rsidR="00352E02" w:rsidRDefault="00352E02" w:rsidP="00B33A04">
      <w:pPr>
        <w:spacing w:after="0"/>
        <w:ind w:left="1440" w:hanging="1440"/>
      </w:pPr>
      <w:r w:rsidRPr="00352E02">
        <w:rPr>
          <w:b/>
          <w:highlight w:val="cyan"/>
        </w:rPr>
        <w:t>Answer</w:t>
      </w:r>
      <w:r w:rsidRPr="00352E02">
        <w:t>:</w:t>
      </w:r>
      <w:r>
        <w:tab/>
        <w:t xml:space="preserve">Mark explained that DSM is a resource, but it is not in this slide.  It will be in the coming slides.  It </w:t>
      </w:r>
      <w:r w:rsidRPr="00C713D0">
        <w:rPr>
          <w:b/>
        </w:rPr>
        <w:t xml:space="preserve">is </w:t>
      </w:r>
      <w:r>
        <w:t>part of the optimal portfolio solution!</w:t>
      </w:r>
    </w:p>
    <w:p w:rsidR="00352E02" w:rsidRDefault="00352E02" w:rsidP="005C6997">
      <w:pPr>
        <w:pStyle w:val="ListParagraph"/>
        <w:spacing w:after="0"/>
      </w:pPr>
    </w:p>
    <w:p w:rsidR="005C6997" w:rsidRDefault="00352E02" w:rsidP="00CD1295">
      <w:pPr>
        <w:pStyle w:val="ListParagraph"/>
        <w:numPr>
          <w:ilvl w:val="0"/>
          <w:numId w:val="43"/>
        </w:numPr>
        <w:spacing w:after="0"/>
      </w:pPr>
      <w:r>
        <w:t>Slide 52</w:t>
      </w:r>
      <w:r w:rsidR="00C713D0">
        <w:t xml:space="preserve"> - S</w:t>
      </w:r>
      <w:r>
        <w:t>hows detail on the incremental resources selected for Transport, including using Starr Road when needed.</w:t>
      </w:r>
    </w:p>
    <w:p w:rsidR="005C6997" w:rsidRDefault="00C713D0" w:rsidP="00CD1295">
      <w:pPr>
        <w:pStyle w:val="ListParagraph"/>
        <w:numPr>
          <w:ilvl w:val="0"/>
          <w:numId w:val="43"/>
        </w:numPr>
        <w:spacing w:after="0"/>
      </w:pPr>
      <w:r>
        <w:t>Slide 53 - D</w:t>
      </w:r>
      <w:r w:rsidR="005C6997">
        <w:t>iscusses the Yakima Satellite LNG Plant</w:t>
      </w:r>
      <w:r w:rsidR="002D6323">
        <w:t xml:space="preserve"> use.  </w:t>
      </w:r>
      <w:r>
        <w:t>It allows 5,000 per day that to</w:t>
      </w:r>
      <w:r w:rsidR="002D6323">
        <w:t xml:space="preserve"> be used elsewhere.</w:t>
      </w:r>
    </w:p>
    <w:p w:rsidR="002D6323" w:rsidRDefault="002D6323" w:rsidP="002D6323">
      <w:pPr>
        <w:spacing w:after="0"/>
      </w:pPr>
    </w:p>
    <w:p w:rsidR="002D6323" w:rsidRDefault="002D6323" w:rsidP="002D6323">
      <w:pPr>
        <w:spacing w:after="0"/>
      </w:pPr>
      <w:r w:rsidRPr="002D6323">
        <w:rPr>
          <w:b/>
          <w:highlight w:val="yellow"/>
        </w:rPr>
        <w:t>Question</w:t>
      </w:r>
      <w:r>
        <w:t>:</w:t>
      </w:r>
      <w:r>
        <w:tab/>
        <w:t>Kathy Scanlan asked if the Yakima LNG Plant is a “new build”?</w:t>
      </w:r>
    </w:p>
    <w:p w:rsidR="00462AD0" w:rsidRDefault="002D6323" w:rsidP="002D6323">
      <w:pPr>
        <w:spacing w:after="0"/>
        <w:ind w:left="1440" w:hanging="1440"/>
      </w:pPr>
      <w:r w:rsidRPr="002D6323">
        <w:rPr>
          <w:b/>
          <w:highlight w:val="cyan"/>
        </w:rPr>
        <w:t>Answer</w:t>
      </w:r>
      <w:r>
        <w:t>:</w:t>
      </w:r>
      <w:r>
        <w:tab/>
        <w:t>Mark explaine</w:t>
      </w:r>
      <w:r w:rsidR="00C713D0">
        <w:t>d that CNG is working with their</w:t>
      </w:r>
      <w:r>
        <w:t xml:space="preserve"> engineering department to confirm this project.  It is a low cost alternative.  We should know more by spring of next year.  We need a c</w:t>
      </w:r>
      <w:r w:rsidR="00C713D0">
        <w:t>onsultant’s help. I</w:t>
      </w:r>
      <w:r>
        <w:t>t</w:t>
      </w:r>
      <w:r w:rsidR="00C713D0">
        <w:t xml:space="preserve"> is a substantial cost to build but</w:t>
      </w:r>
      <w:r>
        <w:t xml:space="preserve"> the same as the expense of a Yakima lateral expansion.</w:t>
      </w:r>
    </w:p>
    <w:p w:rsidR="00216D04" w:rsidRDefault="00216D04" w:rsidP="002D6323">
      <w:pPr>
        <w:spacing w:after="0"/>
        <w:ind w:left="1440" w:hanging="1440"/>
        <w:rPr>
          <w:b/>
          <w:highlight w:val="yellow"/>
        </w:rPr>
      </w:pPr>
    </w:p>
    <w:p w:rsidR="00462AD0" w:rsidRDefault="00462AD0" w:rsidP="002D6323">
      <w:pPr>
        <w:spacing w:after="0"/>
        <w:ind w:left="1440" w:hanging="1440"/>
      </w:pPr>
      <w:r w:rsidRPr="00A704BD">
        <w:rPr>
          <w:b/>
          <w:highlight w:val="yellow"/>
        </w:rPr>
        <w:t>Question</w:t>
      </w:r>
      <w:r w:rsidRPr="00462AD0">
        <w:t>:</w:t>
      </w:r>
      <w:r>
        <w:tab/>
        <w:t xml:space="preserve">David </w:t>
      </w:r>
      <w:r w:rsidR="003B2EED">
        <w:t xml:space="preserve">Nightingale </w:t>
      </w:r>
      <w:r>
        <w:t xml:space="preserve">then asked for transparency </w:t>
      </w:r>
      <w:r w:rsidR="00A704BD">
        <w:t>regarding the estimated costs.</w:t>
      </w:r>
    </w:p>
    <w:p w:rsidR="00A704BD" w:rsidRDefault="00A704BD" w:rsidP="002D6323">
      <w:pPr>
        <w:spacing w:after="0"/>
        <w:ind w:left="1440" w:hanging="1440"/>
      </w:pPr>
      <w:r w:rsidRPr="00A704BD">
        <w:rPr>
          <w:b/>
          <w:highlight w:val="cyan"/>
        </w:rPr>
        <w:t>Answer</w:t>
      </w:r>
      <w:r w:rsidRPr="00A704BD">
        <w:t>:</w:t>
      </w:r>
      <w:r>
        <w:tab/>
        <w:t>Mark explained that CNG will share that information with the group, but it is not going in the IRP because it is confidential to the public.  We can share cost “ranges” with the public but not specific prices.</w:t>
      </w:r>
    </w:p>
    <w:p w:rsidR="005C6997" w:rsidRDefault="005C6997" w:rsidP="005C6997">
      <w:pPr>
        <w:pStyle w:val="ListParagraph"/>
        <w:spacing w:after="0"/>
      </w:pPr>
    </w:p>
    <w:p w:rsidR="003B2EED" w:rsidRDefault="003B2EED" w:rsidP="003B2EED">
      <w:pPr>
        <w:pStyle w:val="ListParagraph"/>
        <w:numPr>
          <w:ilvl w:val="0"/>
          <w:numId w:val="43"/>
        </w:numPr>
        <w:spacing w:after="0"/>
      </w:pPr>
      <w:r>
        <w:t>Slide 54</w:t>
      </w:r>
      <w:r w:rsidR="00C713D0">
        <w:t xml:space="preserve"> - S</w:t>
      </w:r>
      <w:r>
        <w:t>hows the resource “stack” impact</w:t>
      </w:r>
    </w:p>
    <w:p w:rsidR="003B2EED" w:rsidRDefault="003B2EED" w:rsidP="003B2EED">
      <w:pPr>
        <w:pStyle w:val="ListParagraph"/>
        <w:numPr>
          <w:ilvl w:val="0"/>
          <w:numId w:val="43"/>
        </w:numPr>
        <w:spacing w:after="0"/>
      </w:pPr>
      <w:r>
        <w:lastRenderedPageBreak/>
        <w:t>The gray and yellow bars show c</w:t>
      </w:r>
      <w:r w:rsidR="00C713D0">
        <w:t>urrent contracts, the b</w:t>
      </w:r>
      <w:r>
        <w:t>rown shows the “solve” for 2017, 18 &amp; 19</w:t>
      </w:r>
      <w:r w:rsidR="00C713D0">
        <w:t>.</w:t>
      </w:r>
    </w:p>
    <w:p w:rsidR="003B2EED" w:rsidRDefault="003B2EED" w:rsidP="003B2EED">
      <w:pPr>
        <w:pStyle w:val="ListParagraph"/>
        <w:numPr>
          <w:ilvl w:val="0"/>
          <w:numId w:val="43"/>
        </w:numPr>
        <w:spacing w:after="0"/>
      </w:pPr>
      <w:r>
        <w:t xml:space="preserve">Slide 55 </w:t>
      </w:r>
      <w:r w:rsidR="00C713D0">
        <w:t xml:space="preserve">- </w:t>
      </w:r>
      <w:r>
        <w:t>shows the expected scenario where the unserved demand is satisfie</w:t>
      </w:r>
      <w:r w:rsidR="00C713D0">
        <w:t>d until 2036 through stochastic &amp;</w:t>
      </w:r>
      <w:r>
        <w:t xml:space="preserve"> deterministic analysis, assuming average weather.  </w:t>
      </w:r>
    </w:p>
    <w:p w:rsidR="003B2EED" w:rsidRDefault="003B2EED" w:rsidP="003B2EED">
      <w:pPr>
        <w:spacing w:after="0"/>
      </w:pPr>
    </w:p>
    <w:p w:rsidR="003B2EED" w:rsidRDefault="003B2EED" w:rsidP="003B2EED">
      <w:pPr>
        <w:spacing w:after="0"/>
        <w:ind w:left="1440" w:hanging="1440"/>
      </w:pPr>
      <w:r w:rsidRPr="003B2EED">
        <w:rPr>
          <w:b/>
          <w:highlight w:val="yellow"/>
        </w:rPr>
        <w:t>Question</w:t>
      </w:r>
      <w:r>
        <w:t>:</w:t>
      </w:r>
      <w:r>
        <w:tab/>
        <w:t>David Nightingale stated that Devin used the expression Expected Case/Expected Scenario synonymously, are they the same?</w:t>
      </w:r>
    </w:p>
    <w:p w:rsidR="00D60165" w:rsidRDefault="003B2EED" w:rsidP="003B2EED">
      <w:pPr>
        <w:spacing w:after="0"/>
        <w:ind w:left="1440" w:hanging="1440"/>
      </w:pPr>
      <w:r w:rsidRPr="003B2EED">
        <w:rPr>
          <w:b/>
          <w:highlight w:val="cyan"/>
        </w:rPr>
        <w:t>Answer</w:t>
      </w:r>
      <w:r w:rsidRPr="003B2EED">
        <w:t>:</w:t>
      </w:r>
      <w:r>
        <w:tab/>
        <w:t xml:space="preserve">Devin said: </w:t>
      </w:r>
    </w:p>
    <w:p w:rsidR="00D60165" w:rsidRDefault="003B2EED" w:rsidP="00D60165">
      <w:pPr>
        <w:spacing w:after="0"/>
        <w:ind w:left="1440" w:firstLine="720"/>
      </w:pPr>
      <w:r w:rsidRPr="003B2EED">
        <w:rPr>
          <w:b/>
          <w:i/>
        </w:rPr>
        <w:t>Expected Case</w:t>
      </w:r>
      <w:r>
        <w:t xml:space="preserve"> = the Portfolio we are suing, </w:t>
      </w:r>
    </w:p>
    <w:p w:rsidR="00D60165" w:rsidRDefault="003B2EED" w:rsidP="00D60165">
      <w:pPr>
        <w:spacing w:after="0"/>
        <w:ind w:left="1440" w:firstLine="720"/>
      </w:pPr>
      <w:r w:rsidRPr="003B2EED">
        <w:rPr>
          <w:b/>
          <w:i/>
        </w:rPr>
        <w:t>Expected Scenario</w:t>
      </w:r>
      <w:r>
        <w:t xml:space="preserve"> = shows the range of</w:t>
      </w:r>
      <w:r w:rsidR="00D60165">
        <w:t xml:space="preserve"> conditions in the Portfolio</w:t>
      </w:r>
    </w:p>
    <w:p w:rsidR="003B2EED" w:rsidRDefault="00D60165" w:rsidP="00D60165">
      <w:pPr>
        <w:spacing w:after="0"/>
        <w:ind w:left="1440" w:firstLine="720"/>
      </w:pPr>
      <w:r>
        <w:rPr>
          <w:b/>
          <w:i/>
        </w:rPr>
        <w:t>**</w:t>
      </w:r>
      <w:r w:rsidR="003B2EED">
        <w:t xml:space="preserve"> NO they are not the same.</w:t>
      </w:r>
    </w:p>
    <w:p w:rsidR="003B2EED" w:rsidRDefault="003B2EED" w:rsidP="003B2EED">
      <w:pPr>
        <w:spacing w:after="0"/>
        <w:ind w:left="1440" w:hanging="1440"/>
      </w:pPr>
    </w:p>
    <w:p w:rsidR="003B2EED" w:rsidRDefault="00D60165" w:rsidP="003B2EED">
      <w:pPr>
        <w:pStyle w:val="ListParagraph"/>
        <w:numPr>
          <w:ilvl w:val="0"/>
          <w:numId w:val="43"/>
        </w:numPr>
        <w:spacing w:after="0"/>
      </w:pPr>
      <w:r>
        <w:t>Concluding with</w:t>
      </w:r>
      <w:r w:rsidR="003B2EED">
        <w:t xml:space="preserve"> Slide 56</w:t>
      </w:r>
      <w:r>
        <w:t xml:space="preserve"> - Shows the deficiency</w:t>
      </w:r>
      <w:r w:rsidR="003B2EED">
        <w:t xml:space="preserve"> details</w:t>
      </w:r>
      <w:r>
        <w:t xml:space="preserve"> of</w:t>
      </w:r>
      <w:r w:rsidR="00216D04">
        <w:t xml:space="preserve"> the “solve”</w:t>
      </w:r>
      <w:r w:rsidR="003B2EED">
        <w:t xml:space="preserve"> recommended by Sendout</w:t>
      </w:r>
      <w:r>
        <w:t>.</w:t>
      </w:r>
    </w:p>
    <w:p w:rsidR="003B2EED" w:rsidRDefault="003B2EED" w:rsidP="003B2EED">
      <w:pPr>
        <w:spacing w:after="0"/>
      </w:pPr>
    </w:p>
    <w:p w:rsidR="003B2EED" w:rsidRDefault="003B2EED" w:rsidP="003B2EED">
      <w:pPr>
        <w:spacing w:after="0"/>
      </w:pPr>
      <w:r w:rsidRPr="00DB3C3D">
        <w:rPr>
          <w:b/>
          <w:highlight w:val="yellow"/>
        </w:rPr>
        <w:t>Question:</w:t>
      </w:r>
      <w:r>
        <w:tab/>
        <w:t xml:space="preserve">Kathi Scanlan asked if the deficiencies in 2017 are the “As Is” </w:t>
      </w:r>
      <w:r w:rsidR="00D60165">
        <w:t>case.</w:t>
      </w:r>
    </w:p>
    <w:p w:rsidR="003B2EED" w:rsidRDefault="003B2EED" w:rsidP="003B2EED">
      <w:pPr>
        <w:spacing w:after="0"/>
        <w:ind w:left="1440" w:hanging="1440"/>
      </w:pPr>
      <w:r w:rsidRPr="00E16FBD">
        <w:rPr>
          <w:b/>
          <w:highlight w:val="cyan"/>
        </w:rPr>
        <w:t>Answer</w:t>
      </w:r>
      <w:r>
        <w:t>:</w:t>
      </w:r>
      <w:r>
        <w:tab/>
        <w:t>Mark a</w:t>
      </w:r>
      <w:r w:rsidR="00D60165">
        <w:t>nswered “Yes”.  Each time we</w:t>
      </w:r>
      <w:r>
        <w:t xml:space="preserve"> there is a s</w:t>
      </w:r>
      <w:r w:rsidR="002A2D97">
        <w:t>hortfall or deficiency we will</w:t>
      </w:r>
      <w:r>
        <w:t xml:space="preserve"> label which case it is.</w:t>
      </w:r>
    </w:p>
    <w:p w:rsidR="002A2D97" w:rsidRDefault="002A2D97" w:rsidP="003B2EED">
      <w:pPr>
        <w:spacing w:after="0"/>
        <w:ind w:left="1440" w:hanging="1440"/>
      </w:pPr>
    </w:p>
    <w:p w:rsidR="002A2D97" w:rsidRDefault="002A2D97" w:rsidP="003F68DD">
      <w:pPr>
        <w:spacing w:after="0"/>
      </w:pPr>
      <w:r w:rsidRPr="00E16FBD">
        <w:rPr>
          <w:b/>
          <w:highlight w:val="yellow"/>
        </w:rPr>
        <w:t>Question</w:t>
      </w:r>
      <w:r>
        <w:t>:</w:t>
      </w:r>
      <w:r>
        <w:tab/>
        <w:t>Kathi Scanlan asked if the IRP group can provide a table of quantities for Slide 54, DSM quantities.</w:t>
      </w:r>
    </w:p>
    <w:p w:rsidR="002A2D97" w:rsidRDefault="002A2D97" w:rsidP="003B2EED">
      <w:pPr>
        <w:spacing w:after="0"/>
        <w:ind w:left="1440" w:hanging="1440"/>
      </w:pPr>
      <w:r w:rsidRPr="00E16FBD">
        <w:rPr>
          <w:b/>
          <w:highlight w:val="cyan"/>
        </w:rPr>
        <w:t>Answer</w:t>
      </w:r>
      <w:r>
        <w:t>:</w:t>
      </w:r>
      <w:r>
        <w:tab/>
        <w:t>Devin said “Absolutely”.</w:t>
      </w:r>
    </w:p>
    <w:p w:rsidR="002A2D97" w:rsidRDefault="002A2D97" w:rsidP="003B2EED">
      <w:pPr>
        <w:spacing w:after="0"/>
        <w:ind w:left="1440" w:hanging="1440"/>
      </w:pPr>
    </w:p>
    <w:p w:rsidR="002A2D97" w:rsidRDefault="002A2D97" w:rsidP="003B2EED">
      <w:pPr>
        <w:spacing w:after="0"/>
        <w:ind w:left="1440" w:hanging="1440"/>
      </w:pPr>
      <w:r w:rsidRPr="00E16FBD">
        <w:rPr>
          <w:b/>
          <w:highlight w:val="yellow"/>
        </w:rPr>
        <w:t>Question</w:t>
      </w:r>
      <w:r>
        <w:t>:</w:t>
      </w:r>
      <w:r>
        <w:tab/>
        <w:t>David Night</w:t>
      </w:r>
      <w:r w:rsidR="00DB3C3D">
        <w:t>ingale asked how long it takes to run Sendout?</w:t>
      </w:r>
    </w:p>
    <w:p w:rsidR="00DB3C3D" w:rsidRDefault="00DB3C3D" w:rsidP="003B2EED">
      <w:pPr>
        <w:spacing w:after="0"/>
        <w:ind w:left="1440" w:hanging="1440"/>
      </w:pPr>
      <w:r w:rsidRPr="00E16FBD">
        <w:rPr>
          <w:b/>
          <w:highlight w:val="cyan"/>
        </w:rPr>
        <w:t>Answer</w:t>
      </w:r>
      <w:r>
        <w:t>:</w:t>
      </w:r>
      <w:r>
        <w:tab/>
        <w:t>Mark stated that a “deterministic run” takes 10 minutes.  A run of Monte Carlo takes 10 hours.</w:t>
      </w:r>
    </w:p>
    <w:p w:rsidR="00075CB3" w:rsidRDefault="00075CB3" w:rsidP="003B2EED">
      <w:pPr>
        <w:spacing w:after="0"/>
        <w:ind w:left="1440" w:hanging="1440"/>
      </w:pPr>
    </w:p>
    <w:p w:rsidR="00075CB3" w:rsidRDefault="00075CB3" w:rsidP="003B2EED">
      <w:pPr>
        <w:spacing w:after="0"/>
        <w:ind w:left="1440" w:hanging="1440"/>
      </w:pPr>
      <w:r w:rsidRPr="00D60165">
        <w:rPr>
          <w:b/>
          <w:highlight w:val="yellow"/>
        </w:rPr>
        <w:t>Question</w:t>
      </w:r>
      <w:r>
        <w:t>:</w:t>
      </w:r>
      <w:r>
        <w:tab/>
        <w:t>Kathy Scanlan asked for a spreadsheet list of inputs for</w:t>
      </w:r>
      <w:r w:rsidR="003F68DD">
        <w:t xml:space="preserve"> a</w:t>
      </w:r>
      <w:r>
        <w:t xml:space="preserve"> deterministic run of the model.</w:t>
      </w:r>
    </w:p>
    <w:p w:rsidR="00075CB3" w:rsidRDefault="00075CB3" w:rsidP="003B2EED">
      <w:pPr>
        <w:spacing w:after="0"/>
        <w:ind w:left="1440" w:hanging="1440"/>
      </w:pPr>
      <w:r w:rsidRPr="00D60165">
        <w:rPr>
          <w:b/>
          <w:highlight w:val="cyan"/>
        </w:rPr>
        <w:t>Answer</w:t>
      </w:r>
      <w:r>
        <w:t>:</w:t>
      </w:r>
      <w:r>
        <w:tab/>
        <w:t>Devin said that the group is going to go through all the screens on Monday.</w:t>
      </w:r>
    </w:p>
    <w:p w:rsidR="00075CB3" w:rsidRDefault="00075CB3" w:rsidP="003B2EED">
      <w:pPr>
        <w:spacing w:after="0"/>
        <w:ind w:left="1440" w:hanging="1440"/>
      </w:pPr>
    </w:p>
    <w:p w:rsidR="003F68DD" w:rsidRDefault="00075CB3" w:rsidP="00216D04">
      <w:pPr>
        <w:spacing w:after="0"/>
        <w:ind w:left="1440" w:hanging="1440"/>
      </w:pPr>
      <w:r w:rsidRPr="00D60165">
        <w:rPr>
          <w:b/>
          <w:highlight w:val="yellow"/>
        </w:rPr>
        <w:t>Question</w:t>
      </w:r>
      <w:r>
        <w:t>:</w:t>
      </w:r>
      <w:r>
        <w:tab/>
        <w:t xml:space="preserve">David </w:t>
      </w:r>
      <w:r w:rsidR="003F68DD">
        <w:t>Nightingale</w:t>
      </w:r>
      <w:r>
        <w:t xml:space="preserve"> sai</w:t>
      </w:r>
      <w:r w:rsidR="003F68DD">
        <w:t xml:space="preserve">d he wants a list of the inputs.  </w:t>
      </w:r>
    </w:p>
    <w:p w:rsidR="003F68DD" w:rsidRDefault="003F68DD" w:rsidP="003B2EED">
      <w:pPr>
        <w:spacing w:after="0"/>
        <w:ind w:left="1440" w:hanging="1440"/>
      </w:pPr>
      <w:r w:rsidRPr="00D60165">
        <w:rPr>
          <w:b/>
          <w:highlight w:val="cyan"/>
        </w:rPr>
        <w:t>Answer</w:t>
      </w:r>
      <w:r>
        <w:t>:</w:t>
      </w:r>
      <w:r>
        <w:tab/>
      </w:r>
      <w:r w:rsidR="00216D04">
        <w:t>Brian Robertson state</w:t>
      </w:r>
      <w:r>
        <w:t>d that there are 70 to 80 transport contract inputs and asks if examples of those are OK?  Mark stated that Monday the group will walk Staff through live Sendout scenarios and do a deterministic run and discuss the output.</w:t>
      </w:r>
    </w:p>
    <w:p w:rsidR="003F68DD" w:rsidRDefault="003F68DD" w:rsidP="003B2EED">
      <w:pPr>
        <w:spacing w:after="0"/>
        <w:ind w:left="1440" w:hanging="1440"/>
      </w:pPr>
    </w:p>
    <w:p w:rsidR="003F68DD" w:rsidRDefault="003F68DD" w:rsidP="003B2EED">
      <w:pPr>
        <w:spacing w:after="0"/>
        <w:ind w:left="1440" w:hanging="1440"/>
      </w:pPr>
      <w:r w:rsidRPr="00D60165">
        <w:rPr>
          <w:b/>
          <w:highlight w:val="yellow"/>
        </w:rPr>
        <w:t>Question</w:t>
      </w:r>
      <w:r>
        <w:t>:</w:t>
      </w:r>
      <w:r>
        <w:tab/>
        <w:t xml:space="preserve">Kathi Scanlan asked if they could get the price ranges discussed </w:t>
      </w:r>
      <w:r w:rsidR="002D1FF6">
        <w:t>earlier.</w:t>
      </w:r>
    </w:p>
    <w:p w:rsidR="003F68DD" w:rsidRDefault="003F68DD" w:rsidP="003B2EED">
      <w:pPr>
        <w:spacing w:after="0"/>
        <w:ind w:left="1440" w:hanging="1440"/>
      </w:pPr>
      <w:r w:rsidRPr="00D60165">
        <w:rPr>
          <w:b/>
          <w:highlight w:val="cyan"/>
        </w:rPr>
        <w:t>Answer</w:t>
      </w:r>
      <w:r>
        <w:t>:</w:t>
      </w:r>
      <w:r>
        <w:tab/>
        <w:t xml:space="preserve">Mark said </w:t>
      </w:r>
      <w:r w:rsidR="002D1FF6">
        <w:t>“</w:t>
      </w:r>
      <w:r>
        <w:t>Yes!</w:t>
      </w:r>
      <w:r w:rsidR="002D1FF6">
        <w:t>”</w:t>
      </w:r>
      <w:r w:rsidR="002D1FF6">
        <w:tab/>
      </w:r>
    </w:p>
    <w:p w:rsidR="003F68DD" w:rsidRDefault="003F68DD" w:rsidP="003B2EED">
      <w:pPr>
        <w:spacing w:after="0"/>
        <w:ind w:left="1440" w:hanging="1440"/>
      </w:pPr>
    </w:p>
    <w:p w:rsidR="003F68DD" w:rsidRDefault="003F68DD" w:rsidP="003F68DD">
      <w:pPr>
        <w:spacing w:after="0"/>
      </w:pPr>
      <w:r>
        <w:lastRenderedPageBreak/>
        <w:t>Garrett gave thanks to the group and said it was helpful information today and he looks forward to Monday’s presentation.</w:t>
      </w:r>
    </w:p>
    <w:p w:rsidR="003F68DD" w:rsidRDefault="003F68DD" w:rsidP="003B2EED">
      <w:pPr>
        <w:spacing w:after="0"/>
        <w:ind w:left="1440" w:hanging="1440"/>
      </w:pPr>
    </w:p>
    <w:p w:rsidR="003F68DD" w:rsidRDefault="003F68DD" w:rsidP="003B2EED">
      <w:pPr>
        <w:spacing w:after="0"/>
        <w:ind w:left="1440" w:hanging="1440"/>
      </w:pPr>
      <w:r>
        <w:t>Bruce Folsom pointed out some numbers involved in the compilation of the data for the IRP as follows:</w:t>
      </w:r>
    </w:p>
    <w:p w:rsidR="003F68DD" w:rsidRDefault="003F68DD" w:rsidP="003F68DD">
      <w:pPr>
        <w:pStyle w:val="ListParagraph"/>
        <w:numPr>
          <w:ilvl w:val="0"/>
          <w:numId w:val="43"/>
        </w:numPr>
        <w:spacing w:after="0"/>
      </w:pPr>
      <w:r>
        <w:t>27 People with eyes on the IRP</w:t>
      </w:r>
    </w:p>
    <w:p w:rsidR="003F68DD" w:rsidRDefault="003F68DD" w:rsidP="003F68DD">
      <w:pPr>
        <w:pStyle w:val="ListParagraph"/>
        <w:numPr>
          <w:ilvl w:val="0"/>
          <w:numId w:val="43"/>
        </w:numPr>
        <w:spacing w:after="0"/>
      </w:pPr>
      <w:r>
        <w:t>14 Writers involved</w:t>
      </w:r>
    </w:p>
    <w:p w:rsidR="003F68DD" w:rsidRDefault="003F68DD" w:rsidP="003F68DD">
      <w:pPr>
        <w:pStyle w:val="ListParagraph"/>
        <w:numPr>
          <w:ilvl w:val="0"/>
          <w:numId w:val="43"/>
        </w:numPr>
        <w:spacing w:after="0"/>
      </w:pPr>
      <w:r>
        <w:t>7 Departments involved</w:t>
      </w:r>
    </w:p>
    <w:p w:rsidR="003F68DD" w:rsidRDefault="003F68DD" w:rsidP="003F68DD">
      <w:pPr>
        <w:spacing w:after="0"/>
      </w:pPr>
    </w:p>
    <w:p w:rsidR="003F68DD" w:rsidRDefault="003F68DD" w:rsidP="003F68DD">
      <w:pPr>
        <w:spacing w:after="0"/>
      </w:pPr>
      <w:r>
        <w:t>This is a LOT of work going on!  Bruce thanks CNG leadership for allocating the reso</w:t>
      </w:r>
      <w:r w:rsidR="00D60165">
        <w:t>urces necessary to this project!</w:t>
      </w:r>
    </w:p>
    <w:p w:rsidR="003F68DD" w:rsidRDefault="003F68DD" w:rsidP="003F68DD">
      <w:pPr>
        <w:spacing w:after="0"/>
      </w:pPr>
    </w:p>
    <w:p w:rsidR="0073379F" w:rsidRPr="001A4D96" w:rsidRDefault="003F68DD" w:rsidP="001A4D96">
      <w:pPr>
        <w:spacing w:after="0"/>
      </w:pPr>
      <w:r>
        <w:t>Mark thanked everyone for attending and will see Staff on Monday!</w:t>
      </w:r>
    </w:p>
    <w:sectPr w:rsidR="0073379F" w:rsidRPr="001A4D96" w:rsidSect="00FE20A2">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335" w:rsidRDefault="00363335" w:rsidP="000E7F43">
      <w:pPr>
        <w:spacing w:after="0"/>
      </w:pPr>
      <w:r>
        <w:separator/>
      </w:r>
    </w:p>
  </w:endnote>
  <w:endnote w:type="continuationSeparator" w:id="0">
    <w:p w:rsidR="00363335" w:rsidRDefault="00363335" w:rsidP="000E7F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altName w:val="Segoe U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27944"/>
      <w:docPartObj>
        <w:docPartGallery w:val="Page Numbers (Bottom of Page)"/>
        <w:docPartUnique/>
      </w:docPartObj>
    </w:sdtPr>
    <w:sdtEndPr/>
    <w:sdtContent>
      <w:sdt>
        <w:sdtPr>
          <w:id w:val="-1669238322"/>
          <w:docPartObj>
            <w:docPartGallery w:val="Page Numbers (Top of Page)"/>
            <w:docPartUnique/>
          </w:docPartObj>
        </w:sdtPr>
        <w:sdtEndPr/>
        <w:sdtContent>
          <w:p w:rsidR="003C5B9D" w:rsidRDefault="003C5B9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16D04">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16D04">
              <w:rPr>
                <w:b/>
                <w:bCs/>
                <w:noProof/>
              </w:rPr>
              <w:t>4</w:t>
            </w:r>
            <w:r>
              <w:rPr>
                <w:b/>
                <w:bCs/>
                <w:sz w:val="24"/>
                <w:szCs w:val="24"/>
              </w:rPr>
              <w:fldChar w:fldCharType="end"/>
            </w:r>
          </w:p>
        </w:sdtContent>
      </w:sdt>
    </w:sdtContent>
  </w:sdt>
  <w:p w:rsidR="003C5B9D" w:rsidRDefault="003C5B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335" w:rsidRDefault="00363335" w:rsidP="000E7F43">
      <w:pPr>
        <w:spacing w:after="0"/>
      </w:pPr>
      <w:r>
        <w:separator/>
      </w:r>
    </w:p>
  </w:footnote>
  <w:footnote w:type="continuationSeparator" w:id="0">
    <w:p w:rsidR="00363335" w:rsidRDefault="00363335" w:rsidP="000E7F4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0684"/>
    <w:multiLevelType w:val="hybridMultilevel"/>
    <w:tmpl w:val="3C482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35645C"/>
    <w:multiLevelType w:val="hybridMultilevel"/>
    <w:tmpl w:val="DC542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15A0D"/>
    <w:multiLevelType w:val="hybridMultilevel"/>
    <w:tmpl w:val="7C1EF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540F7"/>
    <w:multiLevelType w:val="hybridMultilevel"/>
    <w:tmpl w:val="69B60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C3DA1"/>
    <w:multiLevelType w:val="hybridMultilevel"/>
    <w:tmpl w:val="EF009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76FB9"/>
    <w:multiLevelType w:val="hybridMultilevel"/>
    <w:tmpl w:val="0F801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9482D"/>
    <w:multiLevelType w:val="hybridMultilevel"/>
    <w:tmpl w:val="71CC3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14246"/>
    <w:multiLevelType w:val="hybridMultilevel"/>
    <w:tmpl w:val="EECE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15BF0"/>
    <w:multiLevelType w:val="hybridMultilevel"/>
    <w:tmpl w:val="95BA7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1F380D"/>
    <w:multiLevelType w:val="hybridMultilevel"/>
    <w:tmpl w:val="CAF80E9A"/>
    <w:lvl w:ilvl="0" w:tplc="627A80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E72628"/>
    <w:multiLevelType w:val="hybridMultilevel"/>
    <w:tmpl w:val="20EE9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85203"/>
    <w:multiLevelType w:val="hybridMultilevel"/>
    <w:tmpl w:val="7F64B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438E8"/>
    <w:multiLevelType w:val="hybridMultilevel"/>
    <w:tmpl w:val="5A365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B15F1"/>
    <w:multiLevelType w:val="hybridMultilevel"/>
    <w:tmpl w:val="90D84E1E"/>
    <w:lvl w:ilvl="0" w:tplc="F2101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1476B5"/>
    <w:multiLevelType w:val="hybridMultilevel"/>
    <w:tmpl w:val="0FBCE3D0"/>
    <w:lvl w:ilvl="0" w:tplc="CD328F1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787CB1"/>
    <w:multiLevelType w:val="hybridMultilevel"/>
    <w:tmpl w:val="95A0B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7B60A9"/>
    <w:multiLevelType w:val="hybridMultilevel"/>
    <w:tmpl w:val="72E8A5CC"/>
    <w:lvl w:ilvl="0" w:tplc="223243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E941071"/>
    <w:multiLevelType w:val="hybridMultilevel"/>
    <w:tmpl w:val="D9CE5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D13C4E"/>
    <w:multiLevelType w:val="hybridMultilevel"/>
    <w:tmpl w:val="571AE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F61C8"/>
    <w:multiLevelType w:val="hybridMultilevel"/>
    <w:tmpl w:val="9C54D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53C2D"/>
    <w:multiLevelType w:val="hybridMultilevel"/>
    <w:tmpl w:val="A916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5B4EBA"/>
    <w:multiLevelType w:val="hybridMultilevel"/>
    <w:tmpl w:val="5A049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C673D"/>
    <w:multiLevelType w:val="hybridMultilevel"/>
    <w:tmpl w:val="6414E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FE51E4"/>
    <w:multiLevelType w:val="hybridMultilevel"/>
    <w:tmpl w:val="CA38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74A41"/>
    <w:multiLevelType w:val="hybridMultilevel"/>
    <w:tmpl w:val="B03E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06C85"/>
    <w:multiLevelType w:val="hybridMultilevel"/>
    <w:tmpl w:val="2632C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FF5154"/>
    <w:multiLevelType w:val="hybridMultilevel"/>
    <w:tmpl w:val="A75CE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3A7930"/>
    <w:multiLevelType w:val="hybridMultilevel"/>
    <w:tmpl w:val="BFB29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DF0DEE"/>
    <w:multiLevelType w:val="hybridMultilevel"/>
    <w:tmpl w:val="79AE6D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6953D3"/>
    <w:multiLevelType w:val="hybridMultilevel"/>
    <w:tmpl w:val="7A3E1CDC"/>
    <w:lvl w:ilvl="0" w:tplc="756E5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9975D0"/>
    <w:multiLevelType w:val="hybridMultilevel"/>
    <w:tmpl w:val="83F4A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35CD8"/>
    <w:multiLevelType w:val="hybridMultilevel"/>
    <w:tmpl w:val="36466E1C"/>
    <w:lvl w:ilvl="0" w:tplc="4F282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3521F9"/>
    <w:multiLevelType w:val="hybridMultilevel"/>
    <w:tmpl w:val="C966D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8B5850"/>
    <w:multiLevelType w:val="hybridMultilevel"/>
    <w:tmpl w:val="0D6C2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2816A9"/>
    <w:multiLevelType w:val="hybridMultilevel"/>
    <w:tmpl w:val="1C764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DB5BC3"/>
    <w:multiLevelType w:val="hybridMultilevel"/>
    <w:tmpl w:val="3A94A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130B16"/>
    <w:multiLevelType w:val="hybridMultilevel"/>
    <w:tmpl w:val="3BD84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BE3775"/>
    <w:multiLevelType w:val="hybridMultilevel"/>
    <w:tmpl w:val="6E681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BC545C"/>
    <w:multiLevelType w:val="hybridMultilevel"/>
    <w:tmpl w:val="395AA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5D0500"/>
    <w:multiLevelType w:val="hybridMultilevel"/>
    <w:tmpl w:val="D4FC86AC"/>
    <w:lvl w:ilvl="0" w:tplc="07EE86C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A9B5D66"/>
    <w:multiLevelType w:val="hybridMultilevel"/>
    <w:tmpl w:val="D4C2B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3E694C"/>
    <w:multiLevelType w:val="hybridMultilevel"/>
    <w:tmpl w:val="B8B0C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F024460"/>
    <w:multiLevelType w:val="hybridMultilevel"/>
    <w:tmpl w:val="DFCC4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7"/>
  </w:num>
  <w:num w:numId="3">
    <w:abstractNumId w:val="1"/>
  </w:num>
  <w:num w:numId="4">
    <w:abstractNumId w:val="30"/>
  </w:num>
  <w:num w:numId="5">
    <w:abstractNumId w:val="31"/>
  </w:num>
  <w:num w:numId="6">
    <w:abstractNumId w:val="3"/>
  </w:num>
  <w:num w:numId="7">
    <w:abstractNumId w:val="42"/>
  </w:num>
  <w:num w:numId="8">
    <w:abstractNumId w:val="19"/>
  </w:num>
  <w:num w:numId="9">
    <w:abstractNumId w:val="29"/>
  </w:num>
  <w:num w:numId="10">
    <w:abstractNumId w:val="16"/>
  </w:num>
  <w:num w:numId="11">
    <w:abstractNumId w:val="39"/>
  </w:num>
  <w:num w:numId="12">
    <w:abstractNumId w:val="11"/>
  </w:num>
  <w:num w:numId="13">
    <w:abstractNumId w:val="13"/>
  </w:num>
  <w:num w:numId="14">
    <w:abstractNumId w:val="9"/>
  </w:num>
  <w:num w:numId="15">
    <w:abstractNumId w:val="36"/>
  </w:num>
  <w:num w:numId="16">
    <w:abstractNumId w:val="14"/>
  </w:num>
  <w:num w:numId="17">
    <w:abstractNumId w:val="25"/>
  </w:num>
  <w:num w:numId="18">
    <w:abstractNumId w:val="17"/>
  </w:num>
  <w:num w:numId="19">
    <w:abstractNumId w:val="22"/>
  </w:num>
  <w:num w:numId="20">
    <w:abstractNumId w:val="23"/>
  </w:num>
  <w:num w:numId="21">
    <w:abstractNumId w:val="41"/>
  </w:num>
  <w:num w:numId="22">
    <w:abstractNumId w:val="15"/>
  </w:num>
  <w:num w:numId="23">
    <w:abstractNumId w:val="20"/>
  </w:num>
  <w:num w:numId="24">
    <w:abstractNumId w:val="26"/>
  </w:num>
  <w:num w:numId="25">
    <w:abstractNumId w:val="4"/>
  </w:num>
  <w:num w:numId="26">
    <w:abstractNumId w:val="7"/>
  </w:num>
  <w:num w:numId="27">
    <w:abstractNumId w:val="33"/>
  </w:num>
  <w:num w:numId="28">
    <w:abstractNumId w:val="0"/>
  </w:num>
  <w:num w:numId="29">
    <w:abstractNumId w:val="28"/>
  </w:num>
  <w:num w:numId="30">
    <w:abstractNumId w:val="32"/>
  </w:num>
  <w:num w:numId="31">
    <w:abstractNumId w:val="40"/>
  </w:num>
  <w:num w:numId="32">
    <w:abstractNumId w:val="12"/>
  </w:num>
  <w:num w:numId="33">
    <w:abstractNumId w:val="18"/>
  </w:num>
  <w:num w:numId="34">
    <w:abstractNumId w:val="24"/>
  </w:num>
  <w:num w:numId="35">
    <w:abstractNumId w:val="10"/>
  </w:num>
  <w:num w:numId="36">
    <w:abstractNumId w:val="34"/>
  </w:num>
  <w:num w:numId="37">
    <w:abstractNumId w:val="6"/>
  </w:num>
  <w:num w:numId="38">
    <w:abstractNumId w:val="8"/>
  </w:num>
  <w:num w:numId="39">
    <w:abstractNumId w:val="37"/>
  </w:num>
  <w:num w:numId="40">
    <w:abstractNumId w:val="5"/>
  </w:num>
  <w:num w:numId="41">
    <w:abstractNumId w:val="35"/>
  </w:num>
  <w:num w:numId="42">
    <w:abstractNumId w:val="38"/>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69E"/>
    <w:rsid w:val="000021FD"/>
    <w:rsid w:val="00007FFD"/>
    <w:rsid w:val="0001330E"/>
    <w:rsid w:val="00017E6E"/>
    <w:rsid w:val="000244B2"/>
    <w:rsid w:val="000246B5"/>
    <w:rsid w:val="00036177"/>
    <w:rsid w:val="00036738"/>
    <w:rsid w:val="000370BE"/>
    <w:rsid w:val="0005067B"/>
    <w:rsid w:val="000525DF"/>
    <w:rsid w:val="00054206"/>
    <w:rsid w:val="000611CC"/>
    <w:rsid w:val="0006595B"/>
    <w:rsid w:val="00065B21"/>
    <w:rsid w:val="00075CB3"/>
    <w:rsid w:val="000771A1"/>
    <w:rsid w:val="00080ED8"/>
    <w:rsid w:val="00081E0D"/>
    <w:rsid w:val="000861BB"/>
    <w:rsid w:val="0008783C"/>
    <w:rsid w:val="00092F23"/>
    <w:rsid w:val="00096768"/>
    <w:rsid w:val="000977D8"/>
    <w:rsid w:val="000B6C0E"/>
    <w:rsid w:val="000C4FA4"/>
    <w:rsid w:val="000D151F"/>
    <w:rsid w:val="000D4775"/>
    <w:rsid w:val="000E68CA"/>
    <w:rsid w:val="000E7F43"/>
    <w:rsid w:val="000F14EB"/>
    <w:rsid w:val="00116F4C"/>
    <w:rsid w:val="00133670"/>
    <w:rsid w:val="00134B7C"/>
    <w:rsid w:val="0014124F"/>
    <w:rsid w:val="0014470F"/>
    <w:rsid w:val="00151BD1"/>
    <w:rsid w:val="001527E4"/>
    <w:rsid w:val="0016299D"/>
    <w:rsid w:val="0016330B"/>
    <w:rsid w:val="00164402"/>
    <w:rsid w:val="0017071C"/>
    <w:rsid w:val="001905A3"/>
    <w:rsid w:val="001A4D96"/>
    <w:rsid w:val="001B0E89"/>
    <w:rsid w:val="001C7D7D"/>
    <w:rsid w:val="001D18D3"/>
    <w:rsid w:val="001E1CCC"/>
    <w:rsid w:val="001E440F"/>
    <w:rsid w:val="001E64D6"/>
    <w:rsid w:val="001E7D65"/>
    <w:rsid w:val="001F56F0"/>
    <w:rsid w:val="002040F7"/>
    <w:rsid w:val="002052E5"/>
    <w:rsid w:val="00210431"/>
    <w:rsid w:val="0021241E"/>
    <w:rsid w:val="002137C9"/>
    <w:rsid w:val="00216D04"/>
    <w:rsid w:val="0021721C"/>
    <w:rsid w:val="002245BB"/>
    <w:rsid w:val="00231B46"/>
    <w:rsid w:val="00240A4E"/>
    <w:rsid w:val="0025016F"/>
    <w:rsid w:val="00263066"/>
    <w:rsid w:val="00263829"/>
    <w:rsid w:val="00265B72"/>
    <w:rsid w:val="00266ABB"/>
    <w:rsid w:val="00267658"/>
    <w:rsid w:val="00271240"/>
    <w:rsid w:val="00272C4E"/>
    <w:rsid w:val="00275009"/>
    <w:rsid w:val="00280A04"/>
    <w:rsid w:val="0028228F"/>
    <w:rsid w:val="002861E0"/>
    <w:rsid w:val="00287149"/>
    <w:rsid w:val="00294A44"/>
    <w:rsid w:val="002970FB"/>
    <w:rsid w:val="002A2D97"/>
    <w:rsid w:val="002B104C"/>
    <w:rsid w:val="002B4425"/>
    <w:rsid w:val="002B6AEE"/>
    <w:rsid w:val="002B7B38"/>
    <w:rsid w:val="002C05B5"/>
    <w:rsid w:val="002C32FA"/>
    <w:rsid w:val="002C4B53"/>
    <w:rsid w:val="002D1FF6"/>
    <w:rsid w:val="002D31DA"/>
    <w:rsid w:val="002D5E23"/>
    <w:rsid w:val="002D630A"/>
    <w:rsid w:val="002D6323"/>
    <w:rsid w:val="002E269E"/>
    <w:rsid w:val="002F1214"/>
    <w:rsid w:val="00311CC0"/>
    <w:rsid w:val="00313A48"/>
    <w:rsid w:val="00315EFD"/>
    <w:rsid w:val="003177DF"/>
    <w:rsid w:val="003305D0"/>
    <w:rsid w:val="003314A3"/>
    <w:rsid w:val="003402C8"/>
    <w:rsid w:val="003434E1"/>
    <w:rsid w:val="0034358B"/>
    <w:rsid w:val="003501D9"/>
    <w:rsid w:val="00352E02"/>
    <w:rsid w:val="003572E1"/>
    <w:rsid w:val="00363335"/>
    <w:rsid w:val="00370BD5"/>
    <w:rsid w:val="00373B49"/>
    <w:rsid w:val="00387133"/>
    <w:rsid w:val="00390197"/>
    <w:rsid w:val="00392198"/>
    <w:rsid w:val="003921AB"/>
    <w:rsid w:val="00397F9A"/>
    <w:rsid w:val="003A6DB3"/>
    <w:rsid w:val="003B2EED"/>
    <w:rsid w:val="003B347F"/>
    <w:rsid w:val="003B7A0E"/>
    <w:rsid w:val="003C0EB1"/>
    <w:rsid w:val="003C5B9D"/>
    <w:rsid w:val="003D0414"/>
    <w:rsid w:val="003D4E88"/>
    <w:rsid w:val="003E0196"/>
    <w:rsid w:val="003E3E4A"/>
    <w:rsid w:val="003E6977"/>
    <w:rsid w:val="003E6A6A"/>
    <w:rsid w:val="003F333C"/>
    <w:rsid w:val="003F505A"/>
    <w:rsid w:val="003F68DD"/>
    <w:rsid w:val="003F7828"/>
    <w:rsid w:val="00402839"/>
    <w:rsid w:val="00402894"/>
    <w:rsid w:val="004115AF"/>
    <w:rsid w:val="00413E3D"/>
    <w:rsid w:val="00415B53"/>
    <w:rsid w:val="00421CCD"/>
    <w:rsid w:val="00432AD4"/>
    <w:rsid w:val="00433BF0"/>
    <w:rsid w:val="00434208"/>
    <w:rsid w:val="00434429"/>
    <w:rsid w:val="0044265C"/>
    <w:rsid w:val="00453F19"/>
    <w:rsid w:val="00457141"/>
    <w:rsid w:val="00462AD0"/>
    <w:rsid w:val="00463F3B"/>
    <w:rsid w:val="004656F4"/>
    <w:rsid w:val="004755E0"/>
    <w:rsid w:val="00476AEE"/>
    <w:rsid w:val="00491224"/>
    <w:rsid w:val="00491A81"/>
    <w:rsid w:val="0049381C"/>
    <w:rsid w:val="004A7053"/>
    <w:rsid w:val="004C23E7"/>
    <w:rsid w:val="004C5864"/>
    <w:rsid w:val="004D5527"/>
    <w:rsid w:val="004E40DC"/>
    <w:rsid w:val="004E6306"/>
    <w:rsid w:val="004F3A50"/>
    <w:rsid w:val="005045C2"/>
    <w:rsid w:val="005079F1"/>
    <w:rsid w:val="00514C81"/>
    <w:rsid w:val="00521698"/>
    <w:rsid w:val="00521F22"/>
    <w:rsid w:val="0052427C"/>
    <w:rsid w:val="00527E5E"/>
    <w:rsid w:val="00532697"/>
    <w:rsid w:val="00535B0C"/>
    <w:rsid w:val="00546342"/>
    <w:rsid w:val="00551A86"/>
    <w:rsid w:val="00554C27"/>
    <w:rsid w:val="00555D20"/>
    <w:rsid w:val="00557F10"/>
    <w:rsid w:val="00561F6F"/>
    <w:rsid w:val="00562AEF"/>
    <w:rsid w:val="00564C9E"/>
    <w:rsid w:val="005651C6"/>
    <w:rsid w:val="00565AC4"/>
    <w:rsid w:val="00566237"/>
    <w:rsid w:val="00572BAA"/>
    <w:rsid w:val="00574BE4"/>
    <w:rsid w:val="005762B4"/>
    <w:rsid w:val="005769B2"/>
    <w:rsid w:val="00577F5C"/>
    <w:rsid w:val="00580E74"/>
    <w:rsid w:val="00584540"/>
    <w:rsid w:val="005871E6"/>
    <w:rsid w:val="005A0C95"/>
    <w:rsid w:val="005A3C58"/>
    <w:rsid w:val="005A53AF"/>
    <w:rsid w:val="005B035F"/>
    <w:rsid w:val="005B5A2C"/>
    <w:rsid w:val="005C6997"/>
    <w:rsid w:val="005D3EF0"/>
    <w:rsid w:val="005D4E18"/>
    <w:rsid w:val="005F0E8A"/>
    <w:rsid w:val="005F5634"/>
    <w:rsid w:val="006006AA"/>
    <w:rsid w:val="0060196B"/>
    <w:rsid w:val="0061673B"/>
    <w:rsid w:val="0062101F"/>
    <w:rsid w:val="00624757"/>
    <w:rsid w:val="00627880"/>
    <w:rsid w:val="00630427"/>
    <w:rsid w:val="00631753"/>
    <w:rsid w:val="0063670E"/>
    <w:rsid w:val="00640EFB"/>
    <w:rsid w:val="00654120"/>
    <w:rsid w:val="00656AFA"/>
    <w:rsid w:val="00657F2C"/>
    <w:rsid w:val="00672554"/>
    <w:rsid w:val="00672C50"/>
    <w:rsid w:val="00674BCC"/>
    <w:rsid w:val="00680E16"/>
    <w:rsid w:val="00681CCF"/>
    <w:rsid w:val="00682ABA"/>
    <w:rsid w:val="00682C43"/>
    <w:rsid w:val="00686BA8"/>
    <w:rsid w:val="00686F58"/>
    <w:rsid w:val="0069584F"/>
    <w:rsid w:val="006B424A"/>
    <w:rsid w:val="006B581E"/>
    <w:rsid w:val="006B7272"/>
    <w:rsid w:val="006C493D"/>
    <w:rsid w:val="006C6773"/>
    <w:rsid w:val="006D19FB"/>
    <w:rsid w:val="006D28C6"/>
    <w:rsid w:val="006D3F69"/>
    <w:rsid w:val="006D5137"/>
    <w:rsid w:val="006D5C16"/>
    <w:rsid w:val="006E2540"/>
    <w:rsid w:val="006E2811"/>
    <w:rsid w:val="006F2B15"/>
    <w:rsid w:val="006F3AB4"/>
    <w:rsid w:val="0070100C"/>
    <w:rsid w:val="007014A9"/>
    <w:rsid w:val="0070179D"/>
    <w:rsid w:val="00702E35"/>
    <w:rsid w:val="00732E81"/>
    <w:rsid w:val="0073379F"/>
    <w:rsid w:val="0073650B"/>
    <w:rsid w:val="007460E0"/>
    <w:rsid w:val="0075323F"/>
    <w:rsid w:val="00755DB0"/>
    <w:rsid w:val="007564B7"/>
    <w:rsid w:val="007603D6"/>
    <w:rsid w:val="007638BE"/>
    <w:rsid w:val="00766D59"/>
    <w:rsid w:val="007724FC"/>
    <w:rsid w:val="00777604"/>
    <w:rsid w:val="00777F88"/>
    <w:rsid w:val="00780A90"/>
    <w:rsid w:val="00780D71"/>
    <w:rsid w:val="00782F0A"/>
    <w:rsid w:val="0078671D"/>
    <w:rsid w:val="00790851"/>
    <w:rsid w:val="00791DE1"/>
    <w:rsid w:val="007965CC"/>
    <w:rsid w:val="007A313D"/>
    <w:rsid w:val="007B00BF"/>
    <w:rsid w:val="007B293A"/>
    <w:rsid w:val="007B2DBA"/>
    <w:rsid w:val="007C55F8"/>
    <w:rsid w:val="007D120C"/>
    <w:rsid w:val="007D7080"/>
    <w:rsid w:val="007E6B46"/>
    <w:rsid w:val="007E7620"/>
    <w:rsid w:val="0080302B"/>
    <w:rsid w:val="0080694E"/>
    <w:rsid w:val="00811D58"/>
    <w:rsid w:val="00813230"/>
    <w:rsid w:val="008149E5"/>
    <w:rsid w:val="00815EDB"/>
    <w:rsid w:val="00821712"/>
    <w:rsid w:val="008226A2"/>
    <w:rsid w:val="00825024"/>
    <w:rsid w:val="00826441"/>
    <w:rsid w:val="0082650E"/>
    <w:rsid w:val="008274D6"/>
    <w:rsid w:val="00827FD5"/>
    <w:rsid w:val="00830E05"/>
    <w:rsid w:val="00870F75"/>
    <w:rsid w:val="00880BF7"/>
    <w:rsid w:val="008A6D1F"/>
    <w:rsid w:val="008B3F95"/>
    <w:rsid w:val="008C460D"/>
    <w:rsid w:val="008D329C"/>
    <w:rsid w:val="00900A60"/>
    <w:rsid w:val="0090320F"/>
    <w:rsid w:val="00906ACE"/>
    <w:rsid w:val="00910431"/>
    <w:rsid w:val="00910DBE"/>
    <w:rsid w:val="00910E15"/>
    <w:rsid w:val="00921A2C"/>
    <w:rsid w:val="00921FFC"/>
    <w:rsid w:val="00925D4C"/>
    <w:rsid w:val="00931120"/>
    <w:rsid w:val="00931724"/>
    <w:rsid w:val="0094111E"/>
    <w:rsid w:val="00942CFC"/>
    <w:rsid w:val="00951086"/>
    <w:rsid w:val="00951A23"/>
    <w:rsid w:val="00952CDA"/>
    <w:rsid w:val="0095754D"/>
    <w:rsid w:val="00971A8C"/>
    <w:rsid w:val="0097555A"/>
    <w:rsid w:val="00975EAD"/>
    <w:rsid w:val="009837CE"/>
    <w:rsid w:val="009931CD"/>
    <w:rsid w:val="009936BB"/>
    <w:rsid w:val="00994307"/>
    <w:rsid w:val="0099488F"/>
    <w:rsid w:val="009A14E0"/>
    <w:rsid w:val="009A7172"/>
    <w:rsid w:val="009B29BE"/>
    <w:rsid w:val="009C43C1"/>
    <w:rsid w:val="009D728C"/>
    <w:rsid w:val="009E02D2"/>
    <w:rsid w:val="009E2C11"/>
    <w:rsid w:val="009F686F"/>
    <w:rsid w:val="00A038E2"/>
    <w:rsid w:val="00A05773"/>
    <w:rsid w:val="00A07585"/>
    <w:rsid w:val="00A1206A"/>
    <w:rsid w:val="00A128C5"/>
    <w:rsid w:val="00A13AEE"/>
    <w:rsid w:val="00A21BDD"/>
    <w:rsid w:val="00A22998"/>
    <w:rsid w:val="00A22D47"/>
    <w:rsid w:val="00A24CF8"/>
    <w:rsid w:val="00A26168"/>
    <w:rsid w:val="00A26A21"/>
    <w:rsid w:val="00A32375"/>
    <w:rsid w:val="00A32675"/>
    <w:rsid w:val="00A3529B"/>
    <w:rsid w:val="00A3560A"/>
    <w:rsid w:val="00A3683D"/>
    <w:rsid w:val="00A40AE0"/>
    <w:rsid w:val="00A43AC3"/>
    <w:rsid w:val="00A44FC4"/>
    <w:rsid w:val="00A4568E"/>
    <w:rsid w:val="00A54C34"/>
    <w:rsid w:val="00A61866"/>
    <w:rsid w:val="00A65DB4"/>
    <w:rsid w:val="00A675B4"/>
    <w:rsid w:val="00A704BD"/>
    <w:rsid w:val="00A716DB"/>
    <w:rsid w:val="00A71F4A"/>
    <w:rsid w:val="00A770C0"/>
    <w:rsid w:val="00A91DB3"/>
    <w:rsid w:val="00A9741C"/>
    <w:rsid w:val="00A975C9"/>
    <w:rsid w:val="00AA0191"/>
    <w:rsid w:val="00AA14B7"/>
    <w:rsid w:val="00AA2B59"/>
    <w:rsid w:val="00AA3B98"/>
    <w:rsid w:val="00AA794A"/>
    <w:rsid w:val="00AB175C"/>
    <w:rsid w:val="00AB3E5B"/>
    <w:rsid w:val="00AD0071"/>
    <w:rsid w:val="00AF3C05"/>
    <w:rsid w:val="00AF7C22"/>
    <w:rsid w:val="00B00372"/>
    <w:rsid w:val="00B023E4"/>
    <w:rsid w:val="00B2771C"/>
    <w:rsid w:val="00B33A04"/>
    <w:rsid w:val="00B35832"/>
    <w:rsid w:val="00B370D6"/>
    <w:rsid w:val="00B40AE9"/>
    <w:rsid w:val="00B479CB"/>
    <w:rsid w:val="00B61871"/>
    <w:rsid w:val="00B6531F"/>
    <w:rsid w:val="00B659AC"/>
    <w:rsid w:val="00B7150A"/>
    <w:rsid w:val="00B7269E"/>
    <w:rsid w:val="00B74753"/>
    <w:rsid w:val="00B83D42"/>
    <w:rsid w:val="00B84999"/>
    <w:rsid w:val="00B85694"/>
    <w:rsid w:val="00BA5AE4"/>
    <w:rsid w:val="00BA7566"/>
    <w:rsid w:val="00BB45A7"/>
    <w:rsid w:val="00BB51E5"/>
    <w:rsid w:val="00BC271F"/>
    <w:rsid w:val="00BC2C47"/>
    <w:rsid w:val="00BC3F1E"/>
    <w:rsid w:val="00BC3FD1"/>
    <w:rsid w:val="00BC460B"/>
    <w:rsid w:val="00BC5AC5"/>
    <w:rsid w:val="00BD2EF8"/>
    <w:rsid w:val="00BD5D76"/>
    <w:rsid w:val="00C14955"/>
    <w:rsid w:val="00C160EC"/>
    <w:rsid w:val="00C214ED"/>
    <w:rsid w:val="00C32198"/>
    <w:rsid w:val="00C33E71"/>
    <w:rsid w:val="00C37111"/>
    <w:rsid w:val="00C40011"/>
    <w:rsid w:val="00C443D4"/>
    <w:rsid w:val="00C61D0C"/>
    <w:rsid w:val="00C62C5C"/>
    <w:rsid w:val="00C64D0D"/>
    <w:rsid w:val="00C65C0D"/>
    <w:rsid w:val="00C66043"/>
    <w:rsid w:val="00C66C2F"/>
    <w:rsid w:val="00C70A54"/>
    <w:rsid w:val="00C713D0"/>
    <w:rsid w:val="00C77DAA"/>
    <w:rsid w:val="00C868AD"/>
    <w:rsid w:val="00C9099D"/>
    <w:rsid w:val="00C950C4"/>
    <w:rsid w:val="00C96508"/>
    <w:rsid w:val="00CA394D"/>
    <w:rsid w:val="00CA398E"/>
    <w:rsid w:val="00CA4AA4"/>
    <w:rsid w:val="00CA62EC"/>
    <w:rsid w:val="00CB3A15"/>
    <w:rsid w:val="00CB43C1"/>
    <w:rsid w:val="00CB6CF8"/>
    <w:rsid w:val="00CC5A4B"/>
    <w:rsid w:val="00CD3252"/>
    <w:rsid w:val="00CD5C69"/>
    <w:rsid w:val="00CD5D32"/>
    <w:rsid w:val="00CD6359"/>
    <w:rsid w:val="00CD65DA"/>
    <w:rsid w:val="00CE672F"/>
    <w:rsid w:val="00CF179C"/>
    <w:rsid w:val="00CF4DA2"/>
    <w:rsid w:val="00D10140"/>
    <w:rsid w:val="00D320A6"/>
    <w:rsid w:val="00D35714"/>
    <w:rsid w:val="00D3704F"/>
    <w:rsid w:val="00D41038"/>
    <w:rsid w:val="00D42753"/>
    <w:rsid w:val="00D43C97"/>
    <w:rsid w:val="00D43F30"/>
    <w:rsid w:val="00D50F3E"/>
    <w:rsid w:val="00D518AA"/>
    <w:rsid w:val="00D60165"/>
    <w:rsid w:val="00D618DC"/>
    <w:rsid w:val="00D634CD"/>
    <w:rsid w:val="00D64849"/>
    <w:rsid w:val="00D92AC8"/>
    <w:rsid w:val="00D9461E"/>
    <w:rsid w:val="00D95111"/>
    <w:rsid w:val="00DA3AD0"/>
    <w:rsid w:val="00DA6ABB"/>
    <w:rsid w:val="00DB17BC"/>
    <w:rsid w:val="00DB3C3D"/>
    <w:rsid w:val="00DB3E49"/>
    <w:rsid w:val="00DC2355"/>
    <w:rsid w:val="00DE415A"/>
    <w:rsid w:val="00DF06CA"/>
    <w:rsid w:val="00DF1363"/>
    <w:rsid w:val="00DF1B2F"/>
    <w:rsid w:val="00DF2353"/>
    <w:rsid w:val="00DF7A63"/>
    <w:rsid w:val="00DF7DA0"/>
    <w:rsid w:val="00E0207C"/>
    <w:rsid w:val="00E1019C"/>
    <w:rsid w:val="00E1082D"/>
    <w:rsid w:val="00E16AB9"/>
    <w:rsid w:val="00E16FBD"/>
    <w:rsid w:val="00E27DC1"/>
    <w:rsid w:val="00E345BE"/>
    <w:rsid w:val="00E44414"/>
    <w:rsid w:val="00E5123F"/>
    <w:rsid w:val="00E6271C"/>
    <w:rsid w:val="00E647BE"/>
    <w:rsid w:val="00E805FD"/>
    <w:rsid w:val="00E85E9C"/>
    <w:rsid w:val="00EB0A4B"/>
    <w:rsid w:val="00EB0FC9"/>
    <w:rsid w:val="00EB4C84"/>
    <w:rsid w:val="00EB5FEC"/>
    <w:rsid w:val="00EB643C"/>
    <w:rsid w:val="00EC06D0"/>
    <w:rsid w:val="00EC1C49"/>
    <w:rsid w:val="00ED0358"/>
    <w:rsid w:val="00ED7943"/>
    <w:rsid w:val="00EE27A3"/>
    <w:rsid w:val="00EE66CA"/>
    <w:rsid w:val="00EF5EB8"/>
    <w:rsid w:val="00F0216E"/>
    <w:rsid w:val="00F139E8"/>
    <w:rsid w:val="00F15765"/>
    <w:rsid w:val="00F17803"/>
    <w:rsid w:val="00F215C5"/>
    <w:rsid w:val="00F25DDC"/>
    <w:rsid w:val="00F27304"/>
    <w:rsid w:val="00F30F15"/>
    <w:rsid w:val="00F31938"/>
    <w:rsid w:val="00F35F3F"/>
    <w:rsid w:val="00F40AD3"/>
    <w:rsid w:val="00F463F4"/>
    <w:rsid w:val="00F53139"/>
    <w:rsid w:val="00F547FB"/>
    <w:rsid w:val="00F55D66"/>
    <w:rsid w:val="00F62ED3"/>
    <w:rsid w:val="00F64C15"/>
    <w:rsid w:val="00F67301"/>
    <w:rsid w:val="00F70303"/>
    <w:rsid w:val="00F804CF"/>
    <w:rsid w:val="00F821E9"/>
    <w:rsid w:val="00F82931"/>
    <w:rsid w:val="00F92487"/>
    <w:rsid w:val="00F9686E"/>
    <w:rsid w:val="00FA3F57"/>
    <w:rsid w:val="00FA68D6"/>
    <w:rsid w:val="00FB3DCB"/>
    <w:rsid w:val="00FB5E73"/>
    <w:rsid w:val="00FB60C3"/>
    <w:rsid w:val="00FC2A72"/>
    <w:rsid w:val="00FD0672"/>
    <w:rsid w:val="00FE20A2"/>
    <w:rsid w:val="00FF3C74"/>
    <w:rsid w:val="00FF4378"/>
    <w:rsid w:val="00FF4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DC414D-C977-4FA0-9848-6C71A034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Arial"/>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69E"/>
    <w:pPr>
      <w:ind w:left="720"/>
      <w:contextualSpacing/>
    </w:pPr>
  </w:style>
  <w:style w:type="paragraph" w:styleId="Header">
    <w:name w:val="header"/>
    <w:basedOn w:val="Normal"/>
    <w:link w:val="HeaderChar"/>
    <w:uiPriority w:val="99"/>
    <w:unhideWhenUsed/>
    <w:rsid w:val="000E7F43"/>
    <w:pPr>
      <w:tabs>
        <w:tab w:val="center" w:pos="4680"/>
        <w:tab w:val="right" w:pos="9360"/>
      </w:tabs>
      <w:spacing w:after="0"/>
    </w:pPr>
  </w:style>
  <w:style w:type="character" w:customStyle="1" w:styleId="HeaderChar">
    <w:name w:val="Header Char"/>
    <w:basedOn w:val="DefaultParagraphFont"/>
    <w:link w:val="Header"/>
    <w:uiPriority w:val="99"/>
    <w:rsid w:val="000E7F43"/>
  </w:style>
  <w:style w:type="paragraph" w:styleId="Footer">
    <w:name w:val="footer"/>
    <w:basedOn w:val="Normal"/>
    <w:link w:val="FooterChar"/>
    <w:uiPriority w:val="99"/>
    <w:unhideWhenUsed/>
    <w:rsid w:val="000E7F43"/>
    <w:pPr>
      <w:tabs>
        <w:tab w:val="center" w:pos="4680"/>
        <w:tab w:val="right" w:pos="9360"/>
      </w:tabs>
      <w:spacing w:after="0"/>
    </w:pPr>
  </w:style>
  <w:style w:type="character" w:customStyle="1" w:styleId="FooterChar">
    <w:name w:val="Footer Char"/>
    <w:basedOn w:val="DefaultParagraphFont"/>
    <w:link w:val="Footer"/>
    <w:uiPriority w:val="99"/>
    <w:rsid w:val="000E7F43"/>
  </w:style>
  <w:style w:type="paragraph" w:styleId="BalloonText">
    <w:name w:val="Balloon Text"/>
    <w:basedOn w:val="Normal"/>
    <w:link w:val="BalloonTextChar"/>
    <w:uiPriority w:val="99"/>
    <w:semiHidden/>
    <w:unhideWhenUsed/>
    <w:rsid w:val="00DF7A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A63"/>
    <w:rPr>
      <w:rFonts w:ascii="Tahoma" w:hAnsi="Tahoma" w:cs="Tahoma"/>
      <w:sz w:val="16"/>
      <w:szCs w:val="16"/>
    </w:rPr>
  </w:style>
  <w:style w:type="paragraph" w:customStyle="1" w:styleId="Default">
    <w:name w:val="Default"/>
    <w:rsid w:val="00D42753"/>
    <w:pPr>
      <w:autoSpaceDE w:val="0"/>
      <w:autoSpaceDN w:val="0"/>
      <w:adjustRightInd w:val="0"/>
      <w:spacing w:after="0"/>
    </w:pPr>
    <w:rPr>
      <w:rFonts w:ascii="Calibri" w:hAnsi="Calibri" w:cs="Calibri"/>
      <w:color w:val="000000"/>
      <w:sz w:val="24"/>
      <w:szCs w:val="24"/>
    </w:rPr>
  </w:style>
  <w:style w:type="character" w:styleId="Hyperlink">
    <w:name w:val="Hyperlink"/>
    <w:basedOn w:val="DefaultParagraphFont"/>
    <w:uiPriority w:val="99"/>
    <w:unhideWhenUsed/>
    <w:rsid w:val="00134B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01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60FB7A06EC0A4287672D91D8331009" ma:contentTypeVersion="104" ma:contentTypeDescription="" ma:contentTypeScope="" ma:versionID="4fc58195969815c35114c24e48bb6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Plan</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2016-04-29T07:00:00+00:00</OpenedDate>
    <Date1 xmlns="dc463f71-b30c-4ab2-9473-d307f9d35888">2016-12-14T08:00:00+00:00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160453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5717C45-2301-48A3-A235-032A616ABF71}"/>
</file>

<file path=customXml/itemProps2.xml><?xml version="1.0" encoding="utf-8"?>
<ds:datastoreItem xmlns:ds="http://schemas.openxmlformats.org/officeDocument/2006/customXml" ds:itemID="{250BBD68-79E3-415C-8C94-F16FD29440A0}"/>
</file>

<file path=customXml/itemProps3.xml><?xml version="1.0" encoding="utf-8"?>
<ds:datastoreItem xmlns:ds="http://schemas.openxmlformats.org/officeDocument/2006/customXml" ds:itemID="{C51A7D69-B3E9-4F0B-B65B-3AB1A6B49426}"/>
</file>

<file path=customXml/itemProps4.xml><?xml version="1.0" encoding="utf-8"?>
<ds:datastoreItem xmlns:ds="http://schemas.openxmlformats.org/officeDocument/2006/customXml" ds:itemID="{DB3EB426-6EA1-419F-9F22-B8C4A39A6543}"/>
</file>

<file path=docProps/app.xml><?xml version="1.0" encoding="utf-8"?>
<Properties xmlns="http://schemas.openxmlformats.org/officeDocument/2006/extended-properties" xmlns:vt="http://schemas.openxmlformats.org/officeDocument/2006/docPropsVTypes">
  <Template>Normal.dotm</Template>
  <TotalTime>0</TotalTime>
  <Pages>4</Pages>
  <Words>1380</Words>
  <Characters>7870</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MDU Resoures Group</Company>
  <LinksUpToDate>false</LinksUpToDate>
  <CharactersWithSpaces>9232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Stone</dc:creator>
  <cp:lastModifiedBy>Robertson, Brian</cp:lastModifiedBy>
  <cp:revision>2</cp:revision>
  <dcterms:created xsi:type="dcterms:W3CDTF">2016-11-22T22:50:00Z</dcterms:created>
  <dcterms:modified xsi:type="dcterms:W3CDTF">2016-11-22T22:50:00Z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0x0101006E56B4D1795A2E4DB2F0B01679ED314A009E60FB7A06EC0A4287672D91D8331009</vt:lpwstr>
  </property>
  <property fmtid="{D5CDD505-2E9C-101B-9397-08002B2CF9AE}" pid="3" name="_docset_NoMedatataSyncRequired">
    <vt:lpwstr>False</vt:lpwstr>
  </property>
</Properties>
</file>