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87" w:rsidRDefault="001E3887" w:rsidP="001E3887">
      <w:pPr>
        <w:outlineLvl w:val="0"/>
      </w:pPr>
      <w:r>
        <w:rPr>
          <w:b/>
          <w:bCs/>
        </w:rPr>
        <w:t>From:</w:t>
      </w:r>
      <w:r>
        <w:t xml:space="preserve"> Wiley, Dave [</w:t>
      </w:r>
      <w:hyperlink r:id="rId4" w:history="1">
        <w:r>
          <w:rPr>
            <w:rStyle w:val="Hyperlink"/>
          </w:rPr>
          <w:t>mailto:dwiley@williamskastner.com</w:t>
        </w:r>
      </w:hyperlink>
      <w:r>
        <w:t xml:space="preserve">] </w:t>
      </w:r>
      <w:r>
        <w:br/>
      </w:r>
      <w:r>
        <w:rPr>
          <w:b/>
          <w:bCs/>
        </w:rPr>
        <w:t>Sent:</w:t>
      </w:r>
      <w:r>
        <w:t xml:space="preserve"> Thursday, June 19, 2014 10:52 AM</w:t>
      </w:r>
      <w:r>
        <w:br/>
      </w:r>
      <w:r>
        <w:rPr>
          <w:b/>
          <w:bCs/>
        </w:rPr>
        <w:t>To:</w:t>
      </w:r>
      <w:r>
        <w:t xml:space="preserve"> Friedlander, Marguerite (UTC)</w:t>
      </w:r>
      <w:r>
        <w:br/>
      </w:r>
      <w:r>
        <w:rPr>
          <w:b/>
          <w:bCs/>
        </w:rPr>
        <w:t>Cc:</w:t>
      </w:r>
      <w:r>
        <w:t xml:space="preserve"> Shearer, Brett (UTC); Brown, Sally (UTC); James Sells</w:t>
      </w:r>
      <w:r>
        <w:br/>
      </w:r>
      <w:r>
        <w:rPr>
          <w:b/>
          <w:bCs/>
        </w:rPr>
        <w:t>Subject:</w:t>
      </w:r>
      <w:r>
        <w:t xml:space="preserve"> RE: TG-140560 – WUTC v. Waste Control, Inc.-- Request for Three Hour Scheduling Delay for Filing Response to Motion to Compel/Construe Rule, et al.</w:t>
      </w:r>
    </w:p>
    <w:p w:rsidR="001E3887" w:rsidRDefault="001E3887" w:rsidP="001E3887"/>
    <w:p w:rsidR="001E3887" w:rsidRDefault="001E3887" w:rsidP="001E3887">
      <w:pPr>
        <w:rPr>
          <w:color w:val="1F497D"/>
        </w:rPr>
      </w:pPr>
      <w:r>
        <w:rPr>
          <w:color w:val="1F497D"/>
        </w:rPr>
        <w:t>Judge Friedlander: The unanticipated part of the request was the compressed ability to respond due to the accelerated response interval from last Thursday afternoon’s service of a Staff Expedited Motion for Continuance which was filed Tuesday before noon and the ability to prepare a similar detailed Response for service on Monday.  Until late yesterday afternoon, I was under the belief I could make the accelerated deadline but as of today, that is looking less likely.   However, I am returning early after a speaking event Saturday morning and plan to be in the office Sunday and will be working on this when traveling as well.  While I am hopeful everything can be finished by mid-day Monday, a 3:00 service deadline would provide a beneficial cushion.   Thank you again for your consideration of the request.    Dave Wiley.</w:t>
      </w:r>
    </w:p>
    <w:p w:rsidR="001E3887" w:rsidRDefault="001E3887" w:rsidP="001E3887">
      <w:pPr>
        <w:rPr>
          <w:color w:val="1F497D"/>
        </w:rPr>
      </w:pPr>
    </w:p>
    <w:p w:rsidR="001E3887" w:rsidRDefault="001E3887" w:rsidP="001E388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Friedlander, Marguerite (UTC) [</w:t>
      </w:r>
      <w:hyperlink r:id="rId5" w:history="1">
        <w:r>
          <w:rPr>
            <w:rStyle w:val="Hyperlink"/>
            <w:rFonts w:ascii="Tahoma" w:hAnsi="Tahoma" w:cs="Tahoma"/>
            <w:sz w:val="20"/>
            <w:szCs w:val="20"/>
          </w:rPr>
          <w:t>mailto:mfriedla@utc.wa.gov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June 19, 2014 10:33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Wiley, Dave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Shearer, Brett (UTC); Brown, Sally (UTC); James Sells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TG-140560 – WUTC v. Waste Control, Inc.-- Request for Three Hour Scheduling Delay for Filing Response to Motion to Compel/Construe Rule, et al.</w:t>
      </w:r>
    </w:p>
    <w:p w:rsidR="001E3887" w:rsidRDefault="001E3887" w:rsidP="001E3887"/>
    <w:p w:rsidR="001E3887" w:rsidRDefault="001E3887" w:rsidP="001E3887">
      <w:pPr>
        <w:rPr>
          <w:color w:val="1F497D"/>
        </w:rPr>
      </w:pPr>
      <w:r>
        <w:rPr>
          <w:color w:val="1F497D"/>
        </w:rPr>
        <w:t xml:space="preserve">While I don’t typically do so, I will place your email request in the Commission’s records management system.  </w:t>
      </w:r>
    </w:p>
    <w:p w:rsidR="001E3887" w:rsidRDefault="001E3887" w:rsidP="001E3887">
      <w:pPr>
        <w:rPr>
          <w:color w:val="1F497D"/>
        </w:rPr>
      </w:pPr>
    </w:p>
    <w:p w:rsidR="001E3887" w:rsidRDefault="001E3887" w:rsidP="001E3887">
      <w:pPr>
        <w:rPr>
          <w:color w:val="1F497D"/>
        </w:rPr>
      </w:pPr>
      <w:r>
        <w:rPr>
          <w:color w:val="1F497D"/>
        </w:rPr>
        <w:t>In order to make a request for schedule modification that is less than five days prior to the deadline, our rules require a finding of “good cause that prevented that timely request.”  WAC 480-07-385(3</w:t>
      </w:r>
      <w:proofErr w:type="gramStart"/>
      <w:r>
        <w:rPr>
          <w:color w:val="1F497D"/>
        </w:rPr>
        <w:t>)(</w:t>
      </w:r>
      <w:proofErr w:type="gramEnd"/>
      <w:r>
        <w:rPr>
          <w:color w:val="1F497D"/>
        </w:rPr>
        <w:t xml:space="preserve">c).  As a result, please let me know if either </w:t>
      </w:r>
      <w:proofErr w:type="gramStart"/>
      <w:r>
        <w:rPr>
          <w:color w:val="1F497D"/>
        </w:rPr>
        <w:t>your</w:t>
      </w:r>
      <w:proofErr w:type="gramEnd"/>
      <w:r>
        <w:rPr>
          <w:color w:val="1F497D"/>
        </w:rPr>
        <w:t xml:space="preserve"> leaving the office for the weekend or your assistant’s departure were unanticipated.</w:t>
      </w:r>
    </w:p>
    <w:p w:rsidR="001E3887" w:rsidRDefault="001E3887" w:rsidP="001E3887">
      <w:pPr>
        <w:rPr>
          <w:color w:val="1F497D"/>
        </w:rPr>
      </w:pPr>
    </w:p>
    <w:p w:rsidR="001E3887" w:rsidRDefault="001E3887" w:rsidP="001E3887">
      <w:pPr>
        <w:rPr>
          <w:color w:val="1F497D"/>
        </w:rPr>
      </w:pPr>
      <w:r>
        <w:rPr>
          <w:color w:val="1F497D"/>
        </w:rPr>
        <w:t>Thank you.</w:t>
      </w:r>
    </w:p>
    <w:p w:rsidR="001E3887" w:rsidRDefault="001E3887" w:rsidP="001E3887">
      <w:pPr>
        <w:rPr>
          <w:color w:val="1F497D"/>
        </w:rPr>
      </w:pPr>
    </w:p>
    <w:p w:rsidR="001E3887" w:rsidRDefault="001E3887" w:rsidP="001E3887">
      <w:pPr>
        <w:rPr>
          <w:rFonts w:ascii="Magneto" w:hAnsi="Magneto"/>
          <w:color w:val="1F497D"/>
          <w:sz w:val="24"/>
          <w:szCs w:val="24"/>
        </w:rPr>
      </w:pPr>
      <w:r>
        <w:rPr>
          <w:rFonts w:ascii="Magneto" w:hAnsi="Magneto"/>
          <w:color w:val="1F497D"/>
          <w:sz w:val="24"/>
          <w:szCs w:val="24"/>
        </w:rPr>
        <w:t>Marguerite E. Friedlander</w:t>
      </w:r>
    </w:p>
    <w:p w:rsidR="001E3887" w:rsidRDefault="001E3887" w:rsidP="001E3887">
      <w:pPr>
        <w:rPr>
          <w:rFonts w:ascii="Bookman Old Style" w:hAnsi="Bookman Old Style"/>
          <w:color w:val="1F497D"/>
          <w:sz w:val="24"/>
          <w:szCs w:val="24"/>
        </w:rPr>
      </w:pPr>
      <w:r>
        <w:rPr>
          <w:rFonts w:ascii="Bookman Old Style" w:hAnsi="Bookman Old Style"/>
          <w:color w:val="1F497D"/>
          <w:sz w:val="24"/>
          <w:szCs w:val="24"/>
        </w:rPr>
        <w:t>Marguerite E. Friedlander</w:t>
      </w:r>
    </w:p>
    <w:p w:rsidR="001E3887" w:rsidRDefault="001E3887" w:rsidP="001E3887">
      <w:pPr>
        <w:rPr>
          <w:rFonts w:ascii="Bookman Old Style" w:hAnsi="Bookman Old Style"/>
          <w:color w:val="1F497D"/>
          <w:sz w:val="24"/>
          <w:szCs w:val="24"/>
        </w:rPr>
      </w:pPr>
      <w:r>
        <w:rPr>
          <w:rFonts w:ascii="Bookman Old Style" w:hAnsi="Bookman Old Style"/>
          <w:color w:val="1F497D"/>
          <w:sz w:val="24"/>
          <w:szCs w:val="24"/>
        </w:rPr>
        <w:t>Administrative Law Judge</w:t>
      </w:r>
    </w:p>
    <w:p w:rsidR="001E3887" w:rsidRDefault="001E3887" w:rsidP="001E3887">
      <w:pPr>
        <w:rPr>
          <w:rFonts w:ascii="Bookman Old Style" w:hAnsi="Bookman Old Style"/>
          <w:color w:val="1F497D"/>
          <w:sz w:val="24"/>
          <w:szCs w:val="24"/>
        </w:rPr>
      </w:pPr>
      <w:r>
        <w:rPr>
          <w:rFonts w:ascii="Bookman Old Style" w:hAnsi="Bookman Old Style"/>
          <w:color w:val="1F497D"/>
          <w:sz w:val="24"/>
          <w:szCs w:val="24"/>
        </w:rPr>
        <w:t>Washington Utilities and Transportation Commission</w:t>
      </w:r>
    </w:p>
    <w:p w:rsidR="001E3887" w:rsidRDefault="001E3887" w:rsidP="001E3887">
      <w:pPr>
        <w:rPr>
          <w:rFonts w:ascii="Bookman Old Style" w:hAnsi="Bookman Old Style"/>
          <w:color w:val="1F497D"/>
          <w:sz w:val="24"/>
          <w:szCs w:val="24"/>
        </w:rPr>
      </w:pPr>
      <w:r>
        <w:rPr>
          <w:rFonts w:ascii="Bookman Old Style" w:hAnsi="Bookman Old Style"/>
          <w:color w:val="1F497D"/>
          <w:sz w:val="24"/>
          <w:szCs w:val="24"/>
        </w:rPr>
        <w:t>1300 S. Evergreen Park Dr. SW</w:t>
      </w:r>
    </w:p>
    <w:p w:rsidR="001E3887" w:rsidRDefault="001E3887" w:rsidP="001E3887">
      <w:pPr>
        <w:rPr>
          <w:rFonts w:ascii="Bookman Old Style" w:hAnsi="Bookman Old Style"/>
          <w:color w:val="1F497D"/>
          <w:sz w:val="24"/>
          <w:szCs w:val="24"/>
        </w:rPr>
      </w:pPr>
      <w:r>
        <w:rPr>
          <w:rFonts w:ascii="Bookman Old Style" w:hAnsi="Bookman Old Style"/>
          <w:color w:val="1F497D"/>
          <w:sz w:val="24"/>
          <w:szCs w:val="24"/>
        </w:rPr>
        <w:t>P.O. Box 47250</w:t>
      </w:r>
    </w:p>
    <w:p w:rsidR="001E3887" w:rsidRDefault="001E3887" w:rsidP="001E3887">
      <w:pPr>
        <w:rPr>
          <w:rFonts w:ascii="Bookman Old Style" w:hAnsi="Bookman Old Style"/>
          <w:color w:val="1F497D"/>
          <w:sz w:val="24"/>
          <w:szCs w:val="24"/>
        </w:rPr>
      </w:pPr>
      <w:r>
        <w:rPr>
          <w:rFonts w:ascii="Bookman Old Style" w:hAnsi="Bookman Old Style"/>
          <w:color w:val="1F497D"/>
          <w:sz w:val="24"/>
          <w:szCs w:val="24"/>
        </w:rPr>
        <w:t>Olympia, WA 98504-7250</w:t>
      </w:r>
    </w:p>
    <w:p w:rsidR="001E3887" w:rsidRDefault="001E3887" w:rsidP="001E3887">
      <w:pPr>
        <w:rPr>
          <w:color w:val="1F497D"/>
        </w:rPr>
      </w:pPr>
      <w:r>
        <w:rPr>
          <w:rFonts w:ascii="Bookman Old Style" w:hAnsi="Bookman Old Style"/>
          <w:color w:val="1F497D"/>
          <w:sz w:val="24"/>
          <w:szCs w:val="24"/>
        </w:rPr>
        <w:t>(360) 664-1285</w:t>
      </w:r>
    </w:p>
    <w:p w:rsidR="001E3887" w:rsidRDefault="001E3887" w:rsidP="001E3887">
      <w:pPr>
        <w:rPr>
          <w:color w:val="1F497D"/>
        </w:rPr>
      </w:pPr>
    </w:p>
    <w:p w:rsidR="001E3887" w:rsidRDefault="001E3887" w:rsidP="001E3887">
      <w:pPr>
        <w:outlineLvl w:val="0"/>
      </w:pPr>
      <w:r>
        <w:rPr>
          <w:b/>
          <w:bCs/>
        </w:rPr>
        <w:t>From:</w:t>
      </w:r>
      <w:r>
        <w:t xml:space="preserve"> Wiley, Dave [</w:t>
      </w:r>
      <w:hyperlink r:id="rId6" w:history="1">
        <w:r>
          <w:rPr>
            <w:rStyle w:val="Hyperlink"/>
          </w:rPr>
          <w:t>mailto:dwiley@williamskastner.com</w:t>
        </w:r>
      </w:hyperlink>
      <w:r>
        <w:t xml:space="preserve">] </w:t>
      </w:r>
      <w:r>
        <w:br/>
      </w:r>
      <w:r>
        <w:rPr>
          <w:b/>
          <w:bCs/>
        </w:rPr>
        <w:t>Sent:</w:t>
      </w:r>
      <w:r>
        <w:t xml:space="preserve"> Thursday, June 19, 2014 10:14 AM</w:t>
      </w:r>
      <w:r>
        <w:br/>
      </w:r>
      <w:r>
        <w:rPr>
          <w:b/>
          <w:bCs/>
        </w:rPr>
        <w:t>To:</w:t>
      </w:r>
      <w:r>
        <w:t xml:space="preserve"> Friedlander, Marguerite (UTC)</w:t>
      </w:r>
      <w:r>
        <w:br/>
      </w:r>
      <w:r>
        <w:rPr>
          <w:b/>
          <w:bCs/>
        </w:rPr>
        <w:t>Cc:</w:t>
      </w:r>
      <w:r>
        <w:t xml:space="preserve"> Shearer, Brett (UTC); Brown, Sally (UTC); James Sells</w:t>
      </w:r>
      <w:r>
        <w:br/>
      </w:r>
      <w:r>
        <w:rPr>
          <w:b/>
          <w:bCs/>
        </w:rPr>
        <w:lastRenderedPageBreak/>
        <w:t>Subject:</w:t>
      </w:r>
      <w:r>
        <w:t xml:space="preserve"> TG-140560 – WUTC v. Waste Control, Inc.-- Request for Three Hour Scheduling Delay for Filing Response to Motion to Compel/Construe Rule, et al.</w:t>
      </w:r>
    </w:p>
    <w:p w:rsidR="001E3887" w:rsidRDefault="001E3887" w:rsidP="001E3887"/>
    <w:p w:rsidR="001E3887" w:rsidRDefault="001E3887" w:rsidP="001E3887">
      <w:r>
        <w:t>Dear Judge Fri</w:t>
      </w:r>
      <w:r>
        <w:rPr>
          <w:color w:val="1F497D"/>
        </w:rPr>
        <w:t>e</w:t>
      </w:r>
      <w:r>
        <w:t>dlander:</w:t>
      </w:r>
    </w:p>
    <w:p w:rsidR="001E3887" w:rsidRDefault="001E3887" w:rsidP="001E3887"/>
    <w:p w:rsidR="001E3887" w:rsidRDefault="001E3887" w:rsidP="001E3887">
      <w:r>
        <w:t>This is to request a three</w:t>
      </w:r>
      <w:r>
        <w:rPr>
          <w:color w:val="1F497D"/>
        </w:rPr>
        <w:t>-</w:t>
      </w:r>
      <w:r>
        <w:t>hour extension for the deadline for filing responses to the Staff’s Motion to Compel on Monday, June 23. My request is motivated by two reasons:  first, I am out of the office beginning this afternoon until Monday morning and second, and more importantly, my long-time assistant’s last full day is tomorrow and she is moving to Ontario and her replacement has never done a WUTC filing before. I thus think some additional time keyed to the more conventional electronic service deadline would be of significant administrative convenience.  I have checked with opposing counsel this morning who has no objection to this brief extension period. Please advise if you require any more formal correspondence on this request, but considering the time constraints and the brief requested interval I am hoping this e-mail communication will suffice.</w:t>
      </w:r>
    </w:p>
    <w:p w:rsidR="001E3887" w:rsidRDefault="001E3887" w:rsidP="001E3887"/>
    <w:p w:rsidR="001E3887" w:rsidRDefault="001E3887" w:rsidP="001E3887">
      <w:pPr>
        <w:rPr>
          <w:color w:val="1F497D"/>
        </w:rPr>
      </w:pPr>
      <w:r>
        <w:t>Thank you in advance for your attention to this matter</w:t>
      </w:r>
      <w:r>
        <w:rPr>
          <w:color w:val="1F497D"/>
        </w:rPr>
        <w:t>.</w:t>
      </w:r>
    </w:p>
    <w:p w:rsidR="001E3887" w:rsidRDefault="001E3887" w:rsidP="001E3887">
      <w:pPr>
        <w:rPr>
          <w:color w:val="1F497D"/>
        </w:rPr>
      </w:pPr>
    </w:p>
    <w:p w:rsidR="001E3887" w:rsidRDefault="001E3887" w:rsidP="001E3887">
      <w:pPr>
        <w:rPr>
          <w:color w:val="1F497D"/>
        </w:rPr>
      </w:pPr>
    </w:p>
    <w:p w:rsidR="001E3887" w:rsidRDefault="001E3887" w:rsidP="001E3887">
      <w:pPr>
        <w:rPr>
          <w:color w:val="1F497D"/>
        </w:rPr>
      </w:pPr>
    </w:p>
    <w:p w:rsidR="001E3887" w:rsidRDefault="001E3887" w:rsidP="001E3887">
      <w:pPr>
        <w:spacing w:before="100" w:beforeAutospacing="1" w:after="100" w:afterAutospacing="1"/>
        <w:rPr>
          <w:rFonts w:ascii="Times New Roman" w:hAnsi="Times New Roman" w:cs="Times New Roman"/>
          <w:color w:val="1F497D"/>
          <w:sz w:val="24"/>
          <w:szCs w:val="24"/>
        </w:rPr>
      </w:pPr>
      <w:bookmarkStart w:id="0" w:name="OLE_LINK1"/>
      <w:bookmarkStart w:id="1" w:name="OLE_LINK2"/>
      <w:bookmarkEnd w:id="0"/>
      <w:bookmarkEnd w:id="1"/>
      <w:r>
        <w:rPr>
          <w:rFonts w:ascii="Arial" w:hAnsi="Arial" w:cs="Arial"/>
          <w:b/>
          <w:bCs/>
          <w:color w:val="1F497D"/>
          <w:sz w:val="20"/>
          <w:szCs w:val="20"/>
        </w:rPr>
        <w:t>David W. Wiley</w:t>
      </w:r>
      <w:r>
        <w:rPr>
          <w:rFonts w:ascii="Arial" w:hAnsi="Arial" w:cs="Arial"/>
          <w:color w:val="1F497D"/>
          <w:sz w:val="20"/>
          <w:szCs w:val="20"/>
        </w:rPr>
        <w:br/>
        <w:t>Attorney at Law</w:t>
      </w:r>
      <w:r>
        <w:rPr>
          <w:rFonts w:ascii="Arial" w:hAnsi="Arial" w:cs="Arial"/>
          <w:color w:val="1F497D"/>
          <w:sz w:val="20"/>
          <w:szCs w:val="20"/>
        </w:rPr>
        <w:br/>
        <w:t xml:space="preserve">Williams </w:t>
      </w:r>
      <w:proofErr w:type="spellStart"/>
      <w:r>
        <w:rPr>
          <w:rFonts w:ascii="Arial" w:hAnsi="Arial" w:cs="Arial"/>
          <w:color w:val="1F497D"/>
          <w:sz w:val="20"/>
          <w:szCs w:val="20"/>
        </w:rPr>
        <w:t>Kastner</w:t>
      </w:r>
      <w:proofErr w:type="spellEnd"/>
      <w:r>
        <w:rPr>
          <w:rFonts w:ascii="Arial" w:hAnsi="Arial" w:cs="Arial"/>
          <w:color w:val="1F497D"/>
          <w:sz w:val="20"/>
          <w:szCs w:val="20"/>
        </w:rPr>
        <w:br/>
        <w:t>601 Union Street, Suite 4100</w:t>
      </w:r>
      <w:r>
        <w:rPr>
          <w:rFonts w:ascii="Arial" w:hAnsi="Arial" w:cs="Arial"/>
          <w:color w:val="1F497D"/>
          <w:sz w:val="20"/>
          <w:szCs w:val="20"/>
        </w:rPr>
        <w:br/>
        <w:t>Seattle, WA 98101-2380</w:t>
      </w:r>
      <w:r>
        <w:rPr>
          <w:rFonts w:ascii="Arial" w:hAnsi="Arial" w:cs="Arial"/>
          <w:color w:val="1F497D"/>
          <w:sz w:val="20"/>
          <w:szCs w:val="20"/>
        </w:rPr>
        <w:br/>
        <w:t>Main: 206.628.6600</w:t>
      </w:r>
      <w:r>
        <w:rPr>
          <w:rFonts w:ascii="Arial" w:hAnsi="Arial" w:cs="Arial"/>
          <w:color w:val="1F497D"/>
          <w:sz w:val="20"/>
          <w:szCs w:val="20"/>
        </w:rPr>
        <w:br/>
        <w:t>Direct: 206.233.2895</w:t>
      </w:r>
      <w:r>
        <w:rPr>
          <w:rFonts w:ascii="Arial" w:hAnsi="Arial" w:cs="Arial"/>
          <w:color w:val="1F497D"/>
          <w:sz w:val="20"/>
          <w:szCs w:val="20"/>
        </w:rPr>
        <w:br/>
        <w:t>Fax: 206.628.6611</w:t>
      </w:r>
      <w:r>
        <w:rPr>
          <w:rFonts w:ascii="Arial" w:hAnsi="Arial" w:cs="Arial"/>
          <w:color w:val="1F497D"/>
          <w:sz w:val="20"/>
          <w:szCs w:val="20"/>
        </w:rPr>
        <w:br/>
      </w:r>
      <w:hyperlink r:id="rId7" w:history="1">
        <w:r>
          <w:rPr>
            <w:rStyle w:val="Hyperlink"/>
            <w:rFonts w:ascii="Arial" w:hAnsi="Arial" w:cs="Arial"/>
            <w:sz w:val="20"/>
            <w:szCs w:val="20"/>
          </w:rPr>
          <w:t>dwiley@williamskastner.com</w:t>
        </w:r>
      </w:hyperlink>
      <w:r>
        <w:rPr>
          <w:rFonts w:ascii="Arial" w:hAnsi="Arial" w:cs="Arial"/>
          <w:color w:val="1F497D"/>
          <w:sz w:val="20"/>
          <w:szCs w:val="20"/>
        </w:rPr>
        <w:br/>
      </w:r>
      <w:hyperlink r:id="rId8" w:history="1">
        <w:r>
          <w:rPr>
            <w:rStyle w:val="Hyperlink"/>
            <w:rFonts w:ascii="Arial" w:hAnsi="Arial" w:cs="Arial"/>
            <w:sz w:val="20"/>
            <w:szCs w:val="20"/>
          </w:rPr>
          <w:t>www.williamskastner.com</w:t>
        </w:r>
      </w:hyperlink>
    </w:p>
    <w:p w:rsidR="001E3887" w:rsidRDefault="001E3887" w:rsidP="001E3887">
      <w:pPr>
        <w:rPr>
          <w:color w:val="1F497D"/>
        </w:rPr>
      </w:pPr>
      <w:r>
        <w:rPr>
          <w:rFonts w:ascii="Arial" w:hAnsi="Arial" w:cs="Arial"/>
          <w:noProof/>
          <w:color w:val="1F497D"/>
          <w:sz w:val="20"/>
          <w:szCs w:val="20"/>
        </w:rPr>
        <w:drawing>
          <wp:inline distT="0" distB="0" distL="0" distR="0">
            <wp:extent cx="1270000" cy="254000"/>
            <wp:effectExtent l="0" t="0" r="6350" b="0"/>
            <wp:docPr id="1" name="Picture 1" descr="cid:image001.gif@01CF8BAC.84B0D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F8BAC.84B0D1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0000" cy="254000"/>
                    </a:xfrm>
                    <a:prstGeom prst="rect">
                      <a:avLst/>
                    </a:prstGeom>
                    <a:noFill/>
                    <a:ln>
                      <a:noFill/>
                    </a:ln>
                  </pic:spPr>
                </pic:pic>
              </a:graphicData>
            </a:graphic>
          </wp:inline>
        </w:drawing>
      </w:r>
    </w:p>
    <w:p w:rsidR="001E3887" w:rsidRDefault="001E3887" w:rsidP="001E3887">
      <w:pPr>
        <w:rPr>
          <w:color w:val="1F497D"/>
        </w:rPr>
      </w:pPr>
    </w:p>
    <w:p w:rsidR="001E3887" w:rsidRDefault="001E3887" w:rsidP="001E3887">
      <w:pPr>
        <w:rPr>
          <w:color w:val="1F497D"/>
        </w:rPr>
      </w:pPr>
    </w:p>
    <w:p w:rsidR="001E3887" w:rsidRDefault="001E3887" w:rsidP="001E3887"/>
    <w:p w:rsidR="001E3887" w:rsidRDefault="001E3887" w:rsidP="001E3887"/>
    <w:p w:rsidR="001E3887" w:rsidRDefault="001E3887" w:rsidP="001E3887"/>
    <w:p w:rsidR="007620C1" w:rsidRDefault="007620C1">
      <w:bookmarkStart w:id="2" w:name="_GoBack"/>
      <w:bookmarkEnd w:id="2"/>
    </w:p>
    <w:sectPr w:rsidR="00762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87"/>
    <w:rsid w:val="001E3887"/>
    <w:rsid w:val="0076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F52EE-5C70-4F6B-8603-02E7EF4D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3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amskastner.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dwiley@williamskastner.com"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dwiley@williamskastner.com" TargetMode="External"/><Relationship Id="rId11" Type="http://schemas.openxmlformats.org/officeDocument/2006/relationships/fontTable" Target="fontTable.xml"/><Relationship Id="rId5" Type="http://schemas.openxmlformats.org/officeDocument/2006/relationships/hyperlink" Target="mailto:mfriedla@utc.wa.gov" TargetMode="External"/><Relationship Id="rId15" Type="http://schemas.openxmlformats.org/officeDocument/2006/relationships/customXml" Target="../customXml/item3.xml"/><Relationship Id="rId10" Type="http://schemas.openxmlformats.org/officeDocument/2006/relationships/image" Target="cid:image001.gif@01CF8BAC.84B0D190" TargetMode="External"/><Relationship Id="rId4" Type="http://schemas.openxmlformats.org/officeDocument/2006/relationships/hyperlink" Target="mailto:dwiley@williamskastner.com" TargetMode="External"/><Relationship Id="rId9" Type="http://schemas.openxmlformats.org/officeDocument/2006/relationships/image" Target="media/image1.gi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2014-06-19T07:00:00+00:00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48B2E-5255-4E35-B4C8-E002682B7C3A}"/>
</file>

<file path=customXml/itemProps2.xml><?xml version="1.0" encoding="utf-8"?>
<ds:datastoreItem xmlns:ds="http://schemas.openxmlformats.org/officeDocument/2006/customXml" ds:itemID="{3D88C372-6414-476B-A6BB-91BA0B0F48B5}"/>
</file>

<file path=customXml/itemProps3.xml><?xml version="1.0" encoding="utf-8"?>
<ds:datastoreItem xmlns:ds="http://schemas.openxmlformats.org/officeDocument/2006/customXml" ds:itemID="{A7193FB9-D173-4C43-A11C-7541E6D74B48}"/>
</file>

<file path=customXml/itemProps4.xml><?xml version="1.0" encoding="utf-8"?>
<ds:datastoreItem xmlns:ds="http://schemas.openxmlformats.org/officeDocument/2006/customXml" ds:itemID="{4F406854-6EBE-493C-90B3-D9E2A4E0AE9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Jennifer (UTC)</dc:creator>
  <cp:keywords/>
  <dc:description/>
  <cp:lastModifiedBy>Snyder, Jennifer (UTC)</cp:lastModifiedBy>
  <cp:revision>1</cp:revision>
  <dcterms:created xsi:type="dcterms:W3CDTF">2014-06-19T23:35:00Z</dcterms:created>
  <dcterms:modified xsi:type="dcterms:W3CDTF">2014-06-19T23:41:00Z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