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imes New Roman" w:hAnsi="Times New Roman" w:cs="Times New Roman"/>
          <w:b w:val="0"/>
          <w:bCs w:val="0"/>
          <w:color w:val="auto"/>
          <w:sz w:val="24"/>
          <w:szCs w:val="24"/>
        </w:rPr>
        <w:id w:val="2002964766"/>
        <w:docPartObj>
          <w:docPartGallery w:val="Table of Contents"/>
          <w:docPartUnique/>
        </w:docPartObj>
      </w:sdtPr>
      <w:sdtContent>
        <w:p w:rsidR="005E2DBB" w:rsidRPr="005E2DBB" w:rsidRDefault="005E2DBB" w:rsidP="005E2DBB">
          <w:pPr>
            <w:pStyle w:val="TOCHeading"/>
            <w:suppressLineNumbers/>
            <w:spacing w:before="0" w:line="360" w:lineRule="auto"/>
            <w:jc w:val="center"/>
            <w:rPr>
              <w:rFonts w:ascii="Times New Roman" w:hAnsi="Times New Roman" w:cs="Times New Roman"/>
              <w:sz w:val="24"/>
              <w:szCs w:val="24"/>
            </w:rPr>
          </w:pPr>
          <w:r w:rsidRPr="005E2DBB">
            <w:rPr>
              <w:rFonts w:ascii="Times New Roman" w:hAnsi="Times New Roman" w:cs="Times New Roman"/>
              <w:color w:val="auto"/>
              <w:sz w:val="24"/>
              <w:szCs w:val="24"/>
            </w:rPr>
            <w:t>T</w:t>
          </w:r>
          <w:r>
            <w:rPr>
              <w:rFonts w:ascii="Times New Roman" w:hAnsi="Times New Roman" w:cs="Times New Roman"/>
              <w:color w:val="auto"/>
              <w:sz w:val="24"/>
              <w:szCs w:val="24"/>
            </w:rPr>
            <w:t>ABLE OF CONTENTS</w:t>
          </w:r>
        </w:p>
        <w:p w:rsidR="005E2DBB" w:rsidRPr="005E2DBB" w:rsidRDefault="0036566A" w:rsidP="005E2DBB">
          <w:pPr>
            <w:pStyle w:val="TOC1"/>
            <w:rPr>
              <w:noProof/>
            </w:rPr>
          </w:pPr>
          <w:r w:rsidRPr="005E2DBB">
            <w:fldChar w:fldCharType="begin"/>
          </w:r>
          <w:r w:rsidR="005E2DBB" w:rsidRPr="005E2DBB">
            <w:instrText xml:space="preserve"> TOC \o "1-3" \h \z \u </w:instrText>
          </w:r>
          <w:r w:rsidRPr="005E2DBB">
            <w:fldChar w:fldCharType="separate"/>
          </w:r>
          <w:hyperlink w:anchor="_Toc345503688" w:history="1">
            <w:r w:rsidR="005E2DBB" w:rsidRPr="005E2DBB">
              <w:rPr>
                <w:rStyle w:val="Hyperlink"/>
                <w:noProof/>
              </w:rPr>
              <w:t>Qualifications</w:t>
            </w:r>
            <w:r w:rsidR="005E2DBB" w:rsidRPr="005E2DBB">
              <w:rPr>
                <w:noProof/>
                <w:webHidden/>
              </w:rPr>
              <w:tab/>
            </w:r>
            <w:r w:rsidRPr="005E2DBB">
              <w:rPr>
                <w:noProof/>
                <w:webHidden/>
              </w:rPr>
              <w:fldChar w:fldCharType="begin"/>
            </w:r>
            <w:r w:rsidR="005E2DBB" w:rsidRPr="005E2DBB">
              <w:rPr>
                <w:noProof/>
                <w:webHidden/>
              </w:rPr>
              <w:instrText xml:space="preserve"> PAGEREF _Toc345503688 \h </w:instrText>
            </w:r>
            <w:r w:rsidRPr="005E2DBB">
              <w:rPr>
                <w:noProof/>
                <w:webHidden/>
              </w:rPr>
            </w:r>
            <w:r w:rsidRPr="005E2DBB">
              <w:rPr>
                <w:noProof/>
                <w:webHidden/>
              </w:rPr>
              <w:fldChar w:fldCharType="separate"/>
            </w:r>
            <w:r w:rsidR="00563076">
              <w:rPr>
                <w:noProof/>
                <w:webHidden/>
              </w:rPr>
              <w:t>1</w:t>
            </w:r>
            <w:r w:rsidRPr="005E2DBB">
              <w:rPr>
                <w:noProof/>
                <w:webHidden/>
              </w:rPr>
              <w:fldChar w:fldCharType="end"/>
            </w:r>
          </w:hyperlink>
        </w:p>
        <w:p w:rsidR="005E2DBB" w:rsidRPr="005E2DBB" w:rsidRDefault="0036566A" w:rsidP="005E2DBB">
          <w:pPr>
            <w:pStyle w:val="TOC1"/>
            <w:rPr>
              <w:noProof/>
            </w:rPr>
          </w:pPr>
          <w:hyperlink w:anchor="_Toc345503689" w:history="1">
            <w:r w:rsidR="005E2DBB" w:rsidRPr="005E2DBB">
              <w:rPr>
                <w:rStyle w:val="Hyperlink"/>
                <w:noProof/>
              </w:rPr>
              <w:t>Summary of Testimony</w:t>
            </w:r>
            <w:r w:rsidR="005E2DBB" w:rsidRPr="005E2DBB">
              <w:rPr>
                <w:noProof/>
                <w:webHidden/>
              </w:rPr>
              <w:tab/>
            </w:r>
            <w:r w:rsidRPr="005E2DBB">
              <w:rPr>
                <w:noProof/>
                <w:webHidden/>
              </w:rPr>
              <w:fldChar w:fldCharType="begin"/>
            </w:r>
            <w:r w:rsidR="005E2DBB" w:rsidRPr="005E2DBB">
              <w:rPr>
                <w:noProof/>
                <w:webHidden/>
              </w:rPr>
              <w:instrText xml:space="preserve"> PAGEREF _Toc345503689 \h </w:instrText>
            </w:r>
            <w:r w:rsidRPr="005E2DBB">
              <w:rPr>
                <w:noProof/>
                <w:webHidden/>
              </w:rPr>
            </w:r>
            <w:r w:rsidRPr="005E2DBB">
              <w:rPr>
                <w:noProof/>
                <w:webHidden/>
              </w:rPr>
              <w:fldChar w:fldCharType="separate"/>
            </w:r>
            <w:r w:rsidR="00563076">
              <w:rPr>
                <w:noProof/>
                <w:webHidden/>
              </w:rPr>
              <w:t>2</w:t>
            </w:r>
            <w:r w:rsidRPr="005E2DBB">
              <w:rPr>
                <w:noProof/>
                <w:webHidden/>
              </w:rPr>
              <w:fldChar w:fldCharType="end"/>
            </w:r>
          </w:hyperlink>
        </w:p>
        <w:p w:rsidR="005E2DBB" w:rsidRPr="005E2DBB" w:rsidRDefault="0036566A" w:rsidP="005E2DBB">
          <w:pPr>
            <w:pStyle w:val="TOC1"/>
            <w:rPr>
              <w:noProof/>
            </w:rPr>
          </w:pPr>
          <w:hyperlink w:anchor="_Toc345503690" w:history="1">
            <w:r w:rsidR="005E2DBB" w:rsidRPr="005E2DBB">
              <w:rPr>
                <w:rStyle w:val="Hyperlink"/>
                <w:noProof/>
              </w:rPr>
              <w:t>Credit Ratings</w:t>
            </w:r>
            <w:r w:rsidR="005E2DBB" w:rsidRPr="005E2DBB">
              <w:rPr>
                <w:noProof/>
                <w:webHidden/>
              </w:rPr>
              <w:tab/>
            </w:r>
            <w:r w:rsidRPr="005E2DBB">
              <w:rPr>
                <w:noProof/>
                <w:webHidden/>
              </w:rPr>
              <w:fldChar w:fldCharType="begin"/>
            </w:r>
            <w:r w:rsidR="005E2DBB" w:rsidRPr="005E2DBB">
              <w:rPr>
                <w:noProof/>
                <w:webHidden/>
              </w:rPr>
              <w:instrText xml:space="preserve"> PAGEREF _Toc345503690 \h </w:instrText>
            </w:r>
            <w:r w:rsidRPr="005E2DBB">
              <w:rPr>
                <w:noProof/>
                <w:webHidden/>
              </w:rPr>
            </w:r>
            <w:r w:rsidRPr="005E2DBB">
              <w:rPr>
                <w:noProof/>
                <w:webHidden/>
              </w:rPr>
              <w:fldChar w:fldCharType="separate"/>
            </w:r>
            <w:r w:rsidR="00563076">
              <w:rPr>
                <w:noProof/>
                <w:webHidden/>
              </w:rPr>
              <w:t>4</w:t>
            </w:r>
            <w:r w:rsidRPr="005E2DBB">
              <w:rPr>
                <w:noProof/>
                <w:webHidden/>
              </w:rPr>
              <w:fldChar w:fldCharType="end"/>
            </w:r>
          </w:hyperlink>
        </w:p>
        <w:p w:rsidR="005E2DBB" w:rsidRPr="005E2DBB" w:rsidRDefault="0036566A" w:rsidP="005E2DBB">
          <w:pPr>
            <w:pStyle w:val="TOC1"/>
            <w:rPr>
              <w:noProof/>
            </w:rPr>
          </w:pPr>
          <w:hyperlink w:anchor="_Toc345503691" w:history="1">
            <w:r w:rsidR="005E2DBB" w:rsidRPr="005E2DBB">
              <w:rPr>
                <w:rStyle w:val="Hyperlink"/>
                <w:noProof/>
              </w:rPr>
              <w:t>Capital Structure</w:t>
            </w:r>
            <w:r w:rsidR="005E2DBB" w:rsidRPr="005E2DBB">
              <w:rPr>
                <w:noProof/>
                <w:webHidden/>
              </w:rPr>
              <w:tab/>
            </w:r>
            <w:r w:rsidRPr="005E2DBB">
              <w:rPr>
                <w:noProof/>
                <w:webHidden/>
              </w:rPr>
              <w:fldChar w:fldCharType="begin"/>
            </w:r>
            <w:r w:rsidR="005E2DBB" w:rsidRPr="005E2DBB">
              <w:rPr>
                <w:noProof/>
                <w:webHidden/>
              </w:rPr>
              <w:instrText xml:space="preserve"> PAGEREF _Toc345503691 \h </w:instrText>
            </w:r>
            <w:r w:rsidRPr="005E2DBB">
              <w:rPr>
                <w:noProof/>
                <w:webHidden/>
              </w:rPr>
            </w:r>
            <w:r w:rsidRPr="005E2DBB">
              <w:rPr>
                <w:noProof/>
                <w:webHidden/>
              </w:rPr>
              <w:fldChar w:fldCharType="separate"/>
            </w:r>
            <w:r w:rsidR="00563076">
              <w:rPr>
                <w:noProof/>
                <w:webHidden/>
              </w:rPr>
              <w:t>12</w:t>
            </w:r>
            <w:r w:rsidRPr="005E2DBB">
              <w:rPr>
                <w:noProof/>
                <w:webHidden/>
              </w:rPr>
              <w:fldChar w:fldCharType="end"/>
            </w:r>
          </w:hyperlink>
        </w:p>
        <w:p w:rsidR="005E2DBB" w:rsidRPr="005E2DBB" w:rsidRDefault="0036566A" w:rsidP="005E2DBB">
          <w:pPr>
            <w:pStyle w:val="TOC1"/>
            <w:rPr>
              <w:noProof/>
            </w:rPr>
          </w:pPr>
          <w:hyperlink w:anchor="_Toc345503692" w:history="1">
            <w:r w:rsidR="005E2DBB" w:rsidRPr="005E2DBB">
              <w:rPr>
                <w:rStyle w:val="Hyperlink"/>
                <w:noProof/>
              </w:rPr>
              <w:t>Historical Adjustments to Capital Structure</w:t>
            </w:r>
            <w:r w:rsidR="005E2DBB" w:rsidRPr="005E2DBB">
              <w:rPr>
                <w:noProof/>
                <w:webHidden/>
              </w:rPr>
              <w:tab/>
            </w:r>
            <w:r w:rsidRPr="005E2DBB">
              <w:rPr>
                <w:noProof/>
                <w:webHidden/>
              </w:rPr>
              <w:fldChar w:fldCharType="begin"/>
            </w:r>
            <w:r w:rsidR="005E2DBB" w:rsidRPr="005E2DBB">
              <w:rPr>
                <w:noProof/>
                <w:webHidden/>
              </w:rPr>
              <w:instrText xml:space="preserve"> PAGEREF _Toc345503692 \h </w:instrText>
            </w:r>
            <w:r w:rsidRPr="005E2DBB">
              <w:rPr>
                <w:noProof/>
                <w:webHidden/>
              </w:rPr>
            </w:r>
            <w:r w:rsidRPr="005E2DBB">
              <w:rPr>
                <w:noProof/>
                <w:webHidden/>
              </w:rPr>
              <w:fldChar w:fldCharType="separate"/>
            </w:r>
            <w:r w:rsidR="00563076">
              <w:rPr>
                <w:noProof/>
                <w:webHidden/>
              </w:rPr>
              <w:t>17</w:t>
            </w:r>
            <w:r w:rsidRPr="005E2DBB">
              <w:rPr>
                <w:noProof/>
                <w:webHidden/>
              </w:rPr>
              <w:fldChar w:fldCharType="end"/>
            </w:r>
          </w:hyperlink>
        </w:p>
        <w:p w:rsidR="005E2DBB" w:rsidRPr="005E2DBB" w:rsidRDefault="0036566A" w:rsidP="005E2DBB">
          <w:pPr>
            <w:pStyle w:val="TOC1"/>
            <w:rPr>
              <w:noProof/>
            </w:rPr>
          </w:pPr>
          <w:hyperlink w:anchor="_Toc345503693" w:history="1">
            <w:r w:rsidR="005E2DBB" w:rsidRPr="005E2DBB">
              <w:rPr>
                <w:rStyle w:val="Hyperlink"/>
                <w:noProof/>
              </w:rPr>
              <w:t>Financing Overview</w:t>
            </w:r>
            <w:r w:rsidR="005E2DBB" w:rsidRPr="005E2DBB">
              <w:rPr>
                <w:noProof/>
                <w:webHidden/>
              </w:rPr>
              <w:tab/>
            </w:r>
            <w:r w:rsidRPr="005E2DBB">
              <w:rPr>
                <w:noProof/>
                <w:webHidden/>
              </w:rPr>
              <w:fldChar w:fldCharType="begin"/>
            </w:r>
            <w:r w:rsidR="005E2DBB" w:rsidRPr="005E2DBB">
              <w:rPr>
                <w:noProof/>
                <w:webHidden/>
              </w:rPr>
              <w:instrText xml:space="preserve"> PAGEREF _Toc345503693 \h </w:instrText>
            </w:r>
            <w:r w:rsidRPr="005E2DBB">
              <w:rPr>
                <w:noProof/>
                <w:webHidden/>
              </w:rPr>
            </w:r>
            <w:r w:rsidRPr="005E2DBB">
              <w:rPr>
                <w:noProof/>
                <w:webHidden/>
              </w:rPr>
              <w:fldChar w:fldCharType="separate"/>
            </w:r>
            <w:r w:rsidR="00563076">
              <w:rPr>
                <w:noProof/>
                <w:webHidden/>
              </w:rPr>
              <w:t>18</w:t>
            </w:r>
            <w:r w:rsidRPr="005E2DBB">
              <w:rPr>
                <w:noProof/>
                <w:webHidden/>
              </w:rPr>
              <w:fldChar w:fldCharType="end"/>
            </w:r>
          </w:hyperlink>
        </w:p>
        <w:p w:rsidR="005E2DBB" w:rsidRPr="005E2DBB" w:rsidRDefault="0036566A" w:rsidP="005E2DBB">
          <w:pPr>
            <w:pStyle w:val="TOC1"/>
            <w:rPr>
              <w:noProof/>
            </w:rPr>
          </w:pPr>
          <w:hyperlink w:anchor="_Toc345503694" w:history="1">
            <w:r w:rsidR="005E2DBB" w:rsidRPr="005E2DBB">
              <w:rPr>
                <w:rStyle w:val="Hyperlink"/>
                <w:noProof/>
              </w:rPr>
              <w:t>Power Purchase Agreements</w:t>
            </w:r>
            <w:r w:rsidR="005E2DBB" w:rsidRPr="005E2DBB">
              <w:rPr>
                <w:noProof/>
                <w:webHidden/>
              </w:rPr>
              <w:tab/>
            </w:r>
            <w:r w:rsidRPr="005E2DBB">
              <w:rPr>
                <w:noProof/>
                <w:webHidden/>
              </w:rPr>
              <w:fldChar w:fldCharType="begin"/>
            </w:r>
            <w:r w:rsidR="005E2DBB" w:rsidRPr="005E2DBB">
              <w:rPr>
                <w:noProof/>
                <w:webHidden/>
              </w:rPr>
              <w:instrText xml:space="preserve"> PAGEREF _Toc345503694 \h </w:instrText>
            </w:r>
            <w:r w:rsidRPr="005E2DBB">
              <w:rPr>
                <w:noProof/>
                <w:webHidden/>
              </w:rPr>
            </w:r>
            <w:r w:rsidRPr="005E2DBB">
              <w:rPr>
                <w:noProof/>
                <w:webHidden/>
              </w:rPr>
              <w:fldChar w:fldCharType="separate"/>
            </w:r>
            <w:r w:rsidR="00563076">
              <w:rPr>
                <w:noProof/>
                <w:webHidden/>
              </w:rPr>
              <w:t>20</w:t>
            </w:r>
            <w:r w:rsidRPr="005E2DBB">
              <w:rPr>
                <w:noProof/>
                <w:webHidden/>
              </w:rPr>
              <w:fldChar w:fldCharType="end"/>
            </w:r>
          </w:hyperlink>
        </w:p>
        <w:p w:rsidR="005E2DBB" w:rsidRPr="005E2DBB" w:rsidRDefault="0036566A" w:rsidP="005E2DBB">
          <w:pPr>
            <w:pStyle w:val="TOC1"/>
            <w:rPr>
              <w:noProof/>
            </w:rPr>
          </w:pPr>
          <w:hyperlink w:anchor="_Toc345503695" w:history="1">
            <w:r w:rsidR="005E2DBB" w:rsidRPr="005E2DBB">
              <w:rPr>
                <w:rStyle w:val="Hyperlink"/>
                <w:noProof/>
              </w:rPr>
              <w:t>Financing Cost Calculations</w:t>
            </w:r>
            <w:r w:rsidR="005E2DBB" w:rsidRPr="005E2DBB">
              <w:rPr>
                <w:noProof/>
                <w:webHidden/>
              </w:rPr>
              <w:tab/>
            </w:r>
            <w:r w:rsidRPr="005E2DBB">
              <w:rPr>
                <w:noProof/>
                <w:webHidden/>
              </w:rPr>
              <w:fldChar w:fldCharType="begin"/>
            </w:r>
            <w:r w:rsidR="005E2DBB" w:rsidRPr="005E2DBB">
              <w:rPr>
                <w:noProof/>
                <w:webHidden/>
              </w:rPr>
              <w:instrText xml:space="preserve"> PAGEREF _Toc345503695 \h </w:instrText>
            </w:r>
            <w:r w:rsidRPr="005E2DBB">
              <w:rPr>
                <w:noProof/>
                <w:webHidden/>
              </w:rPr>
            </w:r>
            <w:r w:rsidRPr="005E2DBB">
              <w:rPr>
                <w:noProof/>
                <w:webHidden/>
              </w:rPr>
              <w:fldChar w:fldCharType="separate"/>
            </w:r>
            <w:r w:rsidR="00563076">
              <w:rPr>
                <w:noProof/>
                <w:webHidden/>
              </w:rPr>
              <w:t>22</w:t>
            </w:r>
            <w:r w:rsidRPr="005E2DBB">
              <w:rPr>
                <w:noProof/>
                <w:webHidden/>
              </w:rPr>
              <w:fldChar w:fldCharType="end"/>
            </w:r>
          </w:hyperlink>
        </w:p>
        <w:p w:rsidR="005E2DBB" w:rsidRPr="005E2DBB" w:rsidRDefault="0036566A" w:rsidP="005E2DBB">
          <w:pPr>
            <w:suppressLineNumbers/>
            <w:spacing w:line="360" w:lineRule="auto"/>
          </w:pPr>
          <w:r w:rsidRPr="005E2DBB">
            <w:fldChar w:fldCharType="end"/>
          </w:r>
        </w:p>
      </w:sdtContent>
    </w:sdt>
    <w:p w:rsidR="005E2DBB" w:rsidRDefault="005E2DBB" w:rsidP="005E2DBB">
      <w:pPr>
        <w:suppressLineNumbers/>
        <w:spacing w:line="360" w:lineRule="auto"/>
        <w:ind w:left="0" w:firstLine="0"/>
        <w:rPr>
          <w:b/>
          <w:bCs/>
        </w:rPr>
        <w:sectPr w:rsidR="005E2DBB" w:rsidSect="00321E51">
          <w:headerReference w:type="even" r:id="rId7"/>
          <w:headerReference w:type="default" r:id="rId8"/>
          <w:footerReference w:type="even" r:id="rId9"/>
          <w:footerReference w:type="default" r:id="rId10"/>
          <w:headerReference w:type="first" r:id="rId11"/>
          <w:footerReference w:type="first" r:id="rId12"/>
          <w:pgSz w:w="12240" w:h="15840" w:code="1"/>
          <w:pgMar w:top="1440" w:right="1800" w:bottom="1440" w:left="1800" w:header="720" w:footer="720" w:gutter="0"/>
          <w:lnNumType w:countBy="1"/>
          <w:cols w:space="720"/>
          <w:docGrid w:linePitch="360"/>
        </w:sectPr>
      </w:pPr>
      <w:r w:rsidRPr="005E2DBB">
        <w:rPr>
          <w:b/>
          <w:bCs/>
        </w:rPr>
        <w:br w:type="page"/>
      </w:r>
    </w:p>
    <w:p w:rsidR="00785152" w:rsidRDefault="00785152" w:rsidP="00E45B69">
      <w:pPr>
        <w:pStyle w:val="BodyTextIndent"/>
        <w:rPr>
          <w:b/>
          <w:bCs/>
        </w:rPr>
      </w:pPr>
      <w:r>
        <w:rPr>
          <w:b/>
          <w:bCs/>
        </w:rPr>
        <w:lastRenderedPageBreak/>
        <w:t>Q.</w:t>
      </w:r>
      <w:r>
        <w:rPr>
          <w:b/>
          <w:bCs/>
        </w:rPr>
        <w:tab/>
        <w:t xml:space="preserve">Please state your </w:t>
      </w:r>
      <w:r>
        <w:rPr>
          <w:rStyle w:val="LineNumber"/>
          <w:b/>
          <w:bCs/>
        </w:rPr>
        <w:t>name</w:t>
      </w:r>
      <w:r>
        <w:rPr>
          <w:b/>
          <w:bCs/>
        </w:rPr>
        <w:t>, business address</w:t>
      </w:r>
      <w:r w:rsidR="001A0A0F">
        <w:rPr>
          <w:b/>
          <w:bCs/>
        </w:rPr>
        <w:t>,</w:t>
      </w:r>
      <w:r>
        <w:rPr>
          <w:b/>
          <w:bCs/>
        </w:rPr>
        <w:t xml:space="preserve"> and present position with PacifiCorp</w:t>
      </w:r>
      <w:r w:rsidR="001A0A0F">
        <w:rPr>
          <w:b/>
          <w:bCs/>
        </w:rPr>
        <w:t xml:space="preserve"> d/b/a Pacific Power &amp; Light Company</w:t>
      </w:r>
      <w:r>
        <w:rPr>
          <w:b/>
          <w:bCs/>
        </w:rPr>
        <w:t xml:space="preserve"> (</w:t>
      </w:r>
      <w:r w:rsidR="00586D27">
        <w:rPr>
          <w:b/>
          <w:bCs/>
        </w:rPr>
        <w:t xml:space="preserve">PacifiCorp or </w:t>
      </w:r>
      <w:r>
        <w:rPr>
          <w:b/>
          <w:bCs/>
        </w:rPr>
        <w:t>Company).</w:t>
      </w:r>
    </w:p>
    <w:p w:rsidR="00785152" w:rsidRDefault="00785152" w:rsidP="00E45B69">
      <w:pPr>
        <w:numPr>
          <w:ilvl w:val="0"/>
          <w:numId w:val="34"/>
        </w:numPr>
      </w:pPr>
      <w:r>
        <w:t>My name is Bruce N. Williams.  My business address is 825 NE Multnomah</w:t>
      </w:r>
      <w:r w:rsidR="00123CFF">
        <w:t xml:space="preserve"> Street</w:t>
      </w:r>
      <w:r>
        <w:t xml:space="preserve">, Suite 1900, Portland, Oregon 97232.  </w:t>
      </w:r>
      <w:r w:rsidR="0016006C">
        <w:t>My present position is</w:t>
      </w:r>
      <w:r>
        <w:t xml:space="preserve"> Vice President and Treasurer.</w:t>
      </w:r>
    </w:p>
    <w:p w:rsidR="00785152" w:rsidRPr="002E7574" w:rsidRDefault="00785152" w:rsidP="002E7574">
      <w:pPr>
        <w:pStyle w:val="Heading1"/>
      </w:pPr>
      <w:bookmarkStart w:id="0" w:name="_Toc345503688"/>
      <w:r w:rsidRPr="002E7574">
        <w:t>Qualifications</w:t>
      </w:r>
      <w:bookmarkEnd w:id="0"/>
    </w:p>
    <w:p w:rsidR="00785152" w:rsidRDefault="002E7DBB" w:rsidP="00E45B69">
      <w:pPr>
        <w:numPr>
          <w:ilvl w:val="0"/>
          <w:numId w:val="20"/>
        </w:numPr>
        <w:rPr>
          <w:b/>
          <w:bCs/>
        </w:rPr>
      </w:pPr>
      <w:r>
        <w:rPr>
          <w:b/>
          <w:bCs/>
        </w:rPr>
        <w:t>Briefly describe your education</w:t>
      </w:r>
      <w:r w:rsidR="000F52AA">
        <w:rPr>
          <w:b/>
          <w:bCs/>
        </w:rPr>
        <w:t xml:space="preserve"> and professional </w:t>
      </w:r>
      <w:r w:rsidR="00321E51">
        <w:rPr>
          <w:b/>
          <w:bCs/>
        </w:rPr>
        <w:t>experience</w:t>
      </w:r>
      <w:r w:rsidR="00785152">
        <w:rPr>
          <w:b/>
          <w:bCs/>
        </w:rPr>
        <w:t>.</w:t>
      </w:r>
    </w:p>
    <w:p w:rsidR="00785152" w:rsidRDefault="00785152" w:rsidP="00E45B69">
      <w:pPr>
        <w:pStyle w:val="BodyTextIndent"/>
        <w:numPr>
          <w:ilvl w:val="0"/>
          <w:numId w:val="21"/>
        </w:numPr>
      </w:pPr>
      <w:r>
        <w:t>I received a Bachelor of Science degree in Business Administration with a concentration in Finance from Oregon State University in June 1980.  I also received the Chartered Financial Analyst designation upon passing the examination in September 1986.  I</w:t>
      </w:r>
      <w:r w:rsidR="003A09E9">
        <w:t xml:space="preserve"> </w:t>
      </w:r>
      <w:r>
        <w:t>have been employed by the Company for 2</w:t>
      </w:r>
      <w:r w:rsidR="0072219D">
        <w:t>7</w:t>
      </w:r>
      <w:r w:rsidR="00123CFF">
        <w:t> </w:t>
      </w:r>
      <w:r>
        <w:t xml:space="preserve">years.  My business experience has included financing of the Company’s electric operations and non-utility activities, </w:t>
      </w:r>
      <w:r w:rsidR="00B71F78">
        <w:t xml:space="preserve">responsibility for the investment management of the Company’s qualified and non-qualified </w:t>
      </w:r>
      <w:r w:rsidR="00C06F73">
        <w:t>r</w:t>
      </w:r>
      <w:r w:rsidR="00B71F78">
        <w:t>etirement plan assets, and investor</w:t>
      </w:r>
      <w:r>
        <w:t xml:space="preserve"> relations.</w:t>
      </w:r>
    </w:p>
    <w:p w:rsidR="00785152" w:rsidRDefault="00785152" w:rsidP="00E45B69">
      <w:pPr>
        <w:numPr>
          <w:ilvl w:val="0"/>
          <w:numId w:val="22"/>
        </w:numPr>
        <w:rPr>
          <w:b/>
          <w:bCs/>
        </w:rPr>
      </w:pPr>
      <w:r>
        <w:rPr>
          <w:b/>
          <w:bCs/>
        </w:rPr>
        <w:t>Please describe your present duties.</w:t>
      </w:r>
    </w:p>
    <w:p w:rsidR="0072233C" w:rsidRDefault="00785152">
      <w:pPr>
        <w:pStyle w:val="BodyTextIndent"/>
        <w:numPr>
          <w:ilvl w:val="0"/>
          <w:numId w:val="23"/>
        </w:numPr>
        <w:rPr>
          <w:b/>
        </w:rPr>
      </w:pPr>
      <w:r>
        <w:t>I am responsible for the Company’s treasury, credit risk management, pension</w:t>
      </w:r>
      <w:r w:rsidR="001A0A0F">
        <w:t>,</w:t>
      </w:r>
      <w:r>
        <w:t xml:space="preserve"> and other investment management activities.  I am </w:t>
      </w:r>
      <w:r w:rsidR="0079648E">
        <w:t xml:space="preserve">also </w:t>
      </w:r>
      <w:r>
        <w:t xml:space="preserve">responsible for the preparation of PacifiCorp’s embedded cost of debt and preferred equity and </w:t>
      </w:r>
      <w:r w:rsidR="0079648E">
        <w:t xml:space="preserve">any associated </w:t>
      </w:r>
      <w:r>
        <w:t>testimony related to capital structure</w:t>
      </w:r>
      <w:r w:rsidR="0079648E">
        <w:t xml:space="preserve"> for regulatory filings in all of PacifiCorp’s state and federal jurisdictions</w:t>
      </w:r>
      <w:r>
        <w:t>.</w:t>
      </w:r>
      <w:r w:rsidR="00586D27">
        <w:br w:type="page"/>
      </w:r>
    </w:p>
    <w:p w:rsidR="0072233C" w:rsidRDefault="007D6AEC" w:rsidP="002E7574">
      <w:pPr>
        <w:pStyle w:val="Heading1"/>
      </w:pPr>
      <w:bookmarkStart w:id="1" w:name="_Toc345503689"/>
      <w:r w:rsidRPr="007D6AEC">
        <w:lastRenderedPageBreak/>
        <w:t>Summary</w:t>
      </w:r>
      <w:r w:rsidR="00785152" w:rsidRPr="00281FE9">
        <w:t xml:space="preserve"> of Testimony</w:t>
      </w:r>
      <w:bookmarkEnd w:id="1"/>
    </w:p>
    <w:p w:rsidR="00785152" w:rsidRDefault="007D6AEC" w:rsidP="00E45B69">
      <w:pPr>
        <w:numPr>
          <w:ilvl w:val="0"/>
          <w:numId w:val="24"/>
        </w:numPr>
        <w:rPr>
          <w:b/>
          <w:bCs/>
        </w:rPr>
      </w:pPr>
      <w:r>
        <w:rPr>
          <w:b/>
          <w:bCs/>
        </w:rPr>
        <w:t>Please provide a summary</w:t>
      </w:r>
      <w:r w:rsidR="00785152">
        <w:rPr>
          <w:b/>
          <w:bCs/>
        </w:rPr>
        <w:t xml:space="preserve"> of your testimony</w:t>
      </w:r>
      <w:r w:rsidR="00586D27">
        <w:rPr>
          <w:b/>
          <w:bCs/>
        </w:rPr>
        <w:t>.</w:t>
      </w:r>
    </w:p>
    <w:p w:rsidR="0047792C" w:rsidRDefault="007D6AEC" w:rsidP="00E45B69">
      <w:pPr>
        <w:pStyle w:val="BodyTextIndent"/>
        <w:widowControl w:val="0"/>
        <w:numPr>
          <w:ilvl w:val="0"/>
          <w:numId w:val="35"/>
        </w:numPr>
        <w:ind w:hanging="720"/>
      </w:pPr>
      <w:r>
        <w:t>My testimony discusses the Company’s capital structure and costs of capital.  It supports the requested common equity level of 52.5</w:t>
      </w:r>
      <w:r w:rsidR="00A04B45">
        <w:t>1</w:t>
      </w:r>
      <w:r>
        <w:t xml:space="preserve"> percent and provides evidence of how the Company’s capital struct</w:t>
      </w:r>
      <w:r w:rsidR="0047792C">
        <w:t>ure balances safety and economy and benefits customers.  These benefits include maintaining the Company’s current credit ratings, which will facilitate continued access to the capital markets for the Company, and providing a more competitive cost of debt and overall cost of capital over the long term.  I also support the Company’s cost of long-term debt of 5.37 percent and cost of preferred stock of 5.4</w:t>
      </w:r>
      <w:r w:rsidR="00A04B45">
        <w:t>3</w:t>
      </w:r>
      <w:r w:rsidR="0047792C">
        <w:t xml:space="preserve"> percent.</w:t>
      </w:r>
    </w:p>
    <w:p w:rsidR="00CA069B" w:rsidRDefault="00137832" w:rsidP="00CA069B">
      <w:pPr>
        <w:pStyle w:val="BodyTextIndent"/>
        <w:ind w:left="0" w:firstLine="0"/>
        <w:rPr>
          <w:b/>
          <w:bCs/>
        </w:rPr>
      </w:pPr>
      <w:r>
        <w:rPr>
          <w:b/>
          <w:bCs/>
        </w:rPr>
        <w:t>Q.</w:t>
      </w:r>
      <w:r>
        <w:rPr>
          <w:b/>
          <w:bCs/>
        </w:rPr>
        <w:tab/>
        <w:t>What is the overall cost of capital that you are proposing in this proceeding?</w:t>
      </w:r>
    </w:p>
    <w:p w:rsidR="00CA069B" w:rsidRDefault="00137832" w:rsidP="00CA069B">
      <w:pPr>
        <w:pStyle w:val="BodyTextIndent"/>
      </w:pPr>
      <w:r>
        <w:t>A.</w:t>
      </w:r>
      <w:r>
        <w:tab/>
        <w:t xml:space="preserve">PacifiCorp is proposing an overall cost of capital of </w:t>
      </w:r>
      <w:r w:rsidR="00B55161">
        <w:t>7</w:t>
      </w:r>
      <w:r>
        <w:t>.</w:t>
      </w:r>
      <w:r w:rsidR="00B55161">
        <w:t>8</w:t>
      </w:r>
      <w:r w:rsidR="00745AF1">
        <w:t>0</w:t>
      </w:r>
      <w:r>
        <w:t xml:space="preserve"> percent.  This cost includes the </w:t>
      </w:r>
      <w:r w:rsidR="001A0A0F">
        <w:t xml:space="preserve">return </w:t>
      </w:r>
      <w:r>
        <w:t xml:space="preserve">on </w:t>
      </w:r>
      <w:r w:rsidR="001A0A0F">
        <w:t xml:space="preserve">equity </w:t>
      </w:r>
      <w:r>
        <w:t xml:space="preserve">recommendation presented in the direct testimony of </w:t>
      </w:r>
      <w:r w:rsidR="00D01B1D">
        <w:t>Dr.</w:t>
      </w:r>
      <w:r w:rsidR="001A0A0F">
        <w:t xml:space="preserve"> </w:t>
      </w:r>
      <w:r>
        <w:t>Samuel C. Hadaway and the following capital structure and costs:</w:t>
      </w:r>
    </w:p>
    <w:p w:rsidR="0072233C" w:rsidRDefault="00137832">
      <w:pPr>
        <w:pStyle w:val="BodyTextIndent"/>
        <w:suppressLineNumbers/>
        <w:ind w:left="360" w:firstLine="0"/>
        <w:jc w:val="center"/>
        <w:rPr>
          <w:b/>
          <w:bCs/>
        </w:rPr>
      </w:pPr>
      <w:r w:rsidRPr="009B5C07">
        <w:rPr>
          <w:b/>
        </w:rPr>
        <w:t>Overall Cost of Capital</w:t>
      </w:r>
    </w:p>
    <w:tbl>
      <w:tblPr>
        <w:tblStyle w:val="TableGrid1"/>
        <w:tblW w:w="0" w:type="auto"/>
        <w:tblInd w:w="828" w:type="dxa"/>
        <w:tblLook w:val="04A0"/>
      </w:tblPr>
      <w:tblGrid>
        <w:gridCol w:w="2700"/>
        <w:gridCol w:w="1800"/>
        <w:gridCol w:w="1440"/>
        <w:gridCol w:w="1620"/>
      </w:tblGrid>
      <w:tr w:rsidR="001A0A0F" w:rsidRPr="001A0A0F" w:rsidTr="00EA34B6">
        <w:tc>
          <w:tcPr>
            <w:tcW w:w="2700" w:type="dxa"/>
            <w:shd w:val="clear" w:color="auto" w:fill="auto"/>
            <w:vAlign w:val="center"/>
          </w:tcPr>
          <w:p w:rsidR="001A0A0F" w:rsidRPr="001A0A0F" w:rsidRDefault="001A0A0F" w:rsidP="001A0A0F">
            <w:pPr>
              <w:spacing w:line="240" w:lineRule="auto"/>
              <w:ind w:left="0" w:firstLine="0"/>
              <w:jc w:val="center"/>
              <w:rPr>
                <w:b/>
              </w:rPr>
            </w:pPr>
            <w:r w:rsidRPr="001A0A0F">
              <w:rPr>
                <w:b/>
              </w:rPr>
              <w:t>Component</w:t>
            </w:r>
          </w:p>
        </w:tc>
        <w:tc>
          <w:tcPr>
            <w:tcW w:w="1800" w:type="dxa"/>
            <w:shd w:val="clear" w:color="auto" w:fill="auto"/>
            <w:vAlign w:val="center"/>
          </w:tcPr>
          <w:p w:rsidR="001A0A0F" w:rsidRPr="001A0A0F" w:rsidRDefault="001A0A0F" w:rsidP="001A0A0F">
            <w:pPr>
              <w:spacing w:line="240" w:lineRule="auto"/>
              <w:ind w:left="0" w:firstLine="0"/>
              <w:jc w:val="center"/>
              <w:rPr>
                <w:b/>
              </w:rPr>
            </w:pPr>
            <w:r w:rsidRPr="001A0A0F">
              <w:rPr>
                <w:b/>
              </w:rPr>
              <w:t>Percent of Total</w:t>
            </w:r>
          </w:p>
        </w:tc>
        <w:tc>
          <w:tcPr>
            <w:tcW w:w="1440" w:type="dxa"/>
            <w:shd w:val="clear" w:color="auto" w:fill="auto"/>
            <w:vAlign w:val="center"/>
          </w:tcPr>
          <w:p w:rsidR="001A0A0F" w:rsidRPr="001A0A0F" w:rsidRDefault="001A0A0F" w:rsidP="001A0A0F">
            <w:pPr>
              <w:spacing w:line="240" w:lineRule="auto"/>
              <w:ind w:left="0" w:firstLine="0"/>
              <w:jc w:val="center"/>
              <w:rPr>
                <w:b/>
              </w:rPr>
            </w:pPr>
            <w:r w:rsidRPr="001A0A0F">
              <w:rPr>
                <w:b/>
              </w:rPr>
              <w:t>Cost</w:t>
            </w:r>
          </w:p>
        </w:tc>
        <w:tc>
          <w:tcPr>
            <w:tcW w:w="1620" w:type="dxa"/>
            <w:shd w:val="clear" w:color="auto" w:fill="auto"/>
            <w:vAlign w:val="center"/>
          </w:tcPr>
          <w:p w:rsidR="001A0A0F" w:rsidRPr="001A0A0F" w:rsidRDefault="001A0A0F" w:rsidP="001A0A0F">
            <w:pPr>
              <w:spacing w:line="240" w:lineRule="auto"/>
              <w:ind w:left="0" w:firstLine="0"/>
              <w:jc w:val="center"/>
              <w:rPr>
                <w:b/>
              </w:rPr>
            </w:pPr>
            <w:r w:rsidRPr="001A0A0F">
              <w:rPr>
                <w:b/>
              </w:rPr>
              <w:t>Weighted Average</w:t>
            </w:r>
          </w:p>
        </w:tc>
      </w:tr>
      <w:tr w:rsidR="001A0A0F" w:rsidRPr="001A0A0F" w:rsidTr="001A0A0F">
        <w:tc>
          <w:tcPr>
            <w:tcW w:w="2700" w:type="dxa"/>
          </w:tcPr>
          <w:p w:rsidR="001A0A0F" w:rsidRPr="001A0A0F" w:rsidRDefault="001A0A0F" w:rsidP="001A0A0F">
            <w:pPr>
              <w:spacing w:line="240" w:lineRule="auto"/>
              <w:ind w:left="0" w:firstLine="0"/>
            </w:pPr>
            <w:r w:rsidRPr="001A0A0F">
              <w:t>Long-Term Debt</w:t>
            </w:r>
          </w:p>
        </w:tc>
        <w:tc>
          <w:tcPr>
            <w:tcW w:w="1800" w:type="dxa"/>
          </w:tcPr>
          <w:p w:rsidR="001A0A0F" w:rsidRPr="001A0A0F" w:rsidRDefault="001A0A0F" w:rsidP="001A0A0F">
            <w:pPr>
              <w:spacing w:line="240" w:lineRule="auto"/>
              <w:ind w:left="0" w:firstLine="0"/>
              <w:jc w:val="right"/>
            </w:pPr>
            <w:r>
              <w:t>47.21</w:t>
            </w:r>
            <w:r w:rsidRPr="001A0A0F">
              <w:t>%</w:t>
            </w:r>
          </w:p>
        </w:tc>
        <w:tc>
          <w:tcPr>
            <w:tcW w:w="1440" w:type="dxa"/>
          </w:tcPr>
          <w:p w:rsidR="001A0A0F" w:rsidRPr="001A0A0F" w:rsidRDefault="001A0A0F" w:rsidP="001A0A0F">
            <w:pPr>
              <w:spacing w:line="240" w:lineRule="auto"/>
              <w:ind w:left="0" w:firstLine="0"/>
              <w:jc w:val="right"/>
            </w:pPr>
            <w:r w:rsidRPr="001A0A0F">
              <w:t>5.37%</w:t>
            </w:r>
          </w:p>
        </w:tc>
        <w:tc>
          <w:tcPr>
            <w:tcW w:w="1620" w:type="dxa"/>
          </w:tcPr>
          <w:p w:rsidR="001A0A0F" w:rsidRPr="001A0A0F" w:rsidRDefault="001A0A0F" w:rsidP="001A0A0F">
            <w:pPr>
              <w:spacing w:line="240" w:lineRule="auto"/>
              <w:ind w:left="0" w:firstLine="0"/>
              <w:jc w:val="right"/>
            </w:pPr>
            <w:r w:rsidRPr="001A0A0F">
              <w:t>2.5</w:t>
            </w:r>
            <w:r>
              <w:t>4</w:t>
            </w:r>
            <w:r w:rsidRPr="001A0A0F">
              <w:t>%</w:t>
            </w:r>
          </w:p>
        </w:tc>
      </w:tr>
      <w:tr w:rsidR="001A0A0F" w:rsidRPr="001A0A0F" w:rsidTr="001A0A0F">
        <w:tc>
          <w:tcPr>
            <w:tcW w:w="2700" w:type="dxa"/>
          </w:tcPr>
          <w:p w:rsidR="001A0A0F" w:rsidRPr="001A0A0F" w:rsidRDefault="001A0A0F" w:rsidP="001A0A0F">
            <w:pPr>
              <w:spacing w:line="240" w:lineRule="auto"/>
              <w:ind w:left="0" w:firstLine="0"/>
            </w:pPr>
            <w:r w:rsidRPr="001A0A0F">
              <w:t>Preferred Stock</w:t>
            </w:r>
          </w:p>
        </w:tc>
        <w:tc>
          <w:tcPr>
            <w:tcW w:w="1800" w:type="dxa"/>
          </w:tcPr>
          <w:p w:rsidR="001A0A0F" w:rsidRPr="001A0A0F" w:rsidRDefault="001A0A0F" w:rsidP="001A0A0F">
            <w:pPr>
              <w:spacing w:line="240" w:lineRule="auto"/>
              <w:ind w:left="0" w:firstLine="0"/>
              <w:jc w:val="right"/>
            </w:pPr>
            <w:r>
              <w:t>0.28</w:t>
            </w:r>
            <w:r w:rsidRPr="001A0A0F">
              <w:t>%</w:t>
            </w:r>
          </w:p>
        </w:tc>
        <w:tc>
          <w:tcPr>
            <w:tcW w:w="1440" w:type="dxa"/>
          </w:tcPr>
          <w:p w:rsidR="001A0A0F" w:rsidRPr="001A0A0F" w:rsidRDefault="001A0A0F" w:rsidP="001A0A0F">
            <w:pPr>
              <w:spacing w:line="240" w:lineRule="auto"/>
              <w:ind w:left="0" w:firstLine="0"/>
              <w:jc w:val="right"/>
            </w:pPr>
            <w:r w:rsidRPr="001A0A0F">
              <w:t>5.43%</w:t>
            </w:r>
          </w:p>
        </w:tc>
        <w:tc>
          <w:tcPr>
            <w:tcW w:w="1620" w:type="dxa"/>
          </w:tcPr>
          <w:p w:rsidR="001A0A0F" w:rsidRPr="001A0A0F" w:rsidRDefault="001A0A0F" w:rsidP="001A0A0F">
            <w:pPr>
              <w:spacing w:line="240" w:lineRule="auto"/>
              <w:ind w:left="0" w:firstLine="0"/>
              <w:jc w:val="right"/>
            </w:pPr>
            <w:r w:rsidRPr="001A0A0F">
              <w:t>0.02%</w:t>
            </w:r>
          </w:p>
        </w:tc>
      </w:tr>
      <w:tr w:rsidR="001A0A0F" w:rsidRPr="001A0A0F" w:rsidTr="001A0A0F">
        <w:tc>
          <w:tcPr>
            <w:tcW w:w="2700" w:type="dxa"/>
            <w:tcBorders>
              <w:bottom w:val="double" w:sz="4" w:space="0" w:color="000000" w:themeColor="text1"/>
            </w:tcBorders>
          </w:tcPr>
          <w:p w:rsidR="001A0A0F" w:rsidRPr="001A0A0F" w:rsidRDefault="001A0A0F" w:rsidP="001A0A0F">
            <w:pPr>
              <w:spacing w:line="240" w:lineRule="auto"/>
              <w:ind w:left="0" w:firstLine="0"/>
            </w:pPr>
            <w:r w:rsidRPr="001A0A0F">
              <w:t>Common Stock Equity</w:t>
            </w:r>
          </w:p>
        </w:tc>
        <w:tc>
          <w:tcPr>
            <w:tcW w:w="1800" w:type="dxa"/>
            <w:tcBorders>
              <w:bottom w:val="double" w:sz="4" w:space="0" w:color="000000" w:themeColor="text1"/>
            </w:tcBorders>
          </w:tcPr>
          <w:p w:rsidR="001A0A0F" w:rsidRPr="001A0A0F" w:rsidRDefault="001A0A0F" w:rsidP="001A0A0F">
            <w:pPr>
              <w:spacing w:line="240" w:lineRule="auto"/>
              <w:ind w:left="0" w:firstLine="0"/>
              <w:jc w:val="right"/>
            </w:pPr>
            <w:r>
              <w:t>52.51</w:t>
            </w:r>
            <w:r w:rsidRPr="001A0A0F">
              <w:t>%</w:t>
            </w:r>
          </w:p>
        </w:tc>
        <w:tc>
          <w:tcPr>
            <w:tcW w:w="1440" w:type="dxa"/>
            <w:tcBorders>
              <w:bottom w:val="double" w:sz="4" w:space="0" w:color="000000" w:themeColor="text1"/>
            </w:tcBorders>
          </w:tcPr>
          <w:p w:rsidR="001A0A0F" w:rsidRPr="001A0A0F" w:rsidRDefault="001A0A0F" w:rsidP="001A0A0F">
            <w:pPr>
              <w:spacing w:line="240" w:lineRule="auto"/>
              <w:ind w:left="0" w:firstLine="0"/>
              <w:jc w:val="right"/>
            </w:pPr>
            <w:r w:rsidRPr="003A482E">
              <w:t>10.00%</w:t>
            </w:r>
          </w:p>
        </w:tc>
        <w:tc>
          <w:tcPr>
            <w:tcW w:w="1620" w:type="dxa"/>
            <w:tcBorders>
              <w:bottom w:val="double" w:sz="4" w:space="0" w:color="000000" w:themeColor="text1"/>
            </w:tcBorders>
          </w:tcPr>
          <w:p w:rsidR="001A0A0F" w:rsidRPr="001A0A0F" w:rsidRDefault="001A0A0F" w:rsidP="001A0A0F">
            <w:pPr>
              <w:spacing w:line="240" w:lineRule="auto"/>
              <w:ind w:left="0" w:firstLine="0"/>
              <w:jc w:val="right"/>
            </w:pPr>
            <w:r>
              <w:t>5.25</w:t>
            </w:r>
            <w:r w:rsidRPr="001A0A0F">
              <w:t>%</w:t>
            </w:r>
          </w:p>
        </w:tc>
      </w:tr>
      <w:tr w:rsidR="001A0A0F" w:rsidRPr="001A0A0F" w:rsidTr="001A0A0F">
        <w:tc>
          <w:tcPr>
            <w:tcW w:w="2700" w:type="dxa"/>
            <w:tcBorders>
              <w:top w:val="double" w:sz="4" w:space="0" w:color="000000" w:themeColor="text1"/>
            </w:tcBorders>
            <w:shd w:val="clear" w:color="auto" w:fill="auto"/>
          </w:tcPr>
          <w:p w:rsidR="001A0A0F" w:rsidRPr="001A0A0F" w:rsidRDefault="001A0A0F" w:rsidP="001A0A0F">
            <w:pPr>
              <w:spacing w:line="240" w:lineRule="auto"/>
              <w:ind w:left="0" w:firstLine="0"/>
            </w:pPr>
            <w:r w:rsidRPr="001A0A0F">
              <w:t>Total</w:t>
            </w:r>
          </w:p>
        </w:tc>
        <w:tc>
          <w:tcPr>
            <w:tcW w:w="1800" w:type="dxa"/>
            <w:tcBorders>
              <w:top w:val="double" w:sz="4" w:space="0" w:color="000000" w:themeColor="text1"/>
            </w:tcBorders>
            <w:shd w:val="clear" w:color="auto" w:fill="auto"/>
          </w:tcPr>
          <w:p w:rsidR="001A0A0F" w:rsidRPr="001A0A0F" w:rsidRDefault="001A0A0F" w:rsidP="001A0A0F">
            <w:pPr>
              <w:spacing w:line="240" w:lineRule="auto"/>
              <w:ind w:left="0" w:firstLine="0"/>
              <w:jc w:val="right"/>
            </w:pPr>
            <w:r w:rsidRPr="001A0A0F">
              <w:t>100</w:t>
            </w:r>
            <w:r w:rsidR="00745AF1">
              <w:t>.00</w:t>
            </w:r>
            <w:r w:rsidRPr="001A0A0F">
              <w:t>%</w:t>
            </w:r>
          </w:p>
        </w:tc>
        <w:tc>
          <w:tcPr>
            <w:tcW w:w="1440" w:type="dxa"/>
            <w:tcBorders>
              <w:top w:val="double" w:sz="4" w:space="0" w:color="000000" w:themeColor="text1"/>
            </w:tcBorders>
            <w:shd w:val="clear" w:color="auto" w:fill="auto"/>
          </w:tcPr>
          <w:p w:rsidR="001A0A0F" w:rsidRPr="001A0A0F" w:rsidRDefault="001A0A0F" w:rsidP="001A0A0F">
            <w:pPr>
              <w:spacing w:line="240" w:lineRule="auto"/>
              <w:ind w:left="0" w:firstLine="0"/>
              <w:jc w:val="right"/>
            </w:pPr>
          </w:p>
        </w:tc>
        <w:tc>
          <w:tcPr>
            <w:tcW w:w="1620" w:type="dxa"/>
            <w:tcBorders>
              <w:top w:val="double" w:sz="4" w:space="0" w:color="000000" w:themeColor="text1"/>
            </w:tcBorders>
            <w:shd w:val="clear" w:color="auto" w:fill="auto"/>
          </w:tcPr>
          <w:p w:rsidR="001A0A0F" w:rsidRPr="001A0A0F" w:rsidRDefault="00745AF1" w:rsidP="001A0A0F">
            <w:pPr>
              <w:spacing w:line="240" w:lineRule="auto"/>
              <w:ind w:left="0" w:firstLine="0"/>
              <w:jc w:val="right"/>
            </w:pPr>
            <w:r>
              <w:t>7.80</w:t>
            </w:r>
            <w:r w:rsidR="001A0A0F" w:rsidRPr="001A0A0F">
              <w:t>%</w:t>
            </w:r>
          </w:p>
        </w:tc>
      </w:tr>
    </w:tbl>
    <w:p w:rsidR="00CA069B" w:rsidRDefault="00CA069B" w:rsidP="00CA069B">
      <w:pPr>
        <w:pStyle w:val="BodyTextIndent"/>
        <w:widowControl w:val="0"/>
        <w:suppressLineNumbers/>
        <w:spacing w:line="240" w:lineRule="auto"/>
      </w:pPr>
    </w:p>
    <w:p w:rsidR="00B55161" w:rsidRDefault="00B55161" w:rsidP="00B55161">
      <w:pPr>
        <w:pStyle w:val="BodyTextIndent"/>
        <w:widowControl w:val="0"/>
      </w:pPr>
      <w:r w:rsidRPr="0047792C">
        <w:rPr>
          <w:b/>
          <w:bCs/>
        </w:rPr>
        <w:t>Q.</w:t>
      </w:r>
      <w:r w:rsidRPr="0047792C">
        <w:rPr>
          <w:b/>
          <w:bCs/>
        </w:rPr>
        <w:tab/>
      </w:r>
      <w:r>
        <w:rPr>
          <w:b/>
          <w:bCs/>
        </w:rPr>
        <w:t>How does the proposed overall cost of capital compare to the Company’s current authorized cost of capital?</w:t>
      </w:r>
    </w:p>
    <w:p w:rsidR="00B55161" w:rsidRDefault="00B55161" w:rsidP="00C94D0F">
      <w:pPr>
        <w:pStyle w:val="BodyTextIndent"/>
        <w:widowControl w:val="0"/>
        <w:rPr>
          <w:b/>
          <w:bCs/>
        </w:rPr>
      </w:pPr>
      <w:r>
        <w:t>A.</w:t>
      </w:r>
      <w:r>
        <w:tab/>
        <w:t xml:space="preserve">The </w:t>
      </w:r>
      <w:r w:rsidR="001017AF">
        <w:t xml:space="preserve">proposed overall cost of capital is an increase of </w:t>
      </w:r>
      <w:r w:rsidR="00C6051F">
        <w:t xml:space="preserve">only </w:t>
      </w:r>
      <w:r w:rsidR="00745AF1">
        <w:t>six</w:t>
      </w:r>
      <w:r w:rsidR="001017AF">
        <w:t xml:space="preserve"> basis points (0.0</w:t>
      </w:r>
      <w:r w:rsidR="00745AF1">
        <w:t>6</w:t>
      </w:r>
      <w:r w:rsidR="00123CFF">
        <w:t> </w:t>
      </w:r>
      <w:r w:rsidR="001017AF">
        <w:t xml:space="preserve">percent) compared to the 7.74 percent </w:t>
      </w:r>
      <w:r w:rsidR="00C6051F">
        <w:t>currently reflected in rates</w:t>
      </w:r>
      <w:r w:rsidR="00C6051F" w:rsidRPr="00C6051F">
        <w:t xml:space="preserve"> </w:t>
      </w:r>
      <w:r w:rsidR="00C6051F">
        <w:t>and ado</w:t>
      </w:r>
      <w:r w:rsidR="0041706E">
        <w:t>pted in Commission Order 07 in d</w:t>
      </w:r>
      <w:r w:rsidR="00C6051F">
        <w:t xml:space="preserve">ocket </w:t>
      </w:r>
      <w:r w:rsidR="001017AF">
        <w:t xml:space="preserve">UE-111190.  </w:t>
      </w:r>
      <w:r w:rsidR="00C94D0F">
        <w:t xml:space="preserve">As I will discuss in more detail later in this testimony, </w:t>
      </w:r>
      <w:r w:rsidR="00D01B1D">
        <w:t xml:space="preserve">by maintaining its credit ratings and an actual equity component in its capital structure exceeding 50 percent, </w:t>
      </w:r>
      <w:r w:rsidR="00C94D0F">
        <w:t xml:space="preserve">the Company has been able to continue </w:t>
      </w:r>
      <w:r w:rsidR="00C6051F">
        <w:t xml:space="preserve">to </w:t>
      </w:r>
      <w:r w:rsidR="00C94D0F">
        <w:t>lower its cost of long-term debt</w:t>
      </w:r>
      <w:r w:rsidR="00C6051F">
        <w:t xml:space="preserve"> and reduce costs to customers</w:t>
      </w:r>
      <w:r w:rsidR="00D01B1D">
        <w:t>.</w:t>
      </w:r>
      <w:r w:rsidR="00C94D0F">
        <w:t xml:space="preserve">  Absent this decrease in the </w:t>
      </w:r>
      <w:r w:rsidR="00C6051F">
        <w:t xml:space="preserve">long-term </w:t>
      </w:r>
      <w:r w:rsidR="00C94D0F">
        <w:t>cost of debt</w:t>
      </w:r>
      <w:r w:rsidR="002E6D54">
        <w:t>,</w:t>
      </w:r>
      <w:r w:rsidR="00C94D0F">
        <w:t xml:space="preserve"> the proposed overall c</w:t>
      </w:r>
      <w:r w:rsidR="002506B7">
        <w:t>ost of capital would be greater.  This further demonstrates that the Company’s capital structure does benefit customers and provides an appropriate balance between safety and economy.</w:t>
      </w:r>
    </w:p>
    <w:p w:rsidR="00915A1A" w:rsidRDefault="00915A1A" w:rsidP="00915A1A">
      <w:pPr>
        <w:pStyle w:val="BodyTextIndent"/>
        <w:numPr>
          <w:ilvl w:val="0"/>
          <w:numId w:val="26"/>
        </w:numPr>
        <w:rPr>
          <w:b/>
          <w:bCs/>
        </w:rPr>
      </w:pPr>
      <w:r>
        <w:rPr>
          <w:b/>
          <w:bCs/>
        </w:rPr>
        <w:t xml:space="preserve">How does the Company finance its </w:t>
      </w:r>
      <w:r w:rsidR="00C6051F">
        <w:rPr>
          <w:b/>
          <w:bCs/>
        </w:rPr>
        <w:t xml:space="preserve">regulated </w:t>
      </w:r>
      <w:r>
        <w:rPr>
          <w:b/>
          <w:bCs/>
        </w:rPr>
        <w:t>electric utility operations?</w:t>
      </w:r>
    </w:p>
    <w:p w:rsidR="00915A1A" w:rsidRDefault="00915A1A" w:rsidP="00915A1A">
      <w:pPr>
        <w:pStyle w:val="BodyTextIndent"/>
        <w:tabs>
          <w:tab w:val="left" w:pos="-3600"/>
          <w:tab w:val="left" w:pos="-3240"/>
        </w:tabs>
        <w:rPr>
          <w:bCs/>
        </w:rPr>
      </w:pPr>
      <w:r w:rsidRPr="00213FA0">
        <w:rPr>
          <w:bCs/>
        </w:rPr>
        <w:t>A.</w:t>
      </w:r>
      <w:r w:rsidRPr="00213FA0">
        <w:rPr>
          <w:bCs/>
        </w:rPr>
        <w:tab/>
      </w:r>
      <w:r>
        <w:rPr>
          <w:bCs/>
        </w:rPr>
        <w:t xml:space="preserve">The Company finances its regulated utility operations </w:t>
      </w:r>
      <w:r w:rsidR="00D01B1D">
        <w:rPr>
          <w:bCs/>
        </w:rPr>
        <w:t>with</w:t>
      </w:r>
      <w:r w:rsidR="00123CFF">
        <w:rPr>
          <w:bCs/>
        </w:rPr>
        <w:t xml:space="preserve"> a </w:t>
      </w:r>
      <w:r>
        <w:rPr>
          <w:bCs/>
        </w:rPr>
        <w:t xml:space="preserve">mix of debt and common equity capital.  </w:t>
      </w:r>
      <w:r w:rsidR="00D01B1D">
        <w:rPr>
          <w:bCs/>
        </w:rPr>
        <w:t>D</w:t>
      </w:r>
      <w:r>
        <w:rPr>
          <w:bCs/>
        </w:rPr>
        <w:t>uring periods of significant capital expenditures</w:t>
      </w:r>
      <w:r w:rsidR="00D01B1D">
        <w:rPr>
          <w:bCs/>
        </w:rPr>
        <w:t xml:space="preserve"> such as are currently occurring</w:t>
      </w:r>
      <w:r>
        <w:rPr>
          <w:bCs/>
        </w:rPr>
        <w:t xml:space="preserve">, the Company </w:t>
      </w:r>
      <w:r w:rsidR="00D01B1D">
        <w:rPr>
          <w:bCs/>
        </w:rPr>
        <w:t>will need to maintain a common equity component in excess of 50 percent of the capital structure in order to maintain its credit rating and finance the debt component of the capital structure at the lowest reasonable cost to customers.</w:t>
      </w:r>
      <w:r>
        <w:rPr>
          <w:bCs/>
        </w:rPr>
        <w:t xml:space="preserve">  This provides more flexibility regarding the type and timing of debt financing, better access to the capital markets, a more competitive cost of debt and</w:t>
      </w:r>
      <w:r w:rsidR="00EA34B6">
        <w:rPr>
          <w:bCs/>
        </w:rPr>
        <w:t>,</w:t>
      </w:r>
      <w:r>
        <w:rPr>
          <w:bCs/>
        </w:rPr>
        <w:t xml:space="preserve"> over the long</w:t>
      </w:r>
      <w:r w:rsidR="00123CFF">
        <w:rPr>
          <w:bCs/>
        </w:rPr>
        <w:t xml:space="preserve"> </w:t>
      </w:r>
      <w:r>
        <w:rPr>
          <w:bCs/>
        </w:rPr>
        <w:t>run, more stable credit ratings</w:t>
      </w:r>
      <w:r w:rsidR="00123CFF">
        <w:rPr>
          <w:bCs/>
        </w:rPr>
        <w:t>,</w:t>
      </w:r>
      <w:r>
        <w:rPr>
          <w:bCs/>
        </w:rPr>
        <w:t xml:space="preserve"> all of which assist in financing such expenditures.</w:t>
      </w:r>
    </w:p>
    <w:p w:rsidR="00123CFF" w:rsidRDefault="00915A1A" w:rsidP="00123CFF">
      <w:pPr>
        <w:pStyle w:val="BodyTextIndent"/>
        <w:tabs>
          <w:tab w:val="left" w:pos="0"/>
          <w:tab w:val="left" w:pos="720"/>
        </w:tabs>
        <w:ind w:hanging="630"/>
        <w:rPr>
          <w:b/>
          <w:bCs/>
        </w:rPr>
      </w:pPr>
      <w:r>
        <w:rPr>
          <w:bCs/>
        </w:rPr>
        <w:tab/>
      </w:r>
      <w:r>
        <w:rPr>
          <w:bCs/>
        </w:rPr>
        <w:tab/>
        <w:t>In addition, all else being equal, the Company will need to have a greater common equity component to offset various adjustments that rating agencies make to the debt component of the Company’s published financial statements.  I</w:t>
      </w:r>
      <w:r w:rsidR="001A0A0F">
        <w:rPr>
          <w:bCs/>
        </w:rPr>
        <w:t> </w:t>
      </w:r>
      <w:r>
        <w:rPr>
          <w:bCs/>
        </w:rPr>
        <w:t>will discuss these adjustments in greater detail later in this testimony.</w:t>
      </w:r>
      <w:bookmarkStart w:id="2" w:name="_Toc317847747"/>
      <w:r w:rsidR="00123CFF">
        <w:br w:type="page"/>
      </w:r>
    </w:p>
    <w:p w:rsidR="00080F72" w:rsidRPr="002E7574" w:rsidRDefault="00080F72" w:rsidP="002E7574">
      <w:pPr>
        <w:pStyle w:val="Heading1"/>
      </w:pPr>
      <w:bookmarkStart w:id="3" w:name="_Toc345503690"/>
      <w:r w:rsidRPr="002E7574">
        <w:t>Credit Ratings</w:t>
      </w:r>
      <w:bookmarkEnd w:id="2"/>
      <w:bookmarkEnd w:id="3"/>
    </w:p>
    <w:p w:rsidR="00080F72" w:rsidRDefault="00080F72" w:rsidP="00080F72">
      <w:pPr>
        <w:pStyle w:val="BodyTextIndent"/>
        <w:rPr>
          <w:b/>
          <w:bCs/>
        </w:rPr>
      </w:pPr>
      <w:r>
        <w:rPr>
          <w:b/>
          <w:bCs/>
        </w:rPr>
        <w:t>Q.</w:t>
      </w:r>
      <w:r>
        <w:rPr>
          <w:b/>
          <w:bCs/>
        </w:rPr>
        <w:tab/>
        <w:t>What are the Company’s current credit ratings?</w:t>
      </w:r>
    </w:p>
    <w:p w:rsidR="0072233C" w:rsidRDefault="00080F72" w:rsidP="00123CFF">
      <w:pPr>
        <w:pStyle w:val="BodyTextIndent"/>
        <w:rPr>
          <w:bCs/>
        </w:rPr>
      </w:pPr>
      <w:r>
        <w:rPr>
          <w:bCs/>
        </w:rPr>
        <w:t>A.</w:t>
      </w:r>
      <w:r>
        <w:rPr>
          <w:bCs/>
        </w:rPr>
        <w:tab/>
        <w:t>The Company’s current ratings are:</w:t>
      </w:r>
    </w:p>
    <w:tbl>
      <w:tblPr>
        <w:tblStyle w:val="TableGrid"/>
        <w:tblW w:w="0" w:type="auto"/>
        <w:jc w:val="center"/>
        <w:tblInd w:w="-646" w:type="dxa"/>
        <w:tblLook w:val="04A0"/>
      </w:tblPr>
      <w:tblGrid>
        <w:gridCol w:w="2883"/>
        <w:gridCol w:w="1296"/>
        <w:gridCol w:w="1296"/>
        <w:gridCol w:w="1296"/>
      </w:tblGrid>
      <w:tr w:rsidR="001A0A0F" w:rsidRPr="00C4356E" w:rsidTr="007C5514">
        <w:trPr>
          <w:jc w:val="center"/>
        </w:trPr>
        <w:tc>
          <w:tcPr>
            <w:tcW w:w="2883" w:type="dxa"/>
            <w:vAlign w:val="center"/>
          </w:tcPr>
          <w:p w:rsidR="00CA069B" w:rsidRPr="00123CFF" w:rsidRDefault="00CA069B" w:rsidP="00CA069B">
            <w:pPr>
              <w:keepNext/>
              <w:spacing w:line="240" w:lineRule="auto"/>
              <w:jc w:val="center"/>
              <w:rPr>
                <w:rFonts w:ascii="Times New Roman" w:eastAsia="Times New Roman" w:hAnsi="Times New Roman" w:cs="Times New Roman"/>
              </w:rPr>
            </w:pPr>
          </w:p>
        </w:tc>
        <w:tc>
          <w:tcPr>
            <w:tcW w:w="1296" w:type="dxa"/>
            <w:vAlign w:val="center"/>
          </w:tcPr>
          <w:p w:rsidR="00CA069B" w:rsidRPr="00123CFF" w:rsidRDefault="00BE6885" w:rsidP="00CA069B">
            <w:pPr>
              <w:keepNext/>
              <w:spacing w:line="240" w:lineRule="auto"/>
              <w:jc w:val="center"/>
              <w:rPr>
                <w:rFonts w:ascii="Times New Roman" w:eastAsia="Times New Roman" w:hAnsi="Times New Roman" w:cs="Times New Roman"/>
                <w:b/>
              </w:rPr>
            </w:pPr>
            <w:r w:rsidRPr="00123CFF">
              <w:rPr>
                <w:rFonts w:ascii="Times New Roman" w:hAnsi="Times New Roman" w:cs="Times New Roman"/>
                <w:b/>
              </w:rPr>
              <w:t>Fitch</w:t>
            </w:r>
          </w:p>
        </w:tc>
        <w:tc>
          <w:tcPr>
            <w:tcW w:w="1296" w:type="dxa"/>
            <w:vAlign w:val="center"/>
          </w:tcPr>
          <w:p w:rsidR="00CA069B" w:rsidRPr="00123CFF" w:rsidRDefault="00BE6885" w:rsidP="00CA069B">
            <w:pPr>
              <w:keepNext/>
              <w:spacing w:line="240" w:lineRule="auto"/>
              <w:jc w:val="center"/>
              <w:rPr>
                <w:rFonts w:ascii="Times New Roman" w:eastAsia="Times New Roman" w:hAnsi="Times New Roman" w:cs="Times New Roman"/>
                <w:b/>
              </w:rPr>
            </w:pPr>
            <w:r w:rsidRPr="00123CFF">
              <w:rPr>
                <w:rFonts w:ascii="Times New Roman" w:hAnsi="Times New Roman" w:cs="Times New Roman"/>
                <w:b/>
              </w:rPr>
              <w:t>Moody’s</w:t>
            </w:r>
          </w:p>
        </w:tc>
        <w:tc>
          <w:tcPr>
            <w:tcW w:w="1296" w:type="dxa"/>
            <w:vAlign w:val="center"/>
          </w:tcPr>
          <w:p w:rsidR="00CA069B" w:rsidRPr="00123CFF" w:rsidRDefault="00BE6885" w:rsidP="00CA069B">
            <w:pPr>
              <w:keepNext/>
              <w:spacing w:line="240" w:lineRule="auto"/>
              <w:jc w:val="center"/>
              <w:rPr>
                <w:rFonts w:ascii="Times New Roman" w:eastAsia="Times New Roman" w:hAnsi="Times New Roman" w:cs="Times New Roman"/>
                <w:b/>
              </w:rPr>
            </w:pPr>
            <w:r w:rsidRPr="00123CFF">
              <w:rPr>
                <w:rFonts w:ascii="Times New Roman" w:hAnsi="Times New Roman" w:cs="Times New Roman"/>
                <w:b/>
              </w:rPr>
              <w:t>Standard</w:t>
            </w:r>
          </w:p>
          <w:p w:rsidR="00CA069B" w:rsidRPr="00123CFF" w:rsidRDefault="00BE6885" w:rsidP="00CA069B">
            <w:pPr>
              <w:keepNext/>
              <w:spacing w:line="240" w:lineRule="auto"/>
              <w:jc w:val="center"/>
              <w:rPr>
                <w:rFonts w:ascii="Times New Roman" w:eastAsia="Times New Roman" w:hAnsi="Times New Roman" w:cs="Times New Roman"/>
                <w:b/>
              </w:rPr>
            </w:pPr>
            <w:r w:rsidRPr="00123CFF">
              <w:rPr>
                <w:rFonts w:ascii="Times New Roman" w:hAnsi="Times New Roman" w:cs="Times New Roman"/>
                <w:b/>
              </w:rPr>
              <w:t>&amp; Poor’s</w:t>
            </w:r>
          </w:p>
        </w:tc>
      </w:tr>
      <w:tr w:rsidR="001A0A0F" w:rsidRPr="00C4356E" w:rsidTr="00EA34B6">
        <w:trPr>
          <w:jc w:val="center"/>
        </w:trPr>
        <w:tc>
          <w:tcPr>
            <w:tcW w:w="2883" w:type="dxa"/>
          </w:tcPr>
          <w:p w:rsidR="001A0A0F" w:rsidRPr="00123CFF" w:rsidRDefault="00BE6885" w:rsidP="001A0A0F">
            <w:pPr>
              <w:spacing w:line="240" w:lineRule="auto"/>
              <w:rPr>
                <w:rFonts w:ascii="Times New Roman" w:hAnsi="Times New Roman" w:cs="Times New Roman"/>
              </w:rPr>
            </w:pPr>
            <w:r w:rsidRPr="00123CFF">
              <w:rPr>
                <w:rFonts w:ascii="Times New Roman" w:hAnsi="Times New Roman" w:cs="Times New Roman"/>
              </w:rPr>
              <w:t>Senior Secured Debt</w:t>
            </w:r>
          </w:p>
        </w:tc>
        <w:tc>
          <w:tcPr>
            <w:tcW w:w="1296" w:type="dxa"/>
          </w:tcPr>
          <w:p w:rsidR="001A0A0F" w:rsidRPr="00123CFF" w:rsidRDefault="00BE6885" w:rsidP="00C6051F">
            <w:pPr>
              <w:spacing w:line="240" w:lineRule="auto"/>
              <w:jc w:val="center"/>
              <w:rPr>
                <w:rFonts w:ascii="Times New Roman" w:hAnsi="Times New Roman" w:cs="Times New Roman"/>
              </w:rPr>
            </w:pPr>
            <w:r w:rsidRPr="00123CFF">
              <w:rPr>
                <w:rFonts w:ascii="Times New Roman" w:hAnsi="Times New Roman" w:cs="Times New Roman"/>
              </w:rPr>
              <w:t>A-</w:t>
            </w:r>
          </w:p>
        </w:tc>
        <w:tc>
          <w:tcPr>
            <w:tcW w:w="1296" w:type="dxa"/>
          </w:tcPr>
          <w:p w:rsidR="001A0A0F" w:rsidRPr="00123CFF" w:rsidRDefault="00BE6885" w:rsidP="00C6051F">
            <w:pPr>
              <w:spacing w:line="240" w:lineRule="auto"/>
              <w:jc w:val="center"/>
              <w:rPr>
                <w:rFonts w:ascii="Times New Roman" w:hAnsi="Times New Roman" w:cs="Times New Roman"/>
              </w:rPr>
            </w:pPr>
            <w:r w:rsidRPr="00123CFF">
              <w:rPr>
                <w:rFonts w:ascii="Times New Roman" w:hAnsi="Times New Roman" w:cs="Times New Roman"/>
              </w:rPr>
              <w:t>A2</w:t>
            </w:r>
          </w:p>
        </w:tc>
        <w:tc>
          <w:tcPr>
            <w:tcW w:w="1296" w:type="dxa"/>
          </w:tcPr>
          <w:p w:rsidR="001A0A0F" w:rsidRPr="00123CFF" w:rsidRDefault="00BE6885" w:rsidP="00C6051F">
            <w:pPr>
              <w:spacing w:line="240" w:lineRule="auto"/>
              <w:jc w:val="center"/>
              <w:rPr>
                <w:rFonts w:ascii="Times New Roman" w:hAnsi="Times New Roman" w:cs="Times New Roman"/>
              </w:rPr>
            </w:pPr>
            <w:r w:rsidRPr="00123CFF">
              <w:rPr>
                <w:rFonts w:ascii="Times New Roman" w:hAnsi="Times New Roman" w:cs="Times New Roman"/>
              </w:rPr>
              <w:t>A</w:t>
            </w:r>
          </w:p>
        </w:tc>
      </w:tr>
      <w:tr w:rsidR="001A0A0F" w:rsidRPr="00C4356E" w:rsidTr="00EA34B6">
        <w:trPr>
          <w:jc w:val="center"/>
        </w:trPr>
        <w:tc>
          <w:tcPr>
            <w:tcW w:w="2883" w:type="dxa"/>
          </w:tcPr>
          <w:p w:rsidR="001A0A0F" w:rsidRPr="00123CFF" w:rsidRDefault="00BE6885" w:rsidP="001A0A0F">
            <w:pPr>
              <w:spacing w:line="240" w:lineRule="auto"/>
              <w:rPr>
                <w:rFonts w:ascii="Times New Roman" w:hAnsi="Times New Roman" w:cs="Times New Roman"/>
              </w:rPr>
            </w:pPr>
            <w:r w:rsidRPr="00123CFF">
              <w:rPr>
                <w:rFonts w:ascii="Times New Roman" w:hAnsi="Times New Roman" w:cs="Times New Roman"/>
              </w:rPr>
              <w:t>Senior Unsecured Debt</w:t>
            </w:r>
          </w:p>
        </w:tc>
        <w:tc>
          <w:tcPr>
            <w:tcW w:w="1296" w:type="dxa"/>
          </w:tcPr>
          <w:p w:rsidR="001A0A0F" w:rsidRPr="00123CFF" w:rsidRDefault="00BE6885" w:rsidP="00C6051F">
            <w:pPr>
              <w:spacing w:line="240" w:lineRule="auto"/>
              <w:jc w:val="center"/>
              <w:rPr>
                <w:rFonts w:ascii="Times New Roman" w:hAnsi="Times New Roman" w:cs="Times New Roman"/>
              </w:rPr>
            </w:pPr>
            <w:r w:rsidRPr="00123CFF">
              <w:rPr>
                <w:rFonts w:ascii="Times New Roman" w:hAnsi="Times New Roman" w:cs="Times New Roman"/>
              </w:rPr>
              <w:t>BBB+</w:t>
            </w:r>
          </w:p>
        </w:tc>
        <w:tc>
          <w:tcPr>
            <w:tcW w:w="1296" w:type="dxa"/>
          </w:tcPr>
          <w:p w:rsidR="001A0A0F" w:rsidRPr="00123CFF" w:rsidRDefault="00BE6885" w:rsidP="00C6051F">
            <w:pPr>
              <w:spacing w:line="240" w:lineRule="auto"/>
              <w:jc w:val="center"/>
              <w:rPr>
                <w:rFonts w:ascii="Times New Roman" w:hAnsi="Times New Roman" w:cs="Times New Roman"/>
              </w:rPr>
            </w:pPr>
            <w:r w:rsidRPr="00123CFF">
              <w:rPr>
                <w:rFonts w:ascii="Times New Roman" w:hAnsi="Times New Roman" w:cs="Times New Roman"/>
              </w:rPr>
              <w:t>Baa1</w:t>
            </w:r>
          </w:p>
        </w:tc>
        <w:tc>
          <w:tcPr>
            <w:tcW w:w="1296" w:type="dxa"/>
          </w:tcPr>
          <w:p w:rsidR="001A0A0F" w:rsidRPr="00123CFF" w:rsidRDefault="00BE6885" w:rsidP="00C6051F">
            <w:pPr>
              <w:spacing w:line="240" w:lineRule="auto"/>
              <w:jc w:val="center"/>
              <w:rPr>
                <w:rFonts w:ascii="Times New Roman" w:hAnsi="Times New Roman" w:cs="Times New Roman"/>
              </w:rPr>
            </w:pPr>
            <w:r w:rsidRPr="00123CFF">
              <w:rPr>
                <w:rFonts w:ascii="Times New Roman" w:hAnsi="Times New Roman" w:cs="Times New Roman"/>
              </w:rPr>
              <w:t>A-</w:t>
            </w:r>
          </w:p>
        </w:tc>
      </w:tr>
      <w:tr w:rsidR="001A0A0F" w:rsidRPr="00C4356E" w:rsidTr="00EA34B6">
        <w:trPr>
          <w:jc w:val="center"/>
        </w:trPr>
        <w:tc>
          <w:tcPr>
            <w:tcW w:w="2883" w:type="dxa"/>
          </w:tcPr>
          <w:p w:rsidR="001A0A0F" w:rsidRPr="00123CFF" w:rsidRDefault="00BE6885" w:rsidP="00C6051F">
            <w:pPr>
              <w:spacing w:line="240" w:lineRule="auto"/>
              <w:rPr>
                <w:rFonts w:ascii="Times New Roman" w:hAnsi="Times New Roman" w:cs="Times New Roman"/>
              </w:rPr>
            </w:pPr>
            <w:r w:rsidRPr="00123CFF">
              <w:rPr>
                <w:rFonts w:ascii="Times New Roman" w:hAnsi="Times New Roman" w:cs="Times New Roman"/>
              </w:rPr>
              <w:t>Outlook</w:t>
            </w:r>
          </w:p>
        </w:tc>
        <w:tc>
          <w:tcPr>
            <w:tcW w:w="1296" w:type="dxa"/>
          </w:tcPr>
          <w:p w:rsidR="001A0A0F" w:rsidRPr="00123CFF" w:rsidRDefault="00BE6885" w:rsidP="00C6051F">
            <w:pPr>
              <w:spacing w:line="240" w:lineRule="auto"/>
              <w:jc w:val="center"/>
              <w:rPr>
                <w:rFonts w:ascii="Times New Roman" w:hAnsi="Times New Roman" w:cs="Times New Roman"/>
              </w:rPr>
            </w:pPr>
            <w:r w:rsidRPr="00123CFF">
              <w:rPr>
                <w:rFonts w:ascii="Times New Roman" w:hAnsi="Times New Roman" w:cs="Times New Roman"/>
              </w:rPr>
              <w:t>Stable</w:t>
            </w:r>
          </w:p>
        </w:tc>
        <w:tc>
          <w:tcPr>
            <w:tcW w:w="1296" w:type="dxa"/>
          </w:tcPr>
          <w:p w:rsidR="001A0A0F" w:rsidRPr="00123CFF" w:rsidRDefault="00BE6885" w:rsidP="00C6051F">
            <w:pPr>
              <w:spacing w:line="240" w:lineRule="auto"/>
              <w:jc w:val="center"/>
              <w:rPr>
                <w:rFonts w:ascii="Times New Roman" w:hAnsi="Times New Roman" w:cs="Times New Roman"/>
              </w:rPr>
            </w:pPr>
            <w:r w:rsidRPr="00123CFF">
              <w:rPr>
                <w:rFonts w:ascii="Times New Roman" w:hAnsi="Times New Roman" w:cs="Times New Roman"/>
              </w:rPr>
              <w:t>Stable</w:t>
            </w:r>
          </w:p>
        </w:tc>
        <w:tc>
          <w:tcPr>
            <w:tcW w:w="1296" w:type="dxa"/>
          </w:tcPr>
          <w:p w:rsidR="001A0A0F" w:rsidRPr="00123CFF" w:rsidRDefault="00BE6885" w:rsidP="00C6051F">
            <w:pPr>
              <w:spacing w:line="240" w:lineRule="auto"/>
              <w:jc w:val="center"/>
              <w:rPr>
                <w:rFonts w:ascii="Times New Roman" w:hAnsi="Times New Roman" w:cs="Times New Roman"/>
              </w:rPr>
            </w:pPr>
            <w:r w:rsidRPr="00123CFF">
              <w:rPr>
                <w:rFonts w:ascii="Times New Roman" w:hAnsi="Times New Roman" w:cs="Times New Roman"/>
              </w:rPr>
              <w:t>Stable</w:t>
            </w:r>
          </w:p>
        </w:tc>
      </w:tr>
    </w:tbl>
    <w:p w:rsidR="00CA069B" w:rsidRDefault="00CA069B" w:rsidP="00CA069B">
      <w:pPr>
        <w:suppressLineNumbers/>
        <w:spacing w:line="240" w:lineRule="auto"/>
        <w:ind w:left="0" w:firstLine="0"/>
        <w:rPr>
          <w:b/>
          <w:bCs/>
        </w:rPr>
      </w:pPr>
    </w:p>
    <w:p w:rsidR="00080F72" w:rsidRDefault="00080F72" w:rsidP="00080F72">
      <w:pPr>
        <w:pStyle w:val="BodyTextIndent"/>
        <w:rPr>
          <w:b/>
          <w:bCs/>
        </w:rPr>
      </w:pPr>
      <w:r>
        <w:rPr>
          <w:b/>
          <w:bCs/>
        </w:rPr>
        <w:t>Q.</w:t>
      </w:r>
      <w:r>
        <w:rPr>
          <w:b/>
          <w:bCs/>
        </w:rPr>
        <w:tab/>
        <w:t>Why should this Commission be concerned about credit ratings and the views expressed by rating agencies?</w:t>
      </w:r>
    </w:p>
    <w:p w:rsidR="00080F72" w:rsidRDefault="00080F72" w:rsidP="00080F72">
      <w:pPr>
        <w:pStyle w:val="BodyTextIndent"/>
        <w:widowControl w:val="0"/>
      </w:pPr>
      <w:r>
        <w:rPr>
          <w:bCs/>
        </w:rPr>
        <w:t>A.</w:t>
      </w:r>
      <w:r>
        <w:rPr>
          <w:bCs/>
        </w:rPr>
        <w:tab/>
        <w:t>Credit ratings and the views of rating agencies are important for several reasons.  First, t</w:t>
      </w:r>
      <w:r>
        <w:t>he credit rating of a utility has a direct impact on the price that a utility pays to attract the capital necessary to support its current and future operating needs.  Many institutional investors have fiduciary responsibilities to their clients and are typically not permitted to purchase non</w:t>
      </w:r>
      <w:r w:rsidR="00EA34B6">
        <w:t>-</w:t>
      </w:r>
      <w:r>
        <w:t>investment grade (</w:t>
      </w:r>
      <w:r w:rsidRPr="006D3F95">
        <w:rPr>
          <w:i/>
        </w:rPr>
        <w:t>i.e.</w:t>
      </w:r>
      <w:r>
        <w:t>, rated below BBB</w:t>
      </w:r>
      <w:r w:rsidR="00EA34B6">
        <w:noBreakHyphen/>
      </w:r>
      <w:r>
        <w:t>) securities or, in some cases, even securities rated below</w:t>
      </w:r>
      <w:r w:rsidR="00C4356E">
        <w:t xml:space="preserve"> </w:t>
      </w:r>
      <w:r>
        <w:t>single A.</w:t>
      </w:r>
    </w:p>
    <w:p w:rsidR="00080F72" w:rsidRDefault="00080F72" w:rsidP="00080F72">
      <w:pPr>
        <w:pStyle w:val="BodyTextIndent"/>
        <w:widowControl w:val="0"/>
      </w:pPr>
      <w:r>
        <w:tab/>
      </w:r>
      <w:r>
        <w:tab/>
        <w:t xml:space="preserve">Second, credit ratings are an estimate of the probability of default by the issuer on each rated security.  Lower ratings equate to higher risks and higher costs of debt. </w:t>
      </w:r>
      <w:r w:rsidR="00EA34B6">
        <w:t xml:space="preserve"> </w:t>
      </w:r>
      <w:r>
        <w:t>But even investment grade rated borrowers have experienced problems accessing the capital markets or been shut out entirely.  The financial crisis of 2008 and 2009 provided clear and compelling evidence of the benefits of the Company’s credit rating as it was able to issue new long-term debt during the midst of the financial turmoil.  Other lower-rated utilities were simply shut out of the market and could not obtain new capital regardless of how much they were willing to pay.</w:t>
      </w:r>
    </w:p>
    <w:p w:rsidR="0041706E" w:rsidRDefault="0041706E" w:rsidP="0041706E">
      <w:pPr>
        <w:pStyle w:val="BodyTextIndent"/>
        <w:widowControl w:val="0"/>
        <w:suppressLineNumbers/>
      </w:pPr>
    </w:p>
    <w:p w:rsidR="00080F72" w:rsidRDefault="00080F72" w:rsidP="00080F72">
      <w:pPr>
        <w:pStyle w:val="BodyTextIndent"/>
        <w:widowControl w:val="0"/>
      </w:pPr>
      <w:r>
        <w:tab/>
      </w:r>
      <w:r>
        <w:tab/>
        <w:t>Further, the Company has a near constant need for short-term liquidity</w:t>
      </w:r>
      <w:r w:rsidR="00123CFF">
        <w:t>,</w:t>
      </w:r>
      <w:r>
        <w:t xml:space="preserve"> as well as periodic long-term debt issuances.  On a daily basis, the Company pays significant amounts to suppliers to provide necessary goods and services</w:t>
      </w:r>
      <w:r w:rsidR="00EA34B6">
        <w:t>,</w:t>
      </w:r>
      <w:r>
        <w:t xml:space="preserve"> such as fuel, spare parts, and inventory.  Being unable to access funds can jeopardize the successful completion of necessary capital infrastructure projects and would increase the chance of outages and servi</w:t>
      </w:r>
      <w:r w:rsidR="006E09FC">
        <w:t>ce failures over the long term.</w:t>
      </w:r>
    </w:p>
    <w:p w:rsidR="00080F72" w:rsidRDefault="00080F72" w:rsidP="00080F72">
      <w:pPr>
        <w:pStyle w:val="BodyTextIndent"/>
        <w:widowControl w:val="0"/>
        <w:rPr>
          <w:b/>
        </w:rPr>
      </w:pPr>
      <w:r>
        <w:rPr>
          <w:b/>
        </w:rPr>
        <w:t>Q.</w:t>
      </w:r>
      <w:r>
        <w:rPr>
          <w:b/>
        </w:rPr>
        <w:tab/>
        <w:t>Can regulatory actions or orders affect a company’s credit rating?</w:t>
      </w:r>
    </w:p>
    <w:p w:rsidR="00080F72" w:rsidRDefault="00080F72" w:rsidP="00080F72">
      <w:pPr>
        <w:pStyle w:val="BodyTextIndent"/>
        <w:widowControl w:val="0"/>
      </w:pPr>
      <w:r>
        <w:t>A.</w:t>
      </w:r>
      <w:r>
        <w:tab/>
        <w:t xml:space="preserve">Yes, in a very significant way.  Regulated utilities are fairly unique since they cannot set their own prices for their services.  The financial integrity of a regulated utility is </w:t>
      </w:r>
      <w:r w:rsidR="00266FBE">
        <w:t>significantly impacted by</w:t>
      </w:r>
      <w:r>
        <w:t xml:space="preserve"> how the utility is treated on cost recovery issues and in the rates set by regulators.  Rates are established by regulators to permit the utility to recover prudently incurred operating expenses and a reasonable opportunity to earn a fair return on the capital invested.  Therefore, rate decisions by utility commissions have a direct and significant impact on the financial condition of utilities.</w:t>
      </w:r>
    </w:p>
    <w:p w:rsidR="00080F72" w:rsidRDefault="00080F72" w:rsidP="00080F72">
      <w:pPr>
        <w:pStyle w:val="BodyTextIndent"/>
        <w:widowControl w:val="0"/>
      </w:pPr>
      <w:r>
        <w:rPr>
          <w:b/>
        </w:rPr>
        <w:tab/>
      </w:r>
      <w:r>
        <w:rPr>
          <w:b/>
        </w:rPr>
        <w:tab/>
      </w:r>
      <w:r>
        <w:t>Rating agencies and investors have a keen understanding of the importance of regulatory outcomes.  For example, St</w:t>
      </w:r>
      <w:r w:rsidR="006E09FC">
        <w:t>andard &amp; Poor’s (“S&amp;P”) writes:</w:t>
      </w:r>
    </w:p>
    <w:p w:rsidR="00080F72" w:rsidRDefault="00080F72" w:rsidP="00080F72">
      <w:pPr>
        <w:pStyle w:val="BodyTextIndent"/>
        <w:widowControl w:val="0"/>
        <w:spacing w:line="240" w:lineRule="auto"/>
        <w:ind w:left="1440" w:right="720" w:firstLine="0"/>
      </w:pPr>
      <w:r>
        <w:t>The assessment of regulatory risk is perhaps the most important factor in Standard &amp; Poor’s Ratings Services’ analysis of a U.S. regulated, investor-owned utility’s business risk.</w:t>
      </w:r>
      <w:r>
        <w:rPr>
          <w:rStyle w:val="FootnoteReference"/>
        </w:rPr>
        <w:footnoteReference w:id="1"/>
      </w:r>
    </w:p>
    <w:p w:rsidR="0072233C" w:rsidRDefault="0072233C">
      <w:pPr>
        <w:pStyle w:val="BodyTextIndent"/>
        <w:widowControl w:val="0"/>
        <w:suppressLineNumbers/>
        <w:spacing w:line="240" w:lineRule="auto"/>
        <w:ind w:left="1440" w:right="720" w:firstLine="0"/>
      </w:pPr>
    </w:p>
    <w:p w:rsidR="00080F72" w:rsidRDefault="00080F72" w:rsidP="00080F72">
      <w:pPr>
        <w:pStyle w:val="BodyTextIndent"/>
        <w:widowControl w:val="0"/>
        <w:ind w:firstLine="0"/>
      </w:pPr>
      <w:r>
        <w:t>Similarly, Moody’s has stated:</w:t>
      </w:r>
    </w:p>
    <w:p w:rsidR="00CA069B" w:rsidRDefault="00080F72" w:rsidP="00CA069B">
      <w:pPr>
        <w:pStyle w:val="BodyTextIndent"/>
        <w:spacing w:line="240" w:lineRule="auto"/>
        <w:ind w:left="1440" w:right="720" w:firstLine="0"/>
      </w:pPr>
      <w:r>
        <w:t xml:space="preserve">For a regulated utility, the predictability and supportiveness of the regulatory framework in which it operates is a key credit consideration and the one that differentiates the industry from most other corporate sectors. </w:t>
      </w:r>
      <w:r w:rsidR="00EA34B6">
        <w:t xml:space="preserve"> </w:t>
      </w:r>
      <w:r>
        <w:t>The most direct and obvious way that regulation affects utility credit quality is through the establishment of prices or rates for the electricity, gas and related services provided (revenue requirements) and by determining a return on a utility’s investment, or shareholder return.</w:t>
      </w:r>
      <w:r>
        <w:rPr>
          <w:rStyle w:val="FootnoteReference"/>
        </w:rPr>
        <w:footnoteReference w:id="2"/>
      </w:r>
    </w:p>
    <w:p w:rsidR="00080F72" w:rsidRDefault="00080F72" w:rsidP="00080F72">
      <w:pPr>
        <w:pStyle w:val="BodyTextIndent"/>
        <w:widowControl w:val="0"/>
        <w:suppressLineNumbers/>
        <w:spacing w:line="240" w:lineRule="auto"/>
        <w:ind w:left="1440" w:right="720" w:firstLine="0"/>
      </w:pPr>
    </w:p>
    <w:p w:rsidR="00080F72" w:rsidRDefault="00080F72" w:rsidP="00080F72">
      <w:pPr>
        <w:rPr>
          <w:b/>
        </w:rPr>
      </w:pPr>
      <w:r>
        <w:rPr>
          <w:b/>
        </w:rPr>
        <w:t>Q.</w:t>
      </w:r>
      <w:r>
        <w:tab/>
      </w:r>
      <w:r>
        <w:rPr>
          <w:b/>
        </w:rPr>
        <w:t>How does maintaining the Company’s current credit ratings benefit customers?</w:t>
      </w:r>
    </w:p>
    <w:p w:rsidR="00080F72" w:rsidRDefault="00080F72" w:rsidP="00080F72">
      <w:pPr>
        <w:pStyle w:val="BodyTextIndent"/>
        <w:widowControl w:val="0"/>
      </w:pPr>
      <w:r>
        <w:t xml:space="preserve">A. </w:t>
      </w:r>
      <w:r>
        <w:tab/>
        <w:t>The Company is in the midst of a period of capital spending and investing in infrastructure to provide for the needs of customers</w:t>
      </w:r>
      <w:r w:rsidR="00F515D7">
        <w:t xml:space="preserve"> and to meet regulatory and legislative mandates</w:t>
      </w:r>
      <w:r>
        <w:t xml:space="preserve">.  If the Company does not have consistent access to the capital markets at reasonable costs, these borrowings and the resulting costs of building new facilities become more expensive than they otherwise would be.  The inability to access financial markets can threaten the completion of these necessary projects, which will, in turn, affect system reliability and customer safety.  All of the resulting higher costs are ultimately borne by the customers.  Maintaining the current single-A credit rating </w:t>
      </w:r>
      <w:r w:rsidR="00EA34B6">
        <w:t xml:space="preserve">for senior secured debt </w:t>
      </w:r>
      <w:r>
        <w:t>makes it more likely the Company will have access to the capital markets at reasonable costs, even during periods of financial turmoil.  This rating will allow the Company continued access to the capital markets</w:t>
      </w:r>
      <w:r w:rsidR="006E09FC">
        <w:t>, which</w:t>
      </w:r>
      <w:r>
        <w:t xml:space="preserve"> will enable it to fulfill its capital investments for the benefit of customers.</w:t>
      </w:r>
    </w:p>
    <w:p w:rsidR="005E18D6" w:rsidRPr="005E18D6" w:rsidRDefault="005E18D6" w:rsidP="00080F72">
      <w:pPr>
        <w:pStyle w:val="BodyTextIndent"/>
        <w:widowControl w:val="0"/>
        <w:rPr>
          <w:b/>
        </w:rPr>
      </w:pPr>
      <w:r w:rsidRPr="005E18D6">
        <w:rPr>
          <w:b/>
        </w:rPr>
        <w:t>Q.</w:t>
      </w:r>
      <w:r w:rsidRPr="005E18D6">
        <w:rPr>
          <w:b/>
        </w:rPr>
        <w:tab/>
        <w:t xml:space="preserve">Can you provide an example of how the current ratings have </w:t>
      </w:r>
      <w:r>
        <w:rPr>
          <w:b/>
        </w:rPr>
        <w:t xml:space="preserve">benefited </w:t>
      </w:r>
      <w:r w:rsidRPr="005E18D6">
        <w:rPr>
          <w:b/>
        </w:rPr>
        <w:t>customers?</w:t>
      </w:r>
    </w:p>
    <w:p w:rsidR="003A482E" w:rsidRDefault="005E18D6" w:rsidP="00080F72">
      <w:pPr>
        <w:pStyle w:val="BodyTextIndent"/>
        <w:widowControl w:val="0"/>
      </w:pPr>
      <w:r>
        <w:t xml:space="preserve">A. </w:t>
      </w:r>
      <w:r>
        <w:tab/>
        <w:t>Yes</w:t>
      </w:r>
      <w:r w:rsidR="007C5514">
        <w:t>.  One example is the Company’s ability</w:t>
      </w:r>
      <w:r>
        <w:t xml:space="preserve"> to significantly reduce its cost of long-term debt primarily through obtaining new financings at very attractive interest rates.  These lower debt costs benefit customers via lower overall rate of return and </w:t>
      </w:r>
      <w:r w:rsidR="00D27E66">
        <w:t xml:space="preserve">lower </w:t>
      </w:r>
      <w:r>
        <w:t>revenue requirements.</w:t>
      </w:r>
    </w:p>
    <w:p w:rsidR="005E18D6" w:rsidRDefault="005E18D6" w:rsidP="007B3B6D">
      <w:pPr>
        <w:pStyle w:val="BodyTextIndent"/>
        <w:widowControl w:val="0"/>
        <w:ind w:firstLine="720"/>
      </w:pPr>
      <w:r>
        <w:t>The table below shows the reduction in the Company’s cost of long-term debt since March 2011.</w:t>
      </w:r>
    </w:p>
    <w:tbl>
      <w:tblPr>
        <w:tblStyle w:val="TableGrid"/>
        <w:tblW w:w="8298" w:type="dxa"/>
        <w:tblInd w:w="720" w:type="dxa"/>
        <w:tblLook w:val="04A0"/>
      </w:tblPr>
      <w:tblGrid>
        <w:gridCol w:w="2178"/>
        <w:gridCol w:w="1890"/>
        <w:gridCol w:w="2250"/>
        <w:gridCol w:w="1980"/>
      </w:tblGrid>
      <w:tr w:rsidR="0081542E" w:rsidRPr="00C4356E" w:rsidTr="006E09FC">
        <w:trPr>
          <w:trHeight w:val="953"/>
        </w:trPr>
        <w:tc>
          <w:tcPr>
            <w:tcW w:w="2178" w:type="dxa"/>
          </w:tcPr>
          <w:p w:rsidR="000F47B9" w:rsidRPr="006E09FC" w:rsidRDefault="000F47B9" w:rsidP="000F47B9">
            <w:pPr>
              <w:pStyle w:val="BodyTextIndent"/>
              <w:widowControl w:val="0"/>
              <w:spacing w:line="240" w:lineRule="auto"/>
              <w:ind w:left="0" w:firstLine="0"/>
              <w:rPr>
                <w:rFonts w:ascii="Times New Roman" w:eastAsia="Times New Roman" w:hAnsi="Times New Roman" w:cs="Times New Roman"/>
              </w:rPr>
            </w:pPr>
          </w:p>
        </w:tc>
        <w:tc>
          <w:tcPr>
            <w:tcW w:w="1890" w:type="dxa"/>
            <w:vAlign w:val="center"/>
          </w:tcPr>
          <w:p w:rsidR="005E18D6" w:rsidRPr="006E09FC" w:rsidRDefault="00BE6885" w:rsidP="007C5514">
            <w:pPr>
              <w:pStyle w:val="BodyTextIndent"/>
              <w:widowControl w:val="0"/>
              <w:spacing w:line="240" w:lineRule="auto"/>
              <w:ind w:left="0" w:firstLine="0"/>
              <w:jc w:val="center"/>
              <w:rPr>
                <w:rFonts w:ascii="Times New Roman" w:hAnsi="Times New Roman" w:cs="Times New Roman"/>
                <w:b/>
              </w:rPr>
            </w:pPr>
            <w:r w:rsidRPr="006E09FC">
              <w:rPr>
                <w:rFonts w:ascii="Times New Roman" w:hAnsi="Times New Roman" w:cs="Times New Roman"/>
                <w:b/>
              </w:rPr>
              <w:t>2013 GRC Proposed</w:t>
            </w:r>
          </w:p>
          <w:p w:rsidR="0081542E" w:rsidRPr="006E09FC" w:rsidRDefault="00BE6885" w:rsidP="007C5514">
            <w:pPr>
              <w:pStyle w:val="BodyTextIndent"/>
              <w:widowControl w:val="0"/>
              <w:spacing w:line="240" w:lineRule="auto"/>
              <w:ind w:left="0" w:firstLine="0"/>
              <w:jc w:val="center"/>
              <w:rPr>
                <w:rFonts w:ascii="Times New Roman" w:hAnsi="Times New Roman" w:cs="Times New Roman"/>
                <w:b/>
              </w:rPr>
            </w:pPr>
            <w:r w:rsidRPr="006E09FC">
              <w:rPr>
                <w:rFonts w:ascii="Times New Roman" w:hAnsi="Times New Roman" w:cs="Times New Roman"/>
                <w:b/>
              </w:rPr>
              <w:t>June 2013</w:t>
            </w:r>
          </w:p>
        </w:tc>
        <w:tc>
          <w:tcPr>
            <w:tcW w:w="2250" w:type="dxa"/>
            <w:vAlign w:val="center"/>
          </w:tcPr>
          <w:p w:rsidR="005E18D6" w:rsidRPr="006E09FC" w:rsidRDefault="00BE6885" w:rsidP="007C5514">
            <w:pPr>
              <w:pStyle w:val="BodyTextIndent"/>
              <w:widowControl w:val="0"/>
              <w:spacing w:line="240" w:lineRule="auto"/>
              <w:ind w:left="0" w:firstLine="0"/>
              <w:jc w:val="center"/>
              <w:rPr>
                <w:rFonts w:ascii="Times New Roman" w:hAnsi="Times New Roman" w:cs="Times New Roman"/>
                <w:b/>
              </w:rPr>
            </w:pPr>
            <w:r w:rsidRPr="006E09FC">
              <w:rPr>
                <w:rFonts w:ascii="Times New Roman" w:hAnsi="Times New Roman" w:cs="Times New Roman"/>
                <w:b/>
              </w:rPr>
              <w:t>UE-111190 Order</w:t>
            </w:r>
          </w:p>
          <w:p w:rsidR="0081542E" w:rsidRPr="006E09FC" w:rsidRDefault="00BE6885" w:rsidP="007C5514">
            <w:pPr>
              <w:pStyle w:val="BodyTextIndent"/>
              <w:widowControl w:val="0"/>
              <w:spacing w:line="240" w:lineRule="auto"/>
              <w:ind w:left="0" w:firstLine="0"/>
              <w:jc w:val="center"/>
              <w:rPr>
                <w:rFonts w:ascii="Times New Roman" w:hAnsi="Times New Roman" w:cs="Times New Roman"/>
                <w:b/>
              </w:rPr>
            </w:pPr>
            <w:r w:rsidRPr="006E09FC">
              <w:rPr>
                <w:rFonts w:ascii="Times New Roman" w:hAnsi="Times New Roman" w:cs="Times New Roman"/>
                <w:b/>
              </w:rPr>
              <w:t>March 2012</w:t>
            </w:r>
          </w:p>
        </w:tc>
        <w:tc>
          <w:tcPr>
            <w:tcW w:w="1980" w:type="dxa"/>
            <w:vAlign w:val="center"/>
          </w:tcPr>
          <w:p w:rsidR="00C4356E" w:rsidRPr="006E09FC" w:rsidRDefault="00BE6885" w:rsidP="007C5514">
            <w:pPr>
              <w:pStyle w:val="BodyTextIndent"/>
              <w:widowControl w:val="0"/>
              <w:spacing w:line="240" w:lineRule="auto"/>
              <w:ind w:left="0" w:firstLine="0"/>
              <w:jc w:val="center"/>
              <w:rPr>
                <w:rFonts w:ascii="Times New Roman" w:hAnsi="Times New Roman" w:cs="Times New Roman"/>
                <w:b/>
              </w:rPr>
            </w:pPr>
            <w:r w:rsidRPr="006E09FC">
              <w:rPr>
                <w:rFonts w:ascii="Times New Roman" w:hAnsi="Times New Roman" w:cs="Times New Roman"/>
                <w:b/>
              </w:rPr>
              <w:t xml:space="preserve">UE-100749 </w:t>
            </w:r>
          </w:p>
          <w:p w:rsidR="005E18D6" w:rsidRPr="006E09FC" w:rsidRDefault="00BE6885" w:rsidP="007C5514">
            <w:pPr>
              <w:pStyle w:val="BodyTextIndent"/>
              <w:widowControl w:val="0"/>
              <w:spacing w:line="240" w:lineRule="auto"/>
              <w:ind w:left="0" w:firstLine="0"/>
              <w:jc w:val="center"/>
              <w:rPr>
                <w:rFonts w:ascii="Times New Roman" w:hAnsi="Times New Roman" w:cs="Times New Roman"/>
                <w:b/>
              </w:rPr>
            </w:pPr>
            <w:r w:rsidRPr="006E09FC">
              <w:rPr>
                <w:rFonts w:ascii="Times New Roman" w:hAnsi="Times New Roman" w:cs="Times New Roman"/>
                <w:b/>
              </w:rPr>
              <w:t>Order</w:t>
            </w:r>
          </w:p>
          <w:p w:rsidR="0081542E" w:rsidRPr="006E09FC" w:rsidRDefault="00BE6885" w:rsidP="007C5514">
            <w:pPr>
              <w:pStyle w:val="BodyTextIndent"/>
              <w:widowControl w:val="0"/>
              <w:spacing w:line="240" w:lineRule="auto"/>
              <w:ind w:left="0" w:firstLine="0"/>
              <w:jc w:val="center"/>
              <w:rPr>
                <w:rFonts w:ascii="Times New Roman" w:hAnsi="Times New Roman" w:cs="Times New Roman"/>
                <w:b/>
              </w:rPr>
            </w:pPr>
            <w:r w:rsidRPr="006E09FC">
              <w:rPr>
                <w:rFonts w:ascii="Times New Roman" w:hAnsi="Times New Roman" w:cs="Times New Roman"/>
                <w:b/>
              </w:rPr>
              <w:t>March 2011</w:t>
            </w:r>
          </w:p>
        </w:tc>
      </w:tr>
      <w:tr w:rsidR="0081542E" w:rsidRPr="00C4356E" w:rsidTr="006E09FC">
        <w:tc>
          <w:tcPr>
            <w:tcW w:w="2178" w:type="dxa"/>
          </w:tcPr>
          <w:p w:rsidR="005E18D6" w:rsidRPr="006E09FC" w:rsidRDefault="006E09FC" w:rsidP="005E18D6">
            <w:pPr>
              <w:pStyle w:val="BodyTextIndent"/>
              <w:widowControl w:val="0"/>
              <w:spacing w:line="240" w:lineRule="auto"/>
              <w:ind w:left="0" w:firstLine="0"/>
              <w:rPr>
                <w:rFonts w:ascii="Times New Roman" w:hAnsi="Times New Roman" w:cs="Times New Roman"/>
              </w:rPr>
            </w:pPr>
            <w:r>
              <w:rPr>
                <w:rFonts w:ascii="Times New Roman" w:hAnsi="Times New Roman" w:cs="Times New Roman"/>
              </w:rPr>
              <w:t>Cost of Long-Term</w:t>
            </w:r>
          </w:p>
          <w:p w:rsidR="005E18D6" w:rsidRPr="006E09FC" w:rsidRDefault="00BE6885" w:rsidP="005E18D6">
            <w:pPr>
              <w:pStyle w:val="BodyTextIndent"/>
              <w:widowControl w:val="0"/>
              <w:spacing w:line="240" w:lineRule="auto"/>
              <w:ind w:left="0" w:firstLine="0"/>
              <w:rPr>
                <w:rFonts w:ascii="Times New Roman" w:hAnsi="Times New Roman" w:cs="Times New Roman"/>
              </w:rPr>
            </w:pPr>
            <w:r w:rsidRPr="006E09FC">
              <w:rPr>
                <w:rFonts w:ascii="Times New Roman" w:hAnsi="Times New Roman" w:cs="Times New Roman"/>
              </w:rPr>
              <w:t>Debt</w:t>
            </w:r>
          </w:p>
        </w:tc>
        <w:tc>
          <w:tcPr>
            <w:tcW w:w="1890" w:type="dxa"/>
          </w:tcPr>
          <w:p w:rsidR="005E18D6" w:rsidRPr="006E09FC" w:rsidRDefault="00BE6885" w:rsidP="0081542E">
            <w:pPr>
              <w:pStyle w:val="BodyTextIndent"/>
              <w:widowControl w:val="0"/>
              <w:ind w:left="0" w:firstLine="0"/>
              <w:jc w:val="center"/>
              <w:rPr>
                <w:rFonts w:ascii="Times New Roman" w:hAnsi="Times New Roman" w:cs="Times New Roman"/>
              </w:rPr>
            </w:pPr>
            <w:r w:rsidRPr="006E09FC">
              <w:rPr>
                <w:rFonts w:ascii="Times New Roman" w:hAnsi="Times New Roman" w:cs="Times New Roman"/>
              </w:rPr>
              <w:t>5.37%</w:t>
            </w:r>
          </w:p>
        </w:tc>
        <w:tc>
          <w:tcPr>
            <w:tcW w:w="2250" w:type="dxa"/>
          </w:tcPr>
          <w:p w:rsidR="005E18D6" w:rsidRPr="006E09FC" w:rsidRDefault="00BE6885" w:rsidP="0081542E">
            <w:pPr>
              <w:pStyle w:val="BodyTextIndent"/>
              <w:widowControl w:val="0"/>
              <w:ind w:left="0" w:firstLine="0"/>
              <w:jc w:val="center"/>
              <w:rPr>
                <w:rFonts w:ascii="Times New Roman" w:hAnsi="Times New Roman" w:cs="Times New Roman"/>
              </w:rPr>
            </w:pPr>
            <w:r w:rsidRPr="006E09FC">
              <w:rPr>
                <w:rFonts w:ascii="Times New Roman" w:hAnsi="Times New Roman" w:cs="Times New Roman"/>
              </w:rPr>
              <w:t>5.76%</w:t>
            </w:r>
          </w:p>
        </w:tc>
        <w:tc>
          <w:tcPr>
            <w:tcW w:w="1980" w:type="dxa"/>
          </w:tcPr>
          <w:p w:rsidR="005E18D6" w:rsidRPr="006E09FC" w:rsidRDefault="00BE6885" w:rsidP="0081542E">
            <w:pPr>
              <w:pStyle w:val="BodyTextIndent"/>
              <w:widowControl w:val="0"/>
              <w:ind w:left="0" w:firstLine="0"/>
              <w:jc w:val="center"/>
              <w:rPr>
                <w:rFonts w:ascii="Times New Roman" w:hAnsi="Times New Roman" w:cs="Times New Roman"/>
              </w:rPr>
            </w:pPr>
            <w:r w:rsidRPr="006E09FC">
              <w:rPr>
                <w:rFonts w:ascii="Times New Roman" w:hAnsi="Times New Roman" w:cs="Times New Roman"/>
              </w:rPr>
              <w:t>5.89%</w:t>
            </w:r>
          </w:p>
        </w:tc>
      </w:tr>
    </w:tbl>
    <w:p w:rsidR="00CA069B" w:rsidRDefault="00CA069B" w:rsidP="00CA069B">
      <w:pPr>
        <w:pStyle w:val="BodyTextIndent"/>
        <w:widowControl w:val="0"/>
        <w:suppressLineNumbers/>
        <w:spacing w:line="240" w:lineRule="auto"/>
      </w:pPr>
    </w:p>
    <w:p w:rsidR="005E18D6" w:rsidRPr="00882585" w:rsidRDefault="0081542E" w:rsidP="00080F72">
      <w:pPr>
        <w:pStyle w:val="BodyTextIndent"/>
        <w:widowControl w:val="0"/>
      </w:pPr>
      <w:r>
        <w:tab/>
        <w:t>Clearly, customers have benefitted from a 52 basis points (0.52 percent) reduction in the Company’s cost of long</w:t>
      </w:r>
      <w:r w:rsidR="005E3B8B">
        <w:t>-</w:t>
      </w:r>
      <w:r>
        <w:t xml:space="preserve">term debt.  </w:t>
      </w:r>
      <w:r w:rsidR="008944D2">
        <w:t>Further, I understand the Company’s cost of long</w:t>
      </w:r>
      <w:r w:rsidR="005E3B8B">
        <w:t>-</w:t>
      </w:r>
      <w:r w:rsidR="008944D2">
        <w:t xml:space="preserve">term debt to be significantly lower than the other major Washington </w:t>
      </w:r>
      <w:r w:rsidR="006E09FC">
        <w:t>investor-</w:t>
      </w:r>
      <w:r w:rsidR="003A482E">
        <w:t xml:space="preserve">owned </w:t>
      </w:r>
      <w:r w:rsidR="008944D2">
        <w:t>utilities.</w:t>
      </w:r>
    </w:p>
    <w:p w:rsidR="00080F72" w:rsidRDefault="00080F72" w:rsidP="00080F72">
      <w:pPr>
        <w:pStyle w:val="BodyTextIndent"/>
        <w:widowControl w:val="0"/>
        <w:rPr>
          <w:b/>
        </w:rPr>
      </w:pPr>
      <w:r>
        <w:rPr>
          <w:b/>
        </w:rPr>
        <w:t>Q.</w:t>
      </w:r>
      <w:r>
        <w:rPr>
          <w:b/>
        </w:rPr>
        <w:tab/>
        <w:t>Are there other identifiable advantages to a favorable rating?</w:t>
      </w:r>
    </w:p>
    <w:p w:rsidR="00080F72" w:rsidRDefault="00080F72" w:rsidP="00080F72">
      <w:pPr>
        <w:pStyle w:val="BodyTextIndent"/>
        <w:widowControl w:val="0"/>
      </w:pPr>
      <w:r>
        <w:t>A.</w:t>
      </w:r>
      <w:r>
        <w:tab/>
        <w:t xml:space="preserve">Yes.  Higher-rated companies have greater access to the long-term markets for power purchases and sales.  </w:t>
      </w:r>
      <w:r w:rsidR="0041706E">
        <w:t>This</w:t>
      </w:r>
      <w:r>
        <w:t xml:space="preserve"> access provides these companies with more alternatives when attempting to meet the current and future load requirements of their customers.  Additionally, a company with strong ratings will often avoid having to meet costly collateral requirements that are typically imposed on lower-rated companies when securing power in these markets. </w:t>
      </w:r>
    </w:p>
    <w:p w:rsidR="002E7574" w:rsidRPr="002E7574" w:rsidRDefault="00080F72" w:rsidP="002E7574">
      <w:pPr>
        <w:pStyle w:val="BodyTextIndent"/>
        <w:widowControl w:val="0"/>
        <w:ind w:firstLine="720"/>
      </w:pPr>
      <w:r>
        <w:t xml:space="preserve">In my opinion, maintaining the current </w:t>
      </w:r>
      <w:r w:rsidRPr="004E5D9A">
        <w:t>single-A</w:t>
      </w:r>
      <w:r>
        <w:t xml:space="preserve"> rating provides the best balance between costs and the continued access to the capital markets that is necessary to fund capital project</w:t>
      </w:r>
      <w:r w:rsidR="006E09FC">
        <w:t>s for the benefit of customers.</w:t>
      </w:r>
      <w:r w:rsidR="002E7574">
        <w:rPr>
          <w:b/>
          <w:bCs/>
        </w:rPr>
        <w:br w:type="page"/>
      </w:r>
    </w:p>
    <w:p w:rsidR="00080F72" w:rsidRDefault="00080F72" w:rsidP="00080F72">
      <w:pPr>
        <w:pStyle w:val="BodyTextIndent"/>
        <w:widowControl w:val="0"/>
        <w:rPr>
          <w:b/>
          <w:bCs/>
        </w:rPr>
      </w:pPr>
      <w:r>
        <w:rPr>
          <w:b/>
          <w:bCs/>
        </w:rPr>
        <w:t>Q.</w:t>
      </w:r>
      <w:r>
        <w:rPr>
          <w:b/>
          <w:bCs/>
        </w:rPr>
        <w:tab/>
        <w:t>Is the proposed capital structure consistent with the C</w:t>
      </w:r>
      <w:r w:rsidR="006E09FC">
        <w:rPr>
          <w:b/>
          <w:bCs/>
        </w:rPr>
        <w:t>ompany’s current credit rating?</w:t>
      </w:r>
    </w:p>
    <w:p w:rsidR="00080F72" w:rsidRDefault="00080F72" w:rsidP="00080F72">
      <w:pPr>
        <w:pStyle w:val="BodyTextIndent"/>
        <w:widowControl w:val="0"/>
      </w:pPr>
      <w:r>
        <w:t>A.</w:t>
      </w:r>
      <w:r>
        <w:tab/>
        <w:t xml:space="preserve">Yes. </w:t>
      </w:r>
      <w:r w:rsidR="007C5514">
        <w:t xml:space="preserve"> </w:t>
      </w:r>
      <w:r>
        <w:t xml:space="preserve">This capital structure is intended to enable the Company to deliver its required capital expenditures and achieve financial metrics that will meet rating agency expectations. </w:t>
      </w:r>
      <w:r w:rsidR="007C5514">
        <w:t xml:space="preserve"> </w:t>
      </w:r>
      <w:r>
        <w:t>S&amp;P has stated very clearly i</w:t>
      </w:r>
      <w:r w:rsidR="006E09FC">
        <w:t>ts expectations for PacifiCorp:</w:t>
      </w:r>
    </w:p>
    <w:p w:rsidR="00080F72" w:rsidRDefault="00080F72" w:rsidP="00080F72">
      <w:pPr>
        <w:pStyle w:val="BodyTextIndent"/>
        <w:widowControl w:val="0"/>
        <w:spacing w:line="240" w:lineRule="auto"/>
        <w:ind w:left="1440" w:right="720" w:firstLine="0"/>
      </w:pPr>
      <w:r>
        <w:t xml:space="preserve">The stable outlook </w:t>
      </w:r>
      <w:r w:rsidR="00F63CC7">
        <w:t xml:space="preserve">on PacifiCorp reflects our expectation that management will continue to focus on its core utility operations and reach </w:t>
      </w:r>
      <w:r w:rsidR="0041706E">
        <w:t>[</w:t>
      </w:r>
      <w:r w:rsidR="00BE6885" w:rsidRPr="00BE6885">
        <w:t>constructive</w:t>
      </w:r>
      <w:r w:rsidR="001A27AC">
        <w:rPr>
          <w:sz w:val="26"/>
        </w:rPr>
        <w:t>]</w:t>
      </w:r>
      <w:r w:rsidR="00745AF1">
        <w:t xml:space="preserve"> regulatory</w:t>
      </w:r>
      <w:r w:rsidR="00F63CC7">
        <w:t xml:space="preserve"> outcomes to avoid any meaningful business risk rise.  The outlook also includes our projection that cash flow measures will decrease as construction project</w:t>
      </w:r>
      <w:r w:rsidR="006B5C9A">
        <w:t>[s]</w:t>
      </w:r>
      <w:r w:rsidR="00F63CC7">
        <w:t xml:space="preserve"> move forward and bonus depreciation benefits decrease.  Our base forecast includes adjusted FFO to total debt of about 18%, adjusted debt to EBITDA of roughly 4x, and adjusted debt to total capital hovering at 50%.  These measures are consistent with</w:t>
      </w:r>
      <w:r w:rsidR="00E95880">
        <w:t xml:space="preserve"> </w:t>
      </w:r>
      <w:r w:rsidR="00F63CC7">
        <w:t>our expectations for the rating.  We could lower ratings if financial measures consistently underperform our base forecast and remain at less cred</w:t>
      </w:r>
      <w:r w:rsidR="00E95880">
        <w:t>it</w:t>
      </w:r>
      <w:r w:rsidR="006E09FC">
        <w:t xml:space="preserve">-supportive levels…. </w:t>
      </w:r>
      <w:r w:rsidR="00F63CC7">
        <w:t>We do not contemplate positive rating actions because of near-term capital needs, but we could raise ratings</w:t>
      </w:r>
      <w:r w:rsidR="00E95880">
        <w:t xml:space="preserve"> </w:t>
      </w:r>
      <w:r w:rsidR="00F63CC7">
        <w:t>if financial measures strengthen and consistently exceed our base forecas</w:t>
      </w:r>
      <w:r w:rsidR="006E09FC">
        <w:t>t[.]</w:t>
      </w:r>
      <w:r>
        <w:rPr>
          <w:rStyle w:val="FootnoteReference"/>
        </w:rPr>
        <w:footnoteReference w:id="3"/>
      </w:r>
    </w:p>
    <w:p w:rsidR="00080F72" w:rsidRDefault="00080F72" w:rsidP="00080F72">
      <w:pPr>
        <w:pStyle w:val="BodyTextIndent"/>
        <w:widowControl w:val="0"/>
        <w:suppressLineNumbers/>
        <w:spacing w:line="240" w:lineRule="auto"/>
        <w:ind w:left="1440" w:right="720" w:firstLine="0"/>
      </w:pPr>
    </w:p>
    <w:p w:rsidR="00080F72" w:rsidRDefault="00080F72" w:rsidP="00080F72">
      <w:pPr>
        <w:pStyle w:val="BodyTextIndent"/>
        <w:rPr>
          <w:b/>
        </w:rPr>
      </w:pPr>
      <w:r>
        <w:rPr>
          <w:b/>
        </w:rPr>
        <w:t>Q.</w:t>
      </w:r>
      <w:r>
        <w:rPr>
          <w:b/>
        </w:rPr>
        <w:tab/>
        <w:t>Do the Company’s credit ratings benefit because of M</w:t>
      </w:r>
      <w:r w:rsidR="006B5C9A">
        <w:rPr>
          <w:b/>
        </w:rPr>
        <w:t xml:space="preserve">idAmerican </w:t>
      </w:r>
      <w:r>
        <w:rPr>
          <w:b/>
        </w:rPr>
        <w:t>E</w:t>
      </w:r>
      <w:r w:rsidR="006B5C9A">
        <w:rPr>
          <w:b/>
        </w:rPr>
        <w:t xml:space="preserve">nergy </w:t>
      </w:r>
      <w:r>
        <w:rPr>
          <w:b/>
        </w:rPr>
        <w:t>H</w:t>
      </w:r>
      <w:r w:rsidR="006B5C9A">
        <w:rPr>
          <w:b/>
        </w:rPr>
        <w:t xml:space="preserve">oldings </w:t>
      </w:r>
      <w:r>
        <w:rPr>
          <w:b/>
        </w:rPr>
        <w:t>C</w:t>
      </w:r>
      <w:r w:rsidR="006B5C9A">
        <w:rPr>
          <w:b/>
        </w:rPr>
        <w:t>orporation</w:t>
      </w:r>
      <w:r>
        <w:rPr>
          <w:b/>
        </w:rPr>
        <w:t xml:space="preserve"> </w:t>
      </w:r>
      <w:r w:rsidR="00182872">
        <w:rPr>
          <w:b/>
        </w:rPr>
        <w:t xml:space="preserve">(MEHC) </w:t>
      </w:r>
      <w:r>
        <w:rPr>
          <w:b/>
        </w:rPr>
        <w:t>and its parent Berkshire Hathaway?</w:t>
      </w:r>
    </w:p>
    <w:p w:rsidR="00080F72" w:rsidRDefault="00080F72" w:rsidP="00080F72">
      <w:pPr>
        <w:pStyle w:val="BodyTextIndent"/>
        <w:rPr>
          <w:bCs/>
        </w:rPr>
      </w:pPr>
      <w:r>
        <w:t>A.</w:t>
      </w:r>
      <w:r>
        <w:tab/>
        <w:t xml:space="preserve">Yes. </w:t>
      </w:r>
      <w:r w:rsidR="006E09FC">
        <w:t xml:space="preserve"> </w:t>
      </w:r>
      <w:r>
        <w:t>Although ring</w:t>
      </w:r>
      <w:r w:rsidR="007C5514">
        <w:t>-</w:t>
      </w:r>
      <w:r>
        <w:t xml:space="preserve">fenced, historically the Company’s credit ratios have been weak for the ratings levels, and </w:t>
      </w:r>
      <w:r w:rsidR="007C5514">
        <w:t>the Company has</w:t>
      </w:r>
      <w:r>
        <w:t xml:space="preserve"> been able to sustain </w:t>
      </w:r>
      <w:r w:rsidR="007C5514">
        <w:t xml:space="preserve">its </w:t>
      </w:r>
      <w:r>
        <w:t xml:space="preserve">ratings in part through </w:t>
      </w:r>
      <w:r>
        <w:rPr>
          <w:bCs/>
        </w:rPr>
        <w:t xml:space="preserve">MEHC and its parent, Berkshire Hathaway. </w:t>
      </w:r>
      <w:r w:rsidR="007C5514">
        <w:rPr>
          <w:bCs/>
        </w:rPr>
        <w:t xml:space="preserve"> </w:t>
      </w:r>
      <w:r>
        <w:rPr>
          <w:bCs/>
        </w:rPr>
        <w:t>S&amp;P was very clear on this point in its recent assessment of PacifiCorp:</w:t>
      </w:r>
    </w:p>
    <w:p w:rsidR="006E09FC" w:rsidRDefault="00782523" w:rsidP="006E09FC">
      <w:pPr>
        <w:pStyle w:val="BodyTextIndent"/>
        <w:widowControl w:val="0"/>
        <w:spacing w:line="240" w:lineRule="auto"/>
        <w:ind w:left="1440" w:right="720" w:firstLine="0"/>
      </w:pPr>
      <w:r>
        <w:t>The company’s significant financial profile is supported by modest use of leverage to finance a large capital program and parent MidAmerican Energy Holdings Co.’s willingness to deploy equity into PacifiCorp as needed to support the company’s capital structure as it expand</w:t>
      </w:r>
      <w:r w:rsidR="00266FBE">
        <w:t>s</w:t>
      </w:r>
      <w:r>
        <w:t xml:space="preserve"> its rate base</w:t>
      </w:r>
      <w:r w:rsidR="007C5514">
        <w:t xml:space="preserve"> . . . .</w:t>
      </w:r>
      <w:r w:rsidR="00951E93">
        <w:t xml:space="preserve"> The cash credit metrics we</w:t>
      </w:r>
    </w:p>
    <w:p w:rsidR="00080F72" w:rsidRDefault="00951E93" w:rsidP="006E09FC">
      <w:pPr>
        <w:pStyle w:val="BodyTextIndent"/>
        <w:keepLines/>
        <w:widowControl w:val="0"/>
        <w:spacing w:line="240" w:lineRule="auto"/>
        <w:ind w:left="1440" w:right="720" w:firstLine="0"/>
      </w:pPr>
      <w:r>
        <w:t>expect the company to achieve after this year are just adequate, in our view, to support the ratings, providing little cushion for the company to deviate</w:t>
      </w:r>
      <w:r w:rsidR="00782523">
        <w:t>.</w:t>
      </w:r>
      <w:r w:rsidR="007C5514">
        <w:rPr>
          <w:rStyle w:val="FootnoteReference"/>
        </w:rPr>
        <w:footnoteReference w:id="4"/>
      </w:r>
    </w:p>
    <w:p w:rsidR="00080F72" w:rsidRDefault="00080F72" w:rsidP="004C408C">
      <w:pPr>
        <w:pStyle w:val="BodyTextIndent"/>
        <w:widowControl w:val="0"/>
        <w:suppressLineNumbers/>
        <w:spacing w:before="120" w:after="120" w:line="240" w:lineRule="auto"/>
        <w:ind w:right="720" w:firstLine="0"/>
        <w:jc w:val="center"/>
      </w:pPr>
      <w:r>
        <w:t>*</w:t>
      </w:r>
      <w:r>
        <w:tab/>
        <w:t>*</w:t>
      </w:r>
      <w:r>
        <w:tab/>
        <w:t>*</w:t>
      </w:r>
    </w:p>
    <w:p w:rsidR="00EB2666" w:rsidRDefault="00EB2666" w:rsidP="00080F72">
      <w:pPr>
        <w:pStyle w:val="BodyTextIndent"/>
        <w:spacing w:line="240" w:lineRule="auto"/>
        <w:ind w:left="1440" w:right="720" w:firstLine="0"/>
        <w:rPr>
          <w:bCs/>
        </w:rPr>
      </w:pPr>
      <w:r>
        <w:rPr>
          <w:bCs/>
        </w:rPr>
        <w:t>PPW’s ratings and outlook also reflect the benefits of affiliation with ultimate corporate parent, Berkshire Hathaway (BRK)</w:t>
      </w:r>
      <w:r w:rsidR="007509BA">
        <w:rPr>
          <w:bCs/>
        </w:rPr>
        <w:t xml:space="preserve"> . . . . </w:t>
      </w:r>
      <w:r>
        <w:rPr>
          <w:bCs/>
        </w:rPr>
        <w:t>Loss of the benefits of BRK ownership would have negative rating implications</w:t>
      </w:r>
      <w:r w:rsidR="007509BA">
        <w:rPr>
          <w:bCs/>
        </w:rPr>
        <w:t>.</w:t>
      </w:r>
      <w:r w:rsidR="00080F72">
        <w:rPr>
          <w:rStyle w:val="FootnoteReference"/>
          <w:bCs/>
        </w:rPr>
        <w:footnoteReference w:id="5"/>
      </w:r>
    </w:p>
    <w:p w:rsidR="00EB2666" w:rsidRDefault="00EB2666" w:rsidP="004C408C">
      <w:pPr>
        <w:pStyle w:val="BodyTextIndent"/>
        <w:widowControl w:val="0"/>
        <w:suppressLineNumbers/>
        <w:spacing w:before="120" w:after="120" w:line="240" w:lineRule="auto"/>
        <w:ind w:right="720" w:firstLine="0"/>
        <w:jc w:val="center"/>
      </w:pPr>
      <w:r>
        <w:t>*</w:t>
      </w:r>
      <w:r>
        <w:tab/>
        <w:t>*</w:t>
      </w:r>
      <w:r>
        <w:tab/>
        <w:t>*</w:t>
      </w:r>
    </w:p>
    <w:p w:rsidR="00EB2666" w:rsidRDefault="00EB2666" w:rsidP="00080F72">
      <w:pPr>
        <w:pStyle w:val="BodyTextIndent"/>
        <w:spacing w:line="240" w:lineRule="auto"/>
        <w:ind w:left="1440" w:right="720" w:firstLine="0"/>
        <w:rPr>
          <w:bCs/>
        </w:rPr>
      </w:pPr>
      <w:r>
        <w:rPr>
          <w:bCs/>
        </w:rPr>
        <w:t>The rating also considers PacifiCorp’s position as a subsidiary of MEHC</w:t>
      </w:r>
      <w:r w:rsidR="00266FBE">
        <w:rPr>
          <w:bCs/>
        </w:rPr>
        <w:t>,</w:t>
      </w:r>
      <w:r>
        <w:rPr>
          <w:bCs/>
        </w:rPr>
        <w:t xml:space="preserve"> a holding company whose subsidiaries are primarily engaged in regulated activities, and the benefits from its affiliation with BRK.</w:t>
      </w:r>
      <w:r>
        <w:rPr>
          <w:rStyle w:val="FootnoteReference"/>
          <w:bCs/>
        </w:rPr>
        <w:footnoteReference w:id="6"/>
      </w:r>
    </w:p>
    <w:p w:rsidR="00080F72" w:rsidRDefault="00080F72" w:rsidP="00080F72">
      <w:pPr>
        <w:pStyle w:val="BodyTextIndent"/>
        <w:suppressLineNumbers/>
        <w:spacing w:line="240" w:lineRule="auto"/>
        <w:ind w:left="1440" w:right="720" w:firstLine="0"/>
        <w:rPr>
          <w:bCs/>
        </w:rPr>
      </w:pPr>
    </w:p>
    <w:p w:rsidR="002E7574" w:rsidRDefault="00080F72" w:rsidP="002E7574">
      <w:pPr>
        <w:pStyle w:val="BodyTextIndent"/>
        <w:ind w:firstLine="720"/>
        <w:rPr>
          <w:b/>
        </w:rPr>
      </w:pPr>
      <w:r>
        <w:rPr>
          <w:bCs/>
        </w:rPr>
        <w:t>Clearly, PacifiCorp and its customers have benefited from higher ratings</w:t>
      </w:r>
      <w:r w:rsidR="007240DD">
        <w:rPr>
          <w:bCs/>
        </w:rPr>
        <w:t xml:space="preserve"> than </w:t>
      </w:r>
      <w:r>
        <w:rPr>
          <w:bCs/>
        </w:rPr>
        <w:t xml:space="preserve">the Company would otherwise likely have been awarded on a stand-alone basis. </w:t>
      </w:r>
      <w:r w:rsidR="007509BA">
        <w:rPr>
          <w:bCs/>
        </w:rPr>
        <w:t xml:space="preserve"> </w:t>
      </w:r>
      <w:r>
        <w:rPr>
          <w:bCs/>
        </w:rPr>
        <w:t>Another important element supporting the Company’s current ratings is the rating agencies’ expectations that PacifiCorp will receive supportive regulatory treatment, including reasonable outcomes in rate proceedings and applications to recover the full cost of large scale capital projects.  Absent ownership by MEHC and supportive regulatory treatment that permits a fair opportunity for the Company to recover its reasonable and prudent costs</w:t>
      </w:r>
      <w:r w:rsidR="007509BA">
        <w:rPr>
          <w:bCs/>
        </w:rPr>
        <w:t>—</w:t>
      </w:r>
      <w:r>
        <w:rPr>
          <w:bCs/>
        </w:rPr>
        <w:t>including a return on its investment comparable to other similarly situated utilities</w:t>
      </w:r>
      <w:r w:rsidR="007509BA">
        <w:rPr>
          <w:bCs/>
        </w:rPr>
        <w:t>—</w:t>
      </w:r>
      <w:r>
        <w:rPr>
          <w:bCs/>
        </w:rPr>
        <w:t>PacifiCorp’s senior secured and corporate credit ratings would have likely suffered</w:t>
      </w:r>
      <w:r w:rsidR="007509BA">
        <w:rPr>
          <w:bCs/>
        </w:rPr>
        <w:t xml:space="preserve"> a</w:t>
      </w:r>
      <w:r>
        <w:rPr>
          <w:bCs/>
        </w:rPr>
        <w:t xml:space="preserve"> downgrade</w:t>
      </w:r>
      <w:r w:rsidR="007509BA" w:rsidRPr="007509BA">
        <w:rPr>
          <w:bCs/>
        </w:rPr>
        <w:t xml:space="preserve"> </w:t>
      </w:r>
      <w:r w:rsidR="007509BA">
        <w:rPr>
          <w:bCs/>
        </w:rPr>
        <w:t>of at least one rating level</w:t>
      </w:r>
      <w:r w:rsidR="004C408C">
        <w:rPr>
          <w:bCs/>
        </w:rPr>
        <w:t>.</w:t>
      </w:r>
      <w:r w:rsidR="002E7574">
        <w:rPr>
          <w:b/>
        </w:rPr>
        <w:br w:type="page"/>
      </w:r>
    </w:p>
    <w:p w:rsidR="00080F72" w:rsidRDefault="00080F72" w:rsidP="00080F72">
      <w:pPr>
        <w:widowControl w:val="0"/>
        <w:rPr>
          <w:b/>
        </w:rPr>
      </w:pPr>
      <w:r>
        <w:rPr>
          <w:b/>
        </w:rPr>
        <w:t>Q.</w:t>
      </w:r>
      <w:r>
        <w:rPr>
          <w:b/>
        </w:rPr>
        <w:tab/>
        <w:t xml:space="preserve">Do rating agencies share </w:t>
      </w:r>
      <w:r w:rsidR="008168E2">
        <w:rPr>
          <w:b/>
        </w:rPr>
        <w:t>a</w:t>
      </w:r>
      <w:r>
        <w:rPr>
          <w:b/>
        </w:rPr>
        <w:t xml:space="preserve"> view concerning the need for supportive rate case outcomes?</w:t>
      </w:r>
    </w:p>
    <w:p w:rsidR="00080F72" w:rsidRDefault="00080F72" w:rsidP="00080F72">
      <w:pPr>
        <w:widowControl w:val="0"/>
      </w:pPr>
      <w:r>
        <w:t>A.</w:t>
      </w:r>
      <w:r>
        <w:tab/>
        <w:t>Yes</w:t>
      </w:r>
      <w:r w:rsidR="008168E2">
        <w:t>, quite clearly.</w:t>
      </w:r>
      <w:r>
        <w:t xml:space="preserve">  Fitch stated: “</w:t>
      </w:r>
      <w:r w:rsidR="003E23A7">
        <w:t>Timely recover</w:t>
      </w:r>
      <w:r w:rsidR="007240DD">
        <w:t>y</w:t>
      </w:r>
      <w:r w:rsidR="003E23A7">
        <w:t xml:space="preserve"> of large capital investment program</w:t>
      </w:r>
      <w:r w:rsidR="00182872">
        <w:t>[s]</w:t>
      </w:r>
      <w:r w:rsidR="003E23A7">
        <w:t xml:space="preserve"> in rates is crucial to PPW’s credit quality in Fitch’s view.  The ratings assume recovery of capital and operating costs in rates will support credit metrics </w:t>
      </w:r>
      <w:r w:rsidR="00624A07">
        <w:t>consistent</w:t>
      </w:r>
      <w:r w:rsidR="003E23A7">
        <w:t xml:space="preserve"> with the company’s ‘BBB</w:t>
      </w:r>
      <w:r w:rsidR="007509BA">
        <w:t>’</w:t>
      </w:r>
      <w:r w:rsidR="003E23A7">
        <w:t xml:space="preserve"> [issuer default rating] and Stable Outlook</w:t>
      </w:r>
      <w:r>
        <w:t>.”</w:t>
      </w:r>
      <w:r>
        <w:rPr>
          <w:rStyle w:val="FootnoteReference"/>
        </w:rPr>
        <w:footnoteReference w:id="7"/>
      </w:r>
      <w:r>
        <w:t xml:space="preserve">  Fitch </w:t>
      </w:r>
      <w:r w:rsidR="007509BA">
        <w:t xml:space="preserve">further </w:t>
      </w:r>
      <w:r w:rsidR="004C408C">
        <w:t>stated:</w:t>
      </w:r>
    </w:p>
    <w:p w:rsidR="00080F72" w:rsidRDefault="00080F72" w:rsidP="00080F72">
      <w:pPr>
        <w:spacing w:line="240" w:lineRule="auto"/>
        <w:ind w:left="1440" w:right="720" w:firstLine="0"/>
      </w:pPr>
      <w:r>
        <w:t xml:space="preserve">Given the size of its planned capital investment, timely recovery of capital and related operating and maintenance costs is crucial for PPW’s creditworthiness. </w:t>
      </w:r>
      <w:r w:rsidR="007509BA">
        <w:t xml:space="preserve"> </w:t>
      </w:r>
      <w:r>
        <w:t>Therefore, currently unanticipated adverse developments in PPW’s six regulatory jurisdictions, leading to greater regulatory lag or lower recoveries, and resulting weaker coverage ratios compared with Fitch’s projections could lead to future deterioration in PPW’s creditworthiness and lower credit ratings.</w:t>
      </w:r>
      <w:r>
        <w:rPr>
          <w:rStyle w:val="FootnoteReference"/>
        </w:rPr>
        <w:footnoteReference w:id="8"/>
      </w:r>
    </w:p>
    <w:p w:rsidR="00080F72" w:rsidRDefault="00080F72" w:rsidP="004C408C">
      <w:pPr>
        <w:suppressLineNumbers/>
        <w:spacing w:line="240" w:lineRule="auto"/>
        <w:ind w:right="720"/>
      </w:pPr>
    </w:p>
    <w:p w:rsidR="00B719F0" w:rsidRDefault="00080F72" w:rsidP="004C408C">
      <w:pPr>
        <w:ind w:firstLine="0"/>
      </w:pPr>
      <w:r>
        <w:t>Likewise, Moody’s lists “Reasonably supportive regulatory environment” as one of the ratings drivers</w:t>
      </w:r>
      <w:r w:rsidR="0032288A">
        <w:t>, stating:  “</w:t>
      </w:r>
      <w:r>
        <w:t>The stable outlook incorporates Moody’s expectation that PacifiCorp will continue to receive reasonable regulatory treatment for the recovery of its higher capital expenditures</w:t>
      </w:r>
      <w:r w:rsidR="007509BA">
        <w:t>[</w:t>
      </w:r>
      <w:r>
        <w:t>.</w:t>
      </w:r>
      <w:r w:rsidR="007509BA">
        <w:t>]</w:t>
      </w:r>
      <w:r w:rsidR="0041706E">
        <w:t>”</w:t>
      </w:r>
      <w:r>
        <w:rPr>
          <w:rStyle w:val="FootnoteReference"/>
        </w:rPr>
        <w:footnoteReference w:id="9"/>
      </w:r>
      <w:r w:rsidR="0032288A">
        <w:t xml:space="preserve">  </w:t>
      </w:r>
      <w:r w:rsidR="007509BA">
        <w:t xml:space="preserve">Moody’s further stated that one of the factors that </w:t>
      </w:r>
      <w:r>
        <w:t>could cause the rating to be lowered</w:t>
      </w:r>
      <w:r w:rsidR="007509BA">
        <w:t xml:space="preserve"> is “</w:t>
      </w:r>
      <w:r>
        <w:t>adverse regulatory rulings on current and future rate cases such that we would anticipate a sustained deterioration in financial metrics</w:t>
      </w:r>
      <w:r w:rsidR="007509BA">
        <w:t>[.]”</w:t>
      </w:r>
      <w:r>
        <w:rPr>
          <w:rStyle w:val="FootnoteReference"/>
        </w:rPr>
        <w:footnoteReference w:id="10"/>
      </w:r>
      <w:r w:rsidR="007509BA">
        <w:t xml:space="preserve">  </w:t>
      </w:r>
      <w:r w:rsidR="008168E2">
        <w:t xml:space="preserve">S&amp;P </w:t>
      </w:r>
      <w:r w:rsidR="0032288A">
        <w:t>stated</w:t>
      </w:r>
      <w:r w:rsidR="008168E2">
        <w:t xml:space="preserve"> that</w:t>
      </w:r>
      <w:r w:rsidR="007509BA">
        <w:t xml:space="preserve"> </w:t>
      </w:r>
      <w:r w:rsidR="008168E2">
        <w:t>“supportive rate case outcomes remain key to maintaining</w:t>
      </w:r>
      <w:r w:rsidR="00951E93">
        <w:t xml:space="preserve"> </w:t>
      </w:r>
      <w:r w:rsidR="008168E2">
        <w:t>and improving upon the company’s financial performance.”</w:t>
      </w:r>
      <w:r w:rsidR="008168E2">
        <w:rPr>
          <w:rStyle w:val="FootnoteReference"/>
        </w:rPr>
        <w:footnoteReference w:id="11"/>
      </w:r>
      <w:r w:rsidR="008168E2">
        <w:t xml:space="preserve">  </w:t>
      </w:r>
    </w:p>
    <w:p w:rsidR="00B719F0" w:rsidRDefault="00B719F0" w:rsidP="00B719F0">
      <w:pPr>
        <w:widowControl w:val="0"/>
        <w:rPr>
          <w:b/>
          <w:bCs/>
        </w:rPr>
      </w:pPr>
      <w:r>
        <w:rPr>
          <w:b/>
          <w:bCs/>
        </w:rPr>
        <w:t>Q.</w:t>
      </w:r>
      <w:r>
        <w:rPr>
          <w:b/>
          <w:bCs/>
        </w:rPr>
        <w:tab/>
        <w:t>Have the rating agencies commented on the Company’s lack of a Power Cost Adjustment Mechanism (PCAM) in Washington?</w:t>
      </w:r>
    </w:p>
    <w:p w:rsidR="00B719F0" w:rsidRDefault="00B719F0" w:rsidP="00B719F0">
      <w:pPr>
        <w:widowControl w:val="0"/>
        <w:rPr>
          <w:bCs/>
        </w:rPr>
      </w:pPr>
      <w:r>
        <w:rPr>
          <w:bCs/>
        </w:rPr>
        <w:t>A.</w:t>
      </w:r>
      <w:r>
        <w:rPr>
          <w:bCs/>
        </w:rPr>
        <w:tab/>
        <w:t xml:space="preserve">Yes, they are very aware of it and have noted it as a risk in their reports on the Company.  For example, recent reports include the following: </w:t>
      </w:r>
    </w:p>
    <w:p w:rsidR="00B719F0" w:rsidRDefault="00B719F0" w:rsidP="004C408C">
      <w:pPr>
        <w:pStyle w:val="BodyTextIndent"/>
        <w:keepNext/>
        <w:widowControl w:val="0"/>
        <w:spacing w:after="120" w:line="240" w:lineRule="auto"/>
        <w:ind w:left="1440" w:right="720" w:firstLine="0"/>
        <w:rPr>
          <w:bCs/>
        </w:rPr>
      </w:pPr>
      <w:r>
        <w:rPr>
          <w:bCs/>
        </w:rPr>
        <w:t>Fuel adjustment mechanisms exist for all states but Washington.</w:t>
      </w:r>
      <w:r>
        <w:rPr>
          <w:rStyle w:val="FootnoteReference"/>
          <w:bCs/>
        </w:rPr>
        <w:footnoteReference w:id="12"/>
      </w:r>
    </w:p>
    <w:p w:rsidR="00B719F0" w:rsidRDefault="00B719F0" w:rsidP="004C408C">
      <w:pPr>
        <w:pStyle w:val="BodyTextIndent"/>
        <w:widowControl w:val="0"/>
        <w:suppressLineNumbers/>
        <w:spacing w:after="120" w:line="240" w:lineRule="auto"/>
        <w:ind w:right="720" w:firstLine="0"/>
        <w:jc w:val="center"/>
      </w:pPr>
      <w:r>
        <w:t>*</w:t>
      </w:r>
      <w:r>
        <w:tab/>
        <w:t>*</w:t>
      </w:r>
      <w:r>
        <w:tab/>
        <w:t>*</w:t>
      </w:r>
    </w:p>
    <w:p w:rsidR="00B719F0" w:rsidRDefault="00B719F0" w:rsidP="004C408C">
      <w:pPr>
        <w:pStyle w:val="BodyTextIndent"/>
        <w:keepNext/>
        <w:widowControl w:val="0"/>
        <w:spacing w:after="120" w:line="240" w:lineRule="auto"/>
        <w:ind w:left="1440" w:right="720" w:firstLine="0"/>
        <w:rPr>
          <w:bCs/>
        </w:rPr>
      </w:pPr>
      <w:r>
        <w:rPr>
          <w:bCs/>
        </w:rPr>
        <w:t>Over the past two years, the Company has now been granted energy cost adjustment mechanisms in all its jurisdictions except Washington.  Such mechanisms to recover f</w:t>
      </w:r>
      <w:r w:rsidR="004C408C">
        <w:rPr>
          <w:bCs/>
        </w:rPr>
        <w:t>uel and purchased power costs—a large, volatile expense—</w:t>
      </w:r>
      <w:r>
        <w:rPr>
          <w:bCs/>
        </w:rPr>
        <w:t>are more established in other parts of the country.</w:t>
      </w:r>
      <w:r>
        <w:rPr>
          <w:rStyle w:val="FootnoteReference"/>
          <w:bCs/>
        </w:rPr>
        <w:footnoteReference w:id="13"/>
      </w:r>
    </w:p>
    <w:p w:rsidR="00B719F0" w:rsidRDefault="00B719F0" w:rsidP="004C408C">
      <w:pPr>
        <w:pStyle w:val="BodyTextIndent"/>
        <w:widowControl w:val="0"/>
        <w:suppressLineNumbers/>
        <w:spacing w:after="120" w:line="240" w:lineRule="auto"/>
        <w:ind w:right="720" w:firstLine="0"/>
        <w:jc w:val="center"/>
      </w:pPr>
      <w:r>
        <w:t>*</w:t>
      </w:r>
      <w:r>
        <w:tab/>
        <w:t>*</w:t>
      </w:r>
      <w:r>
        <w:tab/>
        <w:t>*</w:t>
      </w:r>
    </w:p>
    <w:p w:rsidR="00B719F0" w:rsidRDefault="00B719F0" w:rsidP="004C408C">
      <w:pPr>
        <w:pStyle w:val="BodyTextIndent"/>
        <w:widowControl w:val="0"/>
        <w:spacing w:line="240" w:lineRule="auto"/>
        <w:ind w:left="1440" w:right="720" w:firstLine="0"/>
      </w:pPr>
      <w:r>
        <w:t>[PacifiCorp] has power cost adjustment mechanisms in place in five of six states in its service territory.</w:t>
      </w:r>
      <w:r>
        <w:rPr>
          <w:rStyle w:val="FootnoteReference"/>
        </w:rPr>
        <w:footnoteReference w:id="14"/>
      </w:r>
    </w:p>
    <w:p w:rsidR="00B719F0" w:rsidRDefault="00B719F0" w:rsidP="002E7574">
      <w:pPr>
        <w:pStyle w:val="BodyTextIndent"/>
        <w:widowControl w:val="0"/>
        <w:suppressLineNumbers/>
        <w:spacing w:line="240" w:lineRule="auto"/>
        <w:ind w:right="720"/>
      </w:pPr>
    </w:p>
    <w:p w:rsidR="00B719F0" w:rsidRDefault="004C408C" w:rsidP="00B719F0">
      <w:pPr>
        <w:pStyle w:val="BodyTextIndent"/>
        <w:widowControl w:val="0"/>
        <w:ind w:right="720"/>
        <w:rPr>
          <w:b/>
        </w:rPr>
      </w:pPr>
      <w:r>
        <w:rPr>
          <w:b/>
        </w:rPr>
        <w:t>Q.</w:t>
      </w:r>
      <w:r>
        <w:rPr>
          <w:b/>
        </w:rPr>
        <w:tab/>
      </w:r>
      <w:r w:rsidR="00B719F0">
        <w:rPr>
          <w:b/>
        </w:rPr>
        <w:t xml:space="preserve">PacifiCorp </w:t>
      </w:r>
      <w:r>
        <w:rPr>
          <w:b/>
        </w:rPr>
        <w:t xml:space="preserve">currently </w:t>
      </w:r>
      <w:r w:rsidR="00B719F0">
        <w:rPr>
          <w:b/>
        </w:rPr>
        <w:t xml:space="preserve">has investment grade credit ratings. </w:t>
      </w:r>
      <w:r>
        <w:rPr>
          <w:b/>
        </w:rPr>
        <w:t xml:space="preserve"> </w:t>
      </w:r>
      <w:r w:rsidR="00B719F0">
        <w:rPr>
          <w:b/>
        </w:rPr>
        <w:t>That seems to suggest there is no need for Washington to adopt a PCAM.  Does the Company agree?</w:t>
      </w:r>
    </w:p>
    <w:p w:rsidR="00B719F0" w:rsidRDefault="00B719F0" w:rsidP="00B719F0">
      <w:pPr>
        <w:pStyle w:val="BodyTextIndent"/>
        <w:widowControl w:val="0"/>
        <w:ind w:right="720"/>
      </w:pPr>
      <w:r>
        <w:t>A.</w:t>
      </w:r>
      <w:r>
        <w:tab/>
        <w:t>No.  As detailed in the testimony of Mr. Gregory</w:t>
      </w:r>
      <w:r w:rsidR="002E7574">
        <w:t xml:space="preserve"> N. </w:t>
      </w:r>
      <w:r>
        <w:t>Duvall, the Company’s net power costs (NPC) are large, volatile</w:t>
      </w:r>
      <w:r w:rsidR="004C408C">
        <w:t>,</w:t>
      </w:r>
      <w:r>
        <w:t xml:space="preserve"> and largely outside the control of the Company.  This volatility has resulted in significant under-recovery of costs; for example, nearly $55 million in NPC have not been recovered in Washington since 2007.  This under-recovery has contributed to what is generally seen by rating agencies as historically weak cash flow metrics that provide little cushion against negative developments.</w:t>
      </w:r>
    </w:p>
    <w:p w:rsidR="00B719F0" w:rsidRDefault="00B719F0" w:rsidP="002B533D">
      <w:pPr>
        <w:pStyle w:val="BodyTextIndent"/>
        <w:widowControl w:val="0"/>
        <w:ind w:right="720"/>
      </w:pPr>
      <w:r>
        <w:tab/>
      </w:r>
      <w:r>
        <w:tab/>
        <w:t>The adoption of the Company’s proposed PCAM will help stabilize the Company’s earnings and cash flows while also reducing the amount of imputed debt and interest expense.  These will help maintain or improve the Company’s ability to finance its on-going capital investments at low cost for safe and reliable se</w:t>
      </w:r>
      <w:r w:rsidR="002B533D">
        <w:t>rvice for Washington customers.</w:t>
      </w:r>
    </w:p>
    <w:p w:rsidR="00915A1A" w:rsidRDefault="00A833CA" w:rsidP="002E7574">
      <w:pPr>
        <w:pStyle w:val="Heading1"/>
      </w:pPr>
      <w:bookmarkStart w:id="4" w:name="_Toc345503691"/>
      <w:r>
        <w:t>Capital Structure</w:t>
      </w:r>
      <w:bookmarkEnd w:id="4"/>
    </w:p>
    <w:p w:rsidR="00A833CA" w:rsidRDefault="00A833CA" w:rsidP="00A833CA">
      <w:pPr>
        <w:pStyle w:val="BodyTextIndent"/>
        <w:rPr>
          <w:b/>
          <w:bCs/>
        </w:rPr>
      </w:pPr>
      <w:r>
        <w:rPr>
          <w:b/>
          <w:bCs/>
        </w:rPr>
        <w:t>Q.</w:t>
      </w:r>
      <w:r>
        <w:rPr>
          <w:b/>
          <w:bCs/>
        </w:rPr>
        <w:tab/>
        <w:t>How did the Company determine the capital structure proposed in this proceeding?</w:t>
      </w:r>
    </w:p>
    <w:p w:rsidR="00A833CA" w:rsidRDefault="00A833CA" w:rsidP="002B533D">
      <w:pPr>
        <w:pStyle w:val="BodyTextIndent"/>
      </w:pPr>
      <w:r w:rsidRPr="008317F8">
        <w:rPr>
          <w:bCs/>
        </w:rPr>
        <w:t>A.</w:t>
      </w:r>
      <w:r>
        <w:rPr>
          <w:b/>
          <w:bCs/>
        </w:rPr>
        <w:tab/>
      </w:r>
      <w:r>
        <w:t xml:space="preserve">The Company used an average of the five-quarter ends </w:t>
      </w:r>
      <w:r w:rsidR="00A04B45">
        <w:t xml:space="preserve">spanning the </w:t>
      </w:r>
      <w:r w:rsidR="002B533D">
        <w:t>12</w:t>
      </w:r>
      <w:r w:rsidR="00A04B45">
        <w:t xml:space="preserve"> months</w:t>
      </w:r>
      <w:r>
        <w:t xml:space="preserve"> ending June 30, 2013</w:t>
      </w:r>
      <w:r w:rsidR="0032288A">
        <w:t>,</w:t>
      </w:r>
      <w:r>
        <w:t xml:space="preserve"> to calculate its proposed capital structure.  This approach smoothes volatility in the capital structure</w:t>
      </w:r>
      <w:r w:rsidR="0032288A">
        <w:t>,</w:t>
      </w:r>
      <w:r>
        <w:t xml:space="preserve"> which will fluctuate as the Company expends capital, issues or retires debt, retains earnings</w:t>
      </w:r>
      <w:r w:rsidR="0032288A">
        <w:t xml:space="preserve">, or </w:t>
      </w:r>
      <w:r>
        <w:t>declares dividen</w:t>
      </w:r>
      <w:r w:rsidR="002B533D">
        <w:t>ds.  The </w:t>
      </w:r>
      <w:r>
        <w:t xml:space="preserve">Company calculated its capital structure in this </w:t>
      </w:r>
      <w:r w:rsidR="0032288A">
        <w:t xml:space="preserve">case in the </w:t>
      </w:r>
      <w:r>
        <w:t xml:space="preserve">same manner </w:t>
      </w:r>
      <w:r w:rsidR="0032288A">
        <w:t xml:space="preserve">as </w:t>
      </w:r>
      <w:r>
        <w:t>in its last several Washington general rate cases.  This</w:t>
      </w:r>
      <w:r w:rsidR="002B533D">
        <w:t xml:space="preserve"> method is also consistent with </w:t>
      </w:r>
      <w:r>
        <w:t xml:space="preserve">the approach to capital structure advocated by Public Counsel in </w:t>
      </w:r>
      <w:r w:rsidR="0041706E">
        <w:t>d</w:t>
      </w:r>
      <w:r>
        <w:t xml:space="preserve">ocket </w:t>
      </w:r>
      <w:r w:rsidR="002B533D">
        <w:br/>
      </w:r>
      <w:r>
        <w:t>UE-050684.</w:t>
      </w:r>
    </w:p>
    <w:p w:rsidR="00A12270" w:rsidRDefault="00A12270" w:rsidP="00A12270">
      <w:pPr>
        <w:pStyle w:val="BodyTextIndent"/>
      </w:pPr>
      <w:r>
        <w:rPr>
          <w:b/>
          <w:bCs/>
        </w:rPr>
        <w:t>Q.</w:t>
      </w:r>
      <w:r>
        <w:rPr>
          <w:b/>
          <w:bCs/>
        </w:rPr>
        <w:tab/>
        <w:t>Why does your analysis of capital structure and costs of capital utilize the period ending June 30, 2013</w:t>
      </w:r>
      <w:r w:rsidRPr="0047792C">
        <w:rPr>
          <w:b/>
          <w:bCs/>
        </w:rPr>
        <w:t>?</w:t>
      </w:r>
    </w:p>
    <w:p w:rsidR="00A12270" w:rsidRDefault="00A12270" w:rsidP="00A12270">
      <w:pPr>
        <w:pStyle w:val="BodyTextIndent"/>
        <w:tabs>
          <w:tab w:val="left" w:pos="1620"/>
        </w:tabs>
      </w:pPr>
      <w:r>
        <w:t>A.</w:t>
      </w:r>
      <w:r>
        <w:tab/>
        <w:t xml:space="preserve">The test period in this proceeding is </w:t>
      </w:r>
      <w:r w:rsidR="002B533D">
        <w:t xml:space="preserve">the 12 </w:t>
      </w:r>
      <w:r>
        <w:t>months ended June 30, 2012</w:t>
      </w:r>
      <w:r w:rsidR="0032288A">
        <w:t>,</w:t>
      </w:r>
      <w:r>
        <w:t xml:space="preserve"> with known and measurable </w:t>
      </w:r>
      <w:r w:rsidR="004B52FB">
        <w:t>changes</w:t>
      </w:r>
      <w:r>
        <w:t xml:space="preserve">.  </w:t>
      </w:r>
      <w:r w:rsidR="004B52FB">
        <w:t>Therefore, f</w:t>
      </w:r>
      <w:r>
        <w:t xml:space="preserve">or </w:t>
      </w:r>
      <w:r w:rsidR="002B533D">
        <w:t xml:space="preserve">the </w:t>
      </w:r>
      <w:r>
        <w:t>cost of capital</w:t>
      </w:r>
      <w:r w:rsidR="004B52FB">
        <w:t xml:space="preserve"> determination</w:t>
      </w:r>
      <w:r w:rsidR="002B533D">
        <w:t>,</w:t>
      </w:r>
      <w:r w:rsidR="004B52FB">
        <w:t xml:space="preserve"> </w:t>
      </w:r>
      <w:r>
        <w:t xml:space="preserve">the Company has used </w:t>
      </w:r>
      <w:r w:rsidR="004B52FB">
        <w:t>the actual capital structure at June 30, 2012</w:t>
      </w:r>
      <w:r w:rsidR="0032288A">
        <w:t>,</w:t>
      </w:r>
      <w:r w:rsidR="004B52FB">
        <w:t xml:space="preserve"> with pro forma adjustments for known and measurable changes </w:t>
      </w:r>
      <w:r>
        <w:t xml:space="preserve">through June 30, 2013.  </w:t>
      </w:r>
      <w:r w:rsidR="007240DD">
        <w:t xml:space="preserve">The known and measurable changes represent actual and forecasted capital activity </w:t>
      </w:r>
      <w:r w:rsidR="00B52172">
        <w:t>through June 30, 2013.</w:t>
      </w:r>
    </w:p>
    <w:p w:rsidR="00A833CA" w:rsidRDefault="00A833CA" w:rsidP="00A833CA">
      <w:pPr>
        <w:pStyle w:val="BodyTextIndent"/>
        <w:widowControl w:val="0"/>
        <w:rPr>
          <w:b/>
          <w:bCs/>
        </w:rPr>
      </w:pPr>
      <w:r>
        <w:rPr>
          <w:b/>
          <w:bCs/>
        </w:rPr>
        <w:t>Q.</w:t>
      </w:r>
      <w:r>
        <w:rPr>
          <w:b/>
          <w:bCs/>
        </w:rPr>
        <w:tab/>
        <w:t>How does the Company determine the amount of common equity, debt, and preferred stock to be included in its capital structure?</w:t>
      </w:r>
    </w:p>
    <w:p w:rsidR="00A833CA" w:rsidRDefault="00A833CA" w:rsidP="00A833CA">
      <w:pPr>
        <w:pStyle w:val="BodyTextIndent"/>
        <w:widowControl w:val="0"/>
      </w:pPr>
      <w:r>
        <w:t>A.</w:t>
      </w:r>
      <w:r>
        <w:tab/>
        <w:t>As a regulated utility, PacifiCorp has a duty and an obligation to provide safe, adequate</w:t>
      </w:r>
      <w:r w:rsidR="0032288A">
        <w:t>,</w:t>
      </w:r>
      <w:r>
        <w:t xml:space="preserve"> and reliable service to customers in its Washington service territory while balancing cost and risk.  Significant capital expenditures for system reliability and infrastructure are required for the Company to fulfill this obligation.  Through its planning process, the Company determined the amounts of new financing needed to support these activities and calculated the equity and debt ratios required to maintain continued a</w:t>
      </w:r>
      <w:r w:rsidR="002B533D">
        <w:t>ccess to the financial markets.</w:t>
      </w:r>
    </w:p>
    <w:p w:rsidR="00CA069B" w:rsidRDefault="00C6788C" w:rsidP="00CA069B">
      <w:pPr>
        <w:pStyle w:val="BodyTextIndent"/>
        <w:keepNext/>
        <w:numPr>
          <w:ilvl w:val="0"/>
          <w:numId w:val="42"/>
        </w:numPr>
        <w:tabs>
          <w:tab w:val="left" w:pos="720"/>
        </w:tabs>
      </w:pPr>
      <w:r w:rsidRPr="00BF1B01">
        <w:rPr>
          <w:b/>
          <w:bCs/>
        </w:rPr>
        <w:t xml:space="preserve">More specifically, what </w:t>
      </w:r>
      <w:r>
        <w:rPr>
          <w:b/>
          <w:bCs/>
        </w:rPr>
        <w:t xml:space="preserve">financing activity </w:t>
      </w:r>
      <w:r w:rsidRPr="00BF1B01">
        <w:rPr>
          <w:b/>
          <w:bCs/>
        </w:rPr>
        <w:t xml:space="preserve">does the Company anticipate </w:t>
      </w:r>
      <w:r>
        <w:rPr>
          <w:b/>
          <w:bCs/>
        </w:rPr>
        <w:t>through</w:t>
      </w:r>
      <w:r w:rsidRPr="00BF1B01">
        <w:rPr>
          <w:b/>
          <w:bCs/>
        </w:rPr>
        <w:t xml:space="preserve"> the period ending </w:t>
      </w:r>
      <w:r>
        <w:rPr>
          <w:b/>
          <w:bCs/>
        </w:rPr>
        <w:t>June 30</w:t>
      </w:r>
      <w:r w:rsidRPr="00BF1B01">
        <w:rPr>
          <w:b/>
          <w:bCs/>
        </w:rPr>
        <w:t>, 201</w:t>
      </w:r>
      <w:r>
        <w:rPr>
          <w:b/>
          <w:bCs/>
        </w:rPr>
        <w:t>3</w:t>
      </w:r>
      <w:r w:rsidRPr="00BF1B01">
        <w:rPr>
          <w:b/>
          <w:bCs/>
        </w:rPr>
        <w:t>?</w:t>
      </w:r>
    </w:p>
    <w:p w:rsidR="002E7574" w:rsidRPr="002E7574" w:rsidRDefault="00C6788C" w:rsidP="002E7574">
      <w:pPr>
        <w:pStyle w:val="BodyTextIndent"/>
        <w:numPr>
          <w:ilvl w:val="0"/>
          <w:numId w:val="45"/>
        </w:numPr>
        <w:rPr>
          <w:bCs/>
        </w:rPr>
      </w:pPr>
      <w:r>
        <w:rPr>
          <w:bCs/>
        </w:rPr>
        <w:t>D</w:t>
      </w:r>
      <w:r w:rsidRPr="00BF1B01">
        <w:rPr>
          <w:bCs/>
        </w:rPr>
        <w:t xml:space="preserve">uring the period ending </w:t>
      </w:r>
      <w:r>
        <w:rPr>
          <w:bCs/>
        </w:rPr>
        <w:t>June 30</w:t>
      </w:r>
      <w:r w:rsidRPr="00BF1B01">
        <w:rPr>
          <w:bCs/>
        </w:rPr>
        <w:t>, 201</w:t>
      </w:r>
      <w:r>
        <w:rPr>
          <w:bCs/>
        </w:rPr>
        <w:t>3,</w:t>
      </w:r>
      <w:r w:rsidRPr="00BF1B01">
        <w:rPr>
          <w:bCs/>
        </w:rPr>
        <w:t xml:space="preserve"> the Company anticipates</w:t>
      </w:r>
      <w:r>
        <w:rPr>
          <w:bCs/>
        </w:rPr>
        <w:t>: (1)</w:t>
      </w:r>
      <w:r w:rsidRPr="00BF1B01">
        <w:rPr>
          <w:bCs/>
        </w:rPr>
        <w:t xml:space="preserve"> </w:t>
      </w:r>
      <w:r w:rsidR="004745DB">
        <w:rPr>
          <w:bCs/>
        </w:rPr>
        <w:t>issu</w:t>
      </w:r>
      <w:r w:rsidR="00A04B45">
        <w:rPr>
          <w:bCs/>
        </w:rPr>
        <w:t xml:space="preserve">ance of </w:t>
      </w:r>
      <w:r w:rsidR="004745DB">
        <w:rPr>
          <w:bCs/>
        </w:rPr>
        <w:t>$300 million of new long-term debt</w:t>
      </w:r>
      <w:r w:rsidR="0032288A">
        <w:rPr>
          <w:bCs/>
        </w:rPr>
        <w:t>;</w:t>
      </w:r>
      <w:r w:rsidRPr="00BF1B01">
        <w:rPr>
          <w:bCs/>
        </w:rPr>
        <w:t xml:space="preserve"> </w:t>
      </w:r>
      <w:r>
        <w:rPr>
          <w:bCs/>
        </w:rPr>
        <w:t xml:space="preserve">(2) </w:t>
      </w:r>
      <w:r w:rsidR="00A82951">
        <w:rPr>
          <w:bCs/>
        </w:rPr>
        <w:t>retire</w:t>
      </w:r>
      <w:r w:rsidR="00A04B45">
        <w:rPr>
          <w:bCs/>
        </w:rPr>
        <w:t>ment of</w:t>
      </w:r>
      <w:r w:rsidR="00A82951">
        <w:rPr>
          <w:bCs/>
        </w:rPr>
        <w:t xml:space="preserve"> approximately $6</w:t>
      </w:r>
      <w:r w:rsidR="00A04B45">
        <w:rPr>
          <w:bCs/>
        </w:rPr>
        <w:t>2</w:t>
      </w:r>
      <w:r w:rsidR="00A82951">
        <w:rPr>
          <w:bCs/>
        </w:rPr>
        <w:t xml:space="preserve"> million of long-term debt </w:t>
      </w:r>
      <w:r w:rsidR="004745DB">
        <w:rPr>
          <w:bCs/>
        </w:rPr>
        <w:t>at scheduled maturit</w:t>
      </w:r>
      <w:r w:rsidR="00A82951">
        <w:rPr>
          <w:bCs/>
        </w:rPr>
        <w:t>ies</w:t>
      </w:r>
      <w:r w:rsidR="0032288A">
        <w:rPr>
          <w:bCs/>
        </w:rPr>
        <w:t>;</w:t>
      </w:r>
      <w:r w:rsidR="004745DB">
        <w:rPr>
          <w:bCs/>
        </w:rPr>
        <w:t xml:space="preserve"> </w:t>
      </w:r>
      <w:r w:rsidRPr="00BF1B01">
        <w:rPr>
          <w:bCs/>
        </w:rPr>
        <w:t xml:space="preserve">and </w:t>
      </w:r>
      <w:r>
        <w:rPr>
          <w:bCs/>
        </w:rPr>
        <w:t xml:space="preserve">(3) </w:t>
      </w:r>
      <w:r w:rsidR="00A04B45">
        <w:rPr>
          <w:bCs/>
        </w:rPr>
        <w:t>declaration and payment of</w:t>
      </w:r>
      <w:r w:rsidR="004745DB">
        <w:rPr>
          <w:bCs/>
        </w:rPr>
        <w:t xml:space="preserve"> $</w:t>
      </w:r>
      <w:r w:rsidR="00A04B45">
        <w:rPr>
          <w:bCs/>
        </w:rPr>
        <w:t>4</w:t>
      </w:r>
      <w:r w:rsidR="004745DB">
        <w:rPr>
          <w:bCs/>
        </w:rPr>
        <w:t>50 million of dividends to MEHC</w:t>
      </w:r>
      <w:r w:rsidRPr="00BF1B01">
        <w:rPr>
          <w:bCs/>
        </w:rPr>
        <w:t xml:space="preserve">. </w:t>
      </w:r>
      <w:r>
        <w:rPr>
          <w:bCs/>
        </w:rPr>
        <w:t xml:space="preserve"> </w:t>
      </w:r>
      <w:r w:rsidR="00A82951">
        <w:rPr>
          <w:bCs/>
        </w:rPr>
        <w:t>All of these have been included in the Company’s proposed capital structure.</w:t>
      </w:r>
      <w:r w:rsidR="002E7574" w:rsidRPr="002E7574">
        <w:rPr>
          <w:b/>
          <w:bCs/>
        </w:rPr>
        <w:br w:type="page"/>
      </w:r>
    </w:p>
    <w:p w:rsidR="0088424E" w:rsidRDefault="00A833CA" w:rsidP="00A833CA">
      <w:pPr>
        <w:pStyle w:val="BodyTextIndent"/>
        <w:rPr>
          <w:b/>
          <w:bCs/>
        </w:rPr>
      </w:pPr>
      <w:r>
        <w:rPr>
          <w:b/>
          <w:bCs/>
        </w:rPr>
        <w:t>Q.</w:t>
      </w:r>
      <w:r>
        <w:rPr>
          <w:b/>
          <w:bCs/>
        </w:rPr>
        <w:tab/>
      </w:r>
      <w:r w:rsidR="0088424E">
        <w:rPr>
          <w:b/>
          <w:bCs/>
        </w:rPr>
        <w:t xml:space="preserve">How does the Company’s proposed capital structure compare to recent actual capital structures and to the Commission’s ordered capital structure in </w:t>
      </w:r>
      <w:r w:rsidR="002E7574">
        <w:rPr>
          <w:b/>
          <w:bCs/>
        </w:rPr>
        <w:t xml:space="preserve">the Company’s 2010 general rate case, </w:t>
      </w:r>
      <w:r w:rsidR="002B533D">
        <w:rPr>
          <w:b/>
          <w:bCs/>
        </w:rPr>
        <w:t>d</w:t>
      </w:r>
      <w:r w:rsidR="009F6848">
        <w:rPr>
          <w:b/>
          <w:bCs/>
        </w:rPr>
        <w:t xml:space="preserve">ocket </w:t>
      </w:r>
      <w:r w:rsidR="0088424E">
        <w:rPr>
          <w:b/>
          <w:bCs/>
        </w:rPr>
        <w:t>UE-100749</w:t>
      </w:r>
      <w:r w:rsidR="002E7574">
        <w:rPr>
          <w:b/>
          <w:bCs/>
        </w:rPr>
        <w:t xml:space="preserve"> (2010 Rate Case)</w:t>
      </w:r>
      <w:r w:rsidR="003F2591">
        <w:rPr>
          <w:b/>
          <w:bCs/>
        </w:rPr>
        <w:t>,</w:t>
      </w:r>
      <w:r w:rsidR="00EF777F">
        <w:rPr>
          <w:b/>
          <w:bCs/>
        </w:rPr>
        <w:t xml:space="preserve"> in which capital structure was fully litigated</w:t>
      </w:r>
      <w:r w:rsidR="0088424E">
        <w:rPr>
          <w:b/>
          <w:bCs/>
        </w:rPr>
        <w:t>?</w:t>
      </w:r>
    </w:p>
    <w:p w:rsidR="00E817F1" w:rsidRDefault="00A833CA" w:rsidP="00A833CA">
      <w:pPr>
        <w:pStyle w:val="BodyTextIndent"/>
      </w:pPr>
      <w:r>
        <w:t>A.</w:t>
      </w:r>
      <w:r>
        <w:tab/>
      </w:r>
      <w:r w:rsidR="001C3F76">
        <w:t>The capital structures are compared in the table below.</w:t>
      </w:r>
    </w:p>
    <w:tbl>
      <w:tblPr>
        <w:tblW w:w="8684" w:type="dxa"/>
        <w:jc w:val="center"/>
        <w:tblInd w:w="1456" w:type="dxa"/>
        <w:tblBorders>
          <w:top w:val="single" w:sz="4" w:space="0" w:color="auto"/>
          <w:left w:val="single" w:sz="4" w:space="0" w:color="auto"/>
          <w:bottom w:val="single" w:sz="4" w:space="0" w:color="auto"/>
          <w:right w:val="single" w:sz="4" w:space="0" w:color="auto"/>
        </w:tblBorders>
        <w:tblLook w:val="04A0"/>
      </w:tblPr>
      <w:tblGrid>
        <w:gridCol w:w="1240"/>
        <w:gridCol w:w="1212"/>
        <w:gridCol w:w="1170"/>
        <w:gridCol w:w="1170"/>
        <w:gridCol w:w="1170"/>
        <w:gridCol w:w="1170"/>
        <w:gridCol w:w="1552"/>
      </w:tblGrid>
      <w:tr w:rsidR="005E3B8B" w:rsidRPr="009F6848" w:rsidTr="009F6848">
        <w:trPr>
          <w:cantSplit/>
          <w:trHeight w:val="382"/>
          <w:jc w:val="center"/>
        </w:trPr>
        <w:tc>
          <w:tcPr>
            <w:tcW w:w="8684" w:type="dxa"/>
            <w:gridSpan w:val="7"/>
            <w:tcBorders>
              <w:top w:val="single" w:sz="4" w:space="0" w:color="auto"/>
              <w:bottom w:val="single" w:sz="4" w:space="0" w:color="auto"/>
            </w:tcBorders>
          </w:tcPr>
          <w:p w:rsidR="005E3B8B" w:rsidRPr="002B533D" w:rsidRDefault="005E3B8B" w:rsidP="005E3B8B">
            <w:pPr>
              <w:pStyle w:val="BodyTextIndent"/>
              <w:keepNext/>
              <w:spacing w:line="240" w:lineRule="auto"/>
              <w:ind w:left="0" w:right="-147" w:firstLine="0"/>
              <w:jc w:val="center"/>
              <w:rPr>
                <w:b/>
                <w:bCs/>
              </w:rPr>
            </w:pPr>
            <w:r w:rsidRPr="002B533D">
              <w:rPr>
                <w:b/>
                <w:bCs/>
              </w:rPr>
              <w:t>PacifiCorp’s Comparison of Capital Structures</w:t>
            </w:r>
          </w:p>
        </w:tc>
      </w:tr>
      <w:tr w:rsidR="009F6848" w:rsidRPr="009F6848" w:rsidTr="002B533D">
        <w:trPr>
          <w:cantSplit/>
          <w:trHeight w:val="328"/>
          <w:jc w:val="center"/>
        </w:trPr>
        <w:tc>
          <w:tcPr>
            <w:tcW w:w="1240" w:type="dxa"/>
            <w:tcBorders>
              <w:top w:val="single" w:sz="4" w:space="0" w:color="auto"/>
              <w:bottom w:val="single" w:sz="4" w:space="0" w:color="auto"/>
              <w:right w:val="single" w:sz="4" w:space="0" w:color="auto"/>
            </w:tcBorders>
            <w:vAlign w:val="center"/>
          </w:tcPr>
          <w:p w:rsidR="00E817F1" w:rsidRPr="009F6848" w:rsidRDefault="00E817F1" w:rsidP="002B533D">
            <w:pPr>
              <w:pStyle w:val="BodyTextIndent"/>
              <w:keepNext/>
              <w:spacing w:line="240" w:lineRule="auto"/>
              <w:ind w:left="0" w:firstLine="0"/>
              <w:jc w:val="center"/>
              <w:rPr>
                <w:bCs/>
              </w:rPr>
            </w:pPr>
          </w:p>
        </w:tc>
        <w:tc>
          <w:tcPr>
            <w:tcW w:w="1212" w:type="dxa"/>
            <w:tcBorders>
              <w:top w:val="single" w:sz="4" w:space="0" w:color="auto"/>
              <w:bottom w:val="single" w:sz="4" w:space="0" w:color="auto"/>
              <w:right w:val="single" w:sz="4" w:space="0" w:color="auto"/>
            </w:tcBorders>
            <w:vAlign w:val="center"/>
          </w:tcPr>
          <w:p w:rsidR="00E817F1" w:rsidRPr="009F6848" w:rsidRDefault="00BE6885" w:rsidP="002B533D">
            <w:pPr>
              <w:pStyle w:val="BodyTextIndent"/>
              <w:keepNext/>
              <w:spacing w:line="240" w:lineRule="auto"/>
              <w:ind w:left="0" w:firstLine="0"/>
              <w:jc w:val="center"/>
              <w:rPr>
                <w:bCs/>
              </w:rPr>
            </w:pPr>
            <w:r w:rsidRPr="00BE6885">
              <w:rPr>
                <w:bCs/>
              </w:rPr>
              <w:t>2013 General Rate Case</w:t>
            </w:r>
          </w:p>
        </w:tc>
        <w:tc>
          <w:tcPr>
            <w:tcW w:w="1170" w:type="dxa"/>
            <w:tcBorders>
              <w:top w:val="single" w:sz="4" w:space="0" w:color="auto"/>
              <w:left w:val="single" w:sz="4" w:space="0" w:color="auto"/>
              <w:bottom w:val="single" w:sz="4" w:space="0" w:color="auto"/>
              <w:right w:val="single" w:sz="4" w:space="0" w:color="auto"/>
            </w:tcBorders>
            <w:vAlign w:val="center"/>
          </w:tcPr>
          <w:p w:rsidR="005E3B8B" w:rsidRPr="009F6848" w:rsidRDefault="00BE6885" w:rsidP="002B533D">
            <w:pPr>
              <w:pStyle w:val="BodyTextIndent"/>
              <w:widowControl w:val="0"/>
              <w:tabs>
                <w:tab w:val="left" w:pos="2002"/>
              </w:tabs>
              <w:spacing w:line="240" w:lineRule="auto"/>
              <w:ind w:left="0" w:firstLine="0"/>
              <w:jc w:val="center"/>
              <w:rPr>
                <w:bCs/>
              </w:rPr>
            </w:pPr>
            <w:r w:rsidRPr="00BE6885">
              <w:rPr>
                <w:bCs/>
              </w:rPr>
              <w:t>Sept. 30,</w:t>
            </w:r>
          </w:p>
          <w:p w:rsidR="00E817F1" w:rsidRPr="009F6848" w:rsidRDefault="00BE6885" w:rsidP="002B533D">
            <w:pPr>
              <w:pStyle w:val="BodyTextIndent"/>
              <w:widowControl w:val="0"/>
              <w:tabs>
                <w:tab w:val="left" w:pos="2002"/>
              </w:tabs>
              <w:spacing w:line="240" w:lineRule="auto"/>
              <w:ind w:left="0" w:firstLine="0"/>
              <w:jc w:val="center"/>
              <w:rPr>
                <w:bCs/>
              </w:rPr>
            </w:pPr>
            <w:r w:rsidRPr="00BE6885">
              <w:rPr>
                <w:bCs/>
              </w:rPr>
              <w:t>2012</w:t>
            </w:r>
          </w:p>
          <w:p w:rsidR="00E817F1" w:rsidRPr="009F6848" w:rsidRDefault="00BE6885" w:rsidP="002B533D">
            <w:pPr>
              <w:pStyle w:val="BodyTextIndent"/>
              <w:widowControl w:val="0"/>
              <w:tabs>
                <w:tab w:val="left" w:pos="2002"/>
              </w:tabs>
              <w:spacing w:line="240" w:lineRule="auto"/>
              <w:ind w:left="0" w:firstLine="0"/>
              <w:jc w:val="center"/>
              <w:rPr>
                <w:bCs/>
              </w:rPr>
            </w:pPr>
            <w:r w:rsidRPr="00BE6885">
              <w:rPr>
                <w:bCs/>
              </w:rPr>
              <w:t>Actual</w:t>
            </w:r>
          </w:p>
        </w:tc>
        <w:tc>
          <w:tcPr>
            <w:tcW w:w="1170" w:type="dxa"/>
            <w:tcBorders>
              <w:top w:val="single" w:sz="4" w:space="0" w:color="auto"/>
              <w:left w:val="single" w:sz="4" w:space="0" w:color="auto"/>
              <w:bottom w:val="single" w:sz="4" w:space="0" w:color="auto"/>
              <w:right w:val="single" w:sz="4" w:space="0" w:color="auto"/>
            </w:tcBorders>
            <w:vAlign w:val="center"/>
          </w:tcPr>
          <w:p w:rsidR="00E817F1" w:rsidRPr="009F6848" w:rsidRDefault="002B533D" w:rsidP="002B533D">
            <w:pPr>
              <w:pStyle w:val="BodyTextIndent"/>
              <w:keepNext/>
              <w:spacing w:line="240" w:lineRule="auto"/>
              <w:ind w:left="0" w:firstLine="0"/>
              <w:jc w:val="center"/>
              <w:rPr>
                <w:bCs/>
              </w:rPr>
            </w:pPr>
            <w:r>
              <w:rPr>
                <w:bCs/>
              </w:rPr>
              <w:t>June 30,</w:t>
            </w:r>
            <w:r w:rsidR="00BE6885" w:rsidRPr="00BE6885">
              <w:rPr>
                <w:bCs/>
              </w:rPr>
              <w:t>2012 Actual</w:t>
            </w:r>
          </w:p>
        </w:tc>
        <w:tc>
          <w:tcPr>
            <w:tcW w:w="1170" w:type="dxa"/>
            <w:tcBorders>
              <w:top w:val="single" w:sz="4" w:space="0" w:color="auto"/>
              <w:left w:val="single" w:sz="4" w:space="0" w:color="auto"/>
              <w:bottom w:val="single" w:sz="4" w:space="0" w:color="auto"/>
              <w:right w:val="single" w:sz="4" w:space="0" w:color="auto"/>
            </w:tcBorders>
            <w:vAlign w:val="center"/>
          </w:tcPr>
          <w:p w:rsidR="00E817F1" w:rsidRPr="009F6848" w:rsidRDefault="00BE6885" w:rsidP="002B533D">
            <w:pPr>
              <w:pStyle w:val="BodyTextIndent"/>
              <w:keepNext/>
              <w:spacing w:line="240" w:lineRule="auto"/>
              <w:ind w:left="0" w:firstLine="0"/>
              <w:jc w:val="center"/>
              <w:rPr>
                <w:bCs/>
              </w:rPr>
            </w:pPr>
            <w:r w:rsidRPr="00BE6885">
              <w:rPr>
                <w:bCs/>
              </w:rPr>
              <w:t>Mar. 31, 2012 Actual</w:t>
            </w:r>
          </w:p>
        </w:tc>
        <w:tc>
          <w:tcPr>
            <w:tcW w:w="1170" w:type="dxa"/>
            <w:tcBorders>
              <w:top w:val="single" w:sz="4" w:space="0" w:color="auto"/>
              <w:left w:val="single" w:sz="4" w:space="0" w:color="auto"/>
              <w:bottom w:val="single" w:sz="4" w:space="0" w:color="auto"/>
              <w:right w:val="single" w:sz="4" w:space="0" w:color="auto"/>
            </w:tcBorders>
            <w:vAlign w:val="center"/>
          </w:tcPr>
          <w:p w:rsidR="00E817F1" w:rsidRPr="009F6848" w:rsidRDefault="00BE6885" w:rsidP="002B533D">
            <w:pPr>
              <w:pStyle w:val="BodyTextIndent"/>
              <w:keepNext/>
              <w:spacing w:line="240" w:lineRule="auto"/>
              <w:ind w:left="0" w:firstLine="0"/>
              <w:jc w:val="center"/>
              <w:rPr>
                <w:bCs/>
              </w:rPr>
            </w:pPr>
            <w:r w:rsidRPr="00BE6885">
              <w:rPr>
                <w:bCs/>
              </w:rPr>
              <w:t>Dec. 31, 2011</w:t>
            </w:r>
          </w:p>
          <w:p w:rsidR="00E817F1" w:rsidRPr="009F6848" w:rsidRDefault="00BE6885" w:rsidP="002B533D">
            <w:pPr>
              <w:pStyle w:val="BodyTextIndent"/>
              <w:keepNext/>
              <w:spacing w:line="240" w:lineRule="auto"/>
              <w:ind w:left="0" w:firstLine="0"/>
              <w:jc w:val="center"/>
              <w:rPr>
                <w:bCs/>
              </w:rPr>
            </w:pPr>
            <w:r w:rsidRPr="00BE6885">
              <w:rPr>
                <w:bCs/>
              </w:rPr>
              <w:t>Actual</w:t>
            </w:r>
          </w:p>
        </w:tc>
        <w:tc>
          <w:tcPr>
            <w:tcW w:w="1552" w:type="dxa"/>
            <w:tcBorders>
              <w:top w:val="single" w:sz="4" w:space="0" w:color="auto"/>
              <w:left w:val="single" w:sz="4" w:space="0" w:color="auto"/>
              <w:bottom w:val="single" w:sz="4" w:space="0" w:color="auto"/>
            </w:tcBorders>
            <w:vAlign w:val="center"/>
          </w:tcPr>
          <w:p w:rsidR="00E817F1" w:rsidRPr="009F6848" w:rsidRDefault="00BE6885" w:rsidP="002B533D">
            <w:pPr>
              <w:pStyle w:val="BodyTextIndent"/>
              <w:keepNext/>
              <w:spacing w:line="240" w:lineRule="auto"/>
              <w:ind w:left="0" w:firstLine="0"/>
              <w:jc w:val="center"/>
              <w:rPr>
                <w:bCs/>
              </w:rPr>
            </w:pPr>
            <w:r w:rsidRPr="00BE6885">
              <w:rPr>
                <w:bCs/>
              </w:rPr>
              <w:t>UE-100749</w:t>
            </w:r>
          </w:p>
          <w:p w:rsidR="00E817F1" w:rsidRPr="009F6848" w:rsidRDefault="00BE6885" w:rsidP="002B533D">
            <w:pPr>
              <w:pStyle w:val="BodyTextIndent"/>
              <w:keepNext/>
              <w:spacing w:line="240" w:lineRule="auto"/>
              <w:ind w:left="0" w:firstLine="0"/>
              <w:jc w:val="center"/>
              <w:rPr>
                <w:bCs/>
              </w:rPr>
            </w:pPr>
            <w:r w:rsidRPr="00BE6885">
              <w:rPr>
                <w:bCs/>
              </w:rPr>
              <w:t>Ordered Capital Structure (March 2011)</w:t>
            </w:r>
          </w:p>
        </w:tc>
      </w:tr>
      <w:tr w:rsidR="009F6848" w:rsidRPr="009F6848" w:rsidTr="002B533D">
        <w:trPr>
          <w:cantSplit/>
          <w:trHeight w:val="837"/>
          <w:jc w:val="center"/>
        </w:trPr>
        <w:tc>
          <w:tcPr>
            <w:tcW w:w="1240" w:type="dxa"/>
            <w:tcBorders>
              <w:top w:val="single" w:sz="4" w:space="0" w:color="auto"/>
              <w:bottom w:val="single" w:sz="4" w:space="0" w:color="auto"/>
              <w:right w:val="single" w:sz="4" w:space="0" w:color="auto"/>
            </w:tcBorders>
          </w:tcPr>
          <w:p w:rsidR="00E817F1" w:rsidRPr="009F6848" w:rsidRDefault="00BE6885" w:rsidP="00C6051F">
            <w:pPr>
              <w:pStyle w:val="BodyTextIndent"/>
              <w:keepNext/>
              <w:spacing w:line="240" w:lineRule="auto"/>
              <w:ind w:left="0" w:firstLine="0"/>
              <w:rPr>
                <w:bCs/>
              </w:rPr>
            </w:pPr>
            <w:r w:rsidRPr="00BE6885">
              <w:rPr>
                <w:bCs/>
              </w:rPr>
              <w:t>Long-Term Debt</w:t>
            </w:r>
          </w:p>
        </w:tc>
        <w:tc>
          <w:tcPr>
            <w:tcW w:w="1212" w:type="dxa"/>
            <w:tcBorders>
              <w:top w:val="single" w:sz="4" w:space="0" w:color="auto"/>
              <w:bottom w:val="single" w:sz="4" w:space="0" w:color="auto"/>
              <w:right w:val="single" w:sz="4" w:space="0" w:color="auto"/>
            </w:tcBorders>
            <w:vAlign w:val="center"/>
          </w:tcPr>
          <w:p w:rsidR="00E817F1" w:rsidRPr="009F6848" w:rsidRDefault="00BE6885" w:rsidP="002B533D">
            <w:pPr>
              <w:pStyle w:val="BodyTextIndent"/>
              <w:keepNext/>
              <w:spacing w:line="240" w:lineRule="auto"/>
              <w:ind w:left="0" w:firstLine="0"/>
              <w:jc w:val="center"/>
              <w:rPr>
                <w:bCs/>
              </w:rPr>
            </w:pPr>
            <w:r w:rsidRPr="00BE6885">
              <w:rPr>
                <w:bCs/>
              </w:rPr>
              <w:t>47.2%</w:t>
            </w:r>
          </w:p>
        </w:tc>
        <w:tc>
          <w:tcPr>
            <w:tcW w:w="1170" w:type="dxa"/>
            <w:tcBorders>
              <w:top w:val="single" w:sz="4" w:space="0" w:color="auto"/>
              <w:left w:val="single" w:sz="4" w:space="0" w:color="auto"/>
              <w:bottom w:val="single" w:sz="4" w:space="0" w:color="auto"/>
              <w:right w:val="single" w:sz="4" w:space="0" w:color="auto"/>
            </w:tcBorders>
            <w:vAlign w:val="center"/>
          </w:tcPr>
          <w:p w:rsidR="00E817F1" w:rsidRPr="009F6848" w:rsidRDefault="00BE6885" w:rsidP="002B533D">
            <w:pPr>
              <w:pStyle w:val="BodyTextIndent"/>
              <w:keepNext/>
              <w:spacing w:line="240" w:lineRule="auto"/>
              <w:ind w:left="0" w:firstLine="0"/>
              <w:jc w:val="center"/>
              <w:rPr>
                <w:bCs/>
              </w:rPr>
            </w:pPr>
            <w:r w:rsidRPr="00BE6885">
              <w:rPr>
                <w:bCs/>
              </w:rPr>
              <w:t>47.2%</w:t>
            </w:r>
          </w:p>
        </w:tc>
        <w:tc>
          <w:tcPr>
            <w:tcW w:w="1170" w:type="dxa"/>
            <w:tcBorders>
              <w:top w:val="single" w:sz="4" w:space="0" w:color="auto"/>
              <w:left w:val="single" w:sz="4" w:space="0" w:color="auto"/>
              <w:bottom w:val="single" w:sz="4" w:space="0" w:color="auto"/>
              <w:right w:val="single" w:sz="4" w:space="0" w:color="auto"/>
            </w:tcBorders>
            <w:vAlign w:val="center"/>
          </w:tcPr>
          <w:p w:rsidR="00E817F1" w:rsidRPr="009F6848" w:rsidRDefault="00BE6885" w:rsidP="002B533D">
            <w:pPr>
              <w:pStyle w:val="BodyTextIndent"/>
              <w:keepNext/>
              <w:spacing w:line="240" w:lineRule="auto"/>
              <w:ind w:left="0" w:firstLine="0"/>
              <w:jc w:val="center"/>
              <w:rPr>
                <w:bCs/>
              </w:rPr>
            </w:pPr>
            <w:r w:rsidRPr="00BE6885">
              <w:rPr>
                <w:bCs/>
              </w:rPr>
              <w:t>47.5%</w:t>
            </w:r>
          </w:p>
        </w:tc>
        <w:tc>
          <w:tcPr>
            <w:tcW w:w="1170" w:type="dxa"/>
            <w:tcBorders>
              <w:top w:val="single" w:sz="4" w:space="0" w:color="auto"/>
              <w:left w:val="single" w:sz="4" w:space="0" w:color="auto"/>
              <w:bottom w:val="single" w:sz="4" w:space="0" w:color="auto"/>
              <w:right w:val="single" w:sz="4" w:space="0" w:color="auto"/>
            </w:tcBorders>
            <w:vAlign w:val="center"/>
          </w:tcPr>
          <w:p w:rsidR="00E817F1" w:rsidRPr="009F6848" w:rsidRDefault="00BE6885" w:rsidP="002B533D">
            <w:pPr>
              <w:pStyle w:val="BodyTextIndent"/>
              <w:keepNext/>
              <w:spacing w:line="240" w:lineRule="auto"/>
              <w:ind w:left="0" w:firstLine="0"/>
              <w:jc w:val="center"/>
              <w:rPr>
                <w:bCs/>
              </w:rPr>
            </w:pPr>
            <w:r w:rsidRPr="00BE6885">
              <w:rPr>
                <w:bCs/>
              </w:rPr>
              <w:t>48.0%</w:t>
            </w:r>
          </w:p>
        </w:tc>
        <w:tc>
          <w:tcPr>
            <w:tcW w:w="1170" w:type="dxa"/>
            <w:tcBorders>
              <w:top w:val="single" w:sz="4" w:space="0" w:color="auto"/>
              <w:left w:val="single" w:sz="4" w:space="0" w:color="auto"/>
              <w:bottom w:val="single" w:sz="4" w:space="0" w:color="auto"/>
              <w:right w:val="single" w:sz="4" w:space="0" w:color="auto"/>
            </w:tcBorders>
            <w:vAlign w:val="center"/>
          </w:tcPr>
          <w:p w:rsidR="00E817F1" w:rsidRPr="009F6848" w:rsidRDefault="00BE6885" w:rsidP="002B533D">
            <w:pPr>
              <w:pStyle w:val="BodyTextIndent"/>
              <w:keepNext/>
              <w:spacing w:line="240" w:lineRule="auto"/>
              <w:ind w:left="0" w:firstLine="0"/>
              <w:jc w:val="center"/>
              <w:rPr>
                <w:bCs/>
              </w:rPr>
            </w:pPr>
            <w:r w:rsidRPr="00BE6885">
              <w:rPr>
                <w:bCs/>
              </w:rPr>
              <w:t>45.8%</w:t>
            </w:r>
          </w:p>
        </w:tc>
        <w:tc>
          <w:tcPr>
            <w:tcW w:w="1552" w:type="dxa"/>
            <w:tcBorders>
              <w:top w:val="single" w:sz="4" w:space="0" w:color="auto"/>
              <w:left w:val="single" w:sz="4" w:space="0" w:color="auto"/>
              <w:bottom w:val="single" w:sz="4" w:space="0" w:color="auto"/>
            </w:tcBorders>
            <w:vAlign w:val="center"/>
          </w:tcPr>
          <w:p w:rsidR="00E817F1" w:rsidRPr="009F6848" w:rsidRDefault="00BE6885" w:rsidP="002B533D">
            <w:pPr>
              <w:pStyle w:val="BodyTextIndent"/>
              <w:keepNext/>
              <w:spacing w:line="240" w:lineRule="auto"/>
              <w:ind w:left="0" w:firstLine="0"/>
              <w:jc w:val="center"/>
              <w:rPr>
                <w:bCs/>
              </w:rPr>
            </w:pPr>
            <w:r w:rsidRPr="00BE6885">
              <w:rPr>
                <w:bCs/>
              </w:rPr>
              <w:t>50.6%</w:t>
            </w:r>
          </w:p>
        </w:tc>
      </w:tr>
      <w:tr w:rsidR="009F6848" w:rsidRPr="009F6848" w:rsidTr="002B533D">
        <w:trPr>
          <w:cantSplit/>
          <w:trHeight w:val="548"/>
          <w:jc w:val="center"/>
        </w:trPr>
        <w:tc>
          <w:tcPr>
            <w:tcW w:w="1240" w:type="dxa"/>
            <w:tcBorders>
              <w:top w:val="single" w:sz="4" w:space="0" w:color="auto"/>
              <w:bottom w:val="single" w:sz="4" w:space="0" w:color="auto"/>
              <w:right w:val="single" w:sz="4" w:space="0" w:color="auto"/>
            </w:tcBorders>
          </w:tcPr>
          <w:p w:rsidR="00E817F1" w:rsidRPr="009F6848" w:rsidRDefault="00BE6885" w:rsidP="00C6051F">
            <w:pPr>
              <w:pStyle w:val="BodyTextIndent"/>
              <w:keepNext/>
              <w:spacing w:line="240" w:lineRule="auto"/>
              <w:ind w:left="0" w:firstLine="0"/>
              <w:rPr>
                <w:bCs/>
              </w:rPr>
            </w:pPr>
            <w:r w:rsidRPr="00BE6885">
              <w:rPr>
                <w:bCs/>
              </w:rPr>
              <w:t>Preferred Stock</w:t>
            </w:r>
          </w:p>
        </w:tc>
        <w:tc>
          <w:tcPr>
            <w:tcW w:w="1212" w:type="dxa"/>
            <w:tcBorders>
              <w:top w:val="single" w:sz="4" w:space="0" w:color="auto"/>
              <w:bottom w:val="single" w:sz="4" w:space="0" w:color="auto"/>
              <w:right w:val="single" w:sz="4" w:space="0" w:color="auto"/>
            </w:tcBorders>
            <w:vAlign w:val="center"/>
          </w:tcPr>
          <w:p w:rsidR="00E817F1" w:rsidRPr="009F6848" w:rsidRDefault="00BE6885" w:rsidP="002B533D">
            <w:pPr>
              <w:pStyle w:val="BodyTextIndent"/>
              <w:keepNext/>
              <w:spacing w:line="240" w:lineRule="auto"/>
              <w:ind w:left="0" w:firstLine="0"/>
              <w:jc w:val="center"/>
              <w:rPr>
                <w:bCs/>
              </w:rPr>
            </w:pPr>
            <w:r w:rsidRPr="00BE6885">
              <w:rPr>
                <w:bCs/>
              </w:rPr>
              <w:t>0.3%</w:t>
            </w:r>
          </w:p>
        </w:tc>
        <w:tc>
          <w:tcPr>
            <w:tcW w:w="1170" w:type="dxa"/>
            <w:tcBorders>
              <w:top w:val="single" w:sz="4" w:space="0" w:color="auto"/>
              <w:left w:val="single" w:sz="4" w:space="0" w:color="auto"/>
              <w:bottom w:val="single" w:sz="4" w:space="0" w:color="auto"/>
              <w:right w:val="single" w:sz="4" w:space="0" w:color="auto"/>
            </w:tcBorders>
            <w:vAlign w:val="center"/>
          </w:tcPr>
          <w:p w:rsidR="00E817F1" w:rsidRPr="009F6848" w:rsidRDefault="00BE6885" w:rsidP="002B533D">
            <w:pPr>
              <w:pStyle w:val="BodyTextIndent"/>
              <w:keepNext/>
              <w:spacing w:line="240" w:lineRule="auto"/>
              <w:ind w:left="0" w:firstLine="0"/>
              <w:jc w:val="center"/>
              <w:rPr>
                <w:bCs/>
              </w:rPr>
            </w:pPr>
            <w:r w:rsidRPr="00BE6885">
              <w:rPr>
                <w:bCs/>
              </w:rPr>
              <w:t>0.3%</w:t>
            </w:r>
          </w:p>
        </w:tc>
        <w:tc>
          <w:tcPr>
            <w:tcW w:w="1170" w:type="dxa"/>
            <w:tcBorders>
              <w:top w:val="single" w:sz="4" w:space="0" w:color="auto"/>
              <w:left w:val="single" w:sz="4" w:space="0" w:color="auto"/>
              <w:bottom w:val="single" w:sz="4" w:space="0" w:color="auto"/>
              <w:right w:val="single" w:sz="4" w:space="0" w:color="auto"/>
            </w:tcBorders>
            <w:vAlign w:val="center"/>
          </w:tcPr>
          <w:p w:rsidR="00E817F1" w:rsidRPr="009F6848" w:rsidRDefault="00BE6885" w:rsidP="002B533D">
            <w:pPr>
              <w:pStyle w:val="BodyTextIndent"/>
              <w:keepNext/>
              <w:spacing w:line="240" w:lineRule="auto"/>
              <w:ind w:left="0" w:firstLine="0"/>
              <w:jc w:val="center"/>
              <w:rPr>
                <w:bCs/>
              </w:rPr>
            </w:pPr>
            <w:r w:rsidRPr="00BE6885">
              <w:rPr>
                <w:bCs/>
              </w:rPr>
              <w:t>0.3%</w:t>
            </w:r>
          </w:p>
        </w:tc>
        <w:tc>
          <w:tcPr>
            <w:tcW w:w="1170" w:type="dxa"/>
            <w:tcBorders>
              <w:top w:val="single" w:sz="4" w:space="0" w:color="auto"/>
              <w:left w:val="single" w:sz="4" w:space="0" w:color="auto"/>
              <w:bottom w:val="single" w:sz="4" w:space="0" w:color="auto"/>
              <w:right w:val="single" w:sz="4" w:space="0" w:color="auto"/>
            </w:tcBorders>
            <w:vAlign w:val="center"/>
          </w:tcPr>
          <w:p w:rsidR="00E817F1" w:rsidRPr="009F6848" w:rsidRDefault="00BE6885" w:rsidP="002B533D">
            <w:pPr>
              <w:pStyle w:val="BodyTextIndent"/>
              <w:keepNext/>
              <w:spacing w:line="240" w:lineRule="auto"/>
              <w:ind w:left="0" w:firstLine="0"/>
              <w:jc w:val="center"/>
              <w:rPr>
                <w:bCs/>
              </w:rPr>
            </w:pPr>
            <w:r w:rsidRPr="00BE6885">
              <w:rPr>
                <w:bCs/>
              </w:rPr>
              <w:t>0.3%</w:t>
            </w:r>
          </w:p>
        </w:tc>
        <w:tc>
          <w:tcPr>
            <w:tcW w:w="1170" w:type="dxa"/>
            <w:tcBorders>
              <w:top w:val="single" w:sz="4" w:space="0" w:color="auto"/>
              <w:left w:val="single" w:sz="4" w:space="0" w:color="auto"/>
              <w:bottom w:val="single" w:sz="4" w:space="0" w:color="auto"/>
              <w:right w:val="single" w:sz="4" w:space="0" w:color="auto"/>
            </w:tcBorders>
            <w:vAlign w:val="center"/>
          </w:tcPr>
          <w:p w:rsidR="00E817F1" w:rsidRPr="009F6848" w:rsidRDefault="00BE6885" w:rsidP="002B533D">
            <w:pPr>
              <w:pStyle w:val="BodyTextIndent"/>
              <w:keepNext/>
              <w:spacing w:line="240" w:lineRule="auto"/>
              <w:ind w:left="0" w:firstLine="0"/>
              <w:jc w:val="center"/>
              <w:rPr>
                <w:bCs/>
              </w:rPr>
            </w:pPr>
            <w:r w:rsidRPr="00BE6885">
              <w:rPr>
                <w:bCs/>
              </w:rPr>
              <w:t>0.3%</w:t>
            </w:r>
          </w:p>
        </w:tc>
        <w:tc>
          <w:tcPr>
            <w:tcW w:w="1552" w:type="dxa"/>
            <w:tcBorders>
              <w:top w:val="single" w:sz="4" w:space="0" w:color="auto"/>
              <w:left w:val="single" w:sz="4" w:space="0" w:color="auto"/>
              <w:bottom w:val="single" w:sz="4" w:space="0" w:color="auto"/>
            </w:tcBorders>
            <w:vAlign w:val="center"/>
          </w:tcPr>
          <w:p w:rsidR="00E817F1" w:rsidRPr="009F6848" w:rsidRDefault="00BE6885" w:rsidP="002B533D">
            <w:pPr>
              <w:pStyle w:val="BodyTextIndent"/>
              <w:keepNext/>
              <w:spacing w:line="240" w:lineRule="auto"/>
              <w:ind w:left="0" w:firstLine="0"/>
              <w:jc w:val="center"/>
              <w:rPr>
                <w:bCs/>
              </w:rPr>
            </w:pPr>
            <w:r w:rsidRPr="00BE6885">
              <w:rPr>
                <w:bCs/>
              </w:rPr>
              <w:t>0.3%</w:t>
            </w:r>
          </w:p>
        </w:tc>
      </w:tr>
      <w:tr w:rsidR="009F6848" w:rsidRPr="009F6848" w:rsidTr="002B533D">
        <w:trPr>
          <w:cantSplit/>
          <w:trHeight w:val="563"/>
          <w:jc w:val="center"/>
        </w:trPr>
        <w:tc>
          <w:tcPr>
            <w:tcW w:w="1240" w:type="dxa"/>
            <w:tcBorders>
              <w:top w:val="single" w:sz="4" w:space="0" w:color="auto"/>
              <w:bottom w:val="double" w:sz="4" w:space="0" w:color="auto"/>
              <w:right w:val="single" w:sz="4" w:space="0" w:color="auto"/>
            </w:tcBorders>
          </w:tcPr>
          <w:p w:rsidR="00E817F1" w:rsidRPr="009F6848" w:rsidRDefault="00BE6885" w:rsidP="00C6051F">
            <w:pPr>
              <w:pStyle w:val="BodyTextIndent"/>
              <w:keepNext/>
              <w:spacing w:line="240" w:lineRule="auto"/>
              <w:ind w:left="0" w:firstLine="0"/>
              <w:rPr>
                <w:bCs/>
              </w:rPr>
            </w:pPr>
            <w:r w:rsidRPr="00BE6885">
              <w:rPr>
                <w:bCs/>
              </w:rPr>
              <w:t>Common Equity</w:t>
            </w:r>
          </w:p>
        </w:tc>
        <w:tc>
          <w:tcPr>
            <w:tcW w:w="1212" w:type="dxa"/>
            <w:tcBorders>
              <w:top w:val="single" w:sz="4" w:space="0" w:color="auto"/>
              <w:bottom w:val="double" w:sz="4" w:space="0" w:color="auto"/>
              <w:right w:val="single" w:sz="4" w:space="0" w:color="auto"/>
            </w:tcBorders>
            <w:vAlign w:val="center"/>
          </w:tcPr>
          <w:p w:rsidR="00E817F1" w:rsidRPr="009F6848" w:rsidRDefault="00BE6885" w:rsidP="002B533D">
            <w:pPr>
              <w:pStyle w:val="BodyTextIndent"/>
              <w:keepNext/>
              <w:spacing w:line="240" w:lineRule="auto"/>
              <w:ind w:left="0" w:firstLine="0"/>
              <w:jc w:val="center"/>
              <w:rPr>
                <w:bCs/>
              </w:rPr>
            </w:pPr>
            <w:r w:rsidRPr="00BE6885">
              <w:rPr>
                <w:bCs/>
              </w:rPr>
              <w:t>52.5%</w:t>
            </w:r>
          </w:p>
        </w:tc>
        <w:tc>
          <w:tcPr>
            <w:tcW w:w="1170" w:type="dxa"/>
            <w:tcBorders>
              <w:top w:val="single" w:sz="4" w:space="0" w:color="auto"/>
              <w:left w:val="single" w:sz="4" w:space="0" w:color="auto"/>
              <w:bottom w:val="double" w:sz="4" w:space="0" w:color="auto"/>
              <w:right w:val="single" w:sz="4" w:space="0" w:color="auto"/>
            </w:tcBorders>
            <w:vAlign w:val="center"/>
          </w:tcPr>
          <w:p w:rsidR="00E817F1" w:rsidRPr="009F6848" w:rsidRDefault="00BE6885" w:rsidP="002B533D">
            <w:pPr>
              <w:pStyle w:val="BodyTextIndent"/>
              <w:keepNext/>
              <w:spacing w:line="240" w:lineRule="auto"/>
              <w:ind w:left="0" w:right="-171" w:firstLine="0"/>
              <w:jc w:val="center"/>
              <w:rPr>
                <w:bCs/>
              </w:rPr>
            </w:pPr>
            <w:r w:rsidRPr="00BE6885">
              <w:rPr>
                <w:bCs/>
              </w:rPr>
              <w:t>52.5%</w:t>
            </w:r>
          </w:p>
        </w:tc>
        <w:tc>
          <w:tcPr>
            <w:tcW w:w="1170" w:type="dxa"/>
            <w:tcBorders>
              <w:top w:val="single" w:sz="4" w:space="0" w:color="auto"/>
              <w:left w:val="single" w:sz="4" w:space="0" w:color="auto"/>
              <w:bottom w:val="double" w:sz="4" w:space="0" w:color="auto"/>
              <w:right w:val="single" w:sz="4" w:space="0" w:color="auto"/>
            </w:tcBorders>
            <w:vAlign w:val="center"/>
          </w:tcPr>
          <w:p w:rsidR="00E817F1" w:rsidRPr="009F6848" w:rsidRDefault="00BE6885" w:rsidP="002B533D">
            <w:pPr>
              <w:pStyle w:val="BodyTextIndent"/>
              <w:keepNext/>
              <w:spacing w:line="240" w:lineRule="auto"/>
              <w:ind w:left="0" w:firstLine="0"/>
              <w:jc w:val="center"/>
              <w:rPr>
                <w:bCs/>
              </w:rPr>
            </w:pPr>
            <w:r w:rsidRPr="00BE6885">
              <w:rPr>
                <w:bCs/>
              </w:rPr>
              <w:t>52.2%</w:t>
            </w:r>
          </w:p>
        </w:tc>
        <w:tc>
          <w:tcPr>
            <w:tcW w:w="1170" w:type="dxa"/>
            <w:tcBorders>
              <w:top w:val="single" w:sz="4" w:space="0" w:color="auto"/>
              <w:left w:val="single" w:sz="4" w:space="0" w:color="auto"/>
              <w:bottom w:val="double" w:sz="4" w:space="0" w:color="auto"/>
              <w:right w:val="single" w:sz="4" w:space="0" w:color="auto"/>
            </w:tcBorders>
            <w:vAlign w:val="center"/>
          </w:tcPr>
          <w:p w:rsidR="00E817F1" w:rsidRPr="009F6848" w:rsidRDefault="00BE6885" w:rsidP="002B533D">
            <w:pPr>
              <w:pStyle w:val="BodyTextIndent"/>
              <w:keepNext/>
              <w:spacing w:line="240" w:lineRule="auto"/>
              <w:ind w:left="0" w:firstLine="0"/>
              <w:jc w:val="center"/>
              <w:rPr>
                <w:bCs/>
              </w:rPr>
            </w:pPr>
            <w:r w:rsidRPr="00BE6885">
              <w:rPr>
                <w:bCs/>
              </w:rPr>
              <w:t>51.7%</w:t>
            </w:r>
          </w:p>
        </w:tc>
        <w:tc>
          <w:tcPr>
            <w:tcW w:w="1170" w:type="dxa"/>
            <w:tcBorders>
              <w:top w:val="single" w:sz="4" w:space="0" w:color="auto"/>
              <w:left w:val="single" w:sz="4" w:space="0" w:color="auto"/>
              <w:bottom w:val="double" w:sz="4" w:space="0" w:color="auto"/>
              <w:right w:val="single" w:sz="4" w:space="0" w:color="auto"/>
            </w:tcBorders>
            <w:vAlign w:val="center"/>
          </w:tcPr>
          <w:p w:rsidR="00E817F1" w:rsidRPr="009F6848" w:rsidRDefault="00BE6885" w:rsidP="002B533D">
            <w:pPr>
              <w:pStyle w:val="BodyTextIndent"/>
              <w:keepNext/>
              <w:spacing w:line="240" w:lineRule="auto"/>
              <w:ind w:left="0" w:firstLine="0"/>
              <w:jc w:val="center"/>
              <w:rPr>
                <w:bCs/>
              </w:rPr>
            </w:pPr>
            <w:r w:rsidRPr="00BE6885">
              <w:rPr>
                <w:bCs/>
              </w:rPr>
              <w:t>53.9%</w:t>
            </w:r>
          </w:p>
        </w:tc>
        <w:tc>
          <w:tcPr>
            <w:tcW w:w="1552" w:type="dxa"/>
            <w:tcBorders>
              <w:top w:val="single" w:sz="4" w:space="0" w:color="auto"/>
              <w:left w:val="single" w:sz="4" w:space="0" w:color="auto"/>
              <w:bottom w:val="double" w:sz="4" w:space="0" w:color="auto"/>
            </w:tcBorders>
            <w:vAlign w:val="center"/>
          </w:tcPr>
          <w:p w:rsidR="00E817F1" w:rsidRPr="009F6848" w:rsidRDefault="00BE6885" w:rsidP="002B533D">
            <w:pPr>
              <w:pStyle w:val="BodyTextIndent"/>
              <w:keepNext/>
              <w:spacing w:line="240" w:lineRule="auto"/>
              <w:ind w:left="0" w:firstLine="0"/>
              <w:jc w:val="center"/>
              <w:rPr>
                <w:bCs/>
              </w:rPr>
            </w:pPr>
            <w:r w:rsidRPr="00BE6885">
              <w:rPr>
                <w:bCs/>
              </w:rPr>
              <w:t>49.1%</w:t>
            </w:r>
          </w:p>
        </w:tc>
      </w:tr>
      <w:tr w:rsidR="009F6848" w:rsidRPr="009F6848" w:rsidTr="002B533D">
        <w:trPr>
          <w:cantSplit/>
          <w:trHeight w:val="274"/>
          <w:jc w:val="center"/>
        </w:trPr>
        <w:tc>
          <w:tcPr>
            <w:tcW w:w="1240" w:type="dxa"/>
            <w:tcBorders>
              <w:top w:val="double" w:sz="4" w:space="0" w:color="auto"/>
              <w:bottom w:val="single" w:sz="4" w:space="0" w:color="auto"/>
              <w:right w:val="single" w:sz="4" w:space="0" w:color="auto"/>
            </w:tcBorders>
          </w:tcPr>
          <w:p w:rsidR="00E817F1" w:rsidRPr="009F6848" w:rsidRDefault="00BE6885" w:rsidP="00C6051F">
            <w:pPr>
              <w:pStyle w:val="BodyTextIndent"/>
              <w:keepNext/>
              <w:spacing w:line="240" w:lineRule="auto"/>
              <w:ind w:left="0" w:firstLine="0"/>
              <w:rPr>
                <w:bCs/>
              </w:rPr>
            </w:pPr>
            <w:r w:rsidRPr="00BE6885">
              <w:rPr>
                <w:bCs/>
              </w:rPr>
              <w:t>Totals</w:t>
            </w:r>
          </w:p>
        </w:tc>
        <w:tc>
          <w:tcPr>
            <w:tcW w:w="1212" w:type="dxa"/>
            <w:tcBorders>
              <w:top w:val="double" w:sz="4" w:space="0" w:color="auto"/>
              <w:bottom w:val="single" w:sz="4" w:space="0" w:color="auto"/>
              <w:right w:val="single" w:sz="4" w:space="0" w:color="auto"/>
            </w:tcBorders>
            <w:vAlign w:val="center"/>
          </w:tcPr>
          <w:p w:rsidR="00E817F1" w:rsidRPr="009F6848" w:rsidRDefault="00BE6885" w:rsidP="002B533D">
            <w:pPr>
              <w:pStyle w:val="BodyTextIndent"/>
              <w:keepNext/>
              <w:spacing w:line="240" w:lineRule="auto"/>
              <w:ind w:left="0" w:firstLine="0"/>
              <w:jc w:val="center"/>
              <w:rPr>
                <w:bCs/>
              </w:rPr>
            </w:pPr>
            <w:r w:rsidRPr="00BE6885">
              <w:rPr>
                <w:bCs/>
              </w:rPr>
              <w:t>100.0%</w:t>
            </w:r>
          </w:p>
        </w:tc>
        <w:tc>
          <w:tcPr>
            <w:tcW w:w="1170" w:type="dxa"/>
            <w:tcBorders>
              <w:top w:val="double" w:sz="4" w:space="0" w:color="auto"/>
              <w:left w:val="single" w:sz="4" w:space="0" w:color="auto"/>
              <w:bottom w:val="single" w:sz="4" w:space="0" w:color="auto"/>
              <w:right w:val="single" w:sz="4" w:space="0" w:color="auto"/>
            </w:tcBorders>
            <w:vAlign w:val="center"/>
          </w:tcPr>
          <w:p w:rsidR="00E817F1" w:rsidRPr="009F6848" w:rsidRDefault="00BE6885" w:rsidP="002B533D">
            <w:pPr>
              <w:pStyle w:val="BodyTextIndent"/>
              <w:keepNext/>
              <w:spacing w:line="240" w:lineRule="auto"/>
              <w:ind w:left="0" w:firstLine="0"/>
              <w:jc w:val="center"/>
              <w:rPr>
                <w:bCs/>
              </w:rPr>
            </w:pPr>
            <w:r w:rsidRPr="00BE6885">
              <w:rPr>
                <w:bCs/>
              </w:rPr>
              <w:t>100.0%</w:t>
            </w:r>
          </w:p>
        </w:tc>
        <w:tc>
          <w:tcPr>
            <w:tcW w:w="1170" w:type="dxa"/>
            <w:tcBorders>
              <w:top w:val="double" w:sz="4" w:space="0" w:color="auto"/>
              <w:left w:val="single" w:sz="4" w:space="0" w:color="auto"/>
              <w:bottom w:val="single" w:sz="4" w:space="0" w:color="auto"/>
              <w:right w:val="single" w:sz="4" w:space="0" w:color="auto"/>
            </w:tcBorders>
            <w:vAlign w:val="center"/>
          </w:tcPr>
          <w:p w:rsidR="00E817F1" w:rsidRPr="009F6848" w:rsidRDefault="00BE6885" w:rsidP="002B533D">
            <w:pPr>
              <w:pStyle w:val="BodyTextIndent"/>
              <w:keepNext/>
              <w:spacing w:line="240" w:lineRule="auto"/>
              <w:ind w:left="0" w:firstLine="0"/>
              <w:jc w:val="center"/>
              <w:rPr>
                <w:bCs/>
              </w:rPr>
            </w:pPr>
            <w:r w:rsidRPr="00BE6885">
              <w:rPr>
                <w:bCs/>
              </w:rPr>
              <w:t>100.0%</w:t>
            </w:r>
          </w:p>
        </w:tc>
        <w:tc>
          <w:tcPr>
            <w:tcW w:w="1170" w:type="dxa"/>
            <w:tcBorders>
              <w:top w:val="double" w:sz="4" w:space="0" w:color="auto"/>
              <w:left w:val="single" w:sz="4" w:space="0" w:color="auto"/>
              <w:bottom w:val="single" w:sz="4" w:space="0" w:color="auto"/>
              <w:right w:val="single" w:sz="4" w:space="0" w:color="auto"/>
            </w:tcBorders>
            <w:vAlign w:val="center"/>
          </w:tcPr>
          <w:p w:rsidR="00E817F1" w:rsidRPr="009F6848" w:rsidRDefault="00BE6885" w:rsidP="002B533D">
            <w:pPr>
              <w:pStyle w:val="BodyTextIndent"/>
              <w:keepNext/>
              <w:spacing w:line="240" w:lineRule="auto"/>
              <w:ind w:left="0" w:firstLine="0"/>
              <w:jc w:val="center"/>
              <w:rPr>
                <w:bCs/>
              </w:rPr>
            </w:pPr>
            <w:r w:rsidRPr="00BE6885">
              <w:rPr>
                <w:bCs/>
              </w:rPr>
              <w:t>100.0%</w:t>
            </w:r>
          </w:p>
        </w:tc>
        <w:tc>
          <w:tcPr>
            <w:tcW w:w="1170" w:type="dxa"/>
            <w:tcBorders>
              <w:top w:val="double" w:sz="4" w:space="0" w:color="auto"/>
              <w:left w:val="single" w:sz="4" w:space="0" w:color="auto"/>
              <w:bottom w:val="single" w:sz="4" w:space="0" w:color="auto"/>
              <w:right w:val="single" w:sz="4" w:space="0" w:color="auto"/>
            </w:tcBorders>
            <w:vAlign w:val="center"/>
          </w:tcPr>
          <w:p w:rsidR="00E817F1" w:rsidRPr="009F6848" w:rsidRDefault="00BE6885" w:rsidP="002B533D">
            <w:pPr>
              <w:pStyle w:val="BodyTextIndent"/>
              <w:keepNext/>
              <w:spacing w:line="240" w:lineRule="auto"/>
              <w:ind w:left="0" w:firstLine="0"/>
              <w:jc w:val="center"/>
              <w:rPr>
                <w:bCs/>
              </w:rPr>
            </w:pPr>
            <w:r w:rsidRPr="00BE6885">
              <w:rPr>
                <w:bCs/>
              </w:rPr>
              <w:t>100.0%</w:t>
            </w:r>
          </w:p>
        </w:tc>
        <w:tc>
          <w:tcPr>
            <w:tcW w:w="1552" w:type="dxa"/>
            <w:tcBorders>
              <w:top w:val="double" w:sz="4" w:space="0" w:color="auto"/>
              <w:left w:val="single" w:sz="4" w:space="0" w:color="auto"/>
              <w:bottom w:val="single" w:sz="4" w:space="0" w:color="auto"/>
            </w:tcBorders>
            <w:vAlign w:val="center"/>
          </w:tcPr>
          <w:p w:rsidR="00E817F1" w:rsidRPr="009F6848" w:rsidRDefault="00BE6885" w:rsidP="002B533D">
            <w:pPr>
              <w:pStyle w:val="BodyTextIndent"/>
              <w:keepNext/>
              <w:spacing w:line="240" w:lineRule="auto"/>
              <w:ind w:left="0" w:firstLine="0"/>
              <w:jc w:val="center"/>
              <w:rPr>
                <w:bCs/>
              </w:rPr>
            </w:pPr>
            <w:r w:rsidRPr="00BE6885">
              <w:rPr>
                <w:bCs/>
              </w:rPr>
              <w:t>100.0%</w:t>
            </w:r>
          </w:p>
        </w:tc>
      </w:tr>
    </w:tbl>
    <w:p w:rsidR="001C3F76" w:rsidRPr="00BD7E72" w:rsidRDefault="001C3F76" w:rsidP="0032288A">
      <w:pPr>
        <w:pStyle w:val="BodyTextIndent"/>
        <w:suppressLineNumbers/>
        <w:spacing w:line="240" w:lineRule="auto"/>
      </w:pPr>
    </w:p>
    <w:p w:rsidR="001C3F76" w:rsidRDefault="001C3F76" w:rsidP="00610A36">
      <w:pPr>
        <w:pStyle w:val="BodyTextIndent"/>
        <w:ind w:firstLine="0"/>
      </w:pPr>
      <w:r>
        <w:t>The proposed capital structure in the present case is in line with the Company’s recent actual capital structures.  Further, the Company</w:t>
      </w:r>
      <w:r w:rsidR="00C012A6">
        <w:t>’s</w:t>
      </w:r>
      <w:r>
        <w:t xml:space="preserve"> recent actual and proposed capital structures all contain a higher common equity component than the Commission ordered in </w:t>
      </w:r>
      <w:r w:rsidR="002E7574">
        <w:t>the 2010 Rate Case</w:t>
      </w:r>
      <w:r>
        <w:t>.</w:t>
      </w:r>
    </w:p>
    <w:p w:rsidR="004B52FB" w:rsidRDefault="001C3F76" w:rsidP="00A833CA">
      <w:pPr>
        <w:pStyle w:val="BodyTextIndent"/>
      </w:pPr>
      <w:r>
        <w:tab/>
      </w:r>
      <w:r>
        <w:tab/>
      </w:r>
      <w:r w:rsidR="00B52172">
        <w:t>In Order 06</w:t>
      </w:r>
      <w:r w:rsidR="0032288A">
        <w:t xml:space="preserve"> in </w:t>
      </w:r>
      <w:r w:rsidR="00964668">
        <w:t>the 2010 Rate Case</w:t>
      </w:r>
      <w:r w:rsidR="0032288A">
        <w:t>,</w:t>
      </w:r>
      <w:r>
        <w:t xml:space="preserve"> the Commission noted a “remarkable level of growth</w:t>
      </w:r>
      <w:r w:rsidR="0032288A">
        <w:t>” i</w:t>
      </w:r>
      <w:r>
        <w:t xml:space="preserve">n the common equity component of the Company’s capital structure </w:t>
      </w:r>
      <w:r w:rsidR="0032288A">
        <w:t>“</w:t>
      </w:r>
      <w:r>
        <w:t>in just three years.”</w:t>
      </w:r>
      <w:r w:rsidR="00B52172">
        <w:rPr>
          <w:rStyle w:val="FootnoteReference"/>
        </w:rPr>
        <w:footnoteReference w:id="15"/>
      </w:r>
      <w:r>
        <w:t xml:space="preserve">  </w:t>
      </w:r>
      <w:r w:rsidR="00610A36">
        <w:t>As can be seen in the table above</w:t>
      </w:r>
      <w:r w:rsidR="00B52172">
        <w:t>,</w:t>
      </w:r>
      <w:r w:rsidR="00610A36">
        <w:t xml:space="preserve"> the common equity component has been relatively </w:t>
      </w:r>
      <w:r w:rsidR="0072567D">
        <w:t xml:space="preserve">stable and consistently in the </w:t>
      </w:r>
      <w:r w:rsidR="00610A36">
        <w:t xml:space="preserve">52 percent range.  </w:t>
      </w:r>
      <w:r w:rsidR="0032288A">
        <w:t>T</w:t>
      </w:r>
      <w:r w:rsidR="004B52FB">
        <w:t xml:space="preserve">his should alleviate any Commission concern about whether the Company’s proposed capital structure in </w:t>
      </w:r>
      <w:r w:rsidR="00964668">
        <w:t>the 2010 Rate Case</w:t>
      </w:r>
      <w:r w:rsidR="004B52FB">
        <w:t xml:space="preserve"> was a </w:t>
      </w:r>
      <w:r w:rsidR="00A04B45">
        <w:t xml:space="preserve">reflection of a </w:t>
      </w:r>
      <w:r w:rsidR="004B52FB">
        <w:t xml:space="preserve">temporary increase in the common equity component or whether significant </w:t>
      </w:r>
      <w:r w:rsidR="00C012A6">
        <w:t xml:space="preserve">additional </w:t>
      </w:r>
      <w:r w:rsidR="004B52FB">
        <w:t>increase</w:t>
      </w:r>
      <w:r w:rsidR="00A04B45">
        <w:t>s</w:t>
      </w:r>
      <w:r w:rsidR="004B52FB">
        <w:t xml:space="preserve"> in the common equity component </w:t>
      </w:r>
      <w:r w:rsidR="00373C29">
        <w:t xml:space="preserve">would occur </w:t>
      </w:r>
      <w:r w:rsidR="004B52FB">
        <w:t>in the near future.</w:t>
      </w:r>
    </w:p>
    <w:p w:rsidR="001C3F76" w:rsidRDefault="00610A36" w:rsidP="004B52FB">
      <w:pPr>
        <w:pStyle w:val="BodyTextIndent"/>
        <w:ind w:firstLine="720"/>
      </w:pPr>
      <w:r>
        <w:t>Th</w:t>
      </w:r>
      <w:r w:rsidR="004B52FB">
        <w:t xml:space="preserve">e proposed capital structure is quite similar to </w:t>
      </w:r>
      <w:r w:rsidR="0032288A">
        <w:t>the Company’s actual capital structure</w:t>
      </w:r>
      <w:r w:rsidR="004B52FB">
        <w:t xml:space="preserve"> for</w:t>
      </w:r>
      <w:r w:rsidR="00373C29">
        <w:t xml:space="preserve"> the past</w:t>
      </w:r>
      <w:r w:rsidR="004B52FB">
        <w:t xml:space="preserve"> several years</w:t>
      </w:r>
      <w:r w:rsidR="00624A07">
        <w:t>.  The actual capital structure</w:t>
      </w:r>
      <w:r>
        <w:t xml:space="preserve"> has assisted the Company in maintaining its credit ratings and </w:t>
      </w:r>
      <w:r w:rsidR="00373C29">
        <w:t xml:space="preserve">helped </w:t>
      </w:r>
      <w:r>
        <w:t>to reduce the interest rate on new financings</w:t>
      </w:r>
      <w:r w:rsidR="00373C29">
        <w:t>.  This</w:t>
      </w:r>
      <w:r>
        <w:t xml:space="preserve"> has resulted in a reduced cost of debt for the benefit of customers.</w:t>
      </w:r>
    </w:p>
    <w:p w:rsidR="008850FC" w:rsidRDefault="008850FC" w:rsidP="008850FC">
      <w:pPr>
        <w:pStyle w:val="BodyTextIndent"/>
        <w:rPr>
          <w:b/>
        </w:rPr>
      </w:pPr>
      <w:r w:rsidRPr="008850FC">
        <w:rPr>
          <w:b/>
        </w:rPr>
        <w:t>Q.</w:t>
      </w:r>
      <w:r w:rsidRPr="008850FC">
        <w:rPr>
          <w:b/>
        </w:rPr>
        <w:tab/>
        <w:t>How does the common equity component ordered</w:t>
      </w:r>
      <w:r w:rsidR="00485447">
        <w:rPr>
          <w:b/>
        </w:rPr>
        <w:t xml:space="preserve"> by the Commission</w:t>
      </w:r>
      <w:r w:rsidRPr="008850FC">
        <w:rPr>
          <w:b/>
        </w:rPr>
        <w:t xml:space="preserve"> in </w:t>
      </w:r>
      <w:r w:rsidR="00964668">
        <w:rPr>
          <w:b/>
        </w:rPr>
        <w:t>the 2010 Rate Case</w:t>
      </w:r>
      <w:r w:rsidRPr="008850FC">
        <w:rPr>
          <w:b/>
        </w:rPr>
        <w:t xml:space="preserve"> compare to the common equity component authorized by your other jurisdiction</w:t>
      </w:r>
      <w:r w:rsidR="00964668">
        <w:rPr>
          <w:b/>
        </w:rPr>
        <w:t>s?</w:t>
      </w:r>
    </w:p>
    <w:p w:rsidR="00964668" w:rsidRDefault="008850FC" w:rsidP="00964668">
      <w:pPr>
        <w:pStyle w:val="BodyTextIndent"/>
      </w:pPr>
      <w:r>
        <w:t>A.</w:t>
      </w:r>
      <w:r>
        <w:tab/>
        <w:t>It is sig</w:t>
      </w:r>
      <w:r w:rsidR="00874937">
        <w:t>nificantly lower than any of the six state jurisdictions that PacifiCorp serves</w:t>
      </w:r>
      <w:r w:rsidR="00DB4F4B">
        <w:t>,</w:t>
      </w:r>
      <w:r w:rsidR="00874937">
        <w:t xml:space="preserve"> as shown in the table below.</w:t>
      </w:r>
    </w:p>
    <w:tbl>
      <w:tblPr>
        <w:tblStyle w:val="TableGrid2"/>
        <w:tblpPr w:leftFromText="180" w:rightFromText="180" w:vertAnchor="text" w:horzAnchor="page" w:tblpX="1853" w:tblpY="338"/>
        <w:tblW w:w="9150" w:type="dxa"/>
        <w:tblLayout w:type="fixed"/>
        <w:tblLook w:val="04A0"/>
      </w:tblPr>
      <w:tblGrid>
        <w:gridCol w:w="1403"/>
        <w:gridCol w:w="1280"/>
        <w:gridCol w:w="1350"/>
        <w:gridCol w:w="1350"/>
        <w:gridCol w:w="1137"/>
        <w:gridCol w:w="1350"/>
        <w:gridCol w:w="1280"/>
      </w:tblGrid>
      <w:tr w:rsidR="00964668" w:rsidRPr="00964668" w:rsidTr="00321E51">
        <w:trPr>
          <w:trHeight w:val="686"/>
        </w:trPr>
        <w:tc>
          <w:tcPr>
            <w:tcW w:w="1403" w:type="dxa"/>
            <w:vAlign w:val="center"/>
          </w:tcPr>
          <w:p w:rsidR="00964668" w:rsidRPr="00964668" w:rsidRDefault="00964668" w:rsidP="00321E51">
            <w:pPr>
              <w:spacing w:line="240" w:lineRule="auto"/>
              <w:ind w:left="0" w:firstLine="0"/>
              <w:jc w:val="center"/>
              <w:rPr>
                <w:rFonts w:ascii="Times New Roman" w:hAnsi="Times New Roman" w:cs="Times New Roman"/>
                <w:sz w:val="22"/>
              </w:rPr>
            </w:pPr>
          </w:p>
        </w:tc>
        <w:tc>
          <w:tcPr>
            <w:tcW w:w="1280" w:type="dxa"/>
            <w:vAlign w:val="center"/>
          </w:tcPr>
          <w:p w:rsidR="00964668" w:rsidRPr="00964668" w:rsidRDefault="00964668" w:rsidP="00321E51">
            <w:pPr>
              <w:spacing w:line="240" w:lineRule="auto"/>
              <w:ind w:left="0" w:firstLine="0"/>
              <w:jc w:val="center"/>
              <w:rPr>
                <w:rFonts w:ascii="Times New Roman" w:hAnsi="Times New Roman" w:cs="Times New Roman"/>
                <w:sz w:val="22"/>
              </w:rPr>
            </w:pPr>
            <w:r w:rsidRPr="00964668">
              <w:rPr>
                <w:rFonts w:ascii="Times New Roman" w:hAnsi="Times New Roman" w:cs="Times New Roman"/>
                <w:sz w:val="22"/>
              </w:rPr>
              <w:t>Washington UE-100749</w:t>
            </w:r>
          </w:p>
        </w:tc>
        <w:tc>
          <w:tcPr>
            <w:tcW w:w="1350" w:type="dxa"/>
            <w:vAlign w:val="center"/>
          </w:tcPr>
          <w:p w:rsidR="00964668" w:rsidRPr="00964668" w:rsidRDefault="00964668" w:rsidP="00321E51">
            <w:pPr>
              <w:spacing w:line="240" w:lineRule="auto"/>
              <w:ind w:left="0" w:firstLine="0"/>
              <w:jc w:val="center"/>
              <w:rPr>
                <w:rFonts w:ascii="Times New Roman" w:hAnsi="Times New Roman" w:cs="Times New Roman"/>
                <w:sz w:val="22"/>
              </w:rPr>
            </w:pPr>
            <w:r w:rsidRPr="00964668">
              <w:rPr>
                <w:rFonts w:ascii="Times New Roman" w:hAnsi="Times New Roman" w:cs="Times New Roman"/>
                <w:sz w:val="22"/>
              </w:rPr>
              <w:t>California</w:t>
            </w:r>
          </w:p>
          <w:p w:rsidR="00964668" w:rsidRPr="00964668" w:rsidRDefault="00964668" w:rsidP="00321E51">
            <w:pPr>
              <w:spacing w:line="240" w:lineRule="auto"/>
              <w:ind w:left="0" w:firstLine="0"/>
              <w:jc w:val="center"/>
              <w:rPr>
                <w:rFonts w:ascii="Times New Roman" w:hAnsi="Times New Roman" w:cs="Times New Roman"/>
                <w:sz w:val="22"/>
              </w:rPr>
            </w:pPr>
            <w:r w:rsidRPr="00964668">
              <w:rPr>
                <w:rFonts w:ascii="Times New Roman" w:hAnsi="Times New Roman" w:cs="Times New Roman"/>
                <w:sz w:val="22"/>
              </w:rPr>
              <w:t>A.09-11-015</w:t>
            </w:r>
          </w:p>
        </w:tc>
        <w:tc>
          <w:tcPr>
            <w:tcW w:w="1350" w:type="dxa"/>
            <w:vAlign w:val="center"/>
          </w:tcPr>
          <w:p w:rsidR="00964668" w:rsidRPr="00964668" w:rsidRDefault="00964668" w:rsidP="00321E51">
            <w:pPr>
              <w:spacing w:line="240" w:lineRule="auto"/>
              <w:ind w:left="0" w:firstLine="0"/>
              <w:jc w:val="center"/>
              <w:rPr>
                <w:rFonts w:ascii="Times New Roman" w:hAnsi="Times New Roman" w:cs="Times New Roman"/>
                <w:sz w:val="22"/>
              </w:rPr>
            </w:pPr>
            <w:r w:rsidRPr="00964668">
              <w:rPr>
                <w:rFonts w:ascii="Times New Roman" w:hAnsi="Times New Roman" w:cs="Times New Roman"/>
                <w:sz w:val="22"/>
              </w:rPr>
              <w:t>Idaho</w:t>
            </w:r>
          </w:p>
          <w:p w:rsidR="00964668" w:rsidRPr="00964668" w:rsidRDefault="00964668" w:rsidP="00321E51">
            <w:pPr>
              <w:spacing w:line="240" w:lineRule="auto"/>
              <w:ind w:left="0" w:firstLine="0"/>
              <w:jc w:val="center"/>
              <w:rPr>
                <w:rFonts w:ascii="Times New Roman" w:hAnsi="Times New Roman" w:cs="Times New Roman"/>
                <w:sz w:val="22"/>
              </w:rPr>
            </w:pPr>
            <w:r w:rsidRPr="00964668">
              <w:rPr>
                <w:rFonts w:ascii="Times New Roman" w:hAnsi="Times New Roman" w:cs="Times New Roman"/>
                <w:sz w:val="22"/>
              </w:rPr>
              <w:t>PAC-E-10-7</w:t>
            </w:r>
          </w:p>
        </w:tc>
        <w:tc>
          <w:tcPr>
            <w:tcW w:w="1137" w:type="dxa"/>
            <w:vAlign w:val="center"/>
          </w:tcPr>
          <w:p w:rsidR="00964668" w:rsidRPr="00964668" w:rsidRDefault="00964668" w:rsidP="00321E51">
            <w:pPr>
              <w:spacing w:line="240" w:lineRule="auto"/>
              <w:ind w:left="0" w:firstLine="0"/>
              <w:jc w:val="center"/>
              <w:rPr>
                <w:rFonts w:ascii="Times New Roman" w:hAnsi="Times New Roman" w:cs="Times New Roman"/>
                <w:sz w:val="22"/>
              </w:rPr>
            </w:pPr>
            <w:r w:rsidRPr="00964668">
              <w:rPr>
                <w:rFonts w:ascii="Times New Roman" w:hAnsi="Times New Roman" w:cs="Times New Roman"/>
                <w:sz w:val="22"/>
              </w:rPr>
              <w:t>Oregon</w:t>
            </w:r>
          </w:p>
          <w:p w:rsidR="00964668" w:rsidRPr="00964668" w:rsidRDefault="00964668" w:rsidP="00321E51">
            <w:pPr>
              <w:spacing w:line="240" w:lineRule="auto"/>
              <w:ind w:left="0" w:firstLine="0"/>
              <w:jc w:val="center"/>
              <w:rPr>
                <w:rFonts w:ascii="Times New Roman" w:hAnsi="Times New Roman" w:cs="Times New Roman"/>
                <w:sz w:val="22"/>
              </w:rPr>
            </w:pPr>
            <w:r w:rsidRPr="00964668">
              <w:rPr>
                <w:rFonts w:ascii="Times New Roman" w:hAnsi="Times New Roman" w:cs="Times New Roman"/>
                <w:sz w:val="22"/>
              </w:rPr>
              <w:t>UE 246</w:t>
            </w:r>
          </w:p>
        </w:tc>
        <w:tc>
          <w:tcPr>
            <w:tcW w:w="1350" w:type="dxa"/>
            <w:vAlign w:val="center"/>
          </w:tcPr>
          <w:p w:rsidR="00964668" w:rsidRPr="00964668" w:rsidRDefault="00964668" w:rsidP="00321E51">
            <w:pPr>
              <w:spacing w:line="240" w:lineRule="auto"/>
              <w:ind w:left="0" w:firstLine="0"/>
              <w:jc w:val="center"/>
              <w:rPr>
                <w:rFonts w:ascii="Times New Roman" w:hAnsi="Times New Roman" w:cs="Times New Roman"/>
                <w:sz w:val="22"/>
              </w:rPr>
            </w:pPr>
            <w:r w:rsidRPr="00964668">
              <w:rPr>
                <w:rFonts w:ascii="Times New Roman" w:hAnsi="Times New Roman" w:cs="Times New Roman"/>
                <w:sz w:val="22"/>
              </w:rPr>
              <w:t>Utah</w:t>
            </w:r>
          </w:p>
          <w:p w:rsidR="00964668" w:rsidRPr="00964668" w:rsidRDefault="00964668" w:rsidP="00321E51">
            <w:pPr>
              <w:spacing w:line="240" w:lineRule="auto"/>
              <w:ind w:left="0" w:firstLine="0"/>
              <w:jc w:val="center"/>
              <w:rPr>
                <w:rFonts w:ascii="Times New Roman" w:hAnsi="Times New Roman" w:cs="Times New Roman"/>
                <w:sz w:val="22"/>
              </w:rPr>
            </w:pPr>
            <w:r w:rsidRPr="00964668">
              <w:rPr>
                <w:rFonts w:ascii="Times New Roman" w:hAnsi="Times New Roman" w:cs="Times New Roman"/>
                <w:sz w:val="22"/>
              </w:rPr>
              <w:t>11-035-200</w:t>
            </w:r>
          </w:p>
        </w:tc>
        <w:tc>
          <w:tcPr>
            <w:tcW w:w="1280" w:type="dxa"/>
            <w:vAlign w:val="center"/>
          </w:tcPr>
          <w:p w:rsidR="00964668" w:rsidRPr="00964668" w:rsidRDefault="00964668" w:rsidP="00321E51">
            <w:pPr>
              <w:spacing w:line="240" w:lineRule="auto"/>
              <w:ind w:left="0" w:firstLine="0"/>
              <w:jc w:val="center"/>
              <w:rPr>
                <w:rFonts w:ascii="Times New Roman" w:hAnsi="Times New Roman" w:cs="Times New Roman"/>
                <w:sz w:val="22"/>
              </w:rPr>
            </w:pPr>
            <w:r w:rsidRPr="00964668">
              <w:rPr>
                <w:rFonts w:ascii="Times New Roman" w:hAnsi="Times New Roman" w:cs="Times New Roman"/>
                <w:sz w:val="22"/>
              </w:rPr>
              <w:t>Wyoming 20000-405-ER-11</w:t>
            </w:r>
          </w:p>
        </w:tc>
      </w:tr>
      <w:tr w:rsidR="00964668" w:rsidRPr="00964668" w:rsidTr="00321E51">
        <w:trPr>
          <w:trHeight w:val="492"/>
        </w:trPr>
        <w:tc>
          <w:tcPr>
            <w:tcW w:w="1403" w:type="dxa"/>
          </w:tcPr>
          <w:p w:rsidR="00964668" w:rsidRPr="00964668" w:rsidRDefault="00964668" w:rsidP="00321E51">
            <w:pPr>
              <w:spacing w:line="240" w:lineRule="auto"/>
              <w:ind w:left="0" w:firstLine="0"/>
              <w:rPr>
                <w:rFonts w:ascii="Times New Roman" w:hAnsi="Times New Roman" w:cs="Times New Roman"/>
                <w:sz w:val="22"/>
              </w:rPr>
            </w:pPr>
            <w:r w:rsidRPr="00964668">
              <w:rPr>
                <w:rFonts w:ascii="Times New Roman" w:hAnsi="Times New Roman" w:cs="Times New Roman"/>
                <w:sz w:val="22"/>
              </w:rPr>
              <w:t>Common Equity Component</w:t>
            </w:r>
          </w:p>
        </w:tc>
        <w:tc>
          <w:tcPr>
            <w:tcW w:w="1280" w:type="dxa"/>
            <w:vAlign w:val="center"/>
          </w:tcPr>
          <w:p w:rsidR="00964668" w:rsidRPr="00964668" w:rsidRDefault="00964668" w:rsidP="00321E51">
            <w:pPr>
              <w:spacing w:line="240" w:lineRule="auto"/>
              <w:ind w:left="0" w:firstLine="0"/>
              <w:jc w:val="center"/>
              <w:rPr>
                <w:rFonts w:ascii="Times New Roman" w:hAnsi="Times New Roman" w:cs="Times New Roman"/>
                <w:sz w:val="22"/>
              </w:rPr>
            </w:pPr>
            <w:r w:rsidRPr="00964668">
              <w:rPr>
                <w:rFonts w:ascii="Times New Roman" w:hAnsi="Times New Roman" w:cs="Times New Roman"/>
                <w:sz w:val="22"/>
              </w:rPr>
              <w:t>49.1%</w:t>
            </w:r>
          </w:p>
        </w:tc>
        <w:tc>
          <w:tcPr>
            <w:tcW w:w="1350" w:type="dxa"/>
            <w:vAlign w:val="center"/>
          </w:tcPr>
          <w:p w:rsidR="00964668" w:rsidRPr="00964668" w:rsidRDefault="00964668" w:rsidP="00321E51">
            <w:pPr>
              <w:spacing w:line="240" w:lineRule="auto"/>
              <w:ind w:left="0" w:firstLine="0"/>
              <w:jc w:val="center"/>
              <w:rPr>
                <w:rFonts w:ascii="Times New Roman" w:hAnsi="Times New Roman" w:cs="Times New Roman"/>
                <w:sz w:val="22"/>
              </w:rPr>
            </w:pPr>
            <w:r w:rsidRPr="00964668">
              <w:rPr>
                <w:rFonts w:ascii="Times New Roman" w:hAnsi="Times New Roman" w:cs="Times New Roman"/>
                <w:sz w:val="22"/>
              </w:rPr>
              <w:t>52.2%</w:t>
            </w:r>
          </w:p>
        </w:tc>
        <w:tc>
          <w:tcPr>
            <w:tcW w:w="1350" w:type="dxa"/>
            <w:vAlign w:val="center"/>
          </w:tcPr>
          <w:p w:rsidR="00964668" w:rsidRPr="00964668" w:rsidRDefault="00964668" w:rsidP="00321E51">
            <w:pPr>
              <w:spacing w:line="240" w:lineRule="auto"/>
              <w:ind w:left="0" w:firstLine="0"/>
              <w:jc w:val="center"/>
              <w:rPr>
                <w:rFonts w:ascii="Times New Roman" w:hAnsi="Times New Roman" w:cs="Times New Roman"/>
                <w:sz w:val="22"/>
              </w:rPr>
            </w:pPr>
            <w:r w:rsidRPr="00964668">
              <w:rPr>
                <w:rFonts w:ascii="Times New Roman" w:hAnsi="Times New Roman" w:cs="Times New Roman"/>
                <w:sz w:val="22"/>
              </w:rPr>
              <w:t>52.1%</w:t>
            </w:r>
          </w:p>
        </w:tc>
        <w:tc>
          <w:tcPr>
            <w:tcW w:w="1137" w:type="dxa"/>
            <w:vAlign w:val="center"/>
          </w:tcPr>
          <w:p w:rsidR="00964668" w:rsidRPr="00964668" w:rsidRDefault="00964668" w:rsidP="00321E51">
            <w:pPr>
              <w:spacing w:line="240" w:lineRule="auto"/>
              <w:ind w:left="0" w:firstLine="0"/>
              <w:jc w:val="center"/>
              <w:rPr>
                <w:rFonts w:ascii="Times New Roman" w:hAnsi="Times New Roman" w:cs="Times New Roman"/>
                <w:sz w:val="22"/>
              </w:rPr>
            </w:pPr>
            <w:r w:rsidRPr="00964668">
              <w:rPr>
                <w:rFonts w:ascii="Times New Roman" w:hAnsi="Times New Roman" w:cs="Times New Roman"/>
                <w:sz w:val="22"/>
              </w:rPr>
              <w:t>52.1%</w:t>
            </w:r>
          </w:p>
        </w:tc>
        <w:tc>
          <w:tcPr>
            <w:tcW w:w="1350" w:type="dxa"/>
            <w:vAlign w:val="center"/>
          </w:tcPr>
          <w:p w:rsidR="00964668" w:rsidRPr="00964668" w:rsidRDefault="00964668" w:rsidP="00321E51">
            <w:pPr>
              <w:spacing w:line="240" w:lineRule="auto"/>
              <w:ind w:left="0" w:firstLine="0"/>
              <w:jc w:val="center"/>
              <w:rPr>
                <w:rFonts w:ascii="Times New Roman" w:hAnsi="Times New Roman" w:cs="Times New Roman"/>
                <w:sz w:val="22"/>
              </w:rPr>
            </w:pPr>
            <w:r w:rsidRPr="00964668">
              <w:rPr>
                <w:rFonts w:ascii="Times New Roman" w:hAnsi="Times New Roman" w:cs="Times New Roman"/>
                <w:sz w:val="22"/>
              </w:rPr>
              <w:t>52.1%</w:t>
            </w:r>
          </w:p>
        </w:tc>
        <w:tc>
          <w:tcPr>
            <w:tcW w:w="1280" w:type="dxa"/>
            <w:vAlign w:val="center"/>
          </w:tcPr>
          <w:p w:rsidR="00964668" w:rsidRPr="00964668" w:rsidRDefault="00964668" w:rsidP="00321E51">
            <w:pPr>
              <w:spacing w:line="240" w:lineRule="auto"/>
              <w:ind w:left="0" w:firstLine="0"/>
              <w:jc w:val="center"/>
              <w:rPr>
                <w:rFonts w:ascii="Times New Roman" w:hAnsi="Times New Roman" w:cs="Times New Roman"/>
                <w:sz w:val="22"/>
              </w:rPr>
            </w:pPr>
            <w:r w:rsidRPr="00964668">
              <w:rPr>
                <w:rFonts w:ascii="Times New Roman" w:hAnsi="Times New Roman" w:cs="Times New Roman"/>
                <w:sz w:val="22"/>
              </w:rPr>
              <w:t>52.1%</w:t>
            </w:r>
          </w:p>
        </w:tc>
      </w:tr>
    </w:tbl>
    <w:p w:rsidR="00535BA3" w:rsidRPr="00B719F0" w:rsidRDefault="00535BA3" w:rsidP="00964668">
      <w:pPr>
        <w:pStyle w:val="BodyTextIndent"/>
        <w:spacing w:before="240"/>
        <w:rPr>
          <w:b/>
        </w:rPr>
      </w:pPr>
      <w:r w:rsidRPr="00B719F0">
        <w:rPr>
          <w:b/>
        </w:rPr>
        <w:t>Q.</w:t>
      </w:r>
      <w:r w:rsidRPr="00B719F0">
        <w:rPr>
          <w:b/>
        </w:rPr>
        <w:tab/>
        <w:t>If the Company actually maintained only 49.1 percent common equ</w:t>
      </w:r>
      <w:r w:rsidR="00964668">
        <w:rPr>
          <w:b/>
        </w:rPr>
        <w:t xml:space="preserve">ity in its capital structure (as in the hypothetical structure adopted by </w:t>
      </w:r>
      <w:r w:rsidRPr="00B719F0">
        <w:rPr>
          <w:b/>
        </w:rPr>
        <w:t>the Washington Commission</w:t>
      </w:r>
      <w:r w:rsidR="00964668">
        <w:rPr>
          <w:b/>
        </w:rPr>
        <w:t>)</w:t>
      </w:r>
      <w:r w:rsidRPr="00B719F0">
        <w:rPr>
          <w:b/>
        </w:rPr>
        <w:t xml:space="preserve">, </w:t>
      </w:r>
      <w:r w:rsidR="00964668">
        <w:rPr>
          <w:b/>
        </w:rPr>
        <w:t xml:space="preserve">what </w:t>
      </w:r>
      <w:r w:rsidRPr="00B719F0">
        <w:rPr>
          <w:b/>
        </w:rPr>
        <w:t xml:space="preserve">would </w:t>
      </w:r>
      <w:r w:rsidR="00964668">
        <w:rPr>
          <w:b/>
        </w:rPr>
        <w:t xml:space="preserve">be the impact on the </w:t>
      </w:r>
      <w:r w:rsidRPr="00B719F0">
        <w:rPr>
          <w:b/>
        </w:rPr>
        <w:t>the cost of debt in the capital structure?</w:t>
      </w:r>
    </w:p>
    <w:p w:rsidR="00964668" w:rsidRDefault="00535BA3" w:rsidP="00964668">
      <w:pPr>
        <w:pStyle w:val="BodyTextIndent"/>
      </w:pPr>
      <w:r>
        <w:t>A.</w:t>
      </w:r>
      <w:r>
        <w:tab/>
        <w:t xml:space="preserve">In my opinion, the cost of debt would be higher.  It is unrealistic to assume that one element of capital structure can </w:t>
      </w:r>
      <w:r w:rsidR="00964668">
        <w:t>materially change</w:t>
      </w:r>
      <w:r>
        <w:t xml:space="preserve"> without impacting other elements.  With only 49 percent common equity in the capital structure, I believe PacifiCorp’s </w:t>
      </w:r>
      <w:r w:rsidR="00737AF4">
        <w:t xml:space="preserve">current </w:t>
      </w:r>
      <w:r>
        <w:t xml:space="preserve">investment grade </w:t>
      </w:r>
      <w:r w:rsidR="00737AF4">
        <w:t xml:space="preserve">credit rating </w:t>
      </w:r>
      <w:r>
        <w:t>would be lowered.  As a consequence, the cost of debt would be higher.  A comparison of PacifiCorp to other Washington utilities regulated by this</w:t>
      </w:r>
      <w:r w:rsidR="00964668">
        <w:t xml:space="preserve"> Commission supports my belief.</w:t>
      </w:r>
    </w:p>
    <w:p w:rsidR="005B5861" w:rsidRDefault="00A12270" w:rsidP="00A12270">
      <w:pPr>
        <w:pStyle w:val="BodyTextIndent"/>
        <w:rPr>
          <w:b/>
          <w:bCs/>
        </w:rPr>
      </w:pPr>
      <w:r w:rsidRPr="008850FC">
        <w:rPr>
          <w:b/>
        </w:rPr>
        <w:t>Q.</w:t>
      </w:r>
      <w:r>
        <w:tab/>
      </w:r>
      <w:r w:rsidR="00373C29">
        <w:rPr>
          <w:b/>
          <w:bCs/>
        </w:rPr>
        <w:t>Has</w:t>
      </w:r>
      <w:r w:rsidR="005B5861" w:rsidRPr="00AF3369">
        <w:rPr>
          <w:b/>
          <w:bCs/>
        </w:rPr>
        <w:t xml:space="preserve"> short-term debt</w:t>
      </w:r>
      <w:r w:rsidR="00373C29">
        <w:rPr>
          <w:b/>
          <w:bCs/>
        </w:rPr>
        <w:t xml:space="preserve"> been included</w:t>
      </w:r>
      <w:r w:rsidR="005B5861" w:rsidRPr="00AF3369">
        <w:rPr>
          <w:b/>
          <w:bCs/>
        </w:rPr>
        <w:t xml:space="preserve"> as part of the capital structure?</w:t>
      </w:r>
    </w:p>
    <w:p w:rsidR="004179FC" w:rsidRDefault="00373C29" w:rsidP="005B5861">
      <w:pPr>
        <w:widowControl w:val="0"/>
        <w:numPr>
          <w:ilvl w:val="0"/>
          <w:numId w:val="41"/>
        </w:numPr>
        <w:tabs>
          <w:tab w:val="num" w:pos="720"/>
        </w:tabs>
        <w:ind w:hanging="720"/>
      </w:pPr>
      <w:r>
        <w:t xml:space="preserve">No.  </w:t>
      </w:r>
      <w:r w:rsidR="005B5861">
        <w:t xml:space="preserve">The Company </w:t>
      </w:r>
      <w:r w:rsidR="004179FC">
        <w:t xml:space="preserve">does not expect to have short-term debt </w:t>
      </w:r>
      <w:r w:rsidR="00A82951">
        <w:t>at any of the quarter</w:t>
      </w:r>
      <w:r w:rsidR="005E3B8B">
        <w:t>-</w:t>
      </w:r>
      <w:r w:rsidR="00A82951">
        <w:t xml:space="preserve">ends </w:t>
      </w:r>
      <w:r w:rsidR="004179FC">
        <w:t xml:space="preserve">during the period ending </w:t>
      </w:r>
      <w:r w:rsidR="00A82951">
        <w:t>June 30</w:t>
      </w:r>
      <w:r w:rsidR="004179FC">
        <w:t>, 201</w:t>
      </w:r>
      <w:r w:rsidR="00A82951">
        <w:t>3</w:t>
      </w:r>
      <w:r w:rsidR="005E3B8B">
        <w:t>,</w:t>
      </w:r>
      <w:r w:rsidR="00A04B45">
        <w:t xml:space="preserve"> </w:t>
      </w:r>
      <w:r>
        <w:t>n</w:t>
      </w:r>
      <w:r w:rsidR="00A04B45">
        <w:t>or</w:t>
      </w:r>
      <w:r>
        <w:t xml:space="preserve"> </w:t>
      </w:r>
      <w:r w:rsidR="00A04B45">
        <w:t xml:space="preserve">in any significant amount at </w:t>
      </w:r>
      <w:r w:rsidR="005E3B8B">
        <w:t xml:space="preserve">any of the </w:t>
      </w:r>
      <w:r w:rsidR="00A04B45">
        <w:t>month</w:t>
      </w:r>
      <w:r w:rsidR="005E3B8B">
        <w:t>-</w:t>
      </w:r>
      <w:r w:rsidR="00A04B45">
        <w:t>ends during this period.</w:t>
      </w:r>
    </w:p>
    <w:p w:rsidR="00777891" w:rsidRDefault="009B5C07">
      <w:pPr>
        <w:widowControl w:val="0"/>
        <w:rPr>
          <w:b/>
        </w:rPr>
      </w:pPr>
      <w:r w:rsidRPr="009B5C07">
        <w:rPr>
          <w:b/>
        </w:rPr>
        <w:t>Q.</w:t>
      </w:r>
      <w:r w:rsidRPr="009B5C07">
        <w:rPr>
          <w:b/>
        </w:rPr>
        <w:tab/>
      </w:r>
      <w:r w:rsidR="005E3B8B">
        <w:rPr>
          <w:b/>
        </w:rPr>
        <w:t>Is</w:t>
      </w:r>
      <w:r w:rsidR="005E3B8B" w:rsidRPr="009B5C07">
        <w:rPr>
          <w:b/>
        </w:rPr>
        <w:t xml:space="preserve"> </w:t>
      </w:r>
      <w:r w:rsidRPr="009B5C07">
        <w:rPr>
          <w:b/>
        </w:rPr>
        <w:t>the Company concern</w:t>
      </w:r>
      <w:r w:rsidR="005E3B8B">
        <w:rPr>
          <w:b/>
        </w:rPr>
        <w:t>ed</w:t>
      </w:r>
      <w:r w:rsidRPr="009B5C07">
        <w:rPr>
          <w:b/>
        </w:rPr>
        <w:t xml:space="preserve"> about the fairness of </w:t>
      </w:r>
      <w:r w:rsidR="005E3B8B">
        <w:rPr>
          <w:b/>
        </w:rPr>
        <w:t>including</w:t>
      </w:r>
      <w:r w:rsidRPr="009B5C07">
        <w:rPr>
          <w:b/>
        </w:rPr>
        <w:t xml:space="preserve"> short-term debt in the capital structure?</w:t>
      </w:r>
    </w:p>
    <w:p w:rsidR="00A12270" w:rsidRDefault="00833FC1" w:rsidP="00A12270">
      <w:pPr>
        <w:widowControl w:val="0"/>
      </w:pPr>
      <w:r>
        <w:t>A.</w:t>
      </w:r>
      <w:r>
        <w:tab/>
        <w:t>Yes.  T</w:t>
      </w:r>
      <w:r w:rsidR="005B5861">
        <w:t>he Company continues to believe that it is inappropriate and inequitable to include short-term debt in the capital structure for PacifiCorp</w:t>
      </w:r>
      <w:r w:rsidR="005B5861" w:rsidRPr="0043315A">
        <w:t xml:space="preserve"> </w:t>
      </w:r>
      <w:r w:rsidR="005E3B8B">
        <w:t>because</w:t>
      </w:r>
      <w:r w:rsidR="00A7422C">
        <w:t xml:space="preserve"> </w:t>
      </w:r>
      <w:r w:rsidR="005B5861">
        <w:t xml:space="preserve">short-term debt </w:t>
      </w:r>
      <w:r w:rsidR="00A7422C">
        <w:t xml:space="preserve">would </w:t>
      </w:r>
      <w:r w:rsidR="005B5861">
        <w:t>effectively be double-counted as financing both rate base and construction work</w:t>
      </w:r>
      <w:r w:rsidR="00373C29">
        <w:t>-</w:t>
      </w:r>
      <w:r w:rsidR="005B5861">
        <w:t>in</w:t>
      </w:r>
      <w:r w:rsidR="00373C29">
        <w:t>-</w:t>
      </w:r>
      <w:r w:rsidR="005B5861">
        <w:t xml:space="preserve">progress.  To remedy this inconsistency, PacifiCorp would need to deviate from the </w:t>
      </w:r>
      <w:r w:rsidR="005E3B8B">
        <w:t xml:space="preserve">method prescribed by the </w:t>
      </w:r>
      <w:r w:rsidR="005B5861">
        <w:t xml:space="preserve">Federal Energy Regulatory Commission </w:t>
      </w:r>
      <w:r w:rsidR="002E00AA">
        <w:t xml:space="preserve">that includes short-term debt in the measurement of </w:t>
      </w:r>
      <w:r w:rsidR="005B5861">
        <w:t>the allowance for funds used during construction</w:t>
      </w:r>
      <w:r w:rsidR="00964668">
        <w:t xml:space="preserve"> (AFUDC)</w:t>
      </w:r>
      <w:r w:rsidR="005B5861">
        <w:t xml:space="preserve">.  Unfortunately, this is not a practical solution </w:t>
      </w:r>
      <w:r w:rsidR="005E3B8B">
        <w:t xml:space="preserve">because </w:t>
      </w:r>
      <w:r w:rsidR="002E00AA">
        <w:t>none of PacifiCorp’s other states include short-term debt in the capital structure.  PacifiCorp would need to maintain two set of property records, tax records</w:t>
      </w:r>
      <w:r w:rsidR="005E3B8B">
        <w:t>,</w:t>
      </w:r>
      <w:r w:rsidR="002E00AA">
        <w:t xml:space="preserve"> and </w:t>
      </w:r>
      <w:r w:rsidR="00964668">
        <w:t>AFUDC</w:t>
      </w:r>
      <w:r w:rsidR="002E00AA">
        <w:t xml:space="preserve"> computations to comply with these divergent approaches.</w:t>
      </w:r>
    </w:p>
    <w:p w:rsidR="00A12270" w:rsidRDefault="005B5861" w:rsidP="00964668">
      <w:r>
        <w:tab/>
      </w:r>
      <w:r w:rsidR="00665862">
        <w:tab/>
      </w:r>
      <w:r>
        <w:t xml:space="preserve">Further, </w:t>
      </w:r>
      <w:r w:rsidR="00A7422C">
        <w:t>s</w:t>
      </w:r>
      <w:r>
        <w:t xml:space="preserve">hort-term balances can </w:t>
      </w:r>
      <w:r w:rsidR="00E6311C">
        <w:t xml:space="preserve">vary </w:t>
      </w:r>
      <w:r>
        <w:t>dramatically</w:t>
      </w:r>
      <w:r w:rsidR="00E6311C">
        <w:t>.</w:t>
      </w:r>
      <w:r>
        <w:t xml:space="preserve"> </w:t>
      </w:r>
      <w:r w:rsidR="00E6311C">
        <w:t>T</w:t>
      </w:r>
      <w:r>
        <w:t>he Company often has periods of time when there is no short-term debt outstanding</w:t>
      </w:r>
      <w:r w:rsidR="00D06EA2">
        <w:t>.  For example</w:t>
      </w:r>
      <w:r w:rsidR="00A7422C">
        <w:t>,</w:t>
      </w:r>
      <w:r w:rsidR="00D06EA2">
        <w:t xml:space="preserve"> PacifiCorp has had no short-term debt outstanding at month end since February, 2012.</w:t>
      </w:r>
      <w:r>
        <w:t xml:space="preserve">  The fact that there are periods of time with no short-term debt demonstrates that short-term debt is not a permanent source of financing rate base.  The Company will continue to evaluate this treatment of short-term debt and may request the Commission to reconsider it in future cases</w:t>
      </w:r>
      <w:r w:rsidR="00964668">
        <w:t>.</w:t>
      </w:r>
    </w:p>
    <w:p w:rsidR="00A12270" w:rsidRDefault="00080F72" w:rsidP="002E7574">
      <w:pPr>
        <w:pStyle w:val="Heading1"/>
      </w:pPr>
      <w:bookmarkStart w:id="5" w:name="_Toc345503692"/>
      <w:r>
        <w:t>Historical</w:t>
      </w:r>
      <w:r w:rsidR="00A82951" w:rsidRPr="00A82951">
        <w:t xml:space="preserve"> Adjustments to Capital Structure</w:t>
      </w:r>
      <w:bookmarkEnd w:id="5"/>
    </w:p>
    <w:p w:rsidR="00A12270" w:rsidRDefault="00964668" w:rsidP="00A12270">
      <w:pPr>
        <w:widowControl w:val="0"/>
        <w:rPr>
          <w:b/>
        </w:rPr>
      </w:pPr>
      <w:r>
        <w:rPr>
          <w:b/>
        </w:rPr>
        <w:t>Q.</w:t>
      </w:r>
      <w:r w:rsidR="00A82951">
        <w:rPr>
          <w:b/>
        </w:rPr>
        <w:tab/>
        <w:t xml:space="preserve">Did other parties propose adjustments to the Company’s actual capital structure in </w:t>
      </w:r>
      <w:r w:rsidR="00FA46A0">
        <w:rPr>
          <w:b/>
        </w:rPr>
        <w:t>the 2010 Rate Case</w:t>
      </w:r>
      <w:r w:rsidR="00A82951">
        <w:rPr>
          <w:b/>
        </w:rPr>
        <w:t>?</w:t>
      </w:r>
    </w:p>
    <w:p w:rsidR="00A12270" w:rsidRDefault="00A82951" w:rsidP="00A12270">
      <w:pPr>
        <w:widowControl w:val="0"/>
      </w:pPr>
      <w:r w:rsidRPr="00A82951">
        <w:t>A.</w:t>
      </w:r>
      <w:r w:rsidRPr="00A82951">
        <w:tab/>
      </w:r>
      <w:r>
        <w:t xml:space="preserve">Yes.  Staff and </w:t>
      </w:r>
      <w:r w:rsidR="004A3FE7">
        <w:t xml:space="preserve">the </w:t>
      </w:r>
      <w:r>
        <w:t>I</w:t>
      </w:r>
      <w:r w:rsidR="002E4ED7">
        <w:t xml:space="preserve">ndustrial </w:t>
      </w:r>
      <w:r>
        <w:t>C</w:t>
      </w:r>
      <w:r w:rsidR="002E4ED7">
        <w:t xml:space="preserve">ustomers of </w:t>
      </w:r>
      <w:r>
        <w:t>N</w:t>
      </w:r>
      <w:r w:rsidR="002E4ED7">
        <w:t xml:space="preserve">orthwest </w:t>
      </w:r>
      <w:r>
        <w:t>U</w:t>
      </w:r>
      <w:r w:rsidR="002E4ED7">
        <w:t>tilities (ICNU)</w:t>
      </w:r>
      <w:r>
        <w:t xml:space="preserve"> each proposed a series of separate adjustments that </w:t>
      </w:r>
      <w:r w:rsidR="00373C29">
        <w:t xml:space="preserve">would have </w:t>
      </w:r>
      <w:r>
        <w:t>reduced the Company’s common equity component.</w:t>
      </w:r>
    </w:p>
    <w:p w:rsidR="00CA069B" w:rsidRDefault="00A82951" w:rsidP="00CA069B">
      <w:pPr>
        <w:keepNext/>
        <w:widowControl w:val="0"/>
        <w:rPr>
          <w:b/>
        </w:rPr>
      </w:pPr>
      <w:r>
        <w:rPr>
          <w:b/>
        </w:rPr>
        <w:t>Q.</w:t>
      </w:r>
      <w:r>
        <w:rPr>
          <w:b/>
        </w:rPr>
        <w:tab/>
        <w:t xml:space="preserve">Did the Commission address </w:t>
      </w:r>
      <w:r w:rsidR="004A3FE7">
        <w:rPr>
          <w:b/>
        </w:rPr>
        <w:t>Staff</w:t>
      </w:r>
      <w:r>
        <w:rPr>
          <w:b/>
        </w:rPr>
        <w:t xml:space="preserve">’s adjustments in its </w:t>
      </w:r>
      <w:r w:rsidR="003E6D8E">
        <w:rPr>
          <w:b/>
        </w:rPr>
        <w:t xml:space="preserve">order in </w:t>
      </w:r>
      <w:r w:rsidR="00FA46A0">
        <w:rPr>
          <w:b/>
        </w:rPr>
        <w:t>the 2010 Rate Case</w:t>
      </w:r>
      <w:r>
        <w:rPr>
          <w:b/>
        </w:rPr>
        <w:t>?</w:t>
      </w:r>
    </w:p>
    <w:p w:rsidR="002E4ED7" w:rsidRPr="002E4ED7" w:rsidRDefault="00A82951" w:rsidP="006C5A6B">
      <w:pPr>
        <w:widowControl w:val="0"/>
      </w:pPr>
      <w:r>
        <w:t>A.</w:t>
      </w:r>
      <w:r>
        <w:tab/>
        <w:t>Yes, the order states</w:t>
      </w:r>
      <w:r w:rsidR="0041706E">
        <w:t>, “[w]</w:t>
      </w:r>
      <w:r>
        <w:t>e are not persuaded, in this case, by Staff’s arguments to impute short-term debt in the Company’s hypothetical capital structure</w:t>
      </w:r>
      <w:r w:rsidR="00CD79C3">
        <w:t xml:space="preserve">.”  The Commission </w:t>
      </w:r>
      <w:r w:rsidR="004A3FE7">
        <w:t>further stated</w:t>
      </w:r>
      <w:r w:rsidR="00CD79C3">
        <w:t xml:space="preserve"> that they were not persuaded that the Company’s </w:t>
      </w:r>
      <w:r w:rsidR="000A00C8">
        <w:t>“</w:t>
      </w:r>
      <w:r w:rsidR="00CD79C3">
        <w:t>actual capital structure contains such short-term debt.”</w:t>
      </w:r>
      <w:r w:rsidR="000A00C8">
        <w:t xml:space="preserve">  </w:t>
      </w:r>
      <w:r w:rsidR="004A3FE7">
        <w:t>In this</w:t>
      </w:r>
      <w:r w:rsidR="000A00C8">
        <w:t xml:space="preserve"> case</w:t>
      </w:r>
      <w:r w:rsidR="004A3FE7">
        <w:t>,</w:t>
      </w:r>
      <w:r w:rsidR="000A00C8">
        <w:t xml:space="preserve"> the Company’s actual capital structure also does not contain short-term debt.</w:t>
      </w:r>
    </w:p>
    <w:p w:rsidR="006C5A6B" w:rsidRDefault="000A00C8" w:rsidP="006C5A6B">
      <w:pPr>
        <w:widowControl w:val="0"/>
        <w:rPr>
          <w:b/>
        </w:rPr>
      </w:pPr>
      <w:r w:rsidRPr="000A00C8">
        <w:rPr>
          <w:b/>
        </w:rPr>
        <w:t>Q.</w:t>
      </w:r>
      <w:r w:rsidR="00CD79C3" w:rsidRPr="000A00C8">
        <w:rPr>
          <w:b/>
        </w:rPr>
        <w:t xml:space="preserve"> </w:t>
      </w:r>
      <w:r>
        <w:rPr>
          <w:b/>
        </w:rPr>
        <w:tab/>
      </w:r>
      <w:r w:rsidR="002E4ED7">
        <w:rPr>
          <w:b/>
        </w:rPr>
        <w:t xml:space="preserve">What is </w:t>
      </w:r>
      <w:r w:rsidR="00EB7A42">
        <w:rPr>
          <w:b/>
        </w:rPr>
        <w:t>the Company</w:t>
      </w:r>
      <w:r w:rsidR="002E4ED7">
        <w:rPr>
          <w:b/>
        </w:rPr>
        <w:t>’s assessment of</w:t>
      </w:r>
      <w:r>
        <w:rPr>
          <w:b/>
        </w:rPr>
        <w:t xml:space="preserve"> </w:t>
      </w:r>
      <w:r w:rsidR="004A3FE7">
        <w:rPr>
          <w:b/>
        </w:rPr>
        <w:t>ICNU</w:t>
      </w:r>
      <w:r>
        <w:rPr>
          <w:b/>
        </w:rPr>
        <w:t>’s proposed adjustments in</w:t>
      </w:r>
      <w:r w:rsidR="00FA46A0">
        <w:rPr>
          <w:b/>
        </w:rPr>
        <w:t xml:space="preserve"> the 2010 Rate Case</w:t>
      </w:r>
      <w:r>
        <w:rPr>
          <w:b/>
        </w:rPr>
        <w:t>?</w:t>
      </w:r>
    </w:p>
    <w:p w:rsidR="000259B0" w:rsidRDefault="00A12270" w:rsidP="000259B0">
      <w:pPr>
        <w:widowControl w:val="0"/>
      </w:pPr>
      <w:r>
        <w:t>A.</w:t>
      </w:r>
      <w:r>
        <w:tab/>
      </w:r>
      <w:r w:rsidR="004A3FE7">
        <w:t xml:space="preserve">ICNU’s </w:t>
      </w:r>
      <w:r w:rsidR="002E4ED7">
        <w:t>adjustments were</w:t>
      </w:r>
      <w:r w:rsidR="000A00C8">
        <w:t xml:space="preserve"> inappropriate</w:t>
      </w:r>
      <w:r w:rsidR="009F3298">
        <w:t xml:space="preserve">, </w:t>
      </w:r>
      <w:r w:rsidR="004A3FE7">
        <w:t xml:space="preserve">were </w:t>
      </w:r>
      <w:r w:rsidR="000A00C8">
        <w:t>not founded on facts</w:t>
      </w:r>
      <w:r w:rsidR="004A3FE7">
        <w:t>,</w:t>
      </w:r>
      <w:r w:rsidR="009F3298">
        <w:t xml:space="preserve"> and do not reflect other offsetting adjustments that would need to be made</w:t>
      </w:r>
      <w:r w:rsidR="000A00C8">
        <w:t xml:space="preserve">.  For example, one of </w:t>
      </w:r>
      <w:r w:rsidR="004A3FE7">
        <w:t>ICNU</w:t>
      </w:r>
      <w:r w:rsidR="000A00C8">
        <w:t xml:space="preserve">’s most significant adjustments was to exclude the acquisition adjustments related to the Craig and Wyodak generating plants due to the </w:t>
      </w:r>
      <w:r w:rsidR="004A3FE7">
        <w:t xml:space="preserve">West Control Area </w:t>
      </w:r>
      <w:r w:rsidR="00745AF1">
        <w:t>inter-jurisdictional</w:t>
      </w:r>
      <w:r w:rsidR="004A3FE7">
        <w:t xml:space="preserve"> allocation </w:t>
      </w:r>
      <w:r w:rsidR="000A00C8">
        <w:t xml:space="preserve">methodology.  </w:t>
      </w:r>
      <w:r w:rsidR="009F3298">
        <w:t xml:space="preserve">However, </w:t>
      </w:r>
      <w:r w:rsidR="004A3FE7">
        <w:t xml:space="preserve">ICNU did not </w:t>
      </w:r>
      <w:r w:rsidR="00981DA5">
        <w:t xml:space="preserve">remove </w:t>
      </w:r>
      <w:r w:rsidR="009F3298">
        <w:t>from the cost of debt the low cost pollution control revenue bond financings that are associated with these plants.  Removal of these financing</w:t>
      </w:r>
      <w:r w:rsidR="006C5A6B">
        <w:t>s</w:t>
      </w:r>
      <w:r w:rsidR="009F3298">
        <w:t xml:space="preserve"> </w:t>
      </w:r>
      <w:r w:rsidR="00981DA5">
        <w:t>would have produced</w:t>
      </w:r>
      <w:r w:rsidR="009F3298">
        <w:t xml:space="preserve"> a higher cost of debt since </w:t>
      </w:r>
      <w:r w:rsidR="004A3FE7">
        <w:t>these bonds are</w:t>
      </w:r>
      <w:r w:rsidR="009F3298">
        <w:t xml:space="preserve"> among the C</w:t>
      </w:r>
      <w:r w:rsidR="00FA46A0">
        <w:t>ompany’s lowest cost financings.</w:t>
      </w:r>
    </w:p>
    <w:p w:rsidR="00CA069B" w:rsidRDefault="00136ED8" w:rsidP="00CA069B">
      <w:pPr>
        <w:keepNext/>
        <w:rPr>
          <w:b/>
        </w:rPr>
      </w:pPr>
      <w:r w:rsidRPr="00136ED8">
        <w:rPr>
          <w:b/>
        </w:rPr>
        <w:t xml:space="preserve">Q. </w:t>
      </w:r>
      <w:r w:rsidRPr="00136ED8">
        <w:rPr>
          <w:b/>
        </w:rPr>
        <w:tab/>
        <w:t xml:space="preserve">Have you estimated the resulting impact on the Company’s </w:t>
      </w:r>
      <w:r w:rsidR="00981DA5">
        <w:rPr>
          <w:b/>
        </w:rPr>
        <w:t xml:space="preserve">current </w:t>
      </w:r>
      <w:r w:rsidRPr="00136ED8">
        <w:rPr>
          <w:b/>
        </w:rPr>
        <w:t xml:space="preserve">cost of debt </w:t>
      </w:r>
      <w:r w:rsidR="004A3FE7">
        <w:rPr>
          <w:b/>
        </w:rPr>
        <w:t>if this</w:t>
      </w:r>
      <w:r w:rsidRPr="00136ED8">
        <w:rPr>
          <w:b/>
        </w:rPr>
        <w:t xml:space="preserve"> corresponding adjustment </w:t>
      </w:r>
      <w:r w:rsidR="004A3FE7">
        <w:rPr>
          <w:b/>
        </w:rPr>
        <w:t>were</w:t>
      </w:r>
      <w:r w:rsidR="004A3FE7" w:rsidRPr="00136ED8">
        <w:rPr>
          <w:b/>
        </w:rPr>
        <w:t xml:space="preserve"> </w:t>
      </w:r>
      <w:r w:rsidRPr="00136ED8">
        <w:rPr>
          <w:b/>
        </w:rPr>
        <w:t>made?</w:t>
      </w:r>
    </w:p>
    <w:p w:rsidR="00CA069B" w:rsidRDefault="007224C3" w:rsidP="00CA069B">
      <w:r w:rsidRPr="007224C3">
        <w:t>A.</w:t>
      </w:r>
      <w:r w:rsidRPr="007224C3">
        <w:tab/>
      </w:r>
      <w:r>
        <w:t>Yes.  Removal of the financings directly associated with the Craig</w:t>
      </w:r>
      <w:r w:rsidR="00626CA0">
        <w:t>,</w:t>
      </w:r>
      <w:r>
        <w:t xml:space="preserve"> Wyodak</w:t>
      </w:r>
      <w:r w:rsidR="004A3FE7">
        <w:t>,</w:t>
      </w:r>
      <w:r>
        <w:t xml:space="preserve"> </w:t>
      </w:r>
      <w:r w:rsidR="00626CA0">
        <w:t>and other non</w:t>
      </w:r>
      <w:r w:rsidR="00981DA5">
        <w:t>-</w:t>
      </w:r>
      <w:r w:rsidR="00351759">
        <w:t>w</w:t>
      </w:r>
      <w:r w:rsidR="0041706E">
        <w:t>est-</w:t>
      </w:r>
      <w:r w:rsidR="00351759">
        <w:t>c</w:t>
      </w:r>
      <w:r w:rsidR="0041706E">
        <w:t>ontrol-</w:t>
      </w:r>
      <w:r w:rsidR="00351759">
        <w:t>a</w:t>
      </w:r>
      <w:r w:rsidR="004A3FE7">
        <w:t>rea</w:t>
      </w:r>
      <w:r w:rsidR="00626CA0">
        <w:t xml:space="preserve"> </w:t>
      </w:r>
      <w:r>
        <w:t>plants would increase the Company’s cost of debt by</w:t>
      </w:r>
      <w:r w:rsidR="00626CA0">
        <w:t xml:space="preserve"> 1</w:t>
      </w:r>
      <w:r w:rsidR="00A04B45">
        <w:t>7</w:t>
      </w:r>
      <w:r w:rsidR="00626CA0">
        <w:t xml:space="preserve"> basis points (0.1</w:t>
      </w:r>
      <w:r w:rsidR="00A04B45">
        <w:t>7</w:t>
      </w:r>
      <w:r w:rsidR="00626CA0">
        <w:t xml:space="preserve"> percent) to 5.5</w:t>
      </w:r>
      <w:r w:rsidR="009A2E05">
        <w:t>4</w:t>
      </w:r>
      <w:r w:rsidR="00626CA0">
        <w:t xml:space="preserve"> percent.</w:t>
      </w:r>
      <w:r w:rsidR="002E00AA">
        <w:t xml:space="preserve">  The pro forma impact could be more significant depending on what alternative financing arrangements are assumed.</w:t>
      </w:r>
    </w:p>
    <w:p w:rsidR="00626CA0" w:rsidRPr="006C5A6B" w:rsidRDefault="00626CA0" w:rsidP="00321E51">
      <w:pPr>
        <w:widowControl w:val="0"/>
        <w:rPr>
          <w:b/>
        </w:rPr>
      </w:pPr>
      <w:r w:rsidRPr="006C5A6B">
        <w:rPr>
          <w:b/>
        </w:rPr>
        <w:t>Q.</w:t>
      </w:r>
      <w:r w:rsidRPr="006C5A6B">
        <w:rPr>
          <w:b/>
        </w:rPr>
        <w:tab/>
        <w:t>Is the Company proposing this</w:t>
      </w:r>
      <w:r w:rsidR="002E00AA">
        <w:rPr>
          <w:b/>
        </w:rPr>
        <w:t xml:space="preserve"> </w:t>
      </w:r>
      <w:r w:rsidRPr="006C5A6B">
        <w:rPr>
          <w:b/>
        </w:rPr>
        <w:t>as the cost of debt?</w:t>
      </w:r>
    </w:p>
    <w:p w:rsidR="00823691" w:rsidRDefault="00626CA0" w:rsidP="00321E51">
      <w:pPr>
        <w:widowControl w:val="0"/>
        <w:tabs>
          <w:tab w:val="left" w:pos="1440"/>
          <w:tab w:val="right" w:pos="2880"/>
          <w:tab w:val="right" w:pos="4770"/>
          <w:tab w:val="right" w:pos="6480"/>
          <w:tab w:val="right" w:pos="8100"/>
        </w:tabs>
      </w:pPr>
      <w:r>
        <w:t>A.</w:t>
      </w:r>
      <w:r>
        <w:tab/>
        <w:t xml:space="preserve">No, not at this time.  However, the Company will reconsider </w:t>
      </w:r>
      <w:r w:rsidR="004A3FE7">
        <w:t>its position if parties</w:t>
      </w:r>
      <w:r>
        <w:t xml:space="preserve"> propose </w:t>
      </w:r>
      <w:r w:rsidR="006C5A6B">
        <w:t>a</w:t>
      </w:r>
      <w:r>
        <w:t xml:space="preserve">djustments </w:t>
      </w:r>
      <w:r w:rsidR="006C5A6B">
        <w:t xml:space="preserve">to capital structure </w:t>
      </w:r>
      <w:r w:rsidR="004A3FE7">
        <w:t>that do not include necessary corresponding adjustments</w:t>
      </w:r>
      <w:r w:rsidR="00FA46A0">
        <w:t>.</w:t>
      </w:r>
    </w:p>
    <w:p w:rsidR="00EE5416" w:rsidRDefault="00EE5416" w:rsidP="002E7574">
      <w:pPr>
        <w:pStyle w:val="Heading1"/>
      </w:pPr>
      <w:bookmarkStart w:id="6" w:name="_Toc345503693"/>
      <w:r>
        <w:t>Financing Overview</w:t>
      </w:r>
      <w:bookmarkEnd w:id="6"/>
    </w:p>
    <w:p w:rsidR="00785152" w:rsidRPr="00297E9F" w:rsidRDefault="00FA46A0" w:rsidP="00E45B69">
      <w:pPr>
        <w:rPr>
          <w:b/>
          <w:bCs/>
        </w:rPr>
      </w:pPr>
      <w:r>
        <w:rPr>
          <w:b/>
          <w:bCs/>
        </w:rPr>
        <w:t>Q.</w:t>
      </w:r>
      <w:r w:rsidR="00785152">
        <w:rPr>
          <w:b/>
          <w:bCs/>
        </w:rPr>
        <w:tab/>
        <w:t>Please explain the Company’s capital</w:t>
      </w:r>
      <w:r w:rsidR="00C27700">
        <w:rPr>
          <w:b/>
          <w:bCs/>
        </w:rPr>
        <w:t xml:space="preserve"> needs</w:t>
      </w:r>
      <w:r w:rsidR="00F51489">
        <w:rPr>
          <w:b/>
          <w:bCs/>
        </w:rPr>
        <w:t>.</w:t>
      </w:r>
    </w:p>
    <w:p w:rsidR="00213FA0" w:rsidRPr="00213FA0" w:rsidRDefault="00785152" w:rsidP="00785655">
      <w:pPr>
        <w:pStyle w:val="BodyTextIndent"/>
        <w:rPr>
          <w:bCs/>
        </w:rPr>
      </w:pPr>
      <w:r w:rsidRPr="00297E9F">
        <w:t>A.</w:t>
      </w:r>
      <w:r w:rsidRPr="00297E9F">
        <w:tab/>
      </w:r>
      <w:r w:rsidR="00351759">
        <w:t>T</w:t>
      </w:r>
      <w:r w:rsidRPr="00297E9F">
        <w:t xml:space="preserve">he Company </w:t>
      </w:r>
      <w:r w:rsidR="00F51489">
        <w:t>continues to</w:t>
      </w:r>
      <w:r w:rsidR="00DD2EB4">
        <w:t xml:space="preserve"> have ongoing investment in </w:t>
      </w:r>
      <w:r w:rsidR="00351759">
        <w:t>generation, transmission and distribution infrastructure.</w:t>
      </w:r>
      <w:r w:rsidR="00DD2EB4">
        <w:t xml:space="preserve">  </w:t>
      </w:r>
      <w:r w:rsidR="00902CE6">
        <w:t>T</w:t>
      </w:r>
      <w:r>
        <w:t>h</w:t>
      </w:r>
      <w:r w:rsidR="00F349D1">
        <w:t xml:space="preserve">ese </w:t>
      </w:r>
      <w:r w:rsidR="00F51489">
        <w:t xml:space="preserve">and future </w:t>
      </w:r>
      <w:r w:rsidR="0079648E">
        <w:t xml:space="preserve">capital additions </w:t>
      </w:r>
      <w:r w:rsidR="00F349D1">
        <w:t xml:space="preserve">and </w:t>
      </w:r>
      <w:r>
        <w:t>investment</w:t>
      </w:r>
      <w:r w:rsidR="00F349D1">
        <w:t>s</w:t>
      </w:r>
      <w:r>
        <w:t xml:space="preserve"> will require the Company to raise funds </w:t>
      </w:r>
      <w:r w:rsidR="00F51489">
        <w:t>by</w:t>
      </w:r>
      <w:r>
        <w:t xml:space="preserve"> issuing significant amounts of new long-term debt in the capital markets</w:t>
      </w:r>
      <w:r w:rsidR="00122483">
        <w:t>.</w:t>
      </w:r>
      <w:r>
        <w:t xml:space="preserve"> </w:t>
      </w:r>
      <w:r w:rsidR="004A3FE7">
        <w:t xml:space="preserve"> </w:t>
      </w:r>
      <w:r w:rsidR="00122483">
        <w:t>To help obtain this new debt financing at attractive rates</w:t>
      </w:r>
      <w:r w:rsidR="004A3FE7">
        <w:t>,</w:t>
      </w:r>
      <w:r w:rsidR="00122483">
        <w:t xml:space="preserve"> the Company is maintaining a balanced capital structure </w:t>
      </w:r>
      <w:r w:rsidR="00397135">
        <w:t xml:space="preserve">intended to </w:t>
      </w:r>
      <w:r w:rsidR="00122483">
        <w:t xml:space="preserve">support current credit ratings.  </w:t>
      </w:r>
      <w:r w:rsidR="00D36583">
        <w:t xml:space="preserve">These actions help </w:t>
      </w:r>
      <w:r w:rsidR="00B01908">
        <w:t xml:space="preserve">to </w:t>
      </w:r>
      <w:r w:rsidR="00D36583">
        <w:t>ensure that PacifiCorp remains well</w:t>
      </w:r>
      <w:r w:rsidR="00FA46A0">
        <w:t xml:space="preserve"> </w:t>
      </w:r>
      <w:r w:rsidR="00D36583">
        <w:t xml:space="preserve">positioned to </w:t>
      </w:r>
      <w:r w:rsidR="00397135">
        <w:t>finance</w:t>
      </w:r>
      <w:r w:rsidR="00D36583">
        <w:t xml:space="preserve"> the additional investments that have been and will continue to be made in the system</w:t>
      </w:r>
      <w:r w:rsidR="002B2A80">
        <w:t xml:space="preserve"> at reasonable costs to customers</w:t>
      </w:r>
      <w:r w:rsidR="00D36583">
        <w:t xml:space="preserve">. </w:t>
      </w:r>
    </w:p>
    <w:p w:rsidR="00785152" w:rsidRDefault="00213FA0" w:rsidP="00E45B69">
      <w:pPr>
        <w:pStyle w:val="BodyTextIndent"/>
        <w:numPr>
          <w:ilvl w:val="0"/>
          <w:numId w:val="28"/>
        </w:numPr>
        <w:rPr>
          <w:b/>
          <w:bCs/>
        </w:rPr>
      </w:pPr>
      <w:r>
        <w:rPr>
          <w:b/>
          <w:bCs/>
        </w:rPr>
        <w:t xml:space="preserve">What type of debt and preferred equity securities does the Company employ in meeting its financing requirements? </w:t>
      </w:r>
    </w:p>
    <w:p w:rsidR="00785152" w:rsidRDefault="00785152" w:rsidP="00E45B69">
      <w:pPr>
        <w:pStyle w:val="BodyTextIndent"/>
        <w:widowControl w:val="0"/>
        <w:numPr>
          <w:ilvl w:val="0"/>
          <w:numId w:val="29"/>
        </w:numPr>
      </w:pPr>
      <w:r>
        <w:t>The Company relies on a mix of first mortgage</w:t>
      </w:r>
      <w:r w:rsidR="00516340">
        <w:t xml:space="preserve"> bonds, other secured debt, tax-</w:t>
      </w:r>
      <w:r>
        <w:t>exempt debt, unsecured debt</w:t>
      </w:r>
      <w:r w:rsidR="00C27700">
        <w:t>,</w:t>
      </w:r>
      <w:r>
        <w:t xml:space="preserve"> and preferred stock to meet its long-term financing requirements.</w:t>
      </w:r>
      <w:r w:rsidR="00C27700">
        <w:t xml:space="preserve"> </w:t>
      </w:r>
      <w:r w:rsidR="005B5861">
        <w:t xml:space="preserve"> These securities employ various maturities to provide flexibility and mitigate refinancing risks.</w:t>
      </w:r>
    </w:p>
    <w:p w:rsidR="00785152" w:rsidRDefault="00785152" w:rsidP="00E45B69">
      <w:pPr>
        <w:pStyle w:val="BodyTextIndent"/>
        <w:widowControl w:val="0"/>
        <w:ind w:firstLine="720"/>
      </w:pPr>
      <w:r>
        <w:t>The Company has co</w:t>
      </w:r>
      <w:r w:rsidR="00FB15DB">
        <w:t>mpleted</w:t>
      </w:r>
      <w:r>
        <w:t xml:space="preserve"> the majority of its long-term financing utilizing secured first mortgage bonds issued under the Mortgage Indenture dated January 9, 1989.  Exhibit</w:t>
      </w:r>
      <w:r w:rsidR="00B01908">
        <w:t xml:space="preserve"> No.__</w:t>
      </w:r>
      <w:r w:rsidR="00E637C4">
        <w:t>_</w:t>
      </w:r>
      <w:r w:rsidR="008F0A74">
        <w:t>(</w:t>
      </w:r>
      <w:r>
        <w:t>BNW</w:t>
      </w:r>
      <w:r w:rsidR="008F0A74">
        <w:t>-9)</w:t>
      </w:r>
      <w:r>
        <w:t xml:space="preserve"> shows that, </w:t>
      </w:r>
      <w:r w:rsidR="00C50049">
        <w:t>at</w:t>
      </w:r>
      <w:r w:rsidR="005B5861">
        <w:t xml:space="preserve"> </w:t>
      </w:r>
      <w:r w:rsidR="002B2A80">
        <w:t>June 30, 2013</w:t>
      </w:r>
      <w:r w:rsidR="005B5861">
        <w:t xml:space="preserve">, </w:t>
      </w:r>
      <w:r>
        <w:t>the Company is projected to have approximately $</w:t>
      </w:r>
      <w:r w:rsidR="004B52FB">
        <w:t>6</w:t>
      </w:r>
      <w:r w:rsidR="002B2A80">
        <w:t>.</w:t>
      </w:r>
      <w:r w:rsidR="004B52FB">
        <w:t>5</w:t>
      </w:r>
      <w:r>
        <w:t xml:space="preserve"> billion of first mortgage bonds outstanding, with an average cost of </w:t>
      </w:r>
      <w:r w:rsidR="004B52FB">
        <w:t>5</w:t>
      </w:r>
      <w:r w:rsidR="006031DF" w:rsidRPr="004B52FB">
        <w:t>.</w:t>
      </w:r>
      <w:r w:rsidR="004B52FB" w:rsidRPr="004B52FB">
        <w:t>69</w:t>
      </w:r>
      <w:r>
        <w:t xml:space="preserve"> percent</w:t>
      </w:r>
      <w:r w:rsidR="00F727C4">
        <w:t>.</w:t>
      </w:r>
      <w:r>
        <w:t xml:space="preserve">  Presently, all outstanding first mortgage bonds bear interest at fixed rates.  Proceeds from the issuance of the first mortgage bonds (and other financing instruments) are used to finance the combined utility operation</w:t>
      </w:r>
      <w:r w:rsidR="00EE5416">
        <w:t>.</w:t>
      </w:r>
    </w:p>
    <w:p w:rsidR="00785152" w:rsidRDefault="00785152" w:rsidP="008317F8">
      <w:pPr>
        <w:pStyle w:val="BodyTextIndent"/>
        <w:ind w:firstLine="720"/>
      </w:pPr>
      <w:r>
        <w:t>Another important source of financing has been the tax-exempt financing associated with certain qualifying equipment at power generation plants.  Under arrangements with local counties and other tax-exempt entities, the Company borrows the proceeds and guarantees the repaymen</w:t>
      </w:r>
      <w:r w:rsidR="00FA46A0">
        <w:t>t of the long-term debt to take </w:t>
      </w:r>
      <w:r>
        <w:t>advantage of the tax-exempt status</w:t>
      </w:r>
      <w:r w:rsidR="006E2438">
        <w:t xml:space="preserve"> of the other entities</w:t>
      </w:r>
      <w:r>
        <w:t xml:space="preserve"> in financings. </w:t>
      </w:r>
      <w:r w:rsidR="00C27700">
        <w:t xml:space="preserve"> </w:t>
      </w:r>
      <w:r w:rsidR="004B52FB">
        <w:t xml:space="preserve">As of </w:t>
      </w:r>
      <w:r w:rsidR="00397135">
        <w:t>June 30</w:t>
      </w:r>
      <w:r w:rsidR="00F727C4">
        <w:t>, 201</w:t>
      </w:r>
      <w:r w:rsidR="00397135">
        <w:t>3</w:t>
      </w:r>
      <w:r w:rsidR="00F727C4">
        <w:t>,</w:t>
      </w:r>
      <w:r w:rsidR="007D746C">
        <w:t xml:space="preserve"> </w:t>
      </w:r>
      <w:r>
        <w:t>the Company’s tax-exempt portfolio is projected to be $</w:t>
      </w:r>
      <w:r w:rsidR="004B52FB">
        <w:t>614</w:t>
      </w:r>
      <w:r w:rsidR="00C27700">
        <w:t> </w:t>
      </w:r>
      <w:r>
        <w:t>million in principal amount</w:t>
      </w:r>
      <w:r w:rsidR="00C27700">
        <w:t>,</w:t>
      </w:r>
      <w:r>
        <w:t xml:space="preserve"> with an average cost of </w:t>
      </w:r>
      <w:r w:rsidR="00F727C4">
        <w:t>2.</w:t>
      </w:r>
      <w:r w:rsidR="004B52FB">
        <w:t>05</w:t>
      </w:r>
      <w:r w:rsidR="006031DF">
        <w:t xml:space="preserve"> </w:t>
      </w:r>
      <w:r>
        <w:t>percent (</w:t>
      </w:r>
      <w:r w:rsidR="00B816E1">
        <w:t>including</w:t>
      </w:r>
      <w:r>
        <w:t xml:space="preserve"> the cost of issuance and credit enhancement)</w:t>
      </w:r>
      <w:r w:rsidR="00694A50">
        <w:t>.</w:t>
      </w:r>
    </w:p>
    <w:p w:rsidR="00CA069B" w:rsidRDefault="00321E51" w:rsidP="00CA069B">
      <w:pPr>
        <w:pStyle w:val="BodyTextIndent"/>
      </w:pPr>
      <w:r>
        <w:rPr>
          <w:b/>
          <w:bCs/>
        </w:rPr>
        <w:t xml:space="preserve"> </w:t>
      </w:r>
      <w:r w:rsidR="004017A0" w:rsidRPr="0047792C">
        <w:rPr>
          <w:b/>
          <w:bCs/>
        </w:rPr>
        <w:t>Q.</w:t>
      </w:r>
      <w:r w:rsidR="004017A0" w:rsidRPr="0047792C">
        <w:rPr>
          <w:b/>
          <w:bCs/>
        </w:rPr>
        <w:tab/>
      </w:r>
      <w:r w:rsidR="004017A0">
        <w:rPr>
          <w:b/>
          <w:bCs/>
        </w:rPr>
        <w:t>In the past, the Company retained all of its earnings to help finance capital investments.  Has the Company recently paid dividends to MEHC?</w:t>
      </w:r>
      <w:r w:rsidR="004017A0" w:rsidRPr="0047792C">
        <w:rPr>
          <w:b/>
          <w:bCs/>
        </w:rPr>
        <w:t xml:space="preserve"> </w:t>
      </w:r>
    </w:p>
    <w:p w:rsidR="004017A0" w:rsidRDefault="004017A0" w:rsidP="004017A0">
      <w:pPr>
        <w:pStyle w:val="BodyTextIndent"/>
        <w:tabs>
          <w:tab w:val="left" w:pos="0"/>
          <w:tab w:val="left" w:pos="720"/>
        </w:tabs>
        <w:ind w:hanging="630"/>
      </w:pPr>
      <w:r>
        <w:t>A.</w:t>
      </w:r>
      <w:r>
        <w:tab/>
        <w:t xml:space="preserve">Yes. </w:t>
      </w:r>
      <w:r w:rsidR="00C27700">
        <w:t xml:space="preserve"> </w:t>
      </w:r>
      <w:r>
        <w:t>Since the acquisition in 2006 by MEHC, the Company managed the capital structure through the timing and amount of long-term debt issuances and capital contributions</w:t>
      </w:r>
      <w:r w:rsidR="00C27700">
        <w:t xml:space="preserve">, </w:t>
      </w:r>
      <w:r>
        <w:t>while forgoing any common dividends for nearly five years.</w:t>
      </w:r>
    </w:p>
    <w:p w:rsidR="004017A0" w:rsidRDefault="004017A0" w:rsidP="004017A0">
      <w:pPr>
        <w:pStyle w:val="BodyTextIndent"/>
        <w:tabs>
          <w:tab w:val="left" w:pos="0"/>
          <w:tab w:val="left" w:pos="720"/>
        </w:tabs>
        <w:ind w:hanging="630"/>
      </w:pPr>
      <w:r>
        <w:tab/>
      </w:r>
      <w:r>
        <w:tab/>
        <w:t xml:space="preserve">More recently, the Company has initiated the payment of dividends to MEHC </w:t>
      </w:r>
      <w:r w:rsidR="00A7049A">
        <w:t xml:space="preserve">to maintain the common equity percentage in its capital structure below 53 percent </w:t>
      </w:r>
      <w:r>
        <w:t>and expects periodic dividend payments for the foreseeable future.  The proposed capital structure in this case includes the impact of dividends expected to be declared through the end of June 30, 2013.  In fact, absent these dividends</w:t>
      </w:r>
      <w:r w:rsidR="00C27700">
        <w:t>,</w:t>
      </w:r>
      <w:r>
        <w:t xml:space="preserve"> the Company’s capital structure would contain a higher level of common equity than the Company is proposing.</w:t>
      </w:r>
    </w:p>
    <w:p w:rsidR="00A30FED" w:rsidRDefault="00A30FED" w:rsidP="002E7574">
      <w:pPr>
        <w:pStyle w:val="Heading1"/>
      </w:pPr>
      <w:bookmarkStart w:id="7" w:name="_Toc345503694"/>
      <w:r>
        <w:t xml:space="preserve">Power </w:t>
      </w:r>
      <w:r w:rsidR="0041706E">
        <w:t xml:space="preserve">Purchase </w:t>
      </w:r>
      <w:r>
        <w:t>Agreements</w:t>
      </w:r>
      <w:bookmarkEnd w:id="7"/>
    </w:p>
    <w:p w:rsidR="00785152" w:rsidRDefault="00785152" w:rsidP="009F2D1B">
      <w:pPr>
        <w:pStyle w:val="BodyTextIndent"/>
        <w:widowControl w:val="0"/>
      </w:pPr>
      <w:r>
        <w:rPr>
          <w:b/>
          <w:bCs/>
        </w:rPr>
        <w:t xml:space="preserve">Q. </w:t>
      </w:r>
      <w:r>
        <w:rPr>
          <w:b/>
          <w:bCs/>
        </w:rPr>
        <w:tab/>
        <w:t xml:space="preserve">Is the Company subject to rating agency debt imputation associated with </w:t>
      </w:r>
      <w:r w:rsidR="00FA46A0">
        <w:rPr>
          <w:b/>
          <w:bCs/>
        </w:rPr>
        <w:t>power purchase a</w:t>
      </w:r>
      <w:r>
        <w:rPr>
          <w:b/>
          <w:bCs/>
        </w:rPr>
        <w:t>greements?</w:t>
      </w:r>
      <w:r>
        <w:t xml:space="preserve"> </w:t>
      </w:r>
    </w:p>
    <w:p w:rsidR="00785152" w:rsidRDefault="00785152" w:rsidP="009F2D1B">
      <w:pPr>
        <w:pStyle w:val="BodyTextIndent"/>
        <w:widowControl w:val="0"/>
      </w:pPr>
      <w:r>
        <w:t>A.</w:t>
      </w:r>
      <w:r>
        <w:tab/>
        <w:t xml:space="preserve">Yes.  Rating agencies and financial analysts consider </w:t>
      </w:r>
      <w:r w:rsidR="00673D6C">
        <w:t>p</w:t>
      </w:r>
      <w:r>
        <w:t xml:space="preserve">ower </w:t>
      </w:r>
      <w:r w:rsidR="00FA46A0">
        <w:t xml:space="preserve">purchase </w:t>
      </w:r>
      <w:r w:rsidR="00673D6C">
        <w:t>a</w:t>
      </w:r>
      <w:r>
        <w:t xml:space="preserve">greements (PPAs) to be debt-like and will impute debt and related interest when calculating financial ratios.  For example, S&amp;P will adjust the Company’s published financial results and </w:t>
      </w:r>
      <w:r w:rsidR="0009641E">
        <w:t>impute</w:t>
      </w:r>
      <w:r>
        <w:t xml:space="preserve"> debt</w:t>
      </w:r>
      <w:r w:rsidR="0009641E">
        <w:t xml:space="preserve"> balances</w:t>
      </w:r>
      <w:r>
        <w:t xml:space="preserve"> and interest </w:t>
      </w:r>
      <w:r w:rsidR="0009641E">
        <w:t xml:space="preserve">expense </w:t>
      </w:r>
      <w:r w:rsidR="00673D6C">
        <w:t>resulting from</w:t>
      </w:r>
      <w:r w:rsidR="0009641E">
        <w:t xml:space="preserve"> </w:t>
      </w:r>
      <w:r>
        <w:t xml:space="preserve">PPAs when assessing creditworthiness.  </w:t>
      </w:r>
      <w:r w:rsidR="00673D6C">
        <w:t>It does</w:t>
      </w:r>
      <w:r>
        <w:t xml:space="preserve"> so in order to obtain a more accurate assessment of a company’s financial commitments and fixed payments.  Exhibit </w:t>
      </w:r>
      <w:r w:rsidR="00FC3EFB">
        <w:t>No.</w:t>
      </w:r>
      <w:r w:rsidR="003D4B2D">
        <w:t>_</w:t>
      </w:r>
      <w:r w:rsidR="00B63011">
        <w:t>_</w:t>
      </w:r>
      <w:r w:rsidR="003D4B2D">
        <w:t>_</w:t>
      </w:r>
      <w:r>
        <w:t>(BNW-</w:t>
      </w:r>
      <w:r w:rsidR="008F0A74">
        <w:t>10</w:t>
      </w:r>
      <w:r>
        <w:t xml:space="preserve">) is the May </w:t>
      </w:r>
      <w:r w:rsidR="00673D6C">
        <w:t>7,</w:t>
      </w:r>
      <w:r>
        <w:t xml:space="preserve"> </w:t>
      </w:r>
      <w:r w:rsidR="00F379B6">
        <w:t>2007</w:t>
      </w:r>
      <w:r>
        <w:t xml:space="preserve"> publication by S&amp;P detailing its view of the debt aspects of PPAs</w:t>
      </w:r>
      <w:r w:rsidR="008E6938">
        <w:t>.</w:t>
      </w:r>
      <w:r>
        <w:t xml:space="preserve"> </w:t>
      </w:r>
    </w:p>
    <w:p w:rsidR="00CA069B" w:rsidRDefault="00785152" w:rsidP="00CA069B">
      <w:pPr>
        <w:pStyle w:val="BodyTextIndent"/>
        <w:keepNext/>
        <w:rPr>
          <w:b/>
          <w:bCs/>
        </w:rPr>
      </w:pPr>
      <w:r>
        <w:rPr>
          <w:b/>
          <w:bCs/>
        </w:rPr>
        <w:t>Q.</w:t>
      </w:r>
      <w:r>
        <w:rPr>
          <w:b/>
          <w:bCs/>
        </w:rPr>
        <w:tab/>
        <w:t xml:space="preserve">How does this </w:t>
      </w:r>
      <w:r w:rsidR="00C27700">
        <w:rPr>
          <w:b/>
          <w:bCs/>
        </w:rPr>
        <w:t xml:space="preserve">affect </w:t>
      </w:r>
      <w:r>
        <w:rPr>
          <w:b/>
          <w:bCs/>
        </w:rPr>
        <w:t xml:space="preserve">the Company? </w:t>
      </w:r>
    </w:p>
    <w:p w:rsidR="00CA069B" w:rsidRDefault="00FA46A0" w:rsidP="00CA069B">
      <w:pPr>
        <w:pStyle w:val="BodyText2"/>
        <w:spacing w:after="0"/>
      </w:pPr>
      <w:r>
        <w:t>A.</w:t>
      </w:r>
      <w:r w:rsidR="00785152">
        <w:tab/>
      </w:r>
      <w:r w:rsidR="00673D6C">
        <w:t>In the</w:t>
      </w:r>
      <w:r w:rsidR="00B816E1">
        <w:t>ir</w:t>
      </w:r>
      <w:r w:rsidR="00673D6C">
        <w:t xml:space="preserve"> </w:t>
      </w:r>
      <w:r w:rsidR="00C012A6">
        <w:t>Ratings Direct analysis of June 30, 2012 financial results</w:t>
      </w:r>
      <w:r w:rsidR="00673D6C">
        <w:t>,</w:t>
      </w:r>
      <w:r w:rsidR="00785152">
        <w:t xml:space="preserve"> S&amp;P </w:t>
      </w:r>
      <w:r w:rsidR="00C012A6">
        <w:t>included</w:t>
      </w:r>
      <w:r w:rsidR="00B816E1">
        <w:t xml:space="preserve"> approximately</w:t>
      </w:r>
      <w:r w:rsidR="00785152">
        <w:t xml:space="preserve"> $</w:t>
      </w:r>
      <w:r w:rsidR="00C012A6">
        <w:t>229</w:t>
      </w:r>
      <w:r w:rsidR="00785152">
        <w:t xml:space="preserve"> million of additional debt and related interest expense </w:t>
      </w:r>
      <w:r w:rsidR="00C27700">
        <w:t xml:space="preserve">in </w:t>
      </w:r>
      <w:r w:rsidR="004E21CB">
        <w:t>the Company’s</w:t>
      </w:r>
      <w:r w:rsidR="00785152">
        <w:t xml:space="preserve"> debt and coverage tests </w:t>
      </w:r>
      <w:r w:rsidR="00673D6C">
        <w:t xml:space="preserve">solely </w:t>
      </w:r>
      <w:r w:rsidR="00785152">
        <w:t xml:space="preserve">as a result of PPAs. </w:t>
      </w:r>
      <w:r w:rsidR="00C27700">
        <w:t xml:space="preserve"> </w:t>
      </w:r>
      <w:r w:rsidR="00142D02">
        <w:t>There were also other adjustments made by S&amp;P that resulted in an imputation into PacifiCorp’s credit ratios of approximately $</w:t>
      </w:r>
      <w:r w:rsidR="00C012A6">
        <w:t>850 million</w:t>
      </w:r>
      <w:r w:rsidR="00142D02">
        <w:t xml:space="preserve"> of debt and $</w:t>
      </w:r>
      <w:r w:rsidR="009A2E05">
        <w:t>19</w:t>
      </w:r>
      <w:r w:rsidR="002B3581">
        <w:t xml:space="preserve"> </w:t>
      </w:r>
      <w:r w:rsidR="00142D02">
        <w:t xml:space="preserve">million of interest in total.  These adjustments are detailed </w:t>
      </w:r>
      <w:r w:rsidR="00C012A6">
        <w:t>in Exhibit</w:t>
      </w:r>
      <w:r w:rsidR="002B3581">
        <w:t xml:space="preserve"> No.__</w:t>
      </w:r>
      <w:r w:rsidR="00CB5206">
        <w:t>_</w:t>
      </w:r>
      <w:r w:rsidR="002B3581">
        <w:t>(</w:t>
      </w:r>
      <w:r>
        <w:t>BNW</w:t>
      </w:r>
      <w:r w:rsidR="008F0A74">
        <w:t>-11</w:t>
      </w:r>
      <w:r w:rsidR="00D44F36">
        <w:t>)</w:t>
      </w:r>
      <w:r w:rsidR="008E6938">
        <w:t>.</w:t>
      </w:r>
    </w:p>
    <w:p w:rsidR="00CA069B" w:rsidRDefault="00FA46A0" w:rsidP="00CA069B">
      <w:pPr>
        <w:pStyle w:val="BodyText2"/>
        <w:spacing w:after="0"/>
        <w:rPr>
          <w:b/>
          <w:bCs/>
        </w:rPr>
      </w:pPr>
      <w:r>
        <w:rPr>
          <w:b/>
          <w:bCs/>
        </w:rPr>
        <w:t>Q.</w:t>
      </w:r>
      <w:r w:rsidR="00142D02">
        <w:rPr>
          <w:b/>
          <w:bCs/>
        </w:rPr>
        <w:tab/>
        <w:t xml:space="preserve">How would the inclusion of this PPA-related debt and these other adjustments affect the Company’s capital structure as S&amp;P reviews credit metrics? </w:t>
      </w:r>
    </w:p>
    <w:p w:rsidR="00CA069B" w:rsidRDefault="00FA46A0" w:rsidP="00CA069B">
      <w:pPr>
        <w:pStyle w:val="BodyText2"/>
        <w:spacing w:after="0"/>
      </w:pPr>
      <w:r>
        <w:t>A.</w:t>
      </w:r>
      <w:r w:rsidR="00142D02">
        <w:tab/>
        <w:t>Negatively.  By including the imputed debt resulting from PPAs and these other adjustments, the Company’s capital structure has a lower equity component as a corollary to the higher debt component, lower coverage ratios</w:t>
      </w:r>
      <w:r w:rsidR="00C27700">
        <w:t>,</w:t>
      </w:r>
      <w:r w:rsidR="00142D02">
        <w:t xml:space="preserve"> and reduced financial flexibility than what might otherwise appear to be the case from a review of the book value capital structure.  For example, if one were to add the $</w:t>
      </w:r>
      <w:r w:rsidR="00C012A6">
        <w:t>850 million</w:t>
      </w:r>
      <w:r w:rsidR="00142D02">
        <w:t xml:space="preserve"> of debt adjustments that S&amp;P makes to the Company’s capital structure in this case, the resulting common equity percentage would decline from 52.</w:t>
      </w:r>
      <w:r w:rsidR="00D4151E">
        <w:t>5</w:t>
      </w:r>
      <w:r w:rsidR="00142D02">
        <w:t xml:space="preserve"> percent to </w:t>
      </w:r>
      <w:r w:rsidR="00196C99" w:rsidRPr="00C012A6">
        <w:t>4</w:t>
      </w:r>
      <w:r w:rsidR="00C012A6" w:rsidRPr="00C012A6">
        <w:t>9</w:t>
      </w:r>
      <w:r w:rsidR="00196C99" w:rsidRPr="00C012A6">
        <w:t>.</w:t>
      </w:r>
      <w:r w:rsidR="00C012A6" w:rsidRPr="00C012A6">
        <w:t>6</w:t>
      </w:r>
      <w:r w:rsidR="00142D02">
        <w:t xml:space="preserve"> percent.  The table below shows the proposed capital structure and how the S&amp;P adjustments </w:t>
      </w:r>
      <w:r w:rsidR="00C27700">
        <w:t xml:space="preserve">affect </w:t>
      </w:r>
      <w:r w:rsidR="00142D02">
        <w:t>the components.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08"/>
        <w:gridCol w:w="2041"/>
        <w:gridCol w:w="1739"/>
        <w:gridCol w:w="2448"/>
      </w:tblGrid>
      <w:tr w:rsidR="00142D02" w:rsidRPr="002E7574" w:rsidTr="00FA46A0">
        <w:trPr>
          <w:trHeight w:val="710"/>
        </w:trPr>
        <w:tc>
          <w:tcPr>
            <w:tcW w:w="8136" w:type="dxa"/>
            <w:gridSpan w:val="4"/>
            <w:vAlign w:val="center"/>
          </w:tcPr>
          <w:p w:rsidR="00142D02" w:rsidRPr="002E7574" w:rsidRDefault="00142D02" w:rsidP="00FA46A0">
            <w:pPr>
              <w:pStyle w:val="BodyText2"/>
              <w:keepNext/>
              <w:keepLines/>
              <w:spacing w:after="0" w:line="240" w:lineRule="auto"/>
              <w:ind w:left="0" w:firstLine="0"/>
              <w:jc w:val="center"/>
              <w:rPr>
                <w:b/>
                <w:sz w:val="22"/>
                <w:szCs w:val="22"/>
              </w:rPr>
            </w:pPr>
            <w:r w:rsidRPr="002E7574">
              <w:rPr>
                <w:b/>
                <w:sz w:val="22"/>
                <w:szCs w:val="22"/>
              </w:rPr>
              <w:t>Illustration of Rating Agency Adjustments to PacifiCorp’s Capital Structure</w:t>
            </w:r>
          </w:p>
          <w:p w:rsidR="00142D02" w:rsidRPr="002E7574" w:rsidRDefault="00142D02" w:rsidP="00FA46A0">
            <w:pPr>
              <w:pStyle w:val="BodyText2"/>
              <w:keepNext/>
              <w:keepLines/>
              <w:spacing w:after="0" w:line="240" w:lineRule="auto"/>
              <w:ind w:left="0" w:firstLine="0"/>
              <w:jc w:val="center"/>
              <w:rPr>
                <w:sz w:val="22"/>
                <w:szCs w:val="22"/>
              </w:rPr>
            </w:pPr>
            <w:r w:rsidRPr="002E7574">
              <w:rPr>
                <w:b/>
                <w:sz w:val="22"/>
                <w:szCs w:val="22"/>
              </w:rPr>
              <w:t>($ in millions)</w:t>
            </w:r>
          </w:p>
        </w:tc>
      </w:tr>
      <w:tr w:rsidR="00142D02" w:rsidRPr="002E7574" w:rsidTr="00FA46A0">
        <w:tc>
          <w:tcPr>
            <w:tcW w:w="1908" w:type="dxa"/>
            <w:vAlign w:val="center"/>
          </w:tcPr>
          <w:p w:rsidR="00142D02" w:rsidRPr="002E7574" w:rsidRDefault="00142D02" w:rsidP="00FA46A0">
            <w:pPr>
              <w:pStyle w:val="BodyText2"/>
              <w:keepNext/>
              <w:keepLines/>
              <w:spacing w:line="240" w:lineRule="auto"/>
              <w:ind w:left="0" w:firstLine="0"/>
              <w:jc w:val="center"/>
              <w:rPr>
                <w:sz w:val="22"/>
                <w:szCs w:val="22"/>
              </w:rPr>
            </w:pPr>
          </w:p>
        </w:tc>
        <w:tc>
          <w:tcPr>
            <w:tcW w:w="2041" w:type="dxa"/>
            <w:vAlign w:val="center"/>
          </w:tcPr>
          <w:p w:rsidR="00142D02" w:rsidRPr="002E7574" w:rsidRDefault="00142D02" w:rsidP="00FA46A0">
            <w:pPr>
              <w:pStyle w:val="BodyText2"/>
              <w:keepNext/>
              <w:keepLines/>
              <w:spacing w:line="240" w:lineRule="auto"/>
              <w:ind w:left="0" w:firstLine="0"/>
              <w:jc w:val="center"/>
              <w:rPr>
                <w:sz w:val="22"/>
                <w:szCs w:val="22"/>
              </w:rPr>
            </w:pPr>
            <w:r w:rsidRPr="002E7574">
              <w:rPr>
                <w:sz w:val="22"/>
                <w:szCs w:val="22"/>
              </w:rPr>
              <w:t>Book Values/Ratios</w:t>
            </w:r>
          </w:p>
        </w:tc>
        <w:tc>
          <w:tcPr>
            <w:tcW w:w="1739" w:type="dxa"/>
            <w:vAlign w:val="center"/>
          </w:tcPr>
          <w:p w:rsidR="00362B48" w:rsidRPr="002E7574" w:rsidRDefault="00142D02" w:rsidP="00FA46A0">
            <w:pPr>
              <w:pStyle w:val="BodyText2"/>
              <w:keepNext/>
              <w:keepLines/>
              <w:spacing w:line="240" w:lineRule="auto"/>
              <w:ind w:left="0" w:firstLine="0"/>
              <w:jc w:val="center"/>
              <w:rPr>
                <w:sz w:val="22"/>
                <w:szCs w:val="22"/>
              </w:rPr>
            </w:pPr>
            <w:r w:rsidRPr="002E7574">
              <w:rPr>
                <w:sz w:val="22"/>
                <w:szCs w:val="22"/>
              </w:rPr>
              <w:t>Rating Agency Adjustments</w:t>
            </w:r>
          </w:p>
        </w:tc>
        <w:tc>
          <w:tcPr>
            <w:tcW w:w="2448" w:type="dxa"/>
            <w:vAlign w:val="center"/>
          </w:tcPr>
          <w:p w:rsidR="00142D02" w:rsidRPr="002E7574" w:rsidRDefault="00142D02" w:rsidP="00FA46A0">
            <w:pPr>
              <w:pStyle w:val="BodyText2"/>
              <w:keepNext/>
              <w:keepLines/>
              <w:spacing w:line="240" w:lineRule="auto"/>
              <w:ind w:left="0" w:firstLine="0"/>
              <w:jc w:val="center"/>
              <w:rPr>
                <w:sz w:val="22"/>
                <w:szCs w:val="22"/>
              </w:rPr>
            </w:pPr>
            <w:r w:rsidRPr="002E7574">
              <w:rPr>
                <w:sz w:val="22"/>
                <w:szCs w:val="22"/>
              </w:rPr>
              <w:t>Adjusted Book Values/Ratios</w:t>
            </w:r>
          </w:p>
        </w:tc>
      </w:tr>
      <w:tr w:rsidR="00142D02" w:rsidRPr="002E7574" w:rsidTr="00FA46A0">
        <w:tc>
          <w:tcPr>
            <w:tcW w:w="1908" w:type="dxa"/>
            <w:vAlign w:val="center"/>
          </w:tcPr>
          <w:p w:rsidR="00142D02" w:rsidRPr="002E7574" w:rsidRDefault="00142D02" w:rsidP="00FA46A0">
            <w:pPr>
              <w:pStyle w:val="BodyText2"/>
              <w:keepNext/>
              <w:keepLines/>
              <w:spacing w:line="240" w:lineRule="auto"/>
              <w:ind w:left="0" w:firstLine="0"/>
              <w:rPr>
                <w:sz w:val="22"/>
                <w:szCs w:val="22"/>
              </w:rPr>
            </w:pPr>
            <w:r w:rsidRPr="002E7574">
              <w:rPr>
                <w:sz w:val="22"/>
                <w:szCs w:val="22"/>
              </w:rPr>
              <w:t>Long-Term Debt</w:t>
            </w:r>
          </w:p>
        </w:tc>
        <w:tc>
          <w:tcPr>
            <w:tcW w:w="2041" w:type="dxa"/>
            <w:vAlign w:val="center"/>
          </w:tcPr>
          <w:p w:rsidR="00142D02" w:rsidRPr="002E7574" w:rsidRDefault="00B56D21" w:rsidP="00FA46A0">
            <w:pPr>
              <w:pStyle w:val="BodyText2"/>
              <w:keepNext/>
              <w:keepLines/>
              <w:spacing w:line="240" w:lineRule="auto"/>
              <w:ind w:left="0" w:firstLine="0"/>
              <w:jc w:val="center"/>
              <w:rPr>
                <w:sz w:val="22"/>
                <w:szCs w:val="22"/>
              </w:rPr>
            </w:pPr>
            <w:r w:rsidRPr="002E7574">
              <w:rPr>
                <w:sz w:val="22"/>
                <w:szCs w:val="22"/>
              </w:rPr>
              <w:t>$</w:t>
            </w:r>
            <w:r w:rsidR="00D4151E" w:rsidRPr="002E7574">
              <w:rPr>
                <w:sz w:val="22"/>
                <w:szCs w:val="22"/>
              </w:rPr>
              <w:t>6,872</w:t>
            </w:r>
            <w:r w:rsidR="000D7CCB" w:rsidRPr="002E7574">
              <w:rPr>
                <w:sz w:val="22"/>
                <w:szCs w:val="22"/>
              </w:rPr>
              <w:t>/47.</w:t>
            </w:r>
            <w:r w:rsidR="00D4151E" w:rsidRPr="002E7574">
              <w:rPr>
                <w:sz w:val="22"/>
                <w:szCs w:val="22"/>
              </w:rPr>
              <w:t>2</w:t>
            </w:r>
            <w:r w:rsidR="000D7CCB" w:rsidRPr="002E7574">
              <w:rPr>
                <w:sz w:val="22"/>
                <w:szCs w:val="22"/>
              </w:rPr>
              <w:t>%</w:t>
            </w:r>
          </w:p>
        </w:tc>
        <w:tc>
          <w:tcPr>
            <w:tcW w:w="1739" w:type="dxa"/>
            <w:vAlign w:val="center"/>
          </w:tcPr>
          <w:p w:rsidR="00142D02" w:rsidRPr="002E7574" w:rsidRDefault="00142D02" w:rsidP="00FA46A0">
            <w:pPr>
              <w:pStyle w:val="BodyText2"/>
              <w:keepNext/>
              <w:keepLines/>
              <w:spacing w:line="240" w:lineRule="auto"/>
              <w:ind w:left="0" w:firstLine="0"/>
              <w:jc w:val="center"/>
              <w:rPr>
                <w:sz w:val="22"/>
                <w:szCs w:val="22"/>
                <w:highlight w:val="yellow"/>
              </w:rPr>
            </w:pPr>
            <w:r w:rsidRPr="002E7574">
              <w:rPr>
                <w:sz w:val="22"/>
                <w:szCs w:val="22"/>
              </w:rPr>
              <w:t>$</w:t>
            </w:r>
            <w:r w:rsidR="00C012A6" w:rsidRPr="002E7574">
              <w:rPr>
                <w:sz w:val="22"/>
                <w:szCs w:val="22"/>
              </w:rPr>
              <w:t>849</w:t>
            </w:r>
          </w:p>
        </w:tc>
        <w:tc>
          <w:tcPr>
            <w:tcW w:w="2448" w:type="dxa"/>
            <w:vAlign w:val="center"/>
          </w:tcPr>
          <w:p w:rsidR="00142D02" w:rsidRPr="002E7574" w:rsidRDefault="00B56D21" w:rsidP="00FA46A0">
            <w:pPr>
              <w:pStyle w:val="BodyText2"/>
              <w:keepNext/>
              <w:keepLines/>
              <w:spacing w:line="240" w:lineRule="auto"/>
              <w:ind w:left="0" w:firstLine="0"/>
              <w:jc w:val="center"/>
              <w:rPr>
                <w:sz w:val="22"/>
                <w:szCs w:val="22"/>
                <w:highlight w:val="yellow"/>
              </w:rPr>
            </w:pPr>
            <w:r w:rsidRPr="002E7574">
              <w:rPr>
                <w:sz w:val="22"/>
                <w:szCs w:val="22"/>
              </w:rPr>
              <w:t>$</w:t>
            </w:r>
            <w:r w:rsidR="000D7CCB" w:rsidRPr="002E7574">
              <w:rPr>
                <w:sz w:val="22"/>
                <w:szCs w:val="22"/>
              </w:rPr>
              <w:t>7,</w:t>
            </w:r>
            <w:r w:rsidR="00C012A6" w:rsidRPr="002E7574">
              <w:rPr>
                <w:sz w:val="22"/>
                <w:szCs w:val="22"/>
              </w:rPr>
              <w:t>721</w:t>
            </w:r>
            <w:r w:rsidR="000D7CCB" w:rsidRPr="002E7574">
              <w:rPr>
                <w:sz w:val="22"/>
                <w:szCs w:val="22"/>
              </w:rPr>
              <w:t>/5</w:t>
            </w:r>
            <w:r w:rsidR="00C012A6" w:rsidRPr="002E7574">
              <w:rPr>
                <w:sz w:val="22"/>
                <w:szCs w:val="22"/>
              </w:rPr>
              <w:t>0</w:t>
            </w:r>
            <w:r w:rsidR="000D7CCB" w:rsidRPr="002E7574">
              <w:rPr>
                <w:sz w:val="22"/>
                <w:szCs w:val="22"/>
              </w:rPr>
              <w:t>.</w:t>
            </w:r>
            <w:r w:rsidR="00C50049" w:rsidRPr="002E7574">
              <w:rPr>
                <w:sz w:val="22"/>
                <w:szCs w:val="22"/>
              </w:rPr>
              <w:t>2</w:t>
            </w:r>
            <w:r w:rsidR="000D7CCB" w:rsidRPr="002E7574">
              <w:rPr>
                <w:sz w:val="22"/>
                <w:szCs w:val="22"/>
              </w:rPr>
              <w:t>%</w:t>
            </w:r>
          </w:p>
        </w:tc>
      </w:tr>
      <w:tr w:rsidR="00142D02" w:rsidRPr="002E7574" w:rsidTr="00FA46A0">
        <w:tc>
          <w:tcPr>
            <w:tcW w:w="1908" w:type="dxa"/>
            <w:vAlign w:val="center"/>
          </w:tcPr>
          <w:p w:rsidR="00142D02" w:rsidRPr="002E7574" w:rsidRDefault="00142D02" w:rsidP="00FA46A0">
            <w:pPr>
              <w:pStyle w:val="BodyText2"/>
              <w:keepNext/>
              <w:keepLines/>
              <w:spacing w:line="240" w:lineRule="auto"/>
              <w:ind w:left="0" w:firstLine="0"/>
              <w:rPr>
                <w:sz w:val="22"/>
                <w:szCs w:val="22"/>
              </w:rPr>
            </w:pPr>
            <w:r w:rsidRPr="002E7574">
              <w:rPr>
                <w:sz w:val="22"/>
                <w:szCs w:val="22"/>
              </w:rPr>
              <w:t>Preferred Stock</w:t>
            </w:r>
          </w:p>
        </w:tc>
        <w:tc>
          <w:tcPr>
            <w:tcW w:w="2041" w:type="dxa"/>
            <w:vAlign w:val="center"/>
          </w:tcPr>
          <w:p w:rsidR="00142D02" w:rsidRPr="002E7574" w:rsidRDefault="00362B48" w:rsidP="00FA46A0">
            <w:pPr>
              <w:pStyle w:val="BodyText2"/>
              <w:keepNext/>
              <w:keepLines/>
              <w:spacing w:line="240" w:lineRule="auto"/>
              <w:ind w:left="0" w:firstLine="0"/>
              <w:jc w:val="center"/>
              <w:rPr>
                <w:sz w:val="22"/>
                <w:szCs w:val="22"/>
              </w:rPr>
            </w:pPr>
            <w:r w:rsidRPr="002E7574">
              <w:rPr>
                <w:sz w:val="22"/>
                <w:szCs w:val="22"/>
              </w:rPr>
              <w:t>$</w:t>
            </w:r>
            <w:r w:rsidR="000D7CCB" w:rsidRPr="002E7574">
              <w:rPr>
                <w:sz w:val="22"/>
                <w:szCs w:val="22"/>
              </w:rPr>
              <w:t>41/0.3%</w:t>
            </w:r>
          </w:p>
        </w:tc>
        <w:tc>
          <w:tcPr>
            <w:tcW w:w="1739" w:type="dxa"/>
            <w:vAlign w:val="center"/>
          </w:tcPr>
          <w:p w:rsidR="00142D02" w:rsidRPr="002E7574" w:rsidRDefault="00C50049" w:rsidP="00FA46A0">
            <w:pPr>
              <w:pStyle w:val="BodyText2"/>
              <w:keepNext/>
              <w:keepLines/>
              <w:spacing w:line="240" w:lineRule="auto"/>
              <w:ind w:left="0" w:firstLine="0"/>
              <w:jc w:val="center"/>
              <w:rPr>
                <w:sz w:val="22"/>
                <w:szCs w:val="22"/>
              </w:rPr>
            </w:pPr>
            <w:r w:rsidRPr="002E7574">
              <w:rPr>
                <w:sz w:val="22"/>
                <w:szCs w:val="22"/>
              </w:rPr>
              <w:t>(20)</w:t>
            </w:r>
          </w:p>
        </w:tc>
        <w:tc>
          <w:tcPr>
            <w:tcW w:w="2448" w:type="dxa"/>
            <w:vAlign w:val="center"/>
          </w:tcPr>
          <w:p w:rsidR="00142D02" w:rsidRPr="002E7574" w:rsidRDefault="00362B48" w:rsidP="00FA46A0">
            <w:pPr>
              <w:pStyle w:val="BodyText2"/>
              <w:keepNext/>
              <w:keepLines/>
              <w:spacing w:line="240" w:lineRule="auto"/>
              <w:ind w:left="0" w:firstLine="0"/>
              <w:jc w:val="center"/>
              <w:rPr>
                <w:sz w:val="22"/>
                <w:szCs w:val="22"/>
              </w:rPr>
            </w:pPr>
            <w:r w:rsidRPr="002E7574">
              <w:rPr>
                <w:sz w:val="22"/>
                <w:szCs w:val="22"/>
              </w:rPr>
              <w:t>$</w:t>
            </w:r>
            <w:r w:rsidR="00C50049" w:rsidRPr="002E7574">
              <w:rPr>
                <w:sz w:val="22"/>
                <w:szCs w:val="22"/>
              </w:rPr>
              <w:t>2</w:t>
            </w:r>
            <w:r w:rsidR="000D7CCB" w:rsidRPr="002E7574">
              <w:rPr>
                <w:sz w:val="22"/>
                <w:szCs w:val="22"/>
              </w:rPr>
              <w:t>1/0.</w:t>
            </w:r>
            <w:r w:rsidR="00C50049" w:rsidRPr="002E7574">
              <w:rPr>
                <w:sz w:val="22"/>
                <w:szCs w:val="22"/>
              </w:rPr>
              <w:t>1</w:t>
            </w:r>
            <w:r w:rsidR="000D7CCB" w:rsidRPr="002E7574">
              <w:rPr>
                <w:sz w:val="22"/>
                <w:szCs w:val="22"/>
              </w:rPr>
              <w:t>%</w:t>
            </w:r>
          </w:p>
        </w:tc>
      </w:tr>
      <w:tr w:rsidR="00142D02" w:rsidRPr="002E7574" w:rsidTr="00FA46A0">
        <w:tc>
          <w:tcPr>
            <w:tcW w:w="1908" w:type="dxa"/>
            <w:tcBorders>
              <w:bottom w:val="double" w:sz="4" w:space="0" w:color="auto"/>
            </w:tcBorders>
            <w:vAlign w:val="center"/>
          </w:tcPr>
          <w:p w:rsidR="00142D02" w:rsidRPr="002E7574" w:rsidRDefault="00142D02" w:rsidP="00FA46A0">
            <w:pPr>
              <w:pStyle w:val="BodyText2"/>
              <w:keepNext/>
              <w:keepLines/>
              <w:spacing w:line="240" w:lineRule="auto"/>
              <w:ind w:left="0" w:firstLine="0"/>
              <w:rPr>
                <w:sz w:val="22"/>
                <w:szCs w:val="22"/>
              </w:rPr>
            </w:pPr>
            <w:r w:rsidRPr="002E7574">
              <w:rPr>
                <w:sz w:val="22"/>
                <w:szCs w:val="22"/>
              </w:rPr>
              <w:t>Common Equity</w:t>
            </w:r>
          </w:p>
        </w:tc>
        <w:tc>
          <w:tcPr>
            <w:tcW w:w="2041" w:type="dxa"/>
            <w:tcBorders>
              <w:bottom w:val="double" w:sz="4" w:space="0" w:color="auto"/>
            </w:tcBorders>
            <w:vAlign w:val="center"/>
          </w:tcPr>
          <w:p w:rsidR="00142D02" w:rsidRPr="002E7574" w:rsidRDefault="00362B48" w:rsidP="00FA46A0">
            <w:pPr>
              <w:pStyle w:val="BodyText2"/>
              <w:keepNext/>
              <w:keepLines/>
              <w:spacing w:line="240" w:lineRule="auto"/>
              <w:ind w:left="0" w:firstLine="0"/>
              <w:jc w:val="center"/>
              <w:rPr>
                <w:sz w:val="22"/>
                <w:szCs w:val="22"/>
              </w:rPr>
            </w:pPr>
            <w:r w:rsidRPr="002E7574">
              <w:rPr>
                <w:sz w:val="22"/>
                <w:szCs w:val="22"/>
              </w:rPr>
              <w:t>$</w:t>
            </w:r>
            <w:r w:rsidR="00D4151E" w:rsidRPr="002E7574">
              <w:rPr>
                <w:sz w:val="22"/>
                <w:szCs w:val="22"/>
              </w:rPr>
              <w:t>7</w:t>
            </w:r>
            <w:r w:rsidR="000D7CCB" w:rsidRPr="002E7574">
              <w:rPr>
                <w:sz w:val="22"/>
                <w:szCs w:val="22"/>
              </w:rPr>
              <w:t>,</w:t>
            </w:r>
            <w:r w:rsidR="00D4151E" w:rsidRPr="002E7574">
              <w:rPr>
                <w:sz w:val="22"/>
                <w:szCs w:val="22"/>
              </w:rPr>
              <w:t>644</w:t>
            </w:r>
            <w:r w:rsidR="000D7CCB" w:rsidRPr="002E7574">
              <w:rPr>
                <w:sz w:val="22"/>
                <w:szCs w:val="22"/>
              </w:rPr>
              <w:t>/52.</w:t>
            </w:r>
            <w:r w:rsidR="00D4151E" w:rsidRPr="002E7574">
              <w:rPr>
                <w:sz w:val="22"/>
                <w:szCs w:val="22"/>
              </w:rPr>
              <w:t>5</w:t>
            </w:r>
            <w:r w:rsidR="000D7CCB" w:rsidRPr="002E7574">
              <w:rPr>
                <w:sz w:val="22"/>
                <w:szCs w:val="22"/>
              </w:rPr>
              <w:t>%</w:t>
            </w:r>
          </w:p>
        </w:tc>
        <w:tc>
          <w:tcPr>
            <w:tcW w:w="1739" w:type="dxa"/>
            <w:tcBorders>
              <w:bottom w:val="double" w:sz="4" w:space="0" w:color="auto"/>
            </w:tcBorders>
            <w:vAlign w:val="center"/>
          </w:tcPr>
          <w:p w:rsidR="00142D02" w:rsidRPr="002E7574" w:rsidRDefault="00142D02" w:rsidP="00FA46A0">
            <w:pPr>
              <w:pStyle w:val="BodyText2"/>
              <w:keepNext/>
              <w:keepLines/>
              <w:spacing w:line="240" w:lineRule="auto"/>
              <w:ind w:left="0" w:firstLine="0"/>
              <w:jc w:val="center"/>
              <w:rPr>
                <w:sz w:val="22"/>
                <w:szCs w:val="22"/>
              </w:rPr>
            </w:pPr>
            <w:r w:rsidRPr="002E7574">
              <w:rPr>
                <w:sz w:val="22"/>
                <w:szCs w:val="22"/>
              </w:rPr>
              <w:t>0</w:t>
            </w:r>
          </w:p>
        </w:tc>
        <w:tc>
          <w:tcPr>
            <w:tcW w:w="2448" w:type="dxa"/>
            <w:tcBorders>
              <w:bottom w:val="double" w:sz="4" w:space="0" w:color="auto"/>
            </w:tcBorders>
            <w:vAlign w:val="center"/>
          </w:tcPr>
          <w:p w:rsidR="00142D02" w:rsidRPr="002E7574" w:rsidRDefault="00362B48" w:rsidP="00FA46A0">
            <w:pPr>
              <w:pStyle w:val="BodyText2"/>
              <w:keepNext/>
              <w:keepLines/>
              <w:spacing w:line="240" w:lineRule="auto"/>
              <w:ind w:left="0" w:firstLine="0"/>
              <w:jc w:val="center"/>
              <w:rPr>
                <w:sz w:val="22"/>
                <w:szCs w:val="22"/>
              </w:rPr>
            </w:pPr>
            <w:r w:rsidRPr="002E7574">
              <w:rPr>
                <w:sz w:val="22"/>
                <w:szCs w:val="22"/>
              </w:rPr>
              <w:t>$</w:t>
            </w:r>
            <w:r w:rsidR="00C012A6" w:rsidRPr="002E7574">
              <w:rPr>
                <w:sz w:val="22"/>
                <w:szCs w:val="22"/>
              </w:rPr>
              <w:t>7</w:t>
            </w:r>
            <w:r w:rsidR="000D7CCB" w:rsidRPr="002E7574">
              <w:rPr>
                <w:sz w:val="22"/>
                <w:szCs w:val="22"/>
              </w:rPr>
              <w:t>,</w:t>
            </w:r>
            <w:r w:rsidR="00C012A6" w:rsidRPr="002E7574">
              <w:rPr>
                <w:sz w:val="22"/>
                <w:szCs w:val="22"/>
              </w:rPr>
              <w:t>644</w:t>
            </w:r>
            <w:r w:rsidR="000D7CCB" w:rsidRPr="002E7574">
              <w:rPr>
                <w:sz w:val="22"/>
                <w:szCs w:val="22"/>
              </w:rPr>
              <w:t>/4</w:t>
            </w:r>
            <w:r w:rsidR="00C012A6" w:rsidRPr="002E7574">
              <w:rPr>
                <w:sz w:val="22"/>
                <w:szCs w:val="22"/>
              </w:rPr>
              <w:t>9</w:t>
            </w:r>
            <w:r w:rsidR="000D7CCB" w:rsidRPr="002E7574">
              <w:rPr>
                <w:sz w:val="22"/>
                <w:szCs w:val="22"/>
              </w:rPr>
              <w:t>.</w:t>
            </w:r>
            <w:r w:rsidR="00C50049" w:rsidRPr="002E7574">
              <w:rPr>
                <w:sz w:val="22"/>
                <w:szCs w:val="22"/>
              </w:rPr>
              <w:t>7</w:t>
            </w:r>
            <w:r w:rsidR="000D7CCB" w:rsidRPr="002E7574">
              <w:rPr>
                <w:sz w:val="22"/>
                <w:szCs w:val="22"/>
              </w:rPr>
              <w:t>%</w:t>
            </w:r>
          </w:p>
        </w:tc>
      </w:tr>
      <w:tr w:rsidR="00142D02" w:rsidRPr="002E7574" w:rsidTr="00FA46A0">
        <w:tc>
          <w:tcPr>
            <w:tcW w:w="1908" w:type="dxa"/>
            <w:tcBorders>
              <w:top w:val="double" w:sz="4" w:space="0" w:color="auto"/>
            </w:tcBorders>
            <w:vAlign w:val="center"/>
          </w:tcPr>
          <w:p w:rsidR="00142D02" w:rsidRPr="002E7574" w:rsidRDefault="00142D02" w:rsidP="00FA46A0">
            <w:pPr>
              <w:pStyle w:val="BodyText2"/>
              <w:keepNext/>
              <w:keepLines/>
              <w:spacing w:line="240" w:lineRule="auto"/>
              <w:ind w:left="0" w:firstLine="0"/>
              <w:rPr>
                <w:sz w:val="22"/>
                <w:szCs w:val="22"/>
              </w:rPr>
            </w:pPr>
            <w:r w:rsidRPr="002E7574">
              <w:rPr>
                <w:sz w:val="22"/>
                <w:szCs w:val="22"/>
              </w:rPr>
              <w:t>Totals</w:t>
            </w:r>
          </w:p>
        </w:tc>
        <w:tc>
          <w:tcPr>
            <w:tcW w:w="2041" w:type="dxa"/>
            <w:tcBorders>
              <w:top w:val="double" w:sz="4" w:space="0" w:color="auto"/>
            </w:tcBorders>
            <w:vAlign w:val="center"/>
          </w:tcPr>
          <w:p w:rsidR="00142D02" w:rsidRPr="002E7574" w:rsidRDefault="000D7CCB" w:rsidP="00FA46A0">
            <w:pPr>
              <w:pStyle w:val="BodyText2"/>
              <w:keepNext/>
              <w:keepLines/>
              <w:spacing w:line="240" w:lineRule="auto"/>
              <w:ind w:left="0" w:firstLine="0"/>
              <w:jc w:val="center"/>
              <w:rPr>
                <w:sz w:val="22"/>
                <w:szCs w:val="22"/>
              </w:rPr>
            </w:pPr>
            <w:r w:rsidRPr="002E7574">
              <w:rPr>
                <w:sz w:val="22"/>
                <w:szCs w:val="22"/>
              </w:rPr>
              <w:t>$1</w:t>
            </w:r>
            <w:r w:rsidR="00D4151E" w:rsidRPr="002E7574">
              <w:rPr>
                <w:sz w:val="22"/>
                <w:szCs w:val="22"/>
              </w:rPr>
              <w:t>4,557</w:t>
            </w:r>
            <w:r w:rsidRPr="002E7574">
              <w:rPr>
                <w:sz w:val="22"/>
                <w:szCs w:val="22"/>
              </w:rPr>
              <w:t>/100.0%</w:t>
            </w:r>
          </w:p>
        </w:tc>
        <w:tc>
          <w:tcPr>
            <w:tcW w:w="1739" w:type="dxa"/>
            <w:tcBorders>
              <w:top w:val="double" w:sz="4" w:space="0" w:color="auto"/>
            </w:tcBorders>
            <w:vAlign w:val="center"/>
          </w:tcPr>
          <w:p w:rsidR="00CA069B" w:rsidRPr="002E7574" w:rsidRDefault="000D7CCB" w:rsidP="00FA46A0">
            <w:pPr>
              <w:pStyle w:val="BodyText2"/>
              <w:keepNext/>
              <w:keepLines/>
              <w:spacing w:line="240" w:lineRule="auto"/>
              <w:ind w:left="0" w:firstLine="0"/>
              <w:jc w:val="center"/>
              <w:rPr>
                <w:sz w:val="22"/>
                <w:szCs w:val="22"/>
                <w:highlight w:val="yellow"/>
              </w:rPr>
            </w:pPr>
            <w:r w:rsidRPr="002E7574">
              <w:rPr>
                <w:sz w:val="22"/>
                <w:szCs w:val="22"/>
              </w:rPr>
              <w:t>$</w:t>
            </w:r>
            <w:r w:rsidR="00C012A6" w:rsidRPr="002E7574">
              <w:rPr>
                <w:sz w:val="22"/>
                <w:szCs w:val="22"/>
              </w:rPr>
              <w:t>8</w:t>
            </w:r>
            <w:r w:rsidR="00D44F36" w:rsidRPr="002E7574">
              <w:rPr>
                <w:sz w:val="22"/>
                <w:szCs w:val="22"/>
              </w:rPr>
              <w:t>2</w:t>
            </w:r>
            <w:r w:rsidR="00C012A6" w:rsidRPr="002E7574">
              <w:rPr>
                <w:sz w:val="22"/>
                <w:szCs w:val="22"/>
              </w:rPr>
              <w:t>9</w:t>
            </w:r>
          </w:p>
        </w:tc>
        <w:tc>
          <w:tcPr>
            <w:tcW w:w="2448" w:type="dxa"/>
            <w:tcBorders>
              <w:top w:val="double" w:sz="4" w:space="0" w:color="auto"/>
            </w:tcBorders>
            <w:vAlign w:val="center"/>
          </w:tcPr>
          <w:p w:rsidR="00142D02" w:rsidRPr="002E7574" w:rsidRDefault="000D7CCB" w:rsidP="00FA46A0">
            <w:pPr>
              <w:pStyle w:val="BodyText2"/>
              <w:keepNext/>
              <w:keepLines/>
              <w:spacing w:line="240" w:lineRule="auto"/>
              <w:ind w:left="0" w:firstLine="0"/>
              <w:jc w:val="center"/>
              <w:rPr>
                <w:sz w:val="22"/>
                <w:szCs w:val="22"/>
                <w:highlight w:val="yellow"/>
              </w:rPr>
            </w:pPr>
            <w:r w:rsidRPr="002E7574">
              <w:rPr>
                <w:sz w:val="22"/>
                <w:szCs w:val="22"/>
              </w:rPr>
              <w:t>$1</w:t>
            </w:r>
            <w:r w:rsidR="00C50049" w:rsidRPr="002E7574">
              <w:rPr>
                <w:sz w:val="22"/>
                <w:szCs w:val="22"/>
              </w:rPr>
              <w:t>5</w:t>
            </w:r>
            <w:r w:rsidRPr="002E7574">
              <w:rPr>
                <w:sz w:val="22"/>
                <w:szCs w:val="22"/>
              </w:rPr>
              <w:t>,</w:t>
            </w:r>
            <w:r w:rsidR="00C50049" w:rsidRPr="002E7574">
              <w:rPr>
                <w:sz w:val="22"/>
                <w:szCs w:val="22"/>
              </w:rPr>
              <w:t>386</w:t>
            </w:r>
            <w:r w:rsidRPr="002E7574">
              <w:rPr>
                <w:sz w:val="22"/>
                <w:szCs w:val="22"/>
              </w:rPr>
              <w:t>/100.0%</w:t>
            </w:r>
          </w:p>
        </w:tc>
      </w:tr>
    </w:tbl>
    <w:p w:rsidR="00CA069B" w:rsidRDefault="00CA069B" w:rsidP="00CA069B">
      <w:pPr>
        <w:pStyle w:val="BodyText2"/>
        <w:suppressLineNumbers/>
        <w:spacing w:after="0" w:line="240" w:lineRule="auto"/>
      </w:pPr>
    </w:p>
    <w:p w:rsidR="00CA069B" w:rsidRDefault="00785152" w:rsidP="002E7574">
      <w:pPr>
        <w:pStyle w:val="Heading1"/>
      </w:pPr>
      <w:bookmarkStart w:id="8" w:name="_Toc345503695"/>
      <w:r w:rsidRPr="00632017">
        <w:t>Financing Cost Calculations</w:t>
      </w:r>
      <w:bookmarkEnd w:id="8"/>
    </w:p>
    <w:p w:rsidR="00785152" w:rsidRDefault="00785152" w:rsidP="00E45B69">
      <w:pPr>
        <w:pStyle w:val="BodyTextIndent"/>
        <w:rPr>
          <w:b/>
          <w:bCs/>
        </w:rPr>
      </w:pPr>
      <w:r>
        <w:rPr>
          <w:b/>
          <w:bCs/>
        </w:rPr>
        <w:t>Q.</w:t>
      </w:r>
      <w:r>
        <w:rPr>
          <w:b/>
          <w:bCs/>
        </w:rPr>
        <w:tab/>
        <w:t>How did you calculate the Company’s embedded costs of long-term debt and preferred stock?</w:t>
      </w:r>
    </w:p>
    <w:p w:rsidR="00785152" w:rsidRDefault="00785152" w:rsidP="00E45B69">
      <w:pPr>
        <w:pStyle w:val="BodyTextIndent"/>
      </w:pPr>
      <w:r>
        <w:t>A.</w:t>
      </w:r>
      <w:r>
        <w:tab/>
        <w:t xml:space="preserve">I calculated the embedded costs of debt and preferred stock using the methodology relied upon in the </w:t>
      </w:r>
      <w:r w:rsidR="00F7759B">
        <w:t xml:space="preserve">Company’s </w:t>
      </w:r>
      <w:r>
        <w:t xml:space="preserve">previous rate cases in Washington and other jurisdictions. </w:t>
      </w:r>
      <w:r w:rsidR="00FA46A0">
        <w:t xml:space="preserve"> </w:t>
      </w:r>
      <w:r w:rsidR="002B3581">
        <w:t>These calculations are described in greater detail below.</w:t>
      </w:r>
    </w:p>
    <w:p w:rsidR="00B34FE3" w:rsidRDefault="00B34FE3" w:rsidP="00B34FE3">
      <w:pPr>
        <w:pStyle w:val="BodyTextIndent"/>
        <w:rPr>
          <w:b/>
          <w:bCs/>
        </w:rPr>
      </w:pPr>
      <w:r>
        <w:rPr>
          <w:b/>
          <w:bCs/>
        </w:rPr>
        <w:t>Q.</w:t>
      </w:r>
      <w:r>
        <w:rPr>
          <w:b/>
          <w:bCs/>
        </w:rPr>
        <w:tab/>
        <w:t>What is the Company’s embedded cost of long-term debt?</w:t>
      </w:r>
    </w:p>
    <w:p w:rsidR="00B34FE3" w:rsidRDefault="00B34FE3" w:rsidP="00B34FE3">
      <w:pPr>
        <w:pStyle w:val="BodyTextIndent"/>
      </w:pPr>
      <w:r>
        <w:t>A.</w:t>
      </w:r>
      <w:r>
        <w:tab/>
        <w:t>The cost of</w:t>
      </w:r>
      <w:r w:rsidR="00FA46A0">
        <w:t xml:space="preserve"> long-term debt is 5.37 percent</w:t>
      </w:r>
      <w:r>
        <w:t xml:space="preserve"> at June 30, 201</w:t>
      </w:r>
      <w:r w:rsidR="00C012A6">
        <w:t>3</w:t>
      </w:r>
      <w:r w:rsidR="00FA46A0">
        <w:t>,</w:t>
      </w:r>
      <w:r w:rsidR="00C012A6">
        <w:t xml:space="preserve"> as shown in Exhibit </w:t>
      </w:r>
      <w:r w:rsidR="008F0A74">
        <w:t>No.___(BNW-9)</w:t>
      </w:r>
      <w:r>
        <w:t xml:space="preserve">. </w:t>
      </w:r>
    </w:p>
    <w:p w:rsidR="007B2474" w:rsidRDefault="00785152" w:rsidP="007B2474">
      <w:pPr>
        <w:pStyle w:val="BodyTextIndent"/>
        <w:rPr>
          <w:b/>
          <w:bCs/>
        </w:rPr>
      </w:pPr>
      <w:r>
        <w:rPr>
          <w:b/>
          <w:bCs/>
        </w:rPr>
        <w:t>Q.</w:t>
      </w:r>
      <w:r>
        <w:rPr>
          <w:b/>
          <w:bCs/>
        </w:rPr>
        <w:tab/>
        <w:t>Please explain the cost of long-term debt calculation.</w:t>
      </w:r>
    </w:p>
    <w:p w:rsidR="00B34FE3" w:rsidRDefault="00785152" w:rsidP="007B2474">
      <w:pPr>
        <w:pStyle w:val="BodyTextIndent"/>
      </w:pPr>
      <w:r>
        <w:t>A.</w:t>
      </w:r>
      <w:r>
        <w:tab/>
        <w:t xml:space="preserve">I calculated the cost of debt by issue, based on each debt series’ interest rate and net proceeds at the issuance date, to produce a bond yield to maturity for each series of debt.  </w:t>
      </w:r>
      <w:r w:rsidR="00DC6D6D">
        <w:t>If</w:t>
      </w:r>
      <w:r>
        <w:t xml:space="preserve"> a bond was issued to refinance a higher cost bond, the pre-tax premium and unamortized costs, if any, associated with the refinancing were subtracted from the net proceeds of the bonds that were issued.  The bond yield was then multiplied by the principal amount outstanding of each debt issue, resulting in an annualized cost of each debt issue.  Aggregating the annual cost of each debt issue produces the total annualized cost of debt.  Dividing the total annualized cost of debt by the total principal amount of debt outstanding produces the weighted average cost fo</w:t>
      </w:r>
      <w:r w:rsidR="00B34FE3">
        <w:t xml:space="preserve">r all debt issues.  </w:t>
      </w:r>
      <w:r w:rsidR="002B3581">
        <w:t>The result is the</w:t>
      </w:r>
      <w:r w:rsidR="008B7E31">
        <w:t xml:space="preserve"> Company’s cost of long-term </w:t>
      </w:r>
      <w:r w:rsidR="002B3581">
        <w:t>of 5.37 percent</w:t>
      </w:r>
      <w:r w:rsidR="008B7E31">
        <w:t>.</w:t>
      </w:r>
    </w:p>
    <w:p w:rsidR="008B7E31" w:rsidRPr="008B7E31" w:rsidRDefault="008B7E31" w:rsidP="00B34FE3">
      <w:pPr>
        <w:pStyle w:val="BodyTextIndent"/>
        <w:keepNext/>
        <w:rPr>
          <w:b/>
        </w:rPr>
      </w:pPr>
      <w:r w:rsidRPr="008B7E31">
        <w:rPr>
          <w:b/>
        </w:rPr>
        <w:t>Q.</w:t>
      </w:r>
      <w:r w:rsidRPr="008B7E31">
        <w:rPr>
          <w:b/>
        </w:rPr>
        <w:tab/>
        <w:t>Regarding the $300 million of new long-term issuances mentioned above, how did you determine the interest rate for the new long long-term debt?</w:t>
      </w:r>
    </w:p>
    <w:p w:rsidR="008B7E31" w:rsidRDefault="008B7E31" w:rsidP="00B34FE3">
      <w:pPr>
        <w:pStyle w:val="BodyTextIndent"/>
        <w:keepNext/>
      </w:pPr>
      <w:r>
        <w:t>A.</w:t>
      </w:r>
      <w:r>
        <w:tab/>
      </w:r>
      <w:r w:rsidR="00C51E1C">
        <w:t>I projected that this new long-term debt would be issued at the Company’s estimated recent credit spread over the projected long-term Treasury rates as of Ju</w:t>
      </w:r>
      <w:r w:rsidR="00061173">
        <w:t xml:space="preserve">ne 2013.  Further, I added expected issuance costs to </w:t>
      </w:r>
      <w:r w:rsidR="00FB0A4F">
        <w:t>calculate the</w:t>
      </w:r>
      <w:r w:rsidR="00061173">
        <w:t xml:space="preserve"> all-in rate for this new long-term debt.</w:t>
      </w:r>
    </w:p>
    <w:p w:rsidR="00B9214F" w:rsidRPr="00B9214F" w:rsidRDefault="00B9214F" w:rsidP="00B34FE3">
      <w:pPr>
        <w:pStyle w:val="BodyTextIndent"/>
        <w:keepNext/>
        <w:rPr>
          <w:b/>
        </w:rPr>
      </w:pPr>
      <w:r w:rsidRPr="00321E51">
        <w:rPr>
          <w:b/>
        </w:rPr>
        <w:t>Q.</w:t>
      </w:r>
      <w:r w:rsidRPr="00B9214F">
        <w:rPr>
          <w:b/>
        </w:rPr>
        <w:tab/>
        <w:t>What is the resulting cost for this new long-term debt?</w:t>
      </w:r>
    </w:p>
    <w:p w:rsidR="00B9214F" w:rsidRDefault="00B9214F" w:rsidP="00B34FE3">
      <w:pPr>
        <w:pStyle w:val="BodyTextIndent"/>
        <w:keepNext/>
      </w:pPr>
      <w:r>
        <w:t>A.</w:t>
      </w:r>
      <w:r>
        <w:tab/>
        <w:t>The Company’s current estimated credit spread for 30</w:t>
      </w:r>
      <w:r w:rsidR="00DC6D6D">
        <w:t>-</w:t>
      </w:r>
      <w:r>
        <w:t xml:space="preserve">year debt is </w:t>
      </w:r>
      <w:r w:rsidR="00FB58C8">
        <w:t>0.9</w:t>
      </w:r>
      <w:r w:rsidR="00864A1A">
        <w:t>0</w:t>
      </w:r>
      <w:r>
        <w:t xml:space="preserve"> percent.  The recent forward long-term Treasury rate for June 2013 is approximately </w:t>
      </w:r>
      <w:r w:rsidR="00FB58C8">
        <w:t>3.08</w:t>
      </w:r>
      <w:r w:rsidR="00F4118A">
        <w:t> </w:t>
      </w:r>
      <w:r>
        <w:t>percent.  Issuance costs for this maturity and type of debt add approximately six basis points (0.06 percent</w:t>
      </w:r>
      <w:r w:rsidR="002E00AA">
        <w:t>)</w:t>
      </w:r>
      <w:r>
        <w:t xml:space="preserve"> to the all</w:t>
      </w:r>
      <w:r w:rsidR="00DC6D6D">
        <w:t>-</w:t>
      </w:r>
      <w:r>
        <w:t>in cost.  There</w:t>
      </w:r>
      <w:r w:rsidR="002E00AA">
        <w:t xml:space="preserve">fore, </w:t>
      </w:r>
      <w:r>
        <w:t>the projected cost of the long-term debt is:</w:t>
      </w:r>
    </w:p>
    <w:tbl>
      <w:tblPr>
        <w:tblStyle w:val="TableGrid"/>
        <w:tblW w:w="0" w:type="auto"/>
        <w:tblInd w:w="2235" w:type="dxa"/>
        <w:tblLook w:val="04A0"/>
      </w:tblPr>
      <w:tblGrid>
        <w:gridCol w:w="2538"/>
        <w:gridCol w:w="1800"/>
      </w:tblGrid>
      <w:tr w:rsidR="004744EC" w:rsidRPr="00DC6D6D" w:rsidTr="00DC6D6D">
        <w:tc>
          <w:tcPr>
            <w:tcW w:w="2538" w:type="dxa"/>
          </w:tcPr>
          <w:p w:rsidR="00CA069B" w:rsidRPr="00D44F36" w:rsidRDefault="00CA069B" w:rsidP="00CA069B">
            <w:pPr>
              <w:pStyle w:val="BodyTextIndent"/>
              <w:keepNext/>
              <w:spacing w:line="240" w:lineRule="auto"/>
              <w:ind w:left="0" w:firstLine="0"/>
              <w:rPr>
                <w:rFonts w:ascii="Times New Roman" w:hAnsi="Times New Roman" w:cs="Times New Roman"/>
              </w:rPr>
            </w:pPr>
          </w:p>
        </w:tc>
        <w:tc>
          <w:tcPr>
            <w:tcW w:w="1800" w:type="dxa"/>
            <w:vAlign w:val="center"/>
          </w:tcPr>
          <w:p w:rsidR="00CA069B" w:rsidRPr="00D44F36" w:rsidRDefault="002E4528" w:rsidP="00CA069B">
            <w:pPr>
              <w:pStyle w:val="BodyTextIndent"/>
              <w:keepNext/>
              <w:spacing w:line="240" w:lineRule="auto"/>
              <w:ind w:left="0" w:firstLine="0"/>
              <w:jc w:val="center"/>
              <w:rPr>
                <w:rFonts w:ascii="Times New Roman" w:hAnsi="Times New Roman" w:cs="Times New Roman"/>
              </w:rPr>
            </w:pPr>
            <w:r w:rsidRPr="00D44F36">
              <w:rPr>
                <w:rFonts w:ascii="Times New Roman" w:hAnsi="Times New Roman" w:cs="Times New Roman"/>
              </w:rPr>
              <w:t>June 2013</w:t>
            </w:r>
          </w:p>
          <w:p w:rsidR="00CA069B" w:rsidRPr="00D44F36" w:rsidRDefault="002E4528" w:rsidP="00CA069B">
            <w:pPr>
              <w:pStyle w:val="BodyTextIndent"/>
              <w:keepNext/>
              <w:spacing w:line="240" w:lineRule="auto"/>
              <w:ind w:left="0" w:firstLine="0"/>
              <w:jc w:val="center"/>
              <w:rPr>
                <w:rFonts w:ascii="Times New Roman" w:hAnsi="Times New Roman" w:cs="Times New Roman"/>
              </w:rPr>
            </w:pPr>
            <w:r w:rsidRPr="00D44F36">
              <w:rPr>
                <w:rFonts w:ascii="Times New Roman" w:hAnsi="Times New Roman" w:cs="Times New Roman"/>
              </w:rPr>
              <w:t>Issuance</w:t>
            </w:r>
          </w:p>
        </w:tc>
      </w:tr>
      <w:tr w:rsidR="004744EC" w:rsidRPr="00DC6D6D" w:rsidTr="00FB58C8">
        <w:tc>
          <w:tcPr>
            <w:tcW w:w="2538" w:type="dxa"/>
          </w:tcPr>
          <w:p w:rsidR="00CA069B" w:rsidRPr="00D44F36" w:rsidRDefault="002E4528" w:rsidP="00CA069B">
            <w:pPr>
              <w:pStyle w:val="BodyTextIndent"/>
              <w:keepNext/>
              <w:spacing w:line="240" w:lineRule="auto"/>
              <w:ind w:left="0" w:firstLine="0"/>
              <w:rPr>
                <w:rFonts w:ascii="Times New Roman" w:hAnsi="Times New Roman" w:cs="Times New Roman"/>
              </w:rPr>
            </w:pPr>
            <w:r w:rsidRPr="00D44F36">
              <w:rPr>
                <w:rFonts w:ascii="Times New Roman" w:hAnsi="Times New Roman" w:cs="Times New Roman"/>
              </w:rPr>
              <w:t>Forward Treasury Rate</w:t>
            </w:r>
          </w:p>
        </w:tc>
        <w:tc>
          <w:tcPr>
            <w:tcW w:w="1800" w:type="dxa"/>
          </w:tcPr>
          <w:p w:rsidR="00CA069B" w:rsidRPr="00D44F36" w:rsidRDefault="002E4528" w:rsidP="00D44F36">
            <w:pPr>
              <w:pStyle w:val="BodyTextIndent"/>
              <w:keepNext/>
              <w:spacing w:line="240" w:lineRule="auto"/>
              <w:ind w:left="0" w:firstLine="0"/>
              <w:jc w:val="center"/>
              <w:rPr>
                <w:rFonts w:ascii="Times New Roman" w:hAnsi="Times New Roman" w:cs="Times New Roman"/>
              </w:rPr>
            </w:pPr>
            <w:r w:rsidRPr="00D44F36">
              <w:rPr>
                <w:rFonts w:ascii="Times New Roman" w:hAnsi="Times New Roman" w:cs="Times New Roman"/>
              </w:rPr>
              <w:t>3.08</w:t>
            </w:r>
            <w:r w:rsidR="00D44F36" w:rsidRPr="00D44F36">
              <w:rPr>
                <w:rFonts w:ascii="Times New Roman" w:hAnsi="Times New Roman" w:cs="Times New Roman"/>
              </w:rPr>
              <w:t>%</w:t>
            </w:r>
          </w:p>
        </w:tc>
      </w:tr>
      <w:tr w:rsidR="004744EC" w:rsidRPr="00DC6D6D" w:rsidTr="00FB58C8">
        <w:tc>
          <w:tcPr>
            <w:tcW w:w="2538" w:type="dxa"/>
          </w:tcPr>
          <w:p w:rsidR="00CA069B" w:rsidRPr="00D44F36" w:rsidRDefault="002E4528" w:rsidP="00CA069B">
            <w:pPr>
              <w:pStyle w:val="BodyTextIndent"/>
              <w:keepNext/>
              <w:spacing w:line="240" w:lineRule="auto"/>
              <w:ind w:left="0" w:firstLine="0"/>
              <w:rPr>
                <w:rFonts w:ascii="Times New Roman" w:hAnsi="Times New Roman" w:cs="Times New Roman"/>
              </w:rPr>
            </w:pPr>
            <w:r w:rsidRPr="00D44F36">
              <w:rPr>
                <w:rFonts w:ascii="Times New Roman" w:hAnsi="Times New Roman" w:cs="Times New Roman"/>
              </w:rPr>
              <w:t>Credit Spread</w:t>
            </w:r>
          </w:p>
        </w:tc>
        <w:tc>
          <w:tcPr>
            <w:tcW w:w="1800" w:type="dxa"/>
          </w:tcPr>
          <w:p w:rsidR="00CA069B" w:rsidRPr="00D44F36" w:rsidRDefault="002E4528" w:rsidP="00D44F36">
            <w:pPr>
              <w:pStyle w:val="BodyTextIndent"/>
              <w:keepNext/>
              <w:spacing w:line="240" w:lineRule="auto"/>
              <w:ind w:left="0" w:firstLine="0"/>
              <w:jc w:val="center"/>
              <w:rPr>
                <w:rFonts w:ascii="Times New Roman" w:hAnsi="Times New Roman" w:cs="Times New Roman"/>
              </w:rPr>
            </w:pPr>
            <w:r w:rsidRPr="00D44F36">
              <w:rPr>
                <w:rFonts w:ascii="Times New Roman" w:hAnsi="Times New Roman" w:cs="Times New Roman"/>
              </w:rPr>
              <w:t>0.90</w:t>
            </w:r>
            <w:r w:rsidR="00D44F36" w:rsidRPr="00D44F36">
              <w:rPr>
                <w:rFonts w:ascii="Times New Roman" w:hAnsi="Times New Roman" w:cs="Times New Roman"/>
              </w:rPr>
              <w:t>%</w:t>
            </w:r>
          </w:p>
        </w:tc>
      </w:tr>
      <w:tr w:rsidR="004744EC" w:rsidRPr="00DC6D6D" w:rsidTr="00FB58C8">
        <w:tc>
          <w:tcPr>
            <w:tcW w:w="2538" w:type="dxa"/>
          </w:tcPr>
          <w:p w:rsidR="00CA069B" w:rsidRPr="00D44F36" w:rsidRDefault="002E4528" w:rsidP="00CA069B">
            <w:pPr>
              <w:pStyle w:val="BodyTextIndent"/>
              <w:keepNext/>
              <w:spacing w:line="240" w:lineRule="auto"/>
              <w:ind w:left="0" w:firstLine="0"/>
              <w:rPr>
                <w:rFonts w:ascii="Times New Roman" w:hAnsi="Times New Roman" w:cs="Times New Roman"/>
              </w:rPr>
            </w:pPr>
            <w:r w:rsidRPr="00D44F36">
              <w:rPr>
                <w:rFonts w:ascii="Times New Roman" w:hAnsi="Times New Roman" w:cs="Times New Roman"/>
              </w:rPr>
              <w:t>Issuance  Costs</w:t>
            </w:r>
          </w:p>
        </w:tc>
        <w:tc>
          <w:tcPr>
            <w:tcW w:w="1800" w:type="dxa"/>
          </w:tcPr>
          <w:p w:rsidR="00CA069B" w:rsidRPr="00D44F36" w:rsidRDefault="002E4528" w:rsidP="00D44F36">
            <w:pPr>
              <w:pStyle w:val="BodyTextIndent"/>
              <w:keepNext/>
              <w:spacing w:line="240" w:lineRule="auto"/>
              <w:ind w:left="0" w:firstLine="0"/>
              <w:jc w:val="center"/>
              <w:rPr>
                <w:rFonts w:ascii="Times New Roman" w:hAnsi="Times New Roman" w:cs="Times New Roman"/>
              </w:rPr>
            </w:pPr>
            <w:r w:rsidRPr="00D44F36">
              <w:rPr>
                <w:rFonts w:ascii="Times New Roman" w:hAnsi="Times New Roman" w:cs="Times New Roman"/>
              </w:rPr>
              <w:t>0.06</w:t>
            </w:r>
            <w:r w:rsidR="00D44F36" w:rsidRPr="00D44F36">
              <w:rPr>
                <w:rFonts w:ascii="Times New Roman" w:hAnsi="Times New Roman" w:cs="Times New Roman"/>
              </w:rPr>
              <w:t>%</w:t>
            </w:r>
          </w:p>
        </w:tc>
      </w:tr>
      <w:tr w:rsidR="004744EC" w:rsidRPr="00DC6D6D" w:rsidTr="00FB58C8">
        <w:tc>
          <w:tcPr>
            <w:tcW w:w="2538" w:type="dxa"/>
          </w:tcPr>
          <w:p w:rsidR="00CA069B" w:rsidRPr="00D44F36" w:rsidRDefault="002E4528" w:rsidP="00CA069B">
            <w:pPr>
              <w:pStyle w:val="BodyTextIndent"/>
              <w:keepNext/>
              <w:spacing w:line="240" w:lineRule="auto"/>
              <w:ind w:left="0" w:firstLine="0"/>
              <w:rPr>
                <w:rFonts w:ascii="Times New Roman" w:hAnsi="Times New Roman" w:cs="Times New Roman"/>
              </w:rPr>
            </w:pPr>
            <w:r w:rsidRPr="00D44F36">
              <w:rPr>
                <w:rFonts w:ascii="Times New Roman" w:hAnsi="Times New Roman" w:cs="Times New Roman"/>
              </w:rPr>
              <w:t>All-in Cost</w:t>
            </w:r>
          </w:p>
        </w:tc>
        <w:tc>
          <w:tcPr>
            <w:tcW w:w="1800" w:type="dxa"/>
          </w:tcPr>
          <w:p w:rsidR="00CA069B" w:rsidRPr="00D44F36" w:rsidRDefault="002E4528" w:rsidP="00D44F36">
            <w:pPr>
              <w:pStyle w:val="BodyTextIndent"/>
              <w:keepNext/>
              <w:spacing w:line="240" w:lineRule="auto"/>
              <w:ind w:left="0" w:firstLine="0"/>
              <w:jc w:val="center"/>
              <w:rPr>
                <w:rFonts w:ascii="Times New Roman" w:hAnsi="Times New Roman" w:cs="Times New Roman"/>
              </w:rPr>
            </w:pPr>
            <w:r w:rsidRPr="00D44F36">
              <w:rPr>
                <w:rFonts w:ascii="Times New Roman" w:hAnsi="Times New Roman" w:cs="Times New Roman"/>
              </w:rPr>
              <w:t>4.04</w:t>
            </w:r>
            <w:r w:rsidR="00D44F36" w:rsidRPr="00D44F36">
              <w:rPr>
                <w:rFonts w:ascii="Times New Roman" w:hAnsi="Times New Roman" w:cs="Times New Roman"/>
              </w:rPr>
              <w:t>%</w:t>
            </w:r>
          </w:p>
        </w:tc>
      </w:tr>
    </w:tbl>
    <w:p w:rsidR="00CA069B" w:rsidRDefault="00CA069B" w:rsidP="00CA069B">
      <w:pPr>
        <w:pStyle w:val="BodyTextIndent"/>
        <w:widowControl w:val="0"/>
        <w:suppressLineNumbers/>
        <w:spacing w:line="240" w:lineRule="auto"/>
      </w:pPr>
    </w:p>
    <w:p w:rsidR="007E254B" w:rsidRDefault="00B34FE3" w:rsidP="007E254B">
      <w:pPr>
        <w:pStyle w:val="BodyTextIndent"/>
        <w:widowControl w:val="0"/>
        <w:rPr>
          <w:b/>
          <w:bCs/>
        </w:rPr>
      </w:pPr>
      <w:r w:rsidRPr="008B7E31">
        <w:rPr>
          <w:b/>
        </w:rPr>
        <w:t>Q.</w:t>
      </w:r>
      <w:r>
        <w:tab/>
      </w:r>
      <w:r>
        <w:rPr>
          <w:b/>
          <w:bCs/>
        </w:rPr>
        <w:t xml:space="preserve">A portion of the securities in the Company’s debt portfolio bears variable rates. </w:t>
      </w:r>
      <w:r w:rsidR="00DC6D6D">
        <w:rPr>
          <w:b/>
          <w:bCs/>
        </w:rPr>
        <w:t xml:space="preserve"> </w:t>
      </w:r>
      <w:r>
        <w:rPr>
          <w:b/>
          <w:bCs/>
        </w:rPr>
        <w:t xml:space="preserve">What is the basis for the projected interest rates used by the Company? </w:t>
      </w:r>
    </w:p>
    <w:p w:rsidR="00B34FE3" w:rsidRDefault="00B34FE3" w:rsidP="007E254B">
      <w:pPr>
        <w:pStyle w:val="BodyTextIndent"/>
        <w:widowControl w:val="0"/>
      </w:pPr>
      <w:r>
        <w:t>A.</w:t>
      </w:r>
      <w:r>
        <w:tab/>
        <w:t xml:space="preserve">The Company’s variable rate long-term debt in this case is in the form of tax-exempt debt. </w:t>
      </w:r>
      <w:r w:rsidR="00F4118A">
        <w:t xml:space="preserve"> </w:t>
      </w:r>
      <w:r>
        <w:t>Exhibit</w:t>
      </w:r>
      <w:r w:rsidR="008F0A74">
        <w:t xml:space="preserve"> No.___</w:t>
      </w:r>
      <w:r w:rsidR="00737AF4">
        <w:t>(BNW</w:t>
      </w:r>
      <w:r w:rsidR="008F0A74">
        <w:t>-12)</w:t>
      </w:r>
      <w:r w:rsidR="00C012A6">
        <w:t xml:space="preserve"> </w:t>
      </w:r>
      <w:r>
        <w:t xml:space="preserve">shows that, on average, these securities had been trading at approximately 92 percent of the 30-day London Inter Bank Offer Rate (“LIBOR”) for the period January 2000 through </w:t>
      </w:r>
      <w:r w:rsidR="00E50EE4">
        <w:t>September 2012</w:t>
      </w:r>
      <w:r>
        <w:t xml:space="preserve">.  Therefore, the Company has applied a factor of 92 percent to the forward 30-day LIBOR rates at </w:t>
      </w:r>
      <w:r w:rsidR="00C50049">
        <w:t>June 30, 2013</w:t>
      </w:r>
      <w:r w:rsidR="00DC6D6D">
        <w:t>,</w:t>
      </w:r>
      <w:r w:rsidR="00C50049">
        <w:t xml:space="preserve"> </w:t>
      </w:r>
      <w:r>
        <w:t xml:space="preserve">and then added the respective credit enhancement and remarketing fees for each floating rate tax-exempt bond. </w:t>
      </w:r>
      <w:r w:rsidR="00DC6D6D">
        <w:t xml:space="preserve"> </w:t>
      </w:r>
      <w:r>
        <w:t xml:space="preserve">Credit enhancement and remarketing fees are included in the interest component because these are costs that contribute directly to the interest rate on the securities and are charged to interest expense.  This method is consistent with the Company’s past practice when determining the cost of debt in previous Washington general rate cases </w:t>
      </w:r>
      <w:r w:rsidR="00DC6D6D">
        <w:t>and in</w:t>
      </w:r>
      <w:r>
        <w:t xml:space="preserve"> </w:t>
      </w:r>
      <w:r w:rsidR="00FB0A4F">
        <w:t>the</w:t>
      </w:r>
      <w:r>
        <w:t xml:space="preserve"> Company</w:t>
      </w:r>
      <w:r w:rsidR="00FB0A4F">
        <w:t>’s other jurisdictions</w:t>
      </w:r>
      <w:r>
        <w:t xml:space="preserve">. </w:t>
      </w:r>
    </w:p>
    <w:p w:rsidR="00B34FE3" w:rsidRDefault="00B34FE3" w:rsidP="00E45B69">
      <w:pPr>
        <w:pStyle w:val="BodyTextIndent"/>
        <w:ind w:left="0" w:firstLine="0"/>
        <w:rPr>
          <w:b/>
          <w:bCs/>
        </w:rPr>
      </w:pPr>
      <w:r>
        <w:rPr>
          <w:b/>
          <w:bCs/>
        </w:rPr>
        <w:t xml:space="preserve">Q. </w:t>
      </w:r>
      <w:r>
        <w:rPr>
          <w:b/>
          <w:bCs/>
        </w:rPr>
        <w:tab/>
        <w:t>What is the Company’s embedded cost of preferred stock?</w:t>
      </w:r>
    </w:p>
    <w:p w:rsidR="00B34FE3" w:rsidRPr="00B34FE3" w:rsidRDefault="00B34FE3" w:rsidP="00B34FE3">
      <w:pPr>
        <w:pStyle w:val="BodyTextIndent"/>
        <w:rPr>
          <w:bCs/>
        </w:rPr>
      </w:pPr>
      <w:r w:rsidRPr="00B34FE3">
        <w:rPr>
          <w:bCs/>
        </w:rPr>
        <w:t>A.</w:t>
      </w:r>
      <w:r w:rsidRPr="00B34FE3">
        <w:rPr>
          <w:bCs/>
        </w:rPr>
        <w:tab/>
        <w:t>Exhibit</w:t>
      </w:r>
      <w:r w:rsidR="008F0A74">
        <w:rPr>
          <w:bCs/>
        </w:rPr>
        <w:t xml:space="preserve"> No.___(</w:t>
      </w:r>
      <w:r w:rsidRPr="00B34FE3">
        <w:rPr>
          <w:bCs/>
        </w:rPr>
        <w:t>BNW</w:t>
      </w:r>
      <w:r w:rsidR="008F0A74">
        <w:rPr>
          <w:bCs/>
        </w:rPr>
        <w:t>-13)</w:t>
      </w:r>
      <w:r w:rsidRPr="00B34FE3">
        <w:rPr>
          <w:bCs/>
        </w:rPr>
        <w:t xml:space="preserve"> shows the embedded cost of preferred stock at June 30, 2013</w:t>
      </w:r>
      <w:r w:rsidR="00DC6D6D">
        <w:rPr>
          <w:bCs/>
        </w:rPr>
        <w:t>,</w:t>
      </w:r>
      <w:r w:rsidRPr="00B34FE3">
        <w:rPr>
          <w:bCs/>
        </w:rPr>
        <w:t xml:space="preserve"> to be 5.4</w:t>
      </w:r>
      <w:r w:rsidR="008F0A74">
        <w:rPr>
          <w:bCs/>
        </w:rPr>
        <w:t>3</w:t>
      </w:r>
      <w:r w:rsidRPr="00B34FE3">
        <w:rPr>
          <w:bCs/>
        </w:rPr>
        <w:t xml:space="preserve"> percent.</w:t>
      </w:r>
    </w:p>
    <w:p w:rsidR="00785152" w:rsidRDefault="00785152" w:rsidP="00E45B69">
      <w:pPr>
        <w:pStyle w:val="BodyTextIndent"/>
        <w:ind w:left="0" w:firstLine="0"/>
        <w:rPr>
          <w:b/>
          <w:bCs/>
        </w:rPr>
      </w:pPr>
      <w:r>
        <w:rPr>
          <w:b/>
          <w:bCs/>
        </w:rPr>
        <w:t>Q.</w:t>
      </w:r>
      <w:r>
        <w:rPr>
          <w:b/>
          <w:bCs/>
        </w:rPr>
        <w:tab/>
        <w:t>How did you calculate the embedded cost of preferred stock?</w:t>
      </w:r>
    </w:p>
    <w:p w:rsidR="00785152" w:rsidRDefault="00785152" w:rsidP="00E45B69">
      <w:pPr>
        <w:pStyle w:val="BodyTextIndent"/>
      </w:pPr>
      <w:r>
        <w:t>A.</w:t>
      </w:r>
      <w:r>
        <w:tab/>
        <w:t xml:space="preserve">The embedded cost of preferred stock was calculated by first determining the cost of money for each issue.  This is the result of dividing the annual dividend rate by the per share net proceeds for each series of preferred stock.  The cost associated with each series was then multiplied by the total par or stated value outstanding for each issue to yield the annualized cost for each issue.  The sum of annualized costs for each issue produces the total annual cost for the entire preferred stock portfolio.  </w:t>
      </w:r>
      <w:r w:rsidR="00FB0A4F">
        <w:t>T</w:t>
      </w:r>
      <w:r>
        <w:t>he total annual cost</w:t>
      </w:r>
      <w:r w:rsidR="00FB0A4F">
        <w:t xml:space="preserve"> is then divided</w:t>
      </w:r>
      <w:r>
        <w:t xml:space="preserve"> by the total amount of preferred stock outstanding to produce the weighted</w:t>
      </w:r>
      <w:r w:rsidR="00F4118A">
        <w:t xml:space="preserve"> average cost for all issues.  </w:t>
      </w:r>
      <w:bookmarkStart w:id="9" w:name="_GoBack"/>
      <w:bookmarkEnd w:id="9"/>
      <w:r w:rsidR="00FB0A4F">
        <w:t xml:space="preserve">The result is </w:t>
      </w:r>
      <w:r>
        <w:t>the Company’s embedded cost of preferred stock</w:t>
      </w:r>
      <w:r w:rsidR="00FB0A4F">
        <w:t xml:space="preserve"> of 5.43 percent</w:t>
      </w:r>
      <w:r>
        <w:t xml:space="preserve">. </w:t>
      </w:r>
    </w:p>
    <w:p w:rsidR="00785152" w:rsidRDefault="00B34FE3" w:rsidP="00524A59">
      <w:pPr>
        <w:widowControl w:val="0"/>
        <w:rPr>
          <w:b/>
          <w:bCs/>
        </w:rPr>
      </w:pPr>
      <w:r w:rsidRPr="00B34FE3">
        <w:rPr>
          <w:b/>
        </w:rPr>
        <w:t>Q.</w:t>
      </w:r>
      <w:r w:rsidR="00196C99">
        <w:tab/>
      </w:r>
      <w:r w:rsidR="00785152">
        <w:rPr>
          <w:b/>
          <w:bCs/>
        </w:rPr>
        <w:t>Do</w:t>
      </w:r>
      <w:r w:rsidR="00376D93">
        <w:rPr>
          <w:b/>
          <w:bCs/>
        </w:rPr>
        <w:t xml:space="preserve">es this conclude your </w:t>
      </w:r>
      <w:r w:rsidR="00E40491">
        <w:rPr>
          <w:b/>
          <w:bCs/>
        </w:rPr>
        <w:t xml:space="preserve">direct </w:t>
      </w:r>
      <w:r w:rsidR="00376D93">
        <w:rPr>
          <w:b/>
          <w:bCs/>
        </w:rPr>
        <w:t>testimony</w:t>
      </w:r>
      <w:r w:rsidR="00516340">
        <w:rPr>
          <w:b/>
          <w:bCs/>
        </w:rPr>
        <w:t>?</w:t>
      </w:r>
    </w:p>
    <w:p w:rsidR="00785152" w:rsidRDefault="00785152" w:rsidP="00E45B69">
      <w:pPr>
        <w:pStyle w:val="BodyTextIndent"/>
        <w:ind w:left="0" w:firstLine="0"/>
      </w:pPr>
      <w:r>
        <w:t>A.</w:t>
      </w:r>
      <w:r>
        <w:tab/>
        <w:t>Yes.</w:t>
      </w:r>
    </w:p>
    <w:sectPr w:rsidR="00785152" w:rsidSect="005E2DBB">
      <w:footerReference w:type="default" r:id="rId13"/>
      <w:type w:val="continuous"/>
      <w:pgSz w:w="12240" w:h="15840" w:code="1"/>
      <w:pgMar w:top="1440" w:right="1800" w:bottom="1440" w:left="1800" w:header="720" w:footer="720" w:gutter="0"/>
      <w:lnNumType w:countBy="1"/>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3076" w:rsidRDefault="00563076">
      <w:r>
        <w:separator/>
      </w:r>
    </w:p>
  </w:endnote>
  <w:endnote w:type="continuationSeparator" w:id="0">
    <w:p w:rsidR="00563076" w:rsidRDefault="005630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Malgun Gothic">
    <w:panose1 w:val="00000000000000000000"/>
    <w:charset w:val="81"/>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890" w:rsidRDefault="008808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076" w:rsidRDefault="00563076" w:rsidP="000F52AA">
    <w:pPr>
      <w:pStyle w:val="Footer"/>
      <w:tabs>
        <w:tab w:val="clear" w:pos="4320"/>
      </w:tabs>
      <w:spacing w:line="240" w:lineRule="auto"/>
      <w:rPr>
        <w:rStyle w:val="PageNumber"/>
      </w:rPr>
    </w:pPr>
    <w:r>
      <w:rPr>
        <w:rStyle w:val="PageNumber"/>
      </w:rPr>
      <w:t>Direct Testimony of Bruce N. Williams</w:t>
    </w:r>
    <w:r>
      <w:rPr>
        <w:rStyle w:val="PageNumber"/>
      </w:rPr>
      <w:tab/>
      <w:t>Exhibit No.___(BNW-1T)</w:t>
    </w:r>
  </w:p>
  <w:p w:rsidR="00563076" w:rsidRDefault="00563076" w:rsidP="000F52AA">
    <w:pPr>
      <w:pStyle w:val="Footer"/>
      <w:tabs>
        <w:tab w:val="clear" w:pos="4320"/>
      </w:tabs>
      <w:spacing w:line="240" w:lineRule="auto"/>
      <w:jc w:val="right"/>
    </w:pPr>
    <w:r>
      <w:rPr>
        <w:rStyle w:val="PageNumber"/>
      </w:rPr>
      <w:t>Page i</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890" w:rsidRDefault="0088089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076" w:rsidRDefault="00563076" w:rsidP="000F52AA">
    <w:pPr>
      <w:pStyle w:val="Footer"/>
      <w:tabs>
        <w:tab w:val="clear" w:pos="4320"/>
      </w:tabs>
      <w:spacing w:line="240" w:lineRule="auto"/>
      <w:rPr>
        <w:rStyle w:val="PageNumber"/>
      </w:rPr>
    </w:pPr>
    <w:r>
      <w:rPr>
        <w:rStyle w:val="PageNumber"/>
      </w:rPr>
      <w:t>Direct Testimony of Bruce N. Williams</w:t>
    </w:r>
    <w:r>
      <w:rPr>
        <w:rStyle w:val="PageNumber"/>
      </w:rPr>
      <w:tab/>
      <w:t>Exhibit No.___(BNW-1T)</w:t>
    </w:r>
  </w:p>
  <w:p w:rsidR="00563076" w:rsidRDefault="00563076" w:rsidP="000F52AA">
    <w:pPr>
      <w:pStyle w:val="Footer"/>
      <w:tabs>
        <w:tab w:val="clear" w:pos="4320"/>
      </w:tabs>
      <w:spacing w:line="240" w:lineRule="auto"/>
      <w:jc w:val="right"/>
    </w:pPr>
    <w:r>
      <w:rPr>
        <w:rStyle w:val="PageNumber"/>
      </w:rPr>
      <w:t xml:space="preserve">Page </w:t>
    </w:r>
    <w:r w:rsidR="0036566A">
      <w:rPr>
        <w:rStyle w:val="PageNumber"/>
      </w:rPr>
      <w:fldChar w:fldCharType="begin"/>
    </w:r>
    <w:r>
      <w:rPr>
        <w:rStyle w:val="PageNumber"/>
      </w:rPr>
      <w:instrText xml:space="preserve"> PAGE </w:instrText>
    </w:r>
    <w:r w:rsidR="0036566A">
      <w:rPr>
        <w:rStyle w:val="PageNumber"/>
      </w:rPr>
      <w:fldChar w:fldCharType="separate"/>
    </w:r>
    <w:r w:rsidR="00880890">
      <w:rPr>
        <w:rStyle w:val="PageNumber"/>
        <w:noProof/>
      </w:rPr>
      <w:t>1</w:t>
    </w:r>
    <w:r w:rsidR="0036566A">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3076" w:rsidRDefault="00563076">
      <w:r>
        <w:separator/>
      </w:r>
    </w:p>
  </w:footnote>
  <w:footnote w:type="continuationSeparator" w:id="0">
    <w:p w:rsidR="00563076" w:rsidRDefault="00563076">
      <w:r>
        <w:continuationSeparator/>
      </w:r>
    </w:p>
  </w:footnote>
  <w:footnote w:id="1">
    <w:p w:rsidR="00563076" w:rsidRDefault="00563076" w:rsidP="00CA069B">
      <w:pPr>
        <w:pStyle w:val="FootnoteText"/>
        <w:spacing w:line="240" w:lineRule="auto"/>
        <w:ind w:left="0" w:firstLine="0"/>
      </w:pPr>
      <w:r>
        <w:rPr>
          <w:rStyle w:val="FootnoteReference"/>
        </w:rPr>
        <w:footnoteRef/>
      </w:r>
      <w:r>
        <w:t xml:space="preserve"> Standard &amp; Poor’s Ratings Direct—Assessing U.S. Utility Regulation Environments (March 11, 2010).</w:t>
      </w:r>
    </w:p>
  </w:footnote>
  <w:footnote w:id="2">
    <w:p w:rsidR="00563076" w:rsidRDefault="00563076" w:rsidP="00CA069B">
      <w:pPr>
        <w:pStyle w:val="FootnoteText"/>
        <w:spacing w:line="240" w:lineRule="auto"/>
        <w:ind w:left="0" w:firstLine="0"/>
      </w:pPr>
      <w:r>
        <w:rPr>
          <w:rStyle w:val="FootnoteReference"/>
        </w:rPr>
        <w:footnoteRef/>
      </w:r>
      <w:r>
        <w:t xml:space="preserve"> Moody’s Investors Service Regulated Electric and Gas Utilities (August 2009).</w:t>
      </w:r>
    </w:p>
  </w:footnote>
  <w:footnote w:id="3">
    <w:p w:rsidR="00563076" w:rsidRDefault="00563076" w:rsidP="00CA069B">
      <w:pPr>
        <w:pStyle w:val="FootnoteText"/>
        <w:spacing w:line="240" w:lineRule="auto"/>
        <w:ind w:left="0" w:firstLine="0"/>
      </w:pPr>
      <w:r>
        <w:rPr>
          <w:rStyle w:val="FootnoteReference"/>
        </w:rPr>
        <w:footnoteRef/>
      </w:r>
      <w:r>
        <w:t xml:space="preserve"> Standard &amp; Poor’s Ratings Direct (October 23, 2012), attached as Exhibit No.___(BNW-2).</w:t>
      </w:r>
    </w:p>
  </w:footnote>
  <w:footnote w:id="4">
    <w:p w:rsidR="00563076" w:rsidRDefault="00563076" w:rsidP="004C408C">
      <w:pPr>
        <w:pStyle w:val="FootnoteText"/>
        <w:spacing w:line="240" w:lineRule="auto"/>
      </w:pPr>
      <w:r>
        <w:rPr>
          <w:rStyle w:val="FootnoteReference"/>
        </w:rPr>
        <w:footnoteRef/>
      </w:r>
      <w:r>
        <w:t xml:space="preserve"> Standard &amp; Poor’s Ratings Direct (April 26, 2012), attached as Exhibit No.___(BNW-3).</w:t>
      </w:r>
    </w:p>
  </w:footnote>
  <w:footnote w:id="5">
    <w:p w:rsidR="00563076" w:rsidRDefault="00563076">
      <w:pPr>
        <w:pStyle w:val="FootnoteText"/>
        <w:spacing w:line="240" w:lineRule="auto"/>
      </w:pPr>
      <w:r>
        <w:rPr>
          <w:rStyle w:val="FootnoteReference"/>
        </w:rPr>
        <w:footnoteRef/>
      </w:r>
      <w:r>
        <w:t xml:space="preserve"> FitchRatings (November 16, 2011), attached as Exhibit No.___(BNW-4).</w:t>
      </w:r>
    </w:p>
  </w:footnote>
  <w:footnote w:id="6">
    <w:p w:rsidR="00563076" w:rsidRDefault="00563076" w:rsidP="00CA069B">
      <w:pPr>
        <w:pStyle w:val="FootnoteText"/>
        <w:spacing w:line="240" w:lineRule="auto"/>
        <w:ind w:left="0" w:firstLine="0"/>
      </w:pPr>
      <w:r>
        <w:rPr>
          <w:rStyle w:val="FootnoteReference"/>
        </w:rPr>
        <w:footnoteRef/>
      </w:r>
      <w:r>
        <w:t xml:space="preserve"> Moody’s Investors Service (May 8, 2012), attached as Exhibit No.___(BNW-5).</w:t>
      </w:r>
    </w:p>
  </w:footnote>
  <w:footnote w:id="7">
    <w:p w:rsidR="00563076" w:rsidRDefault="00563076" w:rsidP="00CA069B">
      <w:pPr>
        <w:pStyle w:val="FootnoteText"/>
        <w:spacing w:line="240" w:lineRule="auto"/>
        <w:ind w:left="0" w:firstLine="0"/>
      </w:pPr>
      <w:r>
        <w:rPr>
          <w:rStyle w:val="FootnoteReference"/>
        </w:rPr>
        <w:footnoteRef/>
      </w:r>
      <w:r>
        <w:t xml:space="preserve"> FitchRatings (November 16, 2011), Exhibit No.___(BNW-4).</w:t>
      </w:r>
    </w:p>
  </w:footnote>
  <w:footnote w:id="8">
    <w:p w:rsidR="00563076" w:rsidRDefault="00563076" w:rsidP="00CA069B">
      <w:pPr>
        <w:pStyle w:val="FootnoteText"/>
        <w:spacing w:line="240" w:lineRule="auto"/>
      </w:pPr>
      <w:r>
        <w:rPr>
          <w:rStyle w:val="FootnoteReference"/>
        </w:rPr>
        <w:footnoteRef/>
      </w:r>
      <w:r>
        <w:t xml:space="preserve"> FitchRatings (January 6, 2011), attached as Exhibit No.___(BNW-6).</w:t>
      </w:r>
    </w:p>
  </w:footnote>
  <w:footnote w:id="9">
    <w:p w:rsidR="00563076" w:rsidRDefault="00563076" w:rsidP="00CA069B">
      <w:pPr>
        <w:pStyle w:val="FootnoteText"/>
        <w:spacing w:line="240" w:lineRule="auto"/>
      </w:pPr>
      <w:r>
        <w:rPr>
          <w:rStyle w:val="FootnoteReference"/>
        </w:rPr>
        <w:footnoteRef/>
      </w:r>
      <w:r>
        <w:t xml:space="preserve"> Moody’s Investors Service (May 9, 2011), attached as Exhibit No.___(BNW-7).</w:t>
      </w:r>
    </w:p>
  </w:footnote>
  <w:footnote w:id="10">
    <w:p w:rsidR="00563076" w:rsidRDefault="00563076" w:rsidP="00CA069B">
      <w:pPr>
        <w:pStyle w:val="FootnoteText"/>
        <w:spacing w:line="240" w:lineRule="auto"/>
      </w:pPr>
      <w:r>
        <w:rPr>
          <w:rStyle w:val="FootnoteReference"/>
        </w:rPr>
        <w:footnoteRef/>
      </w:r>
      <w:r>
        <w:t xml:space="preserve"> Moody’s Investors Service (May 8, 2012), Exhibit No.___(BNW-5).</w:t>
      </w:r>
    </w:p>
  </w:footnote>
  <w:footnote w:id="11">
    <w:p w:rsidR="00563076" w:rsidRDefault="00563076" w:rsidP="00CA069B">
      <w:pPr>
        <w:pStyle w:val="FootnoteText"/>
        <w:spacing w:line="240" w:lineRule="auto"/>
      </w:pPr>
      <w:r>
        <w:rPr>
          <w:rStyle w:val="FootnoteReference"/>
        </w:rPr>
        <w:footnoteRef/>
      </w:r>
      <w:r>
        <w:t xml:space="preserve"> Standard &amp; Poor’s Ratings Direct (April 28, 2011), attached as Exhibit No.___(BNW-8).</w:t>
      </w:r>
    </w:p>
  </w:footnote>
  <w:footnote w:id="12">
    <w:p w:rsidR="00563076" w:rsidRDefault="00563076" w:rsidP="00B719F0">
      <w:pPr>
        <w:pStyle w:val="FootnoteText"/>
        <w:spacing w:line="240" w:lineRule="auto"/>
      </w:pPr>
      <w:r>
        <w:rPr>
          <w:rStyle w:val="FootnoteReference"/>
        </w:rPr>
        <w:footnoteRef/>
      </w:r>
      <w:r>
        <w:t xml:space="preserve"> Standard &amp; Poor’s Ratings Direct (October 23, 2012), Exhibit No.___(BNW-2).</w:t>
      </w:r>
    </w:p>
  </w:footnote>
  <w:footnote w:id="13">
    <w:p w:rsidR="00563076" w:rsidRDefault="00563076" w:rsidP="00B719F0">
      <w:pPr>
        <w:pStyle w:val="FootnoteText"/>
        <w:spacing w:line="240" w:lineRule="auto"/>
      </w:pPr>
      <w:r>
        <w:rPr>
          <w:rStyle w:val="FootnoteReference"/>
        </w:rPr>
        <w:footnoteRef/>
      </w:r>
      <w:r>
        <w:t xml:space="preserve"> Moody’s Investor Service (May 8, 2012), Exhibit No.___(BNW-5).</w:t>
      </w:r>
    </w:p>
  </w:footnote>
  <w:footnote w:id="14">
    <w:p w:rsidR="00563076" w:rsidRDefault="00563076" w:rsidP="00B719F0">
      <w:pPr>
        <w:pStyle w:val="FootnoteText"/>
        <w:spacing w:line="240" w:lineRule="auto"/>
      </w:pPr>
      <w:r>
        <w:rPr>
          <w:rStyle w:val="FootnoteReference"/>
        </w:rPr>
        <w:footnoteRef/>
      </w:r>
      <w:r>
        <w:t xml:space="preserve"> FitchRatings (November 16, 2011), Exhibit No.___(BNW-4).</w:t>
      </w:r>
    </w:p>
  </w:footnote>
  <w:footnote w:id="15">
    <w:p w:rsidR="00563076" w:rsidRDefault="00563076" w:rsidP="00CA069B">
      <w:pPr>
        <w:pStyle w:val="FootnoteText"/>
        <w:spacing w:line="240" w:lineRule="auto"/>
        <w:ind w:left="0" w:firstLine="0"/>
      </w:pPr>
      <w:r>
        <w:rPr>
          <w:rStyle w:val="FootnoteReference"/>
        </w:rPr>
        <w:footnoteRef/>
      </w:r>
      <w:r>
        <w:t xml:space="preserve"> </w:t>
      </w:r>
      <w:r w:rsidRPr="002B533D">
        <w:rPr>
          <w:i/>
        </w:rPr>
        <w:t>Wash. Utils. &amp; Transp. Comm’n</w:t>
      </w:r>
      <w:r>
        <w:t>, Docket No. UE-100749, Order 06</w:t>
      </w:r>
      <w:r w:rsidRPr="005E3B8B">
        <w:t xml:space="preserve"> </w:t>
      </w:r>
      <w:r>
        <w:t>at ¶ 40 (March 25, 2011).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890" w:rsidRDefault="0088089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076" w:rsidRDefault="00563076" w:rsidP="00CD101B">
    <w:pPr>
      <w:pStyle w:val="Header"/>
      <w:tabs>
        <w:tab w:val="clear" w:pos="8640"/>
        <w:tab w:val="right" w:pos="8550"/>
      </w:tabs>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890" w:rsidRDefault="0088089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04F57"/>
    <w:multiLevelType w:val="singleLevel"/>
    <w:tmpl w:val="15ACE200"/>
    <w:lvl w:ilvl="0">
      <w:start w:val="17"/>
      <w:numFmt w:val="upperLetter"/>
      <w:lvlText w:val="%1."/>
      <w:lvlJc w:val="left"/>
      <w:pPr>
        <w:tabs>
          <w:tab w:val="num" w:pos="720"/>
        </w:tabs>
        <w:ind w:left="720" w:hanging="720"/>
      </w:pPr>
      <w:rPr>
        <w:rFonts w:cs="Times New Roman" w:hint="default"/>
      </w:rPr>
    </w:lvl>
  </w:abstractNum>
  <w:abstractNum w:abstractNumId="1">
    <w:nsid w:val="0928017C"/>
    <w:multiLevelType w:val="singleLevel"/>
    <w:tmpl w:val="04090015"/>
    <w:lvl w:ilvl="0">
      <w:start w:val="17"/>
      <w:numFmt w:val="upperLetter"/>
      <w:lvlText w:val="%1."/>
      <w:lvlJc w:val="left"/>
      <w:pPr>
        <w:tabs>
          <w:tab w:val="num" w:pos="360"/>
        </w:tabs>
        <w:ind w:left="360" w:hanging="360"/>
      </w:pPr>
      <w:rPr>
        <w:rFonts w:cs="Times New Roman" w:hint="default"/>
      </w:rPr>
    </w:lvl>
  </w:abstractNum>
  <w:abstractNum w:abstractNumId="2">
    <w:nsid w:val="0BF858F0"/>
    <w:multiLevelType w:val="singleLevel"/>
    <w:tmpl w:val="8DCE93C6"/>
    <w:lvl w:ilvl="0">
      <w:start w:val="17"/>
      <w:numFmt w:val="upperLetter"/>
      <w:lvlText w:val="%1."/>
      <w:lvlJc w:val="left"/>
      <w:pPr>
        <w:tabs>
          <w:tab w:val="num" w:pos="720"/>
        </w:tabs>
        <w:ind w:left="720" w:hanging="720"/>
      </w:pPr>
      <w:rPr>
        <w:rFonts w:cs="Times New Roman" w:hint="default"/>
      </w:rPr>
    </w:lvl>
  </w:abstractNum>
  <w:abstractNum w:abstractNumId="3">
    <w:nsid w:val="0E01002D"/>
    <w:multiLevelType w:val="hybridMultilevel"/>
    <w:tmpl w:val="B47A54F6"/>
    <w:lvl w:ilvl="0" w:tplc="0DA4BDCC">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EB03597"/>
    <w:multiLevelType w:val="singleLevel"/>
    <w:tmpl w:val="2C0E6A5E"/>
    <w:lvl w:ilvl="0">
      <w:start w:val="17"/>
      <w:numFmt w:val="upperLetter"/>
      <w:lvlText w:val="%1."/>
      <w:lvlJc w:val="left"/>
      <w:pPr>
        <w:tabs>
          <w:tab w:val="num" w:pos="720"/>
        </w:tabs>
        <w:ind w:left="720" w:hanging="720"/>
      </w:pPr>
      <w:rPr>
        <w:rFonts w:cs="Times New Roman" w:hint="default"/>
      </w:rPr>
    </w:lvl>
  </w:abstractNum>
  <w:abstractNum w:abstractNumId="5">
    <w:nsid w:val="0F136DF6"/>
    <w:multiLevelType w:val="singleLevel"/>
    <w:tmpl w:val="A21A6D8C"/>
    <w:lvl w:ilvl="0">
      <w:start w:val="17"/>
      <w:numFmt w:val="upperLetter"/>
      <w:lvlText w:val="%1."/>
      <w:lvlJc w:val="left"/>
      <w:pPr>
        <w:tabs>
          <w:tab w:val="num" w:pos="720"/>
        </w:tabs>
        <w:ind w:left="720" w:hanging="720"/>
      </w:pPr>
      <w:rPr>
        <w:rFonts w:cs="Times New Roman" w:hint="default"/>
      </w:rPr>
    </w:lvl>
  </w:abstractNum>
  <w:abstractNum w:abstractNumId="6">
    <w:nsid w:val="0FBA0E24"/>
    <w:multiLevelType w:val="singleLevel"/>
    <w:tmpl w:val="5ACCD2CE"/>
    <w:lvl w:ilvl="0">
      <w:start w:val="1"/>
      <w:numFmt w:val="upperLetter"/>
      <w:lvlText w:val="%1."/>
      <w:lvlJc w:val="left"/>
      <w:pPr>
        <w:tabs>
          <w:tab w:val="num" w:pos="720"/>
        </w:tabs>
        <w:ind w:left="720" w:hanging="720"/>
      </w:pPr>
      <w:rPr>
        <w:rFonts w:cs="Times New Roman" w:hint="default"/>
      </w:rPr>
    </w:lvl>
  </w:abstractNum>
  <w:abstractNum w:abstractNumId="7">
    <w:nsid w:val="12492BC6"/>
    <w:multiLevelType w:val="hybridMultilevel"/>
    <w:tmpl w:val="8E76DE6A"/>
    <w:lvl w:ilvl="0" w:tplc="3A8A39CA">
      <w:start w:val="17"/>
      <w:numFmt w:val="upperLetter"/>
      <w:lvlText w:val="%1."/>
      <w:lvlJc w:val="left"/>
      <w:pPr>
        <w:tabs>
          <w:tab w:val="num" w:pos="720"/>
        </w:tabs>
        <w:ind w:left="720" w:hanging="360"/>
      </w:pPr>
      <w:rPr>
        <w:rFonts w:cs="Times New Roman" w:hint="default"/>
        <w:b/>
        <w:bCs/>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3A42576"/>
    <w:multiLevelType w:val="singleLevel"/>
    <w:tmpl w:val="8F60B86A"/>
    <w:lvl w:ilvl="0">
      <w:start w:val="1"/>
      <w:numFmt w:val="upperLetter"/>
      <w:lvlText w:val="%1."/>
      <w:lvlJc w:val="left"/>
      <w:pPr>
        <w:tabs>
          <w:tab w:val="num" w:pos="720"/>
        </w:tabs>
        <w:ind w:left="720" w:hanging="720"/>
      </w:pPr>
      <w:rPr>
        <w:rFonts w:cs="Times New Roman" w:hint="default"/>
      </w:rPr>
    </w:lvl>
  </w:abstractNum>
  <w:abstractNum w:abstractNumId="9">
    <w:nsid w:val="14F355CD"/>
    <w:multiLevelType w:val="singleLevel"/>
    <w:tmpl w:val="06508F40"/>
    <w:lvl w:ilvl="0">
      <w:start w:val="17"/>
      <w:numFmt w:val="upperLetter"/>
      <w:lvlText w:val="%1."/>
      <w:lvlJc w:val="left"/>
      <w:pPr>
        <w:tabs>
          <w:tab w:val="num" w:pos="720"/>
        </w:tabs>
        <w:ind w:left="720" w:hanging="720"/>
      </w:pPr>
      <w:rPr>
        <w:rFonts w:cs="Times New Roman" w:hint="default"/>
        <w:b/>
      </w:rPr>
    </w:lvl>
  </w:abstractNum>
  <w:abstractNum w:abstractNumId="10">
    <w:nsid w:val="16C24C82"/>
    <w:multiLevelType w:val="singleLevel"/>
    <w:tmpl w:val="9B4C264E"/>
    <w:lvl w:ilvl="0">
      <w:start w:val="17"/>
      <w:numFmt w:val="upperLetter"/>
      <w:lvlText w:val="%1."/>
      <w:lvlJc w:val="left"/>
      <w:pPr>
        <w:tabs>
          <w:tab w:val="num" w:pos="720"/>
        </w:tabs>
        <w:ind w:left="720" w:hanging="720"/>
      </w:pPr>
      <w:rPr>
        <w:rFonts w:cs="Times New Roman" w:hint="default"/>
      </w:rPr>
    </w:lvl>
  </w:abstractNum>
  <w:abstractNum w:abstractNumId="11">
    <w:nsid w:val="17E027B6"/>
    <w:multiLevelType w:val="singleLevel"/>
    <w:tmpl w:val="63E4A964"/>
    <w:lvl w:ilvl="0">
      <w:start w:val="17"/>
      <w:numFmt w:val="upperLetter"/>
      <w:lvlText w:val="%1."/>
      <w:lvlJc w:val="left"/>
      <w:pPr>
        <w:tabs>
          <w:tab w:val="num" w:pos="720"/>
        </w:tabs>
        <w:ind w:left="720" w:hanging="720"/>
      </w:pPr>
      <w:rPr>
        <w:rFonts w:cs="Times New Roman" w:hint="default"/>
      </w:rPr>
    </w:lvl>
  </w:abstractNum>
  <w:abstractNum w:abstractNumId="12">
    <w:nsid w:val="1926056F"/>
    <w:multiLevelType w:val="singleLevel"/>
    <w:tmpl w:val="04090015"/>
    <w:lvl w:ilvl="0">
      <w:start w:val="17"/>
      <w:numFmt w:val="upperLetter"/>
      <w:lvlText w:val="%1."/>
      <w:lvlJc w:val="left"/>
      <w:pPr>
        <w:tabs>
          <w:tab w:val="num" w:pos="360"/>
        </w:tabs>
        <w:ind w:left="360" w:hanging="360"/>
      </w:pPr>
      <w:rPr>
        <w:rFonts w:cs="Times New Roman" w:hint="default"/>
      </w:rPr>
    </w:lvl>
  </w:abstractNum>
  <w:abstractNum w:abstractNumId="13">
    <w:nsid w:val="1D143778"/>
    <w:multiLevelType w:val="hybridMultilevel"/>
    <w:tmpl w:val="69EE6FE2"/>
    <w:lvl w:ilvl="0" w:tplc="4C829A98">
      <w:start w:val="1"/>
      <w:numFmt w:val="upperLetter"/>
      <w:lvlText w:val="%1."/>
      <w:lvlJc w:val="left"/>
      <w:pPr>
        <w:tabs>
          <w:tab w:val="num" w:pos="2160"/>
        </w:tabs>
        <w:ind w:hanging="360"/>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14">
    <w:nsid w:val="1D1C5FA4"/>
    <w:multiLevelType w:val="singleLevel"/>
    <w:tmpl w:val="C2167736"/>
    <w:lvl w:ilvl="0">
      <w:start w:val="17"/>
      <w:numFmt w:val="upperLetter"/>
      <w:lvlText w:val="%1."/>
      <w:lvlJc w:val="left"/>
      <w:pPr>
        <w:tabs>
          <w:tab w:val="num" w:pos="720"/>
        </w:tabs>
        <w:ind w:left="720" w:hanging="720"/>
      </w:pPr>
      <w:rPr>
        <w:rFonts w:cs="Times New Roman" w:hint="default"/>
      </w:rPr>
    </w:lvl>
  </w:abstractNum>
  <w:abstractNum w:abstractNumId="15">
    <w:nsid w:val="21027531"/>
    <w:multiLevelType w:val="singleLevel"/>
    <w:tmpl w:val="6DB2CF7A"/>
    <w:lvl w:ilvl="0">
      <w:start w:val="17"/>
      <w:numFmt w:val="upperLetter"/>
      <w:lvlText w:val="%1."/>
      <w:lvlJc w:val="left"/>
      <w:pPr>
        <w:tabs>
          <w:tab w:val="num" w:pos="720"/>
        </w:tabs>
        <w:ind w:left="720" w:hanging="720"/>
      </w:pPr>
      <w:rPr>
        <w:rFonts w:cs="Times New Roman" w:hint="default"/>
      </w:rPr>
    </w:lvl>
  </w:abstractNum>
  <w:abstractNum w:abstractNumId="16">
    <w:nsid w:val="2925291E"/>
    <w:multiLevelType w:val="singleLevel"/>
    <w:tmpl w:val="5CCA1020"/>
    <w:lvl w:ilvl="0">
      <w:start w:val="1"/>
      <w:numFmt w:val="upperLetter"/>
      <w:lvlText w:val="%1."/>
      <w:lvlJc w:val="left"/>
      <w:pPr>
        <w:tabs>
          <w:tab w:val="num" w:pos="720"/>
        </w:tabs>
        <w:ind w:left="720" w:hanging="720"/>
      </w:pPr>
      <w:rPr>
        <w:rFonts w:cs="Times New Roman" w:hint="default"/>
      </w:rPr>
    </w:lvl>
  </w:abstractNum>
  <w:abstractNum w:abstractNumId="17">
    <w:nsid w:val="2E470ED7"/>
    <w:multiLevelType w:val="singleLevel"/>
    <w:tmpl w:val="193C7A44"/>
    <w:lvl w:ilvl="0">
      <w:start w:val="17"/>
      <w:numFmt w:val="upperLetter"/>
      <w:lvlText w:val="%1."/>
      <w:lvlJc w:val="left"/>
      <w:pPr>
        <w:tabs>
          <w:tab w:val="num" w:pos="720"/>
        </w:tabs>
        <w:ind w:left="720" w:hanging="720"/>
      </w:pPr>
      <w:rPr>
        <w:rFonts w:cs="Times New Roman" w:hint="default"/>
      </w:rPr>
    </w:lvl>
  </w:abstractNum>
  <w:abstractNum w:abstractNumId="18">
    <w:nsid w:val="34D475D0"/>
    <w:multiLevelType w:val="singleLevel"/>
    <w:tmpl w:val="13E8F0EE"/>
    <w:lvl w:ilvl="0">
      <w:start w:val="17"/>
      <w:numFmt w:val="upperLetter"/>
      <w:lvlText w:val="%1."/>
      <w:lvlJc w:val="left"/>
      <w:pPr>
        <w:tabs>
          <w:tab w:val="num" w:pos="720"/>
        </w:tabs>
        <w:ind w:left="720" w:hanging="720"/>
      </w:pPr>
      <w:rPr>
        <w:rFonts w:cs="Times New Roman" w:hint="default"/>
      </w:rPr>
    </w:lvl>
  </w:abstractNum>
  <w:abstractNum w:abstractNumId="19">
    <w:nsid w:val="38252F51"/>
    <w:multiLevelType w:val="hybridMultilevel"/>
    <w:tmpl w:val="43AE00D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nsid w:val="389727DC"/>
    <w:multiLevelType w:val="singleLevel"/>
    <w:tmpl w:val="B5842D0A"/>
    <w:lvl w:ilvl="0">
      <w:start w:val="17"/>
      <w:numFmt w:val="upperLetter"/>
      <w:lvlText w:val="%1."/>
      <w:lvlJc w:val="left"/>
      <w:pPr>
        <w:tabs>
          <w:tab w:val="num" w:pos="720"/>
        </w:tabs>
        <w:ind w:left="720" w:hanging="720"/>
      </w:pPr>
      <w:rPr>
        <w:rFonts w:cs="Times New Roman" w:hint="default"/>
      </w:rPr>
    </w:lvl>
  </w:abstractNum>
  <w:abstractNum w:abstractNumId="21">
    <w:nsid w:val="3D911900"/>
    <w:multiLevelType w:val="singleLevel"/>
    <w:tmpl w:val="B5169BD0"/>
    <w:lvl w:ilvl="0">
      <w:start w:val="1"/>
      <w:numFmt w:val="upperLetter"/>
      <w:lvlText w:val="%1."/>
      <w:lvlJc w:val="left"/>
      <w:pPr>
        <w:tabs>
          <w:tab w:val="num" w:pos="720"/>
        </w:tabs>
        <w:ind w:left="720" w:hanging="720"/>
      </w:pPr>
      <w:rPr>
        <w:rFonts w:cs="Times New Roman" w:hint="default"/>
      </w:rPr>
    </w:lvl>
  </w:abstractNum>
  <w:abstractNum w:abstractNumId="22">
    <w:nsid w:val="3FA73383"/>
    <w:multiLevelType w:val="singleLevel"/>
    <w:tmpl w:val="D1E6F980"/>
    <w:lvl w:ilvl="0">
      <w:start w:val="17"/>
      <w:numFmt w:val="upperLetter"/>
      <w:lvlText w:val="%1."/>
      <w:lvlJc w:val="left"/>
      <w:pPr>
        <w:tabs>
          <w:tab w:val="num" w:pos="720"/>
        </w:tabs>
        <w:ind w:left="720" w:hanging="720"/>
      </w:pPr>
      <w:rPr>
        <w:rFonts w:cs="Times New Roman" w:hint="default"/>
      </w:rPr>
    </w:lvl>
  </w:abstractNum>
  <w:abstractNum w:abstractNumId="23">
    <w:nsid w:val="45B62BD9"/>
    <w:multiLevelType w:val="singleLevel"/>
    <w:tmpl w:val="B82AC302"/>
    <w:lvl w:ilvl="0">
      <w:start w:val="17"/>
      <w:numFmt w:val="upperLetter"/>
      <w:lvlText w:val="%1."/>
      <w:lvlJc w:val="left"/>
      <w:pPr>
        <w:tabs>
          <w:tab w:val="num" w:pos="720"/>
        </w:tabs>
        <w:ind w:left="720" w:hanging="720"/>
      </w:pPr>
      <w:rPr>
        <w:rFonts w:cs="Times New Roman" w:hint="default"/>
      </w:rPr>
    </w:lvl>
  </w:abstractNum>
  <w:abstractNum w:abstractNumId="24">
    <w:nsid w:val="48274762"/>
    <w:multiLevelType w:val="singleLevel"/>
    <w:tmpl w:val="82A21A52"/>
    <w:lvl w:ilvl="0">
      <w:start w:val="17"/>
      <w:numFmt w:val="upperLetter"/>
      <w:lvlText w:val="%1."/>
      <w:lvlJc w:val="left"/>
      <w:pPr>
        <w:tabs>
          <w:tab w:val="num" w:pos="720"/>
        </w:tabs>
        <w:ind w:left="720" w:hanging="720"/>
      </w:pPr>
      <w:rPr>
        <w:rFonts w:cs="Times New Roman" w:hint="default"/>
      </w:rPr>
    </w:lvl>
  </w:abstractNum>
  <w:abstractNum w:abstractNumId="25">
    <w:nsid w:val="4C302328"/>
    <w:multiLevelType w:val="singleLevel"/>
    <w:tmpl w:val="D450962C"/>
    <w:lvl w:ilvl="0">
      <w:start w:val="1"/>
      <w:numFmt w:val="upperLetter"/>
      <w:lvlText w:val="%1."/>
      <w:lvlJc w:val="left"/>
      <w:pPr>
        <w:tabs>
          <w:tab w:val="num" w:pos="720"/>
        </w:tabs>
        <w:ind w:left="720" w:hanging="720"/>
      </w:pPr>
      <w:rPr>
        <w:rFonts w:cs="Times New Roman" w:hint="default"/>
      </w:rPr>
    </w:lvl>
  </w:abstractNum>
  <w:abstractNum w:abstractNumId="26">
    <w:nsid w:val="4F65262C"/>
    <w:multiLevelType w:val="hybridMultilevel"/>
    <w:tmpl w:val="8586FD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7F1ECA"/>
    <w:multiLevelType w:val="singleLevel"/>
    <w:tmpl w:val="B8AE8FAE"/>
    <w:lvl w:ilvl="0">
      <w:start w:val="1"/>
      <w:numFmt w:val="upperLetter"/>
      <w:lvlText w:val="%1."/>
      <w:lvlJc w:val="left"/>
      <w:pPr>
        <w:tabs>
          <w:tab w:val="num" w:pos="720"/>
        </w:tabs>
        <w:ind w:left="720" w:hanging="720"/>
      </w:pPr>
      <w:rPr>
        <w:rFonts w:cs="Times New Roman" w:hint="default"/>
      </w:rPr>
    </w:lvl>
  </w:abstractNum>
  <w:abstractNum w:abstractNumId="28">
    <w:nsid w:val="547541AA"/>
    <w:multiLevelType w:val="hybridMultilevel"/>
    <w:tmpl w:val="97225FE0"/>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55782C0D"/>
    <w:multiLevelType w:val="singleLevel"/>
    <w:tmpl w:val="453A21C2"/>
    <w:lvl w:ilvl="0">
      <w:start w:val="17"/>
      <w:numFmt w:val="upperLetter"/>
      <w:lvlText w:val="%1."/>
      <w:lvlJc w:val="left"/>
      <w:pPr>
        <w:tabs>
          <w:tab w:val="num" w:pos="720"/>
        </w:tabs>
        <w:ind w:left="720" w:hanging="720"/>
      </w:pPr>
      <w:rPr>
        <w:rFonts w:cs="Times New Roman" w:hint="default"/>
      </w:rPr>
    </w:lvl>
  </w:abstractNum>
  <w:abstractNum w:abstractNumId="30">
    <w:nsid w:val="59804B01"/>
    <w:multiLevelType w:val="hybridMultilevel"/>
    <w:tmpl w:val="41B8889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1">
    <w:nsid w:val="59D87C02"/>
    <w:multiLevelType w:val="hybridMultilevel"/>
    <w:tmpl w:val="72524BC2"/>
    <w:lvl w:ilvl="0" w:tplc="AC801FEA">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nsid w:val="5B2F7445"/>
    <w:multiLevelType w:val="singleLevel"/>
    <w:tmpl w:val="9ECEB9EE"/>
    <w:lvl w:ilvl="0">
      <w:start w:val="1"/>
      <w:numFmt w:val="upperLetter"/>
      <w:lvlText w:val="%1."/>
      <w:lvlJc w:val="left"/>
      <w:pPr>
        <w:tabs>
          <w:tab w:val="num" w:pos="720"/>
        </w:tabs>
        <w:ind w:left="720" w:hanging="720"/>
      </w:pPr>
      <w:rPr>
        <w:rFonts w:cs="Times New Roman" w:hint="default"/>
      </w:rPr>
    </w:lvl>
  </w:abstractNum>
  <w:abstractNum w:abstractNumId="33">
    <w:nsid w:val="5C7F4F52"/>
    <w:multiLevelType w:val="singleLevel"/>
    <w:tmpl w:val="98487AE4"/>
    <w:lvl w:ilvl="0">
      <w:start w:val="1"/>
      <w:numFmt w:val="upperLetter"/>
      <w:lvlText w:val="%1."/>
      <w:lvlJc w:val="left"/>
      <w:pPr>
        <w:tabs>
          <w:tab w:val="num" w:pos="720"/>
        </w:tabs>
        <w:ind w:left="720" w:hanging="720"/>
      </w:pPr>
      <w:rPr>
        <w:rFonts w:cs="Times New Roman" w:hint="default"/>
      </w:rPr>
    </w:lvl>
  </w:abstractNum>
  <w:abstractNum w:abstractNumId="34">
    <w:nsid w:val="5FEE7F56"/>
    <w:multiLevelType w:val="singleLevel"/>
    <w:tmpl w:val="B56474C4"/>
    <w:lvl w:ilvl="0">
      <w:start w:val="17"/>
      <w:numFmt w:val="upperLetter"/>
      <w:lvlText w:val="%1."/>
      <w:lvlJc w:val="left"/>
      <w:pPr>
        <w:tabs>
          <w:tab w:val="num" w:pos="720"/>
        </w:tabs>
        <w:ind w:left="720" w:hanging="720"/>
      </w:pPr>
      <w:rPr>
        <w:rFonts w:cs="Times New Roman" w:hint="default"/>
      </w:rPr>
    </w:lvl>
  </w:abstractNum>
  <w:abstractNum w:abstractNumId="35">
    <w:nsid w:val="61F94788"/>
    <w:multiLevelType w:val="singleLevel"/>
    <w:tmpl w:val="F2FC6A6C"/>
    <w:lvl w:ilvl="0">
      <w:start w:val="1"/>
      <w:numFmt w:val="upperLetter"/>
      <w:lvlText w:val="%1."/>
      <w:lvlJc w:val="left"/>
      <w:pPr>
        <w:tabs>
          <w:tab w:val="num" w:pos="720"/>
        </w:tabs>
        <w:ind w:left="720" w:hanging="720"/>
      </w:pPr>
      <w:rPr>
        <w:rFonts w:cs="Times New Roman" w:hint="default"/>
      </w:rPr>
    </w:lvl>
  </w:abstractNum>
  <w:abstractNum w:abstractNumId="36">
    <w:nsid w:val="64777C36"/>
    <w:multiLevelType w:val="singleLevel"/>
    <w:tmpl w:val="3B0A7ADE"/>
    <w:lvl w:ilvl="0">
      <w:start w:val="1"/>
      <w:numFmt w:val="upperLetter"/>
      <w:lvlText w:val="%1."/>
      <w:lvlJc w:val="left"/>
      <w:pPr>
        <w:tabs>
          <w:tab w:val="num" w:pos="720"/>
        </w:tabs>
        <w:ind w:left="720" w:hanging="720"/>
      </w:pPr>
      <w:rPr>
        <w:rFonts w:cs="Times New Roman" w:hint="default"/>
        <w:b w:val="0"/>
      </w:rPr>
    </w:lvl>
  </w:abstractNum>
  <w:abstractNum w:abstractNumId="37">
    <w:nsid w:val="64E72E4D"/>
    <w:multiLevelType w:val="singleLevel"/>
    <w:tmpl w:val="FE36F916"/>
    <w:lvl w:ilvl="0">
      <w:start w:val="17"/>
      <w:numFmt w:val="upperLetter"/>
      <w:lvlText w:val="%1."/>
      <w:lvlJc w:val="left"/>
      <w:pPr>
        <w:tabs>
          <w:tab w:val="num" w:pos="720"/>
        </w:tabs>
        <w:ind w:left="720" w:hanging="720"/>
      </w:pPr>
      <w:rPr>
        <w:rFonts w:cs="Times New Roman" w:hint="default"/>
      </w:rPr>
    </w:lvl>
  </w:abstractNum>
  <w:abstractNum w:abstractNumId="38">
    <w:nsid w:val="66F76126"/>
    <w:multiLevelType w:val="hybridMultilevel"/>
    <w:tmpl w:val="1DC43A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935ECD"/>
    <w:multiLevelType w:val="singleLevel"/>
    <w:tmpl w:val="66181CB4"/>
    <w:lvl w:ilvl="0">
      <w:start w:val="17"/>
      <w:numFmt w:val="upperLetter"/>
      <w:lvlText w:val="%1."/>
      <w:lvlJc w:val="left"/>
      <w:pPr>
        <w:tabs>
          <w:tab w:val="num" w:pos="720"/>
        </w:tabs>
        <w:ind w:left="720" w:hanging="720"/>
      </w:pPr>
      <w:rPr>
        <w:rFonts w:cs="Times New Roman" w:hint="default"/>
      </w:rPr>
    </w:lvl>
  </w:abstractNum>
  <w:abstractNum w:abstractNumId="40">
    <w:nsid w:val="6C9C6CB5"/>
    <w:multiLevelType w:val="multilevel"/>
    <w:tmpl w:val="72524BC2"/>
    <w:lvl w:ilvl="0">
      <w:start w:val="1"/>
      <w:numFmt w:val="bullet"/>
      <w:lvlText w:val=""/>
      <w:lvlJc w:val="left"/>
      <w:pPr>
        <w:tabs>
          <w:tab w:val="num" w:pos="2160"/>
        </w:tabs>
        <w:ind w:left="2160" w:hanging="360"/>
      </w:pPr>
      <w:rPr>
        <w:rFonts w:ascii="Wingdings" w:hAnsi="Wingdings" w:hint="default"/>
      </w:rPr>
    </w:lvl>
    <w:lvl w:ilvl="1">
      <w:start w:val="1"/>
      <w:numFmt w:val="bullet"/>
      <w:lvlText w:val="o"/>
      <w:lvlJc w:val="left"/>
      <w:pPr>
        <w:tabs>
          <w:tab w:val="num" w:pos="2880"/>
        </w:tabs>
        <w:ind w:left="2880" w:hanging="360"/>
      </w:pPr>
      <w:rPr>
        <w:rFonts w:ascii="Courier New" w:hAnsi="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41">
    <w:nsid w:val="6D0472AD"/>
    <w:multiLevelType w:val="singleLevel"/>
    <w:tmpl w:val="04090015"/>
    <w:lvl w:ilvl="0">
      <w:start w:val="17"/>
      <w:numFmt w:val="upperLetter"/>
      <w:lvlText w:val="%1."/>
      <w:lvlJc w:val="left"/>
      <w:pPr>
        <w:tabs>
          <w:tab w:val="num" w:pos="360"/>
        </w:tabs>
        <w:ind w:left="360" w:hanging="360"/>
      </w:pPr>
      <w:rPr>
        <w:rFonts w:cs="Times New Roman" w:hint="default"/>
      </w:rPr>
    </w:lvl>
  </w:abstractNum>
  <w:abstractNum w:abstractNumId="42">
    <w:nsid w:val="70C177BB"/>
    <w:multiLevelType w:val="singleLevel"/>
    <w:tmpl w:val="1A184E90"/>
    <w:lvl w:ilvl="0">
      <w:start w:val="1"/>
      <w:numFmt w:val="upperLetter"/>
      <w:lvlText w:val="%1."/>
      <w:lvlJc w:val="left"/>
      <w:pPr>
        <w:tabs>
          <w:tab w:val="num" w:pos="720"/>
        </w:tabs>
        <w:ind w:left="720" w:hanging="720"/>
      </w:pPr>
      <w:rPr>
        <w:rFonts w:cs="Times New Roman" w:hint="default"/>
      </w:rPr>
    </w:lvl>
  </w:abstractNum>
  <w:abstractNum w:abstractNumId="43">
    <w:nsid w:val="779C5FD4"/>
    <w:multiLevelType w:val="singleLevel"/>
    <w:tmpl w:val="39ACF3F6"/>
    <w:lvl w:ilvl="0">
      <w:start w:val="17"/>
      <w:numFmt w:val="upperLetter"/>
      <w:lvlText w:val="%1."/>
      <w:lvlJc w:val="left"/>
      <w:pPr>
        <w:tabs>
          <w:tab w:val="num" w:pos="720"/>
        </w:tabs>
        <w:ind w:left="720" w:hanging="720"/>
      </w:pPr>
      <w:rPr>
        <w:rFonts w:cs="Times New Roman" w:hint="default"/>
      </w:rPr>
    </w:lvl>
  </w:abstractNum>
  <w:abstractNum w:abstractNumId="44">
    <w:nsid w:val="791E5602"/>
    <w:multiLevelType w:val="singleLevel"/>
    <w:tmpl w:val="8F4CBD52"/>
    <w:lvl w:ilvl="0">
      <w:start w:val="17"/>
      <w:numFmt w:val="upperLetter"/>
      <w:lvlText w:val="%1."/>
      <w:lvlJc w:val="left"/>
      <w:pPr>
        <w:tabs>
          <w:tab w:val="num" w:pos="720"/>
        </w:tabs>
        <w:ind w:left="720" w:hanging="720"/>
      </w:pPr>
      <w:rPr>
        <w:rFonts w:cs="Times New Roman" w:hint="default"/>
      </w:rPr>
    </w:lvl>
  </w:abstractNum>
  <w:num w:numId="1">
    <w:abstractNumId w:val="0"/>
  </w:num>
  <w:num w:numId="2">
    <w:abstractNumId w:val="32"/>
  </w:num>
  <w:num w:numId="3">
    <w:abstractNumId w:val="24"/>
  </w:num>
  <w:num w:numId="4">
    <w:abstractNumId w:val="5"/>
  </w:num>
  <w:num w:numId="5">
    <w:abstractNumId w:val="18"/>
  </w:num>
  <w:num w:numId="6">
    <w:abstractNumId w:val="27"/>
  </w:num>
  <w:num w:numId="7">
    <w:abstractNumId w:val="22"/>
  </w:num>
  <w:num w:numId="8">
    <w:abstractNumId w:val="11"/>
  </w:num>
  <w:num w:numId="9">
    <w:abstractNumId w:val="39"/>
  </w:num>
  <w:num w:numId="10">
    <w:abstractNumId w:val="25"/>
  </w:num>
  <w:num w:numId="11">
    <w:abstractNumId w:val="34"/>
  </w:num>
  <w:num w:numId="12">
    <w:abstractNumId w:val="17"/>
  </w:num>
  <w:num w:numId="13">
    <w:abstractNumId w:val="1"/>
  </w:num>
  <w:num w:numId="14">
    <w:abstractNumId w:val="12"/>
  </w:num>
  <w:num w:numId="15">
    <w:abstractNumId w:val="44"/>
  </w:num>
  <w:num w:numId="16">
    <w:abstractNumId w:val="10"/>
  </w:num>
  <w:num w:numId="17">
    <w:abstractNumId w:val="23"/>
  </w:num>
  <w:num w:numId="18">
    <w:abstractNumId w:val="41"/>
  </w:num>
  <w:num w:numId="19">
    <w:abstractNumId w:val="2"/>
  </w:num>
  <w:num w:numId="20">
    <w:abstractNumId w:val="4"/>
  </w:num>
  <w:num w:numId="21">
    <w:abstractNumId w:val="8"/>
  </w:num>
  <w:num w:numId="22">
    <w:abstractNumId w:val="14"/>
  </w:num>
  <w:num w:numId="23">
    <w:abstractNumId w:val="36"/>
  </w:num>
  <w:num w:numId="24">
    <w:abstractNumId w:val="37"/>
  </w:num>
  <w:num w:numId="25">
    <w:abstractNumId w:val="16"/>
  </w:num>
  <w:num w:numId="26">
    <w:abstractNumId w:val="43"/>
  </w:num>
  <w:num w:numId="27">
    <w:abstractNumId w:val="35"/>
  </w:num>
  <w:num w:numId="28">
    <w:abstractNumId w:val="15"/>
  </w:num>
  <w:num w:numId="29">
    <w:abstractNumId w:val="6"/>
  </w:num>
  <w:num w:numId="30">
    <w:abstractNumId w:val="29"/>
  </w:num>
  <w:num w:numId="31">
    <w:abstractNumId w:val="21"/>
  </w:num>
  <w:num w:numId="32">
    <w:abstractNumId w:val="42"/>
  </w:num>
  <w:num w:numId="33">
    <w:abstractNumId w:val="20"/>
  </w:num>
  <w:num w:numId="34">
    <w:abstractNumId w:val="33"/>
  </w:num>
  <w:num w:numId="35">
    <w:abstractNumId w:val="28"/>
  </w:num>
  <w:num w:numId="36">
    <w:abstractNumId w:val="30"/>
  </w:num>
  <w:num w:numId="37">
    <w:abstractNumId w:val="31"/>
  </w:num>
  <w:num w:numId="38">
    <w:abstractNumId w:val="40"/>
  </w:num>
  <w:num w:numId="39">
    <w:abstractNumId w:val="19"/>
  </w:num>
  <w:num w:numId="40">
    <w:abstractNumId w:val="7"/>
  </w:num>
  <w:num w:numId="41">
    <w:abstractNumId w:val="13"/>
  </w:num>
  <w:num w:numId="42">
    <w:abstractNumId w:val="9"/>
  </w:num>
  <w:num w:numId="43">
    <w:abstractNumId w:val="38"/>
  </w:num>
  <w:num w:numId="44">
    <w:abstractNumId w:val="3"/>
  </w:num>
  <w:num w:numId="4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stylePaneFormatFilter w:val="3F01"/>
  <w:defaultTabStop w:val="720"/>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rsids>
    <w:rsidRoot w:val="00534982"/>
    <w:rsid w:val="00007755"/>
    <w:rsid w:val="00012014"/>
    <w:rsid w:val="00016494"/>
    <w:rsid w:val="000166F7"/>
    <w:rsid w:val="00017651"/>
    <w:rsid w:val="000216B5"/>
    <w:rsid w:val="00024BB4"/>
    <w:rsid w:val="000259B0"/>
    <w:rsid w:val="00026A66"/>
    <w:rsid w:val="00026C88"/>
    <w:rsid w:val="00030457"/>
    <w:rsid w:val="000311CB"/>
    <w:rsid w:val="000330AE"/>
    <w:rsid w:val="000344DE"/>
    <w:rsid w:val="000350ED"/>
    <w:rsid w:val="00037E10"/>
    <w:rsid w:val="00042591"/>
    <w:rsid w:val="000428D1"/>
    <w:rsid w:val="00043CFA"/>
    <w:rsid w:val="00044D14"/>
    <w:rsid w:val="00047418"/>
    <w:rsid w:val="000567FC"/>
    <w:rsid w:val="00056AA0"/>
    <w:rsid w:val="00061173"/>
    <w:rsid w:val="00070BB8"/>
    <w:rsid w:val="00074DDB"/>
    <w:rsid w:val="00080F72"/>
    <w:rsid w:val="00081603"/>
    <w:rsid w:val="0009641E"/>
    <w:rsid w:val="000A00C8"/>
    <w:rsid w:val="000A0D94"/>
    <w:rsid w:val="000B5294"/>
    <w:rsid w:val="000B6F70"/>
    <w:rsid w:val="000C5F8B"/>
    <w:rsid w:val="000C723A"/>
    <w:rsid w:val="000D3485"/>
    <w:rsid w:val="000D39F7"/>
    <w:rsid w:val="000D4972"/>
    <w:rsid w:val="000D705B"/>
    <w:rsid w:val="000D7CCB"/>
    <w:rsid w:val="000E2345"/>
    <w:rsid w:val="000E29B1"/>
    <w:rsid w:val="000E3370"/>
    <w:rsid w:val="000F1370"/>
    <w:rsid w:val="000F1685"/>
    <w:rsid w:val="000F47A0"/>
    <w:rsid w:val="000F47B9"/>
    <w:rsid w:val="000F4F56"/>
    <w:rsid w:val="000F52AA"/>
    <w:rsid w:val="00100671"/>
    <w:rsid w:val="00100780"/>
    <w:rsid w:val="001017AF"/>
    <w:rsid w:val="00104DF3"/>
    <w:rsid w:val="00110D17"/>
    <w:rsid w:val="00111B75"/>
    <w:rsid w:val="001141FD"/>
    <w:rsid w:val="00122483"/>
    <w:rsid w:val="00122C22"/>
    <w:rsid w:val="00123CFF"/>
    <w:rsid w:val="00124F43"/>
    <w:rsid w:val="00136CC4"/>
    <w:rsid w:val="00136DC1"/>
    <w:rsid w:val="00136ED8"/>
    <w:rsid w:val="00137832"/>
    <w:rsid w:val="00142D02"/>
    <w:rsid w:val="00143811"/>
    <w:rsid w:val="00143FB8"/>
    <w:rsid w:val="0015131B"/>
    <w:rsid w:val="00157C7D"/>
    <w:rsid w:val="0016006C"/>
    <w:rsid w:val="00160376"/>
    <w:rsid w:val="0016697A"/>
    <w:rsid w:val="00170F3B"/>
    <w:rsid w:val="00176A6F"/>
    <w:rsid w:val="00182872"/>
    <w:rsid w:val="00193C86"/>
    <w:rsid w:val="00196C99"/>
    <w:rsid w:val="00197F72"/>
    <w:rsid w:val="001A0A0F"/>
    <w:rsid w:val="001A195D"/>
    <w:rsid w:val="001A202C"/>
    <w:rsid w:val="001A27AC"/>
    <w:rsid w:val="001A6256"/>
    <w:rsid w:val="001B2CFA"/>
    <w:rsid w:val="001B5FFF"/>
    <w:rsid w:val="001C37C8"/>
    <w:rsid w:val="001C3F76"/>
    <w:rsid w:val="001C52C5"/>
    <w:rsid w:val="001D7E93"/>
    <w:rsid w:val="001E0BDC"/>
    <w:rsid w:val="001E2D67"/>
    <w:rsid w:val="001E3836"/>
    <w:rsid w:val="001E38C2"/>
    <w:rsid w:val="001E4BA0"/>
    <w:rsid w:val="00204CBA"/>
    <w:rsid w:val="002102E0"/>
    <w:rsid w:val="002126DB"/>
    <w:rsid w:val="00213FA0"/>
    <w:rsid w:val="002179D8"/>
    <w:rsid w:val="00222AE5"/>
    <w:rsid w:val="00223601"/>
    <w:rsid w:val="0022396C"/>
    <w:rsid w:val="00225590"/>
    <w:rsid w:val="00225CBB"/>
    <w:rsid w:val="00240EC1"/>
    <w:rsid w:val="0024250B"/>
    <w:rsid w:val="002505D3"/>
    <w:rsid w:val="002506B7"/>
    <w:rsid w:val="00262A04"/>
    <w:rsid w:val="00266FBE"/>
    <w:rsid w:val="00270150"/>
    <w:rsid w:val="002742B6"/>
    <w:rsid w:val="00274F94"/>
    <w:rsid w:val="002761FA"/>
    <w:rsid w:val="0027714D"/>
    <w:rsid w:val="00281901"/>
    <w:rsid w:val="00281FE9"/>
    <w:rsid w:val="002839D1"/>
    <w:rsid w:val="0028516F"/>
    <w:rsid w:val="00287810"/>
    <w:rsid w:val="002919E3"/>
    <w:rsid w:val="00297E9F"/>
    <w:rsid w:val="002A1953"/>
    <w:rsid w:val="002A2FBC"/>
    <w:rsid w:val="002A7803"/>
    <w:rsid w:val="002B2A80"/>
    <w:rsid w:val="002B3581"/>
    <w:rsid w:val="002B533D"/>
    <w:rsid w:val="002B5CFB"/>
    <w:rsid w:val="002B71E4"/>
    <w:rsid w:val="002C0B46"/>
    <w:rsid w:val="002C1393"/>
    <w:rsid w:val="002C2DA8"/>
    <w:rsid w:val="002C4750"/>
    <w:rsid w:val="002C55DD"/>
    <w:rsid w:val="002C735C"/>
    <w:rsid w:val="002D1B8E"/>
    <w:rsid w:val="002D5B76"/>
    <w:rsid w:val="002E00AA"/>
    <w:rsid w:val="002E43AC"/>
    <w:rsid w:val="002E4528"/>
    <w:rsid w:val="002E4ED7"/>
    <w:rsid w:val="002E6A61"/>
    <w:rsid w:val="002E6D54"/>
    <w:rsid w:val="002E7080"/>
    <w:rsid w:val="002E7574"/>
    <w:rsid w:val="002E7DBB"/>
    <w:rsid w:val="002F0145"/>
    <w:rsid w:val="002F04DC"/>
    <w:rsid w:val="002F2EC9"/>
    <w:rsid w:val="0030092C"/>
    <w:rsid w:val="003055CB"/>
    <w:rsid w:val="0030569E"/>
    <w:rsid w:val="003125F7"/>
    <w:rsid w:val="003165C7"/>
    <w:rsid w:val="0031795F"/>
    <w:rsid w:val="00320074"/>
    <w:rsid w:val="003204BA"/>
    <w:rsid w:val="003215BA"/>
    <w:rsid w:val="00321E51"/>
    <w:rsid w:val="0032288A"/>
    <w:rsid w:val="00325BB2"/>
    <w:rsid w:val="0032667E"/>
    <w:rsid w:val="00327CE9"/>
    <w:rsid w:val="003319ED"/>
    <w:rsid w:val="0034057A"/>
    <w:rsid w:val="00343E5F"/>
    <w:rsid w:val="00346692"/>
    <w:rsid w:val="00347883"/>
    <w:rsid w:val="00351565"/>
    <w:rsid w:val="00351759"/>
    <w:rsid w:val="00352A33"/>
    <w:rsid w:val="003564ED"/>
    <w:rsid w:val="00362B48"/>
    <w:rsid w:val="0036566A"/>
    <w:rsid w:val="00367310"/>
    <w:rsid w:val="00373C29"/>
    <w:rsid w:val="00376D93"/>
    <w:rsid w:val="0038036D"/>
    <w:rsid w:val="00387151"/>
    <w:rsid w:val="003875E5"/>
    <w:rsid w:val="00391540"/>
    <w:rsid w:val="00392641"/>
    <w:rsid w:val="003962D8"/>
    <w:rsid w:val="00397135"/>
    <w:rsid w:val="003A09E9"/>
    <w:rsid w:val="003A25E8"/>
    <w:rsid w:val="003A482E"/>
    <w:rsid w:val="003B1810"/>
    <w:rsid w:val="003B406A"/>
    <w:rsid w:val="003C1D58"/>
    <w:rsid w:val="003C1FED"/>
    <w:rsid w:val="003C5D80"/>
    <w:rsid w:val="003C64ED"/>
    <w:rsid w:val="003C71FE"/>
    <w:rsid w:val="003D485A"/>
    <w:rsid w:val="003D4B2D"/>
    <w:rsid w:val="003D7E38"/>
    <w:rsid w:val="003E23A7"/>
    <w:rsid w:val="003E6B04"/>
    <w:rsid w:val="003E6D8E"/>
    <w:rsid w:val="003F00AC"/>
    <w:rsid w:val="003F148E"/>
    <w:rsid w:val="003F1E97"/>
    <w:rsid w:val="003F2591"/>
    <w:rsid w:val="004003F7"/>
    <w:rsid w:val="004017A0"/>
    <w:rsid w:val="00401FA6"/>
    <w:rsid w:val="004023B9"/>
    <w:rsid w:val="00406070"/>
    <w:rsid w:val="00407D39"/>
    <w:rsid w:val="004125D7"/>
    <w:rsid w:val="0041706E"/>
    <w:rsid w:val="004179FC"/>
    <w:rsid w:val="0043315A"/>
    <w:rsid w:val="00440AE0"/>
    <w:rsid w:val="0045075C"/>
    <w:rsid w:val="004525E8"/>
    <w:rsid w:val="0045396E"/>
    <w:rsid w:val="004560AE"/>
    <w:rsid w:val="00461B21"/>
    <w:rsid w:val="004727D1"/>
    <w:rsid w:val="004744EC"/>
    <w:rsid w:val="004745DB"/>
    <w:rsid w:val="00475229"/>
    <w:rsid w:val="0047792C"/>
    <w:rsid w:val="00484412"/>
    <w:rsid w:val="00485447"/>
    <w:rsid w:val="00497955"/>
    <w:rsid w:val="004A3FE7"/>
    <w:rsid w:val="004A5D9B"/>
    <w:rsid w:val="004B19B7"/>
    <w:rsid w:val="004B52FB"/>
    <w:rsid w:val="004C408C"/>
    <w:rsid w:val="004C5782"/>
    <w:rsid w:val="004C594A"/>
    <w:rsid w:val="004C6FAD"/>
    <w:rsid w:val="004D787C"/>
    <w:rsid w:val="004E21CB"/>
    <w:rsid w:val="004E3795"/>
    <w:rsid w:val="004E4370"/>
    <w:rsid w:val="004E5D9A"/>
    <w:rsid w:val="004F09F8"/>
    <w:rsid w:val="004F7F6E"/>
    <w:rsid w:val="00501345"/>
    <w:rsid w:val="00501B53"/>
    <w:rsid w:val="00502342"/>
    <w:rsid w:val="00511565"/>
    <w:rsid w:val="00513AF7"/>
    <w:rsid w:val="005143CE"/>
    <w:rsid w:val="00514CB4"/>
    <w:rsid w:val="00515856"/>
    <w:rsid w:val="00516340"/>
    <w:rsid w:val="0052433C"/>
    <w:rsid w:val="00524A59"/>
    <w:rsid w:val="00530905"/>
    <w:rsid w:val="00533E78"/>
    <w:rsid w:val="00534982"/>
    <w:rsid w:val="00535BA3"/>
    <w:rsid w:val="00541882"/>
    <w:rsid w:val="00547CB2"/>
    <w:rsid w:val="0055325E"/>
    <w:rsid w:val="00553A58"/>
    <w:rsid w:val="00561BB5"/>
    <w:rsid w:val="005627AE"/>
    <w:rsid w:val="00563076"/>
    <w:rsid w:val="00564264"/>
    <w:rsid w:val="005653A6"/>
    <w:rsid w:val="00571EBA"/>
    <w:rsid w:val="0057376A"/>
    <w:rsid w:val="00586CCC"/>
    <w:rsid w:val="00586D27"/>
    <w:rsid w:val="005902E5"/>
    <w:rsid w:val="00591C29"/>
    <w:rsid w:val="00592AFF"/>
    <w:rsid w:val="00597FE3"/>
    <w:rsid w:val="005A4CAE"/>
    <w:rsid w:val="005A6450"/>
    <w:rsid w:val="005A682F"/>
    <w:rsid w:val="005B34E6"/>
    <w:rsid w:val="005B5861"/>
    <w:rsid w:val="005C5469"/>
    <w:rsid w:val="005D2AE1"/>
    <w:rsid w:val="005E1408"/>
    <w:rsid w:val="005E18D6"/>
    <w:rsid w:val="005E2DBB"/>
    <w:rsid w:val="005E3B8B"/>
    <w:rsid w:val="005E51AA"/>
    <w:rsid w:val="005F1EE0"/>
    <w:rsid w:val="005F4269"/>
    <w:rsid w:val="005F74E2"/>
    <w:rsid w:val="005F7D01"/>
    <w:rsid w:val="0060134D"/>
    <w:rsid w:val="006031DF"/>
    <w:rsid w:val="006067C4"/>
    <w:rsid w:val="00606AB1"/>
    <w:rsid w:val="0060707A"/>
    <w:rsid w:val="00610A36"/>
    <w:rsid w:val="00612523"/>
    <w:rsid w:val="00613EC4"/>
    <w:rsid w:val="006165E9"/>
    <w:rsid w:val="00616EEC"/>
    <w:rsid w:val="006170B5"/>
    <w:rsid w:val="00624A07"/>
    <w:rsid w:val="00626CA0"/>
    <w:rsid w:val="00632017"/>
    <w:rsid w:val="00633BA0"/>
    <w:rsid w:val="00634A3C"/>
    <w:rsid w:val="00642C93"/>
    <w:rsid w:val="0066026C"/>
    <w:rsid w:val="00661088"/>
    <w:rsid w:val="00665862"/>
    <w:rsid w:val="006714A1"/>
    <w:rsid w:val="006736C1"/>
    <w:rsid w:val="006738E8"/>
    <w:rsid w:val="00673D6C"/>
    <w:rsid w:val="00674F40"/>
    <w:rsid w:val="00676BA9"/>
    <w:rsid w:val="00685A49"/>
    <w:rsid w:val="00694A50"/>
    <w:rsid w:val="00696BE5"/>
    <w:rsid w:val="0069795D"/>
    <w:rsid w:val="006A020C"/>
    <w:rsid w:val="006A0E47"/>
    <w:rsid w:val="006A593B"/>
    <w:rsid w:val="006B172C"/>
    <w:rsid w:val="006B20ED"/>
    <w:rsid w:val="006B5C9A"/>
    <w:rsid w:val="006C52F4"/>
    <w:rsid w:val="006C5A6B"/>
    <w:rsid w:val="006C6902"/>
    <w:rsid w:val="006D0713"/>
    <w:rsid w:val="006E09FC"/>
    <w:rsid w:val="006E2438"/>
    <w:rsid w:val="006E24B9"/>
    <w:rsid w:val="006E2D18"/>
    <w:rsid w:val="006E3A13"/>
    <w:rsid w:val="006E7161"/>
    <w:rsid w:val="006F3BC2"/>
    <w:rsid w:val="00702E68"/>
    <w:rsid w:val="007072BB"/>
    <w:rsid w:val="00710425"/>
    <w:rsid w:val="007106A7"/>
    <w:rsid w:val="00710839"/>
    <w:rsid w:val="007126C1"/>
    <w:rsid w:val="00716293"/>
    <w:rsid w:val="00716E15"/>
    <w:rsid w:val="0072219D"/>
    <w:rsid w:val="0072233C"/>
    <w:rsid w:val="007224C3"/>
    <w:rsid w:val="007240DD"/>
    <w:rsid w:val="0072567D"/>
    <w:rsid w:val="0072623F"/>
    <w:rsid w:val="007334B2"/>
    <w:rsid w:val="00733F7B"/>
    <w:rsid w:val="00737AF4"/>
    <w:rsid w:val="0074063B"/>
    <w:rsid w:val="00744786"/>
    <w:rsid w:val="00745AF1"/>
    <w:rsid w:val="00745DE4"/>
    <w:rsid w:val="0074689D"/>
    <w:rsid w:val="007509BA"/>
    <w:rsid w:val="00750F9B"/>
    <w:rsid w:val="007549B8"/>
    <w:rsid w:val="0076173B"/>
    <w:rsid w:val="00771E9C"/>
    <w:rsid w:val="00773CF6"/>
    <w:rsid w:val="00775E1E"/>
    <w:rsid w:val="00777891"/>
    <w:rsid w:val="00782410"/>
    <w:rsid w:val="00782523"/>
    <w:rsid w:val="00785152"/>
    <w:rsid w:val="00785655"/>
    <w:rsid w:val="00791E77"/>
    <w:rsid w:val="0079648E"/>
    <w:rsid w:val="00797982"/>
    <w:rsid w:val="007A782D"/>
    <w:rsid w:val="007B2474"/>
    <w:rsid w:val="007B3B6D"/>
    <w:rsid w:val="007B5238"/>
    <w:rsid w:val="007B5BAF"/>
    <w:rsid w:val="007B656F"/>
    <w:rsid w:val="007C25E6"/>
    <w:rsid w:val="007C5514"/>
    <w:rsid w:val="007C5A8B"/>
    <w:rsid w:val="007C618C"/>
    <w:rsid w:val="007C71C9"/>
    <w:rsid w:val="007D4210"/>
    <w:rsid w:val="007D693A"/>
    <w:rsid w:val="007D6AEC"/>
    <w:rsid w:val="007D746C"/>
    <w:rsid w:val="007E164F"/>
    <w:rsid w:val="007E1729"/>
    <w:rsid w:val="007E254B"/>
    <w:rsid w:val="007E61D6"/>
    <w:rsid w:val="007E715E"/>
    <w:rsid w:val="007F18E5"/>
    <w:rsid w:val="007F2C09"/>
    <w:rsid w:val="007F49FC"/>
    <w:rsid w:val="008048E3"/>
    <w:rsid w:val="00806E02"/>
    <w:rsid w:val="0081542E"/>
    <w:rsid w:val="008168E2"/>
    <w:rsid w:val="00823691"/>
    <w:rsid w:val="008317F8"/>
    <w:rsid w:val="00833FC1"/>
    <w:rsid w:val="008349DF"/>
    <w:rsid w:val="00835F56"/>
    <w:rsid w:val="00837E4C"/>
    <w:rsid w:val="0084006D"/>
    <w:rsid w:val="00843C56"/>
    <w:rsid w:val="0084558E"/>
    <w:rsid w:val="008471C3"/>
    <w:rsid w:val="00857688"/>
    <w:rsid w:val="00864A1A"/>
    <w:rsid w:val="0087259B"/>
    <w:rsid w:val="0087432B"/>
    <w:rsid w:val="00874937"/>
    <w:rsid w:val="00880890"/>
    <w:rsid w:val="0088424E"/>
    <w:rsid w:val="008850FC"/>
    <w:rsid w:val="008944D2"/>
    <w:rsid w:val="008A7155"/>
    <w:rsid w:val="008B1131"/>
    <w:rsid w:val="008B7E31"/>
    <w:rsid w:val="008C2D39"/>
    <w:rsid w:val="008C67EE"/>
    <w:rsid w:val="008C694B"/>
    <w:rsid w:val="008D03C6"/>
    <w:rsid w:val="008D2FF2"/>
    <w:rsid w:val="008D6D7C"/>
    <w:rsid w:val="008D7BB3"/>
    <w:rsid w:val="008E4209"/>
    <w:rsid w:val="008E510C"/>
    <w:rsid w:val="008E6938"/>
    <w:rsid w:val="008F0A74"/>
    <w:rsid w:val="009013C4"/>
    <w:rsid w:val="00902CE6"/>
    <w:rsid w:val="00903785"/>
    <w:rsid w:val="00910EBE"/>
    <w:rsid w:val="00910FF2"/>
    <w:rsid w:val="00915A1A"/>
    <w:rsid w:val="00915AE1"/>
    <w:rsid w:val="00923FB6"/>
    <w:rsid w:val="009258C7"/>
    <w:rsid w:val="00925982"/>
    <w:rsid w:val="00932C07"/>
    <w:rsid w:val="00932F36"/>
    <w:rsid w:val="0093446E"/>
    <w:rsid w:val="0094233E"/>
    <w:rsid w:val="00945666"/>
    <w:rsid w:val="00951E93"/>
    <w:rsid w:val="00952D63"/>
    <w:rsid w:val="00963795"/>
    <w:rsid w:val="00963946"/>
    <w:rsid w:val="00964668"/>
    <w:rsid w:val="00971118"/>
    <w:rsid w:val="00981DA5"/>
    <w:rsid w:val="0098209F"/>
    <w:rsid w:val="009850FD"/>
    <w:rsid w:val="0099300A"/>
    <w:rsid w:val="009A2E05"/>
    <w:rsid w:val="009A6956"/>
    <w:rsid w:val="009B18A3"/>
    <w:rsid w:val="009B54C0"/>
    <w:rsid w:val="009B5C07"/>
    <w:rsid w:val="009C3C58"/>
    <w:rsid w:val="009C515F"/>
    <w:rsid w:val="009C6EAF"/>
    <w:rsid w:val="009D71B4"/>
    <w:rsid w:val="009D7266"/>
    <w:rsid w:val="009E1EAC"/>
    <w:rsid w:val="009E1FB3"/>
    <w:rsid w:val="009F0356"/>
    <w:rsid w:val="009F2D1B"/>
    <w:rsid w:val="009F3298"/>
    <w:rsid w:val="009F584B"/>
    <w:rsid w:val="009F6848"/>
    <w:rsid w:val="00A04B45"/>
    <w:rsid w:val="00A067E6"/>
    <w:rsid w:val="00A07294"/>
    <w:rsid w:val="00A11BF4"/>
    <w:rsid w:val="00A12270"/>
    <w:rsid w:val="00A26462"/>
    <w:rsid w:val="00A30FED"/>
    <w:rsid w:val="00A44499"/>
    <w:rsid w:val="00A47C6F"/>
    <w:rsid w:val="00A542DE"/>
    <w:rsid w:val="00A54E0C"/>
    <w:rsid w:val="00A62A67"/>
    <w:rsid w:val="00A67833"/>
    <w:rsid w:val="00A70237"/>
    <w:rsid w:val="00A7049A"/>
    <w:rsid w:val="00A71445"/>
    <w:rsid w:val="00A71916"/>
    <w:rsid w:val="00A7422C"/>
    <w:rsid w:val="00A74648"/>
    <w:rsid w:val="00A82951"/>
    <w:rsid w:val="00A833CA"/>
    <w:rsid w:val="00A854E0"/>
    <w:rsid w:val="00A91527"/>
    <w:rsid w:val="00AA2A58"/>
    <w:rsid w:val="00AA2B43"/>
    <w:rsid w:val="00AA6014"/>
    <w:rsid w:val="00AA621F"/>
    <w:rsid w:val="00AB03FB"/>
    <w:rsid w:val="00AC2F95"/>
    <w:rsid w:val="00AC35E5"/>
    <w:rsid w:val="00AE4BFB"/>
    <w:rsid w:val="00AF3369"/>
    <w:rsid w:val="00AF378B"/>
    <w:rsid w:val="00AF3993"/>
    <w:rsid w:val="00AF4DA5"/>
    <w:rsid w:val="00B01908"/>
    <w:rsid w:val="00B04369"/>
    <w:rsid w:val="00B15F46"/>
    <w:rsid w:val="00B21742"/>
    <w:rsid w:val="00B219C0"/>
    <w:rsid w:val="00B23BE3"/>
    <w:rsid w:val="00B33AE4"/>
    <w:rsid w:val="00B34FE3"/>
    <w:rsid w:val="00B36EB5"/>
    <w:rsid w:val="00B454CE"/>
    <w:rsid w:val="00B466AB"/>
    <w:rsid w:val="00B4762E"/>
    <w:rsid w:val="00B52172"/>
    <w:rsid w:val="00B55161"/>
    <w:rsid w:val="00B56933"/>
    <w:rsid w:val="00B56D21"/>
    <w:rsid w:val="00B60F7A"/>
    <w:rsid w:val="00B61486"/>
    <w:rsid w:val="00B618CE"/>
    <w:rsid w:val="00B63011"/>
    <w:rsid w:val="00B7120E"/>
    <w:rsid w:val="00B719F0"/>
    <w:rsid w:val="00B71F78"/>
    <w:rsid w:val="00B72F06"/>
    <w:rsid w:val="00B81500"/>
    <w:rsid w:val="00B816E1"/>
    <w:rsid w:val="00B85EE4"/>
    <w:rsid w:val="00B86C6D"/>
    <w:rsid w:val="00B870F8"/>
    <w:rsid w:val="00B9214F"/>
    <w:rsid w:val="00BB6193"/>
    <w:rsid w:val="00BB6B2C"/>
    <w:rsid w:val="00BC38D3"/>
    <w:rsid w:val="00BC7735"/>
    <w:rsid w:val="00BD7E72"/>
    <w:rsid w:val="00BE6885"/>
    <w:rsid w:val="00BE7755"/>
    <w:rsid w:val="00BF1A10"/>
    <w:rsid w:val="00BF1B01"/>
    <w:rsid w:val="00BF31F9"/>
    <w:rsid w:val="00BF4D16"/>
    <w:rsid w:val="00BF7AC8"/>
    <w:rsid w:val="00C012A6"/>
    <w:rsid w:val="00C06F73"/>
    <w:rsid w:val="00C079CE"/>
    <w:rsid w:val="00C10202"/>
    <w:rsid w:val="00C223A3"/>
    <w:rsid w:val="00C23BC3"/>
    <w:rsid w:val="00C25488"/>
    <w:rsid w:val="00C257D4"/>
    <w:rsid w:val="00C27700"/>
    <w:rsid w:val="00C34085"/>
    <w:rsid w:val="00C3533C"/>
    <w:rsid w:val="00C4356E"/>
    <w:rsid w:val="00C43FB5"/>
    <w:rsid w:val="00C50049"/>
    <w:rsid w:val="00C51E1C"/>
    <w:rsid w:val="00C5725B"/>
    <w:rsid w:val="00C6051F"/>
    <w:rsid w:val="00C6788C"/>
    <w:rsid w:val="00C768C2"/>
    <w:rsid w:val="00C85292"/>
    <w:rsid w:val="00C94A93"/>
    <w:rsid w:val="00C94D0F"/>
    <w:rsid w:val="00C951B7"/>
    <w:rsid w:val="00CA069B"/>
    <w:rsid w:val="00CA2E8A"/>
    <w:rsid w:val="00CB5206"/>
    <w:rsid w:val="00CC568E"/>
    <w:rsid w:val="00CC7A59"/>
    <w:rsid w:val="00CD101B"/>
    <w:rsid w:val="00CD3F52"/>
    <w:rsid w:val="00CD79C3"/>
    <w:rsid w:val="00CE136E"/>
    <w:rsid w:val="00CE1C37"/>
    <w:rsid w:val="00CF4651"/>
    <w:rsid w:val="00CF7144"/>
    <w:rsid w:val="00D01B1D"/>
    <w:rsid w:val="00D05921"/>
    <w:rsid w:val="00D06EA2"/>
    <w:rsid w:val="00D11223"/>
    <w:rsid w:val="00D1143E"/>
    <w:rsid w:val="00D1170E"/>
    <w:rsid w:val="00D12891"/>
    <w:rsid w:val="00D15953"/>
    <w:rsid w:val="00D20146"/>
    <w:rsid w:val="00D21562"/>
    <w:rsid w:val="00D21CE2"/>
    <w:rsid w:val="00D27E66"/>
    <w:rsid w:val="00D36583"/>
    <w:rsid w:val="00D4151E"/>
    <w:rsid w:val="00D41708"/>
    <w:rsid w:val="00D44F36"/>
    <w:rsid w:val="00D52309"/>
    <w:rsid w:val="00D61BA8"/>
    <w:rsid w:val="00D82DA6"/>
    <w:rsid w:val="00D864D9"/>
    <w:rsid w:val="00D86C11"/>
    <w:rsid w:val="00D92162"/>
    <w:rsid w:val="00D953CC"/>
    <w:rsid w:val="00D95747"/>
    <w:rsid w:val="00D96F2B"/>
    <w:rsid w:val="00D97DCD"/>
    <w:rsid w:val="00DA022B"/>
    <w:rsid w:val="00DA68D3"/>
    <w:rsid w:val="00DB2D2C"/>
    <w:rsid w:val="00DB31EA"/>
    <w:rsid w:val="00DB3C72"/>
    <w:rsid w:val="00DB4F4B"/>
    <w:rsid w:val="00DB55C4"/>
    <w:rsid w:val="00DB5C1E"/>
    <w:rsid w:val="00DB6E96"/>
    <w:rsid w:val="00DC31A0"/>
    <w:rsid w:val="00DC6D6D"/>
    <w:rsid w:val="00DD044A"/>
    <w:rsid w:val="00DD1E80"/>
    <w:rsid w:val="00DD2EB4"/>
    <w:rsid w:val="00DD7966"/>
    <w:rsid w:val="00DE17DA"/>
    <w:rsid w:val="00DE5CE4"/>
    <w:rsid w:val="00DF094D"/>
    <w:rsid w:val="00DF2E0C"/>
    <w:rsid w:val="00E02CDD"/>
    <w:rsid w:val="00E05522"/>
    <w:rsid w:val="00E160D4"/>
    <w:rsid w:val="00E16C9D"/>
    <w:rsid w:val="00E16EAD"/>
    <w:rsid w:val="00E24C4A"/>
    <w:rsid w:val="00E25AA0"/>
    <w:rsid w:val="00E31EC9"/>
    <w:rsid w:val="00E40491"/>
    <w:rsid w:val="00E404D1"/>
    <w:rsid w:val="00E40B07"/>
    <w:rsid w:val="00E41296"/>
    <w:rsid w:val="00E45B69"/>
    <w:rsid w:val="00E47C2D"/>
    <w:rsid w:val="00E50EE4"/>
    <w:rsid w:val="00E53255"/>
    <w:rsid w:val="00E54CE3"/>
    <w:rsid w:val="00E54D83"/>
    <w:rsid w:val="00E61DDB"/>
    <w:rsid w:val="00E62BBE"/>
    <w:rsid w:val="00E6311C"/>
    <w:rsid w:val="00E637C4"/>
    <w:rsid w:val="00E65B05"/>
    <w:rsid w:val="00E675D4"/>
    <w:rsid w:val="00E733CE"/>
    <w:rsid w:val="00E817F1"/>
    <w:rsid w:val="00E829D8"/>
    <w:rsid w:val="00E94580"/>
    <w:rsid w:val="00E95880"/>
    <w:rsid w:val="00EA114D"/>
    <w:rsid w:val="00EA195C"/>
    <w:rsid w:val="00EA2451"/>
    <w:rsid w:val="00EA34B6"/>
    <w:rsid w:val="00EA4E36"/>
    <w:rsid w:val="00EB0382"/>
    <w:rsid w:val="00EB2666"/>
    <w:rsid w:val="00EB4AB7"/>
    <w:rsid w:val="00EB7A42"/>
    <w:rsid w:val="00EC2280"/>
    <w:rsid w:val="00ED2334"/>
    <w:rsid w:val="00ED47C7"/>
    <w:rsid w:val="00ED49E4"/>
    <w:rsid w:val="00EE22DD"/>
    <w:rsid w:val="00EE3EAA"/>
    <w:rsid w:val="00EE5416"/>
    <w:rsid w:val="00EE660F"/>
    <w:rsid w:val="00EE6FDF"/>
    <w:rsid w:val="00EF16F6"/>
    <w:rsid w:val="00EF28E7"/>
    <w:rsid w:val="00EF3732"/>
    <w:rsid w:val="00EF47BF"/>
    <w:rsid w:val="00EF777F"/>
    <w:rsid w:val="00F103EE"/>
    <w:rsid w:val="00F26A88"/>
    <w:rsid w:val="00F27341"/>
    <w:rsid w:val="00F3079D"/>
    <w:rsid w:val="00F349D1"/>
    <w:rsid w:val="00F3687E"/>
    <w:rsid w:val="00F3704F"/>
    <w:rsid w:val="00F379B6"/>
    <w:rsid w:val="00F4118A"/>
    <w:rsid w:val="00F51489"/>
    <w:rsid w:val="00F515D7"/>
    <w:rsid w:val="00F53332"/>
    <w:rsid w:val="00F63CC7"/>
    <w:rsid w:val="00F716F0"/>
    <w:rsid w:val="00F727C4"/>
    <w:rsid w:val="00F7759B"/>
    <w:rsid w:val="00F81404"/>
    <w:rsid w:val="00F81AC1"/>
    <w:rsid w:val="00F85CE8"/>
    <w:rsid w:val="00F92CD5"/>
    <w:rsid w:val="00F96EAF"/>
    <w:rsid w:val="00FA01B8"/>
    <w:rsid w:val="00FA46A0"/>
    <w:rsid w:val="00FB0A4F"/>
    <w:rsid w:val="00FB15DB"/>
    <w:rsid w:val="00FB24A2"/>
    <w:rsid w:val="00FB3B1E"/>
    <w:rsid w:val="00FB58C8"/>
    <w:rsid w:val="00FB6130"/>
    <w:rsid w:val="00FC3EFB"/>
    <w:rsid w:val="00FC5359"/>
    <w:rsid w:val="00FF1467"/>
    <w:rsid w:val="00FF3E45"/>
    <w:rsid w:val="00FF762C"/>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A13"/>
    <w:pPr>
      <w:spacing w:line="480" w:lineRule="auto"/>
      <w:ind w:left="720" w:hanging="720"/>
    </w:pPr>
    <w:rPr>
      <w:sz w:val="24"/>
      <w:szCs w:val="24"/>
    </w:rPr>
  </w:style>
  <w:style w:type="paragraph" w:styleId="Heading1">
    <w:name w:val="heading 1"/>
    <w:basedOn w:val="Normal"/>
    <w:next w:val="Normal"/>
    <w:link w:val="Heading1Char"/>
    <w:qFormat/>
    <w:rsid w:val="006E3A13"/>
    <w:pPr>
      <w:keepNext/>
      <w:outlineLvl w:val="0"/>
    </w:pPr>
    <w:rPr>
      <w:b/>
      <w:bCs/>
    </w:rPr>
  </w:style>
  <w:style w:type="paragraph" w:styleId="Heading2">
    <w:name w:val="heading 2"/>
    <w:basedOn w:val="Normal"/>
    <w:next w:val="Normal"/>
    <w:link w:val="Heading2Char"/>
    <w:qFormat/>
    <w:rsid w:val="006E3A13"/>
    <w:pPr>
      <w:keepNext/>
      <w:ind w:left="0" w:firstLine="0"/>
      <w:outlineLvl w:val="1"/>
    </w:pPr>
    <w:rPr>
      <w:b/>
      <w:bCs/>
    </w:rPr>
  </w:style>
  <w:style w:type="paragraph" w:styleId="Heading3">
    <w:name w:val="heading 3"/>
    <w:basedOn w:val="Normal"/>
    <w:next w:val="Normal"/>
    <w:link w:val="Heading3Char"/>
    <w:qFormat/>
    <w:rsid w:val="006E3A13"/>
    <w:pPr>
      <w:keepNext/>
      <w:outlineLvl w:val="2"/>
    </w:pPr>
    <w:rPr>
      <w:u w:val="single"/>
    </w:rPr>
  </w:style>
  <w:style w:type="paragraph" w:styleId="Heading4">
    <w:name w:val="heading 4"/>
    <w:basedOn w:val="Normal"/>
    <w:next w:val="Normal"/>
    <w:link w:val="Heading4Char"/>
    <w:qFormat/>
    <w:rsid w:val="006E3A13"/>
    <w:pPr>
      <w:keepNext/>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2EC9"/>
    <w:rPr>
      <w:rFonts w:ascii="Cambria" w:hAnsi="Cambria" w:cs="Cambria"/>
      <w:b/>
      <w:bCs/>
      <w:kern w:val="32"/>
      <w:sz w:val="32"/>
      <w:szCs w:val="32"/>
    </w:rPr>
  </w:style>
  <w:style w:type="character" w:customStyle="1" w:styleId="Heading2Char">
    <w:name w:val="Heading 2 Char"/>
    <w:basedOn w:val="DefaultParagraphFont"/>
    <w:link w:val="Heading2"/>
    <w:semiHidden/>
    <w:rsid w:val="002F2EC9"/>
    <w:rPr>
      <w:rFonts w:ascii="Cambria" w:hAnsi="Cambria" w:cs="Cambria"/>
      <w:b/>
      <w:bCs/>
      <w:i/>
      <w:iCs/>
      <w:sz w:val="28"/>
      <w:szCs w:val="28"/>
    </w:rPr>
  </w:style>
  <w:style w:type="character" w:customStyle="1" w:styleId="Heading3Char">
    <w:name w:val="Heading 3 Char"/>
    <w:basedOn w:val="DefaultParagraphFont"/>
    <w:link w:val="Heading3"/>
    <w:semiHidden/>
    <w:rsid w:val="002F2EC9"/>
    <w:rPr>
      <w:rFonts w:ascii="Cambria" w:hAnsi="Cambria" w:cs="Cambria"/>
      <w:b/>
      <w:bCs/>
      <w:sz w:val="26"/>
      <w:szCs w:val="26"/>
    </w:rPr>
  </w:style>
  <w:style w:type="character" w:customStyle="1" w:styleId="Heading4Char">
    <w:name w:val="Heading 4 Char"/>
    <w:basedOn w:val="DefaultParagraphFont"/>
    <w:link w:val="Heading4"/>
    <w:semiHidden/>
    <w:rsid w:val="002F2EC9"/>
    <w:rPr>
      <w:rFonts w:ascii="Calibri" w:hAnsi="Calibri" w:cs="Calibri"/>
      <w:b/>
      <w:bCs/>
      <w:sz w:val="28"/>
      <w:szCs w:val="28"/>
    </w:rPr>
  </w:style>
  <w:style w:type="paragraph" w:styleId="BodyTextIndent">
    <w:name w:val="Body Text Indent"/>
    <w:basedOn w:val="Normal"/>
    <w:link w:val="BodyTextIndentChar"/>
    <w:rsid w:val="006E3A13"/>
  </w:style>
  <w:style w:type="character" w:customStyle="1" w:styleId="BodyText2Char">
    <w:name w:val="Body Text 2 Char"/>
    <w:basedOn w:val="DefaultParagraphFont"/>
    <w:semiHidden/>
    <w:rsid w:val="00475229"/>
    <w:rPr>
      <w:rFonts w:cs="Times New Roman"/>
      <w:sz w:val="24"/>
      <w:szCs w:val="24"/>
    </w:rPr>
  </w:style>
  <w:style w:type="character" w:customStyle="1" w:styleId="BodyTextIndentChar">
    <w:name w:val="Body Text Indent Char"/>
    <w:basedOn w:val="DefaultParagraphFont"/>
    <w:link w:val="BodyTextIndent"/>
    <w:uiPriority w:val="99"/>
    <w:rsid w:val="002F2EC9"/>
    <w:rPr>
      <w:rFonts w:cs="Times New Roman"/>
      <w:sz w:val="24"/>
      <w:szCs w:val="24"/>
    </w:rPr>
  </w:style>
  <w:style w:type="paragraph" w:styleId="Header">
    <w:name w:val="header"/>
    <w:basedOn w:val="Normal"/>
    <w:link w:val="HeaderChar"/>
    <w:rsid w:val="006E3A13"/>
    <w:pPr>
      <w:tabs>
        <w:tab w:val="center" w:pos="4320"/>
        <w:tab w:val="right" w:pos="8640"/>
      </w:tabs>
      <w:spacing w:line="240" w:lineRule="auto"/>
    </w:pPr>
  </w:style>
  <w:style w:type="character" w:customStyle="1" w:styleId="HeaderChar">
    <w:name w:val="Header Char"/>
    <w:basedOn w:val="DefaultParagraphFont"/>
    <w:link w:val="Header"/>
    <w:semiHidden/>
    <w:rsid w:val="002F2EC9"/>
    <w:rPr>
      <w:rFonts w:cs="Times New Roman"/>
      <w:sz w:val="24"/>
      <w:szCs w:val="24"/>
    </w:rPr>
  </w:style>
  <w:style w:type="paragraph" w:styleId="Footer">
    <w:name w:val="footer"/>
    <w:basedOn w:val="Normal"/>
    <w:link w:val="FooterChar"/>
    <w:rsid w:val="006E3A13"/>
    <w:pPr>
      <w:tabs>
        <w:tab w:val="center" w:pos="4320"/>
        <w:tab w:val="right" w:pos="8640"/>
      </w:tabs>
    </w:pPr>
  </w:style>
  <w:style w:type="character" w:customStyle="1" w:styleId="FooterChar">
    <w:name w:val="Footer Char"/>
    <w:basedOn w:val="DefaultParagraphFont"/>
    <w:link w:val="Footer"/>
    <w:semiHidden/>
    <w:rsid w:val="002F2EC9"/>
    <w:rPr>
      <w:rFonts w:cs="Times New Roman"/>
      <w:sz w:val="24"/>
      <w:szCs w:val="24"/>
    </w:rPr>
  </w:style>
  <w:style w:type="character" w:styleId="PageNumber">
    <w:name w:val="page number"/>
    <w:basedOn w:val="DefaultParagraphFont"/>
    <w:rsid w:val="006E3A13"/>
    <w:rPr>
      <w:rFonts w:cs="Times New Roman"/>
    </w:rPr>
  </w:style>
  <w:style w:type="character" w:styleId="LineNumber">
    <w:name w:val="line number"/>
    <w:basedOn w:val="DefaultParagraphFont"/>
    <w:rsid w:val="006E3A13"/>
    <w:rPr>
      <w:rFonts w:cs="Times New Roman"/>
    </w:rPr>
  </w:style>
  <w:style w:type="paragraph" w:styleId="DocumentMap">
    <w:name w:val="Document Map"/>
    <w:basedOn w:val="Normal"/>
    <w:link w:val="DocumentMapChar"/>
    <w:semiHidden/>
    <w:rsid w:val="006E3A13"/>
    <w:pPr>
      <w:shd w:val="clear" w:color="auto" w:fill="000080"/>
    </w:pPr>
    <w:rPr>
      <w:rFonts w:ascii="Tahoma" w:hAnsi="Tahoma" w:cs="Tahoma"/>
    </w:rPr>
  </w:style>
  <w:style w:type="character" w:customStyle="1" w:styleId="DocumentMapChar">
    <w:name w:val="Document Map Char"/>
    <w:basedOn w:val="DefaultParagraphFont"/>
    <w:link w:val="DocumentMap"/>
    <w:semiHidden/>
    <w:rsid w:val="002F2EC9"/>
    <w:rPr>
      <w:rFonts w:cs="Times New Roman"/>
      <w:sz w:val="2"/>
      <w:szCs w:val="2"/>
    </w:rPr>
  </w:style>
  <w:style w:type="paragraph" w:styleId="Title">
    <w:name w:val="Title"/>
    <w:basedOn w:val="Normal"/>
    <w:link w:val="TitleChar"/>
    <w:qFormat/>
    <w:rsid w:val="006E3A13"/>
    <w:pPr>
      <w:jc w:val="center"/>
    </w:pPr>
    <w:rPr>
      <w:b/>
      <w:bCs/>
      <w:sz w:val="28"/>
      <w:szCs w:val="28"/>
    </w:rPr>
  </w:style>
  <w:style w:type="character" w:customStyle="1" w:styleId="TitleChar">
    <w:name w:val="Title Char"/>
    <w:basedOn w:val="DefaultParagraphFont"/>
    <w:link w:val="Title"/>
    <w:rsid w:val="002F2EC9"/>
    <w:rPr>
      <w:rFonts w:ascii="Cambria" w:hAnsi="Cambria" w:cs="Cambria"/>
      <w:b/>
      <w:bCs/>
      <w:kern w:val="28"/>
      <w:sz w:val="32"/>
      <w:szCs w:val="32"/>
    </w:rPr>
  </w:style>
  <w:style w:type="paragraph" w:customStyle="1" w:styleId="FirmName">
    <w:name w:val="Firm Name"/>
    <w:basedOn w:val="Normal"/>
    <w:rsid w:val="006E3A13"/>
    <w:pPr>
      <w:spacing w:line="254" w:lineRule="exact"/>
      <w:ind w:left="0" w:firstLine="0"/>
      <w:jc w:val="center"/>
    </w:pPr>
    <w:rPr>
      <w:sz w:val="20"/>
      <w:szCs w:val="20"/>
    </w:rPr>
  </w:style>
  <w:style w:type="paragraph" w:styleId="BalloonText">
    <w:name w:val="Balloon Text"/>
    <w:basedOn w:val="Normal"/>
    <w:link w:val="BalloonTextChar"/>
    <w:semiHidden/>
    <w:rsid w:val="006E3A13"/>
    <w:rPr>
      <w:rFonts w:ascii="Tahoma" w:hAnsi="Tahoma" w:cs="Tahoma"/>
      <w:sz w:val="16"/>
      <w:szCs w:val="16"/>
    </w:rPr>
  </w:style>
  <w:style w:type="character" w:customStyle="1" w:styleId="BalloonTextChar">
    <w:name w:val="Balloon Text Char"/>
    <w:basedOn w:val="DefaultParagraphFont"/>
    <w:link w:val="BalloonText"/>
    <w:semiHidden/>
    <w:rsid w:val="002F2EC9"/>
    <w:rPr>
      <w:rFonts w:cs="Times New Roman"/>
      <w:sz w:val="2"/>
      <w:szCs w:val="2"/>
    </w:rPr>
  </w:style>
  <w:style w:type="paragraph" w:customStyle="1" w:styleId="CharChar1">
    <w:name w:val="Char Char1"/>
    <w:basedOn w:val="Normal"/>
    <w:rsid w:val="00534982"/>
    <w:pPr>
      <w:spacing w:after="160" w:line="240" w:lineRule="exact"/>
      <w:ind w:left="0" w:firstLine="0"/>
    </w:pPr>
    <w:rPr>
      <w:rFonts w:ascii="Verdana" w:hAnsi="Verdana" w:cs="Verdana"/>
      <w:sz w:val="20"/>
      <w:szCs w:val="20"/>
    </w:rPr>
  </w:style>
  <w:style w:type="paragraph" w:customStyle="1" w:styleId="CharChar2">
    <w:name w:val="Char Char2"/>
    <w:basedOn w:val="Normal"/>
    <w:rsid w:val="00612523"/>
    <w:pPr>
      <w:spacing w:after="160" w:line="240" w:lineRule="exact"/>
      <w:ind w:left="0" w:firstLine="0"/>
    </w:pPr>
    <w:rPr>
      <w:rFonts w:ascii="Verdana" w:hAnsi="Verdana"/>
    </w:rPr>
  </w:style>
  <w:style w:type="character" w:styleId="CommentReference">
    <w:name w:val="annotation reference"/>
    <w:basedOn w:val="DefaultParagraphFont"/>
    <w:semiHidden/>
    <w:rsid w:val="0030569E"/>
    <w:rPr>
      <w:sz w:val="16"/>
      <w:szCs w:val="16"/>
    </w:rPr>
  </w:style>
  <w:style w:type="paragraph" w:styleId="CommentText">
    <w:name w:val="annotation text"/>
    <w:basedOn w:val="Normal"/>
    <w:semiHidden/>
    <w:rsid w:val="0030569E"/>
    <w:rPr>
      <w:sz w:val="20"/>
      <w:szCs w:val="20"/>
    </w:rPr>
  </w:style>
  <w:style w:type="paragraph" w:styleId="CommentSubject">
    <w:name w:val="annotation subject"/>
    <w:basedOn w:val="CommentText"/>
    <w:next w:val="CommentText"/>
    <w:semiHidden/>
    <w:rsid w:val="0030569E"/>
    <w:rPr>
      <w:b/>
      <w:bCs/>
    </w:rPr>
  </w:style>
  <w:style w:type="paragraph" w:styleId="FootnoteText">
    <w:name w:val="footnote text"/>
    <w:basedOn w:val="Normal"/>
    <w:link w:val="FootnoteTextChar"/>
    <w:uiPriority w:val="99"/>
    <w:semiHidden/>
    <w:unhideWhenUsed/>
    <w:rsid w:val="007D693A"/>
    <w:rPr>
      <w:sz w:val="20"/>
      <w:szCs w:val="20"/>
    </w:rPr>
  </w:style>
  <w:style w:type="character" w:customStyle="1" w:styleId="FootnoteTextChar">
    <w:name w:val="Footnote Text Char"/>
    <w:basedOn w:val="DefaultParagraphFont"/>
    <w:link w:val="FootnoteText"/>
    <w:uiPriority w:val="99"/>
    <w:semiHidden/>
    <w:rsid w:val="007D693A"/>
  </w:style>
  <w:style w:type="character" w:styleId="FootnoteReference">
    <w:name w:val="footnote reference"/>
    <w:basedOn w:val="DefaultParagraphFont"/>
    <w:uiPriority w:val="99"/>
    <w:semiHidden/>
    <w:unhideWhenUsed/>
    <w:rsid w:val="007D693A"/>
    <w:rPr>
      <w:vertAlign w:val="superscript"/>
    </w:rPr>
  </w:style>
  <w:style w:type="paragraph" w:styleId="Revision">
    <w:name w:val="Revision"/>
    <w:hidden/>
    <w:uiPriority w:val="99"/>
    <w:semiHidden/>
    <w:rsid w:val="00673D6C"/>
    <w:rPr>
      <w:sz w:val="24"/>
      <w:szCs w:val="24"/>
    </w:rPr>
  </w:style>
  <w:style w:type="paragraph" w:styleId="BodyText2">
    <w:name w:val="Body Text 2"/>
    <w:basedOn w:val="Normal"/>
    <w:link w:val="BodyText2Char1"/>
    <w:uiPriority w:val="99"/>
    <w:unhideWhenUsed/>
    <w:rsid w:val="00142D02"/>
    <w:pPr>
      <w:spacing w:after="120"/>
    </w:pPr>
  </w:style>
  <w:style w:type="character" w:customStyle="1" w:styleId="BodyText2Char1">
    <w:name w:val="Body Text 2 Char1"/>
    <w:basedOn w:val="DefaultParagraphFont"/>
    <w:link w:val="BodyText2"/>
    <w:uiPriority w:val="99"/>
    <w:rsid w:val="00142D02"/>
    <w:rPr>
      <w:sz w:val="24"/>
      <w:szCs w:val="24"/>
    </w:rPr>
  </w:style>
  <w:style w:type="paragraph" w:styleId="ListParagraph">
    <w:name w:val="List Paragraph"/>
    <w:basedOn w:val="Normal"/>
    <w:uiPriority w:val="34"/>
    <w:qFormat/>
    <w:rsid w:val="00A067E6"/>
    <w:pPr>
      <w:contextualSpacing/>
    </w:pPr>
  </w:style>
  <w:style w:type="table" w:styleId="TableGrid">
    <w:name w:val="Table Grid"/>
    <w:basedOn w:val="TableNormal"/>
    <w:uiPriority w:val="59"/>
    <w:rsid w:val="00080F7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1A0A0F"/>
    <w:pPr>
      <w:ind w:left="720" w:hanging="720"/>
      <w:jc w:val="both"/>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2E43AC"/>
    <w:rPr>
      <w:rFonts w:ascii="Arial" w:eastAsiaTheme="minorHAnsi" w:hAnsi="Arial" w:cstheme="minorBidi"/>
      <w:sz w:val="24"/>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5E2DBB"/>
    <w:pPr>
      <w:keepLines/>
      <w:spacing w:before="480" w:line="276" w:lineRule="auto"/>
      <w:ind w:left="0" w:firstLine="0"/>
      <w:outlineLvl w:val="9"/>
    </w:pPr>
    <w:rPr>
      <w:rFonts w:asciiTheme="majorHAnsi" w:eastAsiaTheme="majorEastAsia" w:hAnsiTheme="majorHAnsi" w:cstheme="majorBidi"/>
      <w:color w:val="365F91" w:themeColor="accent1" w:themeShade="BF"/>
      <w:sz w:val="28"/>
      <w:szCs w:val="28"/>
    </w:rPr>
  </w:style>
  <w:style w:type="paragraph" w:styleId="TOC1">
    <w:name w:val="toc 1"/>
    <w:basedOn w:val="Normal"/>
    <w:next w:val="Normal"/>
    <w:autoRedefine/>
    <w:uiPriority w:val="39"/>
    <w:unhideWhenUsed/>
    <w:rsid w:val="005E2DBB"/>
    <w:pPr>
      <w:suppressLineNumbers/>
      <w:tabs>
        <w:tab w:val="right" w:leader="dot" w:pos="8630"/>
      </w:tabs>
      <w:spacing w:line="360" w:lineRule="auto"/>
      <w:ind w:left="0" w:firstLine="0"/>
    </w:pPr>
  </w:style>
  <w:style w:type="character" w:styleId="Hyperlink">
    <w:name w:val="Hyperlink"/>
    <w:basedOn w:val="DefaultParagraphFont"/>
    <w:uiPriority w:val="99"/>
    <w:unhideWhenUsed/>
    <w:rsid w:val="005E2D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A13"/>
    <w:pPr>
      <w:spacing w:line="480" w:lineRule="auto"/>
      <w:ind w:left="720" w:hanging="720"/>
    </w:pPr>
    <w:rPr>
      <w:sz w:val="24"/>
      <w:szCs w:val="24"/>
    </w:rPr>
  </w:style>
  <w:style w:type="paragraph" w:styleId="Heading1">
    <w:name w:val="heading 1"/>
    <w:basedOn w:val="Normal"/>
    <w:next w:val="Normal"/>
    <w:link w:val="Heading1Char"/>
    <w:qFormat/>
    <w:rsid w:val="006E3A13"/>
    <w:pPr>
      <w:keepNext/>
      <w:outlineLvl w:val="0"/>
    </w:pPr>
    <w:rPr>
      <w:b/>
      <w:bCs/>
    </w:rPr>
  </w:style>
  <w:style w:type="paragraph" w:styleId="Heading2">
    <w:name w:val="heading 2"/>
    <w:basedOn w:val="Normal"/>
    <w:next w:val="Normal"/>
    <w:link w:val="Heading2Char"/>
    <w:qFormat/>
    <w:rsid w:val="006E3A13"/>
    <w:pPr>
      <w:keepNext/>
      <w:ind w:left="0" w:firstLine="0"/>
      <w:outlineLvl w:val="1"/>
    </w:pPr>
    <w:rPr>
      <w:b/>
      <w:bCs/>
    </w:rPr>
  </w:style>
  <w:style w:type="paragraph" w:styleId="Heading3">
    <w:name w:val="heading 3"/>
    <w:basedOn w:val="Normal"/>
    <w:next w:val="Normal"/>
    <w:link w:val="Heading3Char"/>
    <w:qFormat/>
    <w:rsid w:val="006E3A13"/>
    <w:pPr>
      <w:keepNext/>
      <w:outlineLvl w:val="2"/>
    </w:pPr>
    <w:rPr>
      <w:u w:val="single"/>
    </w:rPr>
  </w:style>
  <w:style w:type="paragraph" w:styleId="Heading4">
    <w:name w:val="heading 4"/>
    <w:basedOn w:val="Normal"/>
    <w:next w:val="Normal"/>
    <w:link w:val="Heading4Char"/>
    <w:qFormat/>
    <w:rsid w:val="006E3A13"/>
    <w:pPr>
      <w:keepNext/>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2EC9"/>
    <w:rPr>
      <w:rFonts w:ascii="Cambria" w:hAnsi="Cambria" w:cs="Cambria"/>
      <w:b/>
      <w:bCs/>
      <w:kern w:val="32"/>
      <w:sz w:val="32"/>
      <w:szCs w:val="32"/>
    </w:rPr>
  </w:style>
  <w:style w:type="character" w:customStyle="1" w:styleId="Heading2Char">
    <w:name w:val="Heading 2 Char"/>
    <w:basedOn w:val="DefaultParagraphFont"/>
    <w:link w:val="Heading2"/>
    <w:semiHidden/>
    <w:rsid w:val="002F2EC9"/>
    <w:rPr>
      <w:rFonts w:ascii="Cambria" w:hAnsi="Cambria" w:cs="Cambria"/>
      <w:b/>
      <w:bCs/>
      <w:i/>
      <w:iCs/>
      <w:sz w:val="28"/>
      <w:szCs w:val="28"/>
    </w:rPr>
  </w:style>
  <w:style w:type="character" w:customStyle="1" w:styleId="Heading3Char">
    <w:name w:val="Heading 3 Char"/>
    <w:basedOn w:val="DefaultParagraphFont"/>
    <w:link w:val="Heading3"/>
    <w:semiHidden/>
    <w:rsid w:val="002F2EC9"/>
    <w:rPr>
      <w:rFonts w:ascii="Cambria" w:hAnsi="Cambria" w:cs="Cambria"/>
      <w:b/>
      <w:bCs/>
      <w:sz w:val="26"/>
      <w:szCs w:val="26"/>
    </w:rPr>
  </w:style>
  <w:style w:type="character" w:customStyle="1" w:styleId="Heading4Char">
    <w:name w:val="Heading 4 Char"/>
    <w:basedOn w:val="DefaultParagraphFont"/>
    <w:link w:val="Heading4"/>
    <w:semiHidden/>
    <w:rsid w:val="002F2EC9"/>
    <w:rPr>
      <w:rFonts w:ascii="Calibri" w:hAnsi="Calibri" w:cs="Calibri"/>
      <w:b/>
      <w:bCs/>
      <w:sz w:val="28"/>
      <w:szCs w:val="28"/>
    </w:rPr>
  </w:style>
  <w:style w:type="paragraph" w:styleId="BodyTextIndent">
    <w:name w:val="Body Text Indent"/>
    <w:basedOn w:val="Normal"/>
    <w:link w:val="BodyTextIndentChar"/>
    <w:rsid w:val="006E3A13"/>
  </w:style>
  <w:style w:type="character" w:customStyle="1" w:styleId="BodyText2Char">
    <w:name w:val="Body Text 2 Char"/>
    <w:basedOn w:val="DefaultParagraphFont"/>
    <w:semiHidden/>
    <w:rsid w:val="00475229"/>
    <w:rPr>
      <w:rFonts w:cs="Times New Roman"/>
      <w:sz w:val="24"/>
      <w:szCs w:val="24"/>
    </w:rPr>
  </w:style>
  <w:style w:type="character" w:customStyle="1" w:styleId="BodyTextIndentChar">
    <w:name w:val="Body Text Indent Char"/>
    <w:basedOn w:val="DefaultParagraphFont"/>
    <w:link w:val="BodyTextIndent"/>
    <w:uiPriority w:val="99"/>
    <w:rsid w:val="002F2EC9"/>
    <w:rPr>
      <w:rFonts w:cs="Times New Roman"/>
      <w:sz w:val="24"/>
      <w:szCs w:val="24"/>
    </w:rPr>
  </w:style>
  <w:style w:type="paragraph" w:styleId="Header">
    <w:name w:val="header"/>
    <w:basedOn w:val="Normal"/>
    <w:link w:val="HeaderChar"/>
    <w:rsid w:val="006E3A13"/>
    <w:pPr>
      <w:tabs>
        <w:tab w:val="center" w:pos="4320"/>
        <w:tab w:val="right" w:pos="8640"/>
      </w:tabs>
      <w:spacing w:line="240" w:lineRule="auto"/>
    </w:pPr>
  </w:style>
  <w:style w:type="character" w:customStyle="1" w:styleId="HeaderChar">
    <w:name w:val="Header Char"/>
    <w:basedOn w:val="DefaultParagraphFont"/>
    <w:link w:val="Header"/>
    <w:semiHidden/>
    <w:rsid w:val="002F2EC9"/>
    <w:rPr>
      <w:rFonts w:cs="Times New Roman"/>
      <w:sz w:val="24"/>
      <w:szCs w:val="24"/>
    </w:rPr>
  </w:style>
  <w:style w:type="paragraph" w:styleId="Footer">
    <w:name w:val="footer"/>
    <w:basedOn w:val="Normal"/>
    <w:link w:val="FooterChar"/>
    <w:rsid w:val="006E3A13"/>
    <w:pPr>
      <w:tabs>
        <w:tab w:val="center" w:pos="4320"/>
        <w:tab w:val="right" w:pos="8640"/>
      </w:tabs>
    </w:pPr>
  </w:style>
  <w:style w:type="character" w:customStyle="1" w:styleId="FooterChar">
    <w:name w:val="Footer Char"/>
    <w:basedOn w:val="DefaultParagraphFont"/>
    <w:link w:val="Footer"/>
    <w:semiHidden/>
    <w:rsid w:val="002F2EC9"/>
    <w:rPr>
      <w:rFonts w:cs="Times New Roman"/>
      <w:sz w:val="24"/>
      <w:szCs w:val="24"/>
    </w:rPr>
  </w:style>
  <w:style w:type="character" w:styleId="PageNumber">
    <w:name w:val="page number"/>
    <w:basedOn w:val="DefaultParagraphFont"/>
    <w:rsid w:val="006E3A13"/>
    <w:rPr>
      <w:rFonts w:cs="Times New Roman"/>
    </w:rPr>
  </w:style>
  <w:style w:type="character" w:styleId="LineNumber">
    <w:name w:val="line number"/>
    <w:basedOn w:val="DefaultParagraphFont"/>
    <w:rsid w:val="006E3A13"/>
    <w:rPr>
      <w:rFonts w:cs="Times New Roman"/>
    </w:rPr>
  </w:style>
  <w:style w:type="paragraph" w:styleId="DocumentMap">
    <w:name w:val="Document Map"/>
    <w:basedOn w:val="Normal"/>
    <w:link w:val="DocumentMapChar"/>
    <w:semiHidden/>
    <w:rsid w:val="006E3A13"/>
    <w:pPr>
      <w:shd w:val="clear" w:color="auto" w:fill="000080"/>
    </w:pPr>
    <w:rPr>
      <w:rFonts w:ascii="Tahoma" w:hAnsi="Tahoma" w:cs="Tahoma"/>
    </w:rPr>
  </w:style>
  <w:style w:type="character" w:customStyle="1" w:styleId="DocumentMapChar">
    <w:name w:val="Document Map Char"/>
    <w:basedOn w:val="DefaultParagraphFont"/>
    <w:link w:val="DocumentMap"/>
    <w:semiHidden/>
    <w:rsid w:val="002F2EC9"/>
    <w:rPr>
      <w:rFonts w:cs="Times New Roman"/>
      <w:sz w:val="2"/>
      <w:szCs w:val="2"/>
    </w:rPr>
  </w:style>
  <w:style w:type="paragraph" w:styleId="Title">
    <w:name w:val="Title"/>
    <w:basedOn w:val="Normal"/>
    <w:link w:val="TitleChar"/>
    <w:qFormat/>
    <w:rsid w:val="006E3A13"/>
    <w:pPr>
      <w:jc w:val="center"/>
    </w:pPr>
    <w:rPr>
      <w:b/>
      <w:bCs/>
      <w:sz w:val="28"/>
      <w:szCs w:val="28"/>
    </w:rPr>
  </w:style>
  <w:style w:type="character" w:customStyle="1" w:styleId="TitleChar">
    <w:name w:val="Title Char"/>
    <w:basedOn w:val="DefaultParagraphFont"/>
    <w:link w:val="Title"/>
    <w:rsid w:val="002F2EC9"/>
    <w:rPr>
      <w:rFonts w:ascii="Cambria" w:hAnsi="Cambria" w:cs="Cambria"/>
      <w:b/>
      <w:bCs/>
      <w:kern w:val="28"/>
      <w:sz w:val="32"/>
      <w:szCs w:val="32"/>
    </w:rPr>
  </w:style>
  <w:style w:type="paragraph" w:customStyle="1" w:styleId="FirmName">
    <w:name w:val="Firm Name"/>
    <w:basedOn w:val="Normal"/>
    <w:rsid w:val="006E3A13"/>
    <w:pPr>
      <w:spacing w:line="254" w:lineRule="exact"/>
      <w:ind w:left="0" w:firstLine="0"/>
      <w:jc w:val="center"/>
    </w:pPr>
    <w:rPr>
      <w:sz w:val="20"/>
      <w:szCs w:val="20"/>
    </w:rPr>
  </w:style>
  <w:style w:type="paragraph" w:styleId="BalloonText">
    <w:name w:val="Balloon Text"/>
    <w:basedOn w:val="Normal"/>
    <w:link w:val="BalloonTextChar"/>
    <w:semiHidden/>
    <w:rsid w:val="006E3A13"/>
    <w:rPr>
      <w:rFonts w:ascii="Tahoma" w:hAnsi="Tahoma" w:cs="Tahoma"/>
      <w:sz w:val="16"/>
      <w:szCs w:val="16"/>
    </w:rPr>
  </w:style>
  <w:style w:type="character" w:customStyle="1" w:styleId="BalloonTextChar">
    <w:name w:val="Balloon Text Char"/>
    <w:basedOn w:val="DefaultParagraphFont"/>
    <w:link w:val="BalloonText"/>
    <w:semiHidden/>
    <w:rsid w:val="002F2EC9"/>
    <w:rPr>
      <w:rFonts w:cs="Times New Roman"/>
      <w:sz w:val="2"/>
      <w:szCs w:val="2"/>
    </w:rPr>
  </w:style>
  <w:style w:type="paragraph" w:customStyle="1" w:styleId="CharChar1">
    <w:name w:val="Char Char1"/>
    <w:basedOn w:val="Normal"/>
    <w:rsid w:val="00534982"/>
    <w:pPr>
      <w:spacing w:after="160" w:line="240" w:lineRule="exact"/>
      <w:ind w:left="0" w:firstLine="0"/>
    </w:pPr>
    <w:rPr>
      <w:rFonts w:ascii="Verdana" w:hAnsi="Verdana" w:cs="Verdana"/>
      <w:sz w:val="20"/>
      <w:szCs w:val="20"/>
    </w:rPr>
  </w:style>
  <w:style w:type="paragraph" w:customStyle="1" w:styleId="CharChar2">
    <w:name w:val="Char Char2"/>
    <w:basedOn w:val="Normal"/>
    <w:rsid w:val="00612523"/>
    <w:pPr>
      <w:spacing w:after="160" w:line="240" w:lineRule="exact"/>
      <w:ind w:left="0" w:firstLine="0"/>
    </w:pPr>
    <w:rPr>
      <w:rFonts w:ascii="Verdana" w:hAnsi="Verdana"/>
    </w:rPr>
  </w:style>
  <w:style w:type="character" w:styleId="CommentReference">
    <w:name w:val="annotation reference"/>
    <w:basedOn w:val="DefaultParagraphFont"/>
    <w:semiHidden/>
    <w:rsid w:val="0030569E"/>
    <w:rPr>
      <w:sz w:val="16"/>
      <w:szCs w:val="16"/>
    </w:rPr>
  </w:style>
  <w:style w:type="paragraph" w:styleId="CommentText">
    <w:name w:val="annotation text"/>
    <w:basedOn w:val="Normal"/>
    <w:semiHidden/>
    <w:rsid w:val="0030569E"/>
    <w:rPr>
      <w:sz w:val="20"/>
      <w:szCs w:val="20"/>
    </w:rPr>
  </w:style>
  <w:style w:type="paragraph" w:styleId="CommentSubject">
    <w:name w:val="annotation subject"/>
    <w:basedOn w:val="CommentText"/>
    <w:next w:val="CommentText"/>
    <w:semiHidden/>
    <w:rsid w:val="0030569E"/>
    <w:rPr>
      <w:b/>
      <w:bCs/>
    </w:rPr>
  </w:style>
  <w:style w:type="paragraph" w:styleId="FootnoteText">
    <w:name w:val="footnote text"/>
    <w:basedOn w:val="Normal"/>
    <w:link w:val="FootnoteTextChar"/>
    <w:uiPriority w:val="99"/>
    <w:semiHidden/>
    <w:unhideWhenUsed/>
    <w:rsid w:val="007D693A"/>
    <w:rPr>
      <w:sz w:val="20"/>
      <w:szCs w:val="20"/>
    </w:rPr>
  </w:style>
  <w:style w:type="character" w:customStyle="1" w:styleId="FootnoteTextChar">
    <w:name w:val="Footnote Text Char"/>
    <w:basedOn w:val="DefaultParagraphFont"/>
    <w:link w:val="FootnoteText"/>
    <w:uiPriority w:val="99"/>
    <w:semiHidden/>
    <w:rsid w:val="007D693A"/>
  </w:style>
  <w:style w:type="character" w:styleId="FootnoteReference">
    <w:name w:val="footnote reference"/>
    <w:basedOn w:val="DefaultParagraphFont"/>
    <w:uiPriority w:val="99"/>
    <w:semiHidden/>
    <w:unhideWhenUsed/>
    <w:rsid w:val="007D693A"/>
    <w:rPr>
      <w:vertAlign w:val="superscript"/>
    </w:rPr>
  </w:style>
  <w:style w:type="paragraph" w:styleId="Revision">
    <w:name w:val="Revision"/>
    <w:hidden/>
    <w:uiPriority w:val="99"/>
    <w:semiHidden/>
    <w:rsid w:val="00673D6C"/>
    <w:rPr>
      <w:sz w:val="24"/>
      <w:szCs w:val="24"/>
    </w:rPr>
  </w:style>
  <w:style w:type="paragraph" w:styleId="BodyText2">
    <w:name w:val="Body Text 2"/>
    <w:basedOn w:val="Normal"/>
    <w:link w:val="BodyText2Char1"/>
    <w:uiPriority w:val="99"/>
    <w:unhideWhenUsed/>
    <w:rsid w:val="00142D02"/>
    <w:pPr>
      <w:spacing w:after="120"/>
    </w:pPr>
  </w:style>
  <w:style w:type="character" w:customStyle="1" w:styleId="BodyText2Char1">
    <w:name w:val="Body Text 2 Char1"/>
    <w:basedOn w:val="DefaultParagraphFont"/>
    <w:link w:val="BodyText2"/>
    <w:uiPriority w:val="99"/>
    <w:rsid w:val="00142D02"/>
    <w:rPr>
      <w:sz w:val="24"/>
      <w:szCs w:val="24"/>
    </w:rPr>
  </w:style>
  <w:style w:type="paragraph" w:styleId="ListParagraph">
    <w:name w:val="List Paragraph"/>
    <w:basedOn w:val="Normal"/>
    <w:uiPriority w:val="34"/>
    <w:qFormat/>
    <w:rsid w:val="00A067E6"/>
    <w:pPr>
      <w:contextualSpacing/>
    </w:pPr>
  </w:style>
  <w:style w:type="table" w:styleId="TableGrid">
    <w:name w:val="Table Grid"/>
    <w:basedOn w:val="TableNormal"/>
    <w:uiPriority w:val="59"/>
    <w:rsid w:val="00080F7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1A0A0F"/>
    <w:pPr>
      <w:ind w:left="720" w:hanging="720"/>
      <w:jc w:val="both"/>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2E43AC"/>
    <w:rPr>
      <w:rFonts w:ascii="Arial" w:eastAsiaTheme="minorHAnsi" w:hAnsi="Arial" w:cstheme="minorBidi"/>
      <w:sz w:val="24"/>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8919354">
      <w:bodyDiv w:val="1"/>
      <w:marLeft w:val="0"/>
      <w:marRight w:val="0"/>
      <w:marTop w:val="0"/>
      <w:marBottom w:val="0"/>
      <w:divBdr>
        <w:top w:val="none" w:sz="0" w:space="0" w:color="auto"/>
        <w:left w:val="none" w:sz="0" w:space="0" w:color="auto"/>
        <w:bottom w:val="none" w:sz="0" w:space="0" w:color="auto"/>
        <w:right w:val="none" w:sz="0" w:space="0" w:color="auto"/>
      </w:divBdr>
    </w:div>
    <w:div w:id="43032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1.xml"/><Relationship Id="rId2" Type="http://schemas.openxmlformats.org/officeDocument/2006/relationships/styles" Target="styles.xml"/><Relationship Id="rId16" Type="http://schemas.microsoft.com/office/2007/relationships/stylesWithEffects" Target="stylesWithEffects.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2013-01-11T08:00:00+00:00</OpenedDate>
    <Date1 xmlns="dc463f71-b30c-4ab2-9473-d307f9d35888">2013-01-11T08:00:00+00:00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947E5C-98EC-4648-93EF-8C95D70C7CCF}"/>
</file>

<file path=customXml/itemProps2.xml><?xml version="1.0" encoding="utf-8"?>
<ds:datastoreItem xmlns:ds="http://schemas.openxmlformats.org/officeDocument/2006/customXml" ds:itemID="{2AFFBAD3-9875-4E00-A426-2094CADB98EF}"/>
</file>

<file path=customXml/itemProps3.xml><?xml version="1.0" encoding="utf-8"?>
<ds:datastoreItem xmlns:ds="http://schemas.openxmlformats.org/officeDocument/2006/customXml" ds:itemID="{E67FFFCB-54BB-4172-8E39-B0DC98C23814}"/>
</file>

<file path=customXml/itemProps4.xml><?xml version="1.0" encoding="utf-8"?>
<ds:datastoreItem xmlns:ds="http://schemas.openxmlformats.org/officeDocument/2006/customXml" ds:itemID="{09F3BDF6-02A8-49BA-9F75-8D21A4CD7E0F}"/>
</file>

<file path=docProps/app.xml><?xml version="1.0" encoding="utf-8"?>
<Properties xmlns="http://schemas.openxmlformats.org/officeDocument/2006/extended-properties" xmlns:vt="http://schemas.openxmlformats.org/officeDocument/2006/docPropsVTypes">
  <Template>Normal.dotm</Template>
  <TotalTime>0</TotalTime>
  <Pages>26</Pages>
  <Words>5711</Words>
  <Characters>31871</Characters>
  <Application>Microsoft Office Word</Application>
  <DocSecurity>0</DocSecurity>
  <Lines>265</Lines>
  <Paragraphs>75</Paragraphs>
  <ScaleCrop>false</ScaleCrop>
  <Company/>
  <LinksUpToDate>false</LinksUpToDate>
  <CharactersWithSpaces>37507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2013-01-09T22:29:00Z</dcterms:created>
  <dcterms:modified xsi:type="dcterms:W3CDTF">2013-01-09T22:29:00Z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0x0101006E56B4D1795A2E4DB2F0B01679ED314A00A76616498D7811449987485091DF42B7</vt:lpwstr>
  </property>
  <property fmtid="{D5CDD505-2E9C-101B-9397-08002B2CF9AE}" pid="4" name="_docset_NoMedatataSyncRequired">
    <vt:lpwstr>False</vt:lpwstr>
  </property>
</Properties>
</file>