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24BE4" w14:textId="77777777" w:rsidR="003215A3" w:rsidRPr="00E05C87" w:rsidRDefault="003215A3" w:rsidP="00A45197">
      <w:pPr>
        <w:pStyle w:val="Header"/>
        <w:jc w:val="center"/>
        <w:rPr>
          <w:b/>
        </w:rPr>
      </w:pPr>
      <w:bookmarkStart w:id="0" w:name="_GoBack"/>
      <w:bookmarkEnd w:id="0"/>
      <w:r w:rsidRPr="00E05C87">
        <w:rPr>
          <w:b/>
        </w:rPr>
        <w:t xml:space="preserve">BEFORE THE WASHINGTON </w:t>
      </w:r>
      <w:r w:rsidR="00A45197" w:rsidRPr="00E05C87">
        <w:rPr>
          <w:b/>
        </w:rPr>
        <w:br/>
      </w:r>
      <w:r w:rsidRPr="00E05C87">
        <w:rPr>
          <w:b/>
        </w:rPr>
        <w:t>UTILITIES AND TRANSPORTATION COMMISSION</w:t>
      </w:r>
    </w:p>
    <w:p w14:paraId="20E24BE5" w14:textId="77777777" w:rsidR="003215A3" w:rsidRPr="00841394" w:rsidRDefault="003215A3" w:rsidP="00841394">
      <w:pPr>
        <w:pStyle w:val="Header"/>
      </w:pPr>
    </w:p>
    <w:tbl>
      <w:tblPr>
        <w:tblW w:w="9180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841394" w14:paraId="20E24C0A" w14:textId="77777777" w:rsidTr="00DD45E1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0E24BE6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  <w:r>
              <w:t>In the Matter of the Petition of</w:t>
            </w:r>
          </w:p>
          <w:p w14:paraId="20E24BE7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</w:p>
          <w:p w14:paraId="20E24BE8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  <w:r>
              <w:t xml:space="preserve">PUGET SOUND ENERGY, INC., </w:t>
            </w:r>
          </w:p>
          <w:p w14:paraId="20E24BE9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  <w:r>
              <w:t>and NORTHWEST ENERGY COALITION</w:t>
            </w:r>
          </w:p>
          <w:p w14:paraId="20E24BEA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</w:p>
          <w:p w14:paraId="20E24BEB" w14:textId="4FF37E73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  <w:r>
              <w:t xml:space="preserve">For an Order Authorizing PSE </w:t>
            </w:r>
            <w:r w:rsidR="003D0097">
              <w:t>t</w:t>
            </w:r>
            <w:r>
              <w:t xml:space="preserve">o Implement Electric and Natural Gas Decoupling Mechanisms and </w:t>
            </w:r>
            <w:r w:rsidR="003D0097">
              <w:t>t</w:t>
            </w:r>
            <w:r>
              <w:t>o Record Accounting Entries Associated With the Mechanisms</w:t>
            </w:r>
          </w:p>
          <w:p w14:paraId="20E24BEC" w14:textId="77777777" w:rsidR="00D1695A" w:rsidRPr="00D1695A" w:rsidRDefault="00D1695A" w:rsidP="00D1695A">
            <w:pPr>
              <w:pStyle w:val="Header"/>
              <w:rPr>
                <w:u w:val="single"/>
              </w:rPr>
            </w:pPr>
            <w:r w:rsidRPr="00D1695A">
              <w:rPr>
                <w:u w:val="single"/>
              </w:rPr>
              <w:tab/>
            </w:r>
          </w:p>
          <w:p w14:paraId="20E24BED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</w:p>
          <w:p w14:paraId="20E24BEE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  <w:r>
              <w:t>WASHINGTON UTILITIES AND TRANSPORTATION COMMISSION,</w:t>
            </w:r>
          </w:p>
          <w:p w14:paraId="20E24BEF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</w:p>
          <w:p w14:paraId="20E24BF0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  <w:r>
              <w:tab/>
            </w:r>
            <w:r>
              <w:tab/>
              <w:t>Complainant,</w:t>
            </w:r>
          </w:p>
          <w:p w14:paraId="20E24BF1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  <w:r>
              <w:t>v.</w:t>
            </w:r>
          </w:p>
          <w:p w14:paraId="20E24BF2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</w:p>
          <w:p w14:paraId="20E24BF3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  <w:r>
              <w:t>PUGET SOUND ENERGY, INC.,</w:t>
            </w:r>
          </w:p>
          <w:p w14:paraId="20E24BF4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</w:p>
          <w:p w14:paraId="20E24BF5" w14:textId="77777777" w:rsidR="00D1695A" w:rsidRDefault="00D1695A" w:rsidP="00D1695A">
            <w:pPr>
              <w:pStyle w:val="Header"/>
              <w:tabs>
                <w:tab w:val="left" w:pos="681"/>
                <w:tab w:val="left" w:pos="1401"/>
              </w:tabs>
            </w:pPr>
            <w:r>
              <w:tab/>
            </w:r>
            <w:r>
              <w:tab/>
              <w:t>Respondent.</w:t>
            </w:r>
          </w:p>
          <w:p w14:paraId="20E24BF6" w14:textId="77777777" w:rsidR="00DB2CC0" w:rsidRPr="00841394" w:rsidRDefault="00DB2CC0" w:rsidP="00D1695A">
            <w:pPr>
              <w:pStyle w:val="Header"/>
              <w:tabs>
                <w:tab w:val="left" w:pos="681"/>
                <w:tab w:val="left" w:pos="1401"/>
              </w:tabs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0E24BF7" w14:textId="77777777" w:rsidR="00D1695A" w:rsidRDefault="00D1695A" w:rsidP="00D1695A">
            <w:pPr>
              <w:pStyle w:val="Header"/>
              <w:ind w:left="416"/>
            </w:pPr>
            <w:r>
              <w:t>DOCKETS UE-121697</w:t>
            </w:r>
          </w:p>
          <w:p w14:paraId="20E24BF8" w14:textId="77777777" w:rsidR="00D1695A" w:rsidRDefault="00D1695A" w:rsidP="00D1695A">
            <w:pPr>
              <w:pStyle w:val="Header"/>
              <w:ind w:left="416"/>
            </w:pPr>
            <w:r>
              <w:t>and UG-121705 (consolidated)</w:t>
            </w:r>
          </w:p>
          <w:p w14:paraId="20E24BF9" w14:textId="77777777" w:rsidR="00D1695A" w:rsidRDefault="00D1695A" w:rsidP="00D1695A">
            <w:pPr>
              <w:pStyle w:val="Header"/>
              <w:ind w:left="416"/>
            </w:pPr>
          </w:p>
          <w:p w14:paraId="20E24BFA" w14:textId="77777777" w:rsidR="00D1695A" w:rsidRDefault="00D1695A" w:rsidP="00D1695A">
            <w:pPr>
              <w:pStyle w:val="Header"/>
              <w:ind w:left="416"/>
            </w:pPr>
          </w:p>
          <w:p w14:paraId="20E24BFB" w14:textId="77777777" w:rsidR="00D1695A" w:rsidRDefault="00D1695A" w:rsidP="00D1695A">
            <w:pPr>
              <w:pStyle w:val="Header"/>
              <w:ind w:left="416"/>
            </w:pPr>
          </w:p>
          <w:p w14:paraId="20E24BFC" w14:textId="77777777" w:rsidR="00D1695A" w:rsidRDefault="00D1695A" w:rsidP="00D1695A">
            <w:pPr>
              <w:pStyle w:val="Header"/>
              <w:ind w:left="416"/>
            </w:pPr>
          </w:p>
          <w:p w14:paraId="20E24BFD" w14:textId="77777777" w:rsidR="00D1695A" w:rsidRDefault="00D1695A" w:rsidP="00D1695A">
            <w:pPr>
              <w:pStyle w:val="Header"/>
              <w:ind w:left="416"/>
            </w:pPr>
          </w:p>
          <w:p w14:paraId="20E24BFE" w14:textId="77777777" w:rsidR="00D1695A" w:rsidRDefault="00D1695A" w:rsidP="00D1695A">
            <w:pPr>
              <w:pStyle w:val="Header"/>
              <w:ind w:left="416"/>
            </w:pPr>
          </w:p>
          <w:p w14:paraId="20E24BFF" w14:textId="77777777" w:rsidR="00D1695A" w:rsidRDefault="00D1695A" w:rsidP="00D1695A">
            <w:pPr>
              <w:pStyle w:val="Header"/>
              <w:ind w:left="416"/>
            </w:pPr>
          </w:p>
          <w:p w14:paraId="20E24C00" w14:textId="77777777" w:rsidR="00D1695A" w:rsidRDefault="00D1695A" w:rsidP="00D1695A">
            <w:pPr>
              <w:pStyle w:val="Header"/>
              <w:ind w:left="416"/>
            </w:pPr>
          </w:p>
          <w:p w14:paraId="20E24C01" w14:textId="77777777" w:rsidR="00D1695A" w:rsidRDefault="00D1695A" w:rsidP="00D1695A">
            <w:pPr>
              <w:pStyle w:val="Header"/>
              <w:ind w:left="416"/>
            </w:pPr>
          </w:p>
          <w:p w14:paraId="20E24C02" w14:textId="77777777" w:rsidR="00D1695A" w:rsidRDefault="00D1695A" w:rsidP="00D1695A">
            <w:pPr>
              <w:pStyle w:val="Header"/>
              <w:ind w:left="416"/>
            </w:pPr>
          </w:p>
          <w:p w14:paraId="20E24C03" w14:textId="77777777" w:rsidR="00D1695A" w:rsidRDefault="00D1695A" w:rsidP="00D1695A">
            <w:pPr>
              <w:pStyle w:val="Header"/>
              <w:ind w:left="416"/>
            </w:pPr>
            <w:r>
              <w:t>DOCKETS UE-130137</w:t>
            </w:r>
          </w:p>
          <w:p w14:paraId="20E24C04" w14:textId="77777777" w:rsidR="00D1695A" w:rsidRDefault="00D1695A" w:rsidP="00D1695A">
            <w:pPr>
              <w:pStyle w:val="Header"/>
              <w:ind w:left="416"/>
            </w:pPr>
            <w:r>
              <w:t>and UG-130138 (consolidated)</w:t>
            </w:r>
          </w:p>
          <w:p w14:paraId="20E24C05" w14:textId="77777777" w:rsidR="00D1695A" w:rsidRDefault="00D1695A" w:rsidP="00D1695A">
            <w:pPr>
              <w:pStyle w:val="Header"/>
              <w:ind w:left="416"/>
            </w:pPr>
          </w:p>
          <w:p w14:paraId="20E24C06" w14:textId="77777777" w:rsidR="00D1695A" w:rsidRDefault="00D1695A" w:rsidP="00D1695A">
            <w:pPr>
              <w:pStyle w:val="Header"/>
              <w:ind w:left="416"/>
            </w:pPr>
          </w:p>
          <w:p w14:paraId="20E24C07" w14:textId="77777777" w:rsidR="00D1695A" w:rsidRDefault="00D1695A" w:rsidP="00D1695A">
            <w:pPr>
              <w:pStyle w:val="Header"/>
              <w:ind w:left="416"/>
            </w:pPr>
          </w:p>
          <w:p w14:paraId="20E24C08" w14:textId="77777777" w:rsidR="00D1695A" w:rsidRDefault="00D1695A" w:rsidP="00D1695A">
            <w:pPr>
              <w:pStyle w:val="Header"/>
              <w:ind w:left="416"/>
            </w:pPr>
          </w:p>
          <w:p w14:paraId="20E24C09" w14:textId="49141CA9" w:rsidR="003215A3" w:rsidRPr="00841394" w:rsidRDefault="00D1695A" w:rsidP="00817B5C">
            <w:pPr>
              <w:pStyle w:val="Header"/>
              <w:ind w:left="416"/>
            </w:pPr>
            <w:r>
              <w:t xml:space="preserve">JOINT MOTION FOR </w:t>
            </w:r>
            <w:r w:rsidR="00817B5C">
              <w:t>MINISTERIAL</w:t>
            </w:r>
            <w:r w:rsidR="004B786B">
              <w:t xml:space="preserve"> </w:t>
            </w:r>
            <w:r w:rsidR="003600AF">
              <w:t>AMENDMENT</w:t>
            </w:r>
          </w:p>
        </w:tc>
      </w:tr>
    </w:tbl>
    <w:p w14:paraId="20E24C0B" w14:textId="77777777" w:rsidR="003215A3" w:rsidRPr="00841394" w:rsidRDefault="003215A3" w:rsidP="00841394">
      <w:pPr>
        <w:pStyle w:val="Header"/>
      </w:pPr>
    </w:p>
    <w:p w14:paraId="20E24C0C" w14:textId="29769F50" w:rsidR="00721EB5" w:rsidRDefault="00D40381" w:rsidP="00D40381">
      <w:pPr>
        <w:pStyle w:val="BodyTextIndent2"/>
        <w:numPr>
          <w:ilvl w:val="0"/>
          <w:numId w:val="5"/>
        </w:numPr>
        <w:spacing w:line="480" w:lineRule="auto"/>
      </w:pPr>
      <w:r>
        <w:tab/>
      </w:r>
      <w:r w:rsidR="00721EB5">
        <w:t>The undersigned parties jointly make this motion</w:t>
      </w:r>
      <w:r w:rsidR="00AC5563" w:rsidRPr="00AC5563">
        <w:t xml:space="preserve"> </w:t>
      </w:r>
      <w:r w:rsidR="00AC5563">
        <w:t>pursuant to WAC 480</w:t>
      </w:r>
      <w:r w:rsidR="00AC5563">
        <w:noBreakHyphen/>
        <w:t>07</w:t>
      </w:r>
      <w:r w:rsidR="00AC5563">
        <w:noBreakHyphen/>
        <w:t>875</w:t>
      </w:r>
      <w:r w:rsidR="00721EB5">
        <w:t xml:space="preserve"> for </w:t>
      </w:r>
      <w:r w:rsidR="00EE0E31">
        <w:t>a</w:t>
      </w:r>
      <w:r w:rsidR="00817B5C">
        <w:t xml:space="preserve"> ministerial</w:t>
      </w:r>
      <w:r w:rsidR="003600AF">
        <w:t xml:space="preserve"> amendment</w:t>
      </w:r>
      <w:r w:rsidR="00721EB5">
        <w:t xml:space="preserve"> </w:t>
      </w:r>
      <w:r w:rsidR="00EE0E31">
        <w:t>to</w:t>
      </w:r>
      <w:r w:rsidR="00721EB5">
        <w:t xml:space="preserve"> Order </w:t>
      </w:r>
      <w:r w:rsidR="00EE0E31">
        <w:t>07</w:t>
      </w:r>
      <w:r w:rsidR="00721EB5">
        <w:t xml:space="preserve"> </w:t>
      </w:r>
      <w:r w:rsidR="00AC5563">
        <w:t>in Docket</w:t>
      </w:r>
      <w:r w:rsidR="00EE0E31">
        <w:t>s</w:t>
      </w:r>
      <w:r w:rsidR="00AC5563">
        <w:t xml:space="preserve"> UE</w:t>
      </w:r>
      <w:r w:rsidR="00AC5563">
        <w:noBreakHyphen/>
      </w:r>
      <w:r w:rsidR="00EE0E31">
        <w:t xml:space="preserve">121697 and </w:t>
      </w:r>
      <w:r w:rsidR="00AC5563">
        <w:t>UG</w:t>
      </w:r>
      <w:r w:rsidR="00AC5563">
        <w:noBreakHyphen/>
      </w:r>
      <w:r w:rsidR="00EE0E31">
        <w:t>121705</w:t>
      </w:r>
      <w:r w:rsidR="00535D37">
        <w:t xml:space="preserve"> (consolidated) and Dockets UE</w:t>
      </w:r>
      <w:r w:rsidR="00535D37">
        <w:noBreakHyphen/>
        <w:t>130137 and UG</w:t>
      </w:r>
      <w:r w:rsidR="00535D37">
        <w:noBreakHyphen/>
        <w:t>130138 (consolidated)</w:t>
      </w:r>
      <w:r w:rsidR="00721EB5">
        <w:t>.</w:t>
      </w:r>
    </w:p>
    <w:p w14:paraId="20E24C0D" w14:textId="51B8E573" w:rsidR="00721EB5" w:rsidRPr="00E05C87" w:rsidRDefault="00721EB5" w:rsidP="000D6D55">
      <w:pPr>
        <w:pStyle w:val="BodyTextIndent2"/>
        <w:numPr>
          <w:ilvl w:val="0"/>
          <w:numId w:val="6"/>
        </w:numPr>
        <w:spacing w:line="480" w:lineRule="auto"/>
        <w:ind w:left="0" w:firstLine="0"/>
        <w:jc w:val="center"/>
        <w:rPr>
          <w:b/>
        </w:rPr>
      </w:pPr>
      <w:r w:rsidRPr="00E05C87">
        <w:rPr>
          <w:b/>
        </w:rPr>
        <w:t>MOTION</w:t>
      </w:r>
    </w:p>
    <w:p w14:paraId="20E24C0E" w14:textId="77777777" w:rsidR="000B6FBB" w:rsidRDefault="00D40381" w:rsidP="00C92EC2">
      <w:pPr>
        <w:pStyle w:val="BodyTextIndent2"/>
        <w:numPr>
          <w:ilvl w:val="0"/>
          <w:numId w:val="5"/>
        </w:numPr>
        <w:spacing w:line="480" w:lineRule="auto"/>
      </w:pPr>
      <w:r>
        <w:tab/>
      </w:r>
      <w:r w:rsidR="003600AF">
        <w:t>The Commission may, at any time, alter or amend any order that it has entered.</w:t>
      </w:r>
      <w:r w:rsidR="00721EB5">
        <w:rPr>
          <w:rStyle w:val="FootnoteReference"/>
        </w:rPr>
        <w:footnoteReference w:id="2"/>
      </w:r>
      <w:r w:rsidR="00721EB5">
        <w:t xml:space="preserve"> </w:t>
      </w:r>
      <w:r w:rsidR="000B6FBB">
        <w:t>The u</w:t>
      </w:r>
      <w:r w:rsidR="00AC5563">
        <w:t xml:space="preserve">ndersigned parties believe that </w:t>
      </w:r>
      <w:r w:rsidR="003600AF">
        <w:t xml:space="preserve">the </w:t>
      </w:r>
      <w:r w:rsidR="000B6FBB">
        <w:t xml:space="preserve">Commission </w:t>
      </w:r>
      <w:r w:rsidR="00E57065">
        <w:t xml:space="preserve">should </w:t>
      </w:r>
      <w:r w:rsidR="004B786B">
        <w:t xml:space="preserve">amend its order to </w:t>
      </w:r>
      <w:r w:rsidR="00E57065">
        <w:t xml:space="preserve">identify the docket in which it </w:t>
      </w:r>
      <w:r w:rsidR="000B6FBB">
        <w:t xml:space="preserve">will review, consider, and address </w:t>
      </w:r>
      <w:r w:rsidR="00B31A93">
        <w:t xml:space="preserve">issues related to </w:t>
      </w:r>
      <w:r w:rsidR="005F5AB7">
        <w:t>Puget Sound Energy, Inc.’s (“Puget” or “the</w:t>
      </w:r>
      <w:r w:rsidR="000B6FBB">
        <w:t xml:space="preserve"> Company</w:t>
      </w:r>
      <w:r w:rsidR="005F5AB7">
        <w:t>”)</w:t>
      </w:r>
      <w:r w:rsidR="000B6FBB">
        <w:t xml:space="preserve"> decoupling conservation commitments</w:t>
      </w:r>
      <w:r w:rsidR="00E775AB">
        <w:t xml:space="preserve">, including </w:t>
      </w:r>
      <w:r w:rsidR="00E775AB">
        <w:lastRenderedPageBreak/>
        <w:t>compliance with these commitments</w:t>
      </w:r>
      <w:r w:rsidR="000B6FBB">
        <w:t>.</w:t>
      </w:r>
      <w:r w:rsidR="00EE0E31">
        <w:rPr>
          <w:rStyle w:val="FootnoteReference"/>
        </w:rPr>
        <w:footnoteReference w:id="3"/>
      </w:r>
      <w:r w:rsidR="000B6FBB">
        <w:t xml:space="preserve"> </w:t>
      </w:r>
      <w:r w:rsidR="00883D82">
        <w:t>T</w:t>
      </w:r>
      <w:r w:rsidR="000B6FBB">
        <w:t xml:space="preserve">he parties </w:t>
      </w:r>
      <w:r w:rsidR="001C6943">
        <w:t>believe</w:t>
      </w:r>
      <w:r w:rsidR="000B6FBB">
        <w:t xml:space="preserve"> that this is </w:t>
      </w:r>
      <w:r w:rsidR="00C27277">
        <w:t>only</w:t>
      </w:r>
      <w:r w:rsidR="001C6943">
        <w:t xml:space="preserve"> </w:t>
      </w:r>
      <w:r w:rsidR="000B6FBB">
        <w:t>a</w:t>
      </w:r>
      <w:r w:rsidR="00E05C87">
        <w:t>n administrative, or ministerial,</w:t>
      </w:r>
      <w:r w:rsidR="000B6FBB">
        <w:t xml:space="preserve"> matter.</w:t>
      </w:r>
    </w:p>
    <w:p w14:paraId="20E24C0F" w14:textId="77777777" w:rsidR="00535D37" w:rsidRDefault="00D40381" w:rsidP="00D40381">
      <w:pPr>
        <w:pStyle w:val="BodyTextIndent2"/>
        <w:numPr>
          <w:ilvl w:val="0"/>
          <w:numId w:val="5"/>
        </w:numPr>
        <w:spacing w:line="480" w:lineRule="auto"/>
      </w:pPr>
      <w:r>
        <w:tab/>
      </w:r>
      <w:r w:rsidR="007E2AD9">
        <w:t>In Order </w:t>
      </w:r>
      <w:r w:rsidR="00EE0E31">
        <w:t>07</w:t>
      </w:r>
      <w:r w:rsidR="007E2AD9">
        <w:t xml:space="preserve">, the Commission </w:t>
      </w:r>
      <w:r w:rsidR="00EE0E31">
        <w:t>approved the decoupling mechanism proposed by the Company and the Northwest Energy Coalition</w:t>
      </w:r>
      <w:r w:rsidR="008D0037">
        <w:t>.</w:t>
      </w:r>
      <w:r w:rsidR="00EE0E31">
        <w:rPr>
          <w:rStyle w:val="FootnoteReference"/>
        </w:rPr>
        <w:footnoteReference w:id="4"/>
      </w:r>
      <w:r w:rsidR="007E2AD9">
        <w:t xml:space="preserve"> </w:t>
      </w:r>
      <w:r w:rsidR="00624414">
        <w:t>It included a</w:t>
      </w:r>
      <w:r w:rsidR="00E62BED">
        <w:t xml:space="preserve"> </w:t>
      </w:r>
      <w:r w:rsidR="00624414">
        <w:t>commitment</w:t>
      </w:r>
      <w:r w:rsidR="00E62BED">
        <w:t xml:space="preserve"> that the Company </w:t>
      </w:r>
      <w:r w:rsidR="004026D6">
        <w:t xml:space="preserve">will </w:t>
      </w:r>
      <w:r w:rsidR="00E62BED">
        <w:t>“achieve electric conservation five percent above the biennial targets set by the Commission, and [the Company] will agree to voluntarily submit to financial penalties for failing to meet this higher level of conservation achievement.”</w:t>
      </w:r>
      <w:r w:rsidR="00E62BED">
        <w:rPr>
          <w:rStyle w:val="FootnoteReference"/>
        </w:rPr>
        <w:footnoteReference w:id="5"/>
      </w:r>
      <w:r w:rsidR="00E62BED">
        <w:t xml:space="preserve"> </w:t>
      </w:r>
      <w:r w:rsidR="00624414">
        <w:t>Becaus</w:t>
      </w:r>
      <w:r w:rsidR="008F1597">
        <w:t>e of the direct link between these</w:t>
      </w:r>
      <w:r w:rsidR="00624414">
        <w:t xml:space="preserve"> decoupling conservation commitments and the Company’s biennial conservation target, </w:t>
      </w:r>
      <w:r w:rsidR="00B31A93">
        <w:t xml:space="preserve">issues related to </w:t>
      </w:r>
      <w:r w:rsidR="00624414">
        <w:t xml:space="preserve">the Company’s compliance </w:t>
      </w:r>
      <w:r w:rsidR="00E775AB">
        <w:t xml:space="preserve">with both the target and the decoupling </w:t>
      </w:r>
      <w:r w:rsidR="00E57065">
        <w:t xml:space="preserve">conservation </w:t>
      </w:r>
      <w:r w:rsidR="00E775AB">
        <w:t xml:space="preserve">commitment </w:t>
      </w:r>
      <w:r w:rsidR="00624414">
        <w:t xml:space="preserve">should be considered by the Commission </w:t>
      </w:r>
      <w:r w:rsidR="008F1597">
        <w:t>in the same docket</w:t>
      </w:r>
      <w:r w:rsidR="00B7024C">
        <w:t>s, going forward</w:t>
      </w:r>
      <w:r w:rsidR="00624414">
        <w:t>.</w:t>
      </w:r>
      <w:r w:rsidR="004B786B">
        <w:rPr>
          <w:rStyle w:val="FootnoteReference"/>
        </w:rPr>
        <w:footnoteReference w:id="6"/>
      </w:r>
    </w:p>
    <w:p w14:paraId="20E24C10" w14:textId="77777777" w:rsidR="000D0A48" w:rsidRDefault="00D40381" w:rsidP="00D40381">
      <w:pPr>
        <w:pStyle w:val="BodyTextIndent2"/>
        <w:numPr>
          <w:ilvl w:val="0"/>
          <w:numId w:val="5"/>
        </w:numPr>
        <w:spacing w:line="480" w:lineRule="auto"/>
      </w:pPr>
      <w:r>
        <w:tab/>
      </w:r>
      <w:r w:rsidR="00A60880">
        <w:t>A</w:t>
      </w:r>
      <w:r w:rsidR="00624414">
        <w:t xml:space="preserve"> utility’s biennial conservation plan, target, and report are filed in the same docket. </w:t>
      </w:r>
      <w:r w:rsidR="00DD45E1">
        <w:t>The biennial conservation target is included in a utility’s biennial conservation plan.</w:t>
      </w:r>
      <w:r w:rsidR="00DD45E1">
        <w:rPr>
          <w:rStyle w:val="FootnoteReference"/>
        </w:rPr>
        <w:footnoteReference w:id="7"/>
      </w:r>
      <w:r w:rsidR="00DD45E1">
        <w:t xml:space="preserve"> </w:t>
      </w:r>
      <w:r w:rsidR="00A60880">
        <w:t>The</w:t>
      </w:r>
      <w:r w:rsidR="008D0037">
        <w:t xml:space="preserve"> biennial conservation report must be filed in the same docket as the biennial conservation plan.</w:t>
      </w:r>
      <w:r w:rsidR="008D0037">
        <w:rPr>
          <w:rStyle w:val="FootnoteReference"/>
        </w:rPr>
        <w:footnoteReference w:id="8"/>
      </w:r>
      <w:r w:rsidR="008D0037">
        <w:t xml:space="preserve"> </w:t>
      </w:r>
      <w:r w:rsidR="00DD45E1">
        <w:t>It</w:t>
      </w:r>
      <w:r w:rsidR="008D0037">
        <w:t xml:space="preserve"> shows a utility’s progress towards complying with its target.</w:t>
      </w:r>
      <w:r w:rsidR="008D0037">
        <w:rPr>
          <w:rStyle w:val="FootnoteReference"/>
        </w:rPr>
        <w:footnoteReference w:id="9"/>
      </w:r>
      <w:r w:rsidR="008D0037">
        <w:t xml:space="preserve"> </w:t>
      </w:r>
      <w:r w:rsidR="00B7024C">
        <w:t>Issues related to c</w:t>
      </w:r>
      <w:r w:rsidR="008F1597">
        <w:t xml:space="preserve">ompliance with a </w:t>
      </w:r>
      <w:r w:rsidR="00DD45E1">
        <w:t xml:space="preserve">biennial conservation </w:t>
      </w:r>
      <w:r w:rsidR="008F1597">
        <w:t xml:space="preserve">target </w:t>
      </w:r>
      <w:r w:rsidR="005544F1">
        <w:t xml:space="preserve">are </w:t>
      </w:r>
      <w:r w:rsidR="00A60880">
        <w:t xml:space="preserve">then </w:t>
      </w:r>
      <w:r w:rsidR="00DD45E1">
        <w:t>addressed</w:t>
      </w:r>
      <w:r w:rsidR="008F1597">
        <w:t xml:space="preserve"> in this same docket.</w:t>
      </w:r>
      <w:r w:rsidR="008F1597">
        <w:rPr>
          <w:rStyle w:val="FootnoteReference"/>
        </w:rPr>
        <w:footnoteReference w:id="10"/>
      </w:r>
    </w:p>
    <w:p w14:paraId="20E24C11" w14:textId="77777777" w:rsidR="001C6943" w:rsidRDefault="00D40381" w:rsidP="00D40381">
      <w:pPr>
        <w:pStyle w:val="BodyTextIndent2"/>
        <w:numPr>
          <w:ilvl w:val="0"/>
          <w:numId w:val="5"/>
        </w:numPr>
        <w:spacing w:line="480" w:lineRule="auto"/>
      </w:pPr>
      <w:r>
        <w:tab/>
      </w:r>
      <w:r w:rsidR="00B7024C">
        <w:t xml:space="preserve">Granting the parties’ joint motion would direct the Company, and other parties, to make filings on issues related to the Company’s decoupling conservation commitments in </w:t>
      </w:r>
      <w:r w:rsidR="00B7024C">
        <w:lastRenderedPageBreak/>
        <w:t xml:space="preserve">the same dockets, going forward, as the Company’s biennial conservation plan and report. </w:t>
      </w:r>
      <w:r w:rsidR="003600AF">
        <w:t xml:space="preserve">This would include any filings about the use of excess conservation towards compliance with a decoupling conservation commitment. </w:t>
      </w:r>
      <w:r w:rsidR="001C6943">
        <w:t xml:space="preserve">Order 07 </w:t>
      </w:r>
      <w:r w:rsidR="00411D42">
        <w:t>would remain</w:t>
      </w:r>
      <w:r w:rsidR="001C6943">
        <w:t xml:space="preserve"> the </w:t>
      </w:r>
      <w:r w:rsidR="00C27277">
        <w:t>authoritative document</w:t>
      </w:r>
      <w:r w:rsidR="001C6943">
        <w:t xml:space="preserve"> establishing the Company’s decoupling conservation commitments.</w:t>
      </w:r>
      <w:r w:rsidR="00305AB8">
        <w:t xml:space="preserve"> </w:t>
      </w:r>
    </w:p>
    <w:p w14:paraId="20E24C12" w14:textId="5B2EB97D" w:rsidR="00721EB5" w:rsidRPr="00E05C87" w:rsidRDefault="00721EB5" w:rsidP="000D6D55">
      <w:pPr>
        <w:pStyle w:val="BodyTextIndent2"/>
        <w:keepNext/>
        <w:numPr>
          <w:ilvl w:val="0"/>
          <w:numId w:val="6"/>
        </w:numPr>
        <w:spacing w:line="480" w:lineRule="auto"/>
        <w:ind w:left="0" w:firstLine="0"/>
        <w:jc w:val="center"/>
        <w:rPr>
          <w:b/>
        </w:rPr>
      </w:pPr>
      <w:r w:rsidRPr="00E05C87">
        <w:rPr>
          <w:b/>
        </w:rPr>
        <w:t>RELIEF REQUESTED</w:t>
      </w:r>
    </w:p>
    <w:p w14:paraId="20E24C13" w14:textId="77777777" w:rsidR="00721EB5" w:rsidRDefault="00D40381" w:rsidP="00D40381">
      <w:pPr>
        <w:pStyle w:val="BodyTextIndent2"/>
        <w:numPr>
          <w:ilvl w:val="0"/>
          <w:numId w:val="5"/>
        </w:numPr>
        <w:spacing w:line="480" w:lineRule="auto"/>
      </w:pPr>
      <w:r>
        <w:tab/>
      </w:r>
      <w:r w:rsidR="001C6943">
        <w:t>T</w:t>
      </w:r>
      <w:r w:rsidR="004026D6">
        <w:t>he</w:t>
      </w:r>
      <w:r w:rsidR="00DC03C5">
        <w:t xml:space="preserve"> undersigned parties jointly </w:t>
      </w:r>
      <w:r w:rsidR="00411D42">
        <w:t>request</w:t>
      </w:r>
      <w:r w:rsidR="00DC03C5">
        <w:t xml:space="preserve"> that the Commission</w:t>
      </w:r>
      <w:r w:rsidR="00736B1F">
        <w:t xml:space="preserve"> effect</w:t>
      </w:r>
      <w:r w:rsidR="004E2F7A">
        <w:t xml:space="preserve"> an administrative amendment</w:t>
      </w:r>
      <w:r w:rsidR="00DC03C5">
        <w:t xml:space="preserve"> </w:t>
      </w:r>
      <w:r w:rsidR="0090325B">
        <w:t xml:space="preserve">granting the parties’ motion and </w:t>
      </w:r>
      <w:r w:rsidR="001C6943">
        <w:t>indicating</w:t>
      </w:r>
      <w:r w:rsidR="00DC03C5">
        <w:t xml:space="preserve"> that, consistent with Commission Order </w:t>
      </w:r>
      <w:r w:rsidR="00535D37">
        <w:t>07</w:t>
      </w:r>
      <w:r w:rsidR="00DC03C5">
        <w:t xml:space="preserve"> </w:t>
      </w:r>
      <w:r w:rsidR="00535D37">
        <w:t>in Dockets UE</w:t>
      </w:r>
      <w:r w:rsidR="00535D37">
        <w:noBreakHyphen/>
        <w:t>121697 and UG</w:t>
      </w:r>
      <w:r w:rsidR="00535D37">
        <w:noBreakHyphen/>
        <w:t>121705 (consolidated) and Dockets UE</w:t>
      </w:r>
      <w:r w:rsidR="00535D37">
        <w:noBreakHyphen/>
        <w:t>130137 and UG</w:t>
      </w:r>
      <w:r w:rsidR="00535D37">
        <w:noBreakHyphen/>
        <w:t xml:space="preserve">130138 (consolidated), </w:t>
      </w:r>
      <w:r w:rsidR="00B31A93">
        <w:t xml:space="preserve">issues related to </w:t>
      </w:r>
      <w:r w:rsidR="00535D37">
        <w:t xml:space="preserve">the Company’s </w:t>
      </w:r>
      <w:r w:rsidR="008D0037">
        <w:t>decoupling conservation commitments</w:t>
      </w:r>
      <w:r w:rsidR="008B0126">
        <w:t>, including compliance with the decoupling conservation commitments,</w:t>
      </w:r>
      <w:r w:rsidR="00535D37">
        <w:t xml:space="preserve"> will</w:t>
      </w:r>
      <w:r w:rsidR="00DC03C5">
        <w:t xml:space="preserve"> be </w:t>
      </w:r>
      <w:r w:rsidR="00411D42">
        <w:t>considered</w:t>
      </w:r>
      <w:r w:rsidR="00DC03C5">
        <w:t xml:space="preserve"> in </w:t>
      </w:r>
      <w:r w:rsidR="00CF7E0F">
        <w:t xml:space="preserve">the </w:t>
      </w:r>
      <w:r w:rsidR="001C6943">
        <w:t>same docket</w:t>
      </w:r>
      <w:r w:rsidR="0038310B">
        <w:t>s</w:t>
      </w:r>
      <w:r w:rsidR="001C6943">
        <w:t xml:space="preserve">, going forward, as the </w:t>
      </w:r>
      <w:r w:rsidR="00CF7E0F">
        <w:t xml:space="preserve">Company’s </w:t>
      </w:r>
      <w:r w:rsidR="00535D37">
        <w:t xml:space="preserve">biennial conservation </w:t>
      </w:r>
      <w:r w:rsidR="00A60880">
        <w:t xml:space="preserve">plan and </w:t>
      </w:r>
      <w:r w:rsidR="001C6943">
        <w:t>report</w:t>
      </w:r>
      <w:r w:rsidR="00CF7E0F">
        <w:t>.</w:t>
      </w:r>
    </w:p>
    <w:p w14:paraId="20E24C14" w14:textId="77777777" w:rsidR="0038766B" w:rsidRDefault="0038766B" w:rsidP="0038766B">
      <w:pPr>
        <w:pStyle w:val="BodyTextIndent2"/>
        <w:spacing w:line="480" w:lineRule="auto"/>
        <w:ind w:left="0"/>
      </w:pPr>
      <w:r>
        <w:t>//</w:t>
      </w:r>
    </w:p>
    <w:p w14:paraId="20E24C15" w14:textId="77777777" w:rsidR="0038766B" w:rsidRDefault="0038766B" w:rsidP="0038766B">
      <w:pPr>
        <w:pStyle w:val="BodyTextIndent2"/>
        <w:spacing w:line="480" w:lineRule="auto"/>
        <w:ind w:left="0"/>
      </w:pPr>
      <w:r>
        <w:t>//</w:t>
      </w:r>
    </w:p>
    <w:p w14:paraId="20E24C16" w14:textId="77777777" w:rsidR="0038766B" w:rsidRDefault="0038766B" w:rsidP="0038766B">
      <w:pPr>
        <w:pStyle w:val="BodyTextIndent2"/>
        <w:spacing w:line="480" w:lineRule="auto"/>
        <w:ind w:left="0"/>
      </w:pPr>
      <w:r>
        <w:t>//</w:t>
      </w:r>
    </w:p>
    <w:p w14:paraId="20E24C17" w14:textId="77777777" w:rsidR="0038766B" w:rsidRDefault="0038766B" w:rsidP="0038766B">
      <w:pPr>
        <w:pStyle w:val="BodyTextIndent2"/>
        <w:spacing w:line="480" w:lineRule="auto"/>
        <w:ind w:left="0"/>
      </w:pPr>
      <w:r>
        <w:t>//</w:t>
      </w:r>
    </w:p>
    <w:p w14:paraId="20E24C18" w14:textId="77777777" w:rsidR="0038766B" w:rsidRDefault="0038766B" w:rsidP="0038766B">
      <w:pPr>
        <w:pStyle w:val="BodyTextIndent2"/>
        <w:spacing w:line="480" w:lineRule="auto"/>
        <w:ind w:left="0"/>
      </w:pPr>
      <w:r>
        <w:t>//</w:t>
      </w:r>
    </w:p>
    <w:p w14:paraId="20E24C19" w14:textId="77777777" w:rsidR="0038766B" w:rsidRDefault="0038766B" w:rsidP="0038766B">
      <w:pPr>
        <w:pStyle w:val="BodyTextIndent2"/>
        <w:spacing w:line="480" w:lineRule="auto"/>
        <w:ind w:left="0"/>
      </w:pPr>
      <w:r>
        <w:t>//</w:t>
      </w:r>
    </w:p>
    <w:p w14:paraId="20E24C1A" w14:textId="77777777" w:rsidR="0038766B" w:rsidRDefault="0038766B" w:rsidP="0038766B">
      <w:pPr>
        <w:pStyle w:val="BodyTextIndent2"/>
        <w:spacing w:line="480" w:lineRule="auto"/>
        <w:ind w:left="0"/>
      </w:pPr>
      <w:r>
        <w:t>//</w:t>
      </w:r>
    </w:p>
    <w:p w14:paraId="20E24C1B" w14:textId="77777777" w:rsidR="0038766B" w:rsidRDefault="0038766B" w:rsidP="0038766B">
      <w:pPr>
        <w:pStyle w:val="BodyTextIndent2"/>
        <w:spacing w:line="480" w:lineRule="auto"/>
        <w:ind w:left="0"/>
      </w:pPr>
      <w:r>
        <w:t>//</w:t>
      </w:r>
    </w:p>
    <w:p w14:paraId="20E24C1C" w14:textId="77777777" w:rsidR="0038766B" w:rsidRDefault="0038766B" w:rsidP="0038766B">
      <w:pPr>
        <w:pStyle w:val="BodyTextIndent2"/>
        <w:spacing w:line="480" w:lineRule="auto"/>
        <w:ind w:left="0"/>
      </w:pPr>
      <w:r>
        <w:t>//</w:t>
      </w:r>
    </w:p>
    <w:p w14:paraId="20E24C1D" w14:textId="77777777" w:rsidR="0038766B" w:rsidRDefault="0038766B" w:rsidP="0038766B">
      <w:pPr>
        <w:pStyle w:val="BodyTextIndent2"/>
        <w:spacing w:line="480" w:lineRule="auto"/>
        <w:ind w:left="0"/>
      </w:pPr>
      <w:r>
        <w:t>//</w:t>
      </w:r>
    </w:p>
    <w:p w14:paraId="20E24C1E" w14:textId="77777777" w:rsidR="0038766B" w:rsidRDefault="0038766B" w:rsidP="0038766B">
      <w:pPr>
        <w:pStyle w:val="BodyTextIndent2"/>
        <w:spacing w:line="480" w:lineRule="auto"/>
        <w:ind w:left="0"/>
      </w:pPr>
      <w:r>
        <w:t>//</w:t>
      </w:r>
      <w:r>
        <w:br w:type="page"/>
      </w:r>
    </w:p>
    <w:p w14:paraId="20E24C20" w14:textId="77777777" w:rsidR="006911A3" w:rsidRDefault="006911A3" w:rsidP="00D40381">
      <w:pPr>
        <w:pStyle w:val="BodyTextIndent2"/>
        <w:keepNext/>
        <w:spacing w:line="480" w:lineRule="auto"/>
        <w:ind w:left="0" w:firstLine="720"/>
      </w:pPr>
      <w:r w:rsidRPr="00841394">
        <w:lastRenderedPageBreak/>
        <w:t>Dated</w:t>
      </w:r>
      <w:r w:rsidR="00F821BD" w:rsidRPr="00841394">
        <w:t xml:space="preserve"> this </w:t>
      </w:r>
      <w:r w:rsidR="00721EB5">
        <w:t>_____</w:t>
      </w:r>
      <w:r w:rsidR="00841394" w:rsidRPr="00841394">
        <w:t xml:space="preserve"> </w:t>
      </w:r>
      <w:r w:rsidR="00F821BD" w:rsidRPr="00841394">
        <w:t xml:space="preserve">day of </w:t>
      </w:r>
      <w:r w:rsidR="00721EB5">
        <w:t>September</w:t>
      </w:r>
      <w:r w:rsidR="003215A3" w:rsidRPr="00841394">
        <w:t xml:space="preserve"> </w:t>
      </w:r>
      <w:r w:rsidR="00F821BD" w:rsidRPr="00841394">
        <w:t>20</w:t>
      </w:r>
      <w:r w:rsidR="00DE5C2A" w:rsidRPr="00841394">
        <w:t>1</w:t>
      </w:r>
      <w:r w:rsidR="00DB2CC0">
        <w:t>6</w:t>
      </w:r>
      <w:r w:rsidR="00F821BD" w:rsidRPr="00841394">
        <w:t>.</w:t>
      </w:r>
      <w:r w:rsidRPr="00841394">
        <w:t xml:space="preserve">  </w:t>
      </w:r>
    </w:p>
    <w:p w14:paraId="20E24C21" w14:textId="77777777" w:rsidR="005A6A59" w:rsidRDefault="005A6A59" w:rsidP="005A6A59"/>
    <w:p w14:paraId="20E24C22" w14:textId="77777777" w:rsidR="005A6A59" w:rsidRDefault="005A6A59" w:rsidP="005A6A59">
      <w:pPr>
        <w:rPr>
          <w:b/>
        </w:rPr>
        <w:sectPr w:rsidR="005A6A59" w:rsidSect="00FA57C4">
          <w:footerReference w:type="default" r:id="rId11"/>
          <w:type w:val="continuous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0E24C23" w14:textId="77777777" w:rsidR="0006183F" w:rsidRPr="005A6A59" w:rsidRDefault="0006183F" w:rsidP="0006183F">
      <w:pPr>
        <w:keepNext/>
        <w:rPr>
          <w:b/>
        </w:rPr>
      </w:pPr>
      <w:r w:rsidRPr="005A6A59">
        <w:rPr>
          <w:b/>
        </w:rPr>
        <w:lastRenderedPageBreak/>
        <w:t xml:space="preserve">ROBERT W. FERGUSON </w:t>
      </w:r>
    </w:p>
    <w:p w14:paraId="20E24C24" w14:textId="77777777" w:rsidR="0006183F" w:rsidRPr="005A6A59" w:rsidRDefault="0006183F" w:rsidP="0006183F">
      <w:pPr>
        <w:keepNext/>
        <w:rPr>
          <w:b/>
        </w:rPr>
      </w:pPr>
      <w:r w:rsidRPr="005A6A59">
        <w:rPr>
          <w:b/>
        </w:rPr>
        <w:t>Attorney General</w:t>
      </w:r>
    </w:p>
    <w:p w14:paraId="20E24C25" w14:textId="77777777" w:rsidR="0006183F" w:rsidRDefault="0006183F" w:rsidP="0006183F">
      <w:pPr>
        <w:keepNext/>
      </w:pPr>
    </w:p>
    <w:p w14:paraId="20E24C26" w14:textId="77777777" w:rsidR="0006183F" w:rsidRDefault="0006183F" w:rsidP="0006183F">
      <w:pPr>
        <w:keepNext/>
      </w:pPr>
    </w:p>
    <w:p w14:paraId="20E24C27" w14:textId="77777777" w:rsidR="0006183F" w:rsidRDefault="0006183F" w:rsidP="0006183F">
      <w:pPr>
        <w:keepNext/>
      </w:pPr>
      <w:r>
        <w:t>____________________________</w:t>
      </w:r>
    </w:p>
    <w:p w14:paraId="20E24C28" w14:textId="77777777" w:rsidR="0006183F" w:rsidRDefault="0006183F" w:rsidP="0006183F">
      <w:pPr>
        <w:keepNext/>
      </w:pPr>
      <w:r>
        <w:t xml:space="preserve">Jennifer Cameron-Rulkowski </w:t>
      </w:r>
    </w:p>
    <w:p w14:paraId="20E24C29" w14:textId="77777777" w:rsidR="0006183F" w:rsidRDefault="0006183F" w:rsidP="0006183F">
      <w:pPr>
        <w:keepNext/>
      </w:pPr>
      <w:r>
        <w:t xml:space="preserve">Assistant Attorney General </w:t>
      </w:r>
    </w:p>
    <w:p w14:paraId="20E24C2A" w14:textId="77777777" w:rsidR="0006183F" w:rsidRDefault="0006183F" w:rsidP="0006183F">
      <w:pPr>
        <w:keepNext/>
      </w:pPr>
      <w:r>
        <w:t>Counsel for Washington Utilities and</w:t>
      </w:r>
    </w:p>
    <w:p w14:paraId="20E24C2B" w14:textId="77777777" w:rsidR="0006183F" w:rsidRDefault="0006183F" w:rsidP="0006183F">
      <w:r>
        <w:t>Transportation Commission Staff</w:t>
      </w:r>
    </w:p>
    <w:p w14:paraId="20E24C2C" w14:textId="77777777" w:rsidR="0006183F" w:rsidRDefault="0006183F" w:rsidP="0006183F"/>
    <w:p w14:paraId="20E24C2D" w14:textId="77777777" w:rsidR="005A6A59" w:rsidRDefault="005A6A59" w:rsidP="005A6A59"/>
    <w:p w14:paraId="20E24C2E" w14:textId="77777777" w:rsidR="005A6A59" w:rsidRPr="005A6A59" w:rsidRDefault="005A6A59" w:rsidP="005A6A59">
      <w:pPr>
        <w:keepNext/>
        <w:rPr>
          <w:b/>
        </w:rPr>
      </w:pPr>
      <w:r w:rsidRPr="005A6A59">
        <w:rPr>
          <w:b/>
        </w:rPr>
        <w:t xml:space="preserve">ROBERT W. FERGUSON </w:t>
      </w:r>
    </w:p>
    <w:p w14:paraId="20E24C2F" w14:textId="77777777" w:rsidR="005A6A59" w:rsidRPr="005A6A59" w:rsidRDefault="005A6A59" w:rsidP="005A6A59">
      <w:pPr>
        <w:keepNext/>
        <w:rPr>
          <w:b/>
        </w:rPr>
      </w:pPr>
      <w:r w:rsidRPr="005A6A59">
        <w:rPr>
          <w:b/>
        </w:rPr>
        <w:t>Attorney General</w:t>
      </w:r>
    </w:p>
    <w:p w14:paraId="20E24C30" w14:textId="77777777" w:rsidR="005A6A59" w:rsidRDefault="005A6A59" w:rsidP="005A6A59">
      <w:pPr>
        <w:keepNext/>
      </w:pPr>
    </w:p>
    <w:p w14:paraId="20E24C31" w14:textId="77777777" w:rsidR="005A6A59" w:rsidRDefault="005A6A59" w:rsidP="005A6A59">
      <w:pPr>
        <w:keepNext/>
      </w:pPr>
    </w:p>
    <w:p w14:paraId="20E24C32" w14:textId="77777777" w:rsidR="005A6A59" w:rsidRDefault="005A6A59" w:rsidP="005A6A59">
      <w:pPr>
        <w:keepNext/>
      </w:pPr>
      <w:r>
        <w:t>______________________________</w:t>
      </w:r>
    </w:p>
    <w:p w14:paraId="20E24C33" w14:textId="77777777" w:rsidR="005A6A59" w:rsidRDefault="005A6A59" w:rsidP="005A6A59">
      <w:pPr>
        <w:keepNext/>
      </w:pPr>
      <w:r>
        <w:t>Lisa W. Gafken</w:t>
      </w:r>
    </w:p>
    <w:p w14:paraId="20E24C34" w14:textId="77777777" w:rsidR="005A6A59" w:rsidRDefault="005A6A59" w:rsidP="005A6A59">
      <w:pPr>
        <w:keepNext/>
      </w:pPr>
      <w:r>
        <w:t xml:space="preserve">Assistant Attorney General </w:t>
      </w:r>
    </w:p>
    <w:p w14:paraId="20E24C35" w14:textId="77777777" w:rsidR="005A6A59" w:rsidRDefault="005A6A59" w:rsidP="005A6A59">
      <w:r>
        <w:t>Public Counsel Unit</w:t>
      </w:r>
    </w:p>
    <w:p w14:paraId="20E24C36" w14:textId="77777777" w:rsidR="005A6A59" w:rsidRDefault="005A6A59" w:rsidP="005A6A59"/>
    <w:p w14:paraId="20E24C37" w14:textId="77777777" w:rsidR="005A6A59" w:rsidRDefault="005A6A59" w:rsidP="005A6A59"/>
    <w:p w14:paraId="20E24C38" w14:textId="77777777" w:rsidR="005A6A59" w:rsidRPr="005A6A59" w:rsidRDefault="005A6A59" w:rsidP="005A6A59">
      <w:pPr>
        <w:keepNext/>
        <w:rPr>
          <w:b/>
        </w:rPr>
      </w:pPr>
      <w:r w:rsidRPr="005A6A59">
        <w:rPr>
          <w:b/>
        </w:rPr>
        <w:t>FEDERAL EXECUTIVE AGENCIES</w:t>
      </w:r>
    </w:p>
    <w:p w14:paraId="20E24C39" w14:textId="77777777" w:rsidR="005A6A59" w:rsidRDefault="005A6A59" w:rsidP="005A6A59">
      <w:pPr>
        <w:keepNext/>
      </w:pPr>
    </w:p>
    <w:p w14:paraId="20E24C3A" w14:textId="77777777" w:rsidR="005A6A59" w:rsidRDefault="005A6A59" w:rsidP="005A6A59">
      <w:pPr>
        <w:keepNext/>
      </w:pPr>
    </w:p>
    <w:p w14:paraId="20E24C3B" w14:textId="77777777" w:rsidR="005A6A59" w:rsidRDefault="005A6A59" w:rsidP="005A6A59">
      <w:pPr>
        <w:keepNext/>
      </w:pPr>
      <w:r>
        <w:t>_______________________________</w:t>
      </w:r>
    </w:p>
    <w:p w14:paraId="20E24C3C" w14:textId="77777777" w:rsidR="005A6A59" w:rsidRDefault="005A6A59" w:rsidP="005A6A59">
      <w:pPr>
        <w:keepNext/>
      </w:pPr>
      <w:r>
        <w:t>Rita M. Liotta</w:t>
      </w:r>
    </w:p>
    <w:p w14:paraId="20E24C3D" w14:textId="77777777" w:rsidR="005A6A59" w:rsidRDefault="005A6A59" w:rsidP="005A6A59">
      <w:r>
        <w:t>Counsel for Federal Executive Agencies</w:t>
      </w:r>
    </w:p>
    <w:p w14:paraId="20E24C3E" w14:textId="77777777" w:rsidR="005A6A59" w:rsidRDefault="005A6A59" w:rsidP="005A6A59"/>
    <w:p w14:paraId="20E24C3F" w14:textId="77777777" w:rsidR="005A6A59" w:rsidRDefault="005A6A59" w:rsidP="005A6A59"/>
    <w:p w14:paraId="17ED4B70" w14:textId="77777777" w:rsidR="00817B5C" w:rsidRPr="005A6A59" w:rsidRDefault="00817B5C" w:rsidP="00817B5C">
      <w:pPr>
        <w:keepNext/>
        <w:rPr>
          <w:b/>
        </w:rPr>
      </w:pPr>
      <w:r w:rsidRPr="005A6A59">
        <w:rPr>
          <w:b/>
        </w:rPr>
        <w:lastRenderedPageBreak/>
        <w:t>PERKINS COIE LLP</w:t>
      </w:r>
    </w:p>
    <w:p w14:paraId="0573CD73" w14:textId="77777777" w:rsidR="00817B5C" w:rsidRDefault="00817B5C" w:rsidP="00817B5C">
      <w:pPr>
        <w:keepNext/>
      </w:pPr>
    </w:p>
    <w:p w14:paraId="469D6C60" w14:textId="77777777" w:rsidR="00817B5C" w:rsidRDefault="00817B5C" w:rsidP="00817B5C">
      <w:pPr>
        <w:keepNext/>
      </w:pPr>
    </w:p>
    <w:p w14:paraId="2053702D" w14:textId="77777777" w:rsidR="00817B5C" w:rsidRDefault="00817B5C" w:rsidP="00817B5C">
      <w:pPr>
        <w:keepNext/>
      </w:pPr>
      <w:r>
        <w:t>____________________________</w:t>
      </w:r>
    </w:p>
    <w:p w14:paraId="3C0324E5" w14:textId="77777777" w:rsidR="00817B5C" w:rsidRDefault="00817B5C" w:rsidP="00817B5C">
      <w:pPr>
        <w:keepNext/>
      </w:pPr>
      <w:r>
        <w:t>Sheree Strom Carson</w:t>
      </w:r>
    </w:p>
    <w:p w14:paraId="5FAB4805" w14:textId="77777777" w:rsidR="00817B5C" w:rsidRDefault="00817B5C" w:rsidP="00817B5C">
      <w:pPr>
        <w:keepNext/>
      </w:pPr>
      <w:r>
        <w:t>Donna L. Barnett</w:t>
      </w:r>
    </w:p>
    <w:p w14:paraId="48F6D80F" w14:textId="77777777" w:rsidR="00817B5C" w:rsidRDefault="00817B5C" w:rsidP="00817B5C">
      <w:r>
        <w:t xml:space="preserve">Attorneys for Puget Sound Energy </w:t>
      </w:r>
    </w:p>
    <w:p w14:paraId="40CB9509" w14:textId="77777777" w:rsidR="00817B5C" w:rsidRDefault="00817B5C" w:rsidP="00817B5C"/>
    <w:p w14:paraId="5D214F16" w14:textId="77777777" w:rsidR="00817B5C" w:rsidRDefault="00817B5C" w:rsidP="00817B5C"/>
    <w:p w14:paraId="20E24C40" w14:textId="77777777" w:rsidR="005A6A59" w:rsidRPr="005A6A59" w:rsidRDefault="005A6A59" w:rsidP="005A6A59">
      <w:pPr>
        <w:keepNext/>
        <w:rPr>
          <w:b/>
        </w:rPr>
      </w:pPr>
      <w:r w:rsidRPr="005A6A59">
        <w:rPr>
          <w:b/>
        </w:rPr>
        <w:t>EARTHJUSTICE</w:t>
      </w:r>
    </w:p>
    <w:p w14:paraId="20E24C41" w14:textId="77777777" w:rsidR="005A6A59" w:rsidRDefault="005A6A59" w:rsidP="005A6A59">
      <w:pPr>
        <w:keepNext/>
      </w:pPr>
    </w:p>
    <w:p w14:paraId="20E24C42" w14:textId="77777777" w:rsidR="005A6A59" w:rsidRDefault="005A6A59" w:rsidP="005A6A59">
      <w:pPr>
        <w:keepNext/>
      </w:pPr>
    </w:p>
    <w:p w14:paraId="20E24C43" w14:textId="77777777" w:rsidR="005A6A59" w:rsidRDefault="005A6A59" w:rsidP="005A6A59">
      <w:pPr>
        <w:keepNext/>
      </w:pPr>
      <w:r>
        <w:t>______________________________</w:t>
      </w:r>
    </w:p>
    <w:p w14:paraId="20E24C44" w14:textId="77777777" w:rsidR="005A6A59" w:rsidRDefault="005A6A59" w:rsidP="005A6A59">
      <w:pPr>
        <w:keepNext/>
      </w:pPr>
      <w:r>
        <w:t>Amanda W. Goodin</w:t>
      </w:r>
    </w:p>
    <w:p w14:paraId="20E24C45" w14:textId="77777777" w:rsidR="005A6A59" w:rsidRDefault="005A6A59" w:rsidP="005A6A59">
      <w:r>
        <w:t>Counsel for NW Energy Coalition</w:t>
      </w:r>
    </w:p>
    <w:p w14:paraId="20E24C46" w14:textId="77777777" w:rsidR="005A6A59" w:rsidRDefault="005A6A59" w:rsidP="005A6A59"/>
    <w:p w14:paraId="20E24C47" w14:textId="77777777" w:rsidR="005A6A59" w:rsidRDefault="005A6A59" w:rsidP="005A6A59"/>
    <w:p w14:paraId="20E24C48" w14:textId="77777777" w:rsidR="005A6A59" w:rsidRDefault="005A6A59" w:rsidP="005A6A59"/>
    <w:p w14:paraId="20E24C49" w14:textId="77777777" w:rsidR="005A6A59" w:rsidRPr="005A6A59" w:rsidRDefault="005A6A59" w:rsidP="005A6A59">
      <w:pPr>
        <w:keepNext/>
        <w:rPr>
          <w:b/>
        </w:rPr>
      </w:pPr>
      <w:r w:rsidRPr="005A6A59">
        <w:rPr>
          <w:b/>
        </w:rPr>
        <w:t xml:space="preserve">DAVISON VAN CLEVE, PC  </w:t>
      </w:r>
    </w:p>
    <w:p w14:paraId="20E24C4A" w14:textId="77777777" w:rsidR="005A6A59" w:rsidRDefault="005A6A59" w:rsidP="005A6A59">
      <w:pPr>
        <w:keepNext/>
      </w:pPr>
    </w:p>
    <w:p w14:paraId="20E24C4B" w14:textId="77777777" w:rsidR="005A6A59" w:rsidRDefault="005A6A59" w:rsidP="005A6A59">
      <w:pPr>
        <w:keepNext/>
      </w:pPr>
    </w:p>
    <w:p w14:paraId="20E24C4C" w14:textId="77777777" w:rsidR="005A6A59" w:rsidRDefault="005A6A59" w:rsidP="005A6A59">
      <w:pPr>
        <w:keepNext/>
      </w:pPr>
      <w:r>
        <w:t>_______________________________</w:t>
      </w:r>
    </w:p>
    <w:p w14:paraId="20E24C4D" w14:textId="77777777" w:rsidR="005A6A59" w:rsidRDefault="005A6A59" w:rsidP="005A6A59">
      <w:pPr>
        <w:keepNext/>
      </w:pPr>
      <w:r>
        <w:t>Tyler Pepple</w:t>
      </w:r>
    </w:p>
    <w:p w14:paraId="20E24C4E" w14:textId="77777777" w:rsidR="005A6A59" w:rsidRDefault="005A6A59" w:rsidP="005A6A59">
      <w:r>
        <w:t>Counsel for ICNU</w:t>
      </w:r>
    </w:p>
    <w:p w14:paraId="20E24C4F" w14:textId="77777777" w:rsidR="005A6A59" w:rsidRDefault="005A6A59" w:rsidP="005A6A59"/>
    <w:p w14:paraId="20E24C50" w14:textId="77777777" w:rsidR="005A6A59" w:rsidRDefault="005A6A59" w:rsidP="005A6A59"/>
    <w:p w14:paraId="20E24C51" w14:textId="77777777" w:rsidR="005A6A59" w:rsidRPr="005A6A59" w:rsidRDefault="005A6A59" w:rsidP="005A6A59">
      <w:pPr>
        <w:keepNext/>
        <w:rPr>
          <w:b/>
        </w:rPr>
      </w:pPr>
      <w:r w:rsidRPr="005A6A59">
        <w:rPr>
          <w:b/>
        </w:rPr>
        <w:t>THE ENERGY PROJECT</w:t>
      </w:r>
    </w:p>
    <w:p w14:paraId="20E24C52" w14:textId="77777777" w:rsidR="005A6A59" w:rsidRDefault="005A6A59" w:rsidP="005A6A59">
      <w:pPr>
        <w:keepNext/>
      </w:pPr>
    </w:p>
    <w:p w14:paraId="20E24C53" w14:textId="77777777" w:rsidR="005A6A59" w:rsidRDefault="005A6A59" w:rsidP="005A6A59">
      <w:pPr>
        <w:keepNext/>
      </w:pPr>
    </w:p>
    <w:p w14:paraId="20E24C54" w14:textId="77777777" w:rsidR="005A6A59" w:rsidRDefault="005A6A59" w:rsidP="005A6A59">
      <w:pPr>
        <w:keepNext/>
      </w:pPr>
      <w:r>
        <w:t>_______________________________</w:t>
      </w:r>
    </w:p>
    <w:p w14:paraId="20E24C55" w14:textId="77777777" w:rsidR="005A6A59" w:rsidRDefault="005A6A59" w:rsidP="005A6A59">
      <w:pPr>
        <w:keepNext/>
      </w:pPr>
      <w:r>
        <w:t>Shawn Collins</w:t>
      </w:r>
    </w:p>
    <w:p w14:paraId="20E24C56" w14:textId="77777777" w:rsidR="005A6A59" w:rsidRDefault="005A6A59" w:rsidP="005A6A59">
      <w:r>
        <w:t>Director</w:t>
      </w:r>
    </w:p>
    <w:p w14:paraId="20E24C5F" w14:textId="77777777" w:rsidR="005A6A59" w:rsidRDefault="005A6A59" w:rsidP="005A6A59"/>
    <w:p w14:paraId="20E24C60" w14:textId="77777777" w:rsidR="005A6A59" w:rsidRDefault="005A6A59" w:rsidP="005A6A59">
      <w:pPr>
        <w:sectPr w:rsidR="005A6A59" w:rsidSect="005A6A59">
          <w:type w:val="continuous"/>
          <w:pgSz w:w="12240" w:h="15840"/>
          <w:pgMar w:top="1440" w:right="1440" w:bottom="1440" w:left="1872" w:header="720" w:footer="720" w:gutter="0"/>
          <w:cols w:num="2" w:space="360"/>
          <w:docGrid w:linePitch="360"/>
        </w:sectPr>
      </w:pPr>
    </w:p>
    <w:p w14:paraId="20E24C61" w14:textId="77777777" w:rsidR="005A6A59" w:rsidRDefault="005A6A59" w:rsidP="005A6A59"/>
    <w:sectPr w:rsidR="005A6A59" w:rsidSect="009524B2">
      <w:type w:val="continuous"/>
      <w:pgSz w:w="12240" w:h="15840"/>
      <w:pgMar w:top="1440" w:right="1440" w:bottom="1440" w:left="187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24C65" w14:textId="77777777" w:rsidR="0093598E" w:rsidRDefault="0093598E">
      <w:r>
        <w:separator/>
      </w:r>
    </w:p>
  </w:endnote>
  <w:endnote w:type="continuationSeparator" w:id="0">
    <w:p w14:paraId="20E24C66" w14:textId="77777777" w:rsidR="0093598E" w:rsidRDefault="0093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4C68" w14:textId="2F5A84B8" w:rsidR="00FA57C4" w:rsidRPr="00D40381" w:rsidRDefault="00A60880">
    <w:pPr>
      <w:rPr>
        <w:sz w:val="20"/>
      </w:rPr>
    </w:pPr>
    <w:r w:rsidRPr="00D40381">
      <w:rPr>
        <w:sz w:val="20"/>
      </w:rPr>
      <w:t xml:space="preserve">JOINT MOTION FOR </w:t>
    </w:r>
    <w:r w:rsidRPr="00D40381">
      <w:rPr>
        <w:sz w:val="20"/>
      </w:rPr>
      <w:br/>
    </w:r>
    <w:r w:rsidR="008A3209">
      <w:rPr>
        <w:sz w:val="20"/>
      </w:rPr>
      <w:t>MINISTERIAL</w:t>
    </w:r>
    <w:r w:rsidR="0006183F">
      <w:rPr>
        <w:sz w:val="20"/>
      </w:rPr>
      <w:t xml:space="preserve"> AMENDMENT</w:t>
    </w:r>
    <w:r w:rsidR="00FA57C4" w:rsidRPr="00D40381">
      <w:rPr>
        <w:sz w:val="20"/>
      </w:rPr>
      <w:t xml:space="preserve"> - </w:t>
    </w:r>
    <w:r w:rsidR="00FA57C4" w:rsidRPr="00D40381">
      <w:rPr>
        <w:sz w:val="20"/>
      </w:rPr>
      <w:fldChar w:fldCharType="begin"/>
    </w:r>
    <w:r w:rsidR="00FA57C4" w:rsidRPr="00D40381">
      <w:rPr>
        <w:sz w:val="20"/>
      </w:rPr>
      <w:instrText xml:space="preserve">PAGE </w:instrText>
    </w:r>
    <w:r w:rsidR="00FA57C4" w:rsidRPr="00D40381">
      <w:rPr>
        <w:sz w:val="20"/>
      </w:rPr>
      <w:fldChar w:fldCharType="separate"/>
    </w:r>
    <w:r w:rsidR="00762522">
      <w:rPr>
        <w:noProof/>
        <w:sz w:val="20"/>
      </w:rPr>
      <w:t>1</w:t>
    </w:r>
    <w:r w:rsidR="00FA57C4" w:rsidRPr="00D40381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24C62" w14:textId="77777777" w:rsidR="0093598E" w:rsidRPr="007E2AD9" w:rsidRDefault="0093598E">
      <w:pPr>
        <w:rPr>
          <w:sz w:val="20"/>
        </w:rPr>
      </w:pPr>
      <w:r w:rsidRPr="007E2AD9">
        <w:rPr>
          <w:sz w:val="20"/>
        </w:rPr>
        <w:separator/>
      </w:r>
    </w:p>
  </w:footnote>
  <w:footnote w:type="continuationSeparator" w:id="0">
    <w:p w14:paraId="20E24C63" w14:textId="77777777" w:rsidR="0093598E" w:rsidRPr="007E2AD9" w:rsidRDefault="0093598E">
      <w:pPr>
        <w:rPr>
          <w:sz w:val="20"/>
        </w:rPr>
      </w:pPr>
      <w:r w:rsidRPr="007E2AD9">
        <w:rPr>
          <w:sz w:val="20"/>
        </w:rPr>
        <w:continuationSeparator/>
      </w:r>
    </w:p>
  </w:footnote>
  <w:footnote w:type="continuationNotice" w:id="1">
    <w:p w14:paraId="20E24C64" w14:textId="77777777" w:rsidR="0093598E" w:rsidRPr="007E2AD9" w:rsidRDefault="0093598E">
      <w:pPr>
        <w:rPr>
          <w:sz w:val="20"/>
        </w:rPr>
      </w:pPr>
    </w:p>
  </w:footnote>
  <w:footnote w:id="2">
    <w:p w14:paraId="20E24C69" w14:textId="77777777" w:rsidR="00721EB5" w:rsidRPr="00DC03C5" w:rsidRDefault="00721EB5">
      <w:pPr>
        <w:pStyle w:val="FootnoteText"/>
      </w:pPr>
      <w:r w:rsidRPr="00DC03C5">
        <w:rPr>
          <w:rStyle w:val="FootnoteReference"/>
        </w:rPr>
        <w:footnoteRef/>
      </w:r>
      <w:r w:rsidRPr="00DC03C5">
        <w:t xml:space="preserve"> </w:t>
      </w:r>
      <w:r w:rsidR="003600AF">
        <w:t>RCW 80.04.210; WAC 480</w:t>
      </w:r>
      <w:r w:rsidR="003600AF">
        <w:noBreakHyphen/>
        <w:t>07</w:t>
      </w:r>
      <w:r w:rsidR="003600AF">
        <w:noBreakHyphen/>
        <w:t>875(1</w:t>
      </w:r>
      <w:r w:rsidR="007E2AD9" w:rsidRPr="00DC03C5">
        <w:t>).</w:t>
      </w:r>
    </w:p>
  </w:footnote>
  <w:footnote w:id="3">
    <w:p w14:paraId="20E24C6A" w14:textId="77777777" w:rsidR="00EE0E31" w:rsidRDefault="00EE0E31">
      <w:pPr>
        <w:pStyle w:val="FootnoteText"/>
      </w:pPr>
      <w:r>
        <w:rPr>
          <w:rStyle w:val="FootnoteReference"/>
        </w:rPr>
        <w:footnoteRef/>
      </w:r>
      <w:r>
        <w:t xml:space="preserve"> The Company’s decoupling conservation commitments can be found in Order 07 at paragraphs 108 and 112.</w:t>
      </w:r>
    </w:p>
  </w:footnote>
  <w:footnote w:id="4">
    <w:p w14:paraId="20E24C6B" w14:textId="77777777" w:rsidR="00EE0E31" w:rsidRDefault="00EE0E31">
      <w:pPr>
        <w:pStyle w:val="FootnoteText"/>
      </w:pPr>
      <w:r>
        <w:rPr>
          <w:rStyle w:val="FootnoteReference"/>
        </w:rPr>
        <w:footnoteRef/>
      </w:r>
      <w:r>
        <w:t xml:space="preserve"> Order 07, ¶ 136.</w:t>
      </w:r>
    </w:p>
  </w:footnote>
  <w:footnote w:id="5">
    <w:p w14:paraId="20E24C6C" w14:textId="77777777" w:rsidR="00E62BED" w:rsidRDefault="00E62BED">
      <w:pPr>
        <w:pStyle w:val="FootnoteText"/>
      </w:pPr>
      <w:r>
        <w:rPr>
          <w:rStyle w:val="FootnoteReference"/>
        </w:rPr>
        <w:footnoteRef/>
      </w:r>
      <w:r w:rsidRPr="00E62BED">
        <w:t xml:space="preserve"> </w:t>
      </w:r>
      <w:r>
        <w:t xml:space="preserve">Amended Decoupling Petition at 17; </w:t>
      </w:r>
      <w:r>
        <w:rPr>
          <w:i/>
        </w:rPr>
        <w:t xml:space="preserve">see </w:t>
      </w:r>
      <w:r>
        <w:t>Order 07, ¶ 108.</w:t>
      </w:r>
    </w:p>
  </w:footnote>
  <w:footnote w:id="6">
    <w:p w14:paraId="20E24C6D" w14:textId="77777777" w:rsidR="004B786B" w:rsidRDefault="004B786B">
      <w:pPr>
        <w:pStyle w:val="FootnoteText"/>
      </w:pPr>
      <w:r>
        <w:rPr>
          <w:rStyle w:val="FootnoteReference"/>
        </w:rPr>
        <w:footnoteRef/>
      </w:r>
      <w:r>
        <w:t xml:space="preserve"> The current biennial conservation docket for PSE is Docket UE</w:t>
      </w:r>
      <w:r>
        <w:noBreakHyphen/>
        <w:t>152058.</w:t>
      </w:r>
    </w:p>
  </w:footnote>
  <w:footnote w:id="7">
    <w:p w14:paraId="20E24C6E" w14:textId="767AB5CB" w:rsidR="00DD45E1" w:rsidRDefault="00DD45E1" w:rsidP="00DD45E1">
      <w:pPr>
        <w:pStyle w:val="FootnoteText"/>
      </w:pPr>
      <w:r>
        <w:rPr>
          <w:rStyle w:val="FootnoteReference"/>
        </w:rPr>
        <w:footnoteRef/>
      </w:r>
      <w:r>
        <w:t xml:space="preserve"> WAC 480</w:t>
      </w:r>
      <w:r>
        <w:noBreakHyphen/>
        <w:t>109</w:t>
      </w:r>
      <w:r>
        <w:noBreakHyphen/>
        <w:t>120(1).</w:t>
      </w:r>
      <w:r w:rsidRPr="008D0037">
        <w:t xml:space="preserve"> </w:t>
      </w:r>
      <w:r>
        <w:t>The biennial conservation plan must be filed with the Commission on or before November 1 of e</w:t>
      </w:r>
      <w:r w:rsidR="000D6D55">
        <w:t>ach</w:t>
      </w:r>
      <w:r>
        <w:t xml:space="preserve"> odd-numbered year.</w:t>
      </w:r>
      <w:r w:rsidRPr="00DD45E1">
        <w:t xml:space="preserve"> </w:t>
      </w:r>
      <w:r>
        <w:t>WAC 480</w:t>
      </w:r>
      <w:r>
        <w:noBreakHyphen/>
        <w:t>109</w:t>
      </w:r>
      <w:r>
        <w:noBreakHyphen/>
        <w:t>120(1).</w:t>
      </w:r>
    </w:p>
  </w:footnote>
  <w:footnote w:id="8">
    <w:p w14:paraId="20E24C6F" w14:textId="77777777" w:rsidR="008D0037" w:rsidRDefault="008D0037" w:rsidP="008D0037">
      <w:pPr>
        <w:pStyle w:val="FootnoteText"/>
      </w:pPr>
      <w:r>
        <w:rPr>
          <w:rStyle w:val="FootnoteReference"/>
        </w:rPr>
        <w:footnoteRef/>
      </w:r>
      <w:r>
        <w:t xml:space="preserve"> WAC 480</w:t>
      </w:r>
      <w:r>
        <w:noBreakHyphen/>
        <w:t>109</w:t>
      </w:r>
      <w:r>
        <w:noBreakHyphen/>
        <w:t>120(4). The biennial conservation report must be filed on or before June 1 of each even-numbered year.</w:t>
      </w:r>
      <w:r w:rsidRPr="008D0037">
        <w:t xml:space="preserve"> </w:t>
      </w:r>
      <w:r>
        <w:t>WAC 480</w:t>
      </w:r>
      <w:r>
        <w:noBreakHyphen/>
        <w:t>109</w:t>
      </w:r>
      <w:r>
        <w:noBreakHyphen/>
        <w:t>120(4).</w:t>
      </w:r>
    </w:p>
  </w:footnote>
  <w:footnote w:id="9">
    <w:p w14:paraId="20E24C70" w14:textId="77777777" w:rsidR="008D0037" w:rsidRDefault="008D0037">
      <w:pPr>
        <w:pStyle w:val="FootnoteText"/>
      </w:pPr>
      <w:r>
        <w:rPr>
          <w:rStyle w:val="FootnoteReference"/>
        </w:rPr>
        <w:footnoteRef/>
      </w:r>
      <w:r>
        <w:t xml:space="preserve"> WAC 480</w:t>
      </w:r>
      <w:r>
        <w:noBreakHyphen/>
        <w:t>109</w:t>
      </w:r>
      <w:r>
        <w:noBreakHyphen/>
        <w:t>120(4).</w:t>
      </w:r>
    </w:p>
  </w:footnote>
  <w:footnote w:id="10">
    <w:p w14:paraId="20E24C71" w14:textId="77777777" w:rsidR="008F1597" w:rsidRDefault="008F1597">
      <w:pPr>
        <w:pStyle w:val="FootnoteText"/>
      </w:pPr>
      <w:r>
        <w:rPr>
          <w:rStyle w:val="FootnoteReference"/>
        </w:rPr>
        <w:footnoteRef/>
      </w:r>
      <w:r>
        <w:t xml:space="preserve"> WAC 480</w:t>
      </w:r>
      <w:r>
        <w:noBreakHyphen/>
        <w:t>109</w:t>
      </w:r>
      <w:r>
        <w:noBreakHyphen/>
        <w:t>120(5).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273DAB"/>
    <w:multiLevelType w:val="hybridMultilevel"/>
    <w:tmpl w:val="FD983A02"/>
    <w:lvl w:ilvl="0" w:tplc="E676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22AEB"/>
    <w:multiLevelType w:val="hybridMultilevel"/>
    <w:tmpl w:val="24285456"/>
    <w:lvl w:ilvl="0" w:tplc="5122023C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B"/>
    <w:rsid w:val="00030388"/>
    <w:rsid w:val="0006183F"/>
    <w:rsid w:val="00062BEC"/>
    <w:rsid w:val="00066786"/>
    <w:rsid w:val="00072583"/>
    <w:rsid w:val="00074ED5"/>
    <w:rsid w:val="000B6FBB"/>
    <w:rsid w:val="000D0A48"/>
    <w:rsid w:val="000D0BCA"/>
    <w:rsid w:val="000D6D55"/>
    <w:rsid w:val="001203C9"/>
    <w:rsid w:val="001401C8"/>
    <w:rsid w:val="001A4F6B"/>
    <w:rsid w:val="001C68A2"/>
    <w:rsid w:val="001C6943"/>
    <w:rsid w:val="00230130"/>
    <w:rsid w:val="00236FE4"/>
    <w:rsid w:val="00263FE9"/>
    <w:rsid w:val="00270586"/>
    <w:rsid w:val="002B29F9"/>
    <w:rsid w:val="002C1A68"/>
    <w:rsid w:val="002F3D79"/>
    <w:rsid w:val="00305AB8"/>
    <w:rsid w:val="003215A3"/>
    <w:rsid w:val="003564B4"/>
    <w:rsid w:val="003600AF"/>
    <w:rsid w:val="0038310B"/>
    <w:rsid w:val="0038766B"/>
    <w:rsid w:val="003D0097"/>
    <w:rsid w:val="004026D6"/>
    <w:rsid w:val="00411D42"/>
    <w:rsid w:val="00495E3B"/>
    <w:rsid w:val="00496AED"/>
    <w:rsid w:val="004B786B"/>
    <w:rsid w:val="004E1D58"/>
    <w:rsid w:val="004E2F7A"/>
    <w:rsid w:val="005110EC"/>
    <w:rsid w:val="00535D37"/>
    <w:rsid w:val="00543D3C"/>
    <w:rsid w:val="005544F1"/>
    <w:rsid w:val="00577775"/>
    <w:rsid w:val="005A6A59"/>
    <w:rsid w:val="005F5AB7"/>
    <w:rsid w:val="00610252"/>
    <w:rsid w:val="00610E0E"/>
    <w:rsid w:val="00624414"/>
    <w:rsid w:val="00673940"/>
    <w:rsid w:val="006911A3"/>
    <w:rsid w:val="006C616F"/>
    <w:rsid w:val="006D66C1"/>
    <w:rsid w:val="00721EB5"/>
    <w:rsid w:val="00736B1F"/>
    <w:rsid w:val="0074071A"/>
    <w:rsid w:val="00762522"/>
    <w:rsid w:val="00773511"/>
    <w:rsid w:val="007844A5"/>
    <w:rsid w:val="007864AE"/>
    <w:rsid w:val="007A3EDE"/>
    <w:rsid w:val="007E2AD9"/>
    <w:rsid w:val="00816D47"/>
    <w:rsid w:val="00817B5C"/>
    <w:rsid w:val="00841394"/>
    <w:rsid w:val="00883D82"/>
    <w:rsid w:val="00887829"/>
    <w:rsid w:val="008904C5"/>
    <w:rsid w:val="008A3209"/>
    <w:rsid w:val="008B0126"/>
    <w:rsid w:val="008B159C"/>
    <w:rsid w:val="008D0037"/>
    <w:rsid w:val="008D1572"/>
    <w:rsid w:val="008F1597"/>
    <w:rsid w:val="0090325B"/>
    <w:rsid w:val="009116EA"/>
    <w:rsid w:val="0093322C"/>
    <w:rsid w:val="0093598E"/>
    <w:rsid w:val="009524B2"/>
    <w:rsid w:val="0097063C"/>
    <w:rsid w:val="009773EF"/>
    <w:rsid w:val="00983F9E"/>
    <w:rsid w:val="00994381"/>
    <w:rsid w:val="009B2226"/>
    <w:rsid w:val="009E2C59"/>
    <w:rsid w:val="00A11F1E"/>
    <w:rsid w:val="00A45197"/>
    <w:rsid w:val="00A60880"/>
    <w:rsid w:val="00A67601"/>
    <w:rsid w:val="00A8045C"/>
    <w:rsid w:val="00AA2FE9"/>
    <w:rsid w:val="00AC5563"/>
    <w:rsid w:val="00AD7DBD"/>
    <w:rsid w:val="00B31A93"/>
    <w:rsid w:val="00B661CE"/>
    <w:rsid w:val="00B7024C"/>
    <w:rsid w:val="00B70AAE"/>
    <w:rsid w:val="00B80C7E"/>
    <w:rsid w:val="00B86984"/>
    <w:rsid w:val="00B95DD0"/>
    <w:rsid w:val="00BE327A"/>
    <w:rsid w:val="00C05FB2"/>
    <w:rsid w:val="00C27277"/>
    <w:rsid w:val="00C3312B"/>
    <w:rsid w:val="00C5017F"/>
    <w:rsid w:val="00C60DA8"/>
    <w:rsid w:val="00C660F4"/>
    <w:rsid w:val="00CD221C"/>
    <w:rsid w:val="00CF7E0F"/>
    <w:rsid w:val="00D1695A"/>
    <w:rsid w:val="00D40381"/>
    <w:rsid w:val="00D8378C"/>
    <w:rsid w:val="00D84529"/>
    <w:rsid w:val="00D92192"/>
    <w:rsid w:val="00DB2CC0"/>
    <w:rsid w:val="00DC03C5"/>
    <w:rsid w:val="00DD45E1"/>
    <w:rsid w:val="00DE5C2A"/>
    <w:rsid w:val="00E05C87"/>
    <w:rsid w:val="00E15628"/>
    <w:rsid w:val="00E22586"/>
    <w:rsid w:val="00E3232B"/>
    <w:rsid w:val="00E57065"/>
    <w:rsid w:val="00E62BED"/>
    <w:rsid w:val="00E775AB"/>
    <w:rsid w:val="00EA3E9F"/>
    <w:rsid w:val="00ED6DCB"/>
    <w:rsid w:val="00EE0E31"/>
    <w:rsid w:val="00F73D61"/>
    <w:rsid w:val="00F821BD"/>
    <w:rsid w:val="00F926FF"/>
    <w:rsid w:val="00FA57C4"/>
    <w:rsid w:val="00FD6B99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0E24BE4"/>
  <w15:docId w15:val="{6C5FC5F8-47AA-40FF-84B5-06AF69B4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21EB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21EB5"/>
    <w:rPr>
      <w:rFonts w:ascii="Palatino Linotype" w:hAnsi="Palatino Linotype"/>
    </w:rPr>
  </w:style>
  <w:style w:type="character" w:styleId="FootnoteReference">
    <w:name w:val="footnote reference"/>
    <w:aliases w:val="o,fr,Style 3"/>
    <w:basedOn w:val="DefaultParagraphFont"/>
    <w:uiPriority w:val="99"/>
    <w:unhideWhenUsed/>
    <w:qFormat/>
    <w:rsid w:val="00721EB5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4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2016-09-16T07:00:00+00:00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28D5FC4-C691-42AB-851B-864441F710D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6567CF-4486-4519-95E2-033EB88AA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7E2A7-60ED-460A-BCB0-5DB13B7181BA}"/>
</file>

<file path=customXml/itemProps4.xml><?xml version="1.0" encoding="utf-8"?>
<ds:datastoreItem xmlns:ds="http://schemas.openxmlformats.org/officeDocument/2006/customXml" ds:itemID="{6A29A39C-BBD4-4E3E-8D6B-98DFBDC085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78D560-53D8-4ED0-8E3F-5D907E778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Base/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O'Connell, Andrew (UTC)</dc:creator>
  <cp:lastModifiedBy>Andrew J. O'Connell</cp:lastModifiedBy>
  <cp:revision>2</cp:revision>
  <cp:lastPrinted>2016-09-13T15:37:00Z</cp:lastPrinted>
  <dcterms:created xsi:type="dcterms:W3CDTF">2016-09-16T17:21:00Z</dcterms:created>
  <dcterms:modified xsi:type="dcterms:W3CDTF">2016-09-16T17:21:00Z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