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26" w:rsidRPr="00B95D7C" w:rsidRDefault="00692E3A" w:rsidP="00996026">
      <w:pPr>
        <w:pStyle w:val="Default"/>
        <w:rPr>
          <w:color w:val="auto"/>
          <w:sz w:val="25"/>
          <w:szCs w:val="25"/>
        </w:rPr>
      </w:pPr>
      <w:r w:rsidRPr="00F04A54">
        <w:rPr>
          <w:b/>
          <w:bCs/>
        </w:rPr>
        <w:t>BENCH REQUEST NO. 1</w:t>
      </w:r>
      <w:r w:rsidR="00996026">
        <w:rPr>
          <w:b/>
          <w:bCs/>
        </w:rPr>
        <w:t xml:space="preserve">6:  </w:t>
      </w:r>
      <w:r w:rsidR="00C32E2E">
        <w:rPr>
          <w:bCs/>
        </w:rPr>
        <w:t xml:space="preserve">(Issued from the Bench at Settlement Hearing on August 14, 2012):  </w:t>
      </w:r>
      <w:r w:rsidR="00C32E2E">
        <w:t xml:space="preserve">Provide copies of customer comments received by the Commission since the Settlement Agreement was filed.  </w:t>
      </w:r>
    </w:p>
    <w:p w:rsidR="00692E3A" w:rsidRPr="00692E3A" w:rsidRDefault="00692E3A" w:rsidP="00B95D7C">
      <w:pPr>
        <w:rPr>
          <w:color w:val="000000"/>
          <w:sz w:val="24"/>
        </w:rPr>
      </w:pPr>
      <w:bookmarkStart w:id="0" w:name="_GoBack"/>
      <w:bookmarkEnd w:id="0"/>
    </w:p>
    <w:p w:rsidR="00692E3A" w:rsidRPr="00F04A54" w:rsidRDefault="00692E3A" w:rsidP="00B95D7C">
      <w:pPr>
        <w:rPr>
          <w:bCs/>
          <w:sz w:val="24"/>
        </w:rPr>
      </w:pPr>
      <w:r w:rsidRPr="00F04A54">
        <w:rPr>
          <w:b/>
          <w:bCs/>
          <w:sz w:val="24"/>
        </w:rPr>
        <w:t>RESPONSE NO. 1</w:t>
      </w:r>
      <w:r w:rsidR="00996026">
        <w:rPr>
          <w:b/>
          <w:bCs/>
          <w:sz w:val="24"/>
        </w:rPr>
        <w:t>6</w:t>
      </w:r>
      <w:r w:rsidRPr="00F04A54">
        <w:rPr>
          <w:b/>
          <w:bCs/>
          <w:sz w:val="24"/>
        </w:rPr>
        <w:t>:</w:t>
      </w:r>
    </w:p>
    <w:p w:rsidR="00692E3A" w:rsidRDefault="00692E3A" w:rsidP="00B95D7C">
      <w:pPr>
        <w:rPr>
          <w:bCs/>
          <w:sz w:val="24"/>
          <w:u w:val="single"/>
        </w:rPr>
      </w:pPr>
    </w:p>
    <w:p w:rsidR="00C32E2E" w:rsidRPr="00C32E2E" w:rsidRDefault="00C32E2E" w:rsidP="00B95D7C">
      <w:pPr>
        <w:rPr>
          <w:bCs/>
          <w:sz w:val="24"/>
        </w:rPr>
      </w:pPr>
      <w:r>
        <w:rPr>
          <w:bCs/>
          <w:sz w:val="24"/>
        </w:rPr>
        <w:t xml:space="preserve">See Attachment to Bench Request No. 16.   </w:t>
      </w:r>
    </w:p>
    <w:p w:rsidR="003D6B96" w:rsidRDefault="003D6B96" w:rsidP="007A62D2">
      <w:pPr>
        <w:rPr>
          <w:color w:val="000000"/>
          <w:sz w:val="24"/>
        </w:rPr>
      </w:pPr>
    </w:p>
    <w:p w:rsidR="00996026" w:rsidRPr="00996026" w:rsidRDefault="00996026" w:rsidP="00996026">
      <w:pPr>
        <w:tabs>
          <w:tab w:val="left" w:pos="2865"/>
        </w:tabs>
        <w:rPr>
          <w:sz w:val="24"/>
        </w:rPr>
        <w:sectPr w:rsidR="00996026" w:rsidRPr="00996026" w:rsidSect="00B5559F">
          <w:headerReference w:type="default" r:id="rId13"/>
          <w:endnotePr>
            <w:numFmt w:val="decimal"/>
          </w:endnotePr>
          <w:pgSz w:w="12240" w:h="15840" w:code="1"/>
          <w:pgMar w:top="1440" w:right="1440" w:bottom="720" w:left="1872" w:header="1440" w:footer="720" w:gutter="0"/>
          <w:cols w:space="720"/>
          <w:noEndnote/>
        </w:sectPr>
      </w:pPr>
    </w:p>
    <w:p w:rsidR="003D6B96" w:rsidRDefault="003D6B96" w:rsidP="007A62D2">
      <w:pPr>
        <w:rPr>
          <w:color w:val="000000"/>
          <w:sz w:val="24"/>
        </w:rPr>
      </w:pPr>
    </w:p>
    <w:p w:rsidR="00F04A54" w:rsidRPr="00B95D7C" w:rsidRDefault="00F04A54" w:rsidP="00996026">
      <w:pPr>
        <w:pStyle w:val="Default"/>
        <w:rPr>
          <w:color w:val="auto"/>
          <w:sz w:val="25"/>
          <w:szCs w:val="25"/>
        </w:rPr>
      </w:pPr>
      <w:r w:rsidRPr="00F04A54">
        <w:rPr>
          <w:b/>
        </w:rPr>
        <w:t xml:space="preserve">BENCH REQUEST NO. </w:t>
      </w:r>
      <w:r w:rsidR="00B95D7C">
        <w:rPr>
          <w:b/>
        </w:rPr>
        <w:t>1</w:t>
      </w:r>
      <w:r w:rsidR="00996026">
        <w:rPr>
          <w:b/>
        </w:rPr>
        <w:t>7</w:t>
      </w:r>
      <w:r w:rsidRPr="00F04A54">
        <w:rPr>
          <w:b/>
        </w:rPr>
        <w:t>:</w:t>
      </w:r>
      <w:r w:rsidRPr="00F04A54">
        <w:t xml:space="preserve">  </w:t>
      </w:r>
      <w:r w:rsidR="00985AC4">
        <w:t xml:space="preserve">As understood by Commission Staff, at the Settlement Hearing of August 14, 2012, the Bench requested documentation of Staff’s analysis </w:t>
      </w:r>
      <w:r w:rsidR="0059136C">
        <w:t>of: the</w:t>
      </w:r>
      <w:r w:rsidR="00985AC4">
        <w:t xml:space="preserve"> cost of purchased water, if growth continued and all water </w:t>
      </w:r>
      <w:r w:rsidR="00931022">
        <w:t xml:space="preserve">Rainier View </w:t>
      </w:r>
      <w:r w:rsidR="00985AC4">
        <w:t xml:space="preserve">purchased, was purchased from City of Tacoma (COT), to include any purchase and wheeling cost, if the water purchased exceeded COT limits of 1.47 million gallons per day.  </w:t>
      </w:r>
    </w:p>
    <w:p w:rsidR="00F04A54" w:rsidRPr="00F04A54" w:rsidRDefault="00F04A54" w:rsidP="00B95D7C">
      <w:pPr>
        <w:ind w:hanging="720"/>
        <w:rPr>
          <w:sz w:val="24"/>
        </w:rPr>
      </w:pPr>
    </w:p>
    <w:p w:rsidR="00996026" w:rsidRDefault="00F04A54" w:rsidP="00996026">
      <w:pPr>
        <w:rPr>
          <w:b/>
          <w:sz w:val="24"/>
        </w:rPr>
      </w:pPr>
      <w:r w:rsidRPr="00F04A54">
        <w:rPr>
          <w:b/>
          <w:sz w:val="24"/>
        </w:rPr>
        <w:t xml:space="preserve">RESPONSE NO. </w:t>
      </w:r>
      <w:r w:rsidR="00996026">
        <w:rPr>
          <w:b/>
          <w:sz w:val="24"/>
        </w:rPr>
        <w:t>17</w:t>
      </w:r>
      <w:r w:rsidRPr="00F04A54">
        <w:rPr>
          <w:b/>
          <w:sz w:val="24"/>
        </w:rPr>
        <w:t>:</w:t>
      </w:r>
      <w:r w:rsidR="00996026">
        <w:rPr>
          <w:b/>
          <w:sz w:val="24"/>
        </w:rPr>
        <w:t xml:space="preserve">  </w:t>
      </w:r>
    </w:p>
    <w:p w:rsidR="00985AC4" w:rsidRDefault="00985AC4" w:rsidP="00996026">
      <w:pPr>
        <w:rPr>
          <w:b/>
          <w:sz w:val="24"/>
        </w:rPr>
      </w:pPr>
    </w:p>
    <w:p w:rsidR="00985AC4" w:rsidRDefault="00985AC4" w:rsidP="00996026">
      <w:pPr>
        <w:rPr>
          <w:sz w:val="24"/>
        </w:rPr>
      </w:pPr>
      <w:r>
        <w:rPr>
          <w:sz w:val="24"/>
        </w:rPr>
        <w:t>See Attachment to Bench Request No. 17</w:t>
      </w:r>
      <w:r w:rsidR="00997B93">
        <w:rPr>
          <w:sz w:val="24"/>
        </w:rPr>
        <w:t xml:space="preserve"> (Attachment)</w:t>
      </w:r>
      <w:r>
        <w:rPr>
          <w:sz w:val="24"/>
        </w:rPr>
        <w:t xml:space="preserve">.  This is also being provided in electronic Excel format with formulas intact. </w:t>
      </w:r>
    </w:p>
    <w:p w:rsidR="00985AC4" w:rsidRPr="00985AC4" w:rsidRDefault="00985AC4" w:rsidP="00996026">
      <w:pPr>
        <w:rPr>
          <w:sz w:val="24"/>
        </w:rPr>
      </w:pPr>
    </w:p>
    <w:p w:rsidR="00996026" w:rsidRDefault="00997B93" w:rsidP="00996026">
      <w:pPr>
        <w:rPr>
          <w:sz w:val="24"/>
        </w:rPr>
      </w:pPr>
      <w:r>
        <w:rPr>
          <w:sz w:val="24"/>
        </w:rPr>
        <w:t xml:space="preserve">The </w:t>
      </w:r>
      <w:r w:rsidR="00985AC4">
        <w:rPr>
          <w:sz w:val="24"/>
        </w:rPr>
        <w:t>following</w:t>
      </w:r>
      <w:r w:rsidR="00931022">
        <w:rPr>
          <w:sz w:val="24"/>
        </w:rPr>
        <w:t xml:space="preserve"> </w:t>
      </w:r>
      <w:r w:rsidR="00985AC4">
        <w:rPr>
          <w:sz w:val="24"/>
        </w:rPr>
        <w:t>summary is provided</w:t>
      </w:r>
      <w:r>
        <w:rPr>
          <w:sz w:val="24"/>
        </w:rPr>
        <w:t xml:space="preserve"> to explain the Attachment and Staff’s analysis</w:t>
      </w:r>
      <w:r w:rsidR="00985AC4">
        <w:rPr>
          <w:sz w:val="24"/>
        </w:rPr>
        <w:t xml:space="preserve">: </w:t>
      </w:r>
    </w:p>
    <w:p w:rsidR="00985AC4" w:rsidRDefault="00985AC4" w:rsidP="00996026">
      <w:pPr>
        <w:rPr>
          <w:sz w:val="24"/>
        </w:rPr>
      </w:pPr>
    </w:p>
    <w:p w:rsidR="00996026" w:rsidRDefault="00996026" w:rsidP="00996026">
      <w:pPr>
        <w:rPr>
          <w:sz w:val="24"/>
        </w:rPr>
      </w:pPr>
      <w:r>
        <w:rPr>
          <w:sz w:val="24"/>
        </w:rPr>
        <w:t>Staff reviewed water purchased</w:t>
      </w:r>
      <w:r w:rsidR="00931022">
        <w:rPr>
          <w:sz w:val="24"/>
        </w:rPr>
        <w:t xml:space="preserve"> by Rainier View</w:t>
      </w:r>
      <w:r>
        <w:rPr>
          <w:sz w:val="24"/>
        </w:rPr>
        <w:t xml:space="preserve"> from City of Tacoma (COT) from 2007 – 2011</w:t>
      </w:r>
      <w:r w:rsidR="00931022">
        <w:rPr>
          <w:sz w:val="24"/>
        </w:rPr>
        <w:t>.</w:t>
      </w:r>
      <w:r>
        <w:rPr>
          <w:sz w:val="24"/>
        </w:rPr>
        <w:t xml:space="preserve">  </w:t>
      </w:r>
      <w:r w:rsidR="00931022">
        <w:rPr>
          <w:sz w:val="24"/>
        </w:rPr>
        <w:t>(</w:t>
      </w:r>
      <w:r>
        <w:rPr>
          <w:sz w:val="24"/>
        </w:rPr>
        <w:t xml:space="preserve">See </w:t>
      </w:r>
      <w:r w:rsidR="000B6F33">
        <w:rPr>
          <w:sz w:val="24"/>
        </w:rPr>
        <w:t xml:space="preserve">Attachment, </w:t>
      </w:r>
      <w:r>
        <w:rPr>
          <w:sz w:val="24"/>
        </w:rPr>
        <w:t>table “COT Purchased” on tab</w:t>
      </w:r>
      <w:r w:rsidR="0059136C">
        <w:rPr>
          <w:sz w:val="24"/>
        </w:rPr>
        <w:t xml:space="preserve"> labeled</w:t>
      </w:r>
      <w:r>
        <w:rPr>
          <w:sz w:val="24"/>
        </w:rPr>
        <w:t xml:space="preserve"> Purchased COT</w:t>
      </w:r>
      <w:r w:rsidR="00931022">
        <w:rPr>
          <w:sz w:val="24"/>
        </w:rPr>
        <w:t>)</w:t>
      </w:r>
      <w:r>
        <w:rPr>
          <w:sz w:val="24"/>
        </w:rPr>
        <w:t xml:space="preserve">.  The historical usage </w:t>
      </w:r>
      <w:r w:rsidR="002A5DF4">
        <w:rPr>
          <w:sz w:val="24"/>
        </w:rPr>
        <w:t xml:space="preserve">in cubic feet </w:t>
      </w:r>
      <w:r>
        <w:rPr>
          <w:sz w:val="24"/>
        </w:rPr>
        <w:t xml:space="preserve">was averaged over the time period to determine an average amount of water purchased per year based on historical usages.  </w:t>
      </w:r>
      <w:r w:rsidR="00931022">
        <w:rPr>
          <w:sz w:val="24"/>
        </w:rPr>
        <w:t>This amount was determined to be</w:t>
      </w:r>
      <w:r>
        <w:rPr>
          <w:sz w:val="24"/>
        </w:rPr>
        <w:t xml:space="preserve"> 80,058 cubic feet.  The annual average water purchased included four months of summer usage and eight months of winter usage.  Both COT and L</w:t>
      </w:r>
      <w:r w:rsidR="00931022">
        <w:rPr>
          <w:sz w:val="24"/>
        </w:rPr>
        <w:t>akewood Water District (L</w:t>
      </w:r>
      <w:r>
        <w:rPr>
          <w:sz w:val="24"/>
        </w:rPr>
        <w:t>WD</w:t>
      </w:r>
      <w:r w:rsidR="00931022">
        <w:rPr>
          <w:sz w:val="24"/>
        </w:rPr>
        <w:t>)</w:t>
      </w:r>
      <w:r>
        <w:rPr>
          <w:sz w:val="24"/>
        </w:rPr>
        <w:t xml:space="preserve"> use different rate structures based on time of year. Summer (May through October) and winter (November through April)</w:t>
      </w:r>
    </w:p>
    <w:p w:rsidR="00996026" w:rsidRDefault="00996026" w:rsidP="00996026">
      <w:pPr>
        <w:rPr>
          <w:sz w:val="24"/>
        </w:rPr>
      </w:pPr>
    </w:p>
    <w:p w:rsidR="00996026" w:rsidRDefault="00996026" w:rsidP="00996026">
      <w:pPr>
        <w:rPr>
          <w:sz w:val="24"/>
        </w:rPr>
      </w:pPr>
      <w:r>
        <w:rPr>
          <w:sz w:val="24"/>
        </w:rPr>
        <w:t>Staff reviewed the current rates for water purchased from both the COT and LWD.  Each rate was adjusted for recent historical increases or pre-determined increases as noted in correspondence</w:t>
      </w:r>
      <w:r w:rsidR="00997B93">
        <w:rPr>
          <w:sz w:val="24"/>
        </w:rPr>
        <w:t xml:space="preserve"> </w:t>
      </w:r>
      <w:r w:rsidR="00F22494">
        <w:rPr>
          <w:sz w:val="24"/>
        </w:rPr>
        <w:t xml:space="preserve">(see Staff and Company response </w:t>
      </w:r>
      <w:r w:rsidR="0059136C">
        <w:rPr>
          <w:sz w:val="24"/>
        </w:rPr>
        <w:t xml:space="preserve">to Bench Request 3, </w:t>
      </w:r>
      <w:r w:rsidR="00F22494">
        <w:rPr>
          <w:sz w:val="24"/>
        </w:rPr>
        <w:t xml:space="preserve">and </w:t>
      </w:r>
      <w:r w:rsidR="00997B93">
        <w:rPr>
          <w:sz w:val="24"/>
        </w:rPr>
        <w:t>Attachments</w:t>
      </w:r>
      <w:r w:rsidR="00F22494">
        <w:rPr>
          <w:sz w:val="24"/>
        </w:rPr>
        <w:t xml:space="preserve"> 3.b.1.-1 and Attachment 3.d.-1)</w:t>
      </w:r>
      <w:r>
        <w:rPr>
          <w:sz w:val="24"/>
        </w:rPr>
        <w:t xml:space="preserve">.  The projected rates are shown </w:t>
      </w:r>
      <w:r w:rsidR="000B6F33">
        <w:rPr>
          <w:sz w:val="24"/>
        </w:rPr>
        <w:t xml:space="preserve">on the Attachment </w:t>
      </w:r>
      <w:r>
        <w:rPr>
          <w:sz w:val="24"/>
        </w:rPr>
        <w:t xml:space="preserve">in </w:t>
      </w:r>
      <w:r w:rsidR="000B6F33">
        <w:rPr>
          <w:sz w:val="24"/>
        </w:rPr>
        <w:t xml:space="preserve">the </w:t>
      </w:r>
      <w:r>
        <w:rPr>
          <w:sz w:val="24"/>
        </w:rPr>
        <w:t xml:space="preserve">tab </w:t>
      </w:r>
      <w:r w:rsidR="00931022">
        <w:rPr>
          <w:sz w:val="24"/>
        </w:rPr>
        <w:t>lab</w:t>
      </w:r>
      <w:r w:rsidR="000B6F33">
        <w:rPr>
          <w:sz w:val="24"/>
        </w:rPr>
        <w:t>e</w:t>
      </w:r>
      <w:r w:rsidR="00931022">
        <w:rPr>
          <w:sz w:val="24"/>
        </w:rPr>
        <w:t>led</w:t>
      </w:r>
      <w:r w:rsidR="000B6F33">
        <w:rPr>
          <w:sz w:val="24"/>
        </w:rPr>
        <w:t xml:space="preserve"> </w:t>
      </w:r>
      <w:r w:rsidR="00931022">
        <w:rPr>
          <w:sz w:val="24"/>
        </w:rPr>
        <w:t>Rate</w:t>
      </w:r>
      <w:r>
        <w:rPr>
          <w:sz w:val="24"/>
        </w:rPr>
        <w:t xml:space="preserve"> Project</w:t>
      </w:r>
      <w:r w:rsidR="00931022">
        <w:rPr>
          <w:sz w:val="24"/>
        </w:rPr>
        <w:t>ion</w:t>
      </w:r>
      <w:r w:rsidR="000B6F33">
        <w:rPr>
          <w:sz w:val="24"/>
        </w:rPr>
        <w:t>.</w:t>
      </w:r>
      <w:r>
        <w:rPr>
          <w:sz w:val="24"/>
        </w:rPr>
        <w:t xml:space="preserve"> </w:t>
      </w:r>
      <w:r w:rsidR="002A5DF4">
        <w:rPr>
          <w:sz w:val="24"/>
        </w:rPr>
        <w:t xml:space="preserve"> All rates are shown as rate per 100 cubic feet. </w:t>
      </w:r>
      <w:r w:rsidR="007A68C5">
        <w:rPr>
          <w:sz w:val="24"/>
        </w:rPr>
        <w:t xml:space="preserve"> </w:t>
      </w:r>
    </w:p>
    <w:p w:rsidR="00996026" w:rsidRDefault="00996026" w:rsidP="00996026">
      <w:pPr>
        <w:rPr>
          <w:sz w:val="24"/>
        </w:rPr>
      </w:pPr>
    </w:p>
    <w:p w:rsidR="00996026" w:rsidRDefault="00996026" w:rsidP="00996026">
      <w:pPr>
        <w:rPr>
          <w:sz w:val="24"/>
        </w:rPr>
      </w:pPr>
      <w:r>
        <w:rPr>
          <w:sz w:val="24"/>
        </w:rPr>
        <w:t>The COT has historically charged Rainier View the more favorable rate associated with</w:t>
      </w:r>
      <w:r w:rsidR="009208A8">
        <w:rPr>
          <w:sz w:val="24"/>
        </w:rPr>
        <w:t xml:space="preserve"> the</w:t>
      </w:r>
      <w:r>
        <w:rPr>
          <w:sz w:val="24"/>
        </w:rPr>
        <w:t xml:space="preserve"> </w:t>
      </w:r>
      <w:r w:rsidR="00B75749">
        <w:rPr>
          <w:sz w:val="24"/>
        </w:rPr>
        <w:t>“</w:t>
      </w:r>
      <w:r>
        <w:rPr>
          <w:sz w:val="24"/>
        </w:rPr>
        <w:t xml:space="preserve">&lt; 2.5 </w:t>
      </w:r>
      <w:r w:rsidR="00B75749">
        <w:rPr>
          <w:sz w:val="24"/>
        </w:rPr>
        <w:t xml:space="preserve">Summer </w:t>
      </w:r>
      <w:r>
        <w:rPr>
          <w:sz w:val="24"/>
        </w:rPr>
        <w:t>times</w:t>
      </w:r>
      <w:r w:rsidR="00B75749">
        <w:rPr>
          <w:sz w:val="24"/>
        </w:rPr>
        <w:t xml:space="preserve"> Winter”</w:t>
      </w:r>
      <w:r>
        <w:rPr>
          <w:sz w:val="24"/>
        </w:rPr>
        <w:t xml:space="preserve"> rate table.</w:t>
      </w:r>
    </w:p>
    <w:p w:rsidR="00996026" w:rsidRDefault="00996026" w:rsidP="00996026">
      <w:pPr>
        <w:rPr>
          <w:sz w:val="24"/>
        </w:rPr>
      </w:pPr>
    </w:p>
    <w:p w:rsidR="00996026" w:rsidRDefault="00996026" w:rsidP="00996026">
      <w:pPr>
        <w:rPr>
          <w:sz w:val="24"/>
        </w:rPr>
      </w:pPr>
      <w:r>
        <w:rPr>
          <w:sz w:val="24"/>
        </w:rPr>
        <w:t xml:space="preserve">COT has indicated it would review usage patterns and could shift Rainier View to </w:t>
      </w:r>
      <w:r w:rsidR="00B75749">
        <w:rPr>
          <w:sz w:val="24"/>
        </w:rPr>
        <w:t>“</w:t>
      </w:r>
      <w:r>
        <w:rPr>
          <w:sz w:val="24"/>
        </w:rPr>
        <w:t xml:space="preserve">&gt; 2.5 </w:t>
      </w:r>
      <w:r w:rsidR="00B75749">
        <w:rPr>
          <w:sz w:val="24"/>
        </w:rPr>
        <w:t xml:space="preserve">Summer </w:t>
      </w:r>
      <w:r>
        <w:rPr>
          <w:sz w:val="24"/>
        </w:rPr>
        <w:t xml:space="preserve">times </w:t>
      </w:r>
      <w:r w:rsidR="00B75749">
        <w:rPr>
          <w:sz w:val="24"/>
        </w:rPr>
        <w:t xml:space="preserve">Winter” </w:t>
      </w:r>
      <w:r>
        <w:rPr>
          <w:sz w:val="24"/>
        </w:rPr>
        <w:t xml:space="preserve">rate table.  For wholesale customers, COT charges year round constant use customers a lower rate ( </w:t>
      </w:r>
      <w:r w:rsidR="00B75749">
        <w:rPr>
          <w:sz w:val="24"/>
        </w:rPr>
        <w:t>“</w:t>
      </w:r>
      <w:r>
        <w:rPr>
          <w:sz w:val="24"/>
        </w:rPr>
        <w:t xml:space="preserve">&lt; 2.5 </w:t>
      </w:r>
      <w:r w:rsidR="00B75749">
        <w:rPr>
          <w:sz w:val="24"/>
        </w:rPr>
        <w:t>S</w:t>
      </w:r>
      <w:r>
        <w:rPr>
          <w:sz w:val="24"/>
        </w:rPr>
        <w:t xml:space="preserve">ummer times </w:t>
      </w:r>
      <w:r w:rsidR="00B75749">
        <w:rPr>
          <w:sz w:val="24"/>
        </w:rPr>
        <w:t>W</w:t>
      </w:r>
      <w:r>
        <w:rPr>
          <w:sz w:val="24"/>
        </w:rPr>
        <w:t>inter</w:t>
      </w:r>
      <w:r w:rsidR="00B75749">
        <w:rPr>
          <w:sz w:val="24"/>
        </w:rPr>
        <w:t>”</w:t>
      </w:r>
      <w:r>
        <w:rPr>
          <w:sz w:val="24"/>
        </w:rPr>
        <w:t xml:space="preserve">) than customers who use less water most of the year but peak their use during the summer only </w:t>
      </w:r>
      <w:r w:rsidR="00B75749">
        <w:rPr>
          <w:sz w:val="24"/>
        </w:rPr>
        <w:t>(“</w:t>
      </w:r>
      <w:r>
        <w:rPr>
          <w:sz w:val="24"/>
        </w:rPr>
        <w:t xml:space="preserve">&gt; 2.5 </w:t>
      </w:r>
      <w:r w:rsidR="00B75749">
        <w:rPr>
          <w:sz w:val="24"/>
        </w:rPr>
        <w:t>S</w:t>
      </w:r>
      <w:r>
        <w:rPr>
          <w:sz w:val="24"/>
        </w:rPr>
        <w:t xml:space="preserve">ummer times </w:t>
      </w:r>
      <w:r w:rsidR="00B75749">
        <w:rPr>
          <w:sz w:val="24"/>
        </w:rPr>
        <w:t>W</w:t>
      </w:r>
      <w:r>
        <w:rPr>
          <w:sz w:val="24"/>
        </w:rPr>
        <w:t>inter</w:t>
      </w:r>
      <w:r w:rsidR="00B75749">
        <w:rPr>
          <w:sz w:val="24"/>
        </w:rPr>
        <w:t>”</w:t>
      </w:r>
      <w:r>
        <w:rPr>
          <w:sz w:val="24"/>
        </w:rPr>
        <w:t>).</w:t>
      </w:r>
    </w:p>
    <w:p w:rsidR="00996026" w:rsidRDefault="00996026" w:rsidP="00996026">
      <w:pPr>
        <w:rPr>
          <w:sz w:val="24"/>
        </w:rPr>
      </w:pPr>
    </w:p>
    <w:p w:rsidR="00996026" w:rsidRDefault="00996026" w:rsidP="00996026">
      <w:pPr>
        <w:rPr>
          <w:sz w:val="24"/>
        </w:rPr>
      </w:pPr>
      <w:r>
        <w:rPr>
          <w:sz w:val="24"/>
        </w:rPr>
        <w:t xml:space="preserve">Under the </w:t>
      </w:r>
      <w:r w:rsidR="009208A8">
        <w:rPr>
          <w:sz w:val="24"/>
        </w:rPr>
        <w:t>“</w:t>
      </w:r>
      <w:r w:rsidR="00B75749">
        <w:rPr>
          <w:sz w:val="24"/>
        </w:rPr>
        <w:t>ERU Growth</w:t>
      </w:r>
      <w:r w:rsidR="009208A8">
        <w:rPr>
          <w:sz w:val="24"/>
        </w:rPr>
        <w:t>”</w:t>
      </w:r>
      <w:r>
        <w:rPr>
          <w:sz w:val="24"/>
        </w:rPr>
        <w:t xml:space="preserve"> section</w:t>
      </w:r>
      <w:r w:rsidR="009208A8">
        <w:rPr>
          <w:sz w:val="24"/>
        </w:rPr>
        <w:t xml:space="preserve"> of the Attachment</w:t>
      </w:r>
      <w:r>
        <w:rPr>
          <w:sz w:val="24"/>
        </w:rPr>
        <w:t xml:space="preserve">, both the ERU count and projected water usage (annual average water purchased) are projected and used to determine the </w:t>
      </w:r>
      <w:r w:rsidR="009208A8">
        <w:rPr>
          <w:sz w:val="24"/>
        </w:rPr>
        <w:t>“</w:t>
      </w:r>
      <w:r>
        <w:rPr>
          <w:sz w:val="24"/>
        </w:rPr>
        <w:t>annual usage cost</w:t>
      </w:r>
      <w:r w:rsidR="009208A8">
        <w:rPr>
          <w:sz w:val="24"/>
        </w:rPr>
        <w:t>”</w:t>
      </w:r>
      <w:r>
        <w:rPr>
          <w:sz w:val="24"/>
        </w:rPr>
        <w:t xml:space="preserve"> for water purchased under three categories:  </w:t>
      </w:r>
      <w:r w:rsidR="00B75749">
        <w:rPr>
          <w:sz w:val="24"/>
        </w:rPr>
        <w:t>”</w:t>
      </w:r>
      <w:r>
        <w:rPr>
          <w:sz w:val="24"/>
        </w:rPr>
        <w:t>&lt; 2.5 times</w:t>
      </w:r>
      <w:r w:rsidR="00B75749">
        <w:rPr>
          <w:sz w:val="24"/>
        </w:rPr>
        <w:t>”</w:t>
      </w:r>
      <w:r>
        <w:rPr>
          <w:sz w:val="24"/>
        </w:rPr>
        <w:t xml:space="preserve">, and </w:t>
      </w:r>
      <w:r w:rsidR="00B75749">
        <w:rPr>
          <w:sz w:val="24"/>
        </w:rPr>
        <w:t>”</w:t>
      </w:r>
      <w:r>
        <w:rPr>
          <w:sz w:val="24"/>
        </w:rPr>
        <w:t xml:space="preserve">&gt; 2.5 </w:t>
      </w:r>
      <w:r>
        <w:rPr>
          <w:sz w:val="24"/>
        </w:rPr>
        <w:lastRenderedPageBreak/>
        <w:t>times</w:t>
      </w:r>
      <w:r w:rsidR="00B75749">
        <w:rPr>
          <w:sz w:val="24"/>
        </w:rPr>
        <w:t>”</w:t>
      </w:r>
      <w:r>
        <w:rPr>
          <w:sz w:val="24"/>
        </w:rPr>
        <w:t xml:space="preserve">, and </w:t>
      </w:r>
      <w:r w:rsidR="00B75749">
        <w:rPr>
          <w:sz w:val="24"/>
        </w:rPr>
        <w:t>“</w:t>
      </w:r>
      <w:r>
        <w:rPr>
          <w:sz w:val="24"/>
        </w:rPr>
        <w:t>Lakewood</w:t>
      </w:r>
      <w:r w:rsidR="00B75749">
        <w:rPr>
          <w:sz w:val="24"/>
        </w:rPr>
        <w:t>”</w:t>
      </w:r>
      <w:r>
        <w:rPr>
          <w:sz w:val="24"/>
        </w:rPr>
        <w:t xml:space="preserve">. </w:t>
      </w:r>
    </w:p>
    <w:p w:rsidR="00996026" w:rsidRDefault="00996026" w:rsidP="00996026">
      <w:pPr>
        <w:rPr>
          <w:sz w:val="24"/>
        </w:rPr>
      </w:pPr>
    </w:p>
    <w:p w:rsidR="00996026" w:rsidRDefault="00996026" w:rsidP="00996026">
      <w:pPr>
        <w:rPr>
          <w:sz w:val="24"/>
        </w:rPr>
      </w:pPr>
      <w:r>
        <w:rPr>
          <w:sz w:val="24"/>
        </w:rPr>
        <w:t xml:space="preserve">The review uses both COT rate tables and LWD rates to determine the cost per year for purchased water.  The worksheet continues by comparing COT cost to LWD cost and determines if there is a cost savings.  The annual difference or cost reduction associated with purchasing water directly from LWD is noted in the section labeled </w:t>
      </w:r>
      <w:r w:rsidR="000B6F33">
        <w:rPr>
          <w:sz w:val="24"/>
        </w:rPr>
        <w:t>“</w:t>
      </w:r>
      <w:r>
        <w:rPr>
          <w:sz w:val="24"/>
        </w:rPr>
        <w:t xml:space="preserve">Lakewood savings compared to </w:t>
      </w:r>
      <w:r w:rsidR="000B6F33">
        <w:rPr>
          <w:sz w:val="24"/>
        </w:rPr>
        <w:t xml:space="preserve">Tacoma” </w:t>
      </w:r>
      <w:r>
        <w:rPr>
          <w:sz w:val="24"/>
        </w:rPr>
        <w:t xml:space="preserve">for </w:t>
      </w:r>
      <w:r w:rsidR="000B6F33">
        <w:rPr>
          <w:sz w:val="24"/>
        </w:rPr>
        <w:t>“</w:t>
      </w:r>
      <w:r>
        <w:rPr>
          <w:sz w:val="24"/>
        </w:rPr>
        <w:t>&lt; 2.5 times</w:t>
      </w:r>
      <w:r w:rsidR="000B6F33">
        <w:rPr>
          <w:sz w:val="24"/>
        </w:rPr>
        <w:t>”</w:t>
      </w:r>
      <w:r>
        <w:rPr>
          <w:sz w:val="24"/>
        </w:rPr>
        <w:t xml:space="preserve"> and </w:t>
      </w:r>
      <w:r w:rsidR="000B6F33">
        <w:rPr>
          <w:sz w:val="24"/>
        </w:rPr>
        <w:t>“</w:t>
      </w:r>
      <w:r>
        <w:rPr>
          <w:sz w:val="24"/>
        </w:rPr>
        <w:t>&gt; 2.5 times.</w:t>
      </w:r>
      <w:r w:rsidR="000B6F33">
        <w:rPr>
          <w:sz w:val="24"/>
        </w:rPr>
        <w:t>”</w:t>
      </w:r>
    </w:p>
    <w:p w:rsidR="00996026" w:rsidRDefault="00996026" w:rsidP="00996026">
      <w:pPr>
        <w:rPr>
          <w:sz w:val="24"/>
        </w:rPr>
      </w:pPr>
    </w:p>
    <w:p w:rsidR="00996026" w:rsidRDefault="00996026" w:rsidP="00996026">
      <w:pPr>
        <w:rPr>
          <w:sz w:val="24"/>
        </w:rPr>
      </w:pPr>
      <w:r>
        <w:rPr>
          <w:sz w:val="24"/>
        </w:rPr>
        <w:t>The annual saving</w:t>
      </w:r>
      <w:r w:rsidR="00CE783B">
        <w:rPr>
          <w:sz w:val="24"/>
        </w:rPr>
        <w:t>s</w:t>
      </w:r>
      <w:r>
        <w:rPr>
          <w:sz w:val="24"/>
        </w:rPr>
        <w:t xml:space="preserve"> and cumulative savings are shown.  Under the more favorable COT rate table of </w:t>
      </w:r>
      <w:r w:rsidR="00B75749">
        <w:rPr>
          <w:sz w:val="24"/>
        </w:rPr>
        <w:t>“</w:t>
      </w:r>
      <w:r>
        <w:rPr>
          <w:sz w:val="24"/>
        </w:rPr>
        <w:t>&lt; 2.5 times</w:t>
      </w:r>
      <w:r w:rsidR="00B75749">
        <w:rPr>
          <w:sz w:val="24"/>
        </w:rPr>
        <w:t>”</w:t>
      </w:r>
      <w:r>
        <w:rPr>
          <w:sz w:val="24"/>
        </w:rPr>
        <w:t xml:space="preserve">, it will take approximately 15 years to recoup the construction cost absent interest cost.  Under the less favorable rate COT rate table of </w:t>
      </w:r>
      <w:r w:rsidR="00B75749">
        <w:rPr>
          <w:sz w:val="24"/>
        </w:rPr>
        <w:t>“</w:t>
      </w:r>
      <w:r>
        <w:rPr>
          <w:sz w:val="24"/>
        </w:rPr>
        <w:t>&gt; 2.5 times</w:t>
      </w:r>
      <w:r w:rsidR="00B75749">
        <w:rPr>
          <w:sz w:val="24"/>
        </w:rPr>
        <w:t>”</w:t>
      </w:r>
      <w:r>
        <w:rPr>
          <w:sz w:val="24"/>
        </w:rPr>
        <w:t xml:space="preserve"> the construction cost would be recouped in approximately 11 years.</w:t>
      </w:r>
    </w:p>
    <w:p w:rsidR="00996026" w:rsidRDefault="00996026" w:rsidP="00996026">
      <w:pPr>
        <w:rPr>
          <w:sz w:val="24"/>
        </w:rPr>
      </w:pPr>
    </w:p>
    <w:p w:rsidR="009B1809" w:rsidRDefault="009B1809" w:rsidP="00996026">
      <w:pPr>
        <w:widowControl/>
        <w:adjustRightInd/>
        <w:rPr>
          <w:sz w:val="24"/>
        </w:rPr>
      </w:pPr>
      <w:r>
        <w:rPr>
          <w:sz w:val="24"/>
        </w:rPr>
        <w:t>The wholesale water agreement between Rainier View and COT requires Rainier View to purchase 1.47</w:t>
      </w:r>
      <w:r w:rsidRPr="009B1809">
        <w:rPr>
          <w:sz w:val="24"/>
        </w:rPr>
        <w:t xml:space="preserve"> million gallons (196,524 cubic feet) per day</w:t>
      </w:r>
      <w:r>
        <w:rPr>
          <w:sz w:val="24"/>
        </w:rPr>
        <w:t xml:space="preserve"> before the Company </w:t>
      </w:r>
      <w:r w:rsidR="000619D2">
        <w:rPr>
          <w:sz w:val="24"/>
        </w:rPr>
        <w:t>“triggers” its ability to</w:t>
      </w:r>
      <w:r w:rsidRPr="009B1809">
        <w:rPr>
          <w:sz w:val="24"/>
        </w:rPr>
        <w:t xml:space="preserve"> purchase water from LWD and wheel through COT.  </w:t>
      </w:r>
      <w:r>
        <w:rPr>
          <w:sz w:val="24"/>
        </w:rPr>
        <w:t>Daily water use data is not available</w:t>
      </w:r>
      <w:r w:rsidR="00A35BE7">
        <w:rPr>
          <w:sz w:val="24"/>
        </w:rPr>
        <w:t xml:space="preserve"> and staff does not know if the daily threshold was exceeded.</w:t>
      </w:r>
      <w:r w:rsidR="00C16571" w:rsidDel="00C16571">
        <w:rPr>
          <w:sz w:val="24"/>
        </w:rPr>
        <w:t xml:space="preserve"> </w:t>
      </w:r>
    </w:p>
    <w:p w:rsidR="003B312A" w:rsidRDefault="003B312A" w:rsidP="00996026">
      <w:pPr>
        <w:widowControl/>
        <w:adjustRightInd/>
        <w:rPr>
          <w:sz w:val="24"/>
        </w:rPr>
      </w:pPr>
    </w:p>
    <w:p w:rsidR="009B1809" w:rsidRDefault="00996026" w:rsidP="00996026">
      <w:pPr>
        <w:widowControl/>
        <w:adjustRightInd/>
        <w:rPr>
          <w:sz w:val="24"/>
        </w:rPr>
      </w:pPr>
      <w:r w:rsidRPr="009B1809">
        <w:rPr>
          <w:sz w:val="24"/>
        </w:rPr>
        <w:t xml:space="preserve">Using </w:t>
      </w:r>
      <w:r w:rsidR="00C16571">
        <w:rPr>
          <w:sz w:val="24"/>
        </w:rPr>
        <w:t xml:space="preserve">five years of </w:t>
      </w:r>
      <w:r w:rsidRPr="009B1809">
        <w:rPr>
          <w:sz w:val="24"/>
        </w:rPr>
        <w:t xml:space="preserve">historical </w:t>
      </w:r>
      <w:r w:rsidR="009B1809">
        <w:rPr>
          <w:sz w:val="24"/>
        </w:rPr>
        <w:t xml:space="preserve">monthly </w:t>
      </w:r>
      <w:r w:rsidRPr="009B1809">
        <w:rPr>
          <w:sz w:val="24"/>
        </w:rPr>
        <w:t>water purchased from COT</w:t>
      </w:r>
      <w:r w:rsidR="009B1809">
        <w:rPr>
          <w:sz w:val="24"/>
        </w:rPr>
        <w:t xml:space="preserve"> </w:t>
      </w:r>
      <w:r w:rsidR="009B1809" w:rsidRPr="003B312A">
        <w:rPr>
          <w:sz w:val="24"/>
        </w:rPr>
        <w:t xml:space="preserve">for current </w:t>
      </w:r>
      <w:r w:rsidR="009B1809">
        <w:rPr>
          <w:sz w:val="24"/>
        </w:rPr>
        <w:t>customers</w:t>
      </w:r>
      <w:r w:rsidR="003B312A">
        <w:rPr>
          <w:sz w:val="24"/>
        </w:rPr>
        <w:t xml:space="preserve">, it appears </w:t>
      </w:r>
      <w:r w:rsidR="009B1809">
        <w:rPr>
          <w:sz w:val="24"/>
        </w:rPr>
        <w:t xml:space="preserve">on an annual basis </w:t>
      </w:r>
      <w:r w:rsidR="00A13108">
        <w:rPr>
          <w:sz w:val="24"/>
        </w:rPr>
        <w:t xml:space="preserve">that </w:t>
      </w:r>
      <w:r w:rsidR="009B1809">
        <w:rPr>
          <w:sz w:val="24"/>
        </w:rPr>
        <w:t xml:space="preserve">there is sufficient unused </w:t>
      </w:r>
      <w:r w:rsidR="000619D2">
        <w:rPr>
          <w:sz w:val="24"/>
        </w:rPr>
        <w:t>water for</w:t>
      </w:r>
      <w:r w:rsidR="009B1809">
        <w:rPr>
          <w:sz w:val="24"/>
        </w:rPr>
        <w:t xml:space="preserve"> the additional 2,280 ERUs who are the subject of this filing.  </w:t>
      </w:r>
      <w:r w:rsidR="000619D2">
        <w:rPr>
          <w:sz w:val="24"/>
        </w:rPr>
        <w:t xml:space="preserve">There will be instances of peaking demand that could exceed the daily trigger threshold and put the company into a wheeling situation. </w:t>
      </w:r>
      <w:r w:rsidR="00A13108">
        <w:rPr>
          <w:sz w:val="24"/>
        </w:rPr>
        <w:t xml:space="preserve"> </w:t>
      </w:r>
      <w:r w:rsidR="009B1809">
        <w:rPr>
          <w:sz w:val="24"/>
        </w:rPr>
        <w:t xml:space="preserve">Therefore, Staff’s calculations show the COT water </w:t>
      </w:r>
      <w:r w:rsidR="000619D2">
        <w:rPr>
          <w:sz w:val="24"/>
        </w:rPr>
        <w:t xml:space="preserve">generally </w:t>
      </w:r>
      <w:r w:rsidR="009B1809">
        <w:rPr>
          <w:sz w:val="24"/>
        </w:rPr>
        <w:t xml:space="preserve">provides sufficient </w:t>
      </w:r>
      <w:r w:rsidR="000619D2">
        <w:rPr>
          <w:sz w:val="24"/>
        </w:rPr>
        <w:t>water</w:t>
      </w:r>
      <w:r w:rsidR="009B1809">
        <w:rPr>
          <w:sz w:val="24"/>
        </w:rPr>
        <w:t xml:space="preserve"> to preclude LWD purchases and associated wheeling costs.</w:t>
      </w:r>
      <w:r w:rsidR="006463CE" w:rsidRPr="003B312A">
        <w:rPr>
          <w:sz w:val="24"/>
        </w:rPr>
        <w:t xml:space="preserve"> </w:t>
      </w:r>
      <w:r w:rsidR="009B1809">
        <w:rPr>
          <w:sz w:val="24"/>
        </w:rPr>
        <w:t xml:space="preserve"> </w:t>
      </w:r>
      <w:r w:rsidR="000619D2">
        <w:rPr>
          <w:sz w:val="24"/>
        </w:rPr>
        <w:t>Volume considerations alone, however, do not take into account the much higher cost of COT water when compared to the cost of LWD water</w:t>
      </w:r>
      <w:r w:rsidR="00A13108">
        <w:rPr>
          <w:sz w:val="24"/>
        </w:rPr>
        <w:t>, including the COT wheeling charge</w:t>
      </w:r>
      <w:r w:rsidR="000619D2">
        <w:rPr>
          <w:sz w:val="24"/>
        </w:rPr>
        <w:t xml:space="preserve">.  Both </w:t>
      </w:r>
      <w:r w:rsidR="00A13108">
        <w:rPr>
          <w:sz w:val="24"/>
        </w:rPr>
        <w:t xml:space="preserve">the </w:t>
      </w:r>
      <w:r w:rsidR="000619D2">
        <w:rPr>
          <w:sz w:val="24"/>
        </w:rPr>
        <w:t xml:space="preserve">volume of water needed and difference in price must be considered in total overall costs.  </w:t>
      </w:r>
    </w:p>
    <w:p w:rsidR="009B1809" w:rsidRDefault="009B1809" w:rsidP="00996026">
      <w:pPr>
        <w:widowControl/>
        <w:adjustRightInd/>
        <w:rPr>
          <w:sz w:val="24"/>
        </w:rPr>
      </w:pPr>
    </w:p>
    <w:p w:rsidR="00B95D7C" w:rsidRPr="008D02AC" w:rsidRDefault="00B95D7C" w:rsidP="00B75749">
      <w:pPr>
        <w:widowControl/>
        <w:adjustRightInd/>
        <w:rPr>
          <w:sz w:val="24"/>
        </w:rPr>
      </w:pPr>
    </w:p>
    <w:sectPr w:rsidR="00B95D7C" w:rsidRPr="008D02AC" w:rsidSect="00B5559F">
      <w:endnotePr>
        <w:numFmt w:val="decimal"/>
      </w:endnotePr>
      <w:pgSz w:w="12240" w:h="15840" w:code="1"/>
      <w:pgMar w:top="1440" w:right="1440" w:bottom="720" w:left="187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46" w:rsidRDefault="00551346">
      <w:r>
        <w:separator/>
      </w:r>
    </w:p>
  </w:endnote>
  <w:endnote w:type="continuationSeparator" w:id="0">
    <w:p w:rsidR="00551346" w:rsidRDefault="00551346">
      <w:r>
        <w:continuationSeparator/>
      </w:r>
    </w:p>
  </w:endnote>
  <w:endnote w:type="continuationNotice" w:id="1">
    <w:p w:rsidR="00551346" w:rsidRDefault="00551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46" w:rsidRDefault="00551346">
      <w:r>
        <w:separator/>
      </w:r>
    </w:p>
  </w:footnote>
  <w:footnote w:type="continuationSeparator" w:id="0">
    <w:p w:rsidR="00551346" w:rsidRDefault="00551346">
      <w:r>
        <w:continuationSeparator/>
      </w:r>
    </w:p>
  </w:footnote>
  <w:footnote w:type="continuationNotice" w:id="1">
    <w:p w:rsidR="00551346" w:rsidRDefault="005513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3B" w:rsidRDefault="00CE783B" w:rsidP="007015C5">
    <w:pPr>
      <w:tabs>
        <w:tab w:val="center" w:pos="4680"/>
      </w:tabs>
      <w:jc w:val="center"/>
      <w:rPr>
        <w:sz w:val="24"/>
      </w:rPr>
    </w:pPr>
    <w:r>
      <w:rPr>
        <w:sz w:val="24"/>
      </w:rPr>
      <w:t>WASHINGTON UTILITIES AND TRANSPORTATION COMMISSION STAFF RESPONSE TO DATA REQUEST</w:t>
    </w:r>
  </w:p>
  <w:p w:rsidR="00CE783B" w:rsidRDefault="00CE783B">
    <w:pPr>
      <w:rPr>
        <w:sz w:val="24"/>
      </w:rPr>
    </w:pPr>
  </w:p>
  <w:tbl>
    <w:tblPr>
      <w:tblW w:w="9360" w:type="dxa"/>
      <w:tblLayout w:type="fixed"/>
      <w:tblCellMar>
        <w:left w:w="0" w:type="dxa"/>
        <w:right w:w="0" w:type="dxa"/>
      </w:tblCellMar>
      <w:tblLook w:val="0000" w:firstRow="0" w:lastRow="0" w:firstColumn="0" w:lastColumn="0" w:noHBand="0" w:noVBand="0"/>
    </w:tblPr>
    <w:tblGrid>
      <w:gridCol w:w="4320"/>
      <w:gridCol w:w="450"/>
      <w:gridCol w:w="4590"/>
    </w:tblGrid>
    <w:tr w:rsidR="00CE783B" w:rsidTr="00D162FC">
      <w:tc>
        <w:tcPr>
          <w:tcW w:w="4320" w:type="dxa"/>
          <w:tcBorders>
            <w:top w:val="nil"/>
            <w:left w:val="nil"/>
            <w:bottom w:val="nil"/>
            <w:right w:val="nil"/>
          </w:tcBorders>
        </w:tcPr>
        <w:p w:rsidR="00CE783B" w:rsidRDefault="00CE783B">
          <w:pPr>
            <w:tabs>
              <w:tab w:val="left" w:pos="-1440"/>
            </w:tabs>
            <w:ind w:left="2160" w:hanging="2160"/>
            <w:rPr>
              <w:sz w:val="24"/>
            </w:rPr>
          </w:pPr>
          <w:r>
            <w:rPr>
              <w:sz w:val="24"/>
            </w:rPr>
            <w:t>DATE PREPARED:</w:t>
          </w:r>
          <w:r>
            <w:rPr>
              <w:sz w:val="24"/>
            </w:rPr>
            <w:tab/>
            <w:t>August 21, 2012</w:t>
          </w:r>
        </w:p>
        <w:p w:rsidR="00CE783B" w:rsidRDefault="00CE783B">
          <w:pPr>
            <w:tabs>
              <w:tab w:val="left" w:pos="-1440"/>
            </w:tabs>
            <w:ind w:left="1440" w:hanging="1440"/>
            <w:rPr>
              <w:sz w:val="24"/>
            </w:rPr>
          </w:pPr>
          <w:r>
            <w:rPr>
              <w:sz w:val="24"/>
            </w:rPr>
            <w:t>DOCKET:</w:t>
          </w:r>
          <w:r>
            <w:rPr>
              <w:sz w:val="24"/>
            </w:rPr>
            <w:tab/>
          </w:r>
          <w:r>
            <w:rPr>
              <w:sz w:val="24"/>
            </w:rPr>
            <w:tab/>
            <w:t>UW-110054</w:t>
          </w:r>
        </w:p>
        <w:p w:rsidR="00CE783B" w:rsidRDefault="00CE783B">
          <w:pPr>
            <w:rPr>
              <w:sz w:val="24"/>
            </w:rPr>
          </w:pPr>
          <w:r>
            <w:rPr>
              <w:sz w:val="24"/>
            </w:rPr>
            <w:t>REQUESTER:</w:t>
          </w:r>
          <w:r>
            <w:rPr>
              <w:sz w:val="24"/>
            </w:rPr>
            <w:tab/>
            <w:t>Bench</w:t>
          </w:r>
        </w:p>
        <w:p w:rsidR="00CE783B" w:rsidRDefault="00CE783B">
          <w:pPr>
            <w:rPr>
              <w:sz w:val="24"/>
            </w:rPr>
          </w:pPr>
        </w:p>
      </w:tc>
      <w:tc>
        <w:tcPr>
          <w:tcW w:w="450" w:type="dxa"/>
          <w:tcBorders>
            <w:top w:val="nil"/>
            <w:left w:val="nil"/>
            <w:bottom w:val="nil"/>
            <w:right w:val="nil"/>
          </w:tcBorders>
        </w:tcPr>
        <w:p w:rsidR="00CE783B" w:rsidRDefault="00CE783B">
          <w:pPr>
            <w:rPr>
              <w:sz w:val="24"/>
            </w:rPr>
          </w:pPr>
        </w:p>
      </w:tc>
      <w:tc>
        <w:tcPr>
          <w:tcW w:w="4590" w:type="dxa"/>
          <w:tcBorders>
            <w:top w:val="nil"/>
            <w:left w:val="nil"/>
            <w:bottom w:val="nil"/>
            <w:right w:val="nil"/>
          </w:tcBorders>
        </w:tcPr>
        <w:p w:rsidR="00CE783B" w:rsidRPr="00D162FC" w:rsidRDefault="00CE783B" w:rsidP="00D162FC">
          <w:pPr>
            <w:tabs>
              <w:tab w:val="left" w:pos="-1440"/>
              <w:tab w:val="left" w:pos="1620"/>
            </w:tabs>
            <w:ind w:left="1620" w:hanging="1620"/>
            <w:rPr>
              <w:sz w:val="24"/>
            </w:rPr>
          </w:pPr>
          <w:r w:rsidRPr="00D162FC">
            <w:rPr>
              <w:sz w:val="24"/>
            </w:rPr>
            <w:t>WITNESS:</w:t>
          </w:r>
          <w:r>
            <w:rPr>
              <w:sz w:val="24"/>
            </w:rPr>
            <w:tab/>
            <w:t>Jim Ward, Amy White</w:t>
          </w:r>
        </w:p>
        <w:p w:rsidR="00CE783B" w:rsidRPr="00D162FC" w:rsidRDefault="00CE783B" w:rsidP="00D162FC">
          <w:pPr>
            <w:tabs>
              <w:tab w:val="left" w:pos="-1440"/>
              <w:tab w:val="left" w:pos="1620"/>
            </w:tabs>
            <w:ind w:left="1620" w:hanging="1620"/>
            <w:rPr>
              <w:sz w:val="24"/>
            </w:rPr>
          </w:pPr>
          <w:r>
            <w:rPr>
              <w:sz w:val="24"/>
            </w:rPr>
            <w:t>RESPONDER:</w:t>
          </w:r>
          <w:r>
            <w:rPr>
              <w:sz w:val="24"/>
            </w:rPr>
            <w:tab/>
            <w:t>Jim Ward, Amy White</w:t>
          </w:r>
        </w:p>
        <w:p w:rsidR="00CE783B" w:rsidRDefault="00CE783B" w:rsidP="00B20171">
          <w:pPr>
            <w:tabs>
              <w:tab w:val="left" w:pos="1620"/>
            </w:tabs>
            <w:rPr>
              <w:sz w:val="24"/>
            </w:rPr>
          </w:pPr>
          <w:r>
            <w:rPr>
              <w:sz w:val="24"/>
            </w:rPr>
            <w:t>TELEPHONE:</w:t>
          </w:r>
          <w:r>
            <w:rPr>
              <w:sz w:val="24"/>
            </w:rPr>
            <w:tab/>
          </w:r>
          <w:r w:rsidRPr="00D162FC">
            <w:rPr>
              <w:sz w:val="24"/>
            </w:rPr>
            <w:t xml:space="preserve">(360) </w:t>
          </w:r>
          <w:r>
            <w:rPr>
              <w:sz w:val="24"/>
            </w:rPr>
            <w:t>664-1250</w:t>
          </w:r>
          <w:r w:rsidRPr="00D162FC">
            <w:rPr>
              <w:sz w:val="24"/>
            </w:rPr>
            <w:t>; 664-124</w:t>
          </w:r>
          <w:r>
            <w:rPr>
              <w:sz w:val="24"/>
            </w:rPr>
            <w:t>7</w:t>
          </w:r>
        </w:p>
      </w:tc>
    </w:tr>
  </w:tbl>
  <w:p w:rsidR="00CE783B" w:rsidRDefault="00CE783B">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76C"/>
    <w:multiLevelType w:val="hybridMultilevel"/>
    <w:tmpl w:val="3A38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C5290"/>
    <w:multiLevelType w:val="hybridMultilevel"/>
    <w:tmpl w:val="31947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49A"/>
    <w:multiLevelType w:val="hybridMultilevel"/>
    <w:tmpl w:val="F2B82072"/>
    <w:lvl w:ilvl="0" w:tplc="9B6AC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23C78"/>
    <w:multiLevelType w:val="hybridMultilevel"/>
    <w:tmpl w:val="7EFAC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5358"/>
    <w:multiLevelType w:val="hybridMultilevel"/>
    <w:tmpl w:val="4F865C8A"/>
    <w:lvl w:ilvl="0" w:tplc="A5509F0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B767D"/>
    <w:multiLevelType w:val="hybridMultilevel"/>
    <w:tmpl w:val="356834DC"/>
    <w:lvl w:ilvl="0" w:tplc="229C0974">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C47220"/>
    <w:multiLevelType w:val="hybridMultilevel"/>
    <w:tmpl w:val="0F78D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56513"/>
    <w:multiLevelType w:val="hybridMultilevel"/>
    <w:tmpl w:val="ACF493D0"/>
    <w:lvl w:ilvl="0" w:tplc="D79405A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593F59"/>
    <w:multiLevelType w:val="hybridMultilevel"/>
    <w:tmpl w:val="3516E1C4"/>
    <w:lvl w:ilvl="0" w:tplc="7FAC8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53096"/>
    <w:multiLevelType w:val="hybridMultilevel"/>
    <w:tmpl w:val="5A90C10C"/>
    <w:lvl w:ilvl="0" w:tplc="91E466F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5FB1751"/>
    <w:multiLevelType w:val="hybridMultilevel"/>
    <w:tmpl w:val="EB606862"/>
    <w:lvl w:ilvl="0" w:tplc="BA8C2CF2">
      <w:start w:val="1"/>
      <w:numFmt w:val="lowerLetter"/>
      <w:lvlText w:val="%1."/>
      <w:lvlJc w:val="left"/>
      <w:pPr>
        <w:ind w:left="720" w:hanging="360"/>
      </w:pPr>
      <w:rPr>
        <w:rFonts w:ascii="Times New Roman" w:eastAsia="Times New Roman" w:hAnsi="Times New Roman" w:cs="Times New Roman"/>
        <w:b w:val="0"/>
      </w:rPr>
    </w:lvl>
    <w:lvl w:ilvl="1" w:tplc="E38E41A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90279"/>
    <w:multiLevelType w:val="hybridMultilevel"/>
    <w:tmpl w:val="B46E5536"/>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BC4BE4"/>
    <w:multiLevelType w:val="hybridMultilevel"/>
    <w:tmpl w:val="AF62BA3A"/>
    <w:lvl w:ilvl="0" w:tplc="C1043EF0">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8718C9"/>
    <w:multiLevelType w:val="hybridMultilevel"/>
    <w:tmpl w:val="920086CA"/>
    <w:lvl w:ilvl="0" w:tplc="04090019">
      <w:start w:val="5"/>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D14BC"/>
    <w:multiLevelType w:val="hybridMultilevel"/>
    <w:tmpl w:val="1450BFF0"/>
    <w:lvl w:ilvl="0" w:tplc="30F6AB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4549A2"/>
    <w:multiLevelType w:val="hybridMultilevel"/>
    <w:tmpl w:val="88BE7B3E"/>
    <w:lvl w:ilvl="0" w:tplc="7E9A6C94">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8011A"/>
    <w:multiLevelType w:val="hybridMultilevel"/>
    <w:tmpl w:val="5E405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705621"/>
    <w:multiLevelType w:val="hybridMultilevel"/>
    <w:tmpl w:val="C770B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D5D6C"/>
    <w:multiLevelType w:val="hybridMultilevel"/>
    <w:tmpl w:val="8F64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52244"/>
    <w:multiLevelType w:val="hybridMultilevel"/>
    <w:tmpl w:val="F0B03D52"/>
    <w:lvl w:ilvl="0" w:tplc="061837E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206520"/>
    <w:multiLevelType w:val="hybridMultilevel"/>
    <w:tmpl w:val="78A4B11A"/>
    <w:lvl w:ilvl="0" w:tplc="C0DC4686">
      <w:start w:val="1"/>
      <w:numFmt w:val="lowerLetter"/>
      <w:lvlText w:val="%1."/>
      <w:lvlJc w:val="left"/>
      <w:pPr>
        <w:ind w:left="720" w:hanging="360"/>
      </w:pPr>
      <w:rPr>
        <w:rFonts w:ascii="Times New Roman" w:eastAsia="Times New Roman" w:hAnsi="Times New Roman" w:cs="Times New Roman"/>
      </w:rPr>
    </w:lvl>
    <w:lvl w:ilvl="1" w:tplc="B9266FD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71E8D"/>
    <w:multiLevelType w:val="hybridMultilevel"/>
    <w:tmpl w:val="CD1425C0"/>
    <w:lvl w:ilvl="0" w:tplc="F1A86A76">
      <w:start w:val="1"/>
      <w:numFmt w:val="lowerLetter"/>
      <w:lvlText w:val="%1."/>
      <w:lvlJc w:val="left"/>
      <w:pPr>
        <w:ind w:left="1080" w:hanging="360"/>
      </w:pPr>
      <w:rPr>
        <w:rFonts w:ascii="Times New Roman" w:eastAsia="Times New Roman" w:hAnsi="Times New Roman" w:cs="Times New Roman" w:hint="default"/>
      </w:rPr>
    </w:lvl>
    <w:lvl w:ilvl="1" w:tplc="A9DE57C6">
      <w:start w:val="1"/>
      <w:numFmt w:val="lowerLetter"/>
      <w:lvlText w:val="%2."/>
      <w:lvlJc w:val="left"/>
      <w:pPr>
        <w:ind w:left="1800" w:hanging="360"/>
      </w:pPr>
      <w:rPr>
        <w:rFonts w:ascii="Times New Roman" w:eastAsia="Times New Roman" w:hAnsi="Times New Roman" w:cs="Times New Roman"/>
      </w:rPr>
    </w:lvl>
    <w:lvl w:ilvl="2" w:tplc="DBB8C6C8">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7F72C1"/>
    <w:multiLevelType w:val="hybridMultilevel"/>
    <w:tmpl w:val="E96EA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033158"/>
    <w:multiLevelType w:val="hybridMultilevel"/>
    <w:tmpl w:val="4EEC2A22"/>
    <w:lvl w:ilvl="0" w:tplc="7FAC8E34">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9"/>
  </w:num>
  <w:num w:numId="5">
    <w:abstractNumId w:val="15"/>
  </w:num>
  <w:num w:numId="6">
    <w:abstractNumId w:val="19"/>
  </w:num>
  <w:num w:numId="7">
    <w:abstractNumId w:val="12"/>
  </w:num>
  <w:num w:numId="8">
    <w:abstractNumId w:val="5"/>
  </w:num>
  <w:num w:numId="9">
    <w:abstractNumId w:val="20"/>
  </w:num>
  <w:num w:numId="10">
    <w:abstractNumId w:val="2"/>
  </w:num>
  <w:num w:numId="11">
    <w:abstractNumId w:val="16"/>
  </w:num>
  <w:num w:numId="12">
    <w:abstractNumId w:val="11"/>
  </w:num>
  <w:num w:numId="13">
    <w:abstractNumId w:val="22"/>
  </w:num>
  <w:num w:numId="14">
    <w:abstractNumId w:val="1"/>
  </w:num>
  <w:num w:numId="15">
    <w:abstractNumId w:val="6"/>
  </w:num>
  <w:num w:numId="16">
    <w:abstractNumId w:val="17"/>
  </w:num>
  <w:num w:numId="17">
    <w:abstractNumId w:val="7"/>
  </w:num>
  <w:num w:numId="18">
    <w:abstractNumId w:val="23"/>
  </w:num>
  <w:num w:numId="19">
    <w:abstractNumId w:val="8"/>
  </w:num>
  <w:num w:numId="20">
    <w:abstractNumId w:val="3"/>
  </w:num>
  <w:num w:numId="21">
    <w:abstractNumId w:val="13"/>
  </w:num>
  <w:num w:numId="22">
    <w:abstractNumId w:val="14"/>
  </w:num>
  <w:num w:numId="23">
    <w:abstractNumId w:val="18"/>
  </w:num>
  <w:num w:numId="24">
    <w:abstractNumId w:val="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05"/>
    <w:rsid w:val="000161AC"/>
    <w:rsid w:val="00017532"/>
    <w:rsid w:val="00025E11"/>
    <w:rsid w:val="000462FC"/>
    <w:rsid w:val="000479F7"/>
    <w:rsid w:val="00050380"/>
    <w:rsid w:val="000619D2"/>
    <w:rsid w:val="000719B4"/>
    <w:rsid w:val="00080231"/>
    <w:rsid w:val="000957E2"/>
    <w:rsid w:val="000A6FAA"/>
    <w:rsid w:val="000A7A27"/>
    <w:rsid w:val="000B6F33"/>
    <w:rsid w:val="000C2565"/>
    <w:rsid w:val="000F2B38"/>
    <w:rsid w:val="00110848"/>
    <w:rsid w:val="00113227"/>
    <w:rsid w:val="00141658"/>
    <w:rsid w:val="00147F1A"/>
    <w:rsid w:val="001552C8"/>
    <w:rsid w:val="0016359D"/>
    <w:rsid w:val="00175B6D"/>
    <w:rsid w:val="00182ABB"/>
    <w:rsid w:val="001A294A"/>
    <w:rsid w:val="001B48DF"/>
    <w:rsid w:val="001C1D75"/>
    <w:rsid w:val="001D28EF"/>
    <w:rsid w:val="001E13B1"/>
    <w:rsid w:val="002026B5"/>
    <w:rsid w:val="0020682F"/>
    <w:rsid w:val="00247343"/>
    <w:rsid w:val="00253D8E"/>
    <w:rsid w:val="00265539"/>
    <w:rsid w:val="00280212"/>
    <w:rsid w:val="00283B5B"/>
    <w:rsid w:val="00295708"/>
    <w:rsid w:val="002A5DF4"/>
    <w:rsid w:val="002C5705"/>
    <w:rsid w:val="002D2CEF"/>
    <w:rsid w:val="0031185F"/>
    <w:rsid w:val="00313F01"/>
    <w:rsid w:val="00332A6F"/>
    <w:rsid w:val="00335B09"/>
    <w:rsid w:val="00337E17"/>
    <w:rsid w:val="00341968"/>
    <w:rsid w:val="00342822"/>
    <w:rsid w:val="00360F27"/>
    <w:rsid w:val="003634F3"/>
    <w:rsid w:val="00367D96"/>
    <w:rsid w:val="00391D72"/>
    <w:rsid w:val="00395612"/>
    <w:rsid w:val="00395CB5"/>
    <w:rsid w:val="003A43D2"/>
    <w:rsid w:val="003B2B78"/>
    <w:rsid w:val="003B312A"/>
    <w:rsid w:val="003D6B96"/>
    <w:rsid w:val="00404655"/>
    <w:rsid w:val="00445BC2"/>
    <w:rsid w:val="004526BE"/>
    <w:rsid w:val="00452D56"/>
    <w:rsid w:val="004714D3"/>
    <w:rsid w:val="004901FE"/>
    <w:rsid w:val="004B7965"/>
    <w:rsid w:val="004C23CC"/>
    <w:rsid w:val="004D5662"/>
    <w:rsid w:val="004D7FD5"/>
    <w:rsid w:val="004E7DB8"/>
    <w:rsid w:val="00503FC9"/>
    <w:rsid w:val="00535EF3"/>
    <w:rsid w:val="005369F5"/>
    <w:rsid w:val="00551346"/>
    <w:rsid w:val="00554165"/>
    <w:rsid w:val="00582F6C"/>
    <w:rsid w:val="00583EE6"/>
    <w:rsid w:val="0059136C"/>
    <w:rsid w:val="00596BF0"/>
    <w:rsid w:val="005A7F47"/>
    <w:rsid w:val="005B14CF"/>
    <w:rsid w:val="005F33BA"/>
    <w:rsid w:val="00622858"/>
    <w:rsid w:val="00626F78"/>
    <w:rsid w:val="006366BB"/>
    <w:rsid w:val="00641C1C"/>
    <w:rsid w:val="006463CE"/>
    <w:rsid w:val="006629DE"/>
    <w:rsid w:val="00663626"/>
    <w:rsid w:val="00673CE4"/>
    <w:rsid w:val="0068762F"/>
    <w:rsid w:val="00692E3A"/>
    <w:rsid w:val="006948EB"/>
    <w:rsid w:val="00697CB2"/>
    <w:rsid w:val="006A75A1"/>
    <w:rsid w:val="006E7783"/>
    <w:rsid w:val="007015C5"/>
    <w:rsid w:val="00752C04"/>
    <w:rsid w:val="00752E52"/>
    <w:rsid w:val="00754515"/>
    <w:rsid w:val="00766D1F"/>
    <w:rsid w:val="007673E3"/>
    <w:rsid w:val="00774AE4"/>
    <w:rsid w:val="0077741C"/>
    <w:rsid w:val="007A62D2"/>
    <w:rsid w:val="007A68C5"/>
    <w:rsid w:val="007B1498"/>
    <w:rsid w:val="007E4B70"/>
    <w:rsid w:val="007F2D13"/>
    <w:rsid w:val="007F74DD"/>
    <w:rsid w:val="00801FFD"/>
    <w:rsid w:val="008064CC"/>
    <w:rsid w:val="00830D2A"/>
    <w:rsid w:val="00832F7E"/>
    <w:rsid w:val="00836305"/>
    <w:rsid w:val="0084064B"/>
    <w:rsid w:val="008473B2"/>
    <w:rsid w:val="00856863"/>
    <w:rsid w:val="0086224E"/>
    <w:rsid w:val="008956D4"/>
    <w:rsid w:val="008B0CD5"/>
    <w:rsid w:val="008B3B05"/>
    <w:rsid w:val="008D02AC"/>
    <w:rsid w:val="008F233F"/>
    <w:rsid w:val="00913E2E"/>
    <w:rsid w:val="009208A8"/>
    <w:rsid w:val="00921E92"/>
    <w:rsid w:val="00931022"/>
    <w:rsid w:val="009375C4"/>
    <w:rsid w:val="00962CA2"/>
    <w:rsid w:val="00963F59"/>
    <w:rsid w:val="00966C58"/>
    <w:rsid w:val="0096758B"/>
    <w:rsid w:val="00980253"/>
    <w:rsid w:val="0098430D"/>
    <w:rsid w:val="00985AC4"/>
    <w:rsid w:val="00996026"/>
    <w:rsid w:val="00997B93"/>
    <w:rsid w:val="009B1809"/>
    <w:rsid w:val="009C1676"/>
    <w:rsid w:val="009C3900"/>
    <w:rsid w:val="009D5549"/>
    <w:rsid w:val="009F3D67"/>
    <w:rsid w:val="00A04022"/>
    <w:rsid w:val="00A10F0C"/>
    <w:rsid w:val="00A13108"/>
    <w:rsid w:val="00A245A8"/>
    <w:rsid w:val="00A255FD"/>
    <w:rsid w:val="00A33D24"/>
    <w:rsid w:val="00A35BE7"/>
    <w:rsid w:val="00A42259"/>
    <w:rsid w:val="00A44C22"/>
    <w:rsid w:val="00A6445C"/>
    <w:rsid w:val="00A82213"/>
    <w:rsid w:val="00A96E76"/>
    <w:rsid w:val="00AC3CB9"/>
    <w:rsid w:val="00AC3CE6"/>
    <w:rsid w:val="00AC504E"/>
    <w:rsid w:val="00AD66BA"/>
    <w:rsid w:val="00AD6895"/>
    <w:rsid w:val="00AD6D63"/>
    <w:rsid w:val="00AF1D5C"/>
    <w:rsid w:val="00B044A3"/>
    <w:rsid w:val="00B05D22"/>
    <w:rsid w:val="00B13B5D"/>
    <w:rsid w:val="00B14785"/>
    <w:rsid w:val="00B20171"/>
    <w:rsid w:val="00B276AF"/>
    <w:rsid w:val="00B33371"/>
    <w:rsid w:val="00B3744B"/>
    <w:rsid w:val="00B40719"/>
    <w:rsid w:val="00B45DFC"/>
    <w:rsid w:val="00B50F59"/>
    <w:rsid w:val="00B5559F"/>
    <w:rsid w:val="00B566EB"/>
    <w:rsid w:val="00B67AB9"/>
    <w:rsid w:val="00B75749"/>
    <w:rsid w:val="00B8658C"/>
    <w:rsid w:val="00B937CF"/>
    <w:rsid w:val="00B95D7C"/>
    <w:rsid w:val="00B96B67"/>
    <w:rsid w:val="00BB5FF2"/>
    <w:rsid w:val="00BC2DCC"/>
    <w:rsid w:val="00BC42E3"/>
    <w:rsid w:val="00BC4636"/>
    <w:rsid w:val="00BC4784"/>
    <w:rsid w:val="00BD0869"/>
    <w:rsid w:val="00BE1605"/>
    <w:rsid w:val="00BE29D2"/>
    <w:rsid w:val="00BF6297"/>
    <w:rsid w:val="00C1495A"/>
    <w:rsid w:val="00C16571"/>
    <w:rsid w:val="00C176DD"/>
    <w:rsid w:val="00C20D72"/>
    <w:rsid w:val="00C26ED2"/>
    <w:rsid w:val="00C32313"/>
    <w:rsid w:val="00C32E2E"/>
    <w:rsid w:val="00C33162"/>
    <w:rsid w:val="00C402A6"/>
    <w:rsid w:val="00C41B81"/>
    <w:rsid w:val="00C47747"/>
    <w:rsid w:val="00C52070"/>
    <w:rsid w:val="00C52118"/>
    <w:rsid w:val="00C626A0"/>
    <w:rsid w:val="00C626DB"/>
    <w:rsid w:val="00CC433B"/>
    <w:rsid w:val="00CD0FD6"/>
    <w:rsid w:val="00CE783B"/>
    <w:rsid w:val="00CF0FBF"/>
    <w:rsid w:val="00CF1BC5"/>
    <w:rsid w:val="00D048EA"/>
    <w:rsid w:val="00D10ED7"/>
    <w:rsid w:val="00D162FC"/>
    <w:rsid w:val="00D86EE5"/>
    <w:rsid w:val="00DA08AE"/>
    <w:rsid w:val="00DC2F35"/>
    <w:rsid w:val="00DE7913"/>
    <w:rsid w:val="00E0626B"/>
    <w:rsid w:val="00E136B8"/>
    <w:rsid w:val="00E33EFB"/>
    <w:rsid w:val="00E46831"/>
    <w:rsid w:val="00E524AE"/>
    <w:rsid w:val="00E730A2"/>
    <w:rsid w:val="00E854DA"/>
    <w:rsid w:val="00E8574D"/>
    <w:rsid w:val="00E91BED"/>
    <w:rsid w:val="00EC72F7"/>
    <w:rsid w:val="00EE3170"/>
    <w:rsid w:val="00EE5993"/>
    <w:rsid w:val="00EF3625"/>
    <w:rsid w:val="00F04A54"/>
    <w:rsid w:val="00F16BEA"/>
    <w:rsid w:val="00F2159B"/>
    <w:rsid w:val="00F22494"/>
    <w:rsid w:val="00F227D8"/>
    <w:rsid w:val="00F27244"/>
    <w:rsid w:val="00F407C1"/>
    <w:rsid w:val="00F41769"/>
    <w:rsid w:val="00F47BCB"/>
    <w:rsid w:val="00F55F64"/>
    <w:rsid w:val="00F721D6"/>
    <w:rsid w:val="00F74EC7"/>
    <w:rsid w:val="00F877E5"/>
    <w:rsid w:val="00F944D2"/>
    <w:rsid w:val="00FB03C7"/>
    <w:rsid w:val="00FD575D"/>
    <w:rsid w:val="00FE45B0"/>
    <w:rsid w:val="00FE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customStyle="1" w:styleId="HeaderChar">
    <w:name w:val="Header Char"/>
    <w:link w:val="Header"/>
    <w:rsid w:val="00692E3A"/>
    <w:rPr>
      <w:szCs w:val="24"/>
    </w:rPr>
  </w:style>
  <w:style w:type="paragraph" w:styleId="NoSpacing">
    <w:name w:val="No Spacing"/>
    <w:uiPriority w:val="1"/>
    <w:qFormat/>
    <w:rsid w:val="00692E3A"/>
    <w:rPr>
      <w:sz w:val="24"/>
      <w:szCs w:val="24"/>
    </w:rPr>
  </w:style>
  <w:style w:type="paragraph" w:styleId="BalloonText">
    <w:name w:val="Balloon Text"/>
    <w:basedOn w:val="Normal"/>
    <w:link w:val="BalloonTextChar"/>
    <w:rsid w:val="00F877E5"/>
    <w:rPr>
      <w:rFonts w:ascii="Tahoma" w:hAnsi="Tahoma"/>
      <w:sz w:val="16"/>
      <w:szCs w:val="16"/>
      <w:lang w:val="x-none" w:eastAsia="x-none"/>
    </w:rPr>
  </w:style>
  <w:style w:type="character" w:customStyle="1" w:styleId="BalloonTextChar">
    <w:name w:val="Balloon Text Char"/>
    <w:link w:val="BalloonText"/>
    <w:rsid w:val="00F877E5"/>
    <w:rPr>
      <w:rFonts w:ascii="Tahoma" w:hAnsi="Tahoma" w:cs="Tahoma"/>
      <w:sz w:val="16"/>
      <w:szCs w:val="16"/>
    </w:rPr>
  </w:style>
  <w:style w:type="character" w:styleId="Hyperlink">
    <w:name w:val="Hyperlink"/>
    <w:rsid w:val="00E136B8"/>
    <w:rPr>
      <w:color w:val="0000FF"/>
      <w:u w:val="single"/>
    </w:rPr>
  </w:style>
  <w:style w:type="paragraph" w:styleId="ListParagraph">
    <w:name w:val="List Paragraph"/>
    <w:basedOn w:val="Normal"/>
    <w:uiPriority w:val="34"/>
    <w:qFormat/>
    <w:rsid w:val="00AD66BA"/>
    <w:pPr>
      <w:ind w:left="720"/>
    </w:pPr>
  </w:style>
  <w:style w:type="paragraph" w:customStyle="1" w:styleId="Default">
    <w:name w:val="Default"/>
    <w:rsid w:val="00B95D7C"/>
    <w:pPr>
      <w:autoSpaceDE w:val="0"/>
      <w:autoSpaceDN w:val="0"/>
      <w:adjustRightInd w:val="0"/>
    </w:pPr>
    <w:rPr>
      <w:color w:val="000000"/>
      <w:sz w:val="24"/>
      <w:szCs w:val="24"/>
    </w:rPr>
  </w:style>
  <w:style w:type="character" w:styleId="CommentReference">
    <w:name w:val="annotation reference"/>
    <w:rsid w:val="00B33371"/>
    <w:rPr>
      <w:sz w:val="16"/>
      <w:szCs w:val="16"/>
    </w:rPr>
  </w:style>
  <w:style w:type="paragraph" w:styleId="CommentText">
    <w:name w:val="annotation text"/>
    <w:basedOn w:val="Normal"/>
    <w:link w:val="CommentTextChar"/>
    <w:rsid w:val="00B33371"/>
    <w:rPr>
      <w:szCs w:val="20"/>
    </w:rPr>
  </w:style>
  <w:style w:type="character" w:customStyle="1" w:styleId="CommentTextChar">
    <w:name w:val="Comment Text Char"/>
    <w:basedOn w:val="DefaultParagraphFont"/>
    <w:link w:val="CommentText"/>
    <w:rsid w:val="00B33371"/>
  </w:style>
  <w:style w:type="paragraph" w:styleId="CommentSubject">
    <w:name w:val="annotation subject"/>
    <w:basedOn w:val="CommentText"/>
    <w:next w:val="CommentText"/>
    <w:link w:val="CommentSubjectChar"/>
    <w:rsid w:val="00B33371"/>
    <w:rPr>
      <w:b/>
      <w:bCs/>
      <w:lang w:val="x-none" w:eastAsia="x-none"/>
    </w:rPr>
  </w:style>
  <w:style w:type="character" w:customStyle="1" w:styleId="CommentSubjectChar">
    <w:name w:val="Comment Subject Char"/>
    <w:link w:val="CommentSubject"/>
    <w:rsid w:val="00B33371"/>
    <w:rPr>
      <w:b/>
      <w:bCs/>
    </w:rPr>
  </w:style>
  <w:style w:type="table" w:styleId="TableGrid">
    <w:name w:val="Table Grid"/>
    <w:basedOn w:val="TableNormal"/>
    <w:rsid w:val="00E85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21E9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customStyle="1" w:styleId="HeaderChar">
    <w:name w:val="Header Char"/>
    <w:link w:val="Header"/>
    <w:rsid w:val="00692E3A"/>
    <w:rPr>
      <w:szCs w:val="24"/>
    </w:rPr>
  </w:style>
  <w:style w:type="paragraph" w:styleId="NoSpacing">
    <w:name w:val="No Spacing"/>
    <w:uiPriority w:val="1"/>
    <w:qFormat/>
    <w:rsid w:val="00692E3A"/>
    <w:rPr>
      <w:sz w:val="24"/>
      <w:szCs w:val="24"/>
    </w:rPr>
  </w:style>
  <w:style w:type="paragraph" w:styleId="BalloonText">
    <w:name w:val="Balloon Text"/>
    <w:basedOn w:val="Normal"/>
    <w:link w:val="BalloonTextChar"/>
    <w:rsid w:val="00F877E5"/>
    <w:rPr>
      <w:rFonts w:ascii="Tahoma" w:hAnsi="Tahoma"/>
      <w:sz w:val="16"/>
      <w:szCs w:val="16"/>
      <w:lang w:val="x-none" w:eastAsia="x-none"/>
    </w:rPr>
  </w:style>
  <w:style w:type="character" w:customStyle="1" w:styleId="BalloonTextChar">
    <w:name w:val="Balloon Text Char"/>
    <w:link w:val="BalloonText"/>
    <w:rsid w:val="00F877E5"/>
    <w:rPr>
      <w:rFonts w:ascii="Tahoma" w:hAnsi="Tahoma" w:cs="Tahoma"/>
      <w:sz w:val="16"/>
      <w:szCs w:val="16"/>
    </w:rPr>
  </w:style>
  <w:style w:type="character" w:styleId="Hyperlink">
    <w:name w:val="Hyperlink"/>
    <w:rsid w:val="00E136B8"/>
    <w:rPr>
      <w:color w:val="0000FF"/>
      <w:u w:val="single"/>
    </w:rPr>
  </w:style>
  <w:style w:type="paragraph" w:styleId="ListParagraph">
    <w:name w:val="List Paragraph"/>
    <w:basedOn w:val="Normal"/>
    <w:uiPriority w:val="34"/>
    <w:qFormat/>
    <w:rsid w:val="00AD66BA"/>
    <w:pPr>
      <w:ind w:left="720"/>
    </w:pPr>
  </w:style>
  <w:style w:type="paragraph" w:customStyle="1" w:styleId="Default">
    <w:name w:val="Default"/>
    <w:rsid w:val="00B95D7C"/>
    <w:pPr>
      <w:autoSpaceDE w:val="0"/>
      <w:autoSpaceDN w:val="0"/>
      <w:adjustRightInd w:val="0"/>
    </w:pPr>
    <w:rPr>
      <w:color w:val="000000"/>
      <w:sz w:val="24"/>
      <w:szCs w:val="24"/>
    </w:rPr>
  </w:style>
  <w:style w:type="character" w:styleId="CommentReference">
    <w:name w:val="annotation reference"/>
    <w:rsid w:val="00B33371"/>
    <w:rPr>
      <w:sz w:val="16"/>
      <w:szCs w:val="16"/>
    </w:rPr>
  </w:style>
  <w:style w:type="paragraph" w:styleId="CommentText">
    <w:name w:val="annotation text"/>
    <w:basedOn w:val="Normal"/>
    <w:link w:val="CommentTextChar"/>
    <w:rsid w:val="00B33371"/>
    <w:rPr>
      <w:szCs w:val="20"/>
    </w:rPr>
  </w:style>
  <w:style w:type="character" w:customStyle="1" w:styleId="CommentTextChar">
    <w:name w:val="Comment Text Char"/>
    <w:basedOn w:val="DefaultParagraphFont"/>
    <w:link w:val="CommentText"/>
    <w:rsid w:val="00B33371"/>
  </w:style>
  <w:style w:type="paragraph" w:styleId="CommentSubject">
    <w:name w:val="annotation subject"/>
    <w:basedOn w:val="CommentText"/>
    <w:next w:val="CommentText"/>
    <w:link w:val="CommentSubjectChar"/>
    <w:rsid w:val="00B33371"/>
    <w:rPr>
      <w:b/>
      <w:bCs/>
      <w:lang w:val="x-none" w:eastAsia="x-none"/>
    </w:rPr>
  </w:style>
  <w:style w:type="character" w:customStyle="1" w:styleId="CommentSubjectChar">
    <w:name w:val="Comment Subject Char"/>
    <w:link w:val="CommentSubject"/>
    <w:rsid w:val="00B33371"/>
    <w:rPr>
      <w:b/>
      <w:bCs/>
    </w:rPr>
  </w:style>
  <w:style w:type="table" w:styleId="TableGrid">
    <w:name w:val="Table Grid"/>
    <w:basedOn w:val="TableNormal"/>
    <w:rsid w:val="00E85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21E9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nley\Application%20Data\Microsoft\Templates\AG-WUTC%20Templates\DRResponse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2011-01-04T08:00:00+00:00</OpenedDate>
    <Date1 xmlns="dc463f71-b30c-4ab2-9473-d307f9d35888">2012-08-21T07:00:00+00:00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110054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AF541BA1A154CB1BD3E6CD891F4F4" ma:contentTypeVersion="143" ma:contentTypeDescription="" ma:contentTypeScope="" ma:versionID="37608c5e803661e0284a992effba8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E1D3-BFC0-4E46-8614-0193FB3BF85D}"/>
</file>

<file path=customXml/itemProps2.xml><?xml version="1.0" encoding="utf-8"?>
<ds:datastoreItem xmlns:ds="http://schemas.openxmlformats.org/officeDocument/2006/customXml" ds:itemID="{616C2F56-4CB6-456B-9BCC-C0545D43A4DA}"/>
</file>

<file path=customXml/itemProps3.xml><?xml version="1.0" encoding="utf-8"?>
<ds:datastoreItem xmlns:ds="http://schemas.openxmlformats.org/officeDocument/2006/customXml" ds:itemID="{0497FB75-76A4-412C-B24F-B871C84DBDF5}"/>
</file>

<file path=customXml/itemProps4.xml><?xml version="1.0" encoding="utf-8"?>
<ds:datastoreItem xmlns:ds="http://schemas.openxmlformats.org/officeDocument/2006/customXml" ds:itemID="{EBF58499-24AC-4153-B135-FF6829B76B41}"/>
</file>

<file path=customXml/itemProps5.xml><?xml version="1.0" encoding="utf-8"?>
<ds:datastoreItem xmlns:ds="http://schemas.openxmlformats.org/officeDocument/2006/customXml" ds:itemID="{74573B15-2033-4108-AF40-816786463683}"/>
</file>

<file path=customXml/itemProps6.xml><?xml version="1.0" encoding="utf-8"?>
<ds:datastoreItem xmlns:ds="http://schemas.openxmlformats.org/officeDocument/2006/customXml" ds:itemID="{5845E608-3BF0-48EC-B44D-78445AC2E66A}"/>
</file>

<file path=docProps/app.xml><?xml version="1.0" encoding="utf-8"?>
<Properties xmlns="http://schemas.openxmlformats.org/officeDocument/2006/extended-properties" xmlns:vt="http://schemas.openxmlformats.org/officeDocument/2006/docPropsVTypes">
  <Template>DRResponseformat.dot</Template>
  <TotalTime>1</TotalTime>
  <Pages>3</Pages>
  <Words>743</Words>
  <Characters>3871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REQUEST NO</vt:lpstr>
    </vt:vector>
  </TitlesOfParts>
  <Company>WUTC</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dc:title>
  <dc:creator>Krista Linley</dc:creator>
  <cp:lastModifiedBy>DeMarco, Betsy (UTC)</cp:lastModifiedBy>
  <cp:revision>2</cp:revision>
  <cp:lastPrinted>2012-08-03T18:13:00Z</cp:lastPrinted>
  <dcterms:created xsi:type="dcterms:W3CDTF">2012-08-21T23:19:00Z</dcterms:created>
  <dcterms:modified xsi:type="dcterms:W3CDTF">2012-08-21T23:19:00Z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0x0101006E56B4D1795A2E4DB2F0B01679ED314A001B6AF541BA1A154CB1BD3E6CD891F4F4</vt:lpwstr>
  </property>
  <property fmtid="{D5CDD505-2E9C-101B-9397-08002B2CF9AE}" pid="4" name="_docset_NoMedatataSyncRequired">
    <vt:lpwstr>False</vt:lpwstr>
  </property>
</Properties>
</file>