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21844" w14:textId="13D35A00" w:rsidR="00114071" w:rsidRPr="00114071" w:rsidRDefault="00114071" w:rsidP="00DE6E5B">
      <w:pPr>
        <w:spacing w:after="0" w:line="240" w:lineRule="auto"/>
        <w:rPr>
          <w:rFonts w:ascii="Times New Roman" w:eastAsia="Times New Roman" w:hAnsi="Times New Roman" w:cs="Times New Roman"/>
          <w:sz w:val="24"/>
          <w:szCs w:val="24"/>
        </w:rPr>
      </w:pPr>
      <w:bookmarkStart w:id="0" w:name="_GoBack"/>
      <w:bookmarkEnd w:id="0"/>
      <w:r w:rsidRPr="00114071">
        <w:rPr>
          <w:rFonts w:ascii="Times New Roman" w:eastAsia="Times New Roman" w:hAnsi="Times New Roman" w:cs="Times New Roman"/>
          <w:sz w:val="24"/>
          <w:szCs w:val="24"/>
        </w:rPr>
        <w:t>Agenda Date:</w:t>
      </w:r>
      <w:r w:rsidRPr="00114071">
        <w:rPr>
          <w:rFonts w:ascii="Times New Roman" w:eastAsia="Times New Roman" w:hAnsi="Times New Roman" w:cs="Times New Roman"/>
          <w:sz w:val="24"/>
          <w:szCs w:val="24"/>
        </w:rPr>
        <w:tab/>
      </w:r>
      <w:r w:rsidRPr="00114071">
        <w:rPr>
          <w:rFonts w:ascii="Times New Roman" w:eastAsia="Times New Roman" w:hAnsi="Times New Roman" w:cs="Times New Roman"/>
          <w:sz w:val="24"/>
          <w:szCs w:val="24"/>
        </w:rPr>
        <w:tab/>
      </w:r>
      <w:r w:rsidR="00EA02E4">
        <w:rPr>
          <w:rFonts w:ascii="Times New Roman" w:eastAsia="Times New Roman" w:hAnsi="Times New Roman" w:cs="Times New Roman"/>
          <w:sz w:val="24"/>
          <w:szCs w:val="24"/>
        </w:rPr>
        <w:t>July 27, 2017</w:t>
      </w:r>
    </w:p>
    <w:p w14:paraId="0FC9BBBA" w14:textId="2A1D59AA" w:rsidR="00114071" w:rsidRPr="00114071" w:rsidRDefault="00114071" w:rsidP="00DE6E5B">
      <w:pPr>
        <w:spacing w:after="0" w:line="240" w:lineRule="auto"/>
        <w:ind w:left="2160" w:hanging="2160"/>
        <w:rPr>
          <w:rFonts w:ascii="Times New Roman" w:eastAsia="Times New Roman" w:hAnsi="Times New Roman" w:cs="Times New Roman"/>
          <w:sz w:val="24"/>
          <w:szCs w:val="24"/>
        </w:rPr>
      </w:pPr>
      <w:r w:rsidRPr="00114071">
        <w:rPr>
          <w:rFonts w:ascii="Times New Roman" w:eastAsia="Times New Roman" w:hAnsi="Times New Roman" w:cs="Times New Roman"/>
          <w:sz w:val="24"/>
          <w:szCs w:val="24"/>
        </w:rPr>
        <w:t>Item Number:</w:t>
      </w:r>
      <w:r w:rsidRPr="00114071">
        <w:rPr>
          <w:rFonts w:ascii="Times New Roman" w:eastAsia="Times New Roman" w:hAnsi="Times New Roman" w:cs="Times New Roman"/>
          <w:sz w:val="24"/>
          <w:szCs w:val="24"/>
        </w:rPr>
        <w:tab/>
      </w:r>
      <w:r w:rsidR="00624C40" w:rsidRPr="00CA2D57">
        <w:rPr>
          <w:rFonts w:ascii="Times New Roman" w:eastAsia="Times New Roman" w:hAnsi="Times New Roman" w:cs="Times New Roman"/>
          <w:sz w:val="24"/>
          <w:szCs w:val="24"/>
        </w:rPr>
        <w:t>A</w:t>
      </w:r>
      <w:r w:rsidR="001D0106">
        <w:rPr>
          <w:rFonts w:ascii="Times New Roman" w:eastAsia="Times New Roman" w:hAnsi="Times New Roman" w:cs="Times New Roman"/>
          <w:sz w:val="24"/>
          <w:szCs w:val="24"/>
        </w:rPr>
        <w:t>3</w:t>
      </w:r>
    </w:p>
    <w:p w14:paraId="49338BF0" w14:textId="77777777" w:rsidR="00114071" w:rsidRPr="00114071" w:rsidRDefault="00114071" w:rsidP="00DE6E5B">
      <w:pPr>
        <w:spacing w:after="0" w:line="240" w:lineRule="auto"/>
        <w:rPr>
          <w:rFonts w:ascii="Times New Roman" w:eastAsia="Times New Roman" w:hAnsi="Times New Roman" w:cs="Times New Roman"/>
          <w:sz w:val="24"/>
          <w:szCs w:val="24"/>
        </w:rPr>
      </w:pPr>
    </w:p>
    <w:p w14:paraId="598C46F5" w14:textId="41E91CF3" w:rsidR="00114071" w:rsidRPr="00114071" w:rsidRDefault="00114071" w:rsidP="00DE6E5B">
      <w:pPr>
        <w:spacing w:after="0" w:line="240" w:lineRule="auto"/>
        <w:rPr>
          <w:rFonts w:ascii="Times New Roman" w:eastAsia="Times New Roman" w:hAnsi="Times New Roman" w:cs="Times New Roman"/>
          <w:b/>
          <w:bCs/>
          <w:sz w:val="24"/>
          <w:szCs w:val="24"/>
        </w:rPr>
      </w:pPr>
      <w:r w:rsidRPr="00114071">
        <w:rPr>
          <w:rFonts w:ascii="Times New Roman" w:eastAsia="Times New Roman" w:hAnsi="Times New Roman" w:cs="Times New Roman"/>
          <w:b/>
          <w:bCs/>
          <w:sz w:val="24"/>
          <w:szCs w:val="24"/>
        </w:rPr>
        <w:t>Docket:</w:t>
      </w:r>
      <w:r w:rsidRPr="00114071">
        <w:rPr>
          <w:rFonts w:ascii="Times New Roman" w:eastAsia="Times New Roman" w:hAnsi="Times New Roman" w:cs="Times New Roman"/>
          <w:b/>
          <w:bCs/>
          <w:sz w:val="24"/>
          <w:szCs w:val="24"/>
        </w:rPr>
        <w:tab/>
      </w:r>
      <w:r w:rsidRPr="00114071">
        <w:rPr>
          <w:rFonts w:ascii="Times New Roman" w:eastAsia="Times New Roman" w:hAnsi="Times New Roman" w:cs="Times New Roman"/>
          <w:b/>
          <w:bCs/>
          <w:sz w:val="24"/>
          <w:szCs w:val="24"/>
        </w:rPr>
        <w:tab/>
        <w:t>UE-</w:t>
      </w:r>
      <w:r w:rsidR="00EA02E4">
        <w:rPr>
          <w:rFonts w:ascii="Times New Roman" w:eastAsia="Times New Roman" w:hAnsi="Times New Roman" w:cs="Times New Roman"/>
          <w:b/>
          <w:bCs/>
          <w:sz w:val="24"/>
          <w:szCs w:val="24"/>
        </w:rPr>
        <w:t>170678</w:t>
      </w:r>
    </w:p>
    <w:p w14:paraId="758B1DDC" w14:textId="77777777" w:rsidR="00114071" w:rsidRPr="00114071" w:rsidRDefault="00114071" w:rsidP="00DE6E5B">
      <w:pPr>
        <w:spacing w:after="0" w:line="240" w:lineRule="auto"/>
        <w:rPr>
          <w:rFonts w:ascii="Times New Roman" w:eastAsia="Times New Roman" w:hAnsi="Times New Roman" w:cs="Times New Roman"/>
          <w:sz w:val="24"/>
          <w:szCs w:val="24"/>
        </w:rPr>
      </w:pPr>
      <w:r w:rsidRPr="00114071">
        <w:rPr>
          <w:rFonts w:ascii="Times New Roman" w:eastAsia="Times New Roman" w:hAnsi="Times New Roman" w:cs="Times New Roman"/>
          <w:sz w:val="24"/>
          <w:szCs w:val="24"/>
        </w:rPr>
        <w:t>Company:</w:t>
      </w:r>
      <w:r w:rsidRPr="00114071">
        <w:rPr>
          <w:rFonts w:ascii="Times New Roman" w:eastAsia="Times New Roman" w:hAnsi="Times New Roman" w:cs="Times New Roman"/>
          <w:sz w:val="24"/>
          <w:szCs w:val="24"/>
        </w:rPr>
        <w:tab/>
      </w:r>
      <w:r w:rsidRPr="00114071">
        <w:rPr>
          <w:rFonts w:ascii="Times New Roman" w:eastAsia="Times New Roman" w:hAnsi="Times New Roman" w:cs="Times New Roman"/>
          <w:sz w:val="24"/>
          <w:szCs w:val="24"/>
        </w:rPr>
        <w:tab/>
      </w:r>
      <w:r w:rsidR="00913907">
        <w:rPr>
          <w:rFonts w:ascii="Times New Roman" w:eastAsia="Times New Roman" w:hAnsi="Times New Roman" w:cs="Times New Roman"/>
          <w:sz w:val="24"/>
          <w:szCs w:val="24"/>
        </w:rPr>
        <w:t>Pacific Power &amp; Light Company</w:t>
      </w:r>
    </w:p>
    <w:p w14:paraId="75058099" w14:textId="77777777" w:rsidR="00114071" w:rsidRPr="00114071" w:rsidRDefault="00114071" w:rsidP="00DE6E5B">
      <w:pPr>
        <w:spacing w:after="0" w:line="240" w:lineRule="auto"/>
        <w:rPr>
          <w:rFonts w:ascii="Times New Roman" w:eastAsia="Times New Roman" w:hAnsi="Times New Roman" w:cs="Times New Roman"/>
          <w:sz w:val="24"/>
          <w:szCs w:val="24"/>
        </w:rPr>
      </w:pPr>
    </w:p>
    <w:p w14:paraId="6F235B33" w14:textId="0AE3E855" w:rsidR="00114071" w:rsidRDefault="00114071" w:rsidP="00DE6E5B">
      <w:pPr>
        <w:spacing w:after="0" w:line="240" w:lineRule="auto"/>
        <w:rPr>
          <w:rFonts w:ascii="Times New Roman" w:eastAsia="Times New Roman" w:hAnsi="Times New Roman" w:cs="Times New Roman"/>
          <w:sz w:val="24"/>
          <w:szCs w:val="24"/>
        </w:rPr>
      </w:pPr>
      <w:r w:rsidRPr="00114071">
        <w:rPr>
          <w:rFonts w:ascii="Times New Roman" w:eastAsia="Times New Roman" w:hAnsi="Times New Roman" w:cs="Times New Roman"/>
          <w:sz w:val="24"/>
          <w:szCs w:val="24"/>
        </w:rPr>
        <w:t>Staff:</w:t>
      </w:r>
      <w:r w:rsidRPr="00114071">
        <w:rPr>
          <w:rFonts w:ascii="Times New Roman" w:eastAsia="Times New Roman" w:hAnsi="Times New Roman" w:cs="Times New Roman"/>
          <w:sz w:val="24"/>
          <w:szCs w:val="24"/>
        </w:rPr>
        <w:tab/>
      </w:r>
      <w:r w:rsidRPr="00114071">
        <w:rPr>
          <w:rFonts w:ascii="Times New Roman" w:eastAsia="Times New Roman" w:hAnsi="Times New Roman" w:cs="Times New Roman"/>
          <w:sz w:val="24"/>
          <w:szCs w:val="24"/>
        </w:rPr>
        <w:tab/>
      </w:r>
      <w:r w:rsidRPr="00114071">
        <w:rPr>
          <w:rFonts w:ascii="Times New Roman" w:eastAsia="Times New Roman" w:hAnsi="Times New Roman" w:cs="Times New Roman"/>
          <w:sz w:val="24"/>
          <w:szCs w:val="24"/>
        </w:rPr>
        <w:tab/>
      </w:r>
      <w:r w:rsidR="00EA02E4">
        <w:rPr>
          <w:rFonts w:ascii="Times New Roman" w:eastAsia="Times New Roman" w:hAnsi="Times New Roman" w:cs="Times New Roman"/>
          <w:sz w:val="24"/>
          <w:szCs w:val="24"/>
        </w:rPr>
        <w:t>Kyle Frankiewich</w:t>
      </w:r>
      <w:r w:rsidRPr="00114071">
        <w:rPr>
          <w:rFonts w:ascii="Times New Roman" w:eastAsia="Times New Roman" w:hAnsi="Times New Roman" w:cs="Times New Roman"/>
          <w:sz w:val="24"/>
          <w:szCs w:val="24"/>
        </w:rPr>
        <w:t>, Regulatory Analyst</w:t>
      </w:r>
    </w:p>
    <w:p w14:paraId="494D1AF6" w14:textId="4DF8F9FF" w:rsidR="00057823" w:rsidRPr="00114071" w:rsidRDefault="00057823" w:rsidP="00DE6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Andrew Roberts, Regulatory Analyst</w:t>
      </w:r>
    </w:p>
    <w:p w14:paraId="3A6EA9D7" w14:textId="77777777" w:rsidR="00114071" w:rsidRPr="00114071" w:rsidRDefault="00114071" w:rsidP="00DE6E5B">
      <w:pPr>
        <w:spacing w:after="0" w:line="240" w:lineRule="auto"/>
        <w:rPr>
          <w:rFonts w:ascii="Times New Roman" w:eastAsia="Times New Roman" w:hAnsi="Times New Roman" w:cs="Times New Roman"/>
          <w:sz w:val="24"/>
          <w:szCs w:val="24"/>
        </w:rPr>
      </w:pPr>
    </w:p>
    <w:p w14:paraId="42766FC0" w14:textId="77777777" w:rsidR="00114071" w:rsidRPr="00114071" w:rsidRDefault="00114071" w:rsidP="00DE6E5B">
      <w:pPr>
        <w:spacing w:after="0" w:line="240" w:lineRule="auto"/>
        <w:rPr>
          <w:rFonts w:ascii="Times New Roman" w:eastAsia="Times New Roman" w:hAnsi="Times New Roman" w:cs="Times New Roman"/>
          <w:b/>
          <w:bCs/>
          <w:sz w:val="24"/>
          <w:szCs w:val="24"/>
          <w:u w:val="single"/>
        </w:rPr>
      </w:pPr>
      <w:r w:rsidRPr="00114071">
        <w:rPr>
          <w:rFonts w:ascii="Times New Roman" w:eastAsia="Times New Roman" w:hAnsi="Times New Roman" w:cs="Times New Roman"/>
          <w:b/>
          <w:bCs/>
          <w:sz w:val="24"/>
          <w:szCs w:val="24"/>
          <w:u w:val="single"/>
        </w:rPr>
        <w:t>Recommendation</w:t>
      </w:r>
    </w:p>
    <w:p w14:paraId="54AA0000" w14:textId="77777777" w:rsidR="00114071" w:rsidRPr="00114071" w:rsidRDefault="00114071" w:rsidP="00DE6E5B">
      <w:pPr>
        <w:spacing w:after="0" w:line="240" w:lineRule="auto"/>
        <w:rPr>
          <w:rFonts w:ascii="Times New Roman" w:eastAsia="Times New Roman" w:hAnsi="Times New Roman" w:cs="Times New Roman"/>
          <w:sz w:val="24"/>
          <w:szCs w:val="24"/>
        </w:rPr>
      </w:pPr>
    </w:p>
    <w:p w14:paraId="18CEE561" w14:textId="65762348" w:rsidR="00114071" w:rsidRPr="00114071" w:rsidRDefault="00114071" w:rsidP="00DE6E5B">
      <w:pPr>
        <w:spacing w:after="0" w:line="240" w:lineRule="auto"/>
        <w:rPr>
          <w:rFonts w:ascii="Times New Roman" w:eastAsia="Times New Roman" w:hAnsi="Times New Roman" w:cs="Times New Roman"/>
          <w:sz w:val="24"/>
          <w:szCs w:val="24"/>
        </w:rPr>
      </w:pPr>
      <w:r w:rsidRPr="00114071">
        <w:rPr>
          <w:rFonts w:ascii="Times New Roman" w:eastAsia="Times New Roman" w:hAnsi="Times New Roman" w:cs="Times New Roman"/>
          <w:sz w:val="24"/>
          <w:szCs w:val="24"/>
        </w:rPr>
        <w:t xml:space="preserve">Take no action, thereby allowing the tariff </w:t>
      </w:r>
      <w:r w:rsidR="008818F8" w:rsidRPr="008818F8">
        <w:rPr>
          <w:rFonts w:ascii="Times New Roman" w:eastAsia="Times New Roman" w:hAnsi="Times New Roman" w:cs="Times New Roman"/>
          <w:sz w:val="24"/>
          <w:szCs w:val="24"/>
        </w:rPr>
        <w:t xml:space="preserve">pages filed </w:t>
      </w:r>
      <w:r w:rsidRPr="00114071">
        <w:rPr>
          <w:rFonts w:ascii="Times New Roman" w:eastAsia="Times New Roman" w:hAnsi="Times New Roman" w:cs="Times New Roman"/>
          <w:sz w:val="24"/>
          <w:szCs w:val="24"/>
        </w:rPr>
        <w:t xml:space="preserve">by </w:t>
      </w:r>
      <w:r w:rsidR="00913907" w:rsidRPr="00913907">
        <w:rPr>
          <w:rFonts w:ascii="Times New Roman" w:eastAsia="Times New Roman" w:hAnsi="Times New Roman" w:cs="Times New Roman"/>
          <w:sz w:val="24"/>
          <w:szCs w:val="24"/>
        </w:rPr>
        <w:t xml:space="preserve">Pacific Power &amp; Light Company </w:t>
      </w:r>
      <w:r w:rsidRPr="00114071">
        <w:rPr>
          <w:rFonts w:ascii="Times New Roman" w:eastAsia="Times New Roman" w:hAnsi="Times New Roman" w:cs="Times New Roman"/>
          <w:sz w:val="24"/>
          <w:szCs w:val="24"/>
        </w:rPr>
        <w:t>in Docket UE-</w:t>
      </w:r>
      <w:r w:rsidR="00EA02E4">
        <w:rPr>
          <w:rFonts w:ascii="Times New Roman" w:eastAsia="Times New Roman" w:hAnsi="Times New Roman" w:cs="Times New Roman"/>
          <w:sz w:val="24"/>
          <w:szCs w:val="24"/>
        </w:rPr>
        <w:t xml:space="preserve">170678 </w:t>
      </w:r>
      <w:r w:rsidRPr="00114071">
        <w:rPr>
          <w:rFonts w:ascii="Times New Roman" w:eastAsia="Times New Roman" w:hAnsi="Times New Roman" w:cs="Times New Roman"/>
          <w:sz w:val="24"/>
          <w:szCs w:val="24"/>
        </w:rPr>
        <w:t xml:space="preserve">to become effective on </w:t>
      </w:r>
      <w:r w:rsidR="00913907">
        <w:rPr>
          <w:rFonts w:ascii="Times New Roman" w:eastAsia="Times New Roman" w:hAnsi="Times New Roman" w:cs="Times New Roman"/>
          <w:sz w:val="24"/>
          <w:szCs w:val="24"/>
        </w:rPr>
        <w:t xml:space="preserve">August </w:t>
      </w:r>
      <w:r w:rsidR="00EA02E4">
        <w:rPr>
          <w:rFonts w:ascii="Times New Roman" w:eastAsia="Times New Roman" w:hAnsi="Times New Roman" w:cs="Times New Roman"/>
          <w:sz w:val="24"/>
          <w:szCs w:val="24"/>
        </w:rPr>
        <w:t>1, 2017, by operation of law.</w:t>
      </w:r>
    </w:p>
    <w:p w14:paraId="54428ADC" w14:textId="77777777" w:rsidR="00114071" w:rsidRPr="00114071" w:rsidRDefault="00114071" w:rsidP="00DE6E5B">
      <w:pPr>
        <w:spacing w:after="0" w:line="240" w:lineRule="auto"/>
        <w:rPr>
          <w:rFonts w:ascii="Times New Roman" w:eastAsia="Times New Roman" w:hAnsi="Times New Roman" w:cs="Times New Roman"/>
          <w:sz w:val="24"/>
          <w:szCs w:val="24"/>
        </w:rPr>
      </w:pPr>
    </w:p>
    <w:p w14:paraId="17D604D9" w14:textId="77777777" w:rsidR="00114071" w:rsidRPr="00114071" w:rsidRDefault="00114071" w:rsidP="00DE6E5B">
      <w:pPr>
        <w:spacing w:after="0" w:line="240" w:lineRule="auto"/>
        <w:rPr>
          <w:rFonts w:ascii="Times New Roman" w:eastAsia="Times New Roman" w:hAnsi="Times New Roman" w:cs="Times New Roman"/>
          <w:b/>
          <w:sz w:val="24"/>
          <w:szCs w:val="24"/>
          <w:u w:val="single"/>
        </w:rPr>
      </w:pPr>
      <w:r w:rsidRPr="00114071">
        <w:rPr>
          <w:rFonts w:ascii="Times New Roman" w:eastAsia="Times New Roman" w:hAnsi="Times New Roman" w:cs="Times New Roman"/>
          <w:b/>
          <w:sz w:val="24"/>
          <w:szCs w:val="24"/>
          <w:u w:val="single"/>
        </w:rPr>
        <w:t>Background</w:t>
      </w:r>
    </w:p>
    <w:p w14:paraId="0884B407" w14:textId="77777777" w:rsidR="00114071" w:rsidRPr="00114071" w:rsidRDefault="00114071" w:rsidP="00DE6E5B">
      <w:pPr>
        <w:spacing w:after="0" w:line="240" w:lineRule="auto"/>
        <w:rPr>
          <w:rFonts w:ascii="Times New Roman" w:eastAsia="Times New Roman" w:hAnsi="Times New Roman" w:cs="Times New Roman"/>
          <w:sz w:val="24"/>
          <w:szCs w:val="24"/>
        </w:rPr>
      </w:pPr>
    </w:p>
    <w:p w14:paraId="65FB370C" w14:textId="6593ACE4" w:rsidR="008818F8" w:rsidRPr="0013223F" w:rsidRDefault="008818F8" w:rsidP="00DE6E5B">
      <w:pPr>
        <w:spacing w:after="0"/>
      </w:pPr>
      <w:r w:rsidRPr="00CA2D57">
        <w:rPr>
          <w:rFonts w:ascii="Times New Roman" w:hAnsi="Times New Roman" w:cs="Times New Roman"/>
          <w:sz w:val="24"/>
          <w:szCs w:val="24"/>
        </w:rPr>
        <w:t xml:space="preserve">On </w:t>
      </w:r>
      <w:r w:rsidR="0013223F">
        <w:rPr>
          <w:rFonts w:ascii="Times New Roman" w:hAnsi="Times New Roman" w:cs="Times New Roman"/>
          <w:sz w:val="24"/>
          <w:szCs w:val="24"/>
        </w:rPr>
        <w:t>March 13</w:t>
      </w:r>
      <w:r w:rsidRPr="00CA2D57">
        <w:rPr>
          <w:rFonts w:ascii="Times New Roman" w:hAnsi="Times New Roman" w:cs="Times New Roman"/>
          <w:sz w:val="24"/>
          <w:szCs w:val="24"/>
        </w:rPr>
        <w:t>, 201</w:t>
      </w:r>
      <w:r w:rsidR="0013223F">
        <w:rPr>
          <w:rFonts w:ascii="Times New Roman" w:hAnsi="Times New Roman" w:cs="Times New Roman"/>
          <w:sz w:val="24"/>
          <w:szCs w:val="24"/>
        </w:rPr>
        <w:t>5</w:t>
      </w:r>
      <w:r w:rsidRPr="00CA2D57">
        <w:rPr>
          <w:rFonts w:ascii="Times New Roman" w:hAnsi="Times New Roman" w:cs="Times New Roman"/>
          <w:sz w:val="24"/>
          <w:szCs w:val="24"/>
        </w:rPr>
        <w:t xml:space="preserve">, the Washington Utilities and Transportation Commission (commission) </w:t>
      </w:r>
      <w:r w:rsidR="0013223F">
        <w:rPr>
          <w:rFonts w:ascii="Times New Roman" w:hAnsi="Times New Roman" w:cs="Times New Roman"/>
          <w:sz w:val="24"/>
          <w:szCs w:val="24"/>
        </w:rPr>
        <w:t>codified the requirement that each utility</w:t>
      </w:r>
      <w:r w:rsidR="0013223F" w:rsidRPr="00CA2D57">
        <w:rPr>
          <w:rFonts w:ascii="Times New Roman" w:hAnsi="Times New Roman" w:cs="Times New Roman"/>
          <w:sz w:val="24"/>
          <w:szCs w:val="24"/>
        </w:rPr>
        <w:t xml:space="preserve"> make an annual tariff filing to recover the costs associated with its conservation programs</w:t>
      </w:r>
      <w:r w:rsidR="0013223F">
        <w:rPr>
          <w:rFonts w:ascii="Times New Roman" w:hAnsi="Times New Roman" w:cs="Times New Roman"/>
          <w:sz w:val="24"/>
          <w:szCs w:val="24"/>
        </w:rPr>
        <w:t xml:space="preserve"> in WAC 480-109-130.</w:t>
      </w:r>
      <w:r w:rsidR="0013223F">
        <w:t xml:space="preserve"> </w:t>
      </w:r>
      <w:r w:rsidR="00CA2D57" w:rsidRPr="00CA2D57">
        <w:rPr>
          <w:rFonts w:ascii="Times New Roman" w:hAnsi="Times New Roman" w:cs="Times New Roman"/>
          <w:sz w:val="24"/>
          <w:szCs w:val="24"/>
        </w:rPr>
        <w:t>The 2016</w:t>
      </w:r>
      <w:r w:rsidR="00EA02E4">
        <w:rPr>
          <w:rFonts w:ascii="Times New Roman" w:hAnsi="Times New Roman" w:cs="Times New Roman"/>
          <w:sz w:val="24"/>
          <w:szCs w:val="24"/>
        </w:rPr>
        <w:t>-2017</w:t>
      </w:r>
      <w:r w:rsidR="00CA2D57" w:rsidRPr="00CA2D57">
        <w:rPr>
          <w:rFonts w:ascii="Times New Roman" w:hAnsi="Times New Roman" w:cs="Times New Roman"/>
          <w:sz w:val="24"/>
          <w:szCs w:val="24"/>
        </w:rPr>
        <w:t xml:space="preserve"> conservation budget and target </w:t>
      </w:r>
      <w:r w:rsidR="0013223F" w:rsidRPr="0013223F">
        <w:rPr>
          <w:rFonts w:ascii="Times New Roman" w:hAnsi="Times New Roman" w:cs="Times New Roman"/>
          <w:sz w:val="24"/>
          <w:szCs w:val="24"/>
        </w:rPr>
        <w:t xml:space="preserve">for Pacific Power and Light Company (Pacific Power or company) </w:t>
      </w:r>
      <w:r w:rsidR="00CA2D57" w:rsidRPr="00CA2D57">
        <w:rPr>
          <w:rFonts w:ascii="Times New Roman" w:hAnsi="Times New Roman" w:cs="Times New Roman"/>
          <w:sz w:val="24"/>
          <w:szCs w:val="24"/>
        </w:rPr>
        <w:t>were reviewed by the Washington Demand-Side Management Advisory Grou</w:t>
      </w:r>
      <w:r w:rsidR="00CA2D57">
        <w:rPr>
          <w:rFonts w:ascii="Times New Roman" w:hAnsi="Times New Roman" w:cs="Times New Roman"/>
          <w:sz w:val="24"/>
          <w:szCs w:val="24"/>
        </w:rPr>
        <w:t>p</w:t>
      </w:r>
      <w:r w:rsidR="00CA2D57" w:rsidRPr="00CA2D57">
        <w:rPr>
          <w:rFonts w:ascii="Times New Roman" w:hAnsi="Times New Roman" w:cs="Times New Roman"/>
          <w:sz w:val="24"/>
          <w:szCs w:val="24"/>
        </w:rPr>
        <w:t xml:space="preserve"> and acknowledged by the commission at the December 17, 2015, open meeting.</w:t>
      </w:r>
      <w:r w:rsidR="00CA2D57" w:rsidRPr="00CA2D57">
        <w:rPr>
          <w:rStyle w:val="FootnoteReference"/>
          <w:rFonts w:ascii="Times New Roman" w:hAnsi="Times New Roman" w:cs="Times New Roman"/>
          <w:sz w:val="24"/>
          <w:szCs w:val="24"/>
        </w:rPr>
        <w:footnoteReference w:id="2"/>
      </w:r>
      <w:r w:rsidR="00EA02E4">
        <w:rPr>
          <w:rFonts w:ascii="Times New Roman" w:hAnsi="Times New Roman" w:cs="Times New Roman"/>
          <w:sz w:val="24"/>
          <w:szCs w:val="24"/>
        </w:rPr>
        <w:t xml:space="preserve"> The company’s 2017 Annual Cons</w:t>
      </w:r>
      <w:r w:rsidR="00E14733">
        <w:rPr>
          <w:rFonts w:ascii="Times New Roman" w:hAnsi="Times New Roman" w:cs="Times New Roman"/>
          <w:sz w:val="24"/>
          <w:szCs w:val="24"/>
        </w:rPr>
        <w:t>ervation Plan was reviewed by the commission at the January 26, 2017</w:t>
      </w:r>
      <w:r w:rsidR="00EB7C83">
        <w:rPr>
          <w:rFonts w:ascii="Times New Roman" w:hAnsi="Times New Roman" w:cs="Times New Roman"/>
          <w:sz w:val="24"/>
          <w:szCs w:val="24"/>
        </w:rPr>
        <w:t>,</w:t>
      </w:r>
      <w:r w:rsidR="00E14733">
        <w:rPr>
          <w:rFonts w:ascii="Times New Roman" w:hAnsi="Times New Roman" w:cs="Times New Roman"/>
          <w:sz w:val="24"/>
          <w:szCs w:val="24"/>
        </w:rPr>
        <w:t xml:space="preserve"> open meeting</w:t>
      </w:r>
      <w:r w:rsidR="00EA02E4">
        <w:rPr>
          <w:rFonts w:ascii="Times New Roman" w:hAnsi="Times New Roman" w:cs="Times New Roman"/>
          <w:sz w:val="24"/>
          <w:szCs w:val="24"/>
        </w:rPr>
        <w:t>.</w:t>
      </w:r>
    </w:p>
    <w:p w14:paraId="7208F53F" w14:textId="77777777" w:rsidR="00DE6E5B" w:rsidRDefault="00DE6E5B" w:rsidP="00DE6E5B">
      <w:pPr>
        <w:spacing w:after="0"/>
        <w:rPr>
          <w:rFonts w:ascii="Times New Roman" w:hAnsi="Times New Roman" w:cs="Times New Roman"/>
          <w:sz w:val="24"/>
          <w:szCs w:val="24"/>
        </w:rPr>
      </w:pPr>
    </w:p>
    <w:p w14:paraId="3A0F6B47" w14:textId="7E77A5E3" w:rsidR="00114071" w:rsidRPr="00EA02E4" w:rsidRDefault="00EA02E4" w:rsidP="00DE6E5B">
      <w:pPr>
        <w:spacing w:after="0"/>
        <w:rPr>
          <w:rFonts w:ascii="Times New Roman" w:hAnsi="Times New Roman" w:cs="Times New Roman"/>
          <w:color w:val="ED7D31" w:themeColor="accent2"/>
          <w:sz w:val="24"/>
          <w:szCs w:val="24"/>
        </w:rPr>
      </w:pPr>
      <w:r>
        <w:rPr>
          <w:rFonts w:ascii="Times New Roman" w:hAnsi="Times New Roman" w:cs="Times New Roman"/>
          <w:sz w:val="24"/>
          <w:szCs w:val="24"/>
        </w:rPr>
        <w:t>On June 1, 2017</w:t>
      </w:r>
      <w:r w:rsidR="008818F8">
        <w:rPr>
          <w:rFonts w:ascii="Times New Roman" w:hAnsi="Times New Roman" w:cs="Times New Roman"/>
          <w:sz w:val="24"/>
          <w:szCs w:val="24"/>
        </w:rPr>
        <w:t xml:space="preserve">, Pacific Power filed a tariff revision that would increase rates for Schedule 191, which is the System Benefit Charge tariff that funds the company’s conservation programs. The </w:t>
      </w:r>
      <w:r w:rsidR="008818F8" w:rsidRPr="008818F8">
        <w:rPr>
          <w:rFonts w:ascii="Times New Roman" w:hAnsi="Times New Roman" w:cs="Times New Roman"/>
          <w:sz w:val="24"/>
          <w:szCs w:val="24"/>
        </w:rPr>
        <w:t>company’s proposed changes would increase revenue by about $</w:t>
      </w:r>
      <w:r>
        <w:rPr>
          <w:rFonts w:ascii="Times New Roman" w:hAnsi="Times New Roman" w:cs="Times New Roman"/>
          <w:sz w:val="24"/>
          <w:szCs w:val="24"/>
        </w:rPr>
        <w:t>1</w:t>
      </w:r>
      <w:r w:rsidR="008818F8" w:rsidRPr="008818F8">
        <w:rPr>
          <w:rFonts w:ascii="Times New Roman" w:hAnsi="Times New Roman" w:cs="Times New Roman"/>
          <w:sz w:val="24"/>
          <w:szCs w:val="24"/>
        </w:rPr>
        <w:t xml:space="preserve">.0 million over the next year, which represents </w:t>
      </w:r>
      <w:r w:rsidR="008818F8" w:rsidRPr="00AD35BF">
        <w:rPr>
          <w:rFonts w:ascii="Times New Roman" w:hAnsi="Times New Roman" w:cs="Times New Roman"/>
          <w:sz w:val="24"/>
          <w:szCs w:val="24"/>
        </w:rPr>
        <w:t>a 0.</w:t>
      </w:r>
      <w:r>
        <w:rPr>
          <w:rFonts w:ascii="Times New Roman" w:hAnsi="Times New Roman" w:cs="Times New Roman"/>
          <w:sz w:val="24"/>
          <w:szCs w:val="24"/>
        </w:rPr>
        <w:t>3</w:t>
      </w:r>
      <w:r w:rsidR="008818F8" w:rsidRPr="00AD35BF">
        <w:rPr>
          <w:rFonts w:ascii="Times New Roman" w:hAnsi="Times New Roman" w:cs="Times New Roman"/>
          <w:sz w:val="24"/>
          <w:szCs w:val="24"/>
        </w:rPr>
        <w:t xml:space="preserve"> percent increase</w:t>
      </w:r>
      <w:r w:rsidR="008818F8" w:rsidRPr="008818F8">
        <w:rPr>
          <w:rFonts w:ascii="Times New Roman" w:hAnsi="Times New Roman" w:cs="Times New Roman"/>
          <w:sz w:val="24"/>
          <w:szCs w:val="24"/>
        </w:rPr>
        <w:t xml:space="preserve">. If approved, the tariff would increase the monthly bill of the average residential customer using 1,200 kilowatt-hours per month by </w:t>
      </w:r>
      <w:r>
        <w:rPr>
          <w:rFonts w:ascii="Times New Roman" w:hAnsi="Times New Roman" w:cs="Times New Roman"/>
          <w:sz w:val="24"/>
          <w:szCs w:val="24"/>
        </w:rPr>
        <w:t>32</w:t>
      </w:r>
      <w:r w:rsidR="008818F8" w:rsidRPr="008818F8">
        <w:rPr>
          <w:rFonts w:ascii="Times New Roman" w:hAnsi="Times New Roman" w:cs="Times New Roman"/>
          <w:sz w:val="24"/>
          <w:szCs w:val="24"/>
        </w:rPr>
        <w:t xml:space="preserve"> cents. </w:t>
      </w:r>
    </w:p>
    <w:p w14:paraId="098FF079" w14:textId="77777777" w:rsidR="00DE6E5B" w:rsidRDefault="00DE6E5B" w:rsidP="00DE6E5B">
      <w:pPr>
        <w:spacing w:after="0" w:line="240" w:lineRule="auto"/>
        <w:rPr>
          <w:rFonts w:ascii="Times New Roman" w:eastAsia="Times New Roman" w:hAnsi="Times New Roman" w:cs="Times New Roman"/>
          <w:b/>
          <w:sz w:val="24"/>
          <w:szCs w:val="24"/>
          <w:u w:val="single"/>
        </w:rPr>
      </w:pPr>
    </w:p>
    <w:p w14:paraId="7C93495F" w14:textId="77777777" w:rsidR="00114071" w:rsidRPr="007105A4" w:rsidRDefault="00114071" w:rsidP="00DE6E5B">
      <w:pPr>
        <w:spacing w:after="0" w:line="240" w:lineRule="auto"/>
        <w:rPr>
          <w:rFonts w:ascii="Times New Roman" w:eastAsia="Times New Roman" w:hAnsi="Times New Roman" w:cs="Times New Roman"/>
          <w:sz w:val="24"/>
          <w:szCs w:val="24"/>
        </w:rPr>
      </w:pPr>
      <w:r w:rsidRPr="007105A4">
        <w:rPr>
          <w:rFonts w:ascii="Times New Roman" w:eastAsia="Times New Roman" w:hAnsi="Times New Roman" w:cs="Times New Roman"/>
          <w:b/>
          <w:sz w:val="24"/>
          <w:szCs w:val="24"/>
          <w:u w:val="single"/>
        </w:rPr>
        <w:t>Discussion</w:t>
      </w:r>
    </w:p>
    <w:p w14:paraId="3972C5C3" w14:textId="77777777" w:rsidR="00114071" w:rsidRPr="00913907" w:rsidRDefault="00114071" w:rsidP="00DE6E5B">
      <w:pPr>
        <w:spacing w:after="0" w:line="240" w:lineRule="auto"/>
        <w:rPr>
          <w:rFonts w:ascii="Times New Roman" w:eastAsia="Times New Roman" w:hAnsi="Times New Roman" w:cs="Times New Roman"/>
          <w:color w:val="FF0000"/>
          <w:sz w:val="24"/>
          <w:szCs w:val="24"/>
        </w:rPr>
      </w:pPr>
    </w:p>
    <w:p w14:paraId="0319943F" w14:textId="49B27551" w:rsidR="00114071" w:rsidRPr="00CA2D57" w:rsidRDefault="007105A4" w:rsidP="00DE6E5B">
      <w:pPr>
        <w:spacing w:after="0" w:line="240" w:lineRule="auto"/>
        <w:rPr>
          <w:rFonts w:ascii="Times New Roman" w:eastAsia="Times New Roman" w:hAnsi="Times New Roman" w:cs="Times New Roman"/>
          <w:sz w:val="24"/>
          <w:szCs w:val="24"/>
        </w:rPr>
      </w:pPr>
      <w:r w:rsidRPr="00612EF0">
        <w:rPr>
          <w:rFonts w:ascii="Times New Roman" w:eastAsia="Times New Roman" w:hAnsi="Times New Roman" w:cs="Times New Roman"/>
          <w:sz w:val="24"/>
          <w:szCs w:val="24"/>
        </w:rPr>
        <w:t>Pacific Power spent approximately $</w:t>
      </w:r>
      <w:r w:rsidR="00820ACB">
        <w:rPr>
          <w:rFonts w:ascii="Times New Roman" w:eastAsia="Times New Roman" w:hAnsi="Times New Roman" w:cs="Times New Roman"/>
          <w:sz w:val="24"/>
          <w:szCs w:val="24"/>
        </w:rPr>
        <w:t>12</w:t>
      </w:r>
      <w:r w:rsidRPr="00612EF0">
        <w:rPr>
          <w:rFonts w:ascii="Times New Roman" w:eastAsia="Times New Roman" w:hAnsi="Times New Roman" w:cs="Times New Roman"/>
          <w:sz w:val="24"/>
          <w:szCs w:val="24"/>
        </w:rPr>
        <w:t xml:space="preserve"> million on conservation programs in 201</w:t>
      </w:r>
      <w:r w:rsidR="00E14733">
        <w:rPr>
          <w:rFonts w:ascii="Times New Roman" w:eastAsia="Times New Roman" w:hAnsi="Times New Roman" w:cs="Times New Roman"/>
          <w:sz w:val="24"/>
          <w:szCs w:val="24"/>
        </w:rPr>
        <w:t>6</w:t>
      </w:r>
      <w:r w:rsidR="0038616D">
        <w:rPr>
          <w:rFonts w:ascii="Times New Roman" w:eastAsia="Times New Roman" w:hAnsi="Times New Roman" w:cs="Times New Roman"/>
          <w:sz w:val="24"/>
          <w:szCs w:val="24"/>
        </w:rPr>
        <w:t>, roughly matching</w:t>
      </w:r>
      <w:r w:rsidR="00023853">
        <w:rPr>
          <w:rFonts w:ascii="Times New Roman" w:eastAsia="Times New Roman" w:hAnsi="Times New Roman" w:cs="Times New Roman"/>
          <w:sz w:val="24"/>
          <w:szCs w:val="24"/>
        </w:rPr>
        <w:t xml:space="preserve"> </w:t>
      </w:r>
      <w:r w:rsidR="00FE267F">
        <w:rPr>
          <w:rFonts w:ascii="Times New Roman" w:eastAsia="Times New Roman" w:hAnsi="Times New Roman" w:cs="Times New Roman"/>
          <w:sz w:val="24"/>
          <w:szCs w:val="24"/>
        </w:rPr>
        <w:t>its $12 million</w:t>
      </w:r>
      <w:r w:rsidRPr="00612EF0">
        <w:rPr>
          <w:rFonts w:ascii="Times New Roman" w:eastAsia="Times New Roman" w:hAnsi="Times New Roman" w:cs="Times New Roman"/>
          <w:sz w:val="24"/>
          <w:szCs w:val="24"/>
        </w:rPr>
        <w:t xml:space="preserve"> budget</w:t>
      </w:r>
      <w:r w:rsidRPr="00CC6833">
        <w:rPr>
          <w:rFonts w:ascii="Times New Roman" w:eastAsia="Times New Roman" w:hAnsi="Times New Roman" w:cs="Times New Roman"/>
          <w:sz w:val="24"/>
          <w:szCs w:val="24"/>
        </w:rPr>
        <w:t>.</w:t>
      </w:r>
      <w:r w:rsidR="00F141AB">
        <w:rPr>
          <w:rStyle w:val="FootnoteReference"/>
          <w:rFonts w:ascii="Times New Roman" w:eastAsia="Times New Roman" w:hAnsi="Times New Roman" w:cs="Times New Roman"/>
          <w:sz w:val="24"/>
          <w:szCs w:val="24"/>
        </w:rPr>
        <w:footnoteReference w:id="3"/>
      </w:r>
      <w:r w:rsidRPr="00CC6833">
        <w:rPr>
          <w:rFonts w:ascii="Times New Roman" w:eastAsia="Times New Roman" w:hAnsi="Times New Roman" w:cs="Times New Roman"/>
          <w:sz w:val="24"/>
          <w:szCs w:val="24"/>
        </w:rPr>
        <w:t xml:space="preserve"> </w:t>
      </w:r>
      <w:r w:rsidR="00F141AB">
        <w:rPr>
          <w:rFonts w:ascii="Times New Roman" w:eastAsia="Times New Roman" w:hAnsi="Times New Roman" w:cs="Times New Roman"/>
          <w:sz w:val="24"/>
          <w:szCs w:val="24"/>
        </w:rPr>
        <w:t xml:space="preserve">The company’s </w:t>
      </w:r>
      <w:r w:rsidR="00CC6833" w:rsidRPr="00CC6833">
        <w:rPr>
          <w:rFonts w:ascii="Times New Roman" w:eastAsia="Times New Roman" w:hAnsi="Times New Roman" w:cs="Times New Roman"/>
          <w:sz w:val="24"/>
          <w:szCs w:val="24"/>
        </w:rPr>
        <w:t xml:space="preserve">conservation programs achieved </w:t>
      </w:r>
      <w:r w:rsidR="00E55271" w:rsidRPr="00E55271">
        <w:rPr>
          <w:rFonts w:ascii="Times New Roman" w:eastAsia="Times New Roman" w:hAnsi="Times New Roman" w:cs="Times New Roman"/>
          <w:sz w:val="24"/>
          <w:szCs w:val="24"/>
        </w:rPr>
        <w:t>51</w:t>
      </w:r>
      <w:r w:rsidR="00E55271">
        <w:rPr>
          <w:rFonts w:ascii="Times New Roman" w:eastAsia="Times New Roman" w:hAnsi="Times New Roman" w:cs="Times New Roman"/>
          <w:sz w:val="24"/>
          <w:szCs w:val="24"/>
        </w:rPr>
        <w:t>,</w:t>
      </w:r>
      <w:r w:rsidR="00E55271" w:rsidRPr="00E55271">
        <w:rPr>
          <w:rFonts w:ascii="Times New Roman" w:eastAsia="Times New Roman" w:hAnsi="Times New Roman" w:cs="Times New Roman"/>
          <w:sz w:val="24"/>
          <w:szCs w:val="24"/>
        </w:rPr>
        <w:t>365</w:t>
      </w:r>
      <w:r w:rsidR="00E55271">
        <w:rPr>
          <w:rFonts w:ascii="Times New Roman" w:eastAsia="Times New Roman" w:hAnsi="Times New Roman" w:cs="Times New Roman"/>
          <w:sz w:val="24"/>
          <w:szCs w:val="24"/>
        </w:rPr>
        <w:t xml:space="preserve"> </w:t>
      </w:r>
      <w:r w:rsidR="00F141AB">
        <w:rPr>
          <w:rFonts w:ascii="Times New Roman" w:eastAsia="Times New Roman" w:hAnsi="Times New Roman" w:cs="Times New Roman"/>
          <w:sz w:val="24"/>
          <w:szCs w:val="24"/>
        </w:rPr>
        <w:t>MWh of savings,</w:t>
      </w:r>
      <w:r w:rsidR="00FE267F">
        <w:rPr>
          <w:rStyle w:val="FootnoteReference"/>
          <w:rFonts w:ascii="Times New Roman" w:eastAsia="Times New Roman" w:hAnsi="Times New Roman" w:cs="Times New Roman"/>
          <w:sz w:val="24"/>
          <w:szCs w:val="24"/>
        </w:rPr>
        <w:footnoteReference w:id="4"/>
      </w:r>
      <w:r w:rsidR="00F141AB">
        <w:rPr>
          <w:rFonts w:ascii="Times New Roman" w:eastAsia="Times New Roman" w:hAnsi="Times New Roman" w:cs="Times New Roman"/>
          <w:sz w:val="24"/>
          <w:szCs w:val="24"/>
        </w:rPr>
        <w:t xml:space="preserve"> </w:t>
      </w:r>
      <w:r w:rsidR="00FE267F">
        <w:rPr>
          <w:rFonts w:ascii="Times New Roman" w:eastAsia="Times New Roman" w:hAnsi="Times New Roman" w:cs="Times New Roman"/>
          <w:sz w:val="24"/>
          <w:szCs w:val="24"/>
        </w:rPr>
        <w:t>109</w:t>
      </w:r>
      <w:r w:rsidR="00F141AB">
        <w:rPr>
          <w:rFonts w:ascii="Times New Roman" w:eastAsia="Times New Roman" w:hAnsi="Times New Roman" w:cs="Times New Roman"/>
          <w:sz w:val="24"/>
          <w:szCs w:val="24"/>
        </w:rPr>
        <w:t xml:space="preserve"> </w:t>
      </w:r>
      <w:r w:rsidR="00CC6833" w:rsidRPr="00CC6833">
        <w:rPr>
          <w:rFonts w:ascii="Times New Roman" w:eastAsia="Times New Roman" w:hAnsi="Times New Roman" w:cs="Times New Roman"/>
          <w:sz w:val="24"/>
          <w:szCs w:val="24"/>
        </w:rPr>
        <w:t>percent of their annual target</w:t>
      </w:r>
      <w:r w:rsidR="00F141AB">
        <w:rPr>
          <w:rFonts w:ascii="Times New Roman" w:eastAsia="Times New Roman" w:hAnsi="Times New Roman" w:cs="Times New Roman"/>
          <w:sz w:val="24"/>
          <w:szCs w:val="24"/>
        </w:rPr>
        <w:t xml:space="preserve"> of </w:t>
      </w:r>
      <w:r w:rsidR="00F141AB" w:rsidRPr="00F141AB">
        <w:rPr>
          <w:rFonts w:ascii="Times New Roman" w:eastAsia="Times New Roman" w:hAnsi="Times New Roman" w:cs="Times New Roman"/>
          <w:sz w:val="24"/>
          <w:szCs w:val="24"/>
        </w:rPr>
        <w:t>47,116</w:t>
      </w:r>
      <w:r w:rsidR="00F141AB">
        <w:rPr>
          <w:rFonts w:ascii="Times New Roman" w:eastAsia="Times New Roman" w:hAnsi="Times New Roman" w:cs="Times New Roman"/>
          <w:sz w:val="24"/>
          <w:szCs w:val="24"/>
        </w:rPr>
        <w:t xml:space="preserve"> MWh</w:t>
      </w:r>
      <w:r w:rsidRPr="00CC6833">
        <w:rPr>
          <w:rFonts w:ascii="Times New Roman" w:eastAsia="Times New Roman" w:hAnsi="Times New Roman" w:cs="Times New Roman"/>
          <w:sz w:val="24"/>
          <w:szCs w:val="24"/>
        </w:rPr>
        <w:t>.</w:t>
      </w:r>
      <w:r w:rsidR="00FE267F">
        <w:rPr>
          <w:rStyle w:val="FootnoteReference"/>
          <w:rFonts w:ascii="Times New Roman" w:eastAsia="Times New Roman" w:hAnsi="Times New Roman" w:cs="Times New Roman"/>
          <w:sz w:val="24"/>
          <w:szCs w:val="24"/>
        </w:rPr>
        <w:footnoteReference w:id="5"/>
      </w:r>
      <w:r w:rsidR="00A95B87">
        <w:t xml:space="preserve"> </w:t>
      </w:r>
      <w:r w:rsidR="00DE5D11">
        <w:rPr>
          <w:rFonts w:ascii="Times New Roman" w:eastAsia="Times New Roman" w:hAnsi="Times New Roman" w:cs="Times New Roman"/>
          <w:sz w:val="24"/>
          <w:szCs w:val="24"/>
        </w:rPr>
        <w:t>2016 actuals and 2017 projections estimate that the company will achieve 1</w:t>
      </w:r>
      <w:r w:rsidR="00DE6E5B">
        <w:rPr>
          <w:rFonts w:ascii="Times New Roman" w:eastAsia="Times New Roman" w:hAnsi="Times New Roman" w:cs="Times New Roman"/>
          <w:sz w:val="24"/>
          <w:szCs w:val="24"/>
        </w:rPr>
        <w:t>10</w:t>
      </w:r>
      <w:r w:rsidR="00DE5D11">
        <w:rPr>
          <w:rFonts w:ascii="Times New Roman" w:eastAsia="Times New Roman" w:hAnsi="Times New Roman" w:cs="Times New Roman"/>
          <w:sz w:val="24"/>
          <w:szCs w:val="24"/>
        </w:rPr>
        <w:t xml:space="preserve"> percent of its decoupling-adjusted biennial acquisition target</w:t>
      </w:r>
      <w:r w:rsidR="00F73B26">
        <w:rPr>
          <w:rFonts w:ascii="Times New Roman" w:eastAsia="Times New Roman" w:hAnsi="Times New Roman" w:cs="Times New Roman"/>
          <w:sz w:val="24"/>
          <w:szCs w:val="24"/>
        </w:rPr>
        <w:t>.</w:t>
      </w:r>
      <w:r w:rsidR="00DE5D11">
        <w:rPr>
          <w:rStyle w:val="FootnoteReference"/>
          <w:rFonts w:ascii="Times New Roman" w:eastAsia="Times New Roman" w:hAnsi="Times New Roman" w:cs="Times New Roman"/>
          <w:sz w:val="24"/>
          <w:szCs w:val="24"/>
        </w:rPr>
        <w:footnoteReference w:id="6"/>
      </w:r>
      <w:r w:rsidR="00F73B26">
        <w:rPr>
          <w:rFonts w:ascii="Times New Roman" w:eastAsia="Times New Roman" w:hAnsi="Times New Roman" w:cs="Times New Roman"/>
          <w:sz w:val="24"/>
          <w:szCs w:val="24"/>
        </w:rPr>
        <w:t xml:space="preserve"> </w:t>
      </w:r>
      <w:r w:rsidRPr="00612EF0">
        <w:rPr>
          <w:rFonts w:ascii="Times New Roman" w:eastAsia="Times New Roman" w:hAnsi="Times New Roman" w:cs="Times New Roman"/>
          <w:sz w:val="24"/>
          <w:szCs w:val="24"/>
        </w:rPr>
        <w:t xml:space="preserve">For </w:t>
      </w:r>
      <w:r w:rsidR="00F141AB">
        <w:rPr>
          <w:rFonts w:ascii="Times New Roman" w:eastAsia="Times New Roman" w:hAnsi="Times New Roman" w:cs="Times New Roman"/>
          <w:sz w:val="24"/>
          <w:szCs w:val="24"/>
        </w:rPr>
        <w:t>2016</w:t>
      </w:r>
      <w:r w:rsidRPr="00612EF0">
        <w:rPr>
          <w:rFonts w:ascii="Times New Roman" w:eastAsia="Times New Roman" w:hAnsi="Times New Roman" w:cs="Times New Roman"/>
          <w:sz w:val="24"/>
          <w:szCs w:val="24"/>
        </w:rPr>
        <w:t xml:space="preserve">, Pacific Power’s Washington conservation portfolio achieved a total resource cost test ratio of </w:t>
      </w:r>
      <w:r w:rsidR="00F141AB">
        <w:rPr>
          <w:rFonts w:ascii="Times New Roman" w:eastAsia="Times New Roman" w:hAnsi="Times New Roman" w:cs="Times New Roman"/>
          <w:sz w:val="24"/>
          <w:szCs w:val="24"/>
        </w:rPr>
        <w:t>1.8</w:t>
      </w:r>
      <w:r w:rsidRPr="00612EF0">
        <w:rPr>
          <w:rFonts w:ascii="Times New Roman" w:eastAsia="Times New Roman" w:hAnsi="Times New Roman" w:cs="Times New Roman"/>
          <w:sz w:val="24"/>
          <w:szCs w:val="24"/>
        </w:rPr>
        <w:t>.</w:t>
      </w:r>
      <w:r w:rsidR="00612EF0" w:rsidRPr="00612EF0">
        <w:rPr>
          <w:rStyle w:val="FootnoteReference"/>
          <w:rFonts w:ascii="Times New Roman" w:eastAsia="Times New Roman" w:hAnsi="Times New Roman" w:cs="Times New Roman"/>
          <w:sz w:val="24"/>
          <w:szCs w:val="24"/>
        </w:rPr>
        <w:footnoteReference w:id="7"/>
      </w:r>
      <w:r w:rsidRPr="00612EF0">
        <w:rPr>
          <w:rFonts w:ascii="Times New Roman" w:eastAsia="Times New Roman" w:hAnsi="Times New Roman" w:cs="Times New Roman"/>
          <w:sz w:val="24"/>
          <w:szCs w:val="24"/>
        </w:rPr>
        <w:t xml:space="preserve"> </w:t>
      </w:r>
    </w:p>
    <w:p w14:paraId="0758F687" w14:textId="77777777" w:rsidR="00114071" w:rsidRPr="00913907" w:rsidRDefault="00114071" w:rsidP="00DE6E5B">
      <w:pPr>
        <w:spacing w:after="0" w:line="240" w:lineRule="auto"/>
        <w:rPr>
          <w:rFonts w:ascii="Times New Roman" w:eastAsia="Times New Roman" w:hAnsi="Times New Roman" w:cs="Times New Roman"/>
          <w:color w:val="FF0000"/>
          <w:sz w:val="24"/>
          <w:szCs w:val="24"/>
        </w:rPr>
      </w:pPr>
    </w:p>
    <w:p w14:paraId="7AF65103" w14:textId="1FE5C8E7" w:rsidR="00114071" w:rsidRPr="00913907" w:rsidRDefault="00114071" w:rsidP="00DE6E5B">
      <w:pPr>
        <w:spacing w:after="0" w:line="240" w:lineRule="auto"/>
        <w:rPr>
          <w:rFonts w:ascii="Times New Roman" w:eastAsia="Times New Roman" w:hAnsi="Times New Roman" w:cs="Times New Roman"/>
          <w:color w:val="FF0000"/>
          <w:sz w:val="24"/>
          <w:szCs w:val="24"/>
        </w:rPr>
      </w:pPr>
      <w:r w:rsidRPr="00CC6833">
        <w:rPr>
          <w:rFonts w:ascii="Times New Roman" w:eastAsia="Times New Roman" w:hAnsi="Times New Roman" w:cs="Times New Roman"/>
          <w:sz w:val="24"/>
          <w:szCs w:val="24"/>
        </w:rPr>
        <w:t>This filing proposes to change the electric rider rates as shown in the table below, reflecting actual costs and collections in 201</w:t>
      </w:r>
      <w:r w:rsidR="00642D72">
        <w:rPr>
          <w:rFonts w:ascii="Times New Roman" w:eastAsia="Times New Roman" w:hAnsi="Times New Roman" w:cs="Times New Roman"/>
          <w:sz w:val="24"/>
          <w:szCs w:val="24"/>
        </w:rPr>
        <w:t>6</w:t>
      </w:r>
      <w:r w:rsidRPr="00CC6833">
        <w:rPr>
          <w:rFonts w:ascii="Times New Roman" w:eastAsia="Times New Roman" w:hAnsi="Times New Roman" w:cs="Times New Roman"/>
          <w:sz w:val="24"/>
          <w:szCs w:val="24"/>
        </w:rPr>
        <w:t>,</w:t>
      </w:r>
      <w:r w:rsidRPr="00DE3321">
        <w:rPr>
          <w:rFonts w:ascii="Times New Roman" w:eastAsia="Times New Roman" w:hAnsi="Times New Roman" w:cs="Times New Roman"/>
          <w:color w:val="FF0000"/>
          <w:sz w:val="24"/>
          <w:szCs w:val="24"/>
        </w:rPr>
        <w:t xml:space="preserve"> </w:t>
      </w:r>
      <w:r w:rsidRPr="00CC6833">
        <w:rPr>
          <w:rFonts w:ascii="Times New Roman" w:eastAsia="Times New Roman" w:hAnsi="Times New Roman" w:cs="Times New Roman"/>
          <w:sz w:val="24"/>
          <w:szCs w:val="24"/>
        </w:rPr>
        <w:t>and covering the amount budgeted for energy efficiency in 201</w:t>
      </w:r>
      <w:r w:rsidR="00642D72">
        <w:rPr>
          <w:rFonts w:ascii="Times New Roman" w:eastAsia="Times New Roman" w:hAnsi="Times New Roman" w:cs="Times New Roman"/>
          <w:sz w:val="24"/>
          <w:szCs w:val="24"/>
        </w:rPr>
        <w:t>7</w:t>
      </w:r>
      <w:r w:rsidRPr="00CC6833">
        <w:rPr>
          <w:rFonts w:ascii="Times New Roman" w:eastAsia="Times New Roman" w:hAnsi="Times New Roman" w:cs="Times New Roman"/>
          <w:sz w:val="24"/>
          <w:szCs w:val="24"/>
        </w:rPr>
        <w:t>.</w:t>
      </w:r>
      <w:r w:rsidR="00A95B87">
        <w:rPr>
          <w:rFonts w:ascii="Times New Roman" w:eastAsia="Times New Roman" w:hAnsi="Times New Roman" w:cs="Times New Roman"/>
          <w:sz w:val="24"/>
          <w:szCs w:val="24"/>
        </w:rPr>
        <w:t xml:space="preserve"> </w:t>
      </w:r>
    </w:p>
    <w:p w14:paraId="568EEB39" w14:textId="77777777" w:rsidR="00114071" w:rsidRPr="00913907" w:rsidRDefault="00114071" w:rsidP="00114071">
      <w:pPr>
        <w:spacing w:after="0" w:line="240" w:lineRule="auto"/>
        <w:rPr>
          <w:rFonts w:ascii="Times New Roman" w:eastAsia="Times New Roman" w:hAnsi="Times New Roman" w:cs="Times New Roman"/>
          <w:color w:val="FF0000"/>
          <w:sz w:val="24"/>
          <w:szCs w:val="24"/>
        </w:rPr>
      </w:pPr>
    </w:p>
    <w:tbl>
      <w:tblPr>
        <w:tblW w:w="0" w:type="auto"/>
        <w:tblBorders>
          <w:top w:val="single" w:sz="4" w:space="0" w:color="000000"/>
          <w:insideH w:val="single" w:sz="4" w:space="0" w:color="000000"/>
        </w:tblBorders>
        <w:tblLook w:val="04A0" w:firstRow="1" w:lastRow="0" w:firstColumn="1" w:lastColumn="0" w:noHBand="0" w:noVBand="1"/>
      </w:tblPr>
      <w:tblGrid>
        <w:gridCol w:w="2430"/>
        <w:gridCol w:w="2070"/>
        <w:gridCol w:w="1440"/>
        <w:gridCol w:w="1627"/>
        <w:gridCol w:w="1349"/>
      </w:tblGrid>
      <w:tr w:rsidR="00414C9E" w:rsidRPr="00C51C4C" w14:paraId="7E41E472" w14:textId="47ECA7E5" w:rsidTr="005C6E0B">
        <w:trPr>
          <w:trHeight w:val="557"/>
        </w:trPr>
        <w:tc>
          <w:tcPr>
            <w:tcW w:w="2430" w:type="dxa"/>
          </w:tcPr>
          <w:p w14:paraId="43E2C019" w14:textId="77777777" w:rsidR="00414C9E" w:rsidRPr="00EC1E52" w:rsidRDefault="00414C9E" w:rsidP="00114071">
            <w:pPr>
              <w:spacing w:after="0" w:line="240" w:lineRule="auto"/>
              <w:rPr>
                <w:rFonts w:ascii="Times New Roman" w:eastAsia="Times New Roman" w:hAnsi="Times New Roman" w:cs="Times New Roman"/>
                <w:b/>
                <w:sz w:val="24"/>
                <w:szCs w:val="24"/>
              </w:rPr>
            </w:pPr>
          </w:p>
        </w:tc>
        <w:tc>
          <w:tcPr>
            <w:tcW w:w="2070" w:type="dxa"/>
          </w:tcPr>
          <w:p w14:paraId="6CF0697A" w14:textId="77777777" w:rsidR="00414C9E" w:rsidRPr="00EC1E52" w:rsidRDefault="00414C9E" w:rsidP="00114071">
            <w:pPr>
              <w:spacing w:after="0" w:line="240" w:lineRule="auto"/>
              <w:rPr>
                <w:rFonts w:ascii="Times New Roman" w:eastAsia="Times New Roman" w:hAnsi="Times New Roman" w:cs="Times New Roman"/>
                <w:b/>
                <w:bCs/>
                <w:sz w:val="24"/>
                <w:szCs w:val="24"/>
              </w:rPr>
            </w:pPr>
          </w:p>
          <w:p w14:paraId="5E0B6AD3" w14:textId="77777777" w:rsidR="00414C9E" w:rsidRPr="00EC1E52" w:rsidRDefault="00414C9E" w:rsidP="00114071">
            <w:pPr>
              <w:spacing w:after="0" w:line="240" w:lineRule="auto"/>
              <w:rPr>
                <w:rFonts w:ascii="Times New Roman" w:eastAsia="Times New Roman" w:hAnsi="Times New Roman" w:cs="Times New Roman"/>
                <w:b/>
                <w:sz w:val="24"/>
                <w:szCs w:val="24"/>
              </w:rPr>
            </w:pPr>
            <w:r w:rsidRPr="00EC1E52">
              <w:rPr>
                <w:rFonts w:ascii="Times New Roman" w:eastAsia="Times New Roman" w:hAnsi="Times New Roman" w:cs="Times New Roman"/>
                <w:b/>
                <w:bCs/>
                <w:sz w:val="24"/>
                <w:szCs w:val="24"/>
              </w:rPr>
              <w:t>Schedule</w:t>
            </w:r>
          </w:p>
        </w:tc>
        <w:tc>
          <w:tcPr>
            <w:tcW w:w="1440" w:type="dxa"/>
          </w:tcPr>
          <w:p w14:paraId="770E0414" w14:textId="0803A8BB" w:rsidR="00414C9E" w:rsidRPr="00EC1E52" w:rsidRDefault="00414C9E" w:rsidP="009E6361">
            <w:pPr>
              <w:spacing w:after="0" w:line="240" w:lineRule="auto"/>
              <w:jc w:val="center"/>
              <w:rPr>
                <w:rFonts w:ascii="Times New Roman" w:eastAsia="Times New Roman" w:hAnsi="Times New Roman" w:cs="Times New Roman"/>
                <w:b/>
                <w:bCs/>
                <w:sz w:val="24"/>
                <w:szCs w:val="24"/>
              </w:rPr>
            </w:pPr>
            <w:r w:rsidRPr="00EC1E52">
              <w:rPr>
                <w:rFonts w:ascii="Times New Roman" w:eastAsia="Times New Roman" w:hAnsi="Times New Roman" w:cs="Times New Roman"/>
                <w:b/>
                <w:bCs/>
                <w:sz w:val="24"/>
                <w:szCs w:val="24"/>
              </w:rPr>
              <w:t>Current Rate</w:t>
            </w:r>
          </w:p>
          <w:p w14:paraId="6FBF74E4" w14:textId="77777777" w:rsidR="00414C9E" w:rsidRPr="00EC1E52" w:rsidRDefault="00414C9E" w:rsidP="009E6361">
            <w:pPr>
              <w:spacing w:after="0" w:line="240" w:lineRule="auto"/>
              <w:jc w:val="center"/>
              <w:rPr>
                <w:rFonts w:ascii="Times New Roman" w:eastAsia="Times New Roman" w:hAnsi="Times New Roman" w:cs="Times New Roman"/>
                <w:b/>
                <w:sz w:val="24"/>
                <w:szCs w:val="24"/>
              </w:rPr>
            </w:pPr>
            <w:r w:rsidRPr="00EC1E52">
              <w:rPr>
                <w:rFonts w:ascii="Times New Roman" w:eastAsia="Times New Roman" w:hAnsi="Times New Roman" w:cs="Times New Roman"/>
                <w:b/>
                <w:bCs/>
                <w:sz w:val="24"/>
                <w:szCs w:val="24"/>
              </w:rPr>
              <w:t>per kWh</w:t>
            </w:r>
          </w:p>
        </w:tc>
        <w:tc>
          <w:tcPr>
            <w:tcW w:w="1627" w:type="dxa"/>
          </w:tcPr>
          <w:p w14:paraId="1EF431F6" w14:textId="77777777" w:rsidR="00414C9E" w:rsidRPr="00C51C4C" w:rsidRDefault="00414C9E" w:rsidP="009E6361">
            <w:pPr>
              <w:spacing w:after="0" w:line="240" w:lineRule="auto"/>
              <w:jc w:val="center"/>
              <w:rPr>
                <w:rFonts w:ascii="Times New Roman" w:eastAsia="Times New Roman" w:hAnsi="Times New Roman" w:cs="Times New Roman"/>
                <w:b/>
                <w:sz w:val="24"/>
                <w:szCs w:val="24"/>
                <w:vertAlign w:val="superscript"/>
              </w:rPr>
            </w:pPr>
            <w:r w:rsidRPr="00C51C4C">
              <w:rPr>
                <w:rFonts w:ascii="Times New Roman" w:eastAsia="Times New Roman" w:hAnsi="Times New Roman" w:cs="Times New Roman"/>
                <w:b/>
                <w:sz w:val="24"/>
                <w:szCs w:val="24"/>
              </w:rPr>
              <w:t>Proposed</w:t>
            </w:r>
          </w:p>
          <w:p w14:paraId="192D69D6" w14:textId="77777777" w:rsidR="00414C9E" w:rsidRPr="00C51C4C" w:rsidRDefault="00414C9E" w:rsidP="009E6361">
            <w:pPr>
              <w:spacing w:after="0" w:line="240" w:lineRule="auto"/>
              <w:jc w:val="center"/>
              <w:rPr>
                <w:rFonts w:ascii="Times New Roman" w:eastAsia="Times New Roman" w:hAnsi="Times New Roman" w:cs="Times New Roman"/>
                <w:b/>
                <w:sz w:val="24"/>
                <w:szCs w:val="24"/>
              </w:rPr>
            </w:pPr>
            <w:r w:rsidRPr="00C51C4C">
              <w:rPr>
                <w:rFonts w:ascii="Times New Roman" w:eastAsia="Times New Roman" w:hAnsi="Times New Roman" w:cs="Times New Roman"/>
                <w:b/>
                <w:sz w:val="24"/>
                <w:szCs w:val="24"/>
              </w:rPr>
              <w:t>Rate per kWh</w:t>
            </w:r>
          </w:p>
        </w:tc>
        <w:tc>
          <w:tcPr>
            <w:tcW w:w="1349" w:type="dxa"/>
          </w:tcPr>
          <w:p w14:paraId="5CF1CF5C" w14:textId="7B59C30F" w:rsidR="00414C9E" w:rsidRPr="00C51C4C" w:rsidRDefault="00414C9E" w:rsidP="009E63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 Increase</w:t>
            </w:r>
          </w:p>
        </w:tc>
      </w:tr>
      <w:tr w:rsidR="00455251" w:rsidRPr="00913907" w14:paraId="4EFD1B54" w14:textId="43ACEE17" w:rsidTr="005C6E0B">
        <w:tc>
          <w:tcPr>
            <w:tcW w:w="2430" w:type="dxa"/>
          </w:tcPr>
          <w:p w14:paraId="40E5E1F9" w14:textId="77777777"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 xml:space="preserve">Outdoor Lighting </w:t>
            </w:r>
          </w:p>
        </w:tc>
        <w:tc>
          <w:tcPr>
            <w:tcW w:w="2070" w:type="dxa"/>
          </w:tcPr>
          <w:p w14:paraId="4E1AF156" w14:textId="77777777"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Schedule 15</w:t>
            </w:r>
          </w:p>
        </w:tc>
        <w:tc>
          <w:tcPr>
            <w:tcW w:w="1440" w:type="dxa"/>
          </w:tcPr>
          <w:p w14:paraId="7AA94EF3" w14:textId="242F7326" w:rsidR="00455251" w:rsidRPr="00EC1E52"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$0.0316</w:t>
            </w:r>
          </w:p>
        </w:tc>
        <w:tc>
          <w:tcPr>
            <w:tcW w:w="1627" w:type="dxa"/>
          </w:tcPr>
          <w:p w14:paraId="4C46B0E5" w14:textId="58A6E166" w:rsidR="00455251" w:rsidRPr="00C51C4C"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$0.03</w:t>
            </w:r>
            <w:r>
              <w:rPr>
                <w:rFonts w:ascii="Times New Roman" w:eastAsia="Times New Roman" w:hAnsi="Times New Roman" w:cs="Times New Roman"/>
                <w:sz w:val="24"/>
                <w:szCs w:val="24"/>
              </w:rPr>
              <w:t>40</w:t>
            </w:r>
          </w:p>
        </w:tc>
        <w:tc>
          <w:tcPr>
            <w:tcW w:w="1349" w:type="dxa"/>
          </w:tcPr>
          <w:p w14:paraId="5C36B0E2" w14:textId="11F3AD0D" w:rsidR="00455251" w:rsidRPr="00455251" w:rsidRDefault="00455251" w:rsidP="009E6361">
            <w:pPr>
              <w:spacing w:after="0" w:line="240" w:lineRule="auto"/>
              <w:jc w:val="center"/>
              <w:rPr>
                <w:rFonts w:ascii="Times New Roman" w:eastAsia="Times New Roman" w:hAnsi="Times New Roman" w:cs="Times New Roman"/>
                <w:sz w:val="24"/>
                <w:szCs w:val="24"/>
              </w:rPr>
            </w:pPr>
            <w:r w:rsidRPr="00455251">
              <w:rPr>
                <w:rFonts w:ascii="Times New Roman" w:hAnsi="Times New Roman" w:cs="Times New Roman"/>
                <w:sz w:val="24"/>
                <w:szCs w:val="24"/>
              </w:rPr>
              <w:t>7.6%</w:t>
            </w:r>
          </w:p>
        </w:tc>
      </w:tr>
      <w:tr w:rsidR="00455251" w:rsidRPr="00913907" w14:paraId="6690E709" w14:textId="392CC7B6" w:rsidTr="005C6E0B">
        <w:tc>
          <w:tcPr>
            <w:tcW w:w="2430" w:type="dxa"/>
          </w:tcPr>
          <w:p w14:paraId="5F0E530F" w14:textId="77777777"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Residential Service</w:t>
            </w:r>
          </w:p>
        </w:tc>
        <w:tc>
          <w:tcPr>
            <w:tcW w:w="2070" w:type="dxa"/>
          </w:tcPr>
          <w:p w14:paraId="439555B8" w14:textId="0FBA3903"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Schedule 16</w:t>
            </w:r>
          </w:p>
        </w:tc>
        <w:tc>
          <w:tcPr>
            <w:tcW w:w="1440" w:type="dxa"/>
          </w:tcPr>
          <w:p w14:paraId="53064391" w14:textId="6DE06A4E" w:rsidR="00455251" w:rsidRPr="00EC1E52"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$0.0351</w:t>
            </w:r>
          </w:p>
        </w:tc>
        <w:tc>
          <w:tcPr>
            <w:tcW w:w="1627" w:type="dxa"/>
          </w:tcPr>
          <w:p w14:paraId="325AF5B5" w14:textId="47608DEC" w:rsidR="00455251" w:rsidRPr="00C51C4C"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$0.03</w:t>
            </w:r>
            <w:r>
              <w:rPr>
                <w:rFonts w:ascii="Times New Roman" w:eastAsia="Times New Roman" w:hAnsi="Times New Roman" w:cs="Times New Roman"/>
                <w:sz w:val="24"/>
                <w:szCs w:val="24"/>
              </w:rPr>
              <w:t>78</w:t>
            </w:r>
          </w:p>
        </w:tc>
        <w:tc>
          <w:tcPr>
            <w:tcW w:w="1349" w:type="dxa"/>
          </w:tcPr>
          <w:p w14:paraId="05F66364" w14:textId="4C429647" w:rsidR="00455251" w:rsidRPr="00455251" w:rsidRDefault="00455251" w:rsidP="009E6361">
            <w:pPr>
              <w:spacing w:after="0" w:line="240" w:lineRule="auto"/>
              <w:jc w:val="center"/>
              <w:rPr>
                <w:rFonts w:ascii="Times New Roman" w:eastAsia="Times New Roman" w:hAnsi="Times New Roman" w:cs="Times New Roman"/>
                <w:sz w:val="24"/>
                <w:szCs w:val="24"/>
              </w:rPr>
            </w:pPr>
            <w:r w:rsidRPr="00455251">
              <w:rPr>
                <w:rFonts w:ascii="Times New Roman" w:hAnsi="Times New Roman" w:cs="Times New Roman"/>
                <w:sz w:val="24"/>
                <w:szCs w:val="24"/>
              </w:rPr>
              <w:t>7.7%</w:t>
            </w:r>
          </w:p>
        </w:tc>
      </w:tr>
      <w:tr w:rsidR="00455251" w:rsidRPr="00913907" w14:paraId="64A95D24" w14:textId="584FB7BD" w:rsidTr="005C6E0B">
        <w:tc>
          <w:tcPr>
            <w:tcW w:w="2430" w:type="dxa"/>
          </w:tcPr>
          <w:p w14:paraId="5FFC2CA5" w14:textId="77777777"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Low Income Bill Assistance Program – Residential Service</w:t>
            </w:r>
          </w:p>
        </w:tc>
        <w:tc>
          <w:tcPr>
            <w:tcW w:w="2070" w:type="dxa"/>
          </w:tcPr>
          <w:p w14:paraId="684990C1" w14:textId="77777777"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Schedule 17</w:t>
            </w:r>
          </w:p>
        </w:tc>
        <w:tc>
          <w:tcPr>
            <w:tcW w:w="1440" w:type="dxa"/>
          </w:tcPr>
          <w:p w14:paraId="69431BA5" w14:textId="21F1A075" w:rsidR="00455251" w:rsidRPr="00EC1E52"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$0.0351</w:t>
            </w:r>
          </w:p>
        </w:tc>
        <w:tc>
          <w:tcPr>
            <w:tcW w:w="1627" w:type="dxa"/>
          </w:tcPr>
          <w:p w14:paraId="4E88797C" w14:textId="0D9DDC81" w:rsidR="00455251" w:rsidRPr="00C51C4C"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$0.03</w:t>
            </w:r>
            <w:r>
              <w:rPr>
                <w:rFonts w:ascii="Times New Roman" w:eastAsia="Times New Roman" w:hAnsi="Times New Roman" w:cs="Times New Roman"/>
                <w:sz w:val="24"/>
                <w:szCs w:val="24"/>
              </w:rPr>
              <w:t>78</w:t>
            </w:r>
          </w:p>
        </w:tc>
        <w:tc>
          <w:tcPr>
            <w:tcW w:w="1349" w:type="dxa"/>
          </w:tcPr>
          <w:p w14:paraId="0548A149" w14:textId="318BF15E" w:rsidR="00455251" w:rsidRPr="00455251" w:rsidRDefault="00455251" w:rsidP="009E6361">
            <w:pPr>
              <w:spacing w:after="0" w:line="240" w:lineRule="auto"/>
              <w:jc w:val="center"/>
              <w:rPr>
                <w:rFonts w:ascii="Times New Roman" w:eastAsia="Times New Roman" w:hAnsi="Times New Roman" w:cs="Times New Roman"/>
                <w:sz w:val="24"/>
                <w:szCs w:val="24"/>
              </w:rPr>
            </w:pPr>
            <w:r w:rsidRPr="00455251">
              <w:rPr>
                <w:rFonts w:ascii="Times New Roman" w:hAnsi="Times New Roman" w:cs="Times New Roman"/>
                <w:sz w:val="24"/>
                <w:szCs w:val="24"/>
              </w:rPr>
              <w:t>7.7%</w:t>
            </w:r>
          </w:p>
        </w:tc>
      </w:tr>
      <w:tr w:rsidR="00455251" w:rsidRPr="00913907" w14:paraId="06DE9CA8" w14:textId="4E6015E8" w:rsidTr="005C6E0B">
        <w:tc>
          <w:tcPr>
            <w:tcW w:w="2430" w:type="dxa"/>
          </w:tcPr>
          <w:p w14:paraId="506718C6" w14:textId="77777777"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Small General Service</w:t>
            </w:r>
          </w:p>
        </w:tc>
        <w:tc>
          <w:tcPr>
            <w:tcW w:w="2070" w:type="dxa"/>
          </w:tcPr>
          <w:p w14:paraId="1E2E56F2" w14:textId="77777777"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Schedule 24</w:t>
            </w:r>
          </w:p>
        </w:tc>
        <w:tc>
          <w:tcPr>
            <w:tcW w:w="1440" w:type="dxa"/>
          </w:tcPr>
          <w:p w14:paraId="72CA54C8" w14:textId="5EA93C9E" w:rsidR="00455251" w:rsidRPr="00EC1E52"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$0.0349</w:t>
            </w:r>
          </w:p>
        </w:tc>
        <w:tc>
          <w:tcPr>
            <w:tcW w:w="1627" w:type="dxa"/>
          </w:tcPr>
          <w:p w14:paraId="572378D0" w14:textId="4D73B526" w:rsidR="00455251" w:rsidRPr="00C51C4C"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$0.03</w:t>
            </w:r>
            <w:r>
              <w:rPr>
                <w:rFonts w:ascii="Times New Roman" w:eastAsia="Times New Roman" w:hAnsi="Times New Roman" w:cs="Times New Roman"/>
                <w:sz w:val="24"/>
                <w:szCs w:val="24"/>
              </w:rPr>
              <w:t>76</w:t>
            </w:r>
          </w:p>
        </w:tc>
        <w:tc>
          <w:tcPr>
            <w:tcW w:w="1349" w:type="dxa"/>
          </w:tcPr>
          <w:p w14:paraId="57353B73" w14:textId="60B7793D" w:rsidR="00455251" w:rsidRPr="00455251" w:rsidRDefault="00455251" w:rsidP="009E6361">
            <w:pPr>
              <w:spacing w:after="0" w:line="240" w:lineRule="auto"/>
              <w:jc w:val="center"/>
              <w:rPr>
                <w:rFonts w:ascii="Times New Roman" w:eastAsia="Times New Roman" w:hAnsi="Times New Roman" w:cs="Times New Roman"/>
                <w:sz w:val="24"/>
                <w:szCs w:val="24"/>
              </w:rPr>
            </w:pPr>
            <w:r w:rsidRPr="00455251">
              <w:rPr>
                <w:rFonts w:ascii="Times New Roman" w:hAnsi="Times New Roman" w:cs="Times New Roman"/>
                <w:sz w:val="24"/>
                <w:szCs w:val="24"/>
              </w:rPr>
              <w:t>7.7%</w:t>
            </w:r>
          </w:p>
        </w:tc>
      </w:tr>
      <w:tr w:rsidR="00455251" w:rsidRPr="00913907" w14:paraId="040EB44D" w14:textId="30368046" w:rsidTr="005C6E0B">
        <w:tc>
          <w:tcPr>
            <w:tcW w:w="2430" w:type="dxa"/>
            <w:tcBorders>
              <w:bottom w:val="single" w:sz="4" w:space="0" w:color="000000"/>
            </w:tcBorders>
          </w:tcPr>
          <w:p w14:paraId="252C8B63" w14:textId="3C824B87"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Partial Requirements</w:t>
            </w:r>
            <w:r w:rsidR="00642D72">
              <w:rPr>
                <w:rFonts w:ascii="Times New Roman" w:eastAsia="Times New Roman" w:hAnsi="Times New Roman" w:cs="Times New Roman"/>
                <w:sz w:val="24"/>
                <w:szCs w:val="24"/>
              </w:rPr>
              <w:t>, Large General</w:t>
            </w:r>
            <w:r w:rsidRPr="00C51C4C">
              <w:rPr>
                <w:rFonts w:ascii="Times New Roman" w:eastAsia="Times New Roman" w:hAnsi="Times New Roman" w:cs="Times New Roman"/>
                <w:sz w:val="24"/>
                <w:szCs w:val="24"/>
              </w:rPr>
              <w:t xml:space="preserve"> Service</w:t>
            </w:r>
          </w:p>
        </w:tc>
        <w:tc>
          <w:tcPr>
            <w:tcW w:w="2070" w:type="dxa"/>
            <w:tcBorders>
              <w:bottom w:val="single" w:sz="4" w:space="0" w:color="000000"/>
            </w:tcBorders>
          </w:tcPr>
          <w:p w14:paraId="38EC0AD7" w14:textId="4A8AE9D7"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Schedule</w:t>
            </w:r>
            <w:r w:rsidR="00642D72">
              <w:rPr>
                <w:rFonts w:ascii="Times New Roman" w:eastAsia="Times New Roman" w:hAnsi="Times New Roman" w:cs="Times New Roman"/>
                <w:sz w:val="24"/>
                <w:szCs w:val="24"/>
              </w:rPr>
              <w:t>s</w:t>
            </w:r>
            <w:r w:rsidRPr="00C51C4C">
              <w:rPr>
                <w:rFonts w:ascii="Times New Roman" w:eastAsia="Times New Roman" w:hAnsi="Times New Roman" w:cs="Times New Roman"/>
                <w:sz w:val="24"/>
                <w:szCs w:val="24"/>
              </w:rPr>
              <w:t xml:space="preserve"> 33</w:t>
            </w:r>
            <w:r w:rsidR="00642D72">
              <w:rPr>
                <w:rFonts w:ascii="Times New Roman" w:eastAsia="Times New Roman" w:hAnsi="Times New Roman" w:cs="Times New Roman"/>
                <w:sz w:val="24"/>
                <w:szCs w:val="24"/>
              </w:rPr>
              <w:t>, 36</w:t>
            </w:r>
          </w:p>
        </w:tc>
        <w:tc>
          <w:tcPr>
            <w:tcW w:w="1440" w:type="dxa"/>
            <w:tcBorders>
              <w:bottom w:val="single" w:sz="4" w:space="0" w:color="000000"/>
            </w:tcBorders>
          </w:tcPr>
          <w:p w14:paraId="5268A495" w14:textId="6DC1A39C" w:rsidR="00455251" w:rsidRPr="00EC1E52"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$0.0299</w:t>
            </w:r>
          </w:p>
        </w:tc>
        <w:tc>
          <w:tcPr>
            <w:tcW w:w="1627" w:type="dxa"/>
            <w:tcBorders>
              <w:bottom w:val="single" w:sz="4" w:space="0" w:color="000000"/>
            </w:tcBorders>
          </w:tcPr>
          <w:p w14:paraId="137ED71A" w14:textId="6A21E805" w:rsidR="00455251" w:rsidRPr="00C51C4C"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w:t>
            </w:r>
            <w:r>
              <w:rPr>
                <w:rFonts w:ascii="Times New Roman" w:eastAsia="Times New Roman" w:hAnsi="Times New Roman" w:cs="Times New Roman"/>
                <w:sz w:val="24"/>
                <w:szCs w:val="24"/>
              </w:rPr>
              <w:t>322</w:t>
            </w:r>
          </w:p>
        </w:tc>
        <w:tc>
          <w:tcPr>
            <w:tcW w:w="1349" w:type="dxa"/>
            <w:tcBorders>
              <w:bottom w:val="single" w:sz="4" w:space="0" w:color="000000"/>
            </w:tcBorders>
          </w:tcPr>
          <w:p w14:paraId="35E3BA92" w14:textId="79B30E0C" w:rsidR="00455251" w:rsidRPr="00455251" w:rsidRDefault="00455251" w:rsidP="009E6361">
            <w:pPr>
              <w:spacing w:after="0" w:line="240" w:lineRule="auto"/>
              <w:jc w:val="center"/>
              <w:rPr>
                <w:rFonts w:ascii="Times New Roman" w:eastAsia="Times New Roman" w:hAnsi="Times New Roman" w:cs="Times New Roman"/>
                <w:sz w:val="24"/>
                <w:szCs w:val="24"/>
              </w:rPr>
            </w:pPr>
            <w:r w:rsidRPr="00455251">
              <w:rPr>
                <w:rFonts w:ascii="Times New Roman" w:hAnsi="Times New Roman" w:cs="Times New Roman"/>
                <w:sz w:val="24"/>
                <w:szCs w:val="24"/>
              </w:rPr>
              <w:t>7.7%</w:t>
            </w:r>
          </w:p>
        </w:tc>
      </w:tr>
      <w:tr w:rsidR="00455251" w:rsidRPr="00913907" w14:paraId="35DE2180" w14:textId="1E815A71" w:rsidTr="005C6E0B">
        <w:tc>
          <w:tcPr>
            <w:tcW w:w="2430" w:type="dxa"/>
          </w:tcPr>
          <w:p w14:paraId="74761B10" w14:textId="77777777"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 xml:space="preserve">Agricultural Pumping </w:t>
            </w:r>
          </w:p>
        </w:tc>
        <w:tc>
          <w:tcPr>
            <w:tcW w:w="2070" w:type="dxa"/>
          </w:tcPr>
          <w:p w14:paraId="71F92461" w14:textId="77777777"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Schedule 40</w:t>
            </w:r>
          </w:p>
        </w:tc>
        <w:tc>
          <w:tcPr>
            <w:tcW w:w="1440" w:type="dxa"/>
          </w:tcPr>
          <w:p w14:paraId="7DF588E8" w14:textId="4B1FC73C" w:rsidR="00455251" w:rsidRPr="00EC1E52"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$0.0330</w:t>
            </w:r>
          </w:p>
        </w:tc>
        <w:tc>
          <w:tcPr>
            <w:tcW w:w="1627" w:type="dxa"/>
          </w:tcPr>
          <w:p w14:paraId="4F922D3B" w14:textId="537C4D18" w:rsidR="00455251" w:rsidRPr="00C51C4C"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$0.03</w:t>
            </w:r>
            <w:r w:rsidR="001134C3">
              <w:rPr>
                <w:rFonts w:ascii="Times New Roman" w:eastAsia="Times New Roman" w:hAnsi="Times New Roman" w:cs="Times New Roman"/>
                <w:sz w:val="24"/>
                <w:szCs w:val="24"/>
              </w:rPr>
              <w:t>55</w:t>
            </w:r>
          </w:p>
        </w:tc>
        <w:tc>
          <w:tcPr>
            <w:tcW w:w="1349" w:type="dxa"/>
          </w:tcPr>
          <w:p w14:paraId="63775A72" w14:textId="2AA01CDC" w:rsidR="00455251" w:rsidRPr="00455251" w:rsidRDefault="001134C3" w:rsidP="009E636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7.6</w:t>
            </w:r>
            <w:r w:rsidR="00455251" w:rsidRPr="00455251">
              <w:rPr>
                <w:rFonts w:ascii="Times New Roman" w:hAnsi="Times New Roman" w:cs="Times New Roman"/>
                <w:sz w:val="24"/>
                <w:szCs w:val="24"/>
              </w:rPr>
              <w:t>%</w:t>
            </w:r>
          </w:p>
        </w:tc>
      </w:tr>
      <w:tr w:rsidR="00455251" w:rsidRPr="00913907" w14:paraId="38DFE4CF" w14:textId="74D5A67F" w:rsidTr="005C6E0B">
        <w:tc>
          <w:tcPr>
            <w:tcW w:w="2430" w:type="dxa"/>
          </w:tcPr>
          <w:p w14:paraId="25B80903" w14:textId="77777777"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Large Users</w:t>
            </w:r>
          </w:p>
        </w:tc>
        <w:tc>
          <w:tcPr>
            <w:tcW w:w="2070" w:type="dxa"/>
          </w:tcPr>
          <w:p w14:paraId="203E85F1" w14:textId="4D591891"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Schedule</w:t>
            </w:r>
            <w:r w:rsidR="00642D72">
              <w:rPr>
                <w:rFonts w:ascii="Times New Roman" w:eastAsia="Times New Roman" w:hAnsi="Times New Roman" w:cs="Times New Roman"/>
                <w:sz w:val="24"/>
                <w:szCs w:val="24"/>
              </w:rPr>
              <w:t>s</w:t>
            </w:r>
            <w:r w:rsidRPr="00C51C4C">
              <w:rPr>
                <w:rFonts w:ascii="Times New Roman" w:eastAsia="Times New Roman" w:hAnsi="Times New Roman" w:cs="Times New Roman"/>
                <w:sz w:val="24"/>
                <w:szCs w:val="24"/>
              </w:rPr>
              <w:t xml:space="preserve"> 47T</w:t>
            </w:r>
            <w:r w:rsidR="00642D72">
              <w:rPr>
                <w:rFonts w:ascii="Times New Roman" w:eastAsia="Times New Roman" w:hAnsi="Times New Roman" w:cs="Times New Roman"/>
                <w:sz w:val="24"/>
                <w:szCs w:val="24"/>
              </w:rPr>
              <w:t>, 48T</w:t>
            </w:r>
          </w:p>
        </w:tc>
        <w:tc>
          <w:tcPr>
            <w:tcW w:w="1440" w:type="dxa"/>
          </w:tcPr>
          <w:p w14:paraId="19A53DD4" w14:textId="192D6C4A" w:rsidR="00455251" w:rsidRPr="00EC1E52"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$0.0245</w:t>
            </w:r>
          </w:p>
        </w:tc>
        <w:tc>
          <w:tcPr>
            <w:tcW w:w="1627" w:type="dxa"/>
          </w:tcPr>
          <w:p w14:paraId="7341A83B" w14:textId="16CEA45E" w:rsidR="00455251" w:rsidRPr="00C51C4C"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w:t>
            </w:r>
            <w:r>
              <w:rPr>
                <w:rFonts w:ascii="Times New Roman" w:eastAsia="Times New Roman" w:hAnsi="Times New Roman" w:cs="Times New Roman"/>
                <w:sz w:val="24"/>
                <w:szCs w:val="24"/>
              </w:rPr>
              <w:t>265</w:t>
            </w:r>
          </w:p>
        </w:tc>
        <w:tc>
          <w:tcPr>
            <w:tcW w:w="1349" w:type="dxa"/>
          </w:tcPr>
          <w:p w14:paraId="4361433C" w14:textId="7423F3AB" w:rsidR="00455251" w:rsidRPr="00455251" w:rsidRDefault="00455251" w:rsidP="009E6361">
            <w:pPr>
              <w:spacing w:after="0" w:line="240" w:lineRule="auto"/>
              <w:jc w:val="center"/>
              <w:rPr>
                <w:rFonts w:ascii="Times New Roman" w:eastAsia="Times New Roman" w:hAnsi="Times New Roman" w:cs="Times New Roman"/>
                <w:sz w:val="24"/>
                <w:szCs w:val="24"/>
              </w:rPr>
            </w:pPr>
            <w:r w:rsidRPr="00455251">
              <w:rPr>
                <w:rFonts w:ascii="Times New Roman" w:hAnsi="Times New Roman" w:cs="Times New Roman"/>
                <w:sz w:val="24"/>
                <w:szCs w:val="24"/>
              </w:rPr>
              <w:t>8.2%</w:t>
            </w:r>
          </w:p>
        </w:tc>
      </w:tr>
      <w:tr w:rsidR="00455251" w:rsidRPr="00913907" w14:paraId="3CEA54AC" w14:textId="2738FF99" w:rsidTr="005C6E0B">
        <w:tc>
          <w:tcPr>
            <w:tcW w:w="2430" w:type="dxa"/>
          </w:tcPr>
          <w:p w14:paraId="06B2139E" w14:textId="77777777"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Lighting</w:t>
            </w:r>
          </w:p>
        </w:tc>
        <w:tc>
          <w:tcPr>
            <w:tcW w:w="2070" w:type="dxa"/>
          </w:tcPr>
          <w:p w14:paraId="78A7488C" w14:textId="0DF752A7"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Schedule</w:t>
            </w:r>
            <w:r w:rsidR="00642D72">
              <w:rPr>
                <w:rFonts w:ascii="Times New Roman" w:eastAsia="Times New Roman" w:hAnsi="Times New Roman" w:cs="Times New Roman"/>
                <w:sz w:val="24"/>
                <w:szCs w:val="24"/>
              </w:rPr>
              <w:t>s</w:t>
            </w:r>
            <w:r w:rsidRPr="00C51C4C">
              <w:rPr>
                <w:rFonts w:ascii="Times New Roman" w:eastAsia="Times New Roman" w:hAnsi="Times New Roman" w:cs="Times New Roman"/>
                <w:sz w:val="24"/>
                <w:szCs w:val="24"/>
              </w:rPr>
              <w:t xml:space="preserve"> 51</w:t>
            </w:r>
            <w:r w:rsidR="00642D72">
              <w:rPr>
                <w:rFonts w:ascii="Times New Roman" w:eastAsia="Times New Roman" w:hAnsi="Times New Roman" w:cs="Times New Roman"/>
                <w:sz w:val="24"/>
                <w:szCs w:val="24"/>
              </w:rPr>
              <w:t>, 52, 53, 57</w:t>
            </w:r>
          </w:p>
        </w:tc>
        <w:tc>
          <w:tcPr>
            <w:tcW w:w="1440" w:type="dxa"/>
          </w:tcPr>
          <w:p w14:paraId="44970CE2" w14:textId="0D9F45B0" w:rsidR="00455251" w:rsidRPr="00EC1E52"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$0.0316</w:t>
            </w:r>
          </w:p>
        </w:tc>
        <w:tc>
          <w:tcPr>
            <w:tcW w:w="1627" w:type="dxa"/>
          </w:tcPr>
          <w:p w14:paraId="71D614D6" w14:textId="340F108D" w:rsidR="00455251" w:rsidRPr="00C51C4C"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w:t>
            </w:r>
            <w:r>
              <w:rPr>
                <w:rFonts w:ascii="Times New Roman" w:eastAsia="Times New Roman" w:hAnsi="Times New Roman" w:cs="Times New Roman"/>
                <w:sz w:val="24"/>
                <w:szCs w:val="24"/>
              </w:rPr>
              <w:t>340</w:t>
            </w:r>
          </w:p>
        </w:tc>
        <w:tc>
          <w:tcPr>
            <w:tcW w:w="1349" w:type="dxa"/>
          </w:tcPr>
          <w:p w14:paraId="50B245A1" w14:textId="37FB9582" w:rsidR="00455251" w:rsidRPr="00455251" w:rsidRDefault="00455251" w:rsidP="009E6361">
            <w:pPr>
              <w:spacing w:after="0" w:line="240" w:lineRule="auto"/>
              <w:jc w:val="center"/>
              <w:rPr>
                <w:rFonts w:ascii="Times New Roman" w:eastAsia="Times New Roman" w:hAnsi="Times New Roman" w:cs="Times New Roman"/>
                <w:sz w:val="24"/>
                <w:szCs w:val="24"/>
              </w:rPr>
            </w:pPr>
            <w:r w:rsidRPr="00455251">
              <w:rPr>
                <w:rFonts w:ascii="Times New Roman" w:hAnsi="Times New Roman" w:cs="Times New Roman"/>
                <w:sz w:val="24"/>
                <w:szCs w:val="24"/>
              </w:rPr>
              <w:t>7.6%</w:t>
            </w:r>
          </w:p>
        </w:tc>
      </w:tr>
      <w:tr w:rsidR="00455251" w:rsidRPr="00913907" w14:paraId="19B58B87" w14:textId="7DF857CB" w:rsidTr="005C6E0B">
        <w:tc>
          <w:tcPr>
            <w:tcW w:w="2430" w:type="dxa"/>
          </w:tcPr>
          <w:p w14:paraId="6B90CFAE" w14:textId="77777777" w:rsidR="00455251" w:rsidRPr="00C51C4C" w:rsidRDefault="00455251" w:rsidP="00455251">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Lighting</w:t>
            </w:r>
          </w:p>
        </w:tc>
        <w:tc>
          <w:tcPr>
            <w:tcW w:w="2070" w:type="dxa"/>
          </w:tcPr>
          <w:p w14:paraId="2D7C49F0" w14:textId="77777777" w:rsidR="00455251" w:rsidRPr="00C51C4C" w:rsidRDefault="00455251" w:rsidP="004552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54</w:t>
            </w:r>
          </w:p>
        </w:tc>
        <w:tc>
          <w:tcPr>
            <w:tcW w:w="1440" w:type="dxa"/>
          </w:tcPr>
          <w:p w14:paraId="142D532F" w14:textId="6BC0F22A" w:rsidR="00455251" w:rsidRPr="00EC1E52"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$0.0344</w:t>
            </w:r>
          </w:p>
        </w:tc>
        <w:tc>
          <w:tcPr>
            <w:tcW w:w="1627" w:type="dxa"/>
          </w:tcPr>
          <w:p w14:paraId="29DCE122" w14:textId="388D7BFB" w:rsidR="00455251" w:rsidRPr="00C51C4C" w:rsidRDefault="00455251" w:rsidP="009E6361">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$0.03</w:t>
            </w:r>
            <w:r>
              <w:rPr>
                <w:rFonts w:ascii="Times New Roman" w:eastAsia="Times New Roman" w:hAnsi="Times New Roman" w:cs="Times New Roman"/>
                <w:sz w:val="24"/>
                <w:szCs w:val="24"/>
              </w:rPr>
              <w:t>71</w:t>
            </w:r>
          </w:p>
        </w:tc>
        <w:tc>
          <w:tcPr>
            <w:tcW w:w="1349" w:type="dxa"/>
          </w:tcPr>
          <w:p w14:paraId="3B4D0AD8" w14:textId="48FEB4CC" w:rsidR="00455251" w:rsidRPr="00455251" w:rsidRDefault="00455251" w:rsidP="009E6361">
            <w:pPr>
              <w:spacing w:after="0" w:line="240" w:lineRule="auto"/>
              <w:jc w:val="center"/>
              <w:rPr>
                <w:rFonts w:ascii="Times New Roman" w:eastAsia="Times New Roman" w:hAnsi="Times New Roman" w:cs="Times New Roman"/>
                <w:sz w:val="24"/>
                <w:szCs w:val="24"/>
              </w:rPr>
            </w:pPr>
            <w:r w:rsidRPr="00455251">
              <w:rPr>
                <w:rFonts w:ascii="Times New Roman" w:hAnsi="Times New Roman" w:cs="Times New Roman"/>
                <w:sz w:val="24"/>
                <w:szCs w:val="24"/>
              </w:rPr>
              <w:t>7.8%</w:t>
            </w:r>
          </w:p>
        </w:tc>
      </w:tr>
      <w:tr w:rsidR="00414C9E" w:rsidRPr="00913907" w14:paraId="1A12A140" w14:textId="642BEAC7" w:rsidTr="005C6E0B">
        <w:tc>
          <w:tcPr>
            <w:tcW w:w="2430" w:type="dxa"/>
          </w:tcPr>
          <w:p w14:paraId="02C8AAAA" w14:textId="77777777" w:rsidR="00414C9E" w:rsidRPr="00913907" w:rsidRDefault="00414C9E" w:rsidP="00C51C4C">
            <w:pPr>
              <w:spacing w:after="0" w:line="240" w:lineRule="auto"/>
              <w:rPr>
                <w:rFonts w:ascii="Times New Roman" w:eastAsia="Times New Roman" w:hAnsi="Times New Roman" w:cs="Times New Roman"/>
                <w:color w:val="FF0000"/>
                <w:sz w:val="24"/>
                <w:szCs w:val="24"/>
              </w:rPr>
            </w:pPr>
          </w:p>
        </w:tc>
        <w:tc>
          <w:tcPr>
            <w:tcW w:w="2070" w:type="dxa"/>
          </w:tcPr>
          <w:p w14:paraId="6747E3D8" w14:textId="77777777" w:rsidR="00414C9E" w:rsidRPr="00913907" w:rsidRDefault="00414C9E" w:rsidP="00C51C4C">
            <w:pPr>
              <w:spacing w:after="0" w:line="240" w:lineRule="auto"/>
              <w:rPr>
                <w:rFonts w:ascii="Times New Roman" w:eastAsia="Times New Roman" w:hAnsi="Times New Roman" w:cs="Times New Roman"/>
                <w:color w:val="FF0000"/>
                <w:sz w:val="24"/>
                <w:szCs w:val="24"/>
              </w:rPr>
            </w:pPr>
          </w:p>
        </w:tc>
        <w:tc>
          <w:tcPr>
            <w:tcW w:w="1440" w:type="dxa"/>
          </w:tcPr>
          <w:p w14:paraId="4BFCB621" w14:textId="77777777" w:rsidR="00414C9E" w:rsidRPr="00913907" w:rsidRDefault="00414C9E" w:rsidP="00C51C4C">
            <w:pPr>
              <w:spacing w:after="0" w:line="240" w:lineRule="auto"/>
              <w:rPr>
                <w:rFonts w:ascii="Times New Roman" w:eastAsia="Times New Roman" w:hAnsi="Times New Roman" w:cs="Times New Roman"/>
                <w:color w:val="FF0000"/>
                <w:sz w:val="24"/>
                <w:szCs w:val="24"/>
                <w:highlight w:val="yellow"/>
              </w:rPr>
            </w:pPr>
          </w:p>
        </w:tc>
        <w:tc>
          <w:tcPr>
            <w:tcW w:w="1627" w:type="dxa"/>
          </w:tcPr>
          <w:p w14:paraId="38E3E69B" w14:textId="77777777" w:rsidR="00414C9E" w:rsidRPr="00913907" w:rsidRDefault="00414C9E" w:rsidP="00C51C4C">
            <w:pPr>
              <w:spacing w:after="0" w:line="240" w:lineRule="auto"/>
              <w:rPr>
                <w:rFonts w:ascii="Times New Roman" w:eastAsia="Times New Roman" w:hAnsi="Times New Roman" w:cs="Times New Roman"/>
                <w:color w:val="FF0000"/>
                <w:sz w:val="24"/>
                <w:szCs w:val="24"/>
                <w:highlight w:val="yellow"/>
              </w:rPr>
            </w:pPr>
          </w:p>
        </w:tc>
        <w:tc>
          <w:tcPr>
            <w:tcW w:w="1349" w:type="dxa"/>
          </w:tcPr>
          <w:p w14:paraId="03DACF7B" w14:textId="77777777" w:rsidR="00414C9E" w:rsidRPr="00913907" w:rsidRDefault="00414C9E" w:rsidP="00C51C4C">
            <w:pPr>
              <w:spacing w:after="0" w:line="240" w:lineRule="auto"/>
              <w:rPr>
                <w:rFonts w:ascii="Times New Roman" w:eastAsia="Times New Roman" w:hAnsi="Times New Roman" w:cs="Times New Roman"/>
                <w:color w:val="FF0000"/>
                <w:sz w:val="24"/>
                <w:szCs w:val="24"/>
                <w:highlight w:val="yellow"/>
              </w:rPr>
            </w:pPr>
          </w:p>
        </w:tc>
      </w:tr>
    </w:tbl>
    <w:p w14:paraId="1D38F406" w14:textId="32B12918" w:rsidR="00730C5C" w:rsidRDefault="00EA02E4" w:rsidP="00455251">
      <w:pPr>
        <w:spacing w:after="0"/>
        <w:rPr>
          <w:rFonts w:ascii="Times New Roman" w:hAnsi="Times New Roman" w:cs="Times New Roman"/>
          <w:sz w:val="24"/>
          <w:szCs w:val="24"/>
        </w:rPr>
      </w:pPr>
      <w:r>
        <w:rPr>
          <w:rFonts w:ascii="Times New Roman" w:hAnsi="Times New Roman" w:cs="Times New Roman"/>
          <w:b/>
          <w:i/>
          <w:sz w:val="24"/>
          <w:szCs w:val="24"/>
        </w:rPr>
        <w:t>Review of variance</w:t>
      </w:r>
    </w:p>
    <w:p w14:paraId="2CF653E9" w14:textId="77777777" w:rsidR="009D258B" w:rsidRDefault="009D258B" w:rsidP="00455251">
      <w:pPr>
        <w:spacing w:after="0"/>
        <w:rPr>
          <w:rFonts w:ascii="Times New Roman" w:hAnsi="Times New Roman" w:cs="Times New Roman"/>
          <w:sz w:val="24"/>
          <w:szCs w:val="24"/>
        </w:rPr>
      </w:pPr>
      <w:r w:rsidRPr="00F73B26">
        <w:rPr>
          <w:rFonts w:ascii="Times New Roman" w:hAnsi="Times New Roman" w:cs="Times New Roman"/>
          <w:sz w:val="24"/>
          <w:szCs w:val="24"/>
        </w:rPr>
        <w:t xml:space="preserve">Pacific Power’s Schedule 191 account follows a general annual cycle that sees it run a deficit during winter months, when higher winter bills drive an increase in ratepayer conservation activities, and then return to a surplus in the summer months, when conservation activity declines in response to lower bills. </w:t>
      </w:r>
    </w:p>
    <w:p w14:paraId="00FDE14C" w14:textId="77777777" w:rsidR="00F15514" w:rsidRPr="002D58C4" w:rsidRDefault="00F15514" w:rsidP="00455251">
      <w:pPr>
        <w:spacing w:after="0"/>
        <w:rPr>
          <w:rFonts w:ascii="Times New Roman" w:hAnsi="Times New Roman" w:cs="Times New Roman"/>
          <w:sz w:val="24"/>
          <w:szCs w:val="24"/>
        </w:rPr>
      </w:pPr>
    </w:p>
    <w:p w14:paraId="740CA21F" w14:textId="5C0609DB" w:rsidR="00455251" w:rsidRDefault="009D258B" w:rsidP="00455251">
      <w:pPr>
        <w:spacing w:after="0"/>
        <w:rPr>
          <w:rFonts w:ascii="Times New Roman" w:hAnsi="Times New Roman" w:cs="Times New Roman"/>
          <w:sz w:val="24"/>
          <w:szCs w:val="24"/>
        </w:rPr>
      </w:pPr>
      <w:r w:rsidRPr="00F73B26">
        <w:rPr>
          <w:rFonts w:ascii="Times New Roman" w:hAnsi="Times New Roman" w:cs="Times New Roman"/>
          <w:sz w:val="24"/>
          <w:szCs w:val="24"/>
        </w:rPr>
        <w:t>At the conclusion of 201</w:t>
      </w:r>
      <w:r w:rsidR="00A95B87">
        <w:rPr>
          <w:rFonts w:ascii="Times New Roman" w:hAnsi="Times New Roman" w:cs="Times New Roman"/>
          <w:sz w:val="24"/>
          <w:szCs w:val="24"/>
        </w:rPr>
        <w:t>6</w:t>
      </w:r>
      <w:r w:rsidRPr="00F73B26">
        <w:rPr>
          <w:rFonts w:ascii="Times New Roman" w:hAnsi="Times New Roman" w:cs="Times New Roman"/>
          <w:sz w:val="24"/>
          <w:szCs w:val="24"/>
        </w:rPr>
        <w:t>, the account showed an under collection (deficit) of about $</w:t>
      </w:r>
      <w:r w:rsidR="00A95B87">
        <w:rPr>
          <w:rFonts w:ascii="Times New Roman" w:hAnsi="Times New Roman" w:cs="Times New Roman"/>
          <w:sz w:val="24"/>
          <w:szCs w:val="24"/>
        </w:rPr>
        <w:t>2.5</w:t>
      </w:r>
      <w:r w:rsidRPr="00F73B26">
        <w:rPr>
          <w:rFonts w:ascii="Times New Roman" w:hAnsi="Times New Roman" w:cs="Times New Roman"/>
          <w:sz w:val="24"/>
          <w:szCs w:val="24"/>
        </w:rPr>
        <w:t xml:space="preserve"> million. </w:t>
      </w:r>
      <w:r w:rsidR="00A95B87">
        <w:rPr>
          <w:rFonts w:ascii="Times New Roman" w:hAnsi="Times New Roman" w:cs="Times New Roman"/>
          <w:sz w:val="24"/>
          <w:szCs w:val="24"/>
        </w:rPr>
        <w:t xml:space="preserve">From January through April, this deficit was reduced to $1 million. </w:t>
      </w:r>
      <w:r w:rsidRPr="002D58C4">
        <w:rPr>
          <w:rFonts w:ascii="Times New Roman" w:hAnsi="Times New Roman" w:cs="Times New Roman"/>
          <w:sz w:val="24"/>
          <w:szCs w:val="24"/>
        </w:rPr>
        <w:t xml:space="preserve">At current rates, the company projects that the account would </w:t>
      </w:r>
      <w:r w:rsidR="00864835">
        <w:rPr>
          <w:rFonts w:ascii="Times New Roman" w:hAnsi="Times New Roman" w:cs="Times New Roman"/>
          <w:sz w:val="24"/>
          <w:szCs w:val="24"/>
        </w:rPr>
        <w:t>continue to be</w:t>
      </w:r>
      <w:r w:rsidR="00A95B87">
        <w:rPr>
          <w:rFonts w:ascii="Times New Roman" w:hAnsi="Times New Roman" w:cs="Times New Roman"/>
          <w:sz w:val="24"/>
          <w:szCs w:val="24"/>
        </w:rPr>
        <w:t xml:space="preserve"> roughly $1 million </w:t>
      </w:r>
      <w:r w:rsidRPr="002D58C4">
        <w:rPr>
          <w:rFonts w:ascii="Times New Roman" w:hAnsi="Times New Roman" w:cs="Times New Roman"/>
          <w:sz w:val="24"/>
          <w:szCs w:val="24"/>
        </w:rPr>
        <w:t xml:space="preserve">under-collected by the end of July </w:t>
      </w:r>
      <w:r w:rsidR="00F15514" w:rsidRPr="002D58C4">
        <w:rPr>
          <w:rFonts w:ascii="Times New Roman" w:hAnsi="Times New Roman" w:cs="Times New Roman"/>
          <w:sz w:val="24"/>
          <w:szCs w:val="24"/>
        </w:rPr>
        <w:t>201</w:t>
      </w:r>
      <w:r w:rsidR="00A95B87">
        <w:rPr>
          <w:rFonts w:ascii="Times New Roman" w:hAnsi="Times New Roman" w:cs="Times New Roman"/>
          <w:sz w:val="24"/>
          <w:szCs w:val="24"/>
        </w:rPr>
        <w:t>8</w:t>
      </w:r>
      <w:r w:rsidRPr="002D58C4">
        <w:rPr>
          <w:rFonts w:ascii="Times New Roman" w:hAnsi="Times New Roman" w:cs="Times New Roman"/>
          <w:sz w:val="24"/>
          <w:szCs w:val="24"/>
        </w:rPr>
        <w:t>, which is when</w:t>
      </w:r>
      <w:r w:rsidR="00EB7C83">
        <w:rPr>
          <w:rFonts w:ascii="Times New Roman" w:hAnsi="Times New Roman" w:cs="Times New Roman"/>
          <w:sz w:val="24"/>
          <w:szCs w:val="24"/>
        </w:rPr>
        <w:t xml:space="preserve"> the</w:t>
      </w:r>
      <w:r w:rsidRPr="002D58C4">
        <w:rPr>
          <w:rFonts w:ascii="Times New Roman" w:hAnsi="Times New Roman" w:cs="Times New Roman"/>
          <w:sz w:val="24"/>
          <w:szCs w:val="24"/>
        </w:rPr>
        <w:t xml:space="preserve"> </w:t>
      </w:r>
      <w:r w:rsidR="00A95B87">
        <w:rPr>
          <w:rFonts w:ascii="Times New Roman" w:hAnsi="Times New Roman" w:cs="Times New Roman"/>
          <w:sz w:val="24"/>
          <w:szCs w:val="24"/>
        </w:rPr>
        <w:t>tariff filing would likely be replaced by the company’s 2018 revision</w:t>
      </w:r>
      <w:r w:rsidRPr="002D58C4">
        <w:rPr>
          <w:rFonts w:ascii="Times New Roman" w:hAnsi="Times New Roman" w:cs="Times New Roman"/>
          <w:sz w:val="24"/>
          <w:szCs w:val="24"/>
        </w:rPr>
        <w:t xml:space="preserve">. </w:t>
      </w:r>
      <w:r w:rsidRPr="00F73B26">
        <w:rPr>
          <w:rFonts w:ascii="Times New Roman" w:hAnsi="Times New Roman" w:cs="Times New Roman"/>
          <w:sz w:val="24"/>
          <w:szCs w:val="24"/>
        </w:rPr>
        <w:t>The $</w:t>
      </w:r>
      <w:r w:rsidR="00A95B87">
        <w:rPr>
          <w:rFonts w:ascii="Times New Roman" w:hAnsi="Times New Roman" w:cs="Times New Roman"/>
          <w:sz w:val="24"/>
          <w:szCs w:val="24"/>
        </w:rPr>
        <w:t>1</w:t>
      </w:r>
      <w:r w:rsidR="00F73B26" w:rsidRPr="00F73B26">
        <w:rPr>
          <w:rFonts w:ascii="Times New Roman" w:hAnsi="Times New Roman" w:cs="Times New Roman"/>
          <w:sz w:val="24"/>
          <w:szCs w:val="24"/>
        </w:rPr>
        <w:t xml:space="preserve"> million</w:t>
      </w:r>
      <w:r w:rsidRPr="00F73B26">
        <w:rPr>
          <w:rFonts w:ascii="Times New Roman" w:hAnsi="Times New Roman" w:cs="Times New Roman"/>
          <w:sz w:val="24"/>
          <w:szCs w:val="24"/>
        </w:rPr>
        <w:t xml:space="preserve"> increase that Pacific Power is requesting in this filing is to correct the projected deficit that will exist at the end of the next rate period.</w:t>
      </w:r>
      <w:r w:rsidR="00A95B87">
        <w:rPr>
          <w:rFonts w:ascii="Times New Roman" w:hAnsi="Times New Roman" w:cs="Times New Roman"/>
          <w:sz w:val="24"/>
          <w:szCs w:val="24"/>
        </w:rPr>
        <w:t xml:space="preserve"> </w:t>
      </w:r>
    </w:p>
    <w:p w14:paraId="7A8988F8" w14:textId="77777777" w:rsidR="00DE6E5B" w:rsidRDefault="00DE6E5B" w:rsidP="00455251">
      <w:pPr>
        <w:spacing w:after="0"/>
        <w:rPr>
          <w:rFonts w:ascii="Times New Roman" w:hAnsi="Times New Roman" w:cs="Times New Roman"/>
          <w:sz w:val="24"/>
          <w:szCs w:val="24"/>
        </w:rPr>
      </w:pPr>
    </w:p>
    <w:p w14:paraId="2560F2C7" w14:textId="77777777" w:rsidR="00455251" w:rsidRDefault="00114071" w:rsidP="00455251">
      <w:pPr>
        <w:spacing w:after="0"/>
        <w:rPr>
          <w:rFonts w:ascii="Times New Roman" w:hAnsi="Times New Roman" w:cs="Times New Roman"/>
          <w:sz w:val="24"/>
          <w:szCs w:val="24"/>
        </w:rPr>
      </w:pPr>
      <w:r w:rsidRPr="00516C9A">
        <w:rPr>
          <w:rFonts w:ascii="Times New Roman" w:eastAsia="Times New Roman" w:hAnsi="Times New Roman" w:cs="Times New Roman"/>
          <w:b/>
          <w:i/>
          <w:sz w:val="24"/>
          <w:szCs w:val="24"/>
        </w:rPr>
        <w:t>Staff review and program expenditure audit</w:t>
      </w:r>
    </w:p>
    <w:p w14:paraId="61C524F2" w14:textId="134E95AF" w:rsidR="002D58C4" w:rsidRPr="00455251" w:rsidRDefault="00F15514" w:rsidP="00455251">
      <w:pPr>
        <w:spacing w:after="0"/>
        <w:rPr>
          <w:rFonts w:ascii="Times New Roman" w:hAnsi="Times New Roman" w:cs="Times New Roman"/>
          <w:sz w:val="24"/>
          <w:szCs w:val="24"/>
        </w:rPr>
      </w:pPr>
      <w:r>
        <w:rPr>
          <w:rFonts w:ascii="Times New Roman" w:eastAsia="Times New Roman" w:hAnsi="Times New Roman" w:cs="Times New Roman"/>
          <w:sz w:val="24"/>
          <w:szCs w:val="24"/>
        </w:rPr>
        <w:t>Staff</w:t>
      </w:r>
      <w:r w:rsidR="00114071" w:rsidRPr="00516C9A">
        <w:rPr>
          <w:rFonts w:ascii="Times New Roman" w:eastAsia="Times New Roman" w:hAnsi="Times New Roman" w:cs="Times New Roman"/>
          <w:sz w:val="24"/>
          <w:szCs w:val="24"/>
        </w:rPr>
        <w:t xml:space="preserve"> review of </w:t>
      </w:r>
      <w:r w:rsidR="00516C9A" w:rsidRPr="00516C9A">
        <w:rPr>
          <w:rFonts w:ascii="Times New Roman" w:eastAsia="Times New Roman" w:hAnsi="Times New Roman" w:cs="Times New Roman"/>
          <w:sz w:val="24"/>
          <w:szCs w:val="24"/>
        </w:rPr>
        <w:t>Pacific</w:t>
      </w:r>
      <w:r w:rsidR="002D58C4">
        <w:rPr>
          <w:rFonts w:ascii="Times New Roman" w:eastAsia="Times New Roman" w:hAnsi="Times New Roman" w:cs="Times New Roman"/>
          <w:sz w:val="24"/>
          <w:szCs w:val="24"/>
        </w:rPr>
        <w:t xml:space="preserve"> Power</w:t>
      </w:r>
      <w:r w:rsidR="00114071" w:rsidRPr="00516C9A">
        <w:rPr>
          <w:rFonts w:ascii="Times New Roman" w:eastAsia="Times New Roman" w:hAnsi="Times New Roman" w:cs="Times New Roman"/>
          <w:sz w:val="24"/>
          <w:szCs w:val="24"/>
        </w:rPr>
        <w:t xml:space="preserve">’s conservation program expenditures occurs not only through this filing, but through participation in </w:t>
      </w:r>
      <w:r w:rsidR="002D58C4">
        <w:rPr>
          <w:rFonts w:ascii="Times New Roman" w:eastAsia="Times New Roman" w:hAnsi="Times New Roman" w:cs="Times New Roman"/>
          <w:sz w:val="24"/>
          <w:szCs w:val="24"/>
        </w:rPr>
        <w:t xml:space="preserve">the </w:t>
      </w:r>
      <w:r w:rsidR="002D58C4" w:rsidRPr="002D58C4">
        <w:rPr>
          <w:rFonts w:ascii="Times New Roman" w:eastAsia="Times New Roman" w:hAnsi="Times New Roman" w:cs="Times New Roman"/>
          <w:sz w:val="24"/>
          <w:szCs w:val="24"/>
        </w:rPr>
        <w:t xml:space="preserve">Washington Demand-Side Management Advisory Group </w:t>
      </w:r>
      <w:r w:rsidR="00114071" w:rsidRPr="00516C9A">
        <w:rPr>
          <w:rFonts w:ascii="Times New Roman" w:eastAsia="Times New Roman" w:hAnsi="Times New Roman" w:cs="Times New Roman"/>
          <w:sz w:val="24"/>
          <w:szCs w:val="24"/>
        </w:rPr>
        <w:t xml:space="preserve">meetings throughout the year. </w:t>
      </w:r>
      <w:r w:rsidR="002D58C4" w:rsidRPr="002D58C4">
        <w:rPr>
          <w:rFonts w:ascii="Times New Roman" w:eastAsia="Times New Roman" w:hAnsi="Times New Roman" w:cs="Times New Roman"/>
          <w:sz w:val="24"/>
          <w:szCs w:val="24"/>
        </w:rPr>
        <w:t>These meetings allow staff an opportunity to review program proposals and tariffs before they are filed, discuss issues with other stakeholders, and pose questions to company representatives. Through the advisory group, staff was able to review this tariff and ask questions before it was filed.</w:t>
      </w:r>
    </w:p>
    <w:p w14:paraId="632744E5" w14:textId="77777777" w:rsidR="002D58C4" w:rsidRDefault="002D58C4" w:rsidP="00455251">
      <w:pPr>
        <w:spacing w:after="0" w:line="240" w:lineRule="auto"/>
        <w:rPr>
          <w:rFonts w:ascii="Times New Roman" w:eastAsia="Times New Roman" w:hAnsi="Times New Roman" w:cs="Times New Roman"/>
          <w:sz w:val="24"/>
          <w:szCs w:val="24"/>
        </w:rPr>
      </w:pPr>
    </w:p>
    <w:p w14:paraId="748AF9C7" w14:textId="07D838BB" w:rsidR="00114071" w:rsidRPr="00516C9A" w:rsidRDefault="00516C9A" w:rsidP="00455251">
      <w:pPr>
        <w:spacing w:after="0" w:line="240" w:lineRule="auto"/>
        <w:rPr>
          <w:rFonts w:ascii="Times New Roman" w:eastAsia="Times New Roman" w:hAnsi="Times New Roman" w:cs="Times New Roman"/>
          <w:sz w:val="24"/>
          <w:szCs w:val="24"/>
        </w:rPr>
      </w:pPr>
      <w:r w:rsidRPr="00516C9A">
        <w:rPr>
          <w:rFonts w:ascii="Times New Roman" w:eastAsia="Times New Roman" w:hAnsi="Times New Roman" w:cs="Times New Roman"/>
          <w:sz w:val="24"/>
          <w:szCs w:val="24"/>
        </w:rPr>
        <w:lastRenderedPageBreak/>
        <w:t>S</w:t>
      </w:r>
      <w:r w:rsidR="00114071" w:rsidRPr="00516C9A">
        <w:rPr>
          <w:rFonts w:ascii="Times New Roman" w:eastAsia="Times New Roman" w:hAnsi="Times New Roman" w:cs="Times New Roman"/>
          <w:sz w:val="24"/>
          <w:szCs w:val="24"/>
        </w:rPr>
        <w:t xml:space="preserve">taff performed an on-site audit of </w:t>
      </w:r>
      <w:r w:rsidRPr="00516C9A">
        <w:rPr>
          <w:rFonts w:ascii="Times New Roman" w:eastAsia="Times New Roman" w:hAnsi="Times New Roman" w:cs="Times New Roman"/>
          <w:sz w:val="24"/>
          <w:szCs w:val="24"/>
        </w:rPr>
        <w:t>Pacific</w:t>
      </w:r>
      <w:r w:rsidR="00CA2D57">
        <w:rPr>
          <w:rFonts w:ascii="Times New Roman" w:eastAsia="Times New Roman" w:hAnsi="Times New Roman" w:cs="Times New Roman"/>
          <w:sz w:val="24"/>
          <w:szCs w:val="24"/>
        </w:rPr>
        <w:t xml:space="preserve"> Power</w:t>
      </w:r>
      <w:r w:rsidR="00864835">
        <w:rPr>
          <w:rFonts w:ascii="Times New Roman" w:eastAsia="Times New Roman" w:hAnsi="Times New Roman" w:cs="Times New Roman"/>
          <w:sz w:val="24"/>
          <w:szCs w:val="24"/>
        </w:rPr>
        <w:t>’s 2016</w:t>
      </w:r>
      <w:r w:rsidR="00114071" w:rsidRPr="00516C9A">
        <w:rPr>
          <w:rFonts w:ascii="Times New Roman" w:eastAsia="Times New Roman" w:hAnsi="Times New Roman" w:cs="Times New Roman"/>
          <w:sz w:val="24"/>
          <w:szCs w:val="24"/>
        </w:rPr>
        <w:t xml:space="preserve"> electric conservation expenditures on </w:t>
      </w:r>
      <w:r w:rsidRPr="00516C9A">
        <w:rPr>
          <w:rFonts w:ascii="Times New Roman" w:eastAsia="Times New Roman" w:hAnsi="Times New Roman" w:cs="Times New Roman"/>
          <w:sz w:val="24"/>
          <w:szCs w:val="24"/>
        </w:rPr>
        <w:t>June 2</w:t>
      </w:r>
      <w:r w:rsidR="00864835">
        <w:rPr>
          <w:rFonts w:ascii="Times New Roman" w:eastAsia="Times New Roman" w:hAnsi="Times New Roman" w:cs="Times New Roman"/>
          <w:sz w:val="24"/>
          <w:szCs w:val="24"/>
        </w:rPr>
        <w:t>1</w:t>
      </w:r>
      <w:r w:rsidR="00114071" w:rsidRPr="00516C9A">
        <w:rPr>
          <w:rFonts w:ascii="Times New Roman" w:eastAsia="Times New Roman" w:hAnsi="Times New Roman" w:cs="Times New Roman"/>
          <w:sz w:val="24"/>
          <w:szCs w:val="24"/>
        </w:rPr>
        <w:t>, 201</w:t>
      </w:r>
      <w:r w:rsidR="00A95B87">
        <w:rPr>
          <w:rFonts w:ascii="Times New Roman" w:eastAsia="Times New Roman" w:hAnsi="Times New Roman" w:cs="Times New Roman"/>
          <w:sz w:val="24"/>
          <w:szCs w:val="24"/>
        </w:rPr>
        <w:t>7</w:t>
      </w:r>
      <w:r w:rsidR="00114071" w:rsidRPr="00516C9A">
        <w:rPr>
          <w:rFonts w:ascii="Times New Roman" w:eastAsia="Times New Roman" w:hAnsi="Times New Roman" w:cs="Times New Roman"/>
          <w:sz w:val="24"/>
          <w:szCs w:val="24"/>
        </w:rPr>
        <w:t xml:space="preserve">. The audit focused on operating expenses and incentive rebates for </w:t>
      </w:r>
      <w:r w:rsidR="002D58C4">
        <w:rPr>
          <w:rFonts w:ascii="Times New Roman" w:eastAsia="Times New Roman" w:hAnsi="Times New Roman" w:cs="Times New Roman"/>
          <w:sz w:val="24"/>
          <w:szCs w:val="24"/>
        </w:rPr>
        <w:t>each</w:t>
      </w:r>
      <w:r w:rsidR="00114071" w:rsidRPr="00516C9A">
        <w:rPr>
          <w:rFonts w:ascii="Times New Roman" w:eastAsia="Times New Roman" w:hAnsi="Times New Roman" w:cs="Times New Roman"/>
          <w:sz w:val="24"/>
          <w:szCs w:val="24"/>
        </w:rPr>
        <w:t xml:space="preserve"> </w:t>
      </w:r>
      <w:r w:rsidR="00A95B87">
        <w:rPr>
          <w:rFonts w:ascii="Times New Roman" w:eastAsia="Times New Roman" w:hAnsi="Times New Roman" w:cs="Times New Roman"/>
          <w:sz w:val="24"/>
          <w:szCs w:val="24"/>
        </w:rPr>
        <w:t>program in the company’s portfolio</w:t>
      </w:r>
      <w:r w:rsidR="00114071" w:rsidRPr="00516C9A">
        <w:rPr>
          <w:rFonts w:ascii="Times New Roman" w:eastAsia="Times New Roman" w:hAnsi="Times New Roman" w:cs="Times New Roman"/>
          <w:sz w:val="24"/>
          <w:szCs w:val="24"/>
        </w:rPr>
        <w:t xml:space="preserve"> during specific months, confirming that expenditures were appropriate and paid as stated.</w:t>
      </w:r>
      <w:r w:rsidR="00A95B87">
        <w:rPr>
          <w:rFonts w:ascii="Times New Roman" w:eastAsia="Times New Roman" w:hAnsi="Times New Roman" w:cs="Times New Roman"/>
          <w:sz w:val="24"/>
          <w:szCs w:val="24"/>
        </w:rPr>
        <w:t xml:space="preserve"> </w:t>
      </w:r>
    </w:p>
    <w:p w14:paraId="129D3969" w14:textId="77777777" w:rsidR="00114071" w:rsidRPr="00913907" w:rsidRDefault="00114071" w:rsidP="00455251">
      <w:pPr>
        <w:spacing w:after="0" w:line="240" w:lineRule="auto"/>
        <w:rPr>
          <w:rFonts w:ascii="Times New Roman" w:eastAsia="Times New Roman" w:hAnsi="Times New Roman" w:cs="Times New Roman"/>
          <w:color w:val="FF0000"/>
          <w:sz w:val="24"/>
          <w:szCs w:val="24"/>
        </w:rPr>
      </w:pPr>
    </w:p>
    <w:p w14:paraId="34B03D33" w14:textId="280C8D76" w:rsidR="00114071" w:rsidRPr="00516C9A" w:rsidRDefault="00114071" w:rsidP="00455251">
      <w:pPr>
        <w:spacing w:after="0" w:line="240" w:lineRule="auto"/>
        <w:rPr>
          <w:rFonts w:ascii="Times New Roman" w:eastAsia="Times New Roman" w:hAnsi="Times New Roman" w:cs="Times New Roman"/>
          <w:sz w:val="24"/>
          <w:szCs w:val="24"/>
        </w:rPr>
      </w:pPr>
      <w:r w:rsidRPr="00516C9A">
        <w:rPr>
          <w:rFonts w:ascii="Times New Roman" w:eastAsia="Times New Roman" w:hAnsi="Times New Roman" w:cs="Times New Roman"/>
          <w:sz w:val="24"/>
          <w:szCs w:val="24"/>
        </w:rPr>
        <w:t xml:space="preserve">Overall, the information, documentation and internal controls in place for </w:t>
      </w:r>
      <w:r w:rsidR="00516C9A" w:rsidRPr="00516C9A">
        <w:rPr>
          <w:rFonts w:ascii="Times New Roman" w:eastAsia="Times New Roman" w:hAnsi="Times New Roman" w:cs="Times New Roman"/>
          <w:sz w:val="24"/>
          <w:szCs w:val="24"/>
        </w:rPr>
        <w:t>Pacific</w:t>
      </w:r>
      <w:r w:rsidR="00CA2D57">
        <w:rPr>
          <w:rFonts w:ascii="Times New Roman" w:eastAsia="Times New Roman" w:hAnsi="Times New Roman" w:cs="Times New Roman"/>
          <w:sz w:val="24"/>
          <w:szCs w:val="24"/>
        </w:rPr>
        <w:t xml:space="preserve"> Power</w:t>
      </w:r>
      <w:r w:rsidRPr="00516C9A">
        <w:rPr>
          <w:rFonts w:ascii="Times New Roman" w:eastAsia="Times New Roman" w:hAnsi="Times New Roman" w:cs="Times New Roman"/>
          <w:sz w:val="24"/>
          <w:szCs w:val="24"/>
        </w:rPr>
        <w:t xml:space="preserve">’s conservation programs were </w:t>
      </w:r>
      <w:r w:rsidR="00EB7C83">
        <w:rPr>
          <w:rFonts w:ascii="Times New Roman" w:eastAsia="Times New Roman" w:hAnsi="Times New Roman" w:cs="Times New Roman"/>
          <w:sz w:val="24"/>
          <w:szCs w:val="24"/>
        </w:rPr>
        <w:t>excellent</w:t>
      </w:r>
      <w:r w:rsidRPr="00516C9A">
        <w:rPr>
          <w:rFonts w:ascii="Times New Roman" w:eastAsia="Times New Roman" w:hAnsi="Times New Roman" w:cs="Times New Roman"/>
          <w:sz w:val="24"/>
          <w:szCs w:val="24"/>
        </w:rPr>
        <w:t xml:space="preserve">. Staff reviewed </w:t>
      </w:r>
      <w:r w:rsidR="00EB7C83">
        <w:rPr>
          <w:rFonts w:ascii="Times New Roman" w:eastAsia="Times New Roman" w:hAnsi="Times New Roman" w:cs="Times New Roman"/>
          <w:sz w:val="24"/>
          <w:szCs w:val="24"/>
        </w:rPr>
        <w:t>a variety of</w:t>
      </w:r>
      <w:r w:rsidR="00EB7C83" w:rsidRPr="00516C9A">
        <w:rPr>
          <w:rFonts w:ascii="Times New Roman" w:eastAsia="Times New Roman" w:hAnsi="Times New Roman" w:cs="Times New Roman"/>
          <w:sz w:val="24"/>
          <w:szCs w:val="24"/>
        </w:rPr>
        <w:t xml:space="preserve"> </w:t>
      </w:r>
      <w:r w:rsidRPr="00516C9A">
        <w:rPr>
          <w:rFonts w:ascii="Times New Roman" w:eastAsia="Times New Roman" w:hAnsi="Times New Roman" w:cs="Times New Roman"/>
          <w:sz w:val="24"/>
          <w:szCs w:val="24"/>
        </w:rPr>
        <w:t>expenditures in the 201</w:t>
      </w:r>
      <w:r w:rsidR="00A95B87">
        <w:rPr>
          <w:rFonts w:ascii="Times New Roman" w:eastAsia="Times New Roman" w:hAnsi="Times New Roman" w:cs="Times New Roman"/>
          <w:sz w:val="24"/>
          <w:szCs w:val="24"/>
        </w:rPr>
        <w:t>6</w:t>
      </w:r>
      <w:r w:rsidRPr="00516C9A">
        <w:rPr>
          <w:rFonts w:ascii="Times New Roman" w:eastAsia="Times New Roman" w:hAnsi="Times New Roman" w:cs="Times New Roman"/>
          <w:sz w:val="24"/>
          <w:szCs w:val="24"/>
        </w:rPr>
        <w:t xml:space="preserve"> electric efficiency program to cover a broad range of programs. </w:t>
      </w:r>
      <w:r w:rsidR="002D58C4" w:rsidRPr="002D58C4">
        <w:rPr>
          <w:rFonts w:ascii="Times New Roman" w:hAnsi="Times New Roman" w:cs="Times New Roman"/>
          <w:sz w:val="24"/>
          <w:szCs w:val="24"/>
        </w:rPr>
        <w:t>In all cases, the company was able to promptly retrieve the supporting invoices, internal reviews, and documentation for each expense.</w:t>
      </w:r>
      <w:r w:rsidR="00A95B87">
        <w:rPr>
          <w:rFonts w:ascii="Times New Roman" w:hAnsi="Times New Roman" w:cs="Times New Roman"/>
          <w:sz w:val="24"/>
          <w:szCs w:val="24"/>
        </w:rPr>
        <w:t xml:space="preserve"> </w:t>
      </w:r>
      <w:r w:rsidR="002D58C4" w:rsidRPr="002D58C4">
        <w:rPr>
          <w:rFonts w:ascii="Times New Roman" w:hAnsi="Times New Roman" w:cs="Times New Roman"/>
          <w:sz w:val="24"/>
          <w:szCs w:val="24"/>
        </w:rPr>
        <w:t>Staff identified no issues during the in-person review of expenditures.</w:t>
      </w:r>
      <w:r w:rsidR="002D58C4" w:rsidRPr="002D58C4">
        <w:rPr>
          <w:rFonts w:ascii="Times New Roman" w:eastAsia="Times New Roman" w:hAnsi="Times New Roman" w:cs="Times New Roman"/>
          <w:sz w:val="24"/>
          <w:szCs w:val="24"/>
        </w:rPr>
        <w:t xml:space="preserve"> </w:t>
      </w:r>
      <w:r w:rsidR="00516C9A" w:rsidRPr="00516C9A">
        <w:rPr>
          <w:rFonts w:ascii="Times New Roman" w:eastAsia="Times New Roman" w:hAnsi="Times New Roman" w:cs="Times New Roman"/>
          <w:sz w:val="24"/>
          <w:szCs w:val="24"/>
        </w:rPr>
        <w:t>Pacific</w:t>
      </w:r>
      <w:r w:rsidR="00CA2D57">
        <w:rPr>
          <w:rFonts w:ascii="Times New Roman" w:eastAsia="Times New Roman" w:hAnsi="Times New Roman" w:cs="Times New Roman"/>
          <w:sz w:val="24"/>
          <w:szCs w:val="24"/>
        </w:rPr>
        <w:t xml:space="preserve"> Power</w:t>
      </w:r>
      <w:r w:rsidRPr="00516C9A">
        <w:rPr>
          <w:rFonts w:ascii="Times New Roman" w:eastAsia="Times New Roman" w:hAnsi="Times New Roman" w:cs="Times New Roman"/>
          <w:sz w:val="24"/>
          <w:szCs w:val="24"/>
        </w:rPr>
        <w:t xml:space="preserve">’s internal controls and review procedures are robust and working as intended. </w:t>
      </w:r>
    </w:p>
    <w:p w14:paraId="68288F03" w14:textId="77777777" w:rsidR="00114071" w:rsidRPr="00913907" w:rsidRDefault="00114071" w:rsidP="00455251">
      <w:pPr>
        <w:spacing w:after="0" w:line="240" w:lineRule="auto"/>
        <w:rPr>
          <w:rFonts w:ascii="Times New Roman" w:eastAsia="Times New Roman" w:hAnsi="Times New Roman" w:cs="Times New Roman"/>
          <w:color w:val="FF0000"/>
          <w:sz w:val="24"/>
          <w:szCs w:val="24"/>
        </w:rPr>
      </w:pPr>
    </w:p>
    <w:p w14:paraId="77035CD9" w14:textId="77777777" w:rsidR="00114071" w:rsidRPr="00516C9A" w:rsidRDefault="00114071" w:rsidP="00455251">
      <w:pPr>
        <w:spacing w:after="0" w:line="240" w:lineRule="auto"/>
        <w:rPr>
          <w:rFonts w:ascii="Times New Roman" w:eastAsia="Times New Roman" w:hAnsi="Times New Roman" w:cs="Times New Roman"/>
          <w:sz w:val="24"/>
          <w:szCs w:val="24"/>
        </w:rPr>
      </w:pPr>
      <w:r w:rsidRPr="00516C9A">
        <w:rPr>
          <w:rFonts w:ascii="Times New Roman" w:eastAsia="Times New Roman" w:hAnsi="Times New Roman" w:cs="Times New Roman"/>
          <w:b/>
          <w:i/>
          <w:sz w:val="24"/>
          <w:szCs w:val="24"/>
        </w:rPr>
        <w:t>Customer Comments</w:t>
      </w:r>
    </w:p>
    <w:p w14:paraId="4C521E89" w14:textId="02C92990" w:rsidR="00114071" w:rsidRDefault="00057823" w:rsidP="00455251">
      <w:pPr>
        <w:spacing w:after="0" w:line="240" w:lineRule="auto"/>
        <w:rPr>
          <w:rFonts w:ascii="Times New Roman" w:eastAsia="Times New Roman" w:hAnsi="Times New Roman" w:cs="Times New Roman"/>
          <w:sz w:val="24"/>
          <w:szCs w:val="24"/>
        </w:rPr>
      </w:pPr>
      <w:r w:rsidRPr="00057823">
        <w:rPr>
          <w:rFonts w:ascii="Times New Roman" w:eastAsia="Times New Roman" w:hAnsi="Times New Roman" w:cs="Times New Roman"/>
          <w:sz w:val="24"/>
          <w:szCs w:val="24"/>
        </w:rPr>
        <w:t xml:space="preserve">On June 1, 2017, the company notified its customers of the proposed rate increase by mail. Staff received </w:t>
      </w:r>
      <w:r w:rsidR="00F537F2">
        <w:rPr>
          <w:rFonts w:ascii="Times New Roman" w:eastAsia="Times New Roman" w:hAnsi="Times New Roman" w:cs="Times New Roman"/>
          <w:sz w:val="24"/>
          <w:szCs w:val="24"/>
        </w:rPr>
        <w:t>six</w:t>
      </w:r>
      <w:r w:rsidRPr="00057823">
        <w:rPr>
          <w:rFonts w:ascii="Times New Roman" w:eastAsia="Times New Roman" w:hAnsi="Times New Roman" w:cs="Times New Roman"/>
          <w:sz w:val="24"/>
          <w:szCs w:val="24"/>
        </w:rPr>
        <w:t xml:space="preserve"> consumer comments</w:t>
      </w:r>
      <w:r w:rsidR="005C6E0B">
        <w:rPr>
          <w:rFonts w:ascii="Times New Roman" w:eastAsia="Times New Roman" w:hAnsi="Times New Roman" w:cs="Times New Roman"/>
          <w:sz w:val="24"/>
          <w:szCs w:val="24"/>
        </w:rPr>
        <w:t>, all</w:t>
      </w:r>
      <w:r w:rsidRPr="00057823">
        <w:rPr>
          <w:rFonts w:ascii="Times New Roman" w:eastAsia="Times New Roman" w:hAnsi="Times New Roman" w:cs="Times New Roman"/>
          <w:sz w:val="24"/>
          <w:szCs w:val="24"/>
        </w:rPr>
        <w:t xml:space="preserve"> </w:t>
      </w:r>
      <w:r w:rsidR="00EB7C83">
        <w:rPr>
          <w:rFonts w:ascii="Times New Roman" w:eastAsia="Times New Roman" w:hAnsi="Times New Roman" w:cs="Times New Roman"/>
          <w:sz w:val="24"/>
          <w:szCs w:val="24"/>
        </w:rPr>
        <w:t>opposing</w:t>
      </w:r>
      <w:r w:rsidR="00EB7C83" w:rsidRPr="00057823">
        <w:rPr>
          <w:rFonts w:ascii="Times New Roman" w:eastAsia="Times New Roman" w:hAnsi="Times New Roman" w:cs="Times New Roman"/>
          <w:sz w:val="24"/>
          <w:szCs w:val="24"/>
        </w:rPr>
        <w:t xml:space="preserve"> </w:t>
      </w:r>
      <w:r w:rsidRPr="00057823">
        <w:rPr>
          <w:rFonts w:ascii="Times New Roman" w:eastAsia="Times New Roman" w:hAnsi="Times New Roman" w:cs="Times New Roman"/>
          <w:sz w:val="24"/>
          <w:szCs w:val="24"/>
        </w:rPr>
        <w:t>the proposed rate increase. Customers were notified that they may access relevant documents about this rate increase on the commission's website</w:t>
      </w:r>
      <w:r>
        <w:rPr>
          <w:rFonts w:ascii="Times New Roman" w:eastAsia="Times New Roman" w:hAnsi="Times New Roman" w:cs="Times New Roman"/>
          <w:sz w:val="24"/>
          <w:szCs w:val="24"/>
        </w:rPr>
        <w:t xml:space="preserve">, and were given contact information for Andrew Roberts if they had any other </w:t>
      </w:r>
      <w:r w:rsidRPr="00057823">
        <w:rPr>
          <w:rFonts w:ascii="Times New Roman" w:eastAsia="Times New Roman" w:hAnsi="Times New Roman" w:cs="Times New Roman"/>
          <w:sz w:val="24"/>
          <w:szCs w:val="24"/>
        </w:rPr>
        <w:t>questions or concerns.</w:t>
      </w:r>
    </w:p>
    <w:p w14:paraId="15389699" w14:textId="77777777" w:rsidR="00057823" w:rsidRDefault="00057823" w:rsidP="00455251">
      <w:pPr>
        <w:spacing w:after="0" w:line="240" w:lineRule="auto"/>
        <w:rPr>
          <w:rFonts w:ascii="Times New Roman" w:eastAsia="Times New Roman" w:hAnsi="Times New Roman" w:cs="Times New Roman"/>
          <w:b/>
          <w:bCs/>
          <w:sz w:val="24"/>
          <w:szCs w:val="24"/>
        </w:rPr>
      </w:pPr>
    </w:p>
    <w:p w14:paraId="26B965C0" w14:textId="483535C2" w:rsidR="00864835" w:rsidRPr="00913907" w:rsidRDefault="00864835" w:rsidP="00455251">
      <w:pPr>
        <w:keepNext/>
        <w:keepLines/>
        <w:spacing w:after="0"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i/>
          <w:sz w:val="24"/>
          <w:szCs w:val="24"/>
        </w:rPr>
        <w:t>Conservation and Decoupling</w:t>
      </w:r>
    </w:p>
    <w:p w14:paraId="1CEAAF77" w14:textId="580E644B" w:rsidR="00414C9E" w:rsidRDefault="00864835" w:rsidP="00455251">
      <w:pPr>
        <w:keepNext/>
        <w:keepLines/>
        <w:spacing w:after="0" w:line="240" w:lineRule="auto"/>
        <w:rPr>
          <w:rFonts w:ascii="Times New Roman" w:eastAsia="Times New Roman" w:hAnsi="Times New Roman" w:cs="Times New Roman"/>
          <w:sz w:val="24"/>
          <w:szCs w:val="24"/>
        </w:rPr>
      </w:pPr>
      <w:r w:rsidRPr="00864835">
        <w:rPr>
          <w:rFonts w:ascii="Times New Roman" w:eastAsia="Times New Roman" w:hAnsi="Times New Roman" w:cs="Times New Roman"/>
          <w:sz w:val="24"/>
          <w:szCs w:val="24"/>
        </w:rPr>
        <w:t xml:space="preserve">On December 17, 2015, the </w:t>
      </w:r>
      <w:r>
        <w:rPr>
          <w:rFonts w:ascii="Times New Roman" w:eastAsia="Times New Roman" w:hAnsi="Times New Roman" w:cs="Times New Roman"/>
          <w:sz w:val="24"/>
          <w:szCs w:val="24"/>
        </w:rPr>
        <w:t>c</w:t>
      </w:r>
      <w:r w:rsidRPr="00864835">
        <w:rPr>
          <w:rFonts w:ascii="Times New Roman" w:eastAsia="Times New Roman" w:hAnsi="Times New Roman" w:cs="Times New Roman"/>
          <w:sz w:val="24"/>
          <w:szCs w:val="24"/>
        </w:rPr>
        <w:t>ommission approved a</w:t>
      </w:r>
      <w:r>
        <w:rPr>
          <w:rFonts w:ascii="Times New Roman" w:eastAsia="Times New Roman" w:hAnsi="Times New Roman" w:cs="Times New Roman"/>
          <w:sz w:val="24"/>
          <w:szCs w:val="24"/>
        </w:rPr>
        <w:t xml:space="preserve"> target of 87,814 MWh</w:t>
      </w:r>
      <w:r w:rsidRPr="00864835">
        <w:rPr>
          <w:rFonts w:ascii="Times New Roman" w:eastAsia="Times New Roman" w:hAnsi="Times New Roman" w:cs="Times New Roman"/>
          <w:sz w:val="24"/>
          <w:szCs w:val="24"/>
        </w:rPr>
        <w:t xml:space="preserve"> for the 2016-2017</w:t>
      </w:r>
      <w:r>
        <w:rPr>
          <w:rFonts w:ascii="Times New Roman" w:eastAsia="Times New Roman" w:hAnsi="Times New Roman" w:cs="Times New Roman"/>
          <w:sz w:val="24"/>
          <w:szCs w:val="24"/>
        </w:rPr>
        <w:t xml:space="preserve"> </w:t>
      </w:r>
      <w:r w:rsidRPr="00864835">
        <w:rPr>
          <w:rFonts w:ascii="Times New Roman" w:eastAsia="Times New Roman" w:hAnsi="Times New Roman" w:cs="Times New Roman"/>
          <w:sz w:val="24"/>
          <w:szCs w:val="24"/>
        </w:rPr>
        <w:t xml:space="preserve">biennium in Order 01 in Docket UE-152072. On September 1, 2016, the </w:t>
      </w:r>
      <w:r w:rsidR="009E6361">
        <w:rPr>
          <w:rFonts w:ascii="Times New Roman" w:eastAsia="Times New Roman" w:hAnsi="Times New Roman" w:cs="Times New Roman"/>
          <w:sz w:val="24"/>
          <w:szCs w:val="24"/>
        </w:rPr>
        <w:t>c</w:t>
      </w:r>
      <w:r w:rsidRPr="00864835">
        <w:rPr>
          <w:rFonts w:ascii="Times New Roman" w:eastAsia="Times New Roman" w:hAnsi="Times New Roman" w:cs="Times New Roman"/>
          <w:sz w:val="24"/>
          <w:szCs w:val="24"/>
        </w:rPr>
        <w:t>ommission issued</w:t>
      </w:r>
      <w:r>
        <w:rPr>
          <w:rFonts w:ascii="Times New Roman" w:eastAsia="Times New Roman" w:hAnsi="Times New Roman" w:cs="Times New Roman"/>
          <w:sz w:val="24"/>
          <w:szCs w:val="24"/>
        </w:rPr>
        <w:t xml:space="preserve"> </w:t>
      </w:r>
      <w:r w:rsidRPr="00864835">
        <w:rPr>
          <w:rFonts w:ascii="Times New Roman" w:eastAsia="Times New Roman" w:hAnsi="Times New Roman" w:cs="Times New Roman"/>
          <w:sz w:val="24"/>
          <w:szCs w:val="24"/>
        </w:rPr>
        <w:t>Order 12 in Docket UE-152253</w:t>
      </w:r>
      <w:r>
        <w:rPr>
          <w:rFonts w:ascii="Times New Roman" w:eastAsia="Times New Roman" w:hAnsi="Times New Roman" w:cs="Times New Roman"/>
          <w:sz w:val="24"/>
          <w:szCs w:val="24"/>
        </w:rPr>
        <w:t>, which states</w:t>
      </w:r>
      <w:r w:rsidRPr="00864835">
        <w:rPr>
          <w:rFonts w:ascii="Times New Roman" w:eastAsia="Times New Roman" w:hAnsi="Times New Roman" w:cs="Times New Roman"/>
          <w:sz w:val="24"/>
          <w:szCs w:val="24"/>
        </w:rPr>
        <w:t>, “Pacific Power must increase</w:t>
      </w:r>
      <w:r>
        <w:rPr>
          <w:rFonts w:ascii="Times New Roman" w:eastAsia="Times New Roman" w:hAnsi="Times New Roman" w:cs="Times New Roman"/>
          <w:sz w:val="24"/>
          <w:szCs w:val="24"/>
        </w:rPr>
        <w:t xml:space="preserve"> </w:t>
      </w:r>
      <w:r w:rsidRPr="00864835">
        <w:rPr>
          <w:rFonts w:ascii="Times New Roman" w:eastAsia="Times New Roman" w:hAnsi="Times New Roman" w:cs="Times New Roman"/>
          <w:sz w:val="24"/>
          <w:szCs w:val="24"/>
        </w:rPr>
        <w:t>its annual conservation targets by 2.5 percent for the current 2016</w:t>
      </w:r>
      <w:r>
        <w:rPr>
          <w:rFonts w:ascii="Times New Roman" w:eastAsia="Times New Roman" w:hAnsi="Times New Roman" w:cs="Times New Roman"/>
          <w:sz w:val="24"/>
          <w:szCs w:val="24"/>
        </w:rPr>
        <w:t xml:space="preserve">-2017 biennium, and by 5 percent </w:t>
      </w:r>
      <w:r w:rsidRPr="00864835">
        <w:rPr>
          <w:rFonts w:ascii="Times New Roman" w:eastAsia="Times New Roman" w:hAnsi="Times New Roman" w:cs="Times New Roman"/>
          <w:sz w:val="24"/>
          <w:szCs w:val="24"/>
        </w:rPr>
        <w:t>per biennium thereafter through the period when decoupling is in effect. The Company’s failure to</w:t>
      </w:r>
      <w:r>
        <w:rPr>
          <w:rFonts w:ascii="Times New Roman" w:eastAsia="Times New Roman" w:hAnsi="Times New Roman" w:cs="Times New Roman"/>
          <w:sz w:val="24"/>
          <w:szCs w:val="24"/>
        </w:rPr>
        <w:t xml:space="preserve"> </w:t>
      </w:r>
      <w:r w:rsidRPr="00864835">
        <w:rPr>
          <w:rFonts w:ascii="Times New Roman" w:eastAsia="Times New Roman" w:hAnsi="Times New Roman" w:cs="Times New Roman"/>
          <w:sz w:val="24"/>
          <w:szCs w:val="24"/>
        </w:rPr>
        <w:t xml:space="preserve">meet its incremental conservation target will be subject to financial penalties.” </w:t>
      </w:r>
      <w:r w:rsidR="00F5227E">
        <w:rPr>
          <w:rFonts w:ascii="Times New Roman" w:eastAsia="Times New Roman" w:hAnsi="Times New Roman" w:cs="Times New Roman"/>
          <w:sz w:val="24"/>
          <w:szCs w:val="24"/>
        </w:rPr>
        <w:t xml:space="preserve">Pursuant to this order, Pacific Power revised their 2016-2017 target </w:t>
      </w:r>
      <w:r w:rsidR="00414C9E">
        <w:rPr>
          <w:rFonts w:ascii="Times New Roman" w:eastAsia="Times New Roman" w:hAnsi="Times New Roman" w:cs="Times New Roman"/>
          <w:sz w:val="24"/>
          <w:szCs w:val="24"/>
        </w:rPr>
        <w:t xml:space="preserve">from 87,814 MWh </w:t>
      </w:r>
      <w:r w:rsidR="00F5227E">
        <w:rPr>
          <w:rFonts w:ascii="Times New Roman" w:eastAsia="Times New Roman" w:hAnsi="Times New Roman" w:cs="Times New Roman"/>
          <w:sz w:val="24"/>
          <w:szCs w:val="24"/>
        </w:rPr>
        <w:t>to 90,009 MWh</w:t>
      </w:r>
      <w:r w:rsidR="00414C9E">
        <w:rPr>
          <w:rFonts w:ascii="Times New Roman" w:eastAsia="Times New Roman" w:hAnsi="Times New Roman" w:cs="Times New Roman"/>
          <w:sz w:val="24"/>
          <w:szCs w:val="24"/>
        </w:rPr>
        <w:t xml:space="preserve">. </w:t>
      </w:r>
    </w:p>
    <w:p w14:paraId="49C1B13E" w14:textId="77777777" w:rsidR="00864835" w:rsidRPr="00114071" w:rsidRDefault="00864835" w:rsidP="00455251">
      <w:pPr>
        <w:spacing w:after="0" w:line="240" w:lineRule="auto"/>
        <w:rPr>
          <w:rFonts w:ascii="Times New Roman" w:eastAsia="Times New Roman" w:hAnsi="Times New Roman" w:cs="Times New Roman"/>
          <w:b/>
          <w:bCs/>
          <w:sz w:val="24"/>
          <w:szCs w:val="24"/>
        </w:rPr>
      </w:pPr>
    </w:p>
    <w:p w14:paraId="056A5985" w14:textId="77777777" w:rsidR="00114071" w:rsidRPr="00114071" w:rsidRDefault="00114071" w:rsidP="00455251">
      <w:pPr>
        <w:spacing w:after="0" w:line="240" w:lineRule="auto"/>
        <w:rPr>
          <w:rFonts w:ascii="Times New Roman" w:eastAsia="Times New Roman" w:hAnsi="Times New Roman" w:cs="Times New Roman"/>
          <w:b/>
          <w:sz w:val="24"/>
          <w:szCs w:val="24"/>
          <w:u w:val="single"/>
        </w:rPr>
      </w:pPr>
      <w:r w:rsidRPr="00114071">
        <w:rPr>
          <w:rFonts w:ascii="Times New Roman" w:eastAsia="Times New Roman" w:hAnsi="Times New Roman" w:cs="Times New Roman"/>
          <w:b/>
          <w:sz w:val="24"/>
          <w:szCs w:val="24"/>
          <w:u w:val="single"/>
        </w:rPr>
        <w:t>Conclusion</w:t>
      </w:r>
    </w:p>
    <w:p w14:paraId="5BF8FE6F" w14:textId="77777777" w:rsidR="00114071" w:rsidRPr="00114071" w:rsidRDefault="00114071" w:rsidP="00455251">
      <w:pPr>
        <w:spacing w:after="0" w:line="240" w:lineRule="auto"/>
        <w:rPr>
          <w:rFonts w:ascii="Times New Roman" w:eastAsia="Times New Roman" w:hAnsi="Times New Roman" w:cs="Times New Roman"/>
          <w:sz w:val="24"/>
          <w:szCs w:val="24"/>
        </w:rPr>
      </w:pPr>
    </w:p>
    <w:p w14:paraId="6305621B" w14:textId="2546715D" w:rsidR="00D63C89" w:rsidRDefault="00114071" w:rsidP="00455251">
      <w:pPr>
        <w:spacing w:after="0" w:line="240" w:lineRule="auto"/>
      </w:pPr>
      <w:r w:rsidRPr="00114071">
        <w:rPr>
          <w:rFonts w:ascii="Times New Roman" w:eastAsia="Times New Roman" w:hAnsi="Times New Roman" w:cs="Times New Roman"/>
          <w:sz w:val="24"/>
          <w:szCs w:val="24"/>
        </w:rPr>
        <w:t>Take no action, allowing the tariff to go into effect by operation of law.</w:t>
      </w:r>
    </w:p>
    <w:sectPr w:rsidR="00D63C89" w:rsidSect="00A01FE1">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2C3A" w14:textId="77777777" w:rsidR="00344D64" w:rsidRDefault="00344D64" w:rsidP="00114071">
      <w:pPr>
        <w:spacing w:after="0" w:line="240" w:lineRule="auto"/>
      </w:pPr>
      <w:r>
        <w:separator/>
      </w:r>
    </w:p>
  </w:endnote>
  <w:endnote w:type="continuationSeparator" w:id="0">
    <w:p w14:paraId="74D623D9" w14:textId="77777777" w:rsidR="00344D64" w:rsidRDefault="00344D64" w:rsidP="00114071">
      <w:pPr>
        <w:spacing w:after="0" w:line="240" w:lineRule="auto"/>
      </w:pPr>
      <w:r>
        <w:continuationSeparator/>
      </w:r>
    </w:p>
  </w:endnote>
  <w:endnote w:type="continuationNotice" w:id="1">
    <w:p w14:paraId="595B8ED5" w14:textId="77777777" w:rsidR="00343600" w:rsidRDefault="00343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209DB" w14:textId="77777777" w:rsidR="00344D64" w:rsidRDefault="00344D64" w:rsidP="00114071">
      <w:pPr>
        <w:spacing w:after="0" w:line="240" w:lineRule="auto"/>
      </w:pPr>
      <w:r>
        <w:separator/>
      </w:r>
    </w:p>
  </w:footnote>
  <w:footnote w:type="continuationSeparator" w:id="0">
    <w:p w14:paraId="3E3A9138" w14:textId="77777777" w:rsidR="00344D64" w:rsidRDefault="00344D64" w:rsidP="00114071">
      <w:pPr>
        <w:spacing w:after="0" w:line="240" w:lineRule="auto"/>
      </w:pPr>
      <w:r>
        <w:continuationSeparator/>
      </w:r>
    </w:p>
  </w:footnote>
  <w:footnote w:type="continuationNotice" w:id="1">
    <w:p w14:paraId="541BB279" w14:textId="77777777" w:rsidR="00343600" w:rsidRDefault="00343600">
      <w:pPr>
        <w:spacing w:after="0" w:line="240" w:lineRule="auto"/>
      </w:pPr>
    </w:p>
  </w:footnote>
  <w:footnote w:id="2">
    <w:p w14:paraId="18DE1E45" w14:textId="77777777" w:rsidR="00344D64" w:rsidRDefault="00344D64" w:rsidP="00FE267F">
      <w:pPr>
        <w:pStyle w:val="FootnoteText"/>
        <w:ind w:left="360" w:hanging="360"/>
      </w:pPr>
      <w:r>
        <w:rPr>
          <w:rStyle w:val="FootnoteReference"/>
        </w:rPr>
        <w:footnoteRef/>
      </w:r>
      <w:r>
        <w:t xml:space="preserve"> Docket UE-152072, Order 01.</w:t>
      </w:r>
    </w:p>
  </w:footnote>
  <w:footnote w:id="3">
    <w:p w14:paraId="3FAD7356" w14:textId="442457B5" w:rsidR="00344D64" w:rsidRDefault="00344D64" w:rsidP="00FE267F">
      <w:pPr>
        <w:pStyle w:val="FootnoteText"/>
        <w:ind w:left="360" w:hanging="360"/>
      </w:pPr>
      <w:r>
        <w:rPr>
          <w:rStyle w:val="FootnoteReference"/>
        </w:rPr>
        <w:footnoteRef/>
      </w:r>
      <w:r>
        <w:t xml:space="preserve"> 2016 Annual Conservation Report, page 17. Budget from WA Business Plan; the company’s Biennial Conservation Plan did not provide budget figures broken out by calendar year.</w:t>
      </w:r>
    </w:p>
  </w:footnote>
  <w:footnote w:id="4">
    <w:p w14:paraId="28F85C31" w14:textId="29FD8E62" w:rsidR="00344D64" w:rsidRDefault="00344D64" w:rsidP="00FE267F">
      <w:pPr>
        <w:pStyle w:val="FootnoteText"/>
        <w:ind w:left="360" w:hanging="360"/>
      </w:pPr>
      <w:r>
        <w:rPr>
          <w:rStyle w:val="FootnoteReference"/>
        </w:rPr>
        <w:footnoteRef/>
      </w:r>
      <w:r>
        <w:t xml:space="preserve"> 2016 Annual Conservation Report, page 15. Total savings at generator, not including NEEA.</w:t>
      </w:r>
    </w:p>
  </w:footnote>
  <w:footnote w:id="5">
    <w:p w14:paraId="5EA16B00" w14:textId="1B9C194B" w:rsidR="00344D64" w:rsidRDefault="00344D64" w:rsidP="00FE267F">
      <w:pPr>
        <w:pStyle w:val="FootnoteText"/>
        <w:ind w:left="360" w:hanging="360"/>
      </w:pPr>
      <w:r>
        <w:rPr>
          <w:rStyle w:val="FootnoteReference"/>
        </w:rPr>
        <w:footnoteRef/>
      </w:r>
      <w:r>
        <w:t xml:space="preserve"> 2016-2017 Ten-Year Conservation Potential and 2016-2017 Biennial Conservation Target, page 24.</w:t>
      </w:r>
    </w:p>
  </w:footnote>
  <w:footnote w:id="6">
    <w:p w14:paraId="58ADB237" w14:textId="46CF05AF" w:rsidR="00344D64" w:rsidRDefault="00344D64">
      <w:pPr>
        <w:pStyle w:val="FootnoteText"/>
      </w:pPr>
      <w:r>
        <w:rPr>
          <w:rStyle w:val="FootnoteReference"/>
        </w:rPr>
        <w:footnoteRef/>
      </w:r>
      <w:r>
        <w:t xml:space="preserve"> 2016 actuals from 2016 annual report. Other inputs from 2017 Annual Conservation Plan, page 5. Projected NEEA savings removed from </w:t>
      </w:r>
      <w:r w:rsidR="00AA4EC9">
        <w:t xml:space="preserve">2016 actuals, 2017 projections, and biennial </w:t>
      </w:r>
      <w:r>
        <w:t>target.</w:t>
      </w:r>
    </w:p>
  </w:footnote>
  <w:footnote w:id="7">
    <w:p w14:paraId="1C3BEA8D" w14:textId="2C913FA4" w:rsidR="00344D64" w:rsidRDefault="00344D64" w:rsidP="00FE267F">
      <w:pPr>
        <w:pStyle w:val="FootnoteText"/>
        <w:ind w:left="360" w:hanging="360"/>
      </w:pPr>
      <w:r>
        <w:rPr>
          <w:rStyle w:val="FootnoteReference"/>
        </w:rPr>
        <w:footnoteRef/>
      </w:r>
      <w:r>
        <w:t xml:space="preserve"> 2016 Annual Conservation Report, page 6. Not including costs or savings related to NEEA.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5D2E0" w14:textId="3C29D8F2" w:rsidR="00A01FE1" w:rsidRPr="00EF72CC" w:rsidRDefault="00A01FE1">
    <w:pPr>
      <w:pStyle w:val="Header"/>
      <w:rPr>
        <w:rFonts w:ascii="Times New Roman" w:hAnsi="Times New Roman" w:cs="Times New Roman"/>
        <w:sz w:val="20"/>
        <w:szCs w:val="20"/>
      </w:rPr>
    </w:pPr>
    <w:r w:rsidRPr="00EF72CC">
      <w:rPr>
        <w:rFonts w:ascii="Times New Roman" w:hAnsi="Times New Roman" w:cs="Times New Roman"/>
        <w:sz w:val="20"/>
        <w:szCs w:val="20"/>
      </w:rPr>
      <w:t>Docket UE-170678</w:t>
    </w:r>
  </w:p>
  <w:p w14:paraId="68C08136" w14:textId="10E0F06F" w:rsidR="00A01FE1" w:rsidRPr="00EF72CC" w:rsidRDefault="00A01FE1">
    <w:pPr>
      <w:pStyle w:val="Header"/>
      <w:rPr>
        <w:rFonts w:ascii="Times New Roman" w:hAnsi="Times New Roman" w:cs="Times New Roman"/>
        <w:sz w:val="20"/>
        <w:szCs w:val="20"/>
      </w:rPr>
    </w:pPr>
    <w:r w:rsidRPr="00EF72CC">
      <w:rPr>
        <w:rFonts w:ascii="Times New Roman" w:hAnsi="Times New Roman" w:cs="Times New Roman"/>
        <w:sz w:val="20"/>
        <w:szCs w:val="20"/>
      </w:rPr>
      <w:t>July 27, 2017</w:t>
    </w:r>
  </w:p>
  <w:p w14:paraId="2C749E12" w14:textId="3CFD4C73" w:rsidR="00A01FE1" w:rsidRPr="00EF72CC" w:rsidRDefault="00A01FE1">
    <w:pPr>
      <w:pStyle w:val="Header"/>
      <w:rPr>
        <w:rFonts w:ascii="Times New Roman" w:hAnsi="Times New Roman" w:cs="Times New Roman"/>
        <w:sz w:val="20"/>
        <w:szCs w:val="20"/>
      </w:rPr>
    </w:pPr>
    <w:r w:rsidRPr="00EF72CC">
      <w:rPr>
        <w:rFonts w:ascii="Times New Roman" w:hAnsi="Times New Roman" w:cs="Times New Roman"/>
        <w:sz w:val="20"/>
        <w:szCs w:val="20"/>
      </w:rPr>
      <w:t xml:space="preserve">Page </w:t>
    </w:r>
    <w:r w:rsidRPr="00EF72CC">
      <w:rPr>
        <w:rFonts w:ascii="Times New Roman" w:hAnsi="Times New Roman" w:cs="Times New Roman"/>
        <w:sz w:val="20"/>
        <w:szCs w:val="20"/>
      </w:rPr>
      <w:fldChar w:fldCharType="begin"/>
    </w:r>
    <w:r w:rsidRPr="00EF72CC">
      <w:rPr>
        <w:rFonts w:ascii="Times New Roman" w:hAnsi="Times New Roman" w:cs="Times New Roman"/>
        <w:sz w:val="20"/>
        <w:szCs w:val="20"/>
      </w:rPr>
      <w:instrText xml:space="preserve"> PAGE   \* MERGEFORMAT </w:instrText>
    </w:r>
    <w:r w:rsidRPr="00EF72CC">
      <w:rPr>
        <w:rFonts w:ascii="Times New Roman" w:hAnsi="Times New Roman" w:cs="Times New Roman"/>
        <w:sz w:val="20"/>
        <w:szCs w:val="20"/>
      </w:rPr>
      <w:fldChar w:fldCharType="separate"/>
    </w:r>
    <w:r w:rsidR="006C4C85">
      <w:rPr>
        <w:rFonts w:ascii="Times New Roman" w:hAnsi="Times New Roman" w:cs="Times New Roman"/>
        <w:noProof/>
        <w:sz w:val="20"/>
        <w:szCs w:val="20"/>
      </w:rPr>
      <w:t>2</w:t>
    </w:r>
    <w:r w:rsidRPr="00EF72CC">
      <w:rPr>
        <w:rFonts w:ascii="Times New Roman" w:hAnsi="Times New Roman" w:cs="Times New Roman"/>
        <w:noProof/>
        <w:sz w:val="20"/>
        <w:szCs w:val="20"/>
      </w:rPr>
      <w:fldChar w:fldCharType="end"/>
    </w:r>
  </w:p>
  <w:p w14:paraId="7B5C3787" w14:textId="77777777" w:rsidR="00A01FE1" w:rsidRDefault="00A01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B393F"/>
    <w:multiLevelType w:val="hybridMultilevel"/>
    <w:tmpl w:val="E734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71"/>
    <w:rsid w:val="00010CA9"/>
    <w:rsid w:val="00023853"/>
    <w:rsid w:val="00057823"/>
    <w:rsid w:val="0006239B"/>
    <w:rsid w:val="00067126"/>
    <w:rsid w:val="001134C3"/>
    <w:rsid w:val="00114071"/>
    <w:rsid w:val="00122BE0"/>
    <w:rsid w:val="0013223F"/>
    <w:rsid w:val="00143D90"/>
    <w:rsid w:val="00154826"/>
    <w:rsid w:val="001C12B4"/>
    <w:rsid w:val="001D0106"/>
    <w:rsid w:val="00232FB2"/>
    <w:rsid w:val="002A4340"/>
    <w:rsid w:val="002C1A8A"/>
    <w:rsid w:val="002D58C4"/>
    <w:rsid w:val="00343600"/>
    <w:rsid w:val="00344D64"/>
    <w:rsid w:val="0038616D"/>
    <w:rsid w:val="003C37F7"/>
    <w:rsid w:val="00414C9E"/>
    <w:rsid w:val="00455251"/>
    <w:rsid w:val="00482093"/>
    <w:rsid w:val="00516C9A"/>
    <w:rsid w:val="005C6E0B"/>
    <w:rsid w:val="00612EF0"/>
    <w:rsid w:val="00624C40"/>
    <w:rsid w:val="00642D72"/>
    <w:rsid w:val="00651F74"/>
    <w:rsid w:val="006C4C85"/>
    <w:rsid w:val="007105A4"/>
    <w:rsid w:val="00730C5C"/>
    <w:rsid w:val="0075007C"/>
    <w:rsid w:val="00820ACB"/>
    <w:rsid w:val="00864835"/>
    <w:rsid w:val="008818F8"/>
    <w:rsid w:val="00913907"/>
    <w:rsid w:val="009C5A4C"/>
    <w:rsid w:val="009D258B"/>
    <w:rsid w:val="009D7A73"/>
    <w:rsid w:val="009E6361"/>
    <w:rsid w:val="00A01FE1"/>
    <w:rsid w:val="00A467E4"/>
    <w:rsid w:val="00A95B87"/>
    <w:rsid w:val="00AA4EC9"/>
    <w:rsid w:val="00AD35BF"/>
    <w:rsid w:val="00C1609F"/>
    <w:rsid w:val="00C51C4C"/>
    <w:rsid w:val="00CA2D57"/>
    <w:rsid w:val="00CC6833"/>
    <w:rsid w:val="00D273B0"/>
    <w:rsid w:val="00D63C89"/>
    <w:rsid w:val="00DE3321"/>
    <w:rsid w:val="00DE5D11"/>
    <w:rsid w:val="00DE6E5B"/>
    <w:rsid w:val="00E14733"/>
    <w:rsid w:val="00E248F2"/>
    <w:rsid w:val="00E55271"/>
    <w:rsid w:val="00EA02E4"/>
    <w:rsid w:val="00EB7C83"/>
    <w:rsid w:val="00EC1E52"/>
    <w:rsid w:val="00EE1AF2"/>
    <w:rsid w:val="00EF72CC"/>
    <w:rsid w:val="00F141AB"/>
    <w:rsid w:val="00F15514"/>
    <w:rsid w:val="00F234B8"/>
    <w:rsid w:val="00F5227E"/>
    <w:rsid w:val="00F537F2"/>
    <w:rsid w:val="00F55279"/>
    <w:rsid w:val="00F73B26"/>
    <w:rsid w:val="00FE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AE38"/>
  <w15:chartTrackingRefBased/>
  <w15:docId w15:val="{FFD582EC-38D9-4D0C-807E-7989075F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140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14071"/>
    <w:rPr>
      <w:rFonts w:ascii="Times New Roman" w:eastAsia="Times New Roman" w:hAnsi="Times New Roman" w:cs="Times New Roman"/>
      <w:sz w:val="20"/>
      <w:szCs w:val="20"/>
    </w:rPr>
  </w:style>
  <w:style w:type="character" w:styleId="FootnoteReference">
    <w:name w:val="footnote reference"/>
    <w:uiPriority w:val="99"/>
    <w:unhideWhenUsed/>
    <w:rsid w:val="00114071"/>
    <w:rPr>
      <w:vertAlign w:val="superscript"/>
    </w:rPr>
  </w:style>
  <w:style w:type="character" w:styleId="CommentReference">
    <w:name w:val="annotation reference"/>
    <w:basedOn w:val="DefaultParagraphFont"/>
    <w:uiPriority w:val="99"/>
    <w:semiHidden/>
    <w:unhideWhenUsed/>
    <w:rsid w:val="001C12B4"/>
    <w:rPr>
      <w:sz w:val="16"/>
      <w:szCs w:val="16"/>
    </w:rPr>
  </w:style>
  <w:style w:type="paragraph" w:styleId="CommentText">
    <w:name w:val="annotation text"/>
    <w:basedOn w:val="Normal"/>
    <w:link w:val="CommentTextChar"/>
    <w:uiPriority w:val="99"/>
    <w:semiHidden/>
    <w:unhideWhenUsed/>
    <w:rsid w:val="001C12B4"/>
    <w:pPr>
      <w:spacing w:line="240" w:lineRule="auto"/>
    </w:pPr>
    <w:rPr>
      <w:sz w:val="20"/>
      <w:szCs w:val="20"/>
    </w:rPr>
  </w:style>
  <w:style w:type="character" w:customStyle="1" w:styleId="CommentTextChar">
    <w:name w:val="Comment Text Char"/>
    <w:basedOn w:val="DefaultParagraphFont"/>
    <w:link w:val="CommentText"/>
    <w:uiPriority w:val="99"/>
    <w:semiHidden/>
    <w:rsid w:val="001C12B4"/>
    <w:rPr>
      <w:sz w:val="20"/>
      <w:szCs w:val="20"/>
    </w:rPr>
  </w:style>
  <w:style w:type="paragraph" w:styleId="CommentSubject">
    <w:name w:val="annotation subject"/>
    <w:basedOn w:val="CommentText"/>
    <w:next w:val="CommentText"/>
    <w:link w:val="CommentSubjectChar"/>
    <w:uiPriority w:val="99"/>
    <w:semiHidden/>
    <w:unhideWhenUsed/>
    <w:rsid w:val="001C12B4"/>
    <w:rPr>
      <w:b/>
      <w:bCs/>
    </w:rPr>
  </w:style>
  <w:style w:type="character" w:customStyle="1" w:styleId="CommentSubjectChar">
    <w:name w:val="Comment Subject Char"/>
    <w:basedOn w:val="CommentTextChar"/>
    <w:link w:val="CommentSubject"/>
    <w:uiPriority w:val="99"/>
    <w:semiHidden/>
    <w:rsid w:val="001C12B4"/>
    <w:rPr>
      <w:b/>
      <w:bCs/>
      <w:sz w:val="20"/>
      <w:szCs w:val="20"/>
    </w:rPr>
  </w:style>
  <w:style w:type="paragraph" w:styleId="BalloonText">
    <w:name w:val="Balloon Text"/>
    <w:basedOn w:val="Normal"/>
    <w:link w:val="BalloonTextChar"/>
    <w:uiPriority w:val="99"/>
    <w:semiHidden/>
    <w:unhideWhenUsed/>
    <w:rsid w:val="001C1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B4"/>
    <w:rPr>
      <w:rFonts w:ascii="Segoe UI" w:hAnsi="Segoe UI" w:cs="Segoe UI"/>
      <w:sz w:val="18"/>
      <w:szCs w:val="18"/>
    </w:rPr>
  </w:style>
  <w:style w:type="paragraph" w:styleId="Header">
    <w:name w:val="header"/>
    <w:basedOn w:val="Normal"/>
    <w:link w:val="HeaderChar"/>
    <w:uiPriority w:val="99"/>
    <w:unhideWhenUsed/>
    <w:rsid w:val="00343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600"/>
  </w:style>
  <w:style w:type="paragraph" w:styleId="Footer">
    <w:name w:val="footer"/>
    <w:basedOn w:val="Normal"/>
    <w:link w:val="FooterChar"/>
    <w:uiPriority w:val="99"/>
    <w:unhideWhenUsed/>
    <w:rsid w:val="00343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2017-06-01T07:00:00+00:00</OpenedDate>
    <Date1 xmlns="dc463f71-b30c-4ab2-9473-d307f9d35888">2017-07-27T07:00:00+00:00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170678</DocketNumber>
    <DelegatedOrder xmlns="dc463f71-b30c-4ab2-9473-d307f9d35888">false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A527D794287F449737D8902CA861AD" ma:contentTypeVersion="92" ma:contentTypeDescription="" ma:contentTypeScope="" ma:versionID="4f4b911e732ff40cda314abc94aafa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A8394D2-6825-4213-B3ED-DB746315D65A}">
  <ds:schemaRef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FB435683-A810-422F-8CC5-6D12CD63B98E"/>
    <ds:schemaRef ds:uri="751276d0-61bc-4dad-b75c-21dfd12630ad"/>
    <ds:schemaRef ds:uri="http://purl.org/dc/dcmitype/"/>
  </ds:schemaRefs>
</ds:datastoreItem>
</file>

<file path=customXml/itemProps2.xml><?xml version="1.0" encoding="utf-8"?>
<ds:datastoreItem xmlns:ds="http://schemas.openxmlformats.org/officeDocument/2006/customXml" ds:itemID="{55F6FE08-6B2F-4794-AF4E-1C66CF9BD191}"/>
</file>

<file path=customXml/itemProps3.xml><?xml version="1.0" encoding="utf-8"?>
<ds:datastoreItem xmlns:ds="http://schemas.openxmlformats.org/officeDocument/2006/customXml" ds:itemID="{905CA3A2-2BED-4F90-B75C-E5470BBAE52E}">
  <ds:schemaRefs>
    <ds:schemaRef ds:uri="http://schemas.microsoft.com/sharepoint/v3/contenttype/forms"/>
  </ds:schemaRefs>
</ds:datastoreItem>
</file>

<file path=customXml/itemProps4.xml><?xml version="1.0" encoding="utf-8"?>
<ds:datastoreItem xmlns:ds="http://schemas.openxmlformats.org/officeDocument/2006/customXml" ds:itemID="{8074759E-D01C-4736-B944-042D5CE29729}">
  <ds:schemaRefs>
    <ds:schemaRef ds:uri="http://schemas.openxmlformats.org/officeDocument/2006/bibliography"/>
  </ds:schemaRefs>
</ds:datastoreItem>
</file>

<file path=customXml/itemProps5.xml><?xml version="1.0" encoding="utf-8"?>
<ds:datastoreItem xmlns:ds="http://schemas.openxmlformats.org/officeDocument/2006/customXml" ds:itemID="{FD9FB3B2-8B9D-4F06-860A-38E5DF02652F}"/>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UE-170678 Staff Memo</vt:lpstr>
    </vt:vector>
  </TitlesOfParts>
  <Company>Washington Utilities and Transportation Commission</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UE-170678 Staff Memo</dc:title>
  <dc:subject/>
  <dc:creator>Snyder, Jennifer (UTC)</dc:creator>
  <cp:keywords/>
  <dc:description/>
  <cp:lastModifiedBy>Wyse, Lisa (UTC)</cp:lastModifiedBy>
  <cp:revision>2</cp:revision>
  <dcterms:created xsi:type="dcterms:W3CDTF">2017-07-24T20:23:00Z</dcterms:created>
  <dcterms:modified xsi:type="dcterms:W3CDTF">2017-07-24T20:23:00Z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0x0101006E56B4D1795A2E4DB2F0B01679ED314A0088A527D794287F449737D8902CA861AD</vt:lpwstr>
  </property>
  <property fmtid="{D5CDD505-2E9C-101B-9397-08002B2CF9AE}" pid="3" name="_docset_NoMedatataSyncRequired">
    <vt:lpwstr>False</vt:lpwstr>
  </property>
  <property fmtid="{D5CDD505-2E9C-101B-9397-08002B2CF9AE}" pid="4" name="IsEFSEC">
    <vt:bool>false</vt:bool>
  </property>
</Properties>
</file>