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35C" w:rsidRDefault="00285C9E" w:rsidP="00134BE6">
      <w:pPr>
        <w:rPr>
          <w:rFonts w:ascii="Arial" w:hAnsi="Arial"/>
          <w:i/>
          <w:sz w:val="18"/>
        </w:rPr>
      </w:pPr>
      <w:r>
        <w:rPr>
          <w:noProof/>
        </w:rPr>
        <w:drawing>
          <wp:anchor distT="0" distB="0" distL="114300" distR="114300" simplePos="0" relativeHeight="251657728" behindDoc="0" locked="0" layoutInCell="1" allowOverlap="1" wp14:anchorId="688C29B1" wp14:editId="64285B64">
            <wp:simplePos x="0" y="0"/>
            <wp:positionH relativeFrom="column">
              <wp:posOffset>0</wp:posOffset>
            </wp:positionH>
            <wp:positionV relativeFrom="paragraph">
              <wp:posOffset>0</wp:posOffset>
            </wp:positionV>
            <wp:extent cx="2705100" cy="1028700"/>
            <wp:effectExtent l="0" t="0" r="0" b="0"/>
            <wp:wrapNone/>
            <wp:docPr id="2" name="Picture 2" descr="PSE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E_letterhead"/>
                    <pic:cNvPicPr>
                      <a:picLocks noChangeAspect="1" noChangeArrowheads="1"/>
                    </pic:cNvPicPr>
                  </pic:nvPicPr>
                  <pic:blipFill>
                    <a:blip r:embed="rId9" cstate="print"/>
                    <a:srcRect/>
                    <a:stretch>
                      <a:fillRect/>
                    </a:stretch>
                  </pic:blipFill>
                  <pic:spPr bwMode="auto">
                    <a:xfrm>
                      <a:off x="0" y="0"/>
                      <a:ext cx="2705100" cy="1028700"/>
                    </a:xfrm>
                    <a:prstGeom prst="rect">
                      <a:avLst/>
                    </a:prstGeom>
                    <a:noFill/>
                    <a:ln w="9525">
                      <a:noFill/>
                      <a:miter lim="800000"/>
                      <a:headEnd/>
                      <a:tailEnd/>
                    </a:ln>
                  </pic:spPr>
                </pic:pic>
              </a:graphicData>
            </a:graphic>
          </wp:anchor>
        </w:drawing>
      </w: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rFonts w:ascii="Arial" w:hAnsi="Arial"/>
          <w:i/>
          <w:sz w:val="18"/>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F5635C" w:rsidRDefault="00F5635C" w:rsidP="002121E7">
      <w:pPr>
        <w:ind w:left="3600" w:firstLine="720"/>
        <w:rPr>
          <w:sz w:val="24"/>
          <w:szCs w:val="24"/>
        </w:rPr>
      </w:pPr>
    </w:p>
    <w:p w:rsidR="003E32BC" w:rsidRDefault="003E32BC" w:rsidP="002121E7">
      <w:pPr>
        <w:ind w:left="3600" w:firstLine="720"/>
        <w:rPr>
          <w:sz w:val="24"/>
          <w:szCs w:val="24"/>
        </w:rPr>
      </w:pPr>
    </w:p>
    <w:p w:rsidR="00F5635C" w:rsidRPr="0012097E" w:rsidRDefault="00BD63C2" w:rsidP="002121E7">
      <w:pPr>
        <w:ind w:left="3600" w:firstLine="720"/>
        <w:rPr>
          <w:sz w:val="24"/>
          <w:szCs w:val="24"/>
        </w:rPr>
      </w:pPr>
      <w:r>
        <w:rPr>
          <w:sz w:val="24"/>
          <w:szCs w:val="24"/>
        </w:rPr>
        <w:t>April 22</w:t>
      </w:r>
      <w:r w:rsidR="00F5635C" w:rsidRPr="0012097E">
        <w:rPr>
          <w:sz w:val="24"/>
          <w:szCs w:val="24"/>
        </w:rPr>
        <w:t>, 201</w:t>
      </w:r>
      <w:r w:rsidR="00A127E9">
        <w:rPr>
          <w:sz w:val="24"/>
          <w:szCs w:val="24"/>
        </w:rPr>
        <w:t>6</w:t>
      </w:r>
    </w:p>
    <w:p w:rsidR="00F5635C" w:rsidRPr="00C022E2" w:rsidRDefault="00F5635C" w:rsidP="00E128E5">
      <w:pPr>
        <w:rPr>
          <w:sz w:val="24"/>
          <w:szCs w:val="24"/>
        </w:rPr>
      </w:pPr>
    </w:p>
    <w:p w:rsidR="00F5635C" w:rsidRDefault="00B40DB5" w:rsidP="00E128E5">
      <w:pPr>
        <w:rPr>
          <w:sz w:val="24"/>
        </w:rPr>
      </w:pPr>
      <w:r>
        <w:rPr>
          <w:sz w:val="24"/>
        </w:rPr>
        <w:t>Mr. Steven V. King</w:t>
      </w:r>
    </w:p>
    <w:p w:rsidR="00F5635C" w:rsidRPr="004B2C59" w:rsidRDefault="00F5635C" w:rsidP="00E128E5">
      <w:pPr>
        <w:rPr>
          <w:sz w:val="24"/>
        </w:rPr>
      </w:pPr>
      <w:r w:rsidRPr="004B2C59">
        <w:rPr>
          <w:sz w:val="24"/>
        </w:rPr>
        <w:t>Executive Director</w:t>
      </w:r>
      <w:r>
        <w:rPr>
          <w:sz w:val="24"/>
        </w:rPr>
        <w:t xml:space="preserve"> and Secretary</w:t>
      </w:r>
      <w:r w:rsidRPr="004B2C59">
        <w:rPr>
          <w:sz w:val="24"/>
        </w:rPr>
        <w:t xml:space="preserve"> </w:t>
      </w:r>
    </w:p>
    <w:p w:rsidR="00F5635C" w:rsidRPr="00C022E2" w:rsidRDefault="00F5635C" w:rsidP="00E128E5">
      <w:pPr>
        <w:rPr>
          <w:sz w:val="24"/>
          <w:szCs w:val="24"/>
        </w:rPr>
      </w:pPr>
      <w:smartTag w:uri="urn:schemas-microsoft-com:office:smarttags" w:element="place">
        <w:smartTag w:uri="urn:schemas-microsoft-com:office:smarttags" w:element="State">
          <w:smartTag w:uri="urn:schemas-microsoft-com:office:smarttags" w:element="country-region">
            <w:r w:rsidRPr="00C022E2">
              <w:rPr>
                <w:sz w:val="24"/>
                <w:szCs w:val="24"/>
              </w:rPr>
              <w:t>Washington</w:t>
            </w:r>
          </w:smartTag>
        </w:smartTag>
      </w:smartTag>
      <w:r w:rsidRPr="00C022E2">
        <w:rPr>
          <w:sz w:val="24"/>
          <w:szCs w:val="24"/>
        </w:rPr>
        <w:t xml:space="preserve"> Utilities and Transportation Commission </w:t>
      </w:r>
    </w:p>
    <w:p w:rsidR="00F5635C" w:rsidRPr="00C022E2" w:rsidRDefault="00F5635C" w:rsidP="00E128E5">
      <w:pPr>
        <w:rPr>
          <w:sz w:val="24"/>
          <w:szCs w:val="24"/>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C022E2">
                <w:rPr>
                  <w:sz w:val="24"/>
                  <w:szCs w:val="24"/>
                </w:rPr>
                <w:t>P.O. Box</w:t>
              </w:r>
            </w:smartTag>
          </w:smartTag>
          <w:r w:rsidRPr="00C022E2">
            <w:rPr>
              <w:sz w:val="24"/>
              <w:szCs w:val="24"/>
            </w:rPr>
            <w:t xml:space="preserve"> 47250</w:t>
          </w:r>
        </w:smartTag>
      </w:smartTag>
    </w:p>
    <w:p w:rsidR="00F5635C" w:rsidRPr="00C022E2" w:rsidRDefault="00F5635C" w:rsidP="00E128E5">
      <w:pPr>
        <w:rPr>
          <w:sz w:val="24"/>
          <w:szCs w:val="24"/>
        </w:rPr>
      </w:pPr>
      <w:smartTag w:uri="urn:schemas-microsoft-com:office:smarttags" w:element="place">
        <w:smartTag w:uri="urn:schemas-microsoft-com:office:smarttags" w:element="City">
          <w:smartTag w:uri="urn:schemas-microsoft-com:office:smarttags" w:element="City">
            <w:smartTag w:uri="urn:schemas-microsoft-com:office:smarttags" w:element="country-region">
              <w:r w:rsidRPr="00C022E2">
                <w:rPr>
                  <w:sz w:val="24"/>
                  <w:szCs w:val="24"/>
                </w:rPr>
                <w:t>Olympia</w:t>
              </w:r>
            </w:smartTag>
          </w:smartTag>
          <w:r w:rsidRPr="00C022E2">
            <w:rPr>
              <w:sz w:val="24"/>
              <w:szCs w:val="24"/>
            </w:rPr>
            <w:t xml:space="preserve">, </w:t>
          </w:r>
          <w:smartTag w:uri="urn:schemas-microsoft-com:office:smarttags" w:element="State">
            <w:smartTag w:uri="urn:schemas-microsoft-com:office:smarttags" w:element="PostalCode">
              <w:r w:rsidRPr="00C022E2">
                <w:rPr>
                  <w:sz w:val="24"/>
                  <w:szCs w:val="24"/>
                </w:rPr>
                <w:t>Washington</w:t>
              </w:r>
            </w:smartTag>
          </w:smartTag>
          <w:r w:rsidRPr="00C022E2">
            <w:rPr>
              <w:sz w:val="24"/>
              <w:szCs w:val="24"/>
            </w:rPr>
            <w:t xml:space="preserve"> </w:t>
          </w:r>
          <w:smartTag w:uri="urn:schemas-microsoft-com:office:smarttags" w:element="PostalCode">
            <w:r w:rsidRPr="00C022E2">
              <w:rPr>
                <w:sz w:val="24"/>
                <w:szCs w:val="24"/>
              </w:rPr>
              <w:t>98504-7250</w:t>
            </w:r>
          </w:smartTag>
        </w:smartTag>
      </w:smartTag>
    </w:p>
    <w:p w:rsidR="00F5635C" w:rsidRDefault="00F5635C">
      <w:pPr>
        <w:rPr>
          <w:sz w:val="22"/>
        </w:rPr>
      </w:pPr>
    </w:p>
    <w:p w:rsidR="003E32BC" w:rsidRPr="00835A32" w:rsidRDefault="003E32BC">
      <w:pPr>
        <w:rPr>
          <w:sz w:val="22"/>
        </w:rPr>
      </w:pPr>
    </w:p>
    <w:p w:rsidR="00F5635C" w:rsidRPr="0012097E" w:rsidRDefault="00F5635C" w:rsidP="002121E7">
      <w:pPr>
        <w:rPr>
          <w:b/>
          <w:sz w:val="24"/>
          <w:szCs w:val="24"/>
        </w:rPr>
      </w:pPr>
      <w:r w:rsidRPr="0012097E">
        <w:rPr>
          <w:b/>
          <w:sz w:val="24"/>
          <w:szCs w:val="24"/>
        </w:rPr>
        <w:t xml:space="preserve">Re:   </w:t>
      </w:r>
      <w:r w:rsidRPr="0012097E">
        <w:rPr>
          <w:b/>
          <w:sz w:val="24"/>
          <w:szCs w:val="24"/>
        </w:rPr>
        <w:tab/>
      </w:r>
      <w:r w:rsidR="00BD63C2" w:rsidRPr="00BD63C2">
        <w:rPr>
          <w:b/>
          <w:sz w:val="24"/>
          <w:szCs w:val="24"/>
        </w:rPr>
        <w:t>Docket No. UE-160265 (</w:t>
      </w:r>
      <w:r w:rsidRPr="00BD63C2">
        <w:rPr>
          <w:b/>
          <w:sz w:val="24"/>
          <w:szCs w:val="24"/>
        </w:rPr>
        <w:t>Advice No. 201</w:t>
      </w:r>
      <w:r w:rsidR="00A127E9" w:rsidRPr="00BD63C2">
        <w:rPr>
          <w:b/>
          <w:sz w:val="24"/>
          <w:szCs w:val="24"/>
        </w:rPr>
        <w:t>6</w:t>
      </w:r>
      <w:r w:rsidRPr="00BD63C2">
        <w:rPr>
          <w:b/>
          <w:sz w:val="24"/>
          <w:szCs w:val="24"/>
        </w:rPr>
        <w:t>-</w:t>
      </w:r>
      <w:r w:rsidR="009565AA" w:rsidRPr="00BD63C2">
        <w:rPr>
          <w:b/>
          <w:sz w:val="24"/>
          <w:szCs w:val="24"/>
        </w:rPr>
        <w:t>0</w:t>
      </w:r>
      <w:r w:rsidR="009161B3" w:rsidRPr="00BD63C2">
        <w:rPr>
          <w:b/>
          <w:sz w:val="24"/>
          <w:szCs w:val="24"/>
        </w:rPr>
        <w:t>5</w:t>
      </w:r>
      <w:r w:rsidR="00BD63C2" w:rsidRPr="00BD63C2">
        <w:rPr>
          <w:b/>
          <w:sz w:val="24"/>
          <w:szCs w:val="24"/>
        </w:rPr>
        <w:t xml:space="preserve">) - </w:t>
      </w:r>
      <w:r w:rsidR="00BD63C2" w:rsidRPr="00BD63C2">
        <w:rPr>
          <w:b/>
          <w:sz w:val="24"/>
          <w:szCs w:val="24"/>
          <w:u w:val="single"/>
        </w:rPr>
        <w:t xml:space="preserve">Do Not </w:t>
      </w:r>
      <w:proofErr w:type="spellStart"/>
      <w:r w:rsidR="00BD63C2" w:rsidRPr="00BD63C2">
        <w:rPr>
          <w:b/>
          <w:sz w:val="24"/>
          <w:szCs w:val="24"/>
          <w:u w:val="single"/>
        </w:rPr>
        <w:t>Redocket</w:t>
      </w:r>
      <w:proofErr w:type="spellEnd"/>
    </w:p>
    <w:p w:rsidR="00F5635C" w:rsidRDefault="00BD63C2" w:rsidP="00A33AF7">
      <w:pPr>
        <w:ind w:firstLine="720"/>
        <w:outlineLvl w:val="0"/>
        <w:rPr>
          <w:b/>
          <w:sz w:val="24"/>
          <w:szCs w:val="24"/>
        </w:rPr>
      </w:pPr>
      <w:r>
        <w:rPr>
          <w:b/>
          <w:sz w:val="24"/>
          <w:szCs w:val="24"/>
        </w:rPr>
        <w:t xml:space="preserve">Substitute </w:t>
      </w:r>
      <w:r w:rsidR="00F5635C" w:rsidRPr="0012097E">
        <w:rPr>
          <w:b/>
          <w:sz w:val="24"/>
          <w:szCs w:val="24"/>
        </w:rPr>
        <w:t>Electric Tariff Filing - Filed Electronically</w:t>
      </w:r>
    </w:p>
    <w:p w:rsidR="00F5635C" w:rsidRDefault="00F5635C" w:rsidP="00A70281">
      <w:pPr>
        <w:rPr>
          <w:b/>
          <w:sz w:val="24"/>
          <w:szCs w:val="24"/>
        </w:rPr>
      </w:pPr>
    </w:p>
    <w:p w:rsidR="003E32BC" w:rsidRPr="0012097E" w:rsidRDefault="003E32BC" w:rsidP="00A70281">
      <w:pPr>
        <w:rPr>
          <w:b/>
          <w:sz w:val="24"/>
          <w:szCs w:val="24"/>
        </w:rPr>
      </w:pPr>
    </w:p>
    <w:p w:rsidR="00F5635C" w:rsidRPr="0012097E" w:rsidRDefault="00F5635C">
      <w:pPr>
        <w:pStyle w:val="BodyText"/>
        <w:rPr>
          <w:sz w:val="24"/>
          <w:szCs w:val="24"/>
        </w:rPr>
      </w:pPr>
      <w:r w:rsidRPr="0012097E">
        <w:rPr>
          <w:sz w:val="24"/>
          <w:szCs w:val="24"/>
        </w:rPr>
        <w:t>Dear Mr.</w:t>
      </w:r>
      <w:r w:rsidR="00B40DB5">
        <w:rPr>
          <w:sz w:val="24"/>
          <w:szCs w:val="24"/>
        </w:rPr>
        <w:t xml:space="preserve"> King</w:t>
      </w:r>
      <w:r w:rsidRPr="0012097E">
        <w:rPr>
          <w:sz w:val="24"/>
          <w:szCs w:val="24"/>
        </w:rPr>
        <w:t>:</w:t>
      </w:r>
    </w:p>
    <w:p w:rsidR="00F5635C" w:rsidRPr="0012097E" w:rsidRDefault="00F5635C">
      <w:pPr>
        <w:rPr>
          <w:sz w:val="24"/>
          <w:szCs w:val="24"/>
        </w:rPr>
      </w:pPr>
    </w:p>
    <w:p w:rsidR="00F5635C" w:rsidRPr="0012097E" w:rsidRDefault="00F5635C">
      <w:pPr>
        <w:rPr>
          <w:snapToGrid w:val="0"/>
          <w:sz w:val="24"/>
          <w:szCs w:val="24"/>
        </w:rPr>
      </w:pPr>
      <w:r w:rsidRPr="0012097E">
        <w:rPr>
          <w:color w:val="000000"/>
          <w:sz w:val="24"/>
          <w:szCs w:val="24"/>
        </w:rPr>
        <w:t xml:space="preserve">Puget Sound Energy (“PSE”) hereby submits </w:t>
      </w:r>
      <w:r w:rsidR="00254A1C" w:rsidRPr="00D5653F">
        <w:rPr>
          <w:sz w:val="24"/>
          <w:szCs w:val="24"/>
        </w:rPr>
        <w:t>in connection with Docket No. U</w:t>
      </w:r>
      <w:r w:rsidR="00254A1C">
        <w:rPr>
          <w:sz w:val="24"/>
          <w:szCs w:val="24"/>
        </w:rPr>
        <w:t>E</w:t>
      </w:r>
      <w:r w:rsidR="00254A1C" w:rsidRPr="00D5653F">
        <w:rPr>
          <w:sz w:val="24"/>
          <w:szCs w:val="24"/>
        </w:rPr>
        <w:t>-1</w:t>
      </w:r>
      <w:r w:rsidR="00254A1C">
        <w:rPr>
          <w:sz w:val="24"/>
          <w:szCs w:val="24"/>
        </w:rPr>
        <w:t>60265</w:t>
      </w:r>
      <w:r w:rsidR="00D426D9">
        <w:rPr>
          <w:sz w:val="24"/>
          <w:szCs w:val="24"/>
        </w:rPr>
        <w:t>,</w:t>
      </w:r>
      <w:r w:rsidR="00254A1C" w:rsidRPr="00D5653F">
        <w:rPr>
          <w:sz w:val="24"/>
          <w:szCs w:val="24"/>
        </w:rPr>
        <w:t xml:space="preserve"> the following tariff sheets to replace the tariff sheets accompanying PSE’s </w:t>
      </w:r>
      <w:r w:rsidR="00254A1C">
        <w:rPr>
          <w:sz w:val="24"/>
          <w:szCs w:val="24"/>
        </w:rPr>
        <w:t>March 1</w:t>
      </w:r>
      <w:r w:rsidR="00254A1C" w:rsidRPr="00D5653F">
        <w:rPr>
          <w:sz w:val="24"/>
          <w:szCs w:val="24"/>
        </w:rPr>
        <w:t>, 201</w:t>
      </w:r>
      <w:r w:rsidR="00254A1C">
        <w:rPr>
          <w:sz w:val="24"/>
          <w:szCs w:val="24"/>
        </w:rPr>
        <w:t>6</w:t>
      </w:r>
      <w:r w:rsidR="00254A1C" w:rsidRPr="00D5653F">
        <w:rPr>
          <w:sz w:val="24"/>
          <w:szCs w:val="24"/>
        </w:rPr>
        <w:t>, filing which was submitted under PSE’s Advice No. 201</w:t>
      </w:r>
      <w:r w:rsidR="00254A1C">
        <w:rPr>
          <w:sz w:val="24"/>
          <w:szCs w:val="24"/>
        </w:rPr>
        <w:t>6</w:t>
      </w:r>
      <w:r w:rsidR="00254A1C" w:rsidRPr="00D5653F">
        <w:rPr>
          <w:sz w:val="24"/>
          <w:szCs w:val="24"/>
        </w:rPr>
        <w:t>-0</w:t>
      </w:r>
      <w:r w:rsidR="00254A1C">
        <w:rPr>
          <w:sz w:val="24"/>
          <w:szCs w:val="24"/>
        </w:rPr>
        <w:t>5</w:t>
      </w:r>
      <w:r w:rsidR="00254A1C" w:rsidRPr="00D5653F">
        <w:rPr>
          <w:sz w:val="24"/>
          <w:szCs w:val="24"/>
        </w:rPr>
        <w:t xml:space="preserve">.  </w:t>
      </w:r>
      <w:r w:rsidRPr="0012097E">
        <w:rPr>
          <w:color w:val="000000"/>
          <w:sz w:val="24"/>
          <w:szCs w:val="24"/>
        </w:rPr>
        <w:t xml:space="preserve">This </w:t>
      </w:r>
      <w:r w:rsidR="00BD63C2">
        <w:rPr>
          <w:color w:val="000000"/>
          <w:sz w:val="24"/>
          <w:szCs w:val="24"/>
        </w:rPr>
        <w:t xml:space="preserve">substitute </w:t>
      </w:r>
      <w:r w:rsidRPr="0012097E">
        <w:rPr>
          <w:color w:val="000000"/>
          <w:sz w:val="24"/>
          <w:szCs w:val="24"/>
        </w:rPr>
        <w:t>filing</w:t>
      </w:r>
      <w:r w:rsidR="00BD63C2">
        <w:rPr>
          <w:color w:val="000000"/>
          <w:sz w:val="24"/>
          <w:szCs w:val="24"/>
        </w:rPr>
        <w:t xml:space="preserve"> is</w:t>
      </w:r>
      <w:r w:rsidRPr="0012097E">
        <w:rPr>
          <w:color w:val="000000"/>
          <w:sz w:val="24"/>
          <w:szCs w:val="24"/>
        </w:rPr>
        <w:t xml:space="preserve"> p</w:t>
      </w:r>
      <w:r w:rsidRPr="0012097E">
        <w:rPr>
          <w:snapToGrid w:val="0"/>
          <w:sz w:val="24"/>
          <w:szCs w:val="24"/>
        </w:rPr>
        <w:t>ursuant to RCW 80.28.060 and Chapter 480-80 WAC</w:t>
      </w:r>
      <w:r w:rsidR="00BD63C2" w:rsidRPr="00BD63C2">
        <w:rPr>
          <w:sz w:val="24"/>
          <w:szCs w:val="24"/>
        </w:rPr>
        <w:t xml:space="preserve"> </w:t>
      </w:r>
      <w:r w:rsidR="00BD63C2" w:rsidRPr="00D5653F">
        <w:rPr>
          <w:sz w:val="24"/>
          <w:szCs w:val="24"/>
        </w:rPr>
        <w:t>and includes the following portion of the Company’s WN U-</w:t>
      </w:r>
      <w:r w:rsidR="00BD63C2">
        <w:rPr>
          <w:sz w:val="24"/>
          <w:szCs w:val="24"/>
        </w:rPr>
        <w:t>60</w:t>
      </w:r>
      <w:r w:rsidR="00BD63C2" w:rsidRPr="00D5653F">
        <w:rPr>
          <w:sz w:val="24"/>
          <w:szCs w:val="24"/>
        </w:rPr>
        <w:t xml:space="preserve"> </w:t>
      </w:r>
      <w:r w:rsidR="00D426D9">
        <w:rPr>
          <w:sz w:val="24"/>
          <w:szCs w:val="24"/>
        </w:rPr>
        <w:t>T</w:t>
      </w:r>
      <w:r w:rsidR="00BD63C2" w:rsidRPr="00D5653F">
        <w:rPr>
          <w:sz w:val="24"/>
          <w:szCs w:val="24"/>
        </w:rPr>
        <w:t xml:space="preserve">ariff </w:t>
      </w:r>
      <w:r w:rsidR="00D426D9">
        <w:rPr>
          <w:sz w:val="24"/>
          <w:szCs w:val="24"/>
        </w:rPr>
        <w:t xml:space="preserve">G </w:t>
      </w:r>
      <w:r w:rsidR="00BD63C2" w:rsidRPr="00D5653F">
        <w:rPr>
          <w:sz w:val="24"/>
          <w:szCs w:val="24"/>
        </w:rPr>
        <w:t xml:space="preserve">for </w:t>
      </w:r>
      <w:r w:rsidR="00BD63C2">
        <w:rPr>
          <w:sz w:val="24"/>
          <w:szCs w:val="24"/>
        </w:rPr>
        <w:t>electric</w:t>
      </w:r>
      <w:r w:rsidR="00BD63C2" w:rsidRPr="00D5653F">
        <w:rPr>
          <w:sz w:val="24"/>
          <w:szCs w:val="24"/>
        </w:rPr>
        <w:t xml:space="preserve"> service</w:t>
      </w:r>
      <w:r w:rsidRPr="0012097E">
        <w:rPr>
          <w:snapToGrid w:val="0"/>
          <w:sz w:val="24"/>
          <w:szCs w:val="24"/>
        </w:rPr>
        <w:t>.</w:t>
      </w:r>
    </w:p>
    <w:p w:rsidR="00F5635C" w:rsidRPr="0012097E" w:rsidRDefault="00F5635C">
      <w:pPr>
        <w:rPr>
          <w:snapToGrid w:val="0"/>
          <w:color w:val="FF0000"/>
          <w:sz w:val="24"/>
          <w:szCs w:val="24"/>
        </w:rPr>
      </w:pPr>
    </w:p>
    <w:p w:rsidR="00F5635C" w:rsidRPr="00092AE2" w:rsidRDefault="00F8147F" w:rsidP="005B7979">
      <w:pPr>
        <w:pStyle w:val="BodyText"/>
        <w:ind w:left="360"/>
        <w:outlineLvl w:val="0"/>
        <w:rPr>
          <w:sz w:val="24"/>
          <w:szCs w:val="24"/>
        </w:rPr>
      </w:pPr>
      <w:r w:rsidRPr="00092AE2">
        <w:rPr>
          <w:sz w:val="24"/>
          <w:szCs w:val="24"/>
        </w:rPr>
        <w:t>2</w:t>
      </w:r>
      <w:r w:rsidR="00092AE2" w:rsidRPr="00092AE2">
        <w:rPr>
          <w:sz w:val="24"/>
          <w:szCs w:val="24"/>
        </w:rPr>
        <w:t>4</w:t>
      </w:r>
      <w:r w:rsidR="00A127E9" w:rsidRPr="00092AE2">
        <w:rPr>
          <w:sz w:val="24"/>
          <w:szCs w:val="24"/>
          <w:vertAlign w:val="superscript"/>
        </w:rPr>
        <w:t>th</w:t>
      </w:r>
      <w:r w:rsidRPr="00092AE2">
        <w:rPr>
          <w:sz w:val="24"/>
          <w:szCs w:val="24"/>
        </w:rPr>
        <w:t xml:space="preserve"> </w:t>
      </w:r>
      <w:r w:rsidR="00F5635C" w:rsidRPr="00092AE2">
        <w:rPr>
          <w:sz w:val="24"/>
          <w:szCs w:val="24"/>
        </w:rPr>
        <w:t xml:space="preserve">Revision of Sheet No. 120 </w:t>
      </w:r>
      <w:r w:rsidR="00EB4B86" w:rsidRPr="00092AE2">
        <w:rPr>
          <w:sz w:val="24"/>
          <w:szCs w:val="24"/>
        </w:rPr>
        <w:t xml:space="preserve">  </w:t>
      </w:r>
      <w:r w:rsidR="00F5635C" w:rsidRPr="00092AE2">
        <w:rPr>
          <w:sz w:val="24"/>
          <w:szCs w:val="24"/>
        </w:rPr>
        <w:t>- Electricity Conservation Service Rider</w:t>
      </w:r>
    </w:p>
    <w:p w:rsidR="00BF73E8" w:rsidRDefault="00F8147F" w:rsidP="00BF73E8">
      <w:pPr>
        <w:pStyle w:val="BodyText"/>
        <w:ind w:left="360"/>
        <w:rPr>
          <w:sz w:val="24"/>
          <w:szCs w:val="24"/>
        </w:rPr>
      </w:pPr>
      <w:r w:rsidRPr="00092AE2">
        <w:rPr>
          <w:sz w:val="24"/>
          <w:szCs w:val="24"/>
        </w:rPr>
        <w:t>2</w:t>
      </w:r>
      <w:r w:rsidR="00A127E9" w:rsidRPr="00092AE2">
        <w:rPr>
          <w:sz w:val="24"/>
          <w:szCs w:val="24"/>
        </w:rPr>
        <w:t>5</w:t>
      </w:r>
      <w:r w:rsidR="00D63ACA" w:rsidRPr="00092AE2">
        <w:rPr>
          <w:sz w:val="24"/>
          <w:szCs w:val="24"/>
          <w:vertAlign w:val="superscript"/>
        </w:rPr>
        <w:t>th</w:t>
      </w:r>
      <w:r w:rsidRPr="00092AE2">
        <w:rPr>
          <w:sz w:val="24"/>
          <w:szCs w:val="24"/>
        </w:rPr>
        <w:t xml:space="preserve"> </w:t>
      </w:r>
      <w:r w:rsidR="00D63ACA" w:rsidRPr="00092AE2">
        <w:rPr>
          <w:sz w:val="24"/>
          <w:szCs w:val="24"/>
        </w:rPr>
        <w:t>Revision of Sheet No. 120-A</w:t>
      </w:r>
      <w:r w:rsidR="00F5635C" w:rsidRPr="00092AE2">
        <w:rPr>
          <w:sz w:val="24"/>
          <w:szCs w:val="24"/>
        </w:rPr>
        <w:t xml:space="preserve"> - Electricity Conservation Service Rider (Continued)</w:t>
      </w:r>
    </w:p>
    <w:p w:rsidR="00D426D9" w:rsidRDefault="00D426D9" w:rsidP="005B7979">
      <w:pPr>
        <w:pStyle w:val="BodyText"/>
        <w:ind w:left="360"/>
        <w:rPr>
          <w:sz w:val="24"/>
          <w:szCs w:val="24"/>
        </w:rPr>
      </w:pPr>
    </w:p>
    <w:p w:rsidR="00BF73E8" w:rsidRDefault="00BF73E8" w:rsidP="00BF73E8">
      <w:pPr>
        <w:rPr>
          <w:sz w:val="24"/>
          <w:szCs w:val="24"/>
        </w:rPr>
      </w:pPr>
      <w:r w:rsidRPr="00BF73E8">
        <w:rPr>
          <w:sz w:val="24"/>
          <w:szCs w:val="24"/>
        </w:rPr>
        <w:t>During Northwest Energy Coalition’s review of PSE’s 2015 program costs, it was discovered that the amount of unbilled distribution system costs under PSE’s net metering program that are included for recovery in Schedule 120</w:t>
      </w:r>
      <w:r>
        <w:rPr>
          <w:sz w:val="24"/>
          <w:szCs w:val="24"/>
        </w:rPr>
        <w:t>,</w:t>
      </w:r>
      <w:r w:rsidRPr="00BF73E8">
        <w:rPr>
          <w:sz w:val="24"/>
          <w:szCs w:val="24"/>
        </w:rPr>
        <w:t xml:space="preserve"> was too high.  The unbilled distribution system costs for the unused energy that customer generators store on PSE’s system should be valued at PSE’s functionalized distribution system costs approved in rates.  Beginning in November 2013, PSE inadvertently began applying its functionalized production system rate to the unused energy when deferring these costs to the conservation rider accounts.  </w:t>
      </w:r>
    </w:p>
    <w:p w:rsidR="00BF73E8" w:rsidRDefault="00BF73E8" w:rsidP="00BF73E8">
      <w:pPr>
        <w:rPr>
          <w:sz w:val="24"/>
          <w:szCs w:val="24"/>
        </w:rPr>
      </w:pPr>
    </w:p>
    <w:p w:rsidR="00BF73E8" w:rsidRDefault="00BF73E8" w:rsidP="00BF73E8">
      <w:pPr>
        <w:rPr>
          <w:sz w:val="24"/>
          <w:szCs w:val="24"/>
        </w:rPr>
      </w:pPr>
      <w:r>
        <w:rPr>
          <w:sz w:val="24"/>
          <w:szCs w:val="24"/>
        </w:rPr>
        <w:t xml:space="preserve">The purpose of this </w:t>
      </w:r>
      <w:r w:rsidRPr="00BF73E8">
        <w:rPr>
          <w:sz w:val="24"/>
          <w:szCs w:val="24"/>
        </w:rPr>
        <w:t xml:space="preserve">substitute filing </w:t>
      </w:r>
      <w:r>
        <w:rPr>
          <w:sz w:val="24"/>
          <w:szCs w:val="24"/>
        </w:rPr>
        <w:t xml:space="preserve">is to </w:t>
      </w:r>
      <w:r w:rsidRPr="00BF73E8">
        <w:rPr>
          <w:sz w:val="24"/>
          <w:szCs w:val="24"/>
        </w:rPr>
        <w:t xml:space="preserve">correct the months from November 2013 through December 2015 </w:t>
      </w:r>
      <w:r>
        <w:rPr>
          <w:sz w:val="24"/>
          <w:szCs w:val="24"/>
        </w:rPr>
        <w:t xml:space="preserve">and </w:t>
      </w:r>
      <w:r w:rsidRPr="00BF73E8">
        <w:rPr>
          <w:sz w:val="24"/>
          <w:szCs w:val="24"/>
        </w:rPr>
        <w:t>replace the inappropriate production rate with the appropriate distribution rate for calculating the amount of unbilled distribution system costs to include in Schedule 120 for recovery.</w:t>
      </w:r>
      <w:r>
        <w:rPr>
          <w:sz w:val="24"/>
          <w:szCs w:val="24"/>
        </w:rPr>
        <w:t xml:space="preserve">  </w:t>
      </w:r>
      <w:r w:rsidR="00392FBD">
        <w:rPr>
          <w:sz w:val="24"/>
          <w:szCs w:val="24"/>
        </w:rPr>
        <w:t xml:space="preserve">This correction resulted in </w:t>
      </w:r>
      <w:r>
        <w:rPr>
          <w:sz w:val="24"/>
          <w:szCs w:val="24"/>
        </w:rPr>
        <w:t>changes</w:t>
      </w:r>
      <w:r w:rsidR="00392FBD">
        <w:rPr>
          <w:sz w:val="24"/>
          <w:szCs w:val="24"/>
        </w:rPr>
        <w:t xml:space="preserve"> to all previously proposed rates except for those within lighting schedules.  </w:t>
      </w:r>
    </w:p>
    <w:p w:rsidR="00BF73E8" w:rsidRDefault="00BF73E8" w:rsidP="00BF73E8">
      <w:pPr>
        <w:rPr>
          <w:sz w:val="24"/>
          <w:szCs w:val="24"/>
        </w:rPr>
      </w:pPr>
    </w:p>
    <w:p w:rsidR="00D426D9" w:rsidRDefault="00BF73E8" w:rsidP="00BF73E8">
      <w:pPr>
        <w:rPr>
          <w:sz w:val="24"/>
          <w:szCs w:val="24"/>
        </w:rPr>
      </w:pPr>
      <w:r>
        <w:rPr>
          <w:sz w:val="24"/>
          <w:szCs w:val="24"/>
        </w:rPr>
        <w:t>Th</w:t>
      </w:r>
      <w:r w:rsidR="00392FBD" w:rsidRPr="00C529B8">
        <w:rPr>
          <w:sz w:val="24"/>
          <w:szCs w:val="24"/>
        </w:rPr>
        <w:t>e tariff sheets described herei</w:t>
      </w:r>
      <w:r w:rsidR="00392FBD">
        <w:rPr>
          <w:sz w:val="24"/>
          <w:szCs w:val="24"/>
        </w:rPr>
        <w:t>n reflect their original issue date</w:t>
      </w:r>
      <w:bookmarkStart w:id="0" w:name="_GoBack"/>
      <w:bookmarkEnd w:id="0"/>
      <w:r w:rsidR="00392FBD">
        <w:rPr>
          <w:sz w:val="24"/>
          <w:szCs w:val="24"/>
        </w:rPr>
        <w:t xml:space="preserve"> of March 1, 2016</w:t>
      </w:r>
      <w:r w:rsidR="00392FBD" w:rsidRPr="00C529B8">
        <w:rPr>
          <w:sz w:val="24"/>
          <w:szCs w:val="24"/>
        </w:rPr>
        <w:t xml:space="preserve">, and </w:t>
      </w:r>
      <w:r w:rsidR="00392FBD">
        <w:rPr>
          <w:sz w:val="24"/>
          <w:szCs w:val="24"/>
        </w:rPr>
        <w:t>effective date of May 1, 2016</w:t>
      </w:r>
      <w:r w:rsidR="00392FBD" w:rsidRPr="00C529B8">
        <w:rPr>
          <w:sz w:val="24"/>
          <w:szCs w:val="24"/>
        </w:rPr>
        <w:t xml:space="preserve">.  </w:t>
      </w:r>
      <w:r w:rsidR="00D426D9" w:rsidRPr="00556F51">
        <w:rPr>
          <w:sz w:val="24"/>
          <w:szCs w:val="24"/>
        </w:rPr>
        <w:t xml:space="preserve">This substitution is </w:t>
      </w:r>
      <w:r w:rsidR="00D426D9">
        <w:rPr>
          <w:sz w:val="24"/>
          <w:szCs w:val="24"/>
        </w:rPr>
        <w:t>provided for in WAC 480-80-111(b</w:t>
      </w:r>
      <w:r w:rsidR="00D426D9" w:rsidRPr="00556F51">
        <w:rPr>
          <w:sz w:val="24"/>
          <w:szCs w:val="24"/>
        </w:rPr>
        <w:t xml:space="preserve">) as </w:t>
      </w:r>
      <w:r w:rsidR="00D426D9">
        <w:rPr>
          <w:sz w:val="24"/>
          <w:szCs w:val="24"/>
        </w:rPr>
        <w:t>the revision does not increase the rates reflected in the pending tariff sheets</w:t>
      </w:r>
      <w:r w:rsidR="00D426D9" w:rsidRPr="00556F51">
        <w:rPr>
          <w:sz w:val="24"/>
          <w:szCs w:val="24"/>
        </w:rPr>
        <w:t xml:space="preserve">.  </w:t>
      </w:r>
    </w:p>
    <w:p w:rsidR="00D426D9" w:rsidRPr="00092AE2" w:rsidRDefault="00D426D9" w:rsidP="00D426D9">
      <w:pPr>
        <w:pStyle w:val="BodyText"/>
        <w:rPr>
          <w:sz w:val="24"/>
          <w:szCs w:val="24"/>
        </w:rPr>
      </w:pPr>
    </w:p>
    <w:p w:rsidR="00F5635C" w:rsidRPr="0012097E" w:rsidRDefault="00F5635C">
      <w:pPr>
        <w:rPr>
          <w:sz w:val="24"/>
          <w:szCs w:val="24"/>
        </w:rPr>
      </w:pPr>
      <w:r w:rsidRPr="0012097E">
        <w:rPr>
          <w:sz w:val="24"/>
          <w:szCs w:val="24"/>
        </w:rPr>
        <w:lastRenderedPageBreak/>
        <w:t xml:space="preserve">Please contact </w:t>
      </w:r>
      <w:r w:rsidR="00A127E9">
        <w:rPr>
          <w:sz w:val="24"/>
          <w:szCs w:val="24"/>
        </w:rPr>
        <w:t>Julie Waltari</w:t>
      </w:r>
      <w:r w:rsidRPr="0012097E">
        <w:rPr>
          <w:sz w:val="24"/>
          <w:szCs w:val="24"/>
        </w:rPr>
        <w:t xml:space="preserve"> at (425) </w:t>
      </w:r>
      <w:r w:rsidR="00A127E9">
        <w:rPr>
          <w:sz w:val="24"/>
          <w:szCs w:val="24"/>
        </w:rPr>
        <w:t>456-2945</w:t>
      </w:r>
      <w:r w:rsidRPr="0012097E">
        <w:rPr>
          <w:sz w:val="24"/>
          <w:szCs w:val="24"/>
        </w:rPr>
        <w:t xml:space="preserve"> for additional information about this filing.  If you have any other question</w:t>
      </w:r>
      <w:r w:rsidR="00CA3E57">
        <w:rPr>
          <w:sz w:val="24"/>
          <w:szCs w:val="24"/>
        </w:rPr>
        <w:t>s please contact me at (425) 456-2110</w:t>
      </w:r>
      <w:r w:rsidRPr="0012097E">
        <w:rPr>
          <w:sz w:val="24"/>
          <w:szCs w:val="24"/>
        </w:rPr>
        <w:t>.</w:t>
      </w:r>
      <w:r w:rsidRPr="0012097E">
        <w:rPr>
          <w:sz w:val="24"/>
          <w:szCs w:val="24"/>
        </w:rPr>
        <w:tab/>
      </w:r>
    </w:p>
    <w:p w:rsidR="00F5635C" w:rsidRPr="0012097E" w:rsidRDefault="00F5635C">
      <w:pPr>
        <w:pStyle w:val="Header"/>
        <w:tabs>
          <w:tab w:val="clear" w:pos="4320"/>
          <w:tab w:val="clear" w:pos="8640"/>
        </w:tabs>
        <w:rPr>
          <w:sz w:val="24"/>
          <w:szCs w:val="24"/>
        </w:rPr>
      </w:pPr>
    </w:p>
    <w:p w:rsidR="00F5635C" w:rsidRPr="0012097E" w:rsidRDefault="00C06BE4">
      <w:pPr>
        <w:ind w:left="3600" w:firstLine="720"/>
        <w:rPr>
          <w:sz w:val="24"/>
          <w:szCs w:val="24"/>
        </w:rPr>
      </w:pPr>
      <w:r>
        <w:rPr>
          <w:sz w:val="24"/>
          <w:szCs w:val="24"/>
        </w:rPr>
        <w:t>Sincerely</w:t>
      </w:r>
      <w:r w:rsidR="00F5635C" w:rsidRPr="0012097E">
        <w:rPr>
          <w:sz w:val="24"/>
          <w:szCs w:val="24"/>
        </w:rPr>
        <w:t>,</w:t>
      </w:r>
    </w:p>
    <w:p w:rsidR="00F5635C" w:rsidRPr="0012097E" w:rsidRDefault="00F5635C">
      <w:pPr>
        <w:rPr>
          <w:sz w:val="24"/>
          <w:szCs w:val="24"/>
        </w:rPr>
      </w:pPr>
    </w:p>
    <w:p w:rsidR="00F5635C" w:rsidRDefault="00F5635C">
      <w:pPr>
        <w:rPr>
          <w:sz w:val="24"/>
          <w:szCs w:val="24"/>
        </w:rPr>
      </w:pPr>
    </w:p>
    <w:p w:rsidR="000818BB" w:rsidRPr="0012097E" w:rsidRDefault="000818BB">
      <w:pPr>
        <w:rPr>
          <w:sz w:val="24"/>
          <w:szCs w:val="24"/>
        </w:rPr>
      </w:pPr>
    </w:p>
    <w:p w:rsidR="00F5635C" w:rsidRPr="0012097E" w:rsidRDefault="00F5635C">
      <w:pPr>
        <w:rPr>
          <w:sz w:val="24"/>
          <w:szCs w:val="24"/>
        </w:rPr>
      </w:pPr>
    </w:p>
    <w:p w:rsidR="00F5635C" w:rsidRPr="0012097E" w:rsidRDefault="00C06BE4" w:rsidP="00A33AF7">
      <w:pPr>
        <w:ind w:left="3600" w:firstLine="720"/>
        <w:outlineLvl w:val="0"/>
        <w:rPr>
          <w:sz w:val="24"/>
          <w:szCs w:val="24"/>
        </w:rPr>
      </w:pPr>
      <w:r>
        <w:rPr>
          <w:sz w:val="24"/>
          <w:szCs w:val="24"/>
        </w:rPr>
        <w:t>Ken</w:t>
      </w:r>
      <w:r w:rsidR="00CA3E57">
        <w:rPr>
          <w:sz w:val="24"/>
          <w:szCs w:val="24"/>
        </w:rPr>
        <w:t xml:space="preserve"> Johnson</w:t>
      </w:r>
    </w:p>
    <w:p w:rsidR="00F5635C" w:rsidRPr="0012097E" w:rsidRDefault="00CA3E5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Director, </w:t>
      </w:r>
      <w:r w:rsidR="00F5635C" w:rsidRPr="0012097E">
        <w:rPr>
          <w:sz w:val="24"/>
          <w:szCs w:val="24"/>
        </w:rPr>
        <w:t>State Regulatory Affairs</w:t>
      </w:r>
    </w:p>
    <w:p w:rsidR="00F5635C" w:rsidRPr="0012097E" w:rsidRDefault="00F5635C">
      <w:pPr>
        <w:rPr>
          <w:sz w:val="24"/>
          <w:szCs w:val="24"/>
        </w:rPr>
      </w:pPr>
    </w:p>
    <w:p w:rsidR="00F5635C" w:rsidRPr="0012097E" w:rsidRDefault="00F5635C">
      <w:pPr>
        <w:rPr>
          <w:sz w:val="24"/>
          <w:szCs w:val="24"/>
        </w:rPr>
      </w:pPr>
      <w:r w:rsidRPr="0012097E">
        <w:rPr>
          <w:sz w:val="24"/>
          <w:szCs w:val="24"/>
        </w:rPr>
        <w:t>Enclosures</w:t>
      </w:r>
    </w:p>
    <w:p w:rsidR="00F5635C" w:rsidRPr="0012097E" w:rsidRDefault="00F5635C">
      <w:pPr>
        <w:rPr>
          <w:sz w:val="24"/>
          <w:szCs w:val="24"/>
        </w:rPr>
      </w:pPr>
    </w:p>
    <w:p w:rsidR="00F5635C" w:rsidRPr="0012097E" w:rsidRDefault="00F5635C" w:rsidP="00A70281">
      <w:pPr>
        <w:rPr>
          <w:sz w:val="24"/>
          <w:szCs w:val="24"/>
        </w:rPr>
      </w:pPr>
      <w:r w:rsidRPr="0012097E">
        <w:rPr>
          <w:sz w:val="24"/>
          <w:szCs w:val="24"/>
        </w:rPr>
        <w:t xml:space="preserve">cc: </w:t>
      </w:r>
      <w:r w:rsidRPr="0012097E">
        <w:rPr>
          <w:sz w:val="24"/>
          <w:szCs w:val="24"/>
        </w:rPr>
        <w:tab/>
        <w:t>Simon J. ffitch, Public Counsel</w:t>
      </w:r>
    </w:p>
    <w:p w:rsidR="00F5635C" w:rsidRPr="0012097E" w:rsidRDefault="00F5635C" w:rsidP="00A70281">
      <w:pPr>
        <w:ind w:firstLine="720"/>
        <w:rPr>
          <w:sz w:val="24"/>
          <w:szCs w:val="24"/>
        </w:rPr>
      </w:pPr>
      <w:r w:rsidRPr="0012097E">
        <w:rPr>
          <w:sz w:val="24"/>
          <w:szCs w:val="24"/>
        </w:rPr>
        <w:t>Sheree Carson, Perkins Coie</w:t>
      </w:r>
    </w:p>
    <w:sectPr w:rsidR="00F5635C" w:rsidRPr="0012097E" w:rsidSect="00AD5167">
      <w:headerReference w:type="default" r:id="rId10"/>
      <w:pgSz w:w="12240" w:h="15840" w:code="1"/>
      <w:pgMar w:top="1152" w:right="1440" w:bottom="1152"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08" w:rsidRDefault="00C45708">
      <w:r>
        <w:separator/>
      </w:r>
    </w:p>
  </w:endnote>
  <w:endnote w:type="continuationSeparator" w:id="0">
    <w:p w:rsidR="00C45708" w:rsidRDefault="00C4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08" w:rsidRDefault="00C45708">
      <w:r>
        <w:separator/>
      </w:r>
    </w:p>
  </w:footnote>
  <w:footnote w:type="continuationSeparator" w:id="0">
    <w:p w:rsidR="00C45708" w:rsidRDefault="00C4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08" w:rsidRDefault="00C45708">
    <w:pPr>
      <w:pStyle w:val="Header"/>
      <w:rPr>
        <w:sz w:val="24"/>
      </w:rPr>
    </w:pPr>
  </w:p>
  <w:p w:rsidR="00C45708" w:rsidRDefault="00C45708">
    <w:pPr>
      <w:pStyle w:val="Header"/>
      <w:rPr>
        <w:sz w:val="24"/>
      </w:rPr>
    </w:pPr>
  </w:p>
  <w:p w:rsidR="00C45708" w:rsidRDefault="00C94A28">
    <w:pPr>
      <w:pStyle w:val="Header"/>
      <w:rPr>
        <w:sz w:val="24"/>
      </w:rPr>
    </w:pPr>
    <w:r>
      <w:rPr>
        <w:sz w:val="24"/>
      </w:rPr>
      <w:t>Mr. Steven V. King</w:t>
    </w:r>
  </w:p>
  <w:p w:rsidR="00C45708" w:rsidRDefault="00BD63C2">
    <w:pPr>
      <w:pStyle w:val="Header"/>
      <w:rPr>
        <w:sz w:val="24"/>
      </w:rPr>
    </w:pPr>
    <w:r>
      <w:rPr>
        <w:sz w:val="24"/>
      </w:rPr>
      <w:t>April 22</w:t>
    </w:r>
    <w:r w:rsidR="009A737A">
      <w:rPr>
        <w:sz w:val="24"/>
      </w:rPr>
      <w:t>, 201</w:t>
    </w:r>
    <w:r w:rsidR="00A127E9">
      <w:rPr>
        <w:sz w:val="24"/>
      </w:rPr>
      <w:t>6</w:t>
    </w:r>
  </w:p>
  <w:p w:rsidR="00C45708" w:rsidRDefault="009A737A">
    <w:pPr>
      <w:pStyle w:val="Header"/>
      <w:rPr>
        <w:sz w:val="24"/>
      </w:rPr>
    </w:pPr>
    <w:r>
      <w:rPr>
        <w:sz w:val="24"/>
      </w:rPr>
      <w:t>Advice No. 201</w:t>
    </w:r>
    <w:r w:rsidR="00A127E9">
      <w:rPr>
        <w:sz w:val="24"/>
      </w:rPr>
      <w:t>6</w:t>
    </w:r>
    <w:r w:rsidR="00F8147F">
      <w:rPr>
        <w:sz w:val="24"/>
      </w:rPr>
      <w:t>-</w:t>
    </w:r>
    <w:r w:rsidR="009161B3">
      <w:rPr>
        <w:sz w:val="24"/>
      </w:rPr>
      <w:t>05</w:t>
    </w:r>
  </w:p>
  <w:p w:rsidR="00C45708" w:rsidRDefault="00C45708">
    <w:pPr>
      <w:pStyle w:val="Header"/>
      <w:rPr>
        <w:rStyle w:val="PageNumber"/>
        <w:sz w:val="24"/>
        <w:szCs w:val="24"/>
      </w:rPr>
    </w:pPr>
    <w:r>
      <w:rPr>
        <w:sz w:val="24"/>
      </w:rPr>
      <w:t xml:space="preserve">Page </w:t>
    </w:r>
    <w:r w:rsidR="00301B84" w:rsidRPr="00704400">
      <w:rPr>
        <w:rStyle w:val="PageNumber"/>
        <w:sz w:val="24"/>
        <w:szCs w:val="24"/>
      </w:rPr>
      <w:fldChar w:fldCharType="begin"/>
    </w:r>
    <w:r w:rsidRPr="00704400">
      <w:rPr>
        <w:rStyle w:val="PageNumber"/>
        <w:sz w:val="24"/>
        <w:szCs w:val="24"/>
      </w:rPr>
      <w:instrText xml:space="preserve"> PAGE </w:instrText>
    </w:r>
    <w:r w:rsidR="00301B84" w:rsidRPr="00704400">
      <w:rPr>
        <w:rStyle w:val="PageNumber"/>
        <w:sz w:val="24"/>
        <w:szCs w:val="24"/>
      </w:rPr>
      <w:fldChar w:fldCharType="separate"/>
    </w:r>
    <w:r w:rsidR="00BF73E8">
      <w:rPr>
        <w:rStyle w:val="PageNumber"/>
        <w:noProof/>
        <w:sz w:val="24"/>
        <w:szCs w:val="24"/>
      </w:rPr>
      <w:t>2</w:t>
    </w:r>
    <w:r w:rsidR="00301B84" w:rsidRPr="00704400">
      <w:rPr>
        <w:rStyle w:val="PageNumber"/>
        <w:sz w:val="24"/>
        <w:szCs w:val="24"/>
      </w:rPr>
      <w:fldChar w:fldCharType="end"/>
    </w:r>
    <w:r>
      <w:rPr>
        <w:sz w:val="24"/>
      </w:rPr>
      <w:t xml:space="preserve"> of</w:t>
    </w:r>
    <w:r w:rsidRPr="00DA2B48">
      <w:rPr>
        <w:sz w:val="24"/>
        <w:szCs w:val="24"/>
      </w:rPr>
      <w:t xml:space="preserve"> </w:t>
    </w:r>
    <w:r w:rsidR="00301B84" w:rsidRPr="00DA2B48">
      <w:rPr>
        <w:rStyle w:val="PageNumber"/>
        <w:sz w:val="24"/>
        <w:szCs w:val="24"/>
      </w:rPr>
      <w:fldChar w:fldCharType="begin"/>
    </w:r>
    <w:r w:rsidRPr="00DA2B48">
      <w:rPr>
        <w:rStyle w:val="PageNumber"/>
        <w:sz w:val="24"/>
        <w:szCs w:val="24"/>
      </w:rPr>
      <w:instrText xml:space="preserve"> NUMPAGES </w:instrText>
    </w:r>
    <w:r w:rsidR="00301B84" w:rsidRPr="00DA2B48">
      <w:rPr>
        <w:rStyle w:val="PageNumber"/>
        <w:sz w:val="24"/>
        <w:szCs w:val="24"/>
      </w:rPr>
      <w:fldChar w:fldCharType="separate"/>
    </w:r>
    <w:r w:rsidR="00BF73E8">
      <w:rPr>
        <w:rStyle w:val="PageNumber"/>
        <w:noProof/>
        <w:sz w:val="24"/>
        <w:szCs w:val="24"/>
      </w:rPr>
      <w:t>2</w:t>
    </w:r>
    <w:r w:rsidR="00301B84" w:rsidRPr="00DA2B48">
      <w:rPr>
        <w:rStyle w:val="PageNumber"/>
        <w:sz w:val="24"/>
        <w:szCs w:val="24"/>
      </w:rPr>
      <w:fldChar w:fldCharType="end"/>
    </w:r>
  </w:p>
  <w:p w:rsidR="00C45708" w:rsidRDefault="00C45708">
    <w:pPr>
      <w:pStyle w:val="Header"/>
      <w:rPr>
        <w:sz w:val="24"/>
      </w:rPr>
    </w:pPr>
  </w:p>
  <w:p w:rsidR="00C45708" w:rsidRDefault="00C45708">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3C18A6"/>
    <w:multiLevelType w:val="hybridMultilevel"/>
    <w:tmpl w:val="752CB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A32"/>
    <w:rsid w:val="00004A18"/>
    <w:rsid w:val="00013157"/>
    <w:rsid w:val="0002700C"/>
    <w:rsid w:val="00027F12"/>
    <w:rsid w:val="00044DA1"/>
    <w:rsid w:val="00051FF0"/>
    <w:rsid w:val="000533B2"/>
    <w:rsid w:val="00053C76"/>
    <w:rsid w:val="000818BB"/>
    <w:rsid w:val="000838AE"/>
    <w:rsid w:val="00087E05"/>
    <w:rsid w:val="00092AE2"/>
    <w:rsid w:val="000A1468"/>
    <w:rsid w:val="000A7BE0"/>
    <w:rsid w:val="000B1D99"/>
    <w:rsid w:val="000B1FA5"/>
    <w:rsid w:val="000B4062"/>
    <w:rsid w:val="000C12F3"/>
    <w:rsid w:val="000C5CD5"/>
    <w:rsid w:val="000C62FD"/>
    <w:rsid w:val="000D0FED"/>
    <w:rsid w:val="000D11D3"/>
    <w:rsid w:val="000E77A9"/>
    <w:rsid w:val="000E7EA8"/>
    <w:rsid w:val="000F6D6F"/>
    <w:rsid w:val="00102043"/>
    <w:rsid w:val="001049F7"/>
    <w:rsid w:val="00111124"/>
    <w:rsid w:val="0012097E"/>
    <w:rsid w:val="00134BE6"/>
    <w:rsid w:val="00135DD5"/>
    <w:rsid w:val="00154738"/>
    <w:rsid w:val="0018583E"/>
    <w:rsid w:val="00186B29"/>
    <w:rsid w:val="001A1544"/>
    <w:rsid w:val="001A27F4"/>
    <w:rsid w:val="001B0861"/>
    <w:rsid w:val="001C0048"/>
    <w:rsid w:val="001C0BB2"/>
    <w:rsid w:val="001D1C6D"/>
    <w:rsid w:val="001E6E64"/>
    <w:rsid w:val="00205572"/>
    <w:rsid w:val="002121E7"/>
    <w:rsid w:val="00213BA0"/>
    <w:rsid w:val="002230F9"/>
    <w:rsid w:val="00223358"/>
    <w:rsid w:val="00226F07"/>
    <w:rsid w:val="002277D3"/>
    <w:rsid w:val="00237DB9"/>
    <w:rsid w:val="00243637"/>
    <w:rsid w:val="00244D1A"/>
    <w:rsid w:val="002456E1"/>
    <w:rsid w:val="0025054D"/>
    <w:rsid w:val="00254A1C"/>
    <w:rsid w:val="002703FC"/>
    <w:rsid w:val="00285C9E"/>
    <w:rsid w:val="0029437F"/>
    <w:rsid w:val="002A0FD4"/>
    <w:rsid w:val="002A1D7F"/>
    <w:rsid w:val="002A6D0C"/>
    <w:rsid w:val="002C017F"/>
    <w:rsid w:val="002D21C0"/>
    <w:rsid w:val="002E092D"/>
    <w:rsid w:val="002E24E9"/>
    <w:rsid w:val="002F4459"/>
    <w:rsid w:val="002F5D98"/>
    <w:rsid w:val="00300C40"/>
    <w:rsid w:val="0030147C"/>
    <w:rsid w:val="003019AF"/>
    <w:rsid w:val="00301B84"/>
    <w:rsid w:val="00302668"/>
    <w:rsid w:val="00306C1A"/>
    <w:rsid w:val="00322724"/>
    <w:rsid w:val="00323AB9"/>
    <w:rsid w:val="0033336D"/>
    <w:rsid w:val="00346F50"/>
    <w:rsid w:val="00353927"/>
    <w:rsid w:val="003550DE"/>
    <w:rsid w:val="0035606B"/>
    <w:rsid w:val="00356672"/>
    <w:rsid w:val="0036353C"/>
    <w:rsid w:val="003638E3"/>
    <w:rsid w:val="00366CA3"/>
    <w:rsid w:val="0038031D"/>
    <w:rsid w:val="00381E07"/>
    <w:rsid w:val="00384792"/>
    <w:rsid w:val="003857EB"/>
    <w:rsid w:val="00391761"/>
    <w:rsid w:val="00392FBD"/>
    <w:rsid w:val="003A0D7D"/>
    <w:rsid w:val="003A1592"/>
    <w:rsid w:val="003A197E"/>
    <w:rsid w:val="003B0541"/>
    <w:rsid w:val="003B699F"/>
    <w:rsid w:val="003D26F3"/>
    <w:rsid w:val="003E32BC"/>
    <w:rsid w:val="003F2F3C"/>
    <w:rsid w:val="003F6C75"/>
    <w:rsid w:val="00413C27"/>
    <w:rsid w:val="0041417B"/>
    <w:rsid w:val="004154A3"/>
    <w:rsid w:val="004224E6"/>
    <w:rsid w:val="004224FA"/>
    <w:rsid w:val="00424B8C"/>
    <w:rsid w:val="00432CAF"/>
    <w:rsid w:val="0044271F"/>
    <w:rsid w:val="004439A0"/>
    <w:rsid w:val="00444C6B"/>
    <w:rsid w:val="00450A76"/>
    <w:rsid w:val="0045485E"/>
    <w:rsid w:val="004573C9"/>
    <w:rsid w:val="00457F69"/>
    <w:rsid w:val="00462E47"/>
    <w:rsid w:val="0047763A"/>
    <w:rsid w:val="004848F2"/>
    <w:rsid w:val="004B2C59"/>
    <w:rsid w:val="004B5910"/>
    <w:rsid w:val="004B6520"/>
    <w:rsid w:val="004C2E35"/>
    <w:rsid w:val="004D57A3"/>
    <w:rsid w:val="004E712A"/>
    <w:rsid w:val="004E7188"/>
    <w:rsid w:val="004F04D5"/>
    <w:rsid w:val="00501553"/>
    <w:rsid w:val="0051569F"/>
    <w:rsid w:val="00517235"/>
    <w:rsid w:val="005462A8"/>
    <w:rsid w:val="00550870"/>
    <w:rsid w:val="005601A0"/>
    <w:rsid w:val="005640EE"/>
    <w:rsid w:val="005717B1"/>
    <w:rsid w:val="00590DD6"/>
    <w:rsid w:val="00593232"/>
    <w:rsid w:val="00597280"/>
    <w:rsid w:val="005B070F"/>
    <w:rsid w:val="005B60FC"/>
    <w:rsid w:val="005B7979"/>
    <w:rsid w:val="005F24CB"/>
    <w:rsid w:val="006017CE"/>
    <w:rsid w:val="00614E92"/>
    <w:rsid w:val="00615A90"/>
    <w:rsid w:val="00631408"/>
    <w:rsid w:val="006358C7"/>
    <w:rsid w:val="006366FB"/>
    <w:rsid w:val="00657C0F"/>
    <w:rsid w:val="00681840"/>
    <w:rsid w:val="0068359A"/>
    <w:rsid w:val="00685322"/>
    <w:rsid w:val="0069794B"/>
    <w:rsid w:val="006A3969"/>
    <w:rsid w:val="006A6BA3"/>
    <w:rsid w:val="006B278D"/>
    <w:rsid w:val="006B3B55"/>
    <w:rsid w:val="006D41C8"/>
    <w:rsid w:val="006E232A"/>
    <w:rsid w:val="006E7C87"/>
    <w:rsid w:val="00704400"/>
    <w:rsid w:val="007125C2"/>
    <w:rsid w:val="007176B0"/>
    <w:rsid w:val="007270C1"/>
    <w:rsid w:val="00727C74"/>
    <w:rsid w:val="00737978"/>
    <w:rsid w:val="00741DAE"/>
    <w:rsid w:val="00742F65"/>
    <w:rsid w:val="00751045"/>
    <w:rsid w:val="007520BC"/>
    <w:rsid w:val="00754A2C"/>
    <w:rsid w:val="00755B99"/>
    <w:rsid w:val="00764529"/>
    <w:rsid w:val="007654BC"/>
    <w:rsid w:val="00770CF9"/>
    <w:rsid w:val="00774FD3"/>
    <w:rsid w:val="00790D82"/>
    <w:rsid w:val="00791700"/>
    <w:rsid w:val="00793587"/>
    <w:rsid w:val="007A09E0"/>
    <w:rsid w:val="007A517F"/>
    <w:rsid w:val="007B0BB3"/>
    <w:rsid w:val="007B4BB8"/>
    <w:rsid w:val="007B6EA6"/>
    <w:rsid w:val="007D1D27"/>
    <w:rsid w:val="007E18FD"/>
    <w:rsid w:val="007E4149"/>
    <w:rsid w:val="007F1AA0"/>
    <w:rsid w:val="007F2616"/>
    <w:rsid w:val="00811104"/>
    <w:rsid w:val="0082302C"/>
    <w:rsid w:val="00827C34"/>
    <w:rsid w:val="0083138D"/>
    <w:rsid w:val="00831D71"/>
    <w:rsid w:val="00834A9F"/>
    <w:rsid w:val="00835A32"/>
    <w:rsid w:val="008379F5"/>
    <w:rsid w:val="00840A44"/>
    <w:rsid w:val="00855202"/>
    <w:rsid w:val="00891CA1"/>
    <w:rsid w:val="0089225B"/>
    <w:rsid w:val="00897DDA"/>
    <w:rsid w:val="008A1A8B"/>
    <w:rsid w:val="008B4905"/>
    <w:rsid w:val="008B75EA"/>
    <w:rsid w:val="008C3190"/>
    <w:rsid w:val="008C47D5"/>
    <w:rsid w:val="008D09E0"/>
    <w:rsid w:val="008D4053"/>
    <w:rsid w:val="008E4266"/>
    <w:rsid w:val="008E5360"/>
    <w:rsid w:val="008F390D"/>
    <w:rsid w:val="009008DD"/>
    <w:rsid w:val="00903E97"/>
    <w:rsid w:val="00910736"/>
    <w:rsid w:val="00911428"/>
    <w:rsid w:val="00912BAA"/>
    <w:rsid w:val="0091480C"/>
    <w:rsid w:val="009161B3"/>
    <w:rsid w:val="00935263"/>
    <w:rsid w:val="00954B99"/>
    <w:rsid w:val="00954E9B"/>
    <w:rsid w:val="009565AA"/>
    <w:rsid w:val="0095732E"/>
    <w:rsid w:val="0096105C"/>
    <w:rsid w:val="00961FAE"/>
    <w:rsid w:val="00967CDF"/>
    <w:rsid w:val="00976A44"/>
    <w:rsid w:val="00990A35"/>
    <w:rsid w:val="00997A26"/>
    <w:rsid w:val="009A6C2F"/>
    <w:rsid w:val="009A737A"/>
    <w:rsid w:val="009A783F"/>
    <w:rsid w:val="009B2645"/>
    <w:rsid w:val="009C5843"/>
    <w:rsid w:val="009D0354"/>
    <w:rsid w:val="009D32EC"/>
    <w:rsid w:val="009E0C73"/>
    <w:rsid w:val="009E593E"/>
    <w:rsid w:val="009F2DA5"/>
    <w:rsid w:val="009F35DE"/>
    <w:rsid w:val="009F5172"/>
    <w:rsid w:val="00A127E9"/>
    <w:rsid w:val="00A17F8E"/>
    <w:rsid w:val="00A200AE"/>
    <w:rsid w:val="00A20261"/>
    <w:rsid w:val="00A220B3"/>
    <w:rsid w:val="00A2228D"/>
    <w:rsid w:val="00A33AF7"/>
    <w:rsid w:val="00A35A3F"/>
    <w:rsid w:val="00A378DE"/>
    <w:rsid w:val="00A429E9"/>
    <w:rsid w:val="00A42A96"/>
    <w:rsid w:val="00A44455"/>
    <w:rsid w:val="00A56908"/>
    <w:rsid w:val="00A70281"/>
    <w:rsid w:val="00A71BBE"/>
    <w:rsid w:val="00A72150"/>
    <w:rsid w:val="00A7450D"/>
    <w:rsid w:val="00A8219A"/>
    <w:rsid w:val="00A972D3"/>
    <w:rsid w:val="00AA134A"/>
    <w:rsid w:val="00AA7DFB"/>
    <w:rsid w:val="00AC543F"/>
    <w:rsid w:val="00AD0624"/>
    <w:rsid w:val="00AD5167"/>
    <w:rsid w:val="00AF14FB"/>
    <w:rsid w:val="00AF3614"/>
    <w:rsid w:val="00AF63B6"/>
    <w:rsid w:val="00B07739"/>
    <w:rsid w:val="00B12562"/>
    <w:rsid w:val="00B23125"/>
    <w:rsid w:val="00B23850"/>
    <w:rsid w:val="00B27DFA"/>
    <w:rsid w:val="00B336D1"/>
    <w:rsid w:val="00B359CE"/>
    <w:rsid w:val="00B40339"/>
    <w:rsid w:val="00B40DB5"/>
    <w:rsid w:val="00B70C20"/>
    <w:rsid w:val="00B72BA2"/>
    <w:rsid w:val="00B75ACB"/>
    <w:rsid w:val="00B76AF1"/>
    <w:rsid w:val="00B84DB4"/>
    <w:rsid w:val="00B91279"/>
    <w:rsid w:val="00B92CA3"/>
    <w:rsid w:val="00BA7CB3"/>
    <w:rsid w:val="00BB2475"/>
    <w:rsid w:val="00BB6EC5"/>
    <w:rsid w:val="00BC0F87"/>
    <w:rsid w:val="00BC5704"/>
    <w:rsid w:val="00BD1F02"/>
    <w:rsid w:val="00BD63C2"/>
    <w:rsid w:val="00BD7050"/>
    <w:rsid w:val="00BE2F8D"/>
    <w:rsid w:val="00BE6A1F"/>
    <w:rsid w:val="00BE717C"/>
    <w:rsid w:val="00BF46F7"/>
    <w:rsid w:val="00BF73E8"/>
    <w:rsid w:val="00C022E2"/>
    <w:rsid w:val="00C06BE4"/>
    <w:rsid w:val="00C310B6"/>
    <w:rsid w:val="00C318CA"/>
    <w:rsid w:val="00C43D2E"/>
    <w:rsid w:val="00C45708"/>
    <w:rsid w:val="00C529B8"/>
    <w:rsid w:val="00C70E91"/>
    <w:rsid w:val="00C71D5D"/>
    <w:rsid w:val="00C75F24"/>
    <w:rsid w:val="00C7641A"/>
    <w:rsid w:val="00C77AEA"/>
    <w:rsid w:val="00C843A5"/>
    <w:rsid w:val="00C86870"/>
    <w:rsid w:val="00C8736E"/>
    <w:rsid w:val="00C91154"/>
    <w:rsid w:val="00C925CC"/>
    <w:rsid w:val="00C94A28"/>
    <w:rsid w:val="00CA2590"/>
    <w:rsid w:val="00CA3E57"/>
    <w:rsid w:val="00CA5CF4"/>
    <w:rsid w:val="00CB2F18"/>
    <w:rsid w:val="00CB6E97"/>
    <w:rsid w:val="00CC065C"/>
    <w:rsid w:val="00CC7029"/>
    <w:rsid w:val="00CD25FD"/>
    <w:rsid w:val="00CD732C"/>
    <w:rsid w:val="00CE22AA"/>
    <w:rsid w:val="00CE5E13"/>
    <w:rsid w:val="00CF063A"/>
    <w:rsid w:val="00D01BD1"/>
    <w:rsid w:val="00D02BE3"/>
    <w:rsid w:val="00D10D91"/>
    <w:rsid w:val="00D11E7D"/>
    <w:rsid w:val="00D13AB9"/>
    <w:rsid w:val="00D14AD8"/>
    <w:rsid w:val="00D20CA8"/>
    <w:rsid w:val="00D21C92"/>
    <w:rsid w:val="00D24673"/>
    <w:rsid w:val="00D426D9"/>
    <w:rsid w:val="00D432D4"/>
    <w:rsid w:val="00D56E05"/>
    <w:rsid w:val="00D63ACA"/>
    <w:rsid w:val="00D678E8"/>
    <w:rsid w:val="00D90661"/>
    <w:rsid w:val="00D92DF5"/>
    <w:rsid w:val="00D955D3"/>
    <w:rsid w:val="00DA24B4"/>
    <w:rsid w:val="00DA2B48"/>
    <w:rsid w:val="00DB6CA8"/>
    <w:rsid w:val="00DC5CB9"/>
    <w:rsid w:val="00DC5F31"/>
    <w:rsid w:val="00DC6CC0"/>
    <w:rsid w:val="00DD1C5D"/>
    <w:rsid w:val="00DD3610"/>
    <w:rsid w:val="00DD4316"/>
    <w:rsid w:val="00DD6D25"/>
    <w:rsid w:val="00DE1619"/>
    <w:rsid w:val="00DE23EB"/>
    <w:rsid w:val="00DF3597"/>
    <w:rsid w:val="00E128E5"/>
    <w:rsid w:val="00E31BC6"/>
    <w:rsid w:val="00E33C0B"/>
    <w:rsid w:val="00E46973"/>
    <w:rsid w:val="00E47FF1"/>
    <w:rsid w:val="00E502AF"/>
    <w:rsid w:val="00E509FE"/>
    <w:rsid w:val="00E66073"/>
    <w:rsid w:val="00E71D4B"/>
    <w:rsid w:val="00E90770"/>
    <w:rsid w:val="00EA66C0"/>
    <w:rsid w:val="00EB4B86"/>
    <w:rsid w:val="00EB7253"/>
    <w:rsid w:val="00EC03AA"/>
    <w:rsid w:val="00EC2D3B"/>
    <w:rsid w:val="00EC3D40"/>
    <w:rsid w:val="00EC74D7"/>
    <w:rsid w:val="00ED1AE5"/>
    <w:rsid w:val="00ED4242"/>
    <w:rsid w:val="00ED731E"/>
    <w:rsid w:val="00EE0D01"/>
    <w:rsid w:val="00EE32F7"/>
    <w:rsid w:val="00EE6265"/>
    <w:rsid w:val="00EF0563"/>
    <w:rsid w:val="00F006C8"/>
    <w:rsid w:val="00F0153F"/>
    <w:rsid w:val="00F04CB8"/>
    <w:rsid w:val="00F205B0"/>
    <w:rsid w:val="00F55391"/>
    <w:rsid w:val="00F5635C"/>
    <w:rsid w:val="00F63153"/>
    <w:rsid w:val="00F63A00"/>
    <w:rsid w:val="00F73140"/>
    <w:rsid w:val="00F7705F"/>
    <w:rsid w:val="00F8147F"/>
    <w:rsid w:val="00FA219A"/>
    <w:rsid w:val="00FA425D"/>
    <w:rsid w:val="00FD123D"/>
    <w:rsid w:val="00FD2B79"/>
    <w:rsid w:val="00FE4335"/>
    <w:rsid w:val="00FE4A54"/>
    <w:rsid w:val="00FF0B6D"/>
    <w:rsid w:val="00FF2CF8"/>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A127E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32C"/>
  </w:style>
  <w:style w:type="paragraph" w:styleId="Heading1">
    <w:name w:val="heading 1"/>
    <w:basedOn w:val="Normal"/>
    <w:next w:val="Normal"/>
    <w:qFormat/>
    <w:rsid w:val="00CD732C"/>
    <w:pPr>
      <w:keepNext/>
      <w:outlineLvl w:val="0"/>
    </w:pPr>
    <w:rPr>
      <w:sz w:val="24"/>
    </w:rPr>
  </w:style>
  <w:style w:type="paragraph" w:styleId="Heading3">
    <w:name w:val="heading 3"/>
    <w:basedOn w:val="Normal"/>
    <w:next w:val="Normal"/>
    <w:qFormat/>
    <w:rsid w:val="00835A3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32C"/>
    <w:pPr>
      <w:tabs>
        <w:tab w:val="center" w:pos="4320"/>
        <w:tab w:val="right" w:pos="8640"/>
      </w:tabs>
    </w:pPr>
  </w:style>
  <w:style w:type="paragraph" w:styleId="Footer">
    <w:name w:val="footer"/>
    <w:basedOn w:val="Normal"/>
    <w:rsid w:val="00CD732C"/>
    <w:pPr>
      <w:tabs>
        <w:tab w:val="center" w:pos="4320"/>
        <w:tab w:val="right" w:pos="8640"/>
      </w:tabs>
    </w:pPr>
  </w:style>
  <w:style w:type="paragraph" w:styleId="BodyText">
    <w:name w:val="Body Text"/>
    <w:basedOn w:val="Normal"/>
    <w:link w:val="BodyTextChar"/>
    <w:rsid w:val="00CD732C"/>
    <w:rPr>
      <w:sz w:val="22"/>
    </w:rPr>
  </w:style>
  <w:style w:type="paragraph" w:styleId="BodyTextIndent">
    <w:name w:val="Body Text Indent"/>
    <w:basedOn w:val="Normal"/>
    <w:rsid w:val="00CD732C"/>
    <w:pPr>
      <w:ind w:firstLine="720"/>
    </w:pPr>
    <w:rPr>
      <w:sz w:val="22"/>
    </w:rPr>
  </w:style>
  <w:style w:type="paragraph" w:styleId="BodyText2">
    <w:name w:val="Body Text 2"/>
    <w:basedOn w:val="Normal"/>
    <w:rsid w:val="00CD732C"/>
    <w:rPr>
      <w:sz w:val="24"/>
    </w:rPr>
  </w:style>
  <w:style w:type="paragraph" w:styleId="BalloonText">
    <w:name w:val="Balloon Text"/>
    <w:basedOn w:val="Normal"/>
    <w:semiHidden/>
    <w:rsid w:val="00CD732C"/>
    <w:rPr>
      <w:rFonts w:ascii="Tahoma" w:hAnsi="Tahoma" w:cs="Tahoma"/>
      <w:sz w:val="16"/>
      <w:szCs w:val="16"/>
    </w:rPr>
  </w:style>
  <w:style w:type="character" w:styleId="Strong">
    <w:name w:val="Strong"/>
    <w:basedOn w:val="DefaultParagraphFont"/>
    <w:qFormat/>
    <w:rsid w:val="00087E05"/>
    <w:rPr>
      <w:rFonts w:cs="Times New Roman"/>
      <w:b/>
      <w:bCs/>
    </w:rPr>
  </w:style>
  <w:style w:type="character" w:styleId="PageNumber">
    <w:name w:val="page number"/>
    <w:basedOn w:val="DefaultParagraphFont"/>
    <w:rsid w:val="00DA2B48"/>
    <w:rPr>
      <w:rFonts w:cs="Times New Roman"/>
    </w:rPr>
  </w:style>
  <w:style w:type="character" w:styleId="CommentReference">
    <w:name w:val="annotation reference"/>
    <w:basedOn w:val="DefaultParagraphFont"/>
    <w:rsid w:val="0035606B"/>
    <w:rPr>
      <w:rFonts w:cs="Times New Roman"/>
      <w:sz w:val="16"/>
      <w:szCs w:val="16"/>
    </w:rPr>
  </w:style>
  <w:style w:type="paragraph" w:styleId="CommentText">
    <w:name w:val="annotation text"/>
    <w:basedOn w:val="Normal"/>
    <w:link w:val="CommentTextChar"/>
    <w:rsid w:val="0035606B"/>
  </w:style>
  <w:style w:type="character" w:customStyle="1" w:styleId="CommentTextChar">
    <w:name w:val="Comment Text Char"/>
    <w:basedOn w:val="DefaultParagraphFont"/>
    <w:link w:val="CommentText"/>
    <w:locked/>
    <w:rsid w:val="0035606B"/>
    <w:rPr>
      <w:rFonts w:cs="Times New Roman"/>
    </w:rPr>
  </w:style>
  <w:style w:type="paragraph" w:styleId="CommentSubject">
    <w:name w:val="annotation subject"/>
    <w:basedOn w:val="CommentText"/>
    <w:next w:val="CommentText"/>
    <w:link w:val="CommentSubjectChar"/>
    <w:rsid w:val="0035606B"/>
    <w:rPr>
      <w:b/>
      <w:bCs/>
    </w:rPr>
  </w:style>
  <w:style w:type="character" w:customStyle="1" w:styleId="CommentSubjectChar">
    <w:name w:val="Comment Subject Char"/>
    <w:basedOn w:val="CommentTextChar"/>
    <w:link w:val="CommentSubject"/>
    <w:locked/>
    <w:rsid w:val="0035606B"/>
    <w:rPr>
      <w:rFonts w:cs="Times New Roman"/>
      <w:b/>
      <w:bCs/>
    </w:rPr>
  </w:style>
  <w:style w:type="paragraph" w:styleId="FootnoteText">
    <w:name w:val="footnote text"/>
    <w:basedOn w:val="Normal"/>
    <w:semiHidden/>
    <w:rsid w:val="00D92DF5"/>
  </w:style>
  <w:style w:type="character" w:styleId="FootnoteReference">
    <w:name w:val="footnote reference"/>
    <w:basedOn w:val="DefaultParagraphFont"/>
    <w:semiHidden/>
    <w:rsid w:val="00D92DF5"/>
    <w:rPr>
      <w:rFonts w:cs="Times New Roman"/>
      <w:vertAlign w:val="superscript"/>
    </w:rPr>
  </w:style>
  <w:style w:type="paragraph" w:styleId="DocumentMap">
    <w:name w:val="Document Map"/>
    <w:basedOn w:val="Normal"/>
    <w:semiHidden/>
    <w:rsid w:val="00A33AF7"/>
    <w:pPr>
      <w:shd w:val="clear" w:color="auto" w:fill="000080"/>
    </w:pPr>
    <w:rPr>
      <w:rFonts w:ascii="Tahoma" w:hAnsi="Tahoma" w:cs="Tahoma"/>
    </w:rPr>
  </w:style>
  <w:style w:type="character" w:customStyle="1" w:styleId="BodyTextChar">
    <w:name w:val="Body Text Char"/>
    <w:basedOn w:val="DefaultParagraphFont"/>
    <w:link w:val="BodyText"/>
    <w:rsid w:val="00A127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4161">
      <w:bodyDiv w:val="1"/>
      <w:marLeft w:val="0"/>
      <w:marRight w:val="0"/>
      <w:marTop w:val="0"/>
      <w:marBottom w:val="0"/>
      <w:divBdr>
        <w:top w:val="none" w:sz="0" w:space="0" w:color="auto"/>
        <w:left w:val="none" w:sz="0" w:space="0" w:color="auto"/>
        <w:bottom w:val="none" w:sz="0" w:space="0" w:color="auto"/>
        <w:right w:val="none" w:sz="0" w:space="0" w:color="auto"/>
      </w:divBdr>
    </w:div>
    <w:div w:id="579141943">
      <w:bodyDiv w:val="1"/>
      <w:marLeft w:val="0"/>
      <w:marRight w:val="0"/>
      <w:marTop w:val="0"/>
      <w:marBottom w:val="0"/>
      <w:divBdr>
        <w:top w:val="none" w:sz="0" w:space="0" w:color="auto"/>
        <w:left w:val="none" w:sz="0" w:space="0" w:color="auto"/>
        <w:bottom w:val="none" w:sz="0" w:space="0" w:color="auto"/>
        <w:right w:val="none" w:sz="0" w:space="0" w:color="auto"/>
      </w:divBdr>
    </w:div>
    <w:div w:id="6540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FAEA6F9B1E07B4483A576021C21AE52" ma:contentTypeVersion="104" ma:contentTypeDescription="" ma:contentTypeScope="" ma:versionID="43f110d864c6bc84d177c39de2b00ba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2016-03-01T08:00:00+00:00</OpenedDate>
    <Date1 xmlns="dc463f71-b30c-4ab2-9473-d307f9d35888">2016-04-22T07:00:00+00:00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160265</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F6F1D55F-3B12-4FD1-A38E-3AE78EB7CC24}"/>
</file>

<file path=customXml/itemProps2.xml><?xml version="1.0" encoding="utf-8"?>
<ds:datastoreItem xmlns:ds="http://schemas.openxmlformats.org/officeDocument/2006/customXml" ds:itemID="{81A1936B-718D-42A1-B064-3A7028FB3F27}"/>
</file>

<file path=customXml/itemProps3.xml><?xml version="1.0" encoding="utf-8"?>
<ds:datastoreItem xmlns:ds="http://schemas.openxmlformats.org/officeDocument/2006/customXml" ds:itemID="{B3B2D8D4-8FB5-4A29-A232-9E8AC5E5C826}"/>
</file>

<file path=customXml/itemProps4.xml><?xml version="1.0" encoding="utf-8"?>
<ds:datastoreItem xmlns:ds="http://schemas.openxmlformats.org/officeDocument/2006/customXml" ds:itemID="{BBF91292-54C6-4878-AF8C-55E22FA4DC18}"/>
</file>

<file path=customXml/itemProps5.xml><?xml version="1.0" encoding="utf-8"?>
<ds:datastoreItem xmlns:ds="http://schemas.openxmlformats.org/officeDocument/2006/customXml" ds:itemID="{D1D3E204-E8A6-426C-9959-BFB2B01FCF27}"/>
</file>

<file path=docProps/app.xml><?xml version="1.0" encoding="utf-8"?>
<Properties xmlns="http://schemas.openxmlformats.org/officeDocument/2006/extended-properties" xmlns:vt="http://schemas.openxmlformats.org/officeDocument/2006/docPropsVTypes">
  <Template>Normal.dotm</Template>
  <TotalTime>65</TotalTime>
  <Pages>2</Pages>
  <Words>365</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_____September 17, 1997</vt:lpstr>
    </vt:vector>
  </TitlesOfParts>
  <Company>WNG</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_____September 17, 1997</dc:title>
  <dc:creator>WNG</dc:creator>
  <cp:lastModifiedBy>Puget Sound Energy</cp:lastModifiedBy>
  <cp:revision>5</cp:revision>
  <cp:lastPrinted>2016-03-01T21:28:00Z</cp:lastPrinted>
  <dcterms:created xsi:type="dcterms:W3CDTF">2016-04-22T15:36:00Z</dcterms:created>
  <dcterms:modified xsi:type="dcterms:W3CDTF">2016-04-22T17:44:00Z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0x0101006E56B4D1795A2E4DB2F0B01679ED314A000FAEA6F9B1E07B4483A576021C21AE52</vt:lpwstr>
  </property>
  <property fmtid="{D5CDD505-2E9C-101B-9397-08002B2CF9AE}" pid="3" name="_docset_NoMedatataSyncRequired">
    <vt:lpwstr>False</vt:lpwstr>
  </property>
</Properties>
</file>