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9D7D" w14:textId="41FEB92A" w:rsidR="008A4054" w:rsidRPr="0096740F" w:rsidRDefault="00657DEE" w:rsidP="00FF75F4">
      <w:bookmarkStart w:id="0" w:name="_GoBack"/>
      <w:bookmarkEnd w:id="0"/>
      <w:r w:rsidRPr="0096740F">
        <w:t>Agenda Date:</w:t>
      </w:r>
      <w:r w:rsidRPr="0096740F">
        <w:tab/>
      </w:r>
      <w:r w:rsidR="00744C90" w:rsidRPr="0096740F">
        <w:tab/>
      </w:r>
      <w:r w:rsidR="009C774E" w:rsidRPr="0096740F">
        <w:t>March 10</w:t>
      </w:r>
      <w:r w:rsidR="008A4054" w:rsidRPr="0096740F">
        <w:t>, 201</w:t>
      </w:r>
      <w:r w:rsidR="006C199E" w:rsidRPr="0096740F">
        <w:t>6</w:t>
      </w:r>
    </w:p>
    <w:p w14:paraId="70269D7E" w14:textId="789AD5EB" w:rsidR="00657DEE" w:rsidRPr="0096740F" w:rsidRDefault="00657DEE" w:rsidP="00FF75F4">
      <w:r w:rsidRPr="0096740F">
        <w:t>Item Number</w:t>
      </w:r>
      <w:r w:rsidR="009778BF" w:rsidRPr="0096740F">
        <w:t>:</w:t>
      </w:r>
      <w:r w:rsidR="009778BF" w:rsidRPr="0096740F">
        <w:tab/>
      </w:r>
      <w:r w:rsidR="00257081">
        <w:tab/>
      </w:r>
      <w:r w:rsidR="00160506">
        <w:t>A1</w:t>
      </w:r>
    </w:p>
    <w:p w14:paraId="70269D7F" w14:textId="77777777" w:rsidR="00657DEE" w:rsidRPr="0096740F" w:rsidRDefault="00657DEE" w:rsidP="00FF75F4"/>
    <w:p w14:paraId="70269D81" w14:textId="670D8936" w:rsidR="00040CE3" w:rsidRPr="0096740F" w:rsidRDefault="00657DEE" w:rsidP="00FF75F4">
      <w:pPr>
        <w:rPr>
          <w:b/>
        </w:rPr>
      </w:pPr>
      <w:r w:rsidRPr="0096740F">
        <w:rPr>
          <w:b/>
        </w:rPr>
        <w:t>Docket</w:t>
      </w:r>
      <w:r w:rsidR="002C648F" w:rsidRPr="0096740F">
        <w:rPr>
          <w:b/>
        </w:rPr>
        <w:t>:</w:t>
      </w:r>
      <w:r w:rsidR="002C648F" w:rsidRPr="0096740F">
        <w:rPr>
          <w:b/>
        </w:rPr>
        <w:tab/>
      </w:r>
      <w:r w:rsidR="002C648F" w:rsidRPr="0096740F">
        <w:rPr>
          <w:b/>
        </w:rPr>
        <w:tab/>
      </w:r>
      <w:r w:rsidR="009C774E" w:rsidRPr="0096740F">
        <w:rPr>
          <w:b/>
        </w:rPr>
        <w:t>UE-160082</w:t>
      </w:r>
    </w:p>
    <w:p w14:paraId="70269D82" w14:textId="77777777" w:rsidR="00657DEE" w:rsidRPr="0096740F" w:rsidRDefault="00657DEE" w:rsidP="00FF75F4">
      <w:r w:rsidRPr="0096740F">
        <w:t>Company:</w:t>
      </w:r>
      <w:r w:rsidRPr="0096740F">
        <w:tab/>
      </w:r>
      <w:r w:rsidRPr="0096740F">
        <w:tab/>
      </w:r>
      <w:r w:rsidR="009778BF" w:rsidRPr="0096740F">
        <w:t>Avista Corporation</w:t>
      </w:r>
    </w:p>
    <w:p w14:paraId="70269D83" w14:textId="77777777" w:rsidR="00657DEE" w:rsidRPr="0096740F" w:rsidRDefault="00657DEE" w:rsidP="00FF75F4"/>
    <w:p w14:paraId="4164BDF4" w14:textId="2CC5D59C" w:rsidR="00EA0C98" w:rsidRPr="0096740F" w:rsidRDefault="00657DEE" w:rsidP="00FF75F4">
      <w:r w:rsidRPr="0096740F">
        <w:t>Staff:</w:t>
      </w:r>
      <w:r w:rsidRPr="0096740F">
        <w:tab/>
      </w:r>
      <w:r w:rsidRPr="0096740F">
        <w:tab/>
      </w:r>
      <w:r w:rsidRPr="0096740F">
        <w:tab/>
      </w:r>
      <w:r w:rsidR="009778BF" w:rsidRPr="0096740F">
        <w:t>Chris McGuire</w:t>
      </w:r>
      <w:r w:rsidR="00000FCF" w:rsidRPr="0096740F">
        <w:t>, Regulatory Analyst</w:t>
      </w:r>
    </w:p>
    <w:p w14:paraId="70269D86" w14:textId="77777777" w:rsidR="001923BA" w:rsidRPr="0096740F" w:rsidRDefault="003B26AE" w:rsidP="00FF75F4">
      <w:r w:rsidRPr="0096740F">
        <w:tab/>
      </w:r>
      <w:r w:rsidRPr="0096740F">
        <w:tab/>
      </w:r>
      <w:r w:rsidRPr="0096740F">
        <w:tab/>
      </w:r>
      <w:r w:rsidR="00D75C47" w:rsidRPr="0096740F">
        <w:tab/>
      </w:r>
      <w:r w:rsidR="00D75C47" w:rsidRPr="0096740F">
        <w:tab/>
      </w:r>
    </w:p>
    <w:p w14:paraId="70269D87" w14:textId="77777777" w:rsidR="009363BA" w:rsidRPr="0096740F" w:rsidRDefault="00BF3D13" w:rsidP="00204A52">
      <w:pPr>
        <w:pStyle w:val="Heading1"/>
        <w:rPr>
          <w:u w:val="single"/>
        </w:rPr>
      </w:pPr>
      <w:r w:rsidRPr="0096740F">
        <w:rPr>
          <w:u w:val="single"/>
        </w:rPr>
        <w:t>Recommendation</w:t>
      </w:r>
    </w:p>
    <w:p w14:paraId="36131067" w14:textId="408302D4" w:rsidR="00997691" w:rsidRPr="00997691" w:rsidRDefault="000404DB" w:rsidP="000404DB">
      <w:pPr>
        <w:rPr>
          <w:u w:val="single"/>
        </w:rPr>
      </w:pPr>
      <w:r>
        <w:t>Suspend the revised tariff Schedule 77, filed January 14, 2016</w:t>
      </w:r>
      <w:r w:rsidR="008815D8">
        <w:t>,</w:t>
      </w:r>
      <w:r>
        <w:t xml:space="preserve"> by Avista Corporation, and set for hearing. </w:t>
      </w:r>
    </w:p>
    <w:p w14:paraId="70269D89" w14:textId="77777777" w:rsidR="000F05C4" w:rsidRPr="0096740F" w:rsidRDefault="00CA5322" w:rsidP="005A60BD">
      <w:pPr>
        <w:pStyle w:val="Heading1"/>
        <w:rPr>
          <w:u w:val="single"/>
        </w:rPr>
      </w:pPr>
      <w:r w:rsidRPr="0096740F">
        <w:rPr>
          <w:u w:val="single"/>
        </w:rPr>
        <w:t>Background</w:t>
      </w:r>
    </w:p>
    <w:p w14:paraId="0E055D93" w14:textId="10B97514" w:rsidR="00BD01F7" w:rsidRPr="0096740F" w:rsidRDefault="008815D8" w:rsidP="000F05C4">
      <w:r>
        <w:t>Effective June 24</w:t>
      </w:r>
      <w:r w:rsidR="00BD01F7" w:rsidRPr="0096740F">
        <w:t xml:space="preserve">, 2015, </w:t>
      </w:r>
      <w:r w:rsidR="002C3770" w:rsidRPr="0096740F">
        <w:t>a new section was added to RCW 80.28 to promote electric utility participation in electric vehicle infrastructure build-out.</w:t>
      </w:r>
      <w:r w:rsidR="00655077">
        <w:rPr>
          <w:rFonts w:ascii="ZWAdobeF" w:hAnsi="ZWAdobeF" w:cs="ZWAdobeF"/>
          <w:sz w:val="2"/>
          <w:szCs w:val="2"/>
        </w:rPr>
        <w:t>P0F</w:t>
      </w:r>
      <w:r w:rsidR="007E3EB9" w:rsidRPr="0096740F">
        <w:rPr>
          <w:rStyle w:val="FootnoteReference"/>
        </w:rPr>
        <w:footnoteReference w:id="1"/>
      </w:r>
      <w:r w:rsidR="00655077">
        <w:rPr>
          <w:rFonts w:ascii="ZWAdobeF" w:hAnsi="ZWAdobeF" w:cs="ZWAdobeF"/>
          <w:sz w:val="2"/>
          <w:szCs w:val="2"/>
        </w:rPr>
        <w:t>P</w:t>
      </w:r>
      <w:r w:rsidR="002C3770" w:rsidRPr="0096740F">
        <w:t xml:space="preserve"> </w:t>
      </w:r>
      <w:r w:rsidR="007E3EB9" w:rsidRPr="0096740F">
        <w:t xml:space="preserve">RCW 80.28.360 </w:t>
      </w:r>
      <w:r w:rsidR="006F57B0" w:rsidRPr="0096740F">
        <w:t>specifies that a</w:t>
      </w:r>
      <w:r w:rsidR="00D30BB4" w:rsidRPr="0096740F">
        <w:t>n electric</w:t>
      </w:r>
      <w:r w:rsidR="006F57B0" w:rsidRPr="0096740F">
        <w:t xml:space="preserve"> utility may earn an incentive rate of return on its capital expenditures for electric vehicle supply equipment that is deployed for the benefit of all ratepayers. </w:t>
      </w:r>
    </w:p>
    <w:p w14:paraId="7EE377D0" w14:textId="77777777" w:rsidR="00BD01F7" w:rsidRPr="0096740F" w:rsidRDefault="00BD01F7" w:rsidP="000F05C4"/>
    <w:p w14:paraId="02C31821" w14:textId="773BD5A9" w:rsidR="00733DD7" w:rsidRDefault="00C40BED" w:rsidP="00733DD7">
      <w:r w:rsidRPr="0096740F">
        <w:t xml:space="preserve">On </w:t>
      </w:r>
      <w:r w:rsidR="00D75389" w:rsidRPr="0096740F">
        <w:t>January 14, 2016</w:t>
      </w:r>
      <w:r w:rsidR="009778BF" w:rsidRPr="0096740F">
        <w:t xml:space="preserve">, Avista filed </w:t>
      </w:r>
      <w:r w:rsidR="00E24964" w:rsidRPr="0096740F">
        <w:t xml:space="preserve">revisions to Tariff WN U-28, reflecting the addition of a new tariff schedule, Schedule 77, Electric Vehicle Supply Equipment Pilot Program. </w:t>
      </w:r>
      <w:r w:rsidR="00733DD7" w:rsidRPr="0096740F">
        <w:t>With this filing, Avista proposes a tw</w:t>
      </w:r>
      <w:r w:rsidR="001F0400" w:rsidRPr="0096740F">
        <w:t xml:space="preserve">o-year pilot program to install </w:t>
      </w:r>
      <w:r w:rsidR="00A73F1D">
        <w:t>AC L</w:t>
      </w:r>
      <w:r w:rsidR="00A73F1D" w:rsidRPr="0096740F">
        <w:t xml:space="preserve">evel </w:t>
      </w:r>
      <w:r w:rsidR="001F0400" w:rsidRPr="0096740F">
        <w:t>2 electric vehicle chargers</w:t>
      </w:r>
      <w:r w:rsidR="00655077">
        <w:rPr>
          <w:rFonts w:ascii="ZWAdobeF" w:hAnsi="ZWAdobeF" w:cs="ZWAdobeF"/>
          <w:sz w:val="2"/>
          <w:szCs w:val="2"/>
        </w:rPr>
        <w:t>P1F</w:t>
      </w:r>
      <w:r w:rsidR="00720F16" w:rsidRPr="0096740F">
        <w:rPr>
          <w:rStyle w:val="FootnoteReference"/>
        </w:rPr>
        <w:footnoteReference w:id="2"/>
      </w:r>
      <w:r w:rsidR="00655077">
        <w:rPr>
          <w:rFonts w:ascii="ZWAdobeF" w:hAnsi="ZWAdobeF" w:cs="ZWAdobeF"/>
          <w:sz w:val="2"/>
          <w:szCs w:val="2"/>
        </w:rPr>
        <w:t>P</w:t>
      </w:r>
      <w:r w:rsidR="001F0400" w:rsidRPr="0096740F">
        <w:t xml:space="preserve"> at approximately 265 locations throughout the company’s Washington service territory. </w:t>
      </w:r>
      <w:r w:rsidR="00D71C67" w:rsidRPr="0096740F">
        <w:t xml:space="preserve">Further, the </w:t>
      </w:r>
      <w:r w:rsidR="003A67E0">
        <w:t>c</w:t>
      </w:r>
      <w:r w:rsidR="00D71C67" w:rsidRPr="0096740F">
        <w:t xml:space="preserve">ompany proposes to install seven </w:t>
      </w:r>
      <w:r w:rsidR="00691777" w:rsidRPr="0096740F">
        <w:t>DC fast chargers</w:t>
      </w:r>
      <w:r w:rsidR="00655077">
        <w:rPr>
          <w:rFonts w:ascii="ZWAdobeF" w:hAnsi="ZWAdobeF" w:cs="ZWAdobeF"/>
          <w:sz w:val="2"/>
          <w:szCs w:val="2"/>
        </w:rPr>
        <w:t>P2F</w:t>
      </w:r>
      <w:r w:rsidR="00E84EF2">
        <w:rPr>
          <w:rStyle w:val="FootnoteReference"/>
        </w:rPr>
        <w:footnoteReference w:id="3"/>
      </w:r>
      <w:r w:rsidR="00655077">
        <w:rPr>
          <w:rFonts w:ascii="ZWAdobeF" w:hAnsi="ZWAdobeF" w:cs="ZWAdobeF"/>
          <w:sz w:val="2"/>
          <w:szCs w:val="2"/>
        </w:rPr>
        <w:t>P</w:t>
      </w:r>
      <w:r w:rsidR="00691777" w:rsidRPr="0096740F">
        <w:t xml:space="preserve"> throughout the company’s Washington service territory.</w:t>
      </w:r>
      <w:r w:rsidR="00655077">
        <w:rPr>
          <w:rFonts w:ascii="ZWAdobeF" w:hAnsi="ZWAdobeF" w:cs="ZWAdobeF"/>
          <w:sz w:val="2"/>
          <w:szCs w:val="2"/>
        </w:rPr>
        <w:t>P3F</w:t>
      </w:r>
      <w:r w:rsidR="00A73F1D">
        <w:rPr>
          <w:rStyle w:val="FootnoteReference"/>
        </w:rPr>
        <w:footnoteReference w:id="4"/>
      </w:r>
      <w:r w:rsidR="00655077">
        <w:rPr>
          <w:rFonts w:ascii="ZWAdobeF" w:hAnsi="ZWAdobeF" w:cs="ZWAdobeF"/>
          <w:sz w:val="2"/>
          <w:szCs w:val="2"/>
        </w:rPr>
        <w:t>P</w:t>
      </w:r>
      <w:r w:rsidR="00691777" w:rsidRPr="0096740F">
        <w:t xml:space="preserve"> </w:t>
      </w:r>
      <w:r w:rsidR="001F0400" w:rsidRPr="0096740F">
        <w:t>These chargers will be owned by Avista</w:t>
      </w:r>
      <w:r w:rsidR="001170DA" w:rsidRPr="0096740F">
        <w:t xml:space="preserve"> for the depreciable life of the assets.</w:t>
      </w:r>
      <w:r w:rsidR="008D4909" w:rsidRPr="0096740F">
        <w:t xml:space="preserve"> Avista does not request rate recovery through this tariff; the request for recovery will be made through the general rate case process.</w:t>
      </w:r>
    </w:p>
    <w:p w14:paraId="287BABF8" w14:textId="77777777" w:rsidR="00733DD7" w:rsidRPr="0096740F" w:rsidRDefault="00733DD7" w:rsidP="00733DD7"/>
    <w:p w14:paraId="6C4A5B75" w14:textId="5671CFA6" w:rsidR="00691777" w:rsidRPr="0096740F" w:rsidRDefault="00691777" w:rsidP="00691777">
      <w:pPr>
        <w:rPr>
          <w:b/>
          <w:i/>
        </w:rPr>
      </w:pPr>
      <w:r w:rsidRPr="0096740F">
        <w:rPr>
          <w:b/>
          <w:i/>
        </w:rPr>
        <w:t xml:space="preserve">Project Specifics </w:t>
      </w:r>
    </w:p>
    <w:p w14:paraId="3EF8D11B" w14:textId="77777777" w:rsidR="00691777" w:rsidRPr="0096740F" w:rsidRDefault="00691777" w:rsidP="000F05C4"/>
    <w:p w14:paraId="3B49788B" w14:textId="0C45D39C" w:rsidR="001170DA" w:rsidRPr="0096740F" w:rsidRDefault="00052D53" w:rsidP="001170DA">
      <w:r w:rsidRPr="0096740F">
        <w:t>This filing</w:t>
      </w:r>
      <w:r w:rsidR="00DA0780" w:rsidRPr="0096740F">
        <w:t xml:space="preserve"> proposes to </w:t>
      </w:r>
      <w:r w:rsidR="00833797" w:rsidRPr="0096740F">
        <w:t>install Level 2 chargers</w:t>
      </w:r>
      <w:r w:rsidR="001170DA" w:rsidRPr="0096740F">
        <w:t xml:space="preserve"> at the following locations: 120</w:t>
      </w:r>
      <w:r w:rsidR="00A73F1D">
        <w:t xml:space="preserve"> in</w:t>
      </w:r>
      <w:r w:rsidR="001170DA" w:rsidRPr="0096740F">
        <w:t xml:space="preserve"> resid</w:t>
      </w:r>
      <w:r w:rsidRPr="0096740F">
        <w:t>ential single-family homes</w:t>
      </w:r>
      <w:r w:rsidR="001170DA" w:rsidRPr="0096740F">
        <w:t>, 100 at workplaces, fleet and multi-unit dwelling (MUD) locations, and at 45 public locations.</w:t>
      </w:r>
      <w:r w:rsidR="00833797" w:rsidRPr="0096740F">
        <w:t xml:space="preserve"> </w:t>
      </w:r>
      <w:r w:rsidR="00C268FF" w:rsidRPr="0096740F">
        <w:t>Of the Level 2 EVSE installations, “smartchargers” will be planned for installation in 100 residential and 90 other locations. Smartchargers provide enhanced capabilities that allow for data acquisition, network communication, and demand response, which is essential to determine baseline charging profiles and to ultimately enable demand re</w:t>
      </w:r>
      <w:r w:rsidR="00691777" w:rsidRPr="0096740F">
        <w:t>sponse programs</w:t>
      </w:r>
      <w:r w:rsidRPr="0096740F">
        <w:t xml:space="preserve">. </w:t>
      </w:r>
      <w:r w:rsidR="00833797" w:rsidRPr="0096740F">
        <w:t xml:space="preserve">Avista also proposes to install DC fast chargers at seven locations in its </w:t>
      </w:r>
      <w:r w:rsidR="00833797" w:rsidRPr="0096740F">
        <w:lastRenderedPageBreak/>
        <w:t>Washington service territory</w:t>
      </w:r>
      <w:r w:rsidR="006F2922" w:rsidRPr="0096740F">
        <w:t xml:space="preserve"> over the 2-year time horizon of the pilot</w:t>
      </w:r>
      <w:r w:rsidR="00833797" w:rsidRPr="0096740F">
        <w:t>.</w:t>
      </w:r>
      <w:r w:rsidR="00680312" w:rsidRPr="0096740F">
        <w:t xml:space="preserve"> A summary of the installation timeline is as follows:</w:t>
      </w:r>
    </w:p>
    <w:p w14:paraId="4EADFEDB" w14:textId="77777777" w:rsidR="00052D53" w:rsidRPr="0096740F" w:rsidRDefault="00052D53" w:rsidP="001170DA"/>
    <w:tbl>
      <w:tblPr>
        <w:tblStyle w:val="PlainTable2"/>
        <w:tblW w:w="0" w:type="auto"/>
        <w:tblLayout w:type="fixed"/>
        <w:tblLook w:val="0000" w:firstRow="0" w:lastRow="0" w:firstColumn="0" w:lastColumn="0" w:noHBand="0" w:noVBand="0"/>
      </w:tblPr>
      <w:tblGrid>
        <w:gridCol w:w="3235"/>
        <w:gridCol w:w="990"/>
        <w:gridCol w:w="990"/>
        <w:gridCol w:w="990"/>
      </w:tblGrid>
      <w:tr w:rsidR="00052D53" w:rsidRPr="0096740F" w14:paraId="5FBC2A82" w14:textId="77777777" w:rsidTr="001539A1">
        <w:trPr>
          <w:cnfStyle w:val="000000100000" w:firstRow="0" w:lastRow="0" w:firstColumn="0" w:lastColumn="0" w:oddVBand="0" w:evenVBand="0" w:oddHBand="1" w:evenHBand="0" w:firstRowFirstColumn="0" w:firstRowLastColumn="0" w:lastRowFirstColumn="0" w:lastRowLastColumn="0"/>
          <w:trHeight w:val="159"/>
        </w:trPr>
        <w:tc>
          <w:tcPr>
            <w:cnfStyle w:val="000010000000" w:firstRow="0" w:lastRow="0" w:firstColumn="0" w:lastColumn="0" w:oddVBand="1" w:evenVBand="0" w:oddHBand="0" w:evenHBand="0" w:firstRowFirstColumn="0" w:firstRowLastColumn="0" w:lastRowFirstColumn="0" w:lastRowLastColumn="0"/>
            <w:tcW w:w="3235" w:type="dxa"/>
          </w:tcPr>
          <w:p w14:paraId="31CA156B" w14:textId="77777777" w:rsidR="00052D53" w:rsidRPr="0096740F" w:rsidRDefault="00052D53" w:rsidP="001539A1">
            <w:pPr>
              <w:pStyle w:val="Default"/>
            </w:pPr>
            <w:r w:rsidRPr="0096740F">
              <w:rPr>
                <w:b/>
                <w:bCs/>
              </w:rPr>
              <w:t xml:space="preserve">Charging Type </w:t>
            </w:r>
          </w:p>
        </w:tc>
        <w:tc>
          <w:tcPr>
            <w:cnfStyle w:val="000001000000" w:firstRow="0" w:lastRow="0" w:firstColumn="0" w:lastColumn="0" w:oddVBand="0" w:evenVBand="1" w:oddHBand="0" w:evenHBand="0" w:firstRowFirstColumn="0" w:firstRowLastColumn="0" w:lastRowFirstColumn="0" w:lastRowLastColumn="0"/>
            <w:tcW w:w="990" w:type="dxa"/>
          </w:tcPr>
          <w:p w14:paraId="30A47733" w14:textId="59352403" w:rsidR="00052D53" w:rsidRPr="0096740F" w:rsidRDefault="00D33B19" w:rsidP="001539A1">
            <w:pPr>
              <w:pStyle w:val="Default"/>
            </w:pPr>
            <w:r w:rsidRPr="0096740F">
              <w:rPr>
                <w:b/>
                <w:bCs/>
              </w:rPr>
              <w:t>Year 1</w:t>
            </w:r>
            <w:r w:rsidR="00052D53" w:rsidRPr="0096740F">
              <w:rPr>
                <w:b/>
                <w:bCs/>
              </w:rPr>
              <w:t xml:space="preserve"> </w:t>
            </w:r>
          </w:p>
        </w:tc>
        <w:tc>
          <w:tcPr>
            <w:cnfStyle w:val="000010000000" w:firstRow="0" w:lastRow="0" w:firstColumn="0" w:lastColumn="0" w:oddVBand="1" w:evenVBand="0" w:oddHBand="0" w:evenHBand="0" w:firstRowFirstColumn="0" w:firstRowLastColumn="0" w:lastRowFirstColumn="0" w:lastRowLastColumn="0"/>
            <w:tcW w:w="990" w:type="dxa"/>
          </w:tcPr>
          <w:p w14:paraId="307DAFE4" w14:textId="77777777" w:rsidR="00052D53" w:rsidRPr="0096740F" w:rsidRDefault="00052D53" w:rsidP="001539A1">
            <w:pPr>
              <w:pStyle w:val="Default"/>
            </w:pPr>
            <w:r w:rsidRPr="0096740F">
              <w:rPr>
                <w:b/>
                <w:bCs/>
              </w:rPr>
              <w:t xml:space="preserve">Year 2 </w:t>
            </w:r>
          </w:p>
        </w:tc>
        <w:tc>
          <w:tcPr>
            <w:cnfStyle w:val="000001000000" w:firstRow="0" w:lastRow="0" w:firstColumn="0" w:lastColumn="0" w:oddVBand="0" w:evenVBand="1" w:oddHBand="0" w:evenHBand="0" w:firstRowFirstColumn="0" w:firstRowLastColumn="0" w:lastRowFirstColumn="0" w:lastRowLastColumn="0"/>
            <w:tcW w:w="990" w:type="dxa"/>
          </w:tcPr>
          <w:p w14:paraId="60D17D2E" w14:textId="77777777" w:rsidR="00052D53" w:rsidRPr="0096740F" w:rsidRDefault="00052D53" w:rsidP="001539A1">
            <w:pPr>
              <w:pStyle w:val="Default"/>
            </w:pPr>
            <w:r w:rsidRPr="0096740F">
              <w:rPr>
                <w:b/>
                <w:bCs/>
              </w:rPr>
              <w:t xml:space="preserve">Total </w:t>
            </w:r>
          </w:p>
        </w:tc>
      </w:tr>
      <w:tr w:rsidR="00052D53" w:rsidRPr="0096740F" w14:paraId="0985DD08" w14:textId="77777777" w:rsidTr="001539A1">
        <w:trPr>
          <w:trHeight w:val="157"/>
        </w:trPr>
        <w:tc>
          <w:tcPr>
            <w:cnfStyle w:val="000010000000" w:firstRow="0" w:lastRow="0" w:firstColumn="0" w:lastColumn="0" w:oddVBand="1" w:evenVBand="0" w:oddHBand="0" w:evenHBand="0" w:firstRowFirstColumn="0" w:firstRowLastColumn="0" w:lastRowFirstColumn="0" w:lastRowLastColumn="0"/>
            <w:tcW w:w="3235" w:type="dxa"/>
          </w:tcPr>
          <w:p w14:paraId="50B7A8D3" w14:textId="77777777" w:rsidR="00052D53" w:rsidRPr="0096740F" w:rsidRDefault="00052D53" w:rsidP="001539A1">
            <w:pPr>
              <w:pStyle w:val="Default"/>
            </w:pPr>
            <w:r w:rsidRPr="0096740F">
              <w:t xml:space="preserve">Residential SFH Level 2 </w:t>
            </w:r>
          </w:p>
        </w:tc>
        <w:tc>
          <w:tcPr>
            <w:cnfStyle w:val="000001000000" w:firstRow="0" w:lastRow="0" w:firstColumn="0" w:lastColumn="0" w:oddVBand="0" w:evenVBand="1" w:oddHBand="0" w:evenHBand="0" w:firstRowFirstColumn="0" w:firstRowLastColumn="0" w:lastRowFirstColumn="0" w:lastRowLastColumn="0"/>
            <w:tcW w:w="990" w:type="dxa"/>
          </w:tcPr>
          <w:p w14:paraId="30D47A33" w14:textId="77777777" w:rsidR="00052D53" w:rsidRPr="0096740F" w:rsidRDefault="00052D53" w:rsidP="001539A1">
            <w:pPr>
              <w:pStyle w:val="Default"/>
            </w:pPr>
            <w:r w:rsidRPr="0096740F">
              <w:t xml:space="preserve">40 </w:t>
            </w:r>
          </w:p>
        </w:tc>
        <w:tc>
          <w:tcPr>
            <w:cnfStyle w:val="000010000000" w:firstRow="0" w:lastRow="0" w:firstColumn="0" w:lastColumn="0" w:oddVBand="1" w:evenVBand="0" w:oddHBand="0" w:evenHBand="0" w:firstRowFirstColumn="0" w:firstRowLastColumn="0" w:lastRowFirstColumn="0" w:lastRowLastColumn="0"/>
            <w:tcW w:w="990" w:type="dxa"/>
          </w:tcPr>
          <w:p w14:paraId="6260BE4F" w14:textId="77777777" w:rsidR="00052D53" w:rsidRPr="0096740F" w:rsidRDefault="00052D53" w:rsidP="001539A1">
            <w:pPr>
              <w:pStyle w:val="Default"/>
            </w:pPr>
            <w:r w:rsidRPr="0096740F">
              <w:t xml:space="preserve">80 </w:t>
            </w:r>
          </w:p>
        </w:tc>
        <w:tc>
          <w:tcPr>
            <w:cnfStyle w:val="000001000000" w:firstRow="0" w:lastRow="0" w:firstColumn="0" w:lastColumn="0" w:oddVBand="0" w:evenVBand="1" w:oddHBand="0" w:evenHBand="0" w:firstRowFirstColumn="0" w:firstRowLastColumn="0" w:lastRowFirstColumn="0" w:lastRowLastColumn="0"/>
            <w:tcW w:w="990" w:type="dxa"/>
          </w:tcPr>
          <w:p w14:paraId="3471B6FD" w14:textId="77777777" w:rsidR="00052D53" w:rsidRPr="0096740F" w:rsidRDefault="00052D53" w:rsidP="001539A1">
            <w:pPr>
              <w:pStyle w:val="Default"/>
            </w:pPr>
            <w:r w:rsidRPr="0096740F">
              <w:t xml:space="preserve">120 </w:t>
            </w:r>
          </w:p>
        </w:tc>
      </w:tr>
      <w:tr w:rsidR="00052D53" w:rsidRPr="0096740F" w14:paraId="3BF9506E" w14:textId="77777777" w:rsidTr="001539A1">
        <w:trPr>
          <w:cnfStyle w:val="000000100000" w:firstRow="0" w:lastRow="0" w:firstColumn="0" w:lastColumn="0" w:oddVBand="0" w:evenVBand="0" w:oddHBand="1" w:evenHBand="0" w:firstRowFirstColumn="0" w:firstRowLastColumn="0" w:lastRowFirstColumn="0" w:lastRowLastColumn="0"/>
          <w:trHeight w:val="157"/>
        </w:trPr>
        <w:tc>
          <w:tcPr>
            <w:cnfStyle w:val="000010000000" w:firstRow="0" w:lastRow="0" w:firstColumn="0" w:lastColumn="0" w:oddVBand="1" w:evenVBand="0" w:oddHBand="0" w:evenHBand="0" w:firstRowFirstColumn="0" w:firstRowLastColumn="0" w:lastRowFirstColumn="0" w:lastRowLastColumn="0"/>
            <w:tcW w:w="3235" w:type="dxa"/>
          </w:tcPr>
          <w:p w14:paraId="6F7D3C91" w14:textId="77777777" w:rsidR="00052D53" w:rsidRPr="0096740F" w:rsidRDefault="00052D53" w:rsidP="001539A1">
            <w:pPr>
              <w:pStyle w:val="Default"/>
            </w:pPr>
            <w:r w:rsidRPr="0096740F">
              <w:t xml:space="preserve">Workplace/Fleet/MUD Level 2 </w:t>
            </w:r>
          </w:p>
        </w:tc>
        <w:tc>
          <w:tcPr>
            <w:cnfStyle w:val="000001000000" w:firstRow="0" w:lastRow="0" w:firstColumn="0" w:lastColumn="0" w:oddVBand="0" w:evenVBand="1" w:oddHBand="0" w:evenHBand="0" w:firstRowFirstColumn="0" w:firstRowLastColumn="0" w:lastRowFirstColumn="0" w:lastRowLastColumn="0"/>
            <w:tcW w:w="990" w:type="dxa"/>
          </w:tcPr>
          <w:p w14:paraId="32897D83" w14:textId="77777777" w:rsidR="00052D53" w:rsidRPr="0096740F" w:rsidRDefault="00052D53" w:rsidP="001539A1">
            <w:pPr>
              <w:pStyle w:val="Default"/>
            </w:pPr>
            <w:r w:rsidRPr="0096740F">
              <w:t xml:space="preserve">30 </w:t>
            </w:r>
          </w:p>
        </w:tc>
        <w:tc>
          <w:tcPr>
            <w:cnfStyle w:val="000010000000" w:firstRow="0" w:lastRow="0" w:firstColumn="0" w:lastColumn="0" w:oddVBand="1" w:evenVBand="0" w:oddHBand="0" w:evenHBand="0" w:firstRowFirstColumn="0" w:firstRowLastColumn="0" w:lastRowFirstColumn="0" w:lastRowLastColumn="0"/>
            <w:tcW w:w="990" w:type="dxa"/>
          </w:tcPr>
          <w:p w14:paraId="5FA0E7B9" w14:textId="77777777" w:rsidR="00052D53" w:rsidRPr="0096740F" w:rsidRDefault="00052D53" w:rsidP="001539A1">
            <w:pPr>
              <w:pStyle w:val="Default"/>
            </w:pPr>
            <w:r w:rsidRPr="0096740F">
              <w:t xml:space="preserve">70 </w:t>
            </w:r>
          </w:p>
        </w:tc>
        <w:tc>
          <w:tcPr>
            <w:cnfStyle w:val="000001000000" w:firstRow="0" w:lastRow="0" w:firstColumn="0" w:lastColumn="0" w:oddVBand="0" w:evenVBand="1" w:oddHBand="0" w:evenHBand="0" w:firstRowFirstColumn="0" w:firstRowLastColumn="0" w:lastRowFirstColumn="0" w:lastRowLastColumn="0"/>
            <w:tcW w:w="990" w:type="dxa"/>
          </w:tcPr>
          <w:p w14:paraId="3AE69BF1" w14:textId="77777777" w:rsidR="00052D53" w:rsidRPr="0096740F" w:rsidRDefault="00052D53" w:rsidP="001539A1">
            <w:pPr>
              <w:pStyle w:val="Default"/>
            </w:pPr>
            <w:r w:rsidRPr="0096740F">
              <w:t xml:space="preserve">100 </w:t>
            </w:r>
          </w:p>
        </w:tc>
      </w:tr>
      <w:tr w:rsidR="00052D53" w:rsidRPr="0096740F" w14:paraId="1452950C" w14:textId="77777777" w:rsidTr="001539A1">
        <w:trPr>
          <w:trHeight w:val="157"/>
        </w:trPr>
        <w:tc>
          <w:tcPr>
            <w:cnfStyle w:val="000010000000" w:firstRow="0" w:lastRow="0" w:firstColumn="0" w:lastColumn="0" w:oddVBand="1" w:evenVBand="0" w:oddHBand="0" w:evenHBand="0" w:firstRowFirstColumn="0" w:firstRowLastColumn="0" w:lastRowFirstColumn="0" w:lastRowLastColumn="0"/>
            <w:tcW w:w="3235" w:type="dxa"/>
          </w:tcPr>
          <w:p w14:paraId="668F6AAB" w14:textId="77777777" w:rsidR="00052D53" w:rsidRPr="0096740F" w:rsidRDefault="00052D53" w:rsidP="001539A1">
            <w:pPr>
              <w:pStyle w:val="Default"/>
            </w:pPr>
            <w:r w:rsidRPr="0096740F">
              <w:t xml:space="preserve">Public Level 2 </w:t>
            </w:r>
          </w:p>
        </w:tc>
        <w:tc>
          <w:tcPr>
            <w:cnfStyle w:val="000001000000" w:firstRow="0" w:lastRow="0" w:firstColumn="0" w:lastColumn="0" w:oddVBand="0" w:evenVBand="1" w:oddHBand="0" w:evenHBand="0" w:firstRowFirstColumn="0" w:firstRowLastColumn="0" w:lastRowFirstColumn="0" w:lastRowLastColumn="0"/>
            <w:tcW w:w="990" w:type="dxa"/>
          </w:tcPr>
          <w:p w14:paraId="26FC12BD" w14:textId="77777777" w:rsidR="00052D53" w:rsidRPr="0096740F" w:rsidRDefault="00052D53" w:rsidP="001539A1">
            <w:pPr>
              <w:pStyle w:val="Default"/>
            </w:pPr>
            <w:r w:rsidRPr="0096740F">
              <w:t xml:space="preserve">20 </w:t>
            </w:r>
          </w:p>
        </w:tc>
        <w:tc>
          <w:tcPr>
            <w:cnfStyle w:val="000010000000" w:firstRow="0" w:lastRow="0" w:firstColumn="0" w:lastColumn="0" w:oddVBand="1" w:evenVBand="0" w:oddHBand="0" w:evenHBand="0" w:firstRowFirstColumn="0" w:firstRowLastColumn="0" w:lastRowFirstColumn="0" w:lastRowLastColumn="0"/>
            <w:tcW w:w="990" w:type="dxa"/>
          </w:tcPr>
          <w:p w14:paraId="2F67B6BA" w14:textId="77777777" w:rsidR="00052D53" w:rsidRPr="0096740F" w:rsidRDefault="00052D53" w:rsidP="001539A1">
            <w:pPr>
              <w:pStyle w:val="Default"/>
            </w:pPr>
            <w:r w:rsidRPr="0096740F">
              <w:t xml:space="preserve">25 </w:t>
            </w:r>
          </w:p>
        </w:tc>
        <w:tc>
          <w:tcPr>
            <w:cnfStyle w:val="000001000000" w:firstRow="0" w:lastRow="0" w:firstColumn="0" w:lastColumn="0" w:oddVBand="0" w:evenVBand="1" w:oddHBand="0" w:evenHBand="0" w:firstRowFirstColumn="0" w:firstRowLastColumn="0" w:lastRowFirstColumn="0" w:lastRowLastColumn="0"/>
            <w:tcW w:w="990" w:type="dxa"/>
          </w:tcPr>
          <w:p w14:paraId="38D9BDC9" w14:textId="77777777" w:rsidR="00052D53" w:rsidRPr="0096740F" w:rsidRDefault="00052D53" w:rsidP="001539A1">
            <w:pPr>
              <w:pStyle w:val="Default"/>
            </w:pPr>
            <w:r w:rsidRPr="0096740F">
              <w:t xml:space="preserve">45 </w:t>
            </w:r>
          </w:p>
        </w:tc>
      </w:tr>
      <w:tr w:rsidR="00052D53" w:rsidRPr="0096740F" w14:paraId="5FF2ACAC" w14:textId="77777777" w:rsidTr="001539A1">
        <w:trPr>
          <w:cnfStyle w:val="000000100000" w:firstRow="0" w:lastRow="0" w:firstColumn="0" w:lastColumn="0" w:oddVBand="0" w:evenVBand="0" w:oddHBand="1" w:evenHBand="0" w:firstRowFirstColumn="0" w:firstRowLastColumn="0" w:lastRowFirstColumn="0" w:lastRowLastColumn="0"/>
          <w:trHeight w:val="157"/>
        </w:trPr>
        <w:tc>
          <w:tcPr>
            <w:cnfStyle w:val="000010000000" w:firstRow="0" w:lastRow="0" w:firstColumn="0" w:lastColumn="0" w:oddVBand="1" w:evenVBand="0" w:oddHBand="0" w:evenHBand="0" w:firstRowFirstColumn="0" w:firstRowLastColumn="0" w:lastRowFirstColumn="0" w:lastRowLastColumn="0"/>
            <w:tcW w:w="3235" w:type="dxa"/>
          </w:tcPr>
          <w:p w14:paraId="3F2CBCB5" w14:textId="77777777" w:rsidR="00052D53" w:rsidRPr="0096740F" w:rsidRDefault="00052D53" w:rsidP="001539A1">
            <w:pPr>
              <w:pStyle w:val="Default"/>
            </w:pPr>
            <w:r w:rsidRPr="0096740F">
              <w:t xml:space="preserve">Public DC Fast Charging </w:t>
            </w:r>
          </w:p>
        </w:tc>
        <w:tc>
          <w:tcPr>
            <w:cnfStyle w:val="000001000000" w:firstRow="0" w:lastRow="0" w:firstColumn="0" w:lastColumn="0" w:oddVBand="0" w:evenVBand="1" w:oddHBand="0" w:evenHBand="0" w:firstRowFirstColumn="0" w:firstRowLastColumn="0" w:lastRowFirstColumn="0" w:lastRowLastColumn="0"/>
            <w:tcW w:w="990" w:type="dxa"/>
          </w:tcPr>
          <w:p w14:paraId="3250534E" w14:textId="77777777" w:rsidR="00052D53" w:rsidRPr="0096740F" w:rsidRDefault="00052D53" w:rsidP="001539A1">
            <w:pPr>
              <w:pStyle w:val="Default"/>
            </w:pPr>
            <w:r w:rsidRPr="0096740F">
              <w:t xml:space="preserve">2 </w:t>
            </w:r>
          </w:p>
        </w:tc>
        <w:tc>
          <w:tcPr>
            <w:cnfStyle w:val="000010000000" w:firstRow="0" w:lastRow="0" w:firstColumn="0" w:lastColumn="0" w:oddVBand="1" w:evenVBand="0" w:oddHBand="0" w:evenHBand="0" w:firstRowFirstColumn="0" w:firstRowLastColumn="0" w:lastRowFirstColumn="0" w:lastRowLastColumn="0"/>
            <w:tcW w:w="990" w:type="dxa"/>
          </w:tcPr>
          <w:p w14:paraId="4E98B239" w14:textId="77777777" w:rsidR="00052D53" w:rsidRPr="0096740F" w:rsidRDefault="00052D53" w:rsidP="001539A1">
            <w:pPr>
              <w:pStyle w:val="Default"/>
            </w:pPr>
            <w:r w:rsidRPr="0096740F">
              <w:t xml:space="preserve">5 </w:t>
            </w:r>
          </w:p>
        </w:tc>
        <w:tc>
          <w:tcPr>
            <w:cnfStyle w:val="000001000000" w:firstRow="0" w:lastRow="0" w:firstColumn="0" w:lastColumn="0" w:oddVBand="0" w:evenVBand="1" w:oddHBand="0" w:evenHBand="0" w:firstRowFirstColumn="0" w:firstRowLastColumn="0" w:lastRowFirstColumn="0" w:lastRowLastColumn="0"/>
            <w:tcW w:w="990" w:type="dxa"/>
          </w:tcPr>
          <w:p w14:paraId="52FA1B35" w14:textId="77777777" w:rsidR="00052D53" w:rsidRPr="0096740F" w:rsidRDefault="00052D53" w:rsidP="001539A1">
            <w:pPr>
              <w:pStyle w:val="Default"/>
            </w:pPr>
            <w:r w:rsidRPr="0096740F">
              <w:t xml:space="preserve">7 </w:t>
            </w:r>
          </w:p>
        </w:tc>
      </w:tr>
    </w:tbl>
    <w:p w14:paraId="0416FCB7" w14:textId="77777777" w:rsidR="00052D53" w:rsidRPr="0096740F" w:rsidRDefault="00052D53" w:rsidP="001170DA"/>
    <w:p w14:paraId="00E9B434" w14:textId="77777777" w:rsidR="00052D53" w:rsidRPr="0096740F" w:rsidRDefault="00052D53" w:rsidP="001170DA"/>
    <w:p w14:paraId="20B2D974" w14:textId="40A5AC75" w:rsidR="00052D53" w:rsidRPr="0096740F" w:rsidRDefault="00680312" w:rsidP="001170DA">
      <w:r w:rsidRPr="0096740F">
        <w:t>A summary of the estimated total cost per port connection is as follows:</w:t>
      </w:r>
    </w:p>
    <w:p w14:paraId="3DDC9311" w14:textId="77777777" w:rsidR="00733CB2" w:rsidRPr="0096740F" w:rsidRDefault="00733CB2" w:rsidP="001170DA"/>
    <w:tbl>
      <w:tblPr>
        <w:tblStyle w:val="TableList3"/>
        <w:tblW w:w="9444" w:type="dxa"/>
        <w:tblLayout w:type="fixed"/>
        <w:tblLook w:val="0000" w:firstRow="0" w:lastRow="0" w:firstColumn="0" w:lastColumn="0" w:noHBand="0" w:noVBand="0"/>
      </w:tblPr>
      <w:tblGrid>
        <w:gridCol w:w="1618"/>
        <w:gridCol w:w="1352"/>
        <w:gridCol w:w="1620"/>
        <w:gridCol w:w="1618"/>
        <w:gridCol w:w="1618"/>
        <w:gridCol w:w="1618"/>
      </w:tblGrid>
      <w:tr w:rsidR="00733CB2" w:rsidRPr="0096740F" w14:paraId="3E49DC70" w14:textId="77777777" w:rsidTr="003A67E0">
        <w:trPr>
          <w:trHeight w:val="573"/>
        </w:trPr>
        <w:tc>
          <w:tcPr>
            <w:tcW w:w="1618" w:type="dxa"/>
            <w:vAlign w:val="center"/>
          </w:tcPr>
          <w:p w14:paraId="135B5866" w14:textId="0C93420F" w:rsidR="00733CB2" w:rsidRPr="0096740F" w:rsidRDefault="00733CB2" w:rsidP="003A67E0">
            <w:pPr>
              <w:pStyle w:val="Default"/>
            </w:pPr>
            <w:r w:rsidRPr="0096740F">
              <w:rPr>
                <w:b/>
                <w:bCs/>
              </w:rPr>
              <w:t xml:space="preserve">Charging Type </w:t>
            </w:r>
          </w:p>
        </w:tc>
        <w:tc>
          <w:tcPr>
            <w:tcW w:w="1352" w:type="dxa"/>
            <w:vAlign w:val="center"/>
          </w:tcPr>
          <w:p w14:paraId="325B010B" w14:textId="77777777" w:rsidR="00733CB2" w:rsidRPr="0096740F" w:rsidRDefault="00733CB2" w:rsidP="003A67E0">
            <w:pPr>
              <w:pStyle w:val="Default"/>
            </w:pPr>
            <w:r w:rsidRPr="0096740F">
              <w:rPr>
                <w:b/>
                <w:bCs/>
              </w:rPr>
              <w:t xml:space="preserve">EVSE equipment </w:t>
            </w:r>
          </w:p>
        </w:tc>
        <w:tc>
          <w:tcPr>
            <w:tcW w:w="1620" w:type="dxa"/>
            <w:vAlign w:val="center"/>
          </w:tcPr>
          <w:p w14:paraId="6843E17B" w14:textId="77777777" w:rsidR="00733CB2" w:rsidRPr="0096740F" w:rsidRDefault="00733CB2" w:rsidP="003A67E0">
            <w:pPr>
              <w:pStyle w:val="Default"/>
            </w:pPr>
            <w:r w:rsidRPr="0096740F">
              <w:rPr>
                <w:b/>
                <w:bCs/>
              </w:rPr>
              <w:t xml:space="preserve">EVSE installation </w:t>
            </w:r>
          </w:p>
        </w:tc>
        <w:tc>
          <w:tcPr>
            <w:tcW w:w="1618" w:type="dxa"/>
            <w:vAlign w:val="center"/>
          </w:tcPr>
          <w:p w14:paraId="0F2E0766" w14:textId="77777777" w:rsidR="00733CB2" w:rsidRPr="0096740F" w:rsidRDefault="00733CB2" w:rsidP="003A67E0">
            <w:pPr>
              <w:pStyle w:val="Default"/>
            </w:pPr>
            <w:r w:rsidRPr="0096740F">
              <w:rPr>
                <w:b/>
                <w:bCs/>
              </w:rPr>
              <w:t xml:space="preserve">Site property &amp; Premises wiring </w:t>
            </w:r>
          </w:p>
        </w:tc>
        <w:tc>
          <w:tcPr>
            <w:tcW w:w="1618" w:type="dxa"/>
            <w:vAlign w:val="center"/>
          </w:tcPr>
          <w:p w14:paraId="73DE941E" w14:textId="77777777" w:rsidR="00733CB2" w:rsidRPr="0096740F" w:rsidRDefault="00733CB2" w:rsidP="003A67E0">
            <w:pPr>
              <w:pStyle w:val="Default"/>
            </w:pPr>
            <w:r w:rsidRPr="0096740F">
              <w:rPr>
                <w:b/>
                <w:bCs/>
              </w:rPr>
              <w:t xml:space="preserve">Utility distribution </w:t>
            </w:r>
          </w:p>
        </w:tc>
        <w:tc>
          <w:tcPr>
            <w:tcW w:w="1618" w:type="dxa"/>
            <w:vAlign w:val="center"/>
          </w:tcPr>
          <w:p w14:paraId="3CE5285A" w14:textId="61D88FD6" w:rsidR="00733CB2" w:rsidRPr="0096740F" w:rsidRDefault="00733CB2" w:rsidP="003A67E0">
            <w:pPr>
              <w:pStyle w:val="Default"/>
            </w:pPr>
            <w:r w:rsidRPr="0096740F">
              <w:rPr>
                <w:b/>
                <w:bCs/>
              </w:rPr>
              <w:t xml:space="preserve">Total cost per EVSE port connection </w:t>
            </w:r>
          </w:p>
        </w:tc>
      </w:tr>
      <w:tr w:rsidR="00733CB2" w:rsidRPr="0096740F" w14:paraId="4174CBCC" w14:textId="77777777" w:rsidTr="003A67E0">
        <w:trPr>
          <w:trHeight w:val="160"/>
        </w:trPr>
        <w:tc>
          <w:tcPr>
            <w:tcW w:w="1618" w:type="dxa"/>
          </w:tcPr>
          <w:p w14:paraId="329A8310" w14:textId="77777777" w:rsidR="00733CB2" w:rsidRPr="0096740F" w:rsidRDefault="00733CB2">
            <w:pPr>
              <w:pStyle w:val="Default"/>
            </w:pPr>
            <w:r w:rsidRPr="0096740F">
              <w:t xml:space="preserve">Residential SFH L2 </w:t>
            </w:r>
          </w:p>
        </w:tc>
        <w:tc>
          <w:tcPr>
            <w:tcW w:w="1352" w:type="dxa"/>
          </w:tcPr>
          <w:p w14:paraId="6CA2D680" w14:textId="77777777" w:rsidR="00733CB2" w:rsidRPr="0096740F" w:rsidRDefault="00733CB2">
            <w:pPr>
              <w:pStyle w:val="Default"/>
            </w:pPr>
            <w:r w:rsidRPr="0096740F">
              <w:t xml:space="preserve">$500 </w:t>
            </w:r>
          </w:p>
        </w:tc>
        <w:tc>
          <w:tcPr>
            <w:tcW w:w="1620" w:type="dxa"/>
          </w:tcPr>
          <w:p w14:paraId="3E0BD699" w14:textId="77777777" w:rsidR="00733CB2" w:rsidRPr="0096740F" w:rsidRDefault="00733CB2">
            <w:pPr>
              <w:pStyle w:val="Default"/>
            </w:pPr>
            <w:r w:rsidRPr="0096740F">
              <w:t xml:space="preserve">$150 </w:t>
            </w:r>
          </w:p>
        </w:tc>
        <w:tc>
          <w:tcPr>
            <w:tcW w:w="1618" w:type="dxa"/>
          </w:tcPr>
          <w:p w14:paraId="67348D36" w14:textId="77777777" w:rsidR="00733CB2" w:rsidRPr="0096740F" w:rsidRDefault="00733CB2">
            <w:pPr>
              <w:pStyle w:val="Default"/>
            </w:pPr>
            <w:r w:rsidRPr="0096740F">
              <w:t xml:space="preserve">$675 </w:t>
            </w:r>
          </w:p>
        </w:tc>
        <w:tc>
          <w:tcPr>
            <w:tcW w:w="1618" w:type="dxa"/>
          </w:tcPr>
          <w:p w14:paraId="661A4474" w14:textId="77777777" w:rsidR="00733CB2" w:rsidRPr="0096740F" w:rsidRDefault="00733CB2">
            <w:pPr>
              <w:pStyle w:val="Default"/>
            </w:pPr>
            <w:r w:rsidRPr="0096740F">
              <w:t xml:space="preserve">$50 </w:t>
            </w:r>
          </w:p>
        </w:tc>
        <w:tc>
          <w:tcPr>
            <w:tcW w:w="1618" w:type="dxa"/>
          </w:tcPr>
          <w:p w14:paraId="18C10F4D" w14:textId="77777777" w:rsidR="00733CB2" w:rsidRPr="0096740F" w:rsidRDefault="00733CB2">
            <w:pPr>
              <w:pStyle w:val="Default"/>
            </w:pPr>
            <w:r w:rsidRPr="0096740F">
              <w:rPr>
                <w:b/>
                <w:bCs/>
              </w:rPr>
              <w:t xml:space="preserve">$1,375 </w:t>
            </w:r>
          </w:p>
        </w:tc>
      </w:tr>
      <w:tr w:rsidR="00733CB2" w:rsidRPr="0096740F" w14:paraId="681C00FA" w14:textId="77777777" w:rsidTr="003A67E0">
        <w:trPr>
          <w:trHeight w:val="160"/>
        </w:trPr>
        <w:tc>
          <w:tcPr>
            <w:tcW w:w="1618" w:type="dxa"/>
          </w:tcPr>
          <w:p w14:paraId="38BB2E3F" w14:textId="77777777" w:rsidR="00733CB2" w:rsidRPr="0096740F" w:rsidRDefault="00733CB2">
            <w:pPr>
              <w:pStyle w:val="Default"/>
            </w:pPr>
            <w:r w:rsidRPr="0096740F">
              <w:t xml:space="preserve">Workplace/Fleet/MUD L2 </w:t>
            </w:r>
          </w:p>
        </w:tc>
        <w:tc>
          <w:tcPr>
            <w:tcW w:w="1352" w:type="dxa"/>
          </w:tcPr>
          <w:p w14:paraId="7FE9F841" w14:textId="77777777" w:rsidR="00733CB2" w:rsidRPr="0096740F" w:rsidRDefault="00733CB2">
            <w:pPr>
              <w:pStyle w:val="Default"/>
            </w:pPr>
            <w:r w:rsidRPr="0096740F">
              <w:t xml:space="preserve">$700 </w:t>
            </w:r>
          </w:p>
        </w:tc>
        <w:tc>
          <w:tcPr>
            <w:tcW w:w="1620" w:type="dxa"/>
          </w:tcPr>
          <w:p w14:paraId="4DE5DFDB" w14:textId="77777777" w:rsidR="00733CB2" w:rsidRPr="0096740F" w:rsidRDefault="00733CB2">
            <w:pPr>
              <w:pStyle w:val="Default"/>
            </w:pPr>
            <w:r w:rsidRPr="0096740F">
              <w:t xml:space="preserve">$350 </w:t>
            </w:r>
          </w:p>
        </w:tc>
        <w:tc>
          <w:tcPr>
            <w:tcW w:w="1618" w:type="dxa"/>
          </w:tcPr>
          <w:p w14:paraId="06C9B359" w14:textId="77777777" w:rsidR="00733CB2" w:rsidRPr="0096740F" w:rsidRDefault="00733CB2">
            <w:pPr>
              <w:pStyle w:val="Default"/>
            </w:pPr>
            <w:r w:rsidRPr="0096740F">
              <w:t xml:space="preserve">$1,700 </w:t>
            </w:r>
          </w:p>
        </w:tc>
        <w:tc>
          <w:tcPr>
            <w:tcW w:w="1618" w:type="dxa"/>
          </w:tcPr>
          <w:p w14:paraId="02F20832" w14:textId="77777777" w:rsidR="00733CB2" w:rsidRPr="0096740F" w:rsidRDefault="00733CB2">
            <w:pPr>
              <w:pStyle w:val="Default"/>
            </w:pPr>
            <w:r w:rsidRPr="0096740F">
              <w:t xml:space="preserve">$750 </w:t>
            </w:r>
          </w:p>
        </w:tc>
        <w:tc>
          <w:tcPr>
            <w:tcW w:w="1618" w:type="dxa"/>
          </w:tcPr>
          <w:p w14:paraId="1A3115BF" w14:textId="77777777" w:rsidR="00733CB2" w:rsidRPr="0096740F" w:rsidRDefault="00733CB2">
            <w:pPr>
              <w:pStyle w:val="Default"/>
            </w:pPr>
            <w:r w:rsidRPr="0096740F">
              <w:rPr>
                <w:b/>
                <w:bCs/>
              </w:rPr>
              <w:t xml:space="preserve">$3,500 </w:t>
            </w:r>
          </w:p>
        </w:tc>
      </w:tr>
      <w:tr w:rsidR="00733CB2" w:rsidRPr="0096740F" w14:paraId="4196067F" w14:textId="77777777" w:rsidTr="003A67E0">
        <w:trPr>
          <w:trHeight w:val="160"/>
        </w:trPr>
        <w:tc>
          <w:tcPr>
            <w:tcW w:w="1618" w:type="dxa"/>
          </w:tcPr>
          <w:p w14:paraId="155E5755" w14:textId="77777777" w:rsidR="00733CB2" w:rsidRPr="0096740F" w:rsidRDefault="00733CB2">
            <w:pPr>
              <w:pStyle w:val="Default"/>
            </w:pPr>
            <w:r w:rsidRPr="0096740F">
              <w:t xml:space="preserve">Public L2 </w:t>
            </w:r>
          </w:p>
        </w:tc>
        <w:tc>
          <w:tcPr>
            <w:tcW w:w="1352" w:type="dxa"/>
          </w:tcPr>
          <w:p w14:paraId="5F49098E" w14:textId="77777777" w:rsidR="00733CB2" w:rsidRPr="0096740F" w:rsidRDefault="00733CB2">
            <w:pPr>
              <w:pStyle w:val="Default"/>
            </w:pPr>
            <w:r w:rsidRPr="0096740F">
              <w:t xml:space="preserve">$2,500 </w:t>
            </w:r>
          </w:p>
        </w:tc>
        <w:tc>
          <w:tcPr>
            <w:tcW w:w="1620" w:type="dxa"/>
          </w:tcPr>
          <w:p w14:paraId="100076D6" w14:textId="77777777" w:rsidR="00733CB2" w:rsidRPr="0096740F" w:rsidRDefault="00733CB2">
            <w:pPr>
              <w:pStyle w:val="Default"/>
            </w:pPr>
            <w:r w:rsidRPr="0096740F">
              <w:t xml:space="preserve">$500 </w:t>
            </w:r>
          </w:p>
        </w:tc>
        <w:tc>
          <w:tcPr>
            <w:tcW w:w="1618" w:type="dxa"/>
          </w:tcPr>
          <w:p w14:paraId="7CDBB8F2" w14:textId="77777777" w:rsidR="00733CB2" w:rsidRPr="0096740F" w:rsidRDefault="00733CB2">
            <w:pPr>
              <w:pStyle w:val="Default"/>
            </w:pPr>
            <w:r w:rsidRPr="0096740F">
              <w:t xml:space="preserve">$3,000 </w:t>
            </w:r>
          </w:p>
        </w:tc>
        <w:tc>
          <w:tcPr>
            <w:tcW w:w="1618" w:type="dxa"/>
          </w:tcPr>
          <w:p w14:paraId="14530784" w14:textId="77777777" w:rsidR="00733CB2" w:rsidRPr="0096740F" w:rsidRDefault="00733CB2">
            <w:pPr>
              <w:pStyle w:val="Default"/>
            </w:pPr>
            <w:r w:rsidRPr="0096740F">
              <w:t xml:space="preserve">$2,000 </w:t>
            </w:r>
          </w:p>
        </w:tc>
        <w:tc>
          <w:tcPr>
            <w:tcW w:w="1618" w:type="dxa"/>
          </w:tcPr>
          <w:p w14:paraId="50540022" w14:textId="77777777" w:rsidR="00733CB2" w:rsidRPr="0096740F" w:rsidRDefault="00733CB2">
            <w:pPr>
              <w:pStyle w:val="Default"/>
            </w:pPr>
            <w:r w:rsidRPr="0096740F">
              <w:rPr>
                <w:b/>
                <w:bCs/>
              </w:rPr>
              <w:t xml:space="preserve">$8,000 </w:t>
            </w:r>
          </w:p>
        </w:tc>
      </w:tr>
      <w:tr w:rsidR="00733CB2" w:rsidRPr="0096740F" w14:paraId="6B644887" w14:textId="77777777" w:rsidTr="003A67E0">
        <w:trPr>
          <w:trHeight w:val="160"/>
        </w:trPr>
        <w:tc>
          <w:tcPr>
            <w:tcW w:w="1618" w:type="dxa"/>
          </w:tcPr>
          <w:p w14:paraId="3384106D" w14:textId="77777777" w:rsidR="00733CB2" w:rsidRPr="0096740F" w:rsidRDefault="00733CB2">
            <w:pPr>
              <w:pStyle w:val="Default"/>
            </w:pPr>
            <w:r w:rsidRPr="0096740F">
              <w:t xml:space="preserve">Public DC Fast Charging </w:t>
            </w:r>
          </w:p>
        </w:tc>
        <w:tc>
          <w:tcPr>
            <w:tcW w:w="1352" w:type="dxa"/>
          </w:tcPr>
          <w:p w14:paraId="6C76FAB7" w14:textId="77777777" w:rsidR="00733CB2" w:rsidRPr="0096740F" w:rsidRDefault="00733CB2">
            <w:pPr>
              <w:pStyle w:val="Default"/>
            </w:pPr>
            <w:r w:rsidRPr="0096740F">
              <w:t xml:space="preserve">$35,000 </w:t>
            </w:r>
          </w:p>
        </w:tc>
        <w:tc>
          <w:tcPr>
            <w:tcW w:w="1620" w:type="dxa"/>
          </w:tcPr>
          <w:p w14:paraId="2B7D2582" w14:textId="77777777" w:rsidR="00733CB2" w:rsidRPr="0096740F" w:rsidRDefault="00733CB2">
            <w:pPr>
              <w:pStyle w:val="Default"/>
            </w:pPr>
            <w:r w:rsidRPr="0096740F">
              <w:t xml:space="preserve">$55,000 </w:t>
            </w:r>
          </w:p>
        </w:tc>
        <w:tc>
          <w:tcPr>
            <w:tcW w:w="1618" w:type="dxa"/>
          </w:tcPr>
          <w:p w14:paraId="7B14BCC5" w14:textId="77777777" w:rsidR="00733CB2" w:rsidRPr="0096740F" w:rsidRDefault="00733CB2">
            <w:pPr>
              <w:pStyle w:val="Default"/>
            </w:pPr>
            <w:r w:rsidRPr="0096740F">
              <w:t xml:space="preserve">$10,000 </w:t>
            </w:r>
          </w:p>
        </w:tc>
        <w:tc>
          <w:tcPr>
            <w:tcW w:w="1618" w:type="dxa"/>
          </w:tcPr>
          <w:p w14:paraId="659ADBE2" w14:textId="77777777" w:rsidR="00733CB2" w:rsidRPr="0096740F" w:rsidRDefault="00733CB2">
            <w:pPr>
              <w:pStyle w:val="Default"/>
            </w:pPr>
            <w:r w:rsidRPr="0096740F">
              <w:t xml:space="preserve">$25,000 </w:t>
            </w:r>
          </w:p>
        </w:tc>
        <w:tc>
          <w:tcPr>
            <w:tcW w:w="1618" w:type="dxa"/>
          </w:tcPr>
          <w:p w14:paraId="00F252EF" w14:textId="77777777" w:rsidR="00733CB2" w:rsidRPr="0096740F" w:rsidRDefault="00733CB2">
            <w:pPr>
              <w:pStyle w:val="Default"/>
            </w:pPr>
            <w:r w:rsidRPr="0096740F">
              <w:rPr>
                <w:b/>
                <w:bCs/>
              </w:rPr>
              <w:t xml:space="preserve">$125,000 </w:t>
            </w:r>
          </w:p>
        </w:tc>
      </w:tr>
      <w:tr w:rsidR="004A5DC1" w:rsidRPr="0096740F" w14:paraId="6F3AA905" w14:textId="77777777" w:rsidTr="003A67E0">
        <w:trPr>
          <w:trHeight w:val="160"/>
        </w:trPr>
        <w:tc>
          <w:tcPr>
            <w:tcW w:w="1618" w:type="dxa"/>
          </w:tcPr>
          <w:p w14:paraId="4B88E2CE" w14:textId="339B1C8B" w:rsidR="004A5DC1" w:rsidRPr="0096740F" w:rsidRDefault="004A5DC1">
            <w:pPr>
              <w:pStyle w:val="Default"/>
            </w:pPr>
            <w:r>
              <w:t>Smartcharger inc. Expense</w:t>
            </w:r>
          </w:p>
        </w:tc>
        <w:tc>
          <w:tcPr>
            <w:tcW w:w="1352" w:type="dxa"/>
          </w:tcPr>
          <w:p w14:paraId="5D71DDEA" w14:textId="44C3E7E4" w:rsidR="004A5DC1" w:rsidRPr="0096740F" w:rsidRDefault="004A5DC1">
            <w:pPr>
              <w:pStyle w:val="Default"/>
            </w:pPr>
            <w:r>
              <w:t>$2,000</w:t>
            </w:r>
          </w:p>
        </w:tc>
        <w:tc>
          <w:tcPr>
            <w:tcW w:w="1620" w:type="dxa"/>
          </w:tcPr>
          <w:p w14:paraId="745B351E" w14:textId="77777777" w:rsidR="004A5DC1" w:rsidRPr="0096740F" w:rsidRDefault="004A5DC1">
            <w:pPr>
              <w:pStyle w:val="Default"/>
            </w:pPr>
          </w:p>
        </w:tc>
        <w:tc>
          <w:tcPr>
            <w:tcW w:w="1618" w:type="dxa"/>
          </w:tcPr>
          <w:p w14:paraId="6A11BB4E" w14:textId="77777777" w:rsidR="004A5DC1" w:rsidRPr="0096740F" w:rsidRDefault="004A5DC1">
            <w:pPr>
              <w:pStyle w:val="Default"/>
            </w:pPr>
          </w:p>
        </w:tc>
        <w:tc>
          <w:tcPr>
            <w:tcW w:w="1618" w:type="dxa"/>
          </w:tcPr>
          <w:p w14:paraId="454B7F78" w14:textId="77777777" w:rsidR="004A5DC1" w:rsidRPr="0096740F" w:rsidRDefault="004A5DC1">
            <w:pPr>
              <w:pStyle w:val="Default"/>
            </w:pPr>
          </w:p>
        </w:tc>
        <w:tc>
          <w:tcPr>
            <w:tcW w:w="1618" w:type="dxa"/>
          </w:tcPr>
          <w:p w14:paraId="7C65FA27" w14:textId="2AA400FA" w:rsidR="004A5DC1" w:rsidRPr="004A5DC1" w:rsidRDefault="004A5DC1">
            <w:pPr>
              <w:pStyle w:val="Default"/>
              <w:rPr>
                <w:b/>
                <w:bCs/>
              </w:rPr>
            </w:pPr>
            <w:r w:rsidRPr="004A5DC1">
              <w:rPr>
                <w:b/>
                <w:bCs/>
              </w:rPr>
              <w:t>$2,000</w:t>
            </w:r>
          </w:p>
        </w:tc>
      </w:tr>
    </w:tbl>
    <w:p w14:paraId="4DEDA1BD" w14:textId="77777777" w:rsidR="00733CB2" w:rsidRPr="0096740F" w:rsidRDefault="00733CB2" w:rsidP="001170DA"/>
    <w:p w14:paraId="109C287F" w14:textId="4F50DC7B" w:rsidR="002030FD" w:rsidRPr="0096740F" w:rsidRDefault="002030FD" w:rsidP="001170DA">
      <w:r w:rsidRPr="0096740F">
        <w:t>Overall expenditures are as follows:</w:t>
      </w:r>
    </w:p>
    <w:p w14:paraId="276CC522" w14:textId="77777777" w:rsidR="002030FD" w:rsidRPr="0096740F" w:rsidRDefault="002030FD" w:rsidP="002030FD"/>
    <w:tbl>
      <w:tblPr>
        <w:tblStyle w:val="TableGridLight"/>
        <w:tblW w:w="0" w:type="auto"/>
        <w:tblLayout w:type="fixed"/>
        <w:tblLook w:val="0000" w:firstRow="0" w:lastRow="0" w:firstColumn="0" w:lastColumn="0" w:noHBand="0" w:noVBand="0"/>
      </w:tblPr>
      <w:tblGrid>
        <w:gridCol w:w="1260"/>
        <w:gridCol w:w="1260"/>
        <w:gridCol w:w="1525"/>
        <w:gridCol w:w="1530"/>
        <w:gridCol w:w="1620"/>
      </w:tblGrid>
      <w:tr w:rsidR="002030FD" w:rsidRPr="0096740F" w14:paraId="5F0F942D" w14:textId="77777777" w:rsidTr="004A5DC1">
        <w:trPr>
          <w:trHeight w:val="159"/>
        </w:trPr>
        <w:tc>
          <w:tcPr>
            <w:tcW w:w="1260" w:type="dxa"/>
          </w:tcPr>
          <w:p w14:paraId="12D37DCD" w14:textId="77777777" w:rsidR="002030FD" w:rsidRPr="0096740F" w:rsidRDefault="002030FD" w:rsidP="001539A1">
            <w:pPr>
              <w:pStyle w:val="Default"/>
              <w:rPr>
                <w:b/>
                <w:bCs/>
              </w:rPr>
            </w:pPr>
          </w:p>
        </w:tc>
        <w:tc>
          <w:tcPr>
            <w:tcW w:w="1260" w:type="dxa"/>
          </w:tcPr>
          <w:p w14:paraId="568DC9C8" w14:textId="77777777" w:rsidR="002030FD" w:rsidRPr="0096740F" w:rsidRDefault="002030FD" w:rsidP="001539A1">
            <w:pPr>
              <w:pStyle w:val="Default"/>
            </w:pPr>
            <w:r w:rsidRPr="0096740F">
              <w:rPr>
                <w:b/>
                <w:bCs/>
              </w:rPr>
              <w:t xml:space="preserve">Year 1 </w:t>
            </w:r>
          </w:p>
        </w:tc>
        <w:tc>
          <w:tcPr>
            <w:tcW w:w="1525" w:type="dxa"/>
          </w:tcPr>
          <w:p w14:paraId="1882F339" w14:textId="77777777" w:rsidR="002030FD" w:rsidRPr="0096740F" w:rsidRDefault="002030FD" w:rsidP="001539A1">
            <w:pPr>
              <w:pStyle w:val="Default"/>
            </w:pPr>
            <w:r w:rsidRPr="0096740F">
              <w:rPr>
                <w:b/>
                <w:bCs/>
              </w:rPr>
              <w:t xml:space="preserve">Year 2 </w:t>
            </w:r>
          </w:p>
        </w:tc>
        <w:tc>
          <w:tcPr>
            <w:tcW w:w="1530" w:type="dxa"/>
          </w:tcPr>
          <w:p w14:paraId="72B984F5" w14:textId="77777777" w:rsidR="002030FD" w:rsidRPr="0096740F" w:rsidRDefault="002030FD" w:rsidP="001539A1">
            <w:pPr>
              <w:pStyle w:val="Default"/>
            </w:pPr>
            <w:r w:rsidRPr="0096740F">
              <w:rPr>
                <w:b/>
                <w:bCs/>
              </w:rPr>
              <w:t xml:space="preserve">Year 3 </w:t>
            </w:r>
          </w:p>
        </w:tc>
        <w:tc>
          <w:tcPr>
            <w:tcW w:w="1620" w:type="dxa"/>
          </w:tcPr>
          <w:p w14:paraId="522E8E22" w14:textId="77777777" w:rsidR="002030FD" w:rsidRPr="0096740F" w:rsidRDefault="002030FD" w:rsidP="001539A1">
            <w:pPr>
              <w:pStyle w:val="Default"/>
            </w:pPr>
            <w:r w:rsidRPr="0096740F">
              <w:rPr>
                <w:b/>
                <w:bCs/>
              </w:rPr>
              <w:t xml:space="preserve">Totals </w:t>
            </w:r>
          </w:p>
        </w:tc>
      </w:tr>
      <w:tr w:rsidR="002030FD" w:rsidRPr="0096740F" w14:paraId="3F01D7B5" w14:textId="77777777" w:rsidTr="004A5DC1">
        <w:trPr>
          <w:trHeight w:val="157"/>
        </w:trPr>
        <w:tc>
          <w:tcPr>
            <w:tcW w:w="1260" w:type="dxa"/>
          </w:tcPr>
          <w:p w14:paraId="73B47CC7" w14:textId="77777777" w:rsidR="002030FD" w:rsidRPr="0096740F" w:rsidRDefault="002030FD" w:rsidP="001539A1">
            <w:pPr>
              <w:pStyle w:val="Default"/>
            </w:pPr>
            <w:r w:rsidRPr="0096740F">
              <w:t xml:space="preserve">Capital </w:t>
            </w:r>
          </w:p>
        </w:tc>
        <w:tc>
          <w:tcPr>
            <w:tcW w:w="1260" w:type="dxa"/>
          </w:tcPr>
          <w:p w14:paraId="6E23D6DA" w14:textId="77777777" w:rsidR="002030FD" w:rsidRPr="0096740F" w:rsidRDefault="002030FD" w:rsidP="001539A1">
            <w:pPr>
              <w:pStyle w:val="Default"/>
            </w:pPr>
            <w:r w:rsidRPr="0096740F">
              <w:t xml:space="preserve">$704,500 </w:t>
            </w:r>
          </w:p>
        </w:tc>
        <w:tc>
          <w:tcPr>
            <w:tcW w:w="1525" w:type="dxa"/>
          </w:tcPr>
          <w:p w14:paraId="6FF64D12" w14:textId="77777777" w:rsidR="002030FD" w:rsidRPr="0096740F" w:rsidRDefault="002030FD" w:rsidP="001539A1">
            <w:pPr>
              <w:pStyle w:val="Default"/>
            </w:pPr>
            <w:r w:rsidRPr="0096740F">
              <w:t xml:space="preserve">$1,610,750 </w:t>
            </w:r>
          </w:p>
        </w:tc>
        <w:tc>
          <w:tcPr>
            <w:tcW w:w="1530" w:type="dxa"/>
          </w:tcPr>
          <w:p w14:paraId="56F7B0B0" w14:textId="77777777" w:rsidR="002030FD" w:rsidRPr="0096740F" w:rsidRDefault="002030FD" w:rsidP="001539A1">
            <w:pPr>
              <w:pStyle w:val="Default"/>
            </w:pPr>
            <w:r w:rsidRPr="0096740F">
              <w:t xml:space="preserve">$0 </w:t>
            </w:r>
          </w:p>
        </w:tc>
        <w:tc>
          <w:tcPr>
            <w:tcW w:w="1620" w:type="dxa"/>
          </w:tcPr>
          <w:p w14:paraId="7742213B" w14:textId="77777777" w:rsidR="002030FD" w:rsidRPr="0096740F" w:rsidRDefault="002030FD" w:rsidP="001539A1">
            <w:pPr>
              <w:pStyle w:val="Default"/>
            </w:pPr>
            <w:r w:rsidRPr="0096740F">
              <w:t xml:space="preserve">$2,315,250 </w:t>
            </w:r>
          </w:p>
        </w:tc>
      </w:tr>
      <w:tr w:rsidR="002030FD" w:rsidRPr="0096740F" w14:paraId="62C7027F" w14:textId="77777777" w:rsidTr="004A5DC1">
        <w:trPr>
          <w:trHeight w:val="157"/>
        </w:trPr>
        <w:tc>
          <w:tcPr>
            <w:tcW w:w="1260" w:type="dxa"/>
          </w:tcPr>
          <w:p w14:paraId="44BD1D96" w14:textId="77777777" w:rsidR="002030FD" w:rsidRPr="0096740F" w:rsidRDefault="002030FD" w:rsidP="001539A1">
            <w:pPr>
              <w:pStyle w:val="Default"/>
            </w:pPr>
            <w:r w:rsidRPr="0096740F">
              <w:t xml:space="preserve">O&amp;M </w:t>
            </w:r>
          </w:p>
        </w:tc>
        <w:tc>
          <w:tcPr>
            <w:tcW w:w="1260" w:type="dxa"/>
          </w:tcPr>
          <w:p w14:paraId="2624CD60" w14:textId="77777777" w:rsidR="002030FD" w:rsidRPr="0096740F" w:rsidRDefault="002030FD" w:rsidP="001539A1">
            <w:pPr>
              <w:pStyle w:val="Default"/>
            </w:pPr>
            <w:r w:rsidRPr="0096740F">
              <w:t xml:space="preserve">$271,135 </w:t>
            </w:r>
          </w:p>
        </w:tc>
        <w:tc>
          <w:tcPr>
            <w:tcW w:w="1525" w:type="dxa"/>
          </w:tcPr>
          <w:p w14:paraId="6CE79318" w14:textId="77777777" w:rsidR="002030FD" w:rsidRPr="0096740F" w:rsidRDefault="002030FD" w:rsidP="001539A1">
            <w:pPr>
              <w:pStyle w:val="Default"/>
            </w:pPr>
            <w:r w:rsidRPr="0096740F">
              <w:t xml:space="preserve">$329,833 </w:t>
            </w:r>
          </w:p>
        </w:tc>
        <w:tc>
          <w:tcPr>
            <w:tcW w:w="1530" w:type="dxa"/>
          </w:tcPr>
          <w:p w14:paraId="0B02FAE8" w14:textId="77777777" w:rsidR="002030FD" w:rsidRPr="0096740F" w:rsidRDefault="002030FD" w:rsidP="001539A1">
            <w:pPr>
              <w:pStyle w:val="Default"/>
            </w:pPr>
            <w:r w:rsidRPr="0096740F">
              <w:t xml:space="preserve">$179,458 </w:t>
            </w:r>
          </w:p>
        </w:tc>
        <w:tc>
          <w:tcPr>
            <w:tcW w:w="1620" w:type="dxa"/>
          </w:tcPr>
          <w:p w14:paraId="0C603B13" w14:textId="77777777" w:rsidR="002030FD" w:rsidRPr="0096740F" w:rsidRDefault="002030FD" w:rsidP="001539A1">
            <w:pPr>
              <w:pStyle w:val="Default"/>
            </w:pPr>
            <w:r w:rsidRPr="0096740F">
              <w:t xml:space="preserve">$780,425 </w:t>
            </w:r>
          </w:p>
        </w:tc>
      </w:tr>
      <w:tr w:rsidR="002030FD" w:rsidRPr="0096740F" w14:paraId="0F98B378" w14:textId="77777777" w:rsidTr="004A5DC1">
        <w:trPr>
          <w:trHeight w:val="159"/>
        </w:trPr>
        <w:tc>
          <w:tcPr>
            <w:tcW w:w="1260" w:type="dxa"/>
          </w:tcPr>
          <w:p w14:paraId="07B79DA1" w14:textId="77777777" w:rsidR="002030FD" w:rsidRPr="0096740F" w:rsidRDefault="002030FD" w:rsidP="001539A1">
            <w:pPr>
              <w:pStyle w:val="Default"/>
            </w:pPr>
            <w:r w:rsidRPr="0096740F">
              <w:rPr>
                <w:b/>
                <w:bCs/>
              </w:rPr>
              <w:t xml:space="preserve">Totals </w:t>
            </w:r>
          </w:p>
        </w:tc>
        <w:tc>
          <w:tcPr>
            <w:tcW w:w="1260" w:type="dxa"/>
          </w:tcPr>
          <w:p w14:paraId="2A26D4A6" w14:textId="77777777" w:rsidR="002030FD" w:rsidRPr="0096740F" w:rsidRDefault="002030FD" w:rsidP="001539A1">
            <w:pPr>
              <w:pStyle w:val="Default"/>
            </w:pPr>
            <w:r w:rsidRPr="0096740F">
              <w:rPr>
                <w:b/>
                <w:bCs/>
              </w:rPr>
              <w:t xml:space="preserve">$975,635 </w:t>
            </w:r>
          </w:p>
        </w:tc>
        <w:tc>
          <w:tcPr>
            <w:tcW w:w="1525" w:type="dxa"/>
          </w:tcPr>
          <w:p w14:paraId="2EB8AFC2" w14:textId="77777777" w:rsidR="002030FD" w:rsidRPr="0096740F" w:rsidRDefault="002030FD" w:rsidP="001539A1">
            <w:pPr>
              <w:pStyle w:val="Default"/>
            </w:pPr>
            <w:r w:rsidRPr="0096740F">
              <w:rPr>
                <w:b/>
                <w:bCs/>
              </w:rPr>
              <w:t xml:space="preserve">$1,940,583 </w:t>
            </w:r>
          </w:p>
        </w:tc>
        <w:tc>
          <w:tcPr>
            <w:tcW w:w="1530" w:type="dxa"/>
          </w:tcPr>
          <w:p w14:paraId="7E3B7BF1" w14:textId="77777777" w:rsidR="002030FD" w:rsidRPr="0096740F" w:rsidRDefault="002030FD" w:rsidP="001539A1">
            <w:pPr>
              <w:pStyle w:val="Default"/>
            </w:pPr>
            <w:r w:rsidRPr="0096740F">
              <w:rPr>
                <w:b/>
                <w:bCs/>
              </w:rPr>
              <w:t xml:space="preserve">$179,458 </w:t>
            </w:r>
          </w:p>
        </w:tc>
        <w:tc>
          <w:tcPr>
            <w:tcW w:w="1620" w:type="dxa"/>
          </w:tcPr>
          <w:p w14:paraId="4B0EBDEB" w14:textId="77777777" w:rsidR="002030FD" w:rsidRPr="0096740F" w:rsidRDefault="002030FD" w:rsidP="001539A1">
            <w:pPr>
              <w:pStyle w:val="Default"/>
            </w:pPr>
            <w:r w:rsidRPr="0096740F">
              <w:rPr>
                <w:b/>
                <w:bCs/>
              </w:rPr>
              <w:t xml:space="preserve">$3,095,675 </w:t>
            </w:r>
          </w:p>
        </w:tc>
      </w:tr>
    </w:tbl>
    <w:p w14:paraId="7029C6ED" w14:textId="77777777" w:rsidR="002030FD" w:rsidRPr="0096740F" w:rsidRDefault="002030FD" w:rsidP="002030FD"/>
    <w:p w14:paraId="0DC1651E" w14:textId="343C705F" w:rsidR="002030FD" w:rsidRPr="0096740F" w:rsidRDefault="00F36789" w:rsidP="002030FD">
      <w:r w:rsidRPr="0096740F">
        <w:t>The expected annual O&amp;M cost beginning at the con</w:t>
      </w:r>
      <w:r w:rsidR="0096740F">
        <w:t xml:space="preserve">clusion of the pilot program is </w:t>
      </w:r>
      <w:r w:rsidRPr="0096740F">
        <w:t>$179,458 per year. The estimated annual revenue requirement after the equipment is installed (2018 and beyond) is $686,194, which equates to an approximate 0.1</w:t>
      </w:r>
      <w:r w:rsidR="00A73F1D">
        <w:t xml:space="preserve"> percent</w:t>
      </w:r>
      <w:r w:rsidRPr="0096740F">
        <w:t xml:space="preserve"> bill impact to customers.</w:t>
      </w:r>
    </w:p>
    <w:p w14:paraId="58E6C051" w14:textId="77777777" w:rsidR="002030FD" w:rsidRDefault="002030FD" w:rsidP="001170DA"/>
    <w:p w14:paraId="065ACA43" w14:textId="07D65533" w:rsidR="00655077" w:rsidRDefault="00655077">
      <w:r>
        <w:br w:type="page"/>
      </w:r>
    </w:p>
    <w:p w14:paraId="448F3F39" w14:textId="77777777" w:rsidR="00691777" w:rsidRDefault="00691777" w:rsidP="001170DA"/>
    <w:p w14:paraId="1C0D8D63" w14:textId="07EFB10D" w:rsidR="00691777" w:rsidRDefault="00655077" w:rsidP="00691777">
      <w:r>
        <w:rPr>
          <w:rFonts w:ascii="ZWAdobeF" w:hAnsi="ZWAdobeF" w:cs="ZWAdobeF"/>
          <w:sz w:val="2"/>
          <w:szCs w:val="2"/>
        </w:rPr>
        <w:t>U</w:t>
      </w:r>
      <w:r w:rsidR="00691777">
        <w:rPr>
          <w:b/>
          <w:u w:val="single"/>
        </w:rPr>
        <w:t>Discussion</w:t>
      </w:r>
    </w:p>
    <w:p w14:paraId="2D6FDEFA" w14:textId="77777777" w:rsidR="0096740F" w:rsidRDefault="0096740F" w:rsidP="00691777"/>
    <w:p w14:paraId="37C9EF18" w14:textId="58E63021" w:rsidR="0096740F" w:rsidRPr="0096740F" w:rsidRDefault="0096740F" w:rsidP="00691777">
      <w:pPr>
        <w:rPr>
          <w:b/>
          <w:i/>
        </w:rPr>
      </w:pPr>
      <w:r>
        <w:rPr>
          <w:b/>
          <w:i/>
        </w:rPr>
        <w:t>Legal framework</w:t>
      </w:r>
    </w:p>
    <w:p w14:paraId="11D1359D" w14:textId="77777777" w:rsidR="0096740F" w:rsidRDefault="0096740F" w:rsidP="00691777"/>
    <w:p w14:paraId="14AC4090" w14:textId="547A56DD" w:rsidR="0096740F" w:rsidRDefault="00691777" w:rsidP="00691777">
      <w:r>
        <w:t xml:space="preserve">Per RCW 80.28.360, a regulated electric utility in the State of Washington may invest in, and may be incentivized for </w:t>
      </w:r>
      <w:r w:rsidRPr="00015416">
        <w:t>investments</w:t>
      </w:r>
      <w:r>
        <w:t xml:space="preserve"> in, electric vehicle supply equipment. T</w:t>
      </w:r>
      <w:r w:rsidR="0096740F">
        <w:t>he</w:t>
      </w:r>
      <w:r>
        <w:t xml:space="preserve"> proposal to invest in level 2 electric vehicle chargers is consistent with the parameters of the law. However, </w:t>
      </w:r>
      <w:r w:rsidR="0096740F">
        <w:t>Avista’s proposal to inc</w:t>
      </w:r>
      <w:r w:rsidR="00244FFE">
        <w:t>lude public DC fast chargers as a component of this program is, for several reasons, inconsistent with RCW 80.28.360.</w:t>
      </w:r>
    </w:p>
    <w:p w14:paraId="5F9E3C40" w14:textId="77777777" w:rsidR="00244FFE" w:rsidRDefault="00244FFE" w:rsidP="00691777"/>
    <w:p w14:paraId="2AD3D89B" w14:textId="4DB713BA" w:rsidR="004B2778" w:rsidRDefault="00244FFE" w:rsidP="00691777">
      <w:r>
        <w:t xml:space="preserve">First and foremost, </w:t>
      </w:r>
      <w:r w:rsidR="004B2778">
        <w:t>one needs to make the distinction between battery charging “</w:t>
      </w:r>
      <w:r w:rsidR="00730187">
        <w:t>facilities</w:t>
      </w:r>
      <w:r w:rsidR="004B2778">
        <w:t xml:space="preserve">” and electric </w:t>
      </w:r>
      <w:r w:rsidR="007A1993">
        <w:t>vehicle charging “equipment,” the first of which is regulated under RCW 80.28.320 and the second under RCW 80.28.360. Avista’s proposal to install DC fast chargers is,</w:t>
      </w:r>
      <w:r w:rsidR="00730187">
        <w:t xml:space="preserve"> in fact, a proposal to create </w:t>
      </w:r>
      <w:r w:rsidR="00482799">
        <w:t xml:space="preserve">public </w:t>
      </w:r>
      <w:r w:rsidR="00730187">
        <w:t>battery charging facilities in the Spokane area. Specifically, Avista states that DC fast charging will be capable of “user payment.”</w:t>
      </w:r>
      <w:r w:rsidR="00655077">
        <w:rPr>
          <w:rFonts w:ascii="ZWAdobeF" w:hAnsi="ZWAdobeF" w:cs="ZWAdobeF"/>
          <w:sz w:val="2"/>
          <w:szCs w:val="2"/>
        </w:rPr>
        <w:t>P4F</w:t>
      </w:r>
      <w:r w:rsidR="00730187">
        <w:rPr>
          <w:rStyle w:val="FootnoteReference"/>
        </w:rPr>
        <w:footnoteReference w:id="5"/>
      </w:r>
      <w:r w:rsidR="00655077">
        <w:rPr>
          <w:rFonts w:ascii="ZWAdobeF" w:hAnsi="ZWAdobeF" w:cs="ZWAdobeF"/>
          <w:sz w:val="2"/>
          <w:szCs w:val="2"/>
        </w:rPr>
        <w:t>P</w:t>
      </w:r>
      <w:r w:rsidR="00482799">
        <w:t xml:space="preserve"> RCW 80.28.320 contains language specific to entities offering “battery charging facilities to the public for hire.” Therefore, a DC fast charging facility that is publicly for hire should be offered unde</w:t>
      </w:r>
      <w:r w:rsidR="002D1E64">
        <w:t>r a separate tariff that includes a</w:t>
      </w:r>
      <w:r w:rsidR="00482799">
        <w:t xml:space="preserve"> tariff rate, subject to </w:t>
      </w:r>
      <w:r w:rsidR="003A67E0">
        <w:t>c</w:t>
      </w:r>
      <w:r w:rsidR="00482799">
        <w:t>ommission approval.</w:t>
      </w:r>
    </w:p>
    <w:p w14:paraId="0BA81E40" w14:textId="77777777" w:rsidR="00482799" w:rsidRDefault="00482799" w:rsidP="00691777"/>
    <w:p w14:paraId="2F3FA8E6" w14:textId="2F2C54A0" w:rsidR="007A1993" w:rsidRDefault="00482799" w:rsidP="00A66758">
      <w:r>
        <w:t>Secon</w:t>
      </w:r>
      <w:r w:rsidR="00E13073">
        <w:t>d</w:t>
      </w:r>
      <w:r>
        <w:t xml:space="preserve">arily, </w:t>
      </w:r>
      <w:r w:rsidR="00A66758">
        <w:t>the language of RCW 80.28.360 indicates that the legislature did not intend for the law to apply to DC fast chargers publicly for hire. Specifically, RCW 80.28.360</w:t>
      </w:r>
      <w:r w:rsidR="00A53565">
        <w:t>(2) relates to “</w:t>
      </w:r>
      <w:r w:rsidR="00A66758" w:rsidRPr="00A66758">
        <w:t>capital investment in electric vehicle supply equipment on a fully</w:t>
      </w:r>
      <w:r w:rsidR="00A53565">
        <w:t xml:space="preserve"> </w:t>
      </w:r>
      <w:r w:rsidR="00A66758" w:rsidRPr="00A66758">
        <w:t xml:space="preserve">regulated basis similar to other capital investments </w:t>
      </w:r>
      <w:r w:rsidR="00655077">
        <w:rPr>
          <w:rFonts w:ascii="ZWAdobeF" w:hAnsi="ZWAdobeF" w:cs="ZWAdobeF"/>
          <w:sz w:val="2"/>
          <w:szCs w:val="2"/>
        </w:rPr>
        <w:t>U</w:t>
      </w:r>
      <w:r w:rsidR="00A66758" w:rsidRPr="00A53565">
        <w:rPr>
          <w:u w:val="single"/>
        </w:rPr>
        <w:t>behind a customer's meter</w:t>
      </w:r>
      <w:r w:rsidR="00655077">
        <w:rPr>
          <w:rFonts w:ascii="ZWAdobeF" w:hAnsi="ZWAdobeF" w:cs="ZWAdobeF"/>
          <w:sz w:val="2"/>
          <w:szCs w:val="2"/>
        </w:rPr>
        <w:t>U</w:t>
      </w:r>
      <w:r w:rsidR="00A66758" w:rsidRPr="00A66758">
        <w:t>.</w:t>
      </w:r>
      <w:r w:rsidR="00A53565">
        <w:t>” [Emphasis Added]. A DC fast charging station is not behind a customer’s meter. Additionally, RCW 80.28.360(3) states that the equipment should be located “where electric vehicles are most likely to be parked for intervals longer than two hours.” DC fast chargers</w:t>
      </w:r>
      <w:r w:rsidR="00555C6E">
        <w:t xml:space="preserve"> will typically fully charge an electric vehicle battery in 15-30 minutes. There is no expectation that electric vehicles would, or should, be parked at DC fast chargers for “longer than two hours.”</w:t>
      </w:r>
    </w:p>
    <w:p w14:paraId="003787E3" w14:textId="77777777" w:rsidR="004B2778" w:rsidRDefault="004B2778" w:rsidP="00691777"/>
    <w:p w14:paraId="1EAFC953" w14:textId="0D0657DF" w:rsidR="00244FFE" w:rsidRDefault="00015416" w:rsidP="00691777">
      <w:r>
        <w:rPr>
          <w:b/>
          <w:i/>
        </w:rPr>
        <w:t xml:space="preserve">Customer Contribution </w:t>
      </w:r>
      <w:r w:rsidR="00716EE4">
        <w:rPr>
          <w:b/>
          <w:i/>
        </w:rPr>
        <w:t>Level for Level 2 Charging Equipment</w:t>
      </w:r>
    </w:p>
    <w:p w14:paraId="5526E598" w14:textId="77777777" w:rsidR="00716EE4" w:rsidRDefault="00716EE4" w:rsidP="00691777"/>
    <w:p w14:paraId="5042DC8C" w14:textId="43B51155" w:rsidR="00716EE4" w:rsidRDefault="00716EE4" w:rsidP="00691777">
      <w:r>
        <w:t>In its filing, Avista proposes to fund level 2 chargers at, or nearly at, 100 percent. The funding includes</w:t>
      </w:r>
      <w:r w:rsidR="00375462">
        <w:t xml:space="preserve"> the equipment, </w:t>
      </w:r>
      <w:r w:rsidR="003F4074">
        <w:t>installation, and premises wiring</w:t>
      </w:r>
      <w:r w:rsidR="00375462">
        <w:t xml:space="preserve">. </w:t>
      </w:r>
    </w:p>
    <w:p w14:paraId="20CDBF2C" w14:textId="77777777" w:rsidR="00375462" w:rsidRDefault="00375462" w:rsidP="00691777"/>
    <w:p w14:paraId="102BCF0F" w14:textId="6FA5AA45" w:rsidR="00375462" w:rsidRPr="00716EE4" w:rsidRDefault="00375462" w:rsidP="00691777">
      <w:r>
        <w:t>In staff’s view, the proposed incentive lev</w:t>
      </w:r>
      <w:r w:rsidR="000D2D56">
        <w:t>el is appropriate. RCW 80.28.360 is specific to utility ownership of electric vehicle supply equipment, and outright ownership is achie</w:t>
      </w:r>
      <w:r w:rsidR="002D1E64">
        <w:t>ved with a 100 percent utility contribution</w:t>
      </w:r>
      <w:r w:rsidR="000D2D56">
        <w:t xml:space="preserve">. </w:t>
      </w:r>
      <w:r w:rsidR="003F4074">
        <w:t xml:space="preserve">As the law does not imply capitalization of installation costs or premises wiring, </w:t>
      </w:r>
      <w:r w:rsidR="00E13073">
        <w:t>cost-sharing with the customer</w:t>
      </w:r>
      <w:r w:rsidR="003F4074">
        <w:t xml:space="preserve"> can be considered. However, for this pilot, Staff believes that it is appropriate to fund all components of the project at 100 percent. </w:t>
      </w:r>
    </w:p>
    <w:p w14:paraId="79CC9141" w14:textId="77777777" w:rsidR="00716EE4" w:rsidRDefault="00716EE4" w:rsidP="00691777"/>
    <w:p w14:paraId="73146796" w14:textId="0DB4AE09" w:rsidR="00677841" w:rsidRDefault="00677841" w:rsidP="00691777">
      <w:r>
        <w:t xml:space="preserve">Staff believes that in order to have a successful pilot that includes participation of a significantly significant sample size requires a strong </w:t>
      </w:r>
      <w:r w:rsidR="002D1E64">
        <w:t xml:space="preserve">financial </w:t>
      </w:r>
      <w:r>
        <w:t xml:space="preserve">incentive. As it is, </w:t>
      </w:r>
      <w:r w:rsidR="00632A2F">
        <w:t>the Spokane area does not have a high penetration of electric vehicles, and Avista is asking</w:t>
      </w:r>
      <w:r w:rsidR="00E13073">
        <w:t xml:space="preserve"> for</w:t>
      </w:r>
      <w:r w:rsidR="00632A2F">
        <w:t xml:space="preserve"> substantial commitment on the part of the customer which is likely to </w:t>
      </w:r>
      <w:r w:rsidR="002D1E64">
        <w:t xml:space="preserve">further </w:t>
      </w:r>
      <w:r w:rsidR="00632A2F">
        <w:t xml:space="preserve">hinder program participation. Specifically, Avista is </w:t>
      </w:r>
      <w:r w:rsidR="002D1E64">
        <w:t xml:space="preserve">contractually </w:t>
      </w:r>
      <w:r w:rsidR="00632A2F">
        <w:t>requiring that participants</w:t>
      </w:r>
      <w:r w:rsidR="00D062B7">
        <w:t xml:space="preserve"> allow data collection, participate in surveys, and participate in demand response programs and experiments. Staff expects that it will be very difficult to </w:t>
      </w:r>
      <w:r w:rsidR="00A21F06">
        <w:t>solicit participation in this pilot program, particularly if the customer is asked for a financial commitment in addition to considerable inconvenience.</w:t>
      </w:r>
    </w:p>
    <w:p w14:paraId="14000D76" w14:textId="77777777" w:rsidR="00677841" w:rsidRDefault="00677841" w:rsidP="00691777"/>
    <w:p w14:paraId="0F544AAB" w14:textId="1713D689" w:rsidR="00691777" w:rsidRPr="008A5F84" w:rsidRDefault="008A5F84" w:rsidP="001170DA">
      <w:pPr>
        <w:rPr>
          <w:b/>
          <w:i/>
        </w:rPr>
      </w:pPr>
      <w:r>
        <w:rPr>
          <w:b/>
          <w:i/>
        </w:rPr>
        <w:t>Prudence and Incentive Rate of Return</w:t>
      </w:r>
    </w:p>
    <w:p w14:paraId="2FC12D5B" w14:textId="77777777" w:rsidR="00691777" w:rsidRDefault="00691777" w:rsidP="001170DA"/>
    <w:p w14:paraId="0694DE33" w14:textId="472592D4" w:rsidR="00CF31D1" w:rsidRDefault="008511CF" w:rsidP="00910E99">
      <w:r>
        <w:t>I</w:t>
      </w:r>
      <w:r w:rsidR="00A21F06">
        <w:t xml:space="preserve">t should be noted that the law specifies the capital expenditures shall not increase costs to ratepayers in excess of one-quarter of one percent. Thus, it will not be known whether this program is fully compliant with state law until ratepayer impact can be evaluated retrospectively. </w:t>
      </w:r>
      <w:r>
        <w:t xml:space="preserve">Therefore, in no way should the company interpret acceptance of this tariff revision as pre-approval for recovery of the investment, let alone qualification for an incentive rate of return on the investment as allowed under RCW 80.28.360. </w:t>
      </w:r>
    </w:p>
    <w:p w14:paraId="3E1C45B8" w14:textId="77777777" w:rsidR="00AE6DC0" w:rsidRDefault="00AE6DC0" w:rsidP="00FD168C"/>
    <w:p w14:paraId="3786E54F" w14:textId="52B75078" w:rsidR="002030FD" w:rsidRPr="00FD168C" w:rsidRDefault="00655077" w:rsidP="002030FD">
      <w:pPr>
        <w:rPr>
          <w:b/>
          <w:u w:val="single"/>
        </w:rPr>
      </w:pPr>
      <w:r>
        <w:rPr>
          <w:rFonts w:ascii="ZWAdobeF" w:hAnsi="ZWAdobeF" w:cs="ZWAdobeF"/>
          <w:sz w:val="2"/>
          <w:szCs w:val="2"/>
        </w:rPr>
        <w:t>U</w:t>
      </w:r>
      <w:r w:rsidR="002030FD">
        <w:rPr>
          <w:b/>
          <w:u w:val="single"/>
        </w:rPr>
        <w:t>Public Comments</w:t>
      </w:r>
    </w:p>
    <w:p w14:paraId="18AB675D" w14:textId="77777777" w:rsidR="00AE6DC0" w:rsidRDefault="00AE6DC0" w:rsidP="00FD168C">
      <w:pPr>
        <w:rPr>
          <w:sz w:val="23"/>
          <w:szCs w:val="23"/>
        </w:rPr>
      </w:pPr>
    </w:p>
    <w:p w14:paraId="6F635D95" w14:textId="77F35F73" w:rsidR="00891724" w:rsidRDefault="00891724" w:rsidP="00891724">
      <w:r>
        <w:t xml:space="preserve">The commission received 14 customer comments; four opposed, nine in favor and one undecided. Consumer Protection staff advised consumers that they may access company documents about this rate case at </w:t>
      </w:r>
      <w:r w:rsidR="00655077">
        <w:rPr>
          <w:rFonts w:ascii="ZWAdobeF" w:hAnsi="ZWAdobeF" w:cs="ZWAdobeF"/>
          <w:sz w:val="2"/>
          <w:szCs w:val="2"/>
        </w:rPr>
        <w:t>32TU</w:t>
      </w:r>
      <w:hyperlink r:id="rId12" w:history="1">
        <w:r w:rsidRPr="0075528D">
          <w:rPr>
            <w:rStyle w:val="Hyperlink"/>
          </w:rPr>
          <w:t>www.utc.wa.gov</w:t>
        </w:r>
      </w:hyperlink>
      <w:r>
        <w:rPr>
          <w:rStyle w:val="Hyperlink"/>
        </w:rPr>
        <w:t>,</w:t>
      </w:r>
      <w:r w:rsidR="00655077">
        <w:rPr>
          <w:rStyle w:val="Hyperlink"/>
          <w:rFonts w:ascii="ZWAdobeF" w:hAnsi="ZWAdobeF" w:cs="ZWAdobeF"/>
          <w:color w:val="auto"/>
          <w:sz w:val="2"/>
          <w:szCs w:val="2"/>
          <w:u w:val="none"/>
        </w:rPr>
        <w:t>U32T</w:t>
      </w:r>
      <w:r>
        <w:t xml:space="preserve"> and that they may contact commission staff at 1-888-333-9882.</w:t>
      </w:r>
    </w:p>
    <w:p w14:paraId="5209FDC9" w14:textId="77777777" w:rsidR="00891724" w:rsidRDefault="00891724" w:rsidP="00891724"/>
    <w:p w14:paraId="141CA535" w14:textId="77777777" w:rsidR="00BA2478" w:rsidRDefault="00891724" w:rsidP="00BA2478">
      <w:pPr>
        <w:rPr>
          <w:b/>
        </w:rPr>
      </w:pPr>
      <w:r>
        <w:rPr>
          <w:b/>
        </w:rPr>
        <w:t>General Comments</w:t>
      </w:r>
    </w:p>
    <w:p w14:paraId="0CA2805E" w14:textId="77777777" w:rsidR="00BA2478" w:rsidRDefault="00BA2478" w:rsidP="00BA2478">
      <w:pPr>
        <w:rPr>
          <w:b/>
        </w:rPr>
      </w:pPr>
    </w:p>
    <w:p w14:paraId="1999E627" w14:textId="374EA686" w:rsidR="00891724" w:rsidRPr="00BA2478" w:rsidRDefault="00891724" w:rsidP="00BA2478">
      <w:pPr>
        <w:rPr>
          <w:b/>
        </w:rPr>
      </w:pPr>
      <w:r w:rsidRPr="00BA2478">
        <w:t xml:space="preserve">Four customers stated an objection for the general rate base to pay for the electric charging stations. One customer stated that she personally paid for an electric charging station in her home and expects other owners to do the same. This same customer also had the following comments/questions: (1) Is it necessary to pay dealers $100 per electric vehicle sold to get information </w:t>
      </w:r>
      <w:r w:rsidR="00E13073">
        <w:t>about</w:t>
      </w:r>
      <w:r w:rsidR="00E13073" w:rsidRPr="00BA2478">
        <w:t xml:space="preserve"> </w:t>
      </w:r>
      <w:r w:rsidRPr="00BA2478">
        <w:t>purchasers? The money would be more wisely used for actual public charging stations. (2) Can workplace level 2 charge</w:t>
      </w:r>
      <w:r w:rsidR="00E13073">
        <w:t>r</w:t>
      </w:r>
      <w:r w:rsidRPr="00BA2478">
        <w:t xml:space="preserve">s be made available to the public? </w:t>
      </w:r>
    </w:p>
    <w:p w14:paraId="51235A42" w14:textId="77777777" w:rsidR="00BA2478" w:rsidRDefault="00BA2478" w:rsidP="00891724">
      <w:pPr>
        <w:rPr>
          <w:b/>
        </w:rPr>
      </w:pPr>
    </w:p>
    <w:p w14:paraId="401F2FD3" w14:textId="77777777" w:rsidR="00891724" w:rsidRPr="00891724" w:rsidRDefault="00891724" w:rsidP="00891724">
      <w:r w:rsidRPr="00891724">
        <w:rPr>
          <w:b/>
        </w:rPr>
        <w:t>Staff Response</w:t>
      </w:r>
    </w:p>
    <w:p w14:paraId="077EA2DD" w14:textId="77777777" w:rsidR="00BA2478" w:rsidRDefault="00BA2478" w:rsidP="00891724"/>
    <w:p w14:paraId="077A7A56" w14:textId="6E0CE468" w:rsidR="00891724" w:rsidRPr="00891724" w:rsidRDefault="00846F26" w:rsidP="00891724">
      <w:r>
        <w:t xml:space="preserve">The electric charging stations are allowed to be purchased by the utility and placed in rate base per RCW 80.28.360. The $100 per vehicle payment to dealers is appropriate to incent </w:t>
      </w:r>
      <w:r w:rsidR="003809D5">
        <w:t>the dealer to collect customer information and provide that information to Avista. Level 2 chargers are “behind the meter,” such that the employer will pay for increased energy usage. It is not reasonable to expect employers to provide electricity for free to the general public</w:t>
      </w:r>
      <w:r w:rsidR="00BC144A">
        <w:t xml:space="preserve">. </w:t>
      </w:r>
      <w:r w:rsidR="00891724" w:rsidRPr="00891724">
        <w:t>The consumers were given a link to the filing and informed of the opportunity to participate at the open meeting on March 10.</w:t>
      </w:r>
    </w:p>
    <w:p w14:paraId="532F9E6F" w14:textId="77777777" w:rsidR="00BC144A" w:rsidRDefault="00BC144A" w:rsidP="00BC144A">
      <w:pPr>
        <w:rPr>
          <w:b/>
        </w:rPr>
      </w:pPr>
    </w:p>
    <w:p w14:paraId="24F1964A" w14:textId="1206699F" w:rsidR="00BC144A" w:rsidRDefault="00BC144A" w:rsidP="00BC144A">
      <w:r>
        <w:rPr>
          <w:b/>
        </w:rPr>
        <w:t>Comments of ChargePoint</w:t>
      </w:r>
    </w:p>
    <w:p w14:paraId="545B6C13" w14:textId="77777777" w:rsidR="00BC144A" w:rsidRDefault="00BC144A" w:rsidP="00BC144A"/>
    <w:p w14:paraId="524DE992" w14:textId="69FA4548" w:rsidR="00BC144A" w:rsidRPr="00BC144A" w:rsidRDefault="00875711" w:rsidP="00BC144A">
      <w:r>
        <w:t xml:space="preserve">Chargepoint requests that the </w:t>
      </w:r>
      <w:r w:rsidR="003A67E0">
        <w:t>c</w:t>
      </w:r>
      <w:r>
        <w:t>ommission suspend this tariff schedule and set it for hear</w:t>
      </w:r>
      <w:r w:rsidR="00D176B7">
        <w:t>ing, the general thrust of the arg</w:t>
      </w:r>
      <w:r w:rsidR="00F839A7">
        <w:t>u</w:t>
      </w:r>
      <w:r w:rsidR="00D176B7">
        <w:t xml:space="preserve">ment being that policy regarding RCW 80.28.260 </w:t>
      </w:r>
      <w:r w:rsidR="00C03C36">
        <w:t xml:space="preserve">should </w:t>
      </w:r>
      <w:r w:rsidR="00D176B7">
        <w:t xml:space="preserve">be discussed more formally and with greater participation than what is afforded in company-specific tariff filings. Chargepoint more specifically encourages the </w:t>
      </w:r>
      <w:r w:rsidR="003A67E0">
        <w:t>c</w:t>
      </w:r>
      <w:r w:rsidR="00D176B7">
        <w:t xml:space="preserve">ommission to </w:t>
      </w:r>
      <w:r w:rsidR="00834484">
        <w:t>consider models that do not involve utility ownership of</w:t>
      </w:r>
      <w:r w:rsidR="00C03C36">
        <w:t xml:space="preserve"> the equipment and that promote</w:t>
      </w:r>
      <w:r w:rsidR="00834484">
        <w:t xml:space="preserve"> competition. </w:t>
      </w:r>
    </w:p>
    <w:p w14:paraId="631F517F" w14:textId="77777777" w:rsidR="00BC144A" w:rsidRDefault="00BC144A" w:rsidP="00BC144A">
      <w:pPr>
        <w:rPr>
          <w:b/>
        </w:rPr>
      </w:pPr>
    </w:p>
    <w:p w14:paraId="09874EDE" w14:textId="77777777" w:rsidR="00834484" w:rsidRPr="00891724" w:rsidRDefault="00834484" w:rsidP="00834484">
      <w:r w:rsidRPr="00891724">
        <w:rPr>
          <w:b/>
        </w:rPr>
        <w:t>Staff Response</w:t>
      </w:r>
    </w:p>
    <w:p w14:paraId="26E952B2" w14:textId="77777777" w:rsidR="00834484" w:rsidRDefault="00834484" w:rsidP="00834484"/>
    <w:p w14:paraId="43867351" w14:textId="6C38579D" w:rsidR="00BC144A" w:rsidRDefault="00834484" w:rsidP="00834484">
      <w:r>
        <w:t>RCW 80.28.260 is very clear in that it allows for utility ownership of charging equipment. Although other models may be considered, utilities</w:t>
      </w:r>
      <w:r w:rsidR="00557896">
        <w:t xml:space="preserve"> are not precluded from purs</w:t>
      </w:r>
      <w:r w:rsidR="00F839A7">
        <w:t>u</w:t>
      </w:r>
      <w:r w:rsidR="00557896">
        <w:t xml:space="preserve">ing, and the commission is not precluded from allowing, a utility ownership model. In regards to competition, Avista has issued an RFP to which Chargepoint can respond with a competitive bid. The scale of this pilot (265 level 2 chargers) should not be expected to seriously impact the electric vehicle charger market. However, if Avista </w:t>
      </w:r>
      <w:r w:rsidR="00424D64">
        <w:t>moves beyond the pilot stage and into a full-scale roll-out</w:t>
      </w:r>
      <w:r w:rsidR="00C03C36">
        <w:t xml:space="preserve"> with a possibility of disruption of fair market competition</w:t>
      </w:r>
      <w:r w:rsidR="00424D64">
        <w:t xml:space="preserve">, the </w:t>
      </w:r>
      <w:r w:rsidR="003A67E0">
        <w:t>c</w:t>
      </w:r>
      <w:r w:rsidR="00424D64">
        <w:t>ommission should consider alternative</w:t>
      </w:r>
      <w:r w:rsidR="00C03C36">
        <w:t xml:space="preserve"> procurement options</w:t>
      </w:r>
      <w:r w:rsidR="00424D64">
        <w:t xml:space="preserve">. </w:t>
      </w:r>
    </w:p>
    <w:p w14:paraId="0FB54A42" w14:textId="77777777" w:rsidR="00424D64" w:rsidRDefault="00424D64" w:rsidP="00834484"/>
    <w:p w14:paraId="2EB93432" w14:textId="4705BF44" w:rsidR="00424D64" w:rsidRDefault="00424D64" w:rsidP="00834484">
      <w:pPr>
        <w:rPr>
          <w:b/>
        </w:rPr>
      </w:pPr>
      <w:r>
        <w:t>Staff firmly believes that policy should not be made blindly. The collection of data and information through pilot programs is essential to the development of informed policy. Therefore, Staff believes i</w:t>
      </w:r>
      <w:r w:rsidR="00FB3548">
        <w:t xml:space="preserve">t would be counterproductive to hold back pilot programs at this time. </w:t>
      </w:r>
    </w:p>
    <w:p w14:paraId="1802BFC6" w14:textId="77777777" w:rsidR="00BC144A" w:rsidRDefault="00BC144A" w:rsidP="00BC144A">
      <w:pPr>
        <w:rPr>
          <w:b/>
        </w:rPr>
      </w:pPr>
    </w:p>
    <w:p w14:paraId="70269E17" w14:textId="4EA1A61A" w:rsidR="00D60E7F" w:rsidRPr="00FD168C" w:rsidRDefault="00655077" w:rsidP="00FD168C">
      <w:pPr>
        <w:rPr>
          <w:b/>
          <w:u w:val="single"/>
        </w:rPr>
      </w:pPr>
      <w:r>
        <w:rPr>
          <w:rFonts w:ascii="ZWAdobeF" w:hAnsi="ZWAdobeF" w:cs="ZWAdobeF"/>
          <w:sz w:val="2"/>
          <w:szCs w:val="2"/>
        </w:rPr>
        <w:t>U</w:t>
      </w:r>
      <w:r w:rsidR="0028215A" w:rsidRPr="00FD168C">
        <w:rPr>
          <w:b/>
          <w:u w:val="single"/>
        </w:rPr>
        <w:t>Conclusion</w:t>
      </w:r>
    </w:p>
    <w:p w14:paraId="0E813D27" w14:textId="77777777" w:rsidR="00FD168C" w:rsidRPr="00FD168C" w:rsidRDefault="00FD168C" w:rsidP="00FD168C"/>
    <w:p w14:paraId="0BCA51C7" w14:textId="73451AEB" w:rsidR="00DE6837" w:rsidRDefault="00DE6837" w:rsidP="00DE6837">
      <w:r>
        <w:t>The portion of Avista’s</w:t>
      </w:r>
      <w:r w:rsidR="009B6A7E">
        <w:t xml:space="preserve"> </w:t>
      </w:r>
      <w:r w:rsidR="00FB3548">
        <w:t>tariff revisi</w:t>
      </w:r>
      <w:r w:rsidR="00997691">
        <w:t>o</w:t>
      </w:r>
      <w:r>
        <w:t>n regarding DC fast chargers is</w:t>
      </w:r>
      <w:r w:rsidR="00FB3548">
        <w:t xml:space="preserve"> inconsistent with RCW 80.28.360 and</w:t>
      </w:r>
      <w:r>
        <w:t xml:space="preserve"> should be removed from Schedule 77 altogether. </w:t>
      </w:r>
      <w:r w:rsidR="00997691">
        <w:t>T</w:t>
      </w:r>
      <w:r w:rsidR="00FB3548">
        <w:t>he remainder of the proposal, specifically in regards to level 2 chargers, is</w:t>
      </w:r>
      <w:r w:rsidR="00853AE4">
        <w:t xml:space="preserve"> consistent with RCW 80.28.360. </w:t>
      </w:r>
      <w:r w:rsidR="003934F5">
        <w:t>Staff believes a pilot is necessary, and the pilot described in the company’s filing</w:t>
      </w:r>
      <w:r w:rsidR="00496E85">
        <w:t xml:space="preserve"> represents a reasonable attempt by Avista to assess the costs an</w:t>
      </w:r>
      <w:r w:rsidR="00853AE4">
        <w:t xml:space="preserve">d benefits of electric vehicles and electric vehicle smart chargers </w:t>
      </w:r>
      <w:r w:rsidR="00496E85">
        <w:t xml:space="preserve">to Avista and </w:t>
      </w:r>
      <w:r w:rsidR="003934F5">
        <w:t>its ratepayers while</w:t>
      </w:r>
      <w:r w:rsidR="00496E85">
        <w:t xml:space="preserve"> keep</w:t>
      </w:r>
      <w:r w:rsidR="003934F5">
        <w:t>ing</w:t>
      </w:r>
      <w:r w:rsidR="00496E85">
        <w:t xml:space="preserve"> </w:t>
      </w:r>
      <w:r w:rsidR="003934F5">
        <w:t xml:space="preserve">pilot costs </w:t>
      </w:r>
      <w:r w:rsidR="00853AE4">
        <w:t xml:space="preserve">reasonably </w:t>
      </w:r>
      <w:r w:rsidR="003934F5">
        <w:t xml:space="preserve">low. </w:t>
      </w:r>
      <w:r>
        <w:t>However, Staff cannot recommend approval until the language regarding DC fast chargers is removed</w:t>
      </w:r>
      <w:r w:rsidR="00DD2BF4">
        <w:t xml:space="preserve"> from the tariff</w:t>
      </w:r>
      <w:r>
        <w:t xml:space="preserve">. Therefore, Staff recommends that the commission suspend tariff Schedule 77 and set the matter for hearing. </w:t>
      </w:r>
    </w:p>
    <w:p w14:paraId="04B5F341" w14:textId="77777777" w:rsidR="00997691" w:rsidRDefault="00997691" w:rsidP="00F36789"/>
    <w:p w14:paraId="1BE6D487" w14:textId="77777777" w:rsidR="00997691" w:rsidRDefault="00997691" w:rsidP="00F36789"/>
    <w:p w14:paraId="5351F7CD" w14:textId="4D89D67A" w:rsidR="003934F5" w:rsidRDefault="003934F5" w:rsidP="004B4ED5"/>
    <w:p w14:paraId="2877316F" w14:textId="77777777" w:rsidR="003934F5" w:rsidRDefault="003934F5" w:rsidP="004B4ED5"/>
    <w:p w14:paraId="70269E1A" w14:textId="130506BD" w:rsidR="00C75312" w:rsidRPr="002030FD" w:rsidRDefault="002030FD" w:rsidP="004B4ED5">
      <w:r>
        <w:t xml:space="preserve"> </w:t>
      </w:r>
    </w:p>
    <w:sectPr w:rsidR="00C75312" w:rsidRPr="002030FD" w:rsidSect="00BA4E08">
      <w:head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2D9FD" w14:textId="77777777" w:rsidR="00133D05" w:rsidRDefault="00133D05" w:rsidP="00FF75F4">
      <w:r>
        <w:separator/>
      </w:r>
    </w:p>
  </w:endnote>
  <w:endnote w:type="continuationSeparator" w:id="0">
    <w:p w14:paraId="0149BCA2" w14:textId="77777777" w:rsidR="00133D05" w:rsidRDefault="00133D05"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867D5" w14:textId="77777777" w:rsidR="00133D05" w:rsidRDefault="00133D05" w:rsidP="00FF75F4">
      <w:r>
        <w:separator/>
      </w:r>
    </w:p>
  </w:footnote>
  <w:footnote w:type="continuationSeparator" w:id="0">
    <w:p w14:paraId="3208F091" w14:textId="77777777" w:rsidR="00133D05" w:rsidRDefault="00133D05" w:rsidP="00FF75F4">
      <w:r>
        <w:continuationSeparator/>
      </w:r>
    </w:p>
  </w:footnote>
  <w:footnote w:id="1">
    <w:p w14:paraId="7013397E" w14:textId="2741AEBA" w:rsidR="007E3EB9" w:rsidRDefault="007E3EB9">
      <w:pPr>
        <w:pStyle w:val="FootnoteText"/>
      </w:pPr>
      <w:r>
        <w:rPr>
          <w:rStyle w:val="FootnoteReference"/>
        </w:rPr>
        <w:footnoteRef/>
      </w:r>
      <w:r>
        <w:t xml:space="preserve"> Washington Laws 2015, c 220 § 2.</w:t>
      </w:r>
    </w:p>
  </w:footnote>
  <w:footnote w:id="2">
    <w:p w14:paraId="59685C8D" w14:textId="4D80A2EA" w:rsidR="00720F16" w:rsidRDefault="00720F16">
      <w:pPr>
        <w:pStyle w:val="FootnoteText"/>
      </w:pPr>
      <w:r>
        <w:rPr>
          <w:rStyle w:val="FootnoteReference"/>
        </w:rPr>
        <w:footnoteRef/>
      </w:r>
      <w:r>
        <w:t xml:space="preserve"> </w:t>
      </w:r>
      <w:r w:rsidR="00F856C1">
        <w:t xml:space="preserve">AC </w:t>
      </w:r>
      <w:r>
        <w:t xml:space="preserve">“Level 2” </w:t>
      </w:r>
      <w:r w:rsidR="00B76654">
        <w:t>chargers operate at approximately 220 volts</w:t>
      </w:r>
      <w:r w:rsidR="00371B43">
        <w:t xml:space="preserve"> </w:t>
      </w:r>
      <w:r w:rsidR="008815D8">
        <w:t xml:space="preserve">AC </w:t>
      </w:r>
      <w:r w:rsidR="00371B43">
        <w:t>and typically result</w:t>
      </w:r>
      <w:r w:rsidR="00745E7D">
        <w:t xml:space="preserve"> in 11 to 22</w:t>
      </w:r>
      <w:r w:rsidR="00371B43">
        <w:t xml:space="preserve"> miles of driving range gained per hour of charging</w:t>
      </w:r>
      <w:r w:rsidR="00B76654">
        <w:t>. AC “Level 1” chargers, on the other hand, operate at approximately 110 volts</w:t>
      </w:r>
      <w:r w:rsidR="008815D8">
        <w:t xml:space="preserve"> AC</w:t>
      </w:r>
      <w:r w:rsidR="00371B43">
        <w:t xml:space="preserve"> and typically result in 3 to 5 miles of driving range gained per hour of charging. </w:t>
      </w:r>
    </w:p>
  </w:footnote>
  <w:footnote w:id="3">
    <w:p w14:paraId="349E5322" w14:textId="42280EA8" w:rsidR="00E84EF2" w:rsidRDefault="00E84EF2">
      <w:pPr>
        <w:pStyle w:val="FootnoteText"/>
      </w:pPr>
      <w:r>
        <w:rPr>
          <w:rStyle w:val="FootnoteReference"/>
        </w:rPr>
        <w:footnoteRef/>
      </w:r>
      <w:r>
        <w:t xml:space="preserve"> “DC Fast Chargers” provide electricity at high voltage (usually delivering power at 50 kW or more) and typically result in total charging time as low as 15 minutes.</w:t>
      </w:r>
    </w:p>
  </w:footnote>
  <w:footnote w:id="4">
    <w:p w14:paraId="77ACB07D" w14:textId="593CD4C9" w:rsidR="00A73F1D" w:rsidRDefault="00A73F1D">
      <w:pPr>
        <w:pStyle w:val="FootnoteText"/>
      </w:pPr>
      <w:r>
        <w:rPr>
          <w:rStyle w:val="FootnoteReference"/>
        </w:rPr>
        <w:footnoteRef/>
      </w:r>
      <w:r>
        <w:t xml:space="preserve"> DC refers to direct current, AC refers to alternating current.</w:t>
      </w:r>
    </w:p>
  </w:footnote>
  <w:footnote w:id="5">
    <w:p w14:paraId="3A125866" w14:textId="27D7A969" w:rsidR="00730187" w:rsidRDefault="00730187">
      <w:pPr>
        <w:pStyle w:val="FootnoteText"/>
      </w:pPr>
      <w:r>
        <w:rPr>
          <w:rStyle w:val="FootnoteReference"/>
        </w:rPr>
        <w:footnoteRef/>
      </w:r>
      <w:r>
        <w:t xml:space="preserve"> </w:t>
      </w:r>
      <w:r w:rsidR="00C87874">
        <w:t xml:space="preserve">Avista’s </w:t>
      </w:r>
      <w:r w:rsidR="00C87874" w:rsidRPr="00C87874">
        <w:t>c</w:t>
      </w:r>
      <w:r w:rsidR="00482799" w:rsidRPr="00C87874">
        <w:t>over letter</w:t>
      </w:r>
      <w:r w:rsidR="00C87874" w:rsidRPr="00C87874">
        <w:t xml:space="preserve"> to the tariff revision in question, Docket UE-160082,</w:t>
      </w:r>
      <w:r w:rsidR="00482799" w:rsidRPr="00C87874">
        <w:t xml:space="preserve"> </w:t>
      </w:r>
      <w:r w:rsidR="003A67E0">
        <w:t>P</w:t>
      </w:r>
      <w:r w:rsidR="00482799" w:rsidRPr="00C87874">
        <w:t>age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9E1F" w14:textId="0682E706" w:rsidR="004E1264" w:rsidRPr="00777586" w:rsidRDefault="004E1264" w:rsidP="002C648F">
    <w:pPr>
      <w:pStyle w:val="Header"/>
      <w:rPr>
        <w:sz w:val="20"/>
        <w:szCs w:val="20"/>
      </w:rPr>
    </w:pPr>
    <w:r w:rsidRPr="00777586">
      <w:rPr>
        <w:sz w:val="20"/>
        <w:szCs w:val="20"/>
      </w:rPr>
      <w:t>D</w:t>
    </w:r>
    <w:r>
      <w:rPr>
        <w:sz w:val="20"/>
        <w:szCs w:val="20"/>
      </w:rPr>
      <w:t xml:space="preserve">OCKET </w:t>
    </w:r>
    <w:r w:rsidRPr="00F22F14">
      <w:rPr>
        <w:sz w:val="20"/>
        <w:szCs w:val="20"/>
      </w:rPr>
      <w:t>UE-</w:t>
    </w:r>
    <w:r w:rsidR="00475AF8">
      <w:rPr>
        <w:sz w:val="20"/>
        <w:szCs w:val="20"/>
      </w:rPr>
      <w:t>160082</w:t>
    </w:r>
  </w:p>
  <w:p w14:paraId="70269E20" w14:textId="65D028A2" w:rsidR="004E1264" w:rsidRPr="00777586" w:rsidRDefault="00475AF8" w:rsidP="002C648F">
    <w:pPr>
      <w:pStyle w:val="Header"/>
      <w:rPr>
        <w:sz w:val="20"/>
        <w:szCs w:val="20"/>
      </w:rPr>
    </w:pPr>
    <w:r>
      <w:rPr>
        <w:sz w:val="20"/>
        <w:szCs w:val="20"/>
      </w:rPr>
      <w:t>March 10</w:t>
    </w:r>
    <w:r w:rsidR="002F35D5">
      <w:rPr>
        <w:sz w:val="20"/>
        <w:szCs w:val="20"/>
      </w:rPr>
      <w:t>, 2016</w:t>
    </w:r>
  </w:p>
  <w:p w14:paraId="70269E21" w14:textId="77777777" w:rsidR="004E1264" w:rsidRPr="00777586" w:rsidRDefault="004E1264"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8C0A9D">
      <w:rPr>
        <w:rStyle w:val="PageNumber"/>
        <w:noProof/>
        <w:sz w:val="20"/>
        <w:szCs w:val="20"/>
      </w:rPr>
      <w:t>2</w:t>
    </w:r>
    <w:r w:rsidRPr="00777586">
      <w:rPr>
        <w:rStyle w:val="PageNumber"/>
        <w:sz w:val="20"/>
        <w:szCs w:val="20"/>
      </w:rPr>
      <w:fldChar w:fldCharType="end"/>
    </w:r>
  </w:p>
  <w:p w14:paraId="70269E22" w14:textId="77777777" w:rsidR="004E1264" w:rsidRPr="00E05888" w:rsidRDefault="004E1264"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CB00F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7D693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3C636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FEA6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C698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26DE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F6A53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A08F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B63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B2E0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F51E1"/>
    <w:multiLevelType w:val="hybridMultilevel"/>
    <w:tmpl w:val="5E683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124F1C"/>
    <w:multiLevelType w:val="hybridMultilevel"/>
    <w:tmpl w:val="16426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62836"/>
    <w:multiLevelType w:val="hybridMultilevel"/>
    <w:tmpl w:val="0842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15"/>
  </w:num>
  <w:num w:numId="2">
    <w:abstractNumId w:val="12"/>
  </w:num>
  <w:num w:numId="3">
    <w:abstractNumId w:val="11"/>
  </w:num>
  <w:num w:numId="4">
    <w:abstractNumId w:val="13"/>
  </w:num>
  <w:num w:numId="5">
    <w:abstractNumId w:val="17"/>
  </w:num>
  <w:num w:numId="6">
    <w:abstractNumId w:val="18"/>
  </w:num>
  <w:num w:numId="7">
    <w:abstractNumId w:val="10"/>
  </w:num>
  <w:num w:numId="8">
    <w:abstractNumId w:val="16"/>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179"/>
    <w:rsid w:val="0000078C"/>
    <w:rsid w:val="00000FCF"/>
    <w:rsid w:val="00001805"/>
    <w:rsid w:val="000031D1"/>
    <w:rsid w:val="0000603F"/>
    <w:rsid w:val="000126E3"/>
    <w:rsid w:val="00013D9C"/>
    <w:rsid w:val="00013E26"/>
    <w:rsid w:val="00015416"/>
    <w:rsid w:val="00024AD3"/>
    <w:rsid w:val="00025FA6"/>
    <w:rsid w:val="00030742"/>
    <w:rsid w:val="000348BE"/>
    <w:rsid w:val="000375C5"/>
    <w:rsid w:val="000404DB"/>
    <w:rsid w:val="00040CE3"/>
    <w:rsid w:val="00041921"/>
    <w:rsid w:val="00042271"/>
    <w:rsid w:val="000427DB"/>
    <w:rsid w:val="00043283"/>
    <w:rsid w:val="00046219"/>
    <w:rsid w:val="00047427"/>
    <w:rsid w:val="00052D53"/>
    <w:rsid w:val="00054659"/>
    <w:rsid w:val="00057091"/>
    <w:rsid w:val="00057A1C"/>
    <w:rsid w:val="0007323E"/>
    <w:rsid w:val="00073D8F"/>
    <w:rsid w:val="00074DEC"/>
    <w:rsid w:val="00080691"/>
    <w:rsid w:val="00082655"/>
    <w:rsid w:val="00084ACF"/>
    <w:rsid w:val="00086F2E"/>
    <w:rsid w:val="000878D6"/>
    <w:rsid w:val="00091AC2"/>
    <w:rsid w:val="00092852"/>
    <w:rsid w:val="00092AC6"/>
    <w:rsid w:val="00092D76"/>
    <w:rsid w:val="00092E6A"/>
    <w:rsid w:val="00093F47"/>
    <w:rsid w:val="0009761D"/>
    <w:rsid w:val="000977E9"/>
    <w:rsid w:val="000A1774"/>
    <w:rsid w:val="000A302B"/>
    <w:rsid w:val="000A36EF"/>
    <w:rsid w:val="000A4CAF"/>
    <w:rsid w:val="000A4EDF"/>
    <w:rsid w:val="000A6695"/>
    <w:rsid w:val="000A7F7C"/>
    <w:rsid w:val="000B230F"/>
    <w:rsid w:val="000B4E69"/>
    <w:rsid w:val="000B6FA5"/>
    <w:rsid w:val="000C51A7"/>
    <w:rsid w:val="000C561A"/>
    <w:rsid w:val="000C641A"/>
    <w:rsid w:val="000C6F30"/>
    <w:rsid w:val="000D120B"/>
    <w:rsid w:val="000D2AAE"/>
    <w:rsid w:val="000D2D56"/>
    <w:rsid w:val="000D335F"/>
    <w:rsid w:val="000E2272"/>
    <w:rsid w:val="000E2D0C"/>
    <w:rsid w:val="000E50B9"/>
    <w:rsid w:val="000E5A4A"/>
    <w:rsid w:val="000E66CA"/>
    <w:rsid w:val="000F018D"/>
    <w:rsid w:val="000F05C4"/>
    <w:rsid w:val="000F07CE"/>
    <w:rsid w:val="000F41CD"/>
    <w:rsid w:val="000F4CBA"/>
    <w:rsid w:val="00100426"/>
    <w:rsid w:val="00100726"/>
    <w:rsid w:val="0010117B"/>
    <w:rsid w:val="00101A97"/>
    <w:rsid w:val="00104E99"/>
    <w:rsid w:val="00106E5E"/>
    <w:rsid w:val="0011135E"/>
    <w:rsid w:val="0011390B"/>
    <w:rsid w:val="001142E4"/>
    <w:rsid w:val="00115F20"/>
    <w:rsid w:val="001162AB"/>
    <w:rsid w:val="001170DA"/>
    <w:rsid w:val="00123CC4"/>
    <w:rsid w:val="00124A6F"/>
    <w:rsid w:val="001261D0"/>
    <w:rsid w:val="001302B0"/>
    <w:rsid w:val="0013087A"/>
    <w:rsid w:val="00133D05"/>
    <w:rsid w:val="001363A7"/>
    <w:rsid w:val="00144549"/>
    <w:rsid w:val="0014649F"/>
    <w:rsid w:val="00146617"/>
    <w:rsid w:val="00147639"/>
    <w:rsid w:val="00152793"/>
    <w:rsid w:val="00160506"/>
    <w:rsid w:val="001621A5"/>
    <w:rsid w:val="00162E85"/>
    <w:rsid w:val="00163505"/>
    <w:rsid w:val="00170495"/>
    <w:rsid w:val="001706F2"/>
    <w:rsid w:val="00170726"/>
    <w:rsid w:val="00170970"/>
    <w:rsid w:val="0017204A"/>
    <w:rsid w:val="00177433"/>
    <w:rsid w:val="00180D93"/>
    <w:rsid w:val="00183689"/>
    <w:rsid w:val="00186DE5"/>
    <w:rsid w:val="00190345"/>
    <w:rsid w:val="001916C0"/>
    <w:rsid w:val="001919F0"/>
    <w:rsid w:val="001923BA"/>
    <w:rsid w:val="00192AD1"/>
    <w:rsid w:val="00194217"/>
    <w:rsid w:val="00194C72"/>
    <w:rsid w:val="001A201E"/>
    <w:rsid w:val="001B1C32"/>
    <w:rsid w:val="001B4AC2"/>
    <w:rsid w:val="001B675A"/>
    <w:rsid w:val="001B6C26"/>
    <w:rsid w:val="001C41E2"/>
    <w:rsid w:val="001C424C"/>
    <w:rsid w:val="001C535A"/>
    <w:rsid w:val="001C5930"/>
    <w:rsid w:val="001C78C3"/>
    <w:rsid w:val="001D0D50"/>
    <w:rsid w:val="001E3ACD"/>
    <w:rsid w:val="001E47C3"/>
    <w:rsid w:val="001E6A4F"/>
    <w:rsid w:val="001F0400"/>
    <w:rsid w:val="001F4BAA"/>
    <w:rsid w:val="001F5226"/>
    <w:rsid w:val="001F668E"/>
    <w:rsid w:val="002030FD"/>
    <w:rsid w:val="00203D57"/>
    <w:rsid w:val="00204A52"/>
    <w:rsid w:val="0020633C"/>
    <w:rsid w:val="0020635F"/>
    <w:rsid w:val="00220A9A"/>
    <w:rsid w:val="002215D4"/>
    <w:rsid w:val="002245E8"/>
    <w:rsid w:val="00225BAA"/>
    <w:rsid w:val="0022715D"/>
    <w:rsid w:val="00227F90"/>
    <w:rsid w:val="00233031"/>
    <w:rsid w:val="002348AC"/>
    <w:rsid w:val="00236427"/>
    <w:rsid w:val="00240D31"/>
    <w:rsid w:val="00241B8C"/>
    <w:rsid w:val="00241FF3"/>
    <w:rsid w:val="00242044"/>
    <w:rsid w:val="00244FFE"/>
    <w:rsid w:val="00246541"/>
    <w:rsid w:val="00252D7E"/>
    <w:rsid w:val="00257081"/>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1A06"/>
    <w:rsid w:val="0028215A"/>
    <w:rsid w:val="00283FDD"/>
    <w:rsid w:val="002842CB"/>
    <w:rsid w:val="00284E91"/>
    <w:rsid w:val="00291C96"/>
    <w:rsid w:val="00296D1E"/>
    <w:rsid w:val="002970C4"/>
    <w:rsid w:val="002A17DE"/>
    <w:rsid w:val="002A36C0"/>
    <w:rsid w:val="002A3F3D"/>
    <w:rsid w:val="002A67A9"/>
    <w:rsid w:val="002A7D14"/>
    <w:rsid w:val="002B2EE9"/>
    <w:rsid w:val="002B6C2B"/>
    <w:rsid w:val="002B6F22"/>
    <w:rsid w:val="002C0730"/>
    <w:rsid w:val="002C179B"/>
    <w:rsid w:val="002C1C8E"/>
    <w:rsid w:val="002C3770"/>
    <w:rsid w:val="002C40C5"/>
    <w:rsid w:val="002C5999"/>
    <w:rsid w:val="002C647E"/>
    <w:rsid w:val="002C648F"/>
    <w:rsid w:val="002C74B0"/>
    <w:rsid w:val="002D1E64"/>
    <w:rsid w:val="002D29FC"/>
    <w:rsid w:val="002D3A0F"/>
    <w:rsid w:val="002D7FAC"/>
    <w:rsid w:val="002E69E9"/>
    <w:rsid w:val="002E7662"/>
    <w:rsid w:val="002E7CC5"/>
    <w:rsid w:val="002F156B"/>
    <w:rsid w:val="002F303C"/>
    <w:rsid w:val="002F35D5"/>
    <w:rsid w:val="002F5A33"/>
    <w:rsid w:val="002F7D05"/>
    <w:rsid w:val="002F7FCC"/>
    <w:rsid w:val="003003E5"/>
    <w:rsid w:val="00303F60"/>
    <w:rsid w:val="00304156"/>
    <w:rsid w:val="00304D53"/>
    <w:rsid w:val="00305252"/>
    <w:rsid w:val="003109C9"/>
    <w:rsid w:val="003139AE"/>
    <w:rsid w:val="003201FF"/>
    <w:rsid w:val="00322A9D"/>
    <w:rsid w:val="00322C08"/>
    <w:rsid w:val="0032544B"/>
    <w:rsid w:val="003326BC"/>
    <w:rsid w:val="003329DB"/>
    <w:rsid w:val="00332D84"/>
    <w:rsid w:val="0033757E"/>
    <w:rsid w:val="003400FD"/>
    <w:rsid w:val="00340117"/>
    <w:rsid w:val="003404BE"/>
    <w:rsid w:val="00341972"/>
    <w:rsid w:val="00343083"/>
    <w:rsid w:val="003432D1"/>
    <w:rsid w:val="00343B9D"/>
    <w:rsid w:val="00351AC2"/>
    <w:rsid w:val="003558DA"/>
    <w:rsid w:val="003607EF"/>
    <w:rsid w:val="003614F9"/>
    <w:rsid w:val="00362080"/>
    <w:rsid w:val="00362E09"/>
    <w:rsid w:val="00364EF9"/>
    <w:rsid w:val="00367F1C"/>
    <w:rsid w:val="003702DA"/>
    <w:rsid w:val="0037080B"/>
    <w:rsid w:val="00371B43"/>
    <w:rsid w:val="00372101"/>
    <w:rsid w:val="00375462"/>
    <w:rsid w:val="00376274"/>
    <w:rsid w:val="00376F33"/>
    <w:rsid w:val="003776C2"/>
    <w:rsid w:val="003809D5"/>
    <w:rsid w:val="00382207"/>
    <w:rsid w:val="003840D3"/>
    <w:rsid w:val="00385F85"/>
    <w:rsid w:val="0038660C"/>
    <w:rsid w:val="00387B15"/>
    <w:rsid w:val="003904AE"/>
    <w:rsid w:val="00391AB8"/>
    <w:rsid w:val="003922D3"/>
    <w:rsid w:val="003927A9"/>
    <w:rsid w:val="003934F5"/>
    <w:rsid w:val="00394387"/>
    <w:rsid w:val="003A67E0"/>
    <w:rsid w:val="003A683D"/>
    <w:rsid w:val="003B1607"/>
    <w:rsid w:val="003B2045"/>
    <w:rsid w:val="003B26AE"/>
    <w:rsid w:val="003B64CF"/>
    <w:rsid w:val="003B741B"/>
    <w:rsid w:val="003C3BE5"/>
    <w:rsid w:val="003C5768"/>
    <w:rsid w:val="003C5921"/>
    <w:rsid w:val="003C758E"/>
    <w:rsid w:val="003C7708"/>
    <w:rsid w:val="003D0522"/>
    <w:rsid w:val="003D21C9"/>
    <w:rsid w:val="003D3A3A"/>
    <w:rsid w:val="003D4240"/>
    <w:rsid w:val="003D5FE5"/>
    <w:rsid w:val="003D784B"/>
    <w:rsid w:val="003E7551"/>
    <w:rsid w:val="003E7978"/>
    <w:rsid w:val="003F05EC"/>
    <w:rsid w:val="003F09CE"/>
    <w:rsid w:val="003F1BDE"/>
    <w:rsid w:val="003F2771"/>
    <w:rsid w:val="003F4074"/>
    <w:rsid w:val="004005B6"/>
    <w:rsid w:val="00405C03"/>
    <w:rsid w:val="004148E7"/>
    <w:rsid w:val="004173B2"/>
    <w:rsid w:val="004219C5"/>
    <w:rsid w:val="0042262E"/>
    <w:rsid w:val="004242A1"/>
    <w:rsid w:val="00424D64"/>
    <w:rsid w:val="00433A8C"/>
    <w:rsid w:val="004358D6"/>
    <w:rsid w:val="00441BDD"/>
    <w:rsid w:val="0044594A"/>
    <w:rsid w:val="00446842"/>
    <w:rsid w:val="004511F7"/>
    <w:rsid w:val="00454B3A"/>
    <w:rsid w:val="004551A5"/>
    <w:rsid w:val="004563C6"/>
    <w:rsid w:val="00456917"/>
    <w:rsid w:val="0045798A"/>
    <w:rsid w:val="004600EE"/>
    <w:rsid w:val="00464CC7"/>
    <w:rsid w:val="00464ECA"/>
    <w:rsid w:val="00465007"/>
    <w:rsid w:val="00465904"/>
    <w:rsid w:val="00471B11"/>
    <w:rsid w:val="0047317D"/>
    <w:rsid w:val="00473E34"/>
    <w:rsid w:val="00475AF8"/>
    <w:rsid w:val="00481B2A"/>
    <w:rsid w:val="00482799"/>
    <w:rsid w:val="00482FF7"/>
    <w:rsid w:val="00483226"/>
    <w:rsid w:val="004832C1"/>
    <w:rsid w:val="00491392"/>
    <w:rsid w:val="00491D88"/>
    <w:rsid w:val="00493923"/>
    <w:rsid w:val="00493DC1"/>
    <w:rsid w:val="00494B89"/>
    <w:rsid w:val="00496E85"/>
    <w:rsid w:val="004971E7"/>
    <w:rsid w:val="004A037C"/>
    <w:rsid w:val="004A2726"/>
    <w:rsid w:val="004A3142"/>
    <w:rsid w:val="004A5DC1"/>
    <w:rsid w:val="004B2778"/>
    <w:rsid w:val="004B2C53"/>
    <w:rsid w:val="004B46BB"/>
    <w:rsid w:val="004B4DA1"/>
    <w:rsid w:val="004B4ED5"/>
    <w:rsid w:val="004C207B"/>
    <w:rsid w:val="004C20AA"/>
    <w:rsid w:val="004C2614"/>
    <w:rsid w:val="004C3E8A"/>
    <w:rsid w:val="004C3F6A"/>
    <w:rsid w:val="004C579D"/>
    <w:rsid w:val="004D2FEB"/>
    <w:rsid w:val="004D4B4E"/>
    <w:rsid w:val="004E1264"/>
    <w:rsid w:val="004E443D"/>
    <w:rsid w:val="004F2F25"/>
    <w:rsid w:val="004F3355"/>
    <w:rsid w:val="004F3666"/>
    <w:rsid w:val="004F36CA"/>
    <w:rsid w:val="004F43C6"/>
    <w:rsid w:val="004F5242"/>
    <w:rsid w:val="004F6014"/>
    <w:rsid w:val="004F63D1"/>
    <w:rsid w:val="004F6E1B"/>
    <w:rsid w:val="004F77EA"/>
    <w:rsid w:val="005024F9"/>
    <w:rsid w:val="0050569A"/>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262B7"/>
    <w:rsid w:val="005426DF"/>
    <w:rsid w:val="005440CF"/>
    <w:rsid w:val="00544B2C"/>
    <w:rsid w:val="00555C6E"/>
    <w:rsid w:val="0055621D"/>
    <w:rsid w:val="00557896"/>
    <w:rsid w:val="005623F8"/>
    <w:rsid w:val="0056341A"/>
    <w:rsid w:val="00566C61"/>
    <w:rsid w:val="005720E6"/>
    <w:rsid w:val="00582C07"/>
    <w:rsid w:val="00582F7E"/>
    <w:rsid w:val="0058597F"/>
    <w:rsid w:val="00591EE7"/>
    <w:rsid w:val="0059285C"/>
    <w:rsid w:val="00593784"/>
    <w:rsid w:val="005A0A09"/>
    <w:rsid w:val="005A496B"/>
    <w:rsid w:val="005A4A28"/>
    <w:rsid w:val="005A60BD"/>
    <w:rsid w:val="005A7B7E"/>
    <w:rsid w:val="005B5BBD"/>
    <w:rsid w:val="005B75FE"/>
    <w:rsid w:val="005B7DB4"/>
    <w:rsid w:val="005C26BC"/>
    <w:rsid w:val="005C3300"/>
    <w:rsid w:val="005C36BA"/>
    <w:rsid w:val="005D2A45"/>
    <w:rsid w:val="005D3A54"/>
    <w:rsid w:val="005D4DC5"/>
    <w:rsid w:val="005D4FC6"/>
    <w:rsid w:val="005D5411"/>
    <w:rsid w:val="005D5A6D"/>
    <w:rsid w:val="005D6AC4"/>
    <w:rsid w:val="005D7576"/>
    <w:rsid w:val="005D7EE2"/>
    <w:rsid w:val="005E112B"/>
    <w:rsid w:val="005E2430"/>
    <w:rsid w:val="005E3549"/>
    <w:rsid w:val="005E4477"/>
    <w:rsid w:val="005F0821"/>
    <w:rsid w:val="005F47B0"/>
    <w:rsid w:val="005F6C8B"/>
    <w:rsid w:val="006017F3"/>
    <w:rsid w:val="00602F0E"/>
    <w:rsid w:val="00603B41"/>
    <w:rsid w:val="00604FFF"/>
    <w:rsid w:val="00605644"/>
    <w:rsid w:val="0061209B"/>
    <w:rsid w:val="006135B4"/>
    <w:rsid w:val="00613C6E"/>
    <w:rsid w:val="00613CE8"/>
    <w:rsid w:val="00624FC0"/>
    <w:rsid w:val="00625424"/>
    <w:rsid w:val="00630E56"/>
    <w:rsid w:val="00632A2F"/>
    <w:rsid w:val="00632A34"/>
    <w:rsid w:val="00632EAB"/>
    <w:rsid w:val="006348A7"/>
    <w:rsid w:val="00645F4C"/>
    <w:rsid w:val="00651161"/>
    <w:rsid w:val="0065149E"/>
    <w:rsid w:val="0065373E"/>
    <w:rsid w:val="00653825"/>
    <w:rsid w:val="00654253"/>
    <w:rsid w:val="006546F8"/>
    <w:rsid w:val="00655077"/>
    <w:rsid w:val="006559A9"/>
    <w:rsid w:val="00655B45"/>
    <w:rsid w:val="00657DEE"/>
    <w:rsid w:val="006677EF"/>
    <w:rsid w:val="00667C04"/>
    <w:rsid w:val="00667FB8"/>
    <w:rsid w:val="0067283D"/>
    <w:rsid w:val="006733D9"/>
    <w:rsid w:val="00673770"/>
    <w:rsid w:val="00677841"/>
    <w:rsid w:val="00677861"/>
    <w:rsid w:val="00680312"/>
    <w:rsid w:val="00682F21"/>
    <w:rsid w:val="00683250"/>
    <w:rsid w:val="00691777"/>
    <w:rsid w:val="00697EBD"/>
    <w:rsid w:val="006A28C2"/>
    <w:rsid w:val="006A2A84"/>
    <w:rsid w:val="006A42C8"/>
    <w:rsid w:val="006A53CF"/>
    <w:rsid w:val="006A5F45"/>
    <w:rsid w:val="006A687B"/>
    <w:rsid w:val="006A6A1D"/>
    <w:rsid w:val="006B2981"/>
    <w:rsid w:val="006B3D57"/>
    <w:rsid w:val="006B44A2"/>
    <w:rsid w:val="006B5368"/>
    <w:rsid w:val="006C199E"/>
    <w:rsid w:val="006C19C3"/>
    <w:rsid w:val="006C1A2B"/>
    <w:rsid w:val="006C2086"/>
    <w:rsid w:val="006C24B0"/>
    <w:rsid w:val="006C3A10"/>
    <w:rsid w:val="006C663D"/>
    <w:rsid w:val="006C6F08"/>
    <w:rsid w:val="006C7367"/>
    <w:rsid w:val="006D2279"/>
    <w:rsid w:val="006D4BCC"/>
    <w:rsid w:val="006E0ACD"/>
    <w:rsid w:val="006E1007"/>
    <w:rsid w:val="006E2FCC"/>
    <w:rsid w:val="006E356D"/>
    <w:rsid w:val="006E4394"/>
    <w:rsid w:val="006E79D6"/>
    <w:rsid w:val="006F1159"/>
    <w:rsid w:val="006F2922"/>
    <w:rsid w:val="006F2EC1"/>
    <w:rsid w:val="006F303E"/>
    <w:rsid w:val="006F57B0"/>
    <w:rsid w:val="006F7BF2"/>
    <w:rsid w:val="00701D51"/>
    <w:rsid w:val="007043A0"/>
    <w:rsid w:val="007045EF"/>
    <w:rsid w:val="007110E6"/>
    <w:rsid w:val="00711328"/>
    <w:rsid w:val="00716EE4"/>
    <w:rsid w:val="00720F16"/>
    <w:rsid w:val="007221E3"/>
    <w:rsid w:val="007228CB"/>
    <w:rsid w:val="0072391F"/>
    <w:rsid w:val="00724EE4"/>
    <w:rsid w:val="0072655E"/>
    <w:rsid w:val="0072754F"/>
    <w:rsid w:val="00727760"/>
    <w:rsid w:val="00730187"/>
    <w:rsid w:val="00732C59"/>
    <w:rsid w:val="007338D7"/>
    <w:rsid w:val="00733CB2"/>
    <w:rsid w:val="00733DD7"/>
    <w:rsid w:val="00735874"/>
    <w:rsid w:val="007364B4"/>
    <w:rsid w:val="0074247D"/>
    <w:rsid w:val="00744C90"/>
    <w:rsid w:val="007453CD"/>
    <w:rsid w:val="00745E7D"/>
    <w:rsid w:val="00745EE8"/>
    <w:rsid w:val="007507D2"/>
    <w:rsid w:val="00752C89"/>
    <w:rsid w:val="00754E12"/>
    <w:rsid w:val="00756F1D"/>
    <w:rsid w:val="00757194"/>
    <w:rsid w:val="00762296"/>
    <w:rsid w:val="007626EA"/>
    <w:rsid w:val="00764E50"/>
    <w:rsid w:val="0076670E"/>
    <w:rsid w:val="007676A1"/>
    <w:rsid w:val="00767FFB"/>
    <w:rsid w:val="007711F0"/>
    <w:rsid w:val="00774C1D"/>
    <w:rsid w:val="0077537C"/>
    <w:rsid w:val="00776B7B"/>
    <w:rsid w:val="00777784"/>
    <w:rsid w:val="00777EFE"/>
    <w:rsid w:val="0078584E"/>
    <w:rsid w:val="00787019"/>
    <w:rsid w:val="00790F7E"/>
    <w:rsid w:val="00792708"/>
    <w:rsid w:val="00795DB7"/>
    <w:rsid w:val="00796228"/>
    <w:rsid w:val="00797A54"/>
    <w:rsid w:val="007A0D01"/>
    <w:rsid w:val="007A1993"/>
    <w:rsid w:val="007A2B2C"/>
    <w:rsid w:val="007A3817"/>
    <w:rsid w:val="007A3FFE"/>
    <w:rsid w:val="007A6C79"/>
    <w:rsid w:val="007A76D8"/>
    <w:rsid w:val="007B0D24"/>
    <w:rsid w:val="007B711E"/>
    <w:rsid w:val="007B7BB4"/>
    <w:rsid w:val="007C0E3C"/>
    <w:rsid w:val="007C66EB"/>
    <w:rsid w:val="007C6D20"/>
    <w:rsid w:val="007C7855"/>
    <w:rsid w:val="007D0C27"/>
    <w:rsid w:val="007D1FCB"/>
    <w:rsid w:val="007D3D1A"/>
    <w:rsid w:val="007D409B"/>
    <w:rsid w:val="007D4283"/>
    <w:rsid w:val="007D50DE"/>
    <w:rsid w:val="007D674F"/>
    <w:rsid w:val="007D6A75"/>
    <w:rsid w:val="007E0EB5"/>
    <w:rsid w:val="007E3EB9"/>
    <w:rsid w:val="007E55FF"/>
    <w:rsid w:val="007E5710"/>
    <w:rsid w:val="007E623E"/>
    <w:rsid w:val="007E66AA"/>
    <w:rsid w:val="007E6868"/>
    <w:rsid w:val="007F0A61"/>
    <w:rsid w:val="007F5144"/>
    <w:rsid w:val="007F661A"/>
    <w:rsid w:val="00800F62"/>
    <w:rsid w:val="00803182"/>
    <w:rsid w:val="00803942"/>
    <w:rsid w:val="008152F2"/>
    <w:rsid w:val="0081564A"/>
    <w:rsid w:val="00820643"/>
    <w:rsid w:val="00820A0A"/>
    <w:rsid w:val="00820CA8"/>
    <w:rsid w:val="008256DC"/>
    <w:rsid w:val="00831844"/>
    <w:rsid w:val="00832824"/>
    <w:rsid w:val="00832C63"/>
    <w:rsid w:val="00833581"/>
    <w:rsid w:val="00833797"/>
    <w:rsid w:val="00834484"/>
    <w:rsid w:val="00835338"/>
    <w:rsid w:val="00837009"/>
    <w:rsid w:val="00842F1A"/>
    <w:rsid w:val="00845AFC"/>
    <w:rsid w:val="00845BDF"/>
    <w:rsid w:val="00846CE4"/>
    <w:rsid w:val="00846F26"/>
    <w:rsid w:val="008511CF"/>
    <w:rsid w:val="00853AE4"/>
    <w:rsid w:val="00857EC5"/>
    <w:rsid w:val="00862939"/>
    <w:rsid w:val="00862FFC"/>
    <w:rsid w:val="0086422D"/>
    <w:rsid w:val="00867394"/>
    <w:rsid w:val="00872A74"/>
    <w:rsid w:val="008734EF"/>
    <w:rsid w:val="00873B92"/>
    <w:rsid w:val="00874019"/>
    <w:rsid w:val="008745FE"/>
    <w:rsid w:val="00875711"/>
    <w:rsid w:val="00876F19"/>
    <w:rsid w:val="008771C3"/>
    <w:rsid w:val="00880D77"/>
    <w:rsid w:val="008815D8"/>
    <w:rsid w:val="008900C9"/>
    <w:rsid w:val="00891724"/>
    <w:rsid w:val="008A2CAB"/>
    <w:rsid w:val="008A4054"/>
    <w:rsid w:val="008A4EE5"/>
    <w:rsid w:val="008A5C93"/>
    <w:rsid w:val="008A5F84"/>
    <w:rsid w:val="008A7A4D"/>
    <w:rsid w:val="008B5111"/>
    <w:rsid w:val="008B6803"/>
    <w:rsid w:val="008C08ED"/>
    <w:rsid w:val="008C0A9D"/>
    <w:rsid w:val="008D147A"/>
    <w:rsid w:val="008D2D64"/>
    <w:rsid w:val="008D4909"/>
    <w:rsid w:val="008E026D"/>
    <w:rsid w:val="008E16BC"/>
    <w:rsid w:val="008E25F1"/>
    <w:rsid w:val="008E2A0E"/>
    <w:rsid w:val="008E517E"/>
    <w:rsid w:val="008E6257"/>
    <w:rsid w:val="008E75AD"/>
    <w:rsid w:val="008E7DAB"/>
    <w:rsid w:val="008F0B1C"/>
    <w:rsid w:val="008F0D8F"/>
    <w:rsid w:val="008F109D"/>
    <w:rsid w:val="008F1CEC"/>
    <w:rsid w:val="008F22BB"/>
    <w:rsid w:val="008F50EB"/>
    <w:rsid w:val="008F651A"/>
    <w:rsid w:val="008F686C"/>
    <w:rsid w:val="008F7070"/>
    <w:rsid w:val="009002C4"/>
    <w:rsid w:val="009003B9"/>
    <w:rsid w:val="009041C3"/>
    <w:rsid w:val="00904645"/>
    <w:rsid w:val="00904B5D"/>
    <w:rsid w:val="00907168"/>
    <w:rsid w:val="00907789"/>
    <w:rsid w:val="0091069F"/>
    <w:rsid w:val="00910E99"/>
    <w:rsid w:val="009127FA"/>
    <w:rsid w:val="00915206"/>
    <w:rsid w:val="00923F23"/>
    <w:rsid w:val="009249F0"/>
    <w:rsid w:val="0092524C"/>
    <w:rsid w:val="0092599F"/>
    <w:rsid w:val="00931127"/>
    <w:rsid w:val="0093145C"/>
    <w:rsid w:val="00934A3C"/>
    <w:rsid w:val="009363BA"/>
    <w:rsid w:val="00936FF6"/>
    <w:rsid w:val="00947A1D"/>
    <w:rsid w:val="00947AAF"/>
    <w:rsid w:val="00950EF4"/>
    <w:rsid w:val="00953FF7"/>
    <w:rsid w:val="00956BA6"/>
    <w:rsid w:val="00963D1F"/>
    <w:rsid w:val="009652E7"/>
    <w:rsid w:val="0096740F"/>
    <w:rsid w:val="009702DA"/>
    <w:rsid w:val="009712CC"/>
    <w:rsid w:val="00973CDF"/>
    <w:rsid w:val="009742A7"/>
    <w:rsid w:val="009778BF"/>
    <w:rsid w:val="00980023"/>
    <w:rsid w:val="00980095"/>
    <w:rsid w:val="009828A2"/>
    <w:rsid w:val="0098532A"/>
    <w:rsid w:val="00985D0D"/>
    <w:rsid w:val="00992B48"/>
    <w:rsid w:val="00993829"/>
    <w:rsid w:val="00993D47"/>
    <w:rsid w:val="00993FF8"/>
    <w:rsid w:val="0099446A"/>
    <w:rsid w:val="00997691"/>
    <w:rsid w:val="009A061F"/>
    <w:rsid w:val="009A6C05"/>
    <w:rsid w:val="009A6FAA"/>
    <w:rsid w:val="009B1C60"/>
    <w:rsid w:val="009B3C1D"/>
    <w:rsid w:val="009B6A7E"/>
    <w:rsid w:val="009C216D"/>
    <w:rsid w:val="009C3A9C"/>
    <w:rsid w:val="009C4479"/>
    <w:rsid w:val="009C4F77"/>
    <w:rsid w:val="009C774E"/>
    <w:rsid w:val="009C7CE7"/>
    <w:rsid w:val="009D3809"/>
    <w:rsid w:val="009D4411"/>
    <w:rsid w:val="009D5815"/>
    <w:rsid w:val="009D5E9C"/>
    <w:rsid w:val="009D6358"/>
    <w:rsid w:val="009D7D4B"/>
    <w:rsid w:val="009E5B50"/>
    <w:rsid w:val="009E6921"/>
    <w:rsid w:val="009F6AF0"/>
    <w:rsid w:val="009F7605"/>
    <w:rsid w:val="00A0516E"/>
    <w:rsid w:val="00A12030"/>
    <w:rsid w:val="00A17D8C"/>
    <w:rsid w:val="00A21F06"/>
    <w:rsid w:val="00A22344"/>
    <w:rsid w:val="00A27715"/>
    <w:rsid w:val="00A32572"/>
    <w:rsid w:val="00A33C8A"/>
    <w:rsid w:val="00A349BC"/>
    <w:rsid w:val="00A413E1"/>
    <w:rsid w:val="00A43E3E"/>
    <w:rsid w:val="00A50D5F"/>
    <w:rsid w:val="00A50F3F"/>
    <w:rsid w:val="00A523C6"/>
    <w:rsid w:val="00A53565"/>
    <w:rsid w:val="00A54CF2"/>
    <w:rsid w:val="00A55508"/>
    <w:rsid w:val="00A55980"/>
    <w:rsid w:val="00A56593"/>
    <w:rsid w:val="00A56EA3"/>
    <w:rsid w:val="00A633F2"/>
    <w:rsid w:val="00A66758"/>
    <w:rsid w:val="00A72A8F"/>
    <w:rsid w:val="00A734AE"/>
    <w:rsid w:val="00A73F1D"/>
    <w:rsid w:val="00A7798B"/>
    <w:rsid w:val="00A906CC"/>
    <w:rsid w:val="00A90CDF"/>
    <w:rsid w:val="00A92875"/>
    <w:rsid w:val="00A92BA7"/>
    <w:rsid w:val="00A93116"/>
    <w:rsid w:val="00A94652"/>
    <w:rsid w:val="00A97758"/>
    <w:rsid w:val="00A97894"/>
    <w:rsid w:val="00A97A07"/>
    <w:rsid w:val="00AA1EE3"/>
    <w:rsid w:val="00AA20F7"/>
    <w:rsid w:val="00AA2EF9"/>
    <w:rsid w:val="00AA482F"/>
    <w:rsid w:val="00AA510D"/>
    <w:rsid w:val="00AA7CDD"/>
    <w:rsid w:val="00AB0136"/>
    <w:rsid w:val="00AB157C"/>
    <w:rsid w:val="00AB4B14"/>
    <w:rsid w:val="00AC0212"/>
    <w:rsid w:val="00AC4BD9"/>
    <w:rsid w:val="00AC52C1"/>
    <w:rsid w:val="00AC6872"/>
    <w:rsid w:val="00AC6B2D"/>
    <w:rsid w:val="00AC7A6F"/>
    <w:rsid w:val="00AC7AA5"/>
    <w:rsid w:val="00AD4D61"/>
    <w:rsid w:val="00AD4E0E"/>
    <w:rsid w:val="00AD7FDA"/>
    <w:rsid w:val="00AE1F3A"/>
    <w:rsid w:val="00AE28EC"/>
    <w:rsid w:val="00AE2E47"/>
    <w:rsid w:val="00AE343A"/>
    <w:rsid w:val="00AE4909"/>
    <w:rsid w:val="00AE6DC0"/>
    <w:rsid w:val="00AE70A7"/>
    <w:rsid w:val="00AF1FFA"/>
    <w:rsid w:val="00AF3694"/>
    <w:rsid w:val="00AF628C"/>
    <w:rsid w:val="00AF717D"/>
    <w:rsid w:val="00AF72F4"/>
    <w:rsid w:val="00B01ACF"/>
    <w:rsid w:val="00B0370F"/>
    <w:rsid w:val="00B04BF8"/>
    <w:rsid w:val="00B05266"/>
    <w:rsid w:val="00B06DC7"/>
    <w:rsid w:val="00B10EF1"/>
    <w:rsid w:val="00B24201"/>
    <w:rsid w:val="00B25711"/>
    <w:rsid w:val="00B25850"/>
    <w:rsid w:val="00B26F22"/>
    <w:rsid w:val="00B306DE"/>
    <w:rsid w:val="00B31400"/>
    <w:rsid w:val="00B3359A"/>
    <w:rsid w:val="00B33E84"/>
    <w:rsid w:val="00B411EB"/>
    <w:rsid w:val="00B41876"/>
    <w:rsid w:val="00B4496A"/>
    <w:rsid w:val="00B550DE"/>
    <w:rsid w:val="00B63577"/>
    <w:rsid w:val="00B6522B"/>
    <w:rsid w:val="00B65D3C"/>
    <w:rsid w:val="00B73684"/>
    <w:rsid w:val="00B7396F"/>
    <w:rsid w:val="00B74277"/>
    <w:rsid w:val="00B76654"/>
    <w:rsid w:val="00B83011"/>
    <w:rsid w:val="00B838ED"/>
    <w:rsid w:val="00B85C3E"/>
    <w:rsid w:val="00B938AD"/>
    <w:rsid w:val="00B93F9E"/>
    <w:rsid w:val="00B9738D"/>
    <w:rsid w:val="00B97781"/>
    <w:rsid w:val="00BA088A"/>
    <w:rsid w:val="00BA0896"/>
    <w:rsid w:val="00BA2478"/>
    <w:rsid w:val="00BA26E8"/>
    <w:rsid w:val="00BA441B"/>
    <w:rsid w:val="00BA4E08"/>
    <w:rsid w:val="00BA6F57"/>
    <w:rsid w:val="00BA7B08"/>
    <w:rsid w:val="00BB07B9"/>
    <w:rsid w:val="00BB173D"/>
    <w:rsid w:val="00BB1C75"/>
    <w:rsid w:val="00BB3490"/>
    <w:rsid w:val="00BB380B"/>
    <w:rsid w:val="00BB5E73"/>
    <w:rsid w:val="00BB5ED3"/>
    <w:rsid w:val="00BB6C46"/>
    <w:rsid w:val="00BB6D0A"/>
    <w:rsid w:val="00BC144A"/>
    <w:rsid w:val="00BC2095"/>
    <w:rsid w:val="00BC2B85"/>
    <w:rsid w:val="00BC59BE"/>
    <w:rsid w:val="00BC7C16"/>
    <w:rsid w:val="00BD01F7"/>
    <w:rsid w:val="00BD0618"/>
    <w:rsid w:val="00BD1FC7"/>
    <w:rsid w:val="00BD6CA0"/>
    <w:rsid w:val="00BD750D"/>
    <w:rsid w:val="00BE498D"/>
    <w:rsid w:val="00BF302E"/>
    <w:rsid w:val="00BF3466"/>
    <w:rsid w:val="00BF3D13"/>
    <w:rsid w:val="00BF5E4A"/>
    <w:rsid w:val="00BF7B1B"/>
    <w:rsid w:val="00C00012"/>
    <w:rsid w:val="00C026E9"/>
    <w:rsid w:val="00C03C36"/>
    <w:rsid w:val="00C12B6F"/>
    <w:rsid w:val="00C14375"/>
    <w:rsid w:val="00C210AF"/>
    <w:rsid w:val="00C21189"/>
    <w:rsid w:val="00C268FF"/>
    <w:rsid w:val="00C30885"/>
    <w:rsid w:val="00C40BED"/>
    <w:rsid w:val="00C45526"/>
    <w:rsid w:val="00C514E5"/>
    <w:rsid w:val="00C516C4"/>
    <w:rsid w:val="00C531D9"/>
    <w:rsid w:val="00C5784F"/>
    <w:rsid w:val="00C67384"/>
    <w:rsid w:val="00C718D9"/>
    <w:rsid w:val="00C741DA"/>
    <w:rsid w:val="00C74B68"/>
    <w:rsid w:val="00C75312"/>
    <w:rsid w:val="00C75742"/>
    <w:rsid w:val="00C774E2"/>
    <w:rsid w:val="00C80C40"/>
    <w:rsid w:val="00C8153C"/>
    <w:rsid w:val="00C843D3"/>
    <w:rsid w:val="00C85FA1"/>
    <w:rsid w:val="00C87874"/>
    <w:rsid w:val="00C91FF7"/>
    <w:rsid w:val="00CA08E2"/>
    <w:rsid w:val="00CA45F4"/>
    <w:rsid w:val="00CA5322"/>
    <w:rsid w:val="00CA65F5"/>
    <w:rsid w:val="00CB3FE8"/>
    <w:rsid w:val="00CB403A"/>
    <w:rsid w:val="00CB42AA"/>
    <w:rsid w:val="00CB655F"/>
    <w:rsid w:val="00CC094F"/>
    <w:rsid w:val="00CC2E05"/>
    <w:rsid w:val="00CC6D50"/>
    <w:rsid w:val="00CD0746"/>
    <w:rsid w:val="00CD1FE9"/>
    <w:rsid w:val="00CD56F7"/>
    <w:rsid w:val="00CD683E"/>
    <w:rsid w:val="00CD74CC"/>
    <w:rsid w:val="00CE2BB3"/>
    <w:rsid w:val="00CE3F94"/>
    <w:rsid w:val="00CE51EA"/>
    <w:rsid w:val="00CE7CD1"/>
    <w:rsid w:val="00CF31D1"/>
    <w:rsid w:val="00CF4588"/>
    <w:rsid w:val="00CF4E8D"/>
    <w:rsid w:val="00CF5C63"/>
    <w:rsid w:val="00CF7627"/>
    <w:rsid w:val="00D010ED"/>
    <w:rsid w:val="00D01507"/>
    <w:rsid w:val="00D0152D"/>
    <w:rsid w:val="00D01A79"/>
    <w:rsid w:val="00D02A26"/>
    <w:rsid w:val="00D035A4"/>
    <w:rsid w:val="00D0379E"/>
    <w:rsid w:val="00D062B7"/>
    <w:rsid w:val="00D06B3E"/>
    <w:rsid w:val="00D14912"/>
    <w:rsid w:val="00D176B7"/>
    <w:rsid w:val="00D2383D"/>
    <w:rsid w:val="00D23AE1"/>
    <w:rsid w:val="00D24828"/>
    <w:rsid w:val="00D25276"/>
    <w:rsid w:val="00D30BB4"/>
    <w:rsid w:val="00D30DD4"/>
    <w:rsid w:val="00D33B19"/>
    <w:rsid w:val="00D37E51"/>
    <w:rsid w:val="00D40AEC"/>
    <w:rsid w:val="00D433BF"/>
    <w:rsid w:val="00D5111E"/>
    <w:rsid w:val="00D52EA2"/>
    <w:rsid w:val="00D60E7F"/>
    <w:rsid w:val="00D61F01"/>
    <w:rsid w:val="00D63075"/>
    <w:rsid w:val="00D66B54"/>
    <w:rsid w:val="00D67FD5"/>
    <w:rsid w:val="00D7134F"/>
    <w:rsid w:val="00D71373"/>
    <w:rsid w:val="00D718C4"/>
    <w:rsid w:val="00D71C67"/>
    <w:rsid w:val="00D74D4F"/>
    <w:rsid w:val="00D75389"/>
    <w:rsid w:val="00D75620"/>
    <w:rsid w:val="00D75C47"/>
    <w:rsid w:val="00D81519"/>
    <w:rsid w:val="00D83AEA"/>
    <w:rsid w:val="00D87D4B"/>
    <w:rsid w:val="00D90789"/>
    <w:rsid w:val="00D910DE"/>
    <w:rsid w:val="00D9474E"/>
    <w:rsid w:val="00D94960"/>
    <w:rsid w:val="00D9770D"/>
    <w:rsid w:val="00DA0780"/>
    <w:rsid w:val="00DB48BB"/>
    <w:rsid w:val="00DB6F04"/>
    <w:rsid w:val="00DB6F31"/>
    <w:rsid w:val="00DC2128"/>
    <w:rsid w:val="00DC60B0"/>
    <w:rsid w:val="00DD2BF4"/>
    <w:rsid w:val="00DD46AC"/>
    <w:rsid w:val="00DD651A"/>
    <w:rsid w:val="00DE6837"/>
    <w:rsid w:val="00DE6CE9"/>
    <w:rsid w:val="00DE7055"/>
    <w:rsid w:val="00DE7DEB"/>
    <w:rsid w:val="00DF27F5"/>
    <w:rsid w:val="00DF2C6C"/>
    <w:rsid w:val="00DF344C"/>
    <w:rsid w:val="00DF3F2B"/>
    <w:rsid w:val="00DF5FA6"/>
    <w:rsid w:val="00E02B1B"/>
    <w:rsid w:val="00E04F57"/>
    <w:rsid w:val="00E05888"/>
    <w:rsid w:val="00E06EB3"/>
    <w:rsid w:val="00E1104B"/>
    <w:rsid w:val="00E12257"/>
    <w:rsid w:val="00E122FA"/>
    <w:rsid w:val="00E13073"/>
    <w:rsid w:val="00E138C0"/>
    <w:rsid w:val="00E14A9D"/>
    <w:rsid w:val="00E17064"/>
    <w:rsid w:val="00E203D1"/>
    <w:rsid w:val="00E239BC"/>
    <w:rsid w:val="00E23FC8"/>
    <w:rsid w:val="00E24964"/>
    <w:rsid w:val="00E24D28"/>
    <w:rsid w:val="00E24DA3"/>
    <w:rsid w:val="00E24F64"/>
    <w:rsid w:val="00E26DE4"/>
    <w:rsid w:val="00E27118"/>
    <w:rsid w:val="00E316CB"/>
    <w:rsid w:val="00E363F5"/>
    <w:rsid w:val="00E3641A"/>
    <w:rsid w:val="00E36649"/>
    <w:rsid w:val="00E3788D"/>
    <w:rsid w:val="00E45628"/>
    <w:rsid w:val="00E459B5"/>
    <w:rsid w:val="00E51953"/>
    <w:rsid w:val="00E601ED"/>
    <w:rsid w:val="00E6146E"/>
    <w:rsid w:val="00E61812"/>
    <w:rsid w:val="00E63B8D"/>
    <w:rsid w:val="00E64CF5"/>
    <w:rsid w:val="00E654BE"/>
    <w:rsid w:val="00E7401F"/>
    <w:rsid w:val="00E74D93"/>
    <w:rsid w:val="00E76CF3"/>
    <w:rsid w:val="00E80B4D"/>
    <w:rsid w:val="00E80D03"/>
    <w:rsid w:val="00E80D82"/>
    <w:rsid w:val="00E812CF"/>
    <w:rsid w:val="00E82FC5"/>
    <w:rsid w:val="00E84EF2"/>
    <w:rsid w:val="00E85664"/>
    <w:rsid w:val="00E865F4"/>
    <w:rsid w:val="00E901C0"/>
    <w:rsid w:val="00E95A72"/>
    <w:rsid w:val="00EA0C98"/>
    <w:rsid w:val="00EA0CE0"/>
    <w:rsid w:val="00EA2CB5"/>
    <w:rsid w:val="00EA5094"/>
    <w:rsid w:val="00EB0C9C"/>
    <w:rsid w:val="00EB4B12"/>
    <w:rsid w:val="00EB72D4"/>
    <w:rsid w:val="00EC4490"/>
    <w:rsid w:val="00EC6592"/>
    <w:rsid w:val="00EC6B9B"/>
    <w:rsid w:val="00EC725D"/>
    <w:rsid w:val="00ED2BC8"/>
    <w:rsid w:val="00ED5305"/>
    <w:rsid w:val="00ED7612"/>
    <w:rsid w:val="00EE1AEE"/>
    <w:rsid w:val="00EE513C"/>
    <w:rsid w:val="00EE75AA"/>
    <w:rsid w:val="00EF147E"/>
    <w:rsid w:val="00EF20DB"/>
    <w:rsid w:val="00F06E45"/>
    <w:rsid w:val="00F075E4"/>
    <w:rsid w:val="00F1128F"/>
    <w:rsid w:val="00F13A37"/>
    <w:rsid w:val="00F14C6E"/>
    <w:rsid w:val="00F17292"/>
    <w:rsid w:val="00F20616"/>
    <w:rsid w:val="00F22536"/>
    <w:rsid w:val="00F22F14"/>
    <w:rsid w:val="00F2430D"/>
    <w:rsid w:val="00F3080F"/>
    <w:rsid w:val="00F31A95"/>
    <w:rsid w:val="00F35BED"/>
    <w:rsid w:val="00F35E1D"/>
    <w:rsid w:val="00F361C8"/>
    <w:rsid w:val="00F36789"/>
    <w:rsid w:val="00F36888"/>
    <w:rsid w:val="00F37C21"/>
    <w:rsid w:val="00F4155B"/>
    <w:rsid w:val="00F41EC5"/>
    <w:rsid w:val="00F4213F"/>
    <w:rsid w:val="00F42228"/>
    <w:rsid w:val="00F45647"/>
    <w:rsid w:val="00F47B23"/>
    <w:rsid w:val="00F5398C"/>
    <w:rsid w:val="00F54F54"/>
    <w:rsid w:val="00F5718F"/>
    <w:rsid w:val="00F61B6F"/>
    <w:rsid w:val="00F62B90"/>
    <w:rsid w:val="00F66820"/>
    <w:rsid w:val="00F67F4A"/>
    <w:rsid w:val="00F7673B"/>
    <w:rsid w:val="00F8031B"/>
    <w:rsid w:val="00F839A7"/>
    <w:rsid w:val="00F856C1"/>
    <w:rsid w:val="00F857AF"/>
    <w:rsid w:val="00F94663"/>
    <w:rsid w:val="00FA1568"/>
    <w:rsid w:val="00FA57A3"/>
    <w:rsid w:val="00FA5E32"/>
    <w:rsid w:val="00FA7B38"/>
    <w:rsid w:val="00FB0884"/>
    <w:rsid w:val="00FB2F88"/>
    <w:rsid w:val="00FB3548"/>
    <w:rsid w:val="00FB56F9"/>
    <w:rsid w:val="00FB6A97"/>
    <w:rsid w:val="00FC5ECC"/>
    <w:rsid w:val="00FC66BD"/>
    <w:rsid w:val="00FD019B"/>
    <w:rsid w:val="00FD168C"/>
    <w:rsid w:val="00FD2D37"/>
    <w:rsid w:val="00FD2DAA"/>
    <w:rsid w:val="00FD668C"/>
    <w:rsid w:val="00FD6D96"/>
    <w:rsid w:val="00FD7AB8"/>
    <w:rsid w:val="00FD7C5D"/>
    <w:rsid w:val="00FE7A93"/>
    <w:rsid w:val="00FF0115"/>
    <w:rsid w:val="00FF0C52"/>
    <w:rsid w:val="00FF16E1"/>
    <w:rsid w:val="00FF3FE9"/>
    <w:rsid w:val="00FF6599"/>
    <w:rsid w:val="00FF75F4"/>
    <w:rsid w:val="00FF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26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paragraph" w:styleId="Heading2">
    <w:name w:val="heading 2"/>
    <w:basedOn w:val="Normal"/>
    <w:next w:val="Normal"/>
    <w:link w:val="Heading2Char"/>
    <w:semiHidden/>
    <w:unhideWhenUsed/>
    <w:qFormat/>
    <w:rsid w:val="006550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5507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655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5507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5507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5507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550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550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paragraph" w:styleId="EndnoteText">
    <w:name w:val="endnote text"/>
    <w:basedOn w:val="Normal"/>
    <w:link w:val="EndnoteTextChar"/>
    <w:rsid w:val="00305252"/>
    <w:rPr>
      <w:sz w:val="20"/>
      <w:szCs w:val="20"/>
    </w:rPr>
  </w:style>
  <w:style w:type="character" w:customStyle="1" w:styleId="EndnoteTextChar">
    <w:name w:val="Endnote Text Char"/>
    <w:basedOn w:val="DefaultParagraphFont"/>
    <w:link w:val="EndnoteText"/>
    <w:rsid w:val="00305252"/>
  </w:style>
  <w:style w:type="character" w:styleId="EndnoteReference">
    <w:name w:val="endnote reference"/>
    <w:basedOn w:val="DefaultParagraphFont"/>
    <w:rsid w:val="00305252"/>
    <w:rPr>
      <w:vertAlign w:val="superscript"/>
    </w:rPr>
  </w:style>
  <w:style w:type="paragraph" w:customStyle="1" w:styleId="Default">
    <w:name w:val="Default"/>
    <w:rsid w:val="00733DD7"/>
    <w:pPr>
      <w:autoSpaceDE w:val="0"/>
      <w:autoSpaceDN w:val="0"/>
      <w:adjustRightInd w:val="0"/>
    </w:pPr>
    <w:rPr>
      <w:color w:val="000000"/>
      <w:sz w:val="24"/>
      <w:szCs w:val="24"/>
    </w:rPr>
  </w:style>
  <w:style w:type="table" w:styleId="PlainTable2">
    <w:name w:val="Plain Table 2"/>
    <w:basedOn w:val="TableNormal"/>
    <w:uiPriority w:val="42"/>
    <w:rsid w:val="006542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AE6D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655077"/>
  </w:style>
  <w:style w:type="paragraph" w:styleId="BlockText">
    <w:name w:val="Block Text"/>
    <w:basedOn w:val="Normal"/>
    <w:semiHidden/>
    <w:unhideWhenUsed/>
    <w:rsid w:val="0065507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655077"/>
    <w:pPr>
      <w:spacing w:after="120"/>
    </w:pPr>
  </w:style>
  <w:style w:type="character" w:customStyle="1" w:styleId="BodyTextChar">
    <w:name w:val="Body Text Char"/>
    <w:basedOn w:val="DefaultParagraphFont"/>
    <w:link w:val="BodyText"/>
    <w:semiHidden/>
    <w:rsid w:val="00655077"/>
    <w:rPr>
      <w:sz w:val="24"/>
      <w:szCs w:val="24"/>
    </w:rPr>
  </w:style>
  <w:style w:type="paragraph" w:styleId="BodyText2">
    <w:name w:val="Body Text 2"/>
    <w:basedOn w:val="Normal"/>
    <w:link w:val="BodyText2Char"/>
    <w:semiHidden/>
    <w:unhideWhenUsed/>
    <w:rsid w:val="00655077"/>
    <w:pPr>
      <w:spacing w:after="120" w:line="480" w:lineRule="auto"/>
    </w:pPr>
  </w:style>
  <w:style w:type="character" w:customStyle="1" w:styleId="BodyText2Char">
    <w:name w:val="Body Text 2 Char"/>
    <w:basedOn w:val="DefaultParagraphFont"/>
    <w:link w:val="BodyText2"/>
    <w:semiHidden/>
    <w:rsid w:val="00655077"/>
    <w:rPr>
      <w:sz w:val="24"/>
      <w:szCs w:val="24"/>
    </w:rPr>
  </w:style>
  <w:style w:type="paragraph" w:styleId="BodyText3">
    <w:name w:val="Body Text 3"/>
    <w:basedOn w:val="Normal"/>
    <w:link w:val="BodyText3Char"/>
    <w:semiHidden/>
    <w:unhideWhenUsed/>
    <w:rsid w:val="00655077"/>
    <w:pPr>
      <w:spacing w:after="120"/>
    </w:pPr>
    <w:rPr>
      <w:sz w:val="16"/>
      <w:szCs w:val="16"/>
    </w:rPr>
  </w:style>
  <w:style w:type="character" w:customStyle="1" w:styleId="BodyText3Char">
    <w:name w:val="Body Text 3 Char"/>
    <w:basedOn w:val="DefaultParagraphFont"/>
    <w:link w:val="BodyText3"/>
    <w:semiHidden/>
    <w:rsid w:val="00655077"/>
    <w:rPr>
      <w:sz w:val="16"/>
      <w:szCs w:val="16"/>
    </w:rPr>
  </w:style>
  <w:style w:type="paragraph" w:styleId="BodyTextFirstIndent">
    <w:name w:val="Body Text First Indent"/>
    <w:basedOn w:val="BodyText"/>
    <w:link w:val="BodyTextFirstIndentChar"/>
    <w:rsid w:val="00655077"/>
    <w:pPr>
      <w:spacing w:after="0"/>
      <w:ind w:firstLine="360"/>
    </w:pPr>
  </w:style>
  <w:style w:type="character" w:customStyle="1" w:styleId="BodyTextFirstIndentChar">
    <w:name w:val="Body Text First Indent Char"/>
    <w:basedOn w:val="BodyTextChar"/>
    <w:link w:val="BodyTextFirstIndent"/>
    <w:rsid w:val="00655077"/>
    <w:rPr>
      <w:sz w:val="24"/>
      <w:szCs w:val="24"/>
    </w:rPr>
  </w:style>
  <w:style w:type="paragraph" w:styleId="BodyTextIndent">
    <w:name w:val="Body Text Indent"/>
    <w:basedOn w:val="Normal"/>
    <w:link w:val="BodyTextIndentChar"/>
    <w:semiHidden/>
    <w:unhideWhenUsed/>
    <w:rsid w:val="00655077"/>
    <w:pPr>
      <w:spacing w:after="120"/>
      <w:ind w:left="360"/>
    </w:pPr>
  </w:style>
  <w:style w:type="character" w:customStyle="1" w:styleId="BodyTextIndentChar">
    <w:name w:val="Body Text Indent Char"/>
    <w:basedOn w:val="DefaultParagraphFont"/>
    <w:link w:val="BodyTextIndent"/>
    <w:semiHidden/>
    <w:rsid w:val="00655077"/>
    <w:rPr>
      <w:sz w:val="24"/>
      <w:szCs w:val="24"/>
    </w:rPr>
  </w:style>
  <w:style w:type="paragraph" w:styleId="BodyTextFirstIndent2">
    <w:name w:val="Body Text First Indent 2"/>
    <w:basedOn w:val="BodyTextIndent"/>
    <w:link w:val="BodyTextFirstIndent2Char"/>
    <w:semiHidden/>
    <w:unhideWhenUsed/>
    <w:rsid w:val="00655077"/>
    <w:pPr>
      <w:spacing w:after="0"/>
      <w:ind w:firstLine="360"/>
    </w:pPr>
  </w:style>
  <w:style w:type="character" w:customStyle="1" w:styleId="BodyTextFirstIndent2Char">
    <w:name w:val="Body Text First Indent 2 Char"/>
    <w:basedOn w:val="BodyTextIndentChar"/>
    <w:link w:val="BodyTextFirstIndent2"/>
    <w:semiHidden/>
    <w:rsid w:val="00655077"/>
    <w:rPr>
      <w:sz w:val="24"/>
      <w:szCs w:val="24"/>
    </w:rPr>
  </w:style>
  <w:style w:type="paragraph" w:styleId="BodyTextIndent2">
    <w:name w:val="Body Text Indent 2"/>
    <w:basedOn w:val="Normal"/>
    <w:link w:val="BodyTextIndent2Char"/>
    <w:semiHidden/>
    <w:unhideWhenUsed/>
    <w:rsid w:val="00655077"/>
    <w:pPr>
      <w:spacing w:after="120" w:line="480" w:lineRule="auto"/>
      <w:ind w:left="360"/>
    </w:pPr>
  </w:style>
  <w:style w:type="character" w:customStyle="1" w:styleId="BodyTextIndent2Char">
    <w:name w:val="Body Text Indent 2 Char"/>
    <w:basedOn w:val="DefaultParagraphFont"/>
    <w:link w:val="BodyTextIndent2"/>
    <w:semiHidden/>
    <w:rsid w:val="00655077"/>
    <w:rPr>
      <w:sz w:val="24"/>
      <w:szCs w:val="24"/>
    </w:rPr>
  </w:style>
  <w:style w:type="paragraph" w:styleId="BodyTextIndent3">
    <w:name w:val="Body Text Indent 3"/>
    <w:basedOn w:val="Normal"/>
    <w:link w:val="BodyTextIndent3Char"/>
    <w:semiHidden/>
    <w:unhideWhenUsed/>
    <w:rsid w:val="00655077"/>
    <w:pPr>
      <w:spacing w:after="120"/>
      <w:ind w:left="360"/>
    </w:pPr>
    <w:rPr>
      <w:sz w:val="16"/>
      <w:szCs w:val="16"/>
    </w:rPr>
  </w:style>
  <w:style w:type="character" w:customStyle="1" w:styleId="BodyTextIndent3Char">
    <w:name w:val="Body Text Indent 3 Char"/>
    <w:basedOn w:val="DefaultParagraphFont"/>
    <w:link w:val="BodyTextIndent3"/>
    <w:semiHidden/>
    <w:rsid w:val="00655077"/>
    <w:rPr>
      <w:sz w:val="16"/>
      <w:szCs w:val="16"/>
    </w:rPr>
  </w:style>
  <w:style w:type="paragraph" w:styleId="Caption">
    <w:name w:val="caption"/>
    <w:basedOn w:val="Normal"/>
    <w:next w:val="Normal"/>
    <w:semiHidden/>
    <w:unhideWhenUsed/>
    <w:qFormat/>
    <w:rsid w:val="00655077"/>
    <w:pPr>
      <w:spacing w:after="200"/>
    </w:pPr>
    <w:rPr>
      <w:i/>
      <w:iCs/>
      <w:color w:val="1F497D" w:themeColor="text2"/>
      <w:sz w:val="18"/>
      <w:szCs w:val="18"/>
    </w:rPr>
  </w:style>
  <w:style w:type="paragraph" w:styleId="Closing">
    <w:name w:val="Closing"/>
    <w:basedOn w:val="Normal"/>
    <w:link w:val="ClosingChar"/>
    <w:semiHidden/>
    <w:unhideWhenUsed/>
    <w:rsid w:val="00655077"/>
    <w:pPr>
      <w:ind w:left="4320"/>
    </w:pPr>
  </w:style>
  <w:style w:type="character" w:customStyle="1" w:styleId="ClosingChar">
    <w:name w:val="Closing Char"/>
    <w:basedOn w:val="DefaultParagraphFont"/>
    <w:link w:val="Closing"/>
    <w:semiHidden/>
    <w:rsid w:val="00655077"/>
    <w:rPr>
      <w:sz w:val="24"/>
      <w:szCs w:val="24"/>
    </w:rPr>
  </w:style>
  <w:style w:type="paragraph" w:styleId="Date">
    <w:name w:val="Date"/>
    <w:basedOn w:val="Normal"/>
    <w:next w:val="Normal"/>
    <w:link w:val="DateChar"/>
    <w:rsid w:val="00655077"/>
  </w:style>
  <w:style w:type="character" w:customStyle="1" w:styleId="DateChar">
    <w:name w:val="Date Char"/>
    <w:basedOn w:val="DefaultParagraphFont"/>
    <w:link w:val="Date"/>
    <w:rsid w:val="00655077"/>
    <w:rPr>
      <w:sz w:val="24"/>
      <w:szCs w:val="24"/>
    </w:rPr>
  </w:style>
  <w:style w:type="paragraph" w:styleId="DocumentMap">
    <w:name w:val="Document Map"/>
    <w:basedOn w:val="Normal"/>
    <w:link w:val="DocumentMapChar"/>
    <w:semiHidden/>
    <w:unhideWhenUsed/>
    <w:rsid w:val="00655077"/>
    <w:rPr>
      <w:rFonts w:ascii="Segoe UI" w:hAnsi="Segoe UI" w:cs="Segoe UI"/>
      <w:sz w:val="16"/>
      <w:szCs w:val="16"/>
    </w:rPr>
  </w:style>
  <w:style w:type="character" w:customStyle="1" w:styleId="DocumentMapChar">
    <w:name w:val="Document Map Char"/>
    <w:basedOn w:val="DefaultParagraphFont"/>
    <w:link w:val="DocumentMap"/>
    <w:semiHidden/>
    <w:rsid w:val="00655077"/>
    <w:rPr>
      <w:rFonts w:ascii="Segoe UI" w:hAnsi="Segoe UI" w:cs="Segoe UI"/>
      <w:sz w:val="16"/>
      <w:szCs w:val="16"/>
    </w:rPr>
  </w:style>
  <w:style w:type="paragraph" w:styleId="E-mailSignature">
    <w:name w:val="E-mail Signature"/>
    <w:basedOn w:val="Normal"/>
    <w:link w:val="E-mailSignatureChar"/>
    <w:semiHidden/>
    <w:unhideWhenUsed/>
    <w:rsid w:val="00655077"/>
  </w:style>
  <w:style w:type="character" w:customStyle="1" w:styleId="E-mailSignatureChar">
    <w:name w:val="E-mail Signature Char"/>
    <w:basedOn w:val="DefaultParagraphFont"/>
    <w:link w:val="E-mailSignature"/>
    <w:semiHidden/>
    <w:rsid w:val="00655077"/>
    <w:rPr>
      <w:sz w:val="24"/>
      <w:szCs w:val="24"/>
    </w:rPr>
  </w:style>
  <w:style w:type="paragraph" w:styleId="EnvelopeAddress">
    <w:name w:val="envelope address"/>
    <w:basedOn w:val="Normal"/>
    <w:semiHidden/>
    <w:unhideWhenUsed/>
    <w:rsid w:val="0065507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655077"/>
    <w:rPr>
      <w:rFonts w:asciiTheme="majorHAnsi" w:eastAsiaTheme="majorEastAsia" w:hAnsiTheme="majorHAnsi" w:cstheme="majorBidi"/>
      <w:sz w:val="20"/>
      <w:szCs w:val="20"/>
    </w:rPr>
  </w:style>
  <w:style w:type="character" w:customStyle="1" w:styleId="Heading2Char">
    <w:name w:val="Heading 2 Char"/>
    <w:basedOn w:val="DefaultParagraphFont"/>
    <w:link w:val="Heading2"/>
    <w:semiHidden/>
    <w:rsid w:val="006550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65507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655077"/>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65507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65507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65507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6550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5507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655077"/>
    <w:rPr>
      <w:i/>
      <w:iCs/>
    </w:rPr>
  </w:style>
  <w:style w:type="character" w:customStyle="1" w:styleId="HTMLAddressChar">
    <w:name w:val="HTML Address Char"/>
    <w:basedOn w:val="DefaultParagraphFont"/>
    <w:link w:val="HTMLAddress"/>
    <w:semiHidden/>
    <w:rsid w:val="00655077"/>
    <w:rPr>
      <w:i/>
      <w:iCs/>
      <w:sz w:val="24"/>
      <w:szCs w:val="24"/>
    </w:rPr>
  </w:style>
  <w:style w:type="paragraph" w:styleId="HTMLPreformatted">
    <w:name w:val="HTML Preformatted"/>
    <w:basedOn w:val="Normal"/>
    <w:link w:val="HTMLPreformattedChar"/>
    <w:semiHidden/>
    <w:unhideWhenUsed/>
    <w:rsid w:val="00655077"/>
    <w:rPr>
      <w:rFonts w:ascii="Consolas" w:hAnsi="Consolas"/>
      <w:sz w:val="20"/>
      <w:szCs w:val="20"/>
    </w:rPr>
  </w:style>
  <w:style w:type="character" w:customStyle="1" w:styleId="HTMLPreformattedChar">
    <w:name w:val="HTML Preformatted Char"/>
    <w:basedOn w:val="DefaultParagraphFont"/>
    <w:link w:val="HTMLPreformatted"/>
    <w:semiHidden/>
    <w:rsid w:val="00655077"/>
    <w:rPr>
      <w:rFonts w:ascii="Consolas" w:hAnsi="Consolas"/>
    </w:rPr>
  </w:style>
  <w:style w:type="paragraph" w:styleId="Index1">
    <w:name w:val="index 1"/>
    <w:basedOn w:val="Normal"/>
    <w:next w:val="Normal"/>
    <w:autoRedefine/>
    <w:semiHidden/>
    <w:unhideWhenUsed/>
    <w:rsid w:val="00655077"/>
    <w:pPr>
      <w:ind w:left="240" w:hanging="240"/>
    </w:pPr>
  </w:style>
  <w:style w:type="paragraph" w:styleId="Index2">
    <w:name w:val="index 2"/>
    <w:basedOn w:val="Normal"/>
    <w:next w:val="Normal"/>
    <w:autoRedefine/>
    <w:semiHidden/>
    <w:unhideWhenUsed/>
    <w:rsid w:val="00655077"/>
    <w:pPr>
      <w:ind w:left="480" w:hanging="240"/>
    </w:pPr>
  </w:style>
  <w:style w:type="paragraph" w:styleId="Index3">
    <w:name w:val="index 3"/>
    <w:basedOn w:val="Normal"/>
    <w:next w:val="Normal"/>
    <w:autoRedefine/>
    <w:semiHidden/>
    <w:unhideWhenUsed/>
    <w:rsid w:val="00655077"/>
    <w:pPr>
      <w:ind w:left="720" w:hanging="240"/>
    </w:pPr>
  </w:style>
  <w:style w:type="paragraph" w:styleId="Index4">
    <w:name w:val="index 4"/>
    <w:basedOn w:val="Normal"/>
    <w:next w:val="Normal"/>
    <w:autoRedefine/>
    <w:semiHidden/>
    <w:unhideWhenUsed/>
    <w:rsid w:val="00655077"/>
    <w:pPr>
      <w:ind w:left="960" w:hanging="240"/>
    </w:pPr>
  </w:style>
  <w:style w:type="paragraph" w:styleId="Index5">
    <w:name w:val="index 5"/>
    <w:basedOn w:val="Normal"/>
    <w:next w:val="Normal"/>
    <w:autoRedefine/>
    <w:semiHidden/>
    <w:unhideWhenUsed/>
    <w:rsid w:val="00655077"/>
    <w:pPr>
      <w:ind w:left="1200" w:hanging="240"/>
    </w:pPr>
  </w:style>
  <w:style w:type="paragraph" w:styleId="Index6">
    <w:name w:val="index 6"/>
    <w:basedOn w:val="Normal"/>
    <w:next w:val="Normal"/>
    <w:autoRedefine/>
    <w:semiHidden/>
    <w:unhideWhenUsed/>
    <w:rsid w:val="00655077"/>
    <w:pPr>
      <w:ind w:left="1440" w:hanging="240"/>
    </w:pPr>
  </w:style>
  <w:style w:type="paragraph" w:styleId="Index7">
    <w:name w:val="index 7"/>
    <w:basedOn w:val="Normal"/>
    <w:next w:val="Normal"/>
    <w:autoRedefine/>
    <w:semiHidden/>
    <w:unhideWhenUsed/>
    <w:rsid w:val="00655077"/>
    <w:pPr>
      <w:ind w:left="1680" w:hanging="240"/>
    </w:pPr>
  </w:style>
  <w:style w:type="paragraph" w:styleId="Index8">
    <w:name w:val="index 8"/>
    <w:basedOn w:val="Normal"/>
    <w:next w:val="Normal"/>
    <w:autoRedefine/>
    <w:semiHidden/>
    <w:unhideWhenUsed/>
    <w:rsid w:val="00655077"/>
    <w:pPr>
      <w:ind w:left="1920" w:hanging="240"/>
    </w:pPr>
  </w:style>
  <w:style w:type="paragraph" w:styleId="Index9">
    <w:name w:val="index 9"/>
    <w:basedOn w:val="Normal"/>
    <w:next w:val="Normal"/>
    <w:autoRedefine/>
    <w:semiHidden/>
    <w:unhideWhenUsed/>
    <w:rsid w:val="00655077"/>
    <w:pPr>
      <w:ind w:left="2160" w:hanging="240"/>
    </w:pPr>
  </w:style>
  <w:style w:type="paragraph" w:styleId="IndexHeading">
    <w:name w:val="index heading"/>
    <w:basedOn w:val="Normal"/>
    <w:next w:val="Index1"/>
    <w:semiHidden/>
    <w:unhideWhenUsed/>
    <w:rsid w:val="0065507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5507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55077"/>
    <w:rPr>
      <w:i/>
      <w:iCs/>
      <w:color w:val="4F81BD" w:themeColor="accent1"/>
      <w:sz w:val="24"/>
      <w:szCs w:val="24"/>
    </w:rPr>
  </w:style>
  <w:style w:type="paragraph" w:styleId="List">
    <w:name w:val="List"/>
    <w:basedOn w:val="Normal"/>
    <w:semiHidden/>
    <w:unhideWhenUsed/>
    <w:rsid w:val="00655077"/>
    <w:pPr>
      <w:ind w:left="360" w:hanging="360"/>
      <w:contextualSpacing/>
    </w:pPr>
  </w:style>
  <w:style w:type="paragraph" w:styleId="List2">
    <w:name w:val="List 2"/>
    <w:basedOn w:val="Normal"/>
    <w:semiHidden/>
    <w:unhideWhenUsed/>
    <w:rsid w:val="00655077"/>
    <w:pPr>
      <w:ind w:left="720" w:hanging="360"/>
      <w:contextualSpacing/>
    </w:pPr>
  </w:style>
  <w:style w:type="paragraph" w:styleId="List3">
    <w:name w:val="List 3"/>
    <w:basedOn w:val="Normal"/>
    <w:semiHidden/>
    <w:unhideWhenUsed/>
    <w:rsid w:val="00655077"/>
    <w:pPr>
      <w:ind w:left="1080" w:hanging="360"/>
      <w:contextualSpacing/>
    </w:pPr>
  </w:style>
  <w:style w:type="paragraph" w:styleId="List4">
    <w:name w:val="List 4"/>
    <w:basedOn w:val="Normal"/>
    <w:rsid w:val="00655077"/>
    <w:pPr>
      <w:ind w:left="1440" w:hanging="360"/>
      <w:contextualSpacing/>
    </w:pPr>
  </w:style>
  <w:style w:type="paragraph" w:styleId="List5">
    <w:name w:val="List 5"/>
    <w:basedOn w:val="Normal"/>
    <w:rsid w:val="00655077"/>
    <w:pPr>
      <w:ind w:left="1800" w:hanging="360"/>
      <w:contextualSpacing/>
    </w:pPr>
  </w:style>
  <w:style w:type="paragraph" w:styleId="ListBullet">
    <w:name w:val="List Bullet"/>
    <w:basedOn w:val="Normal"/>
    <w:semiHidden/>
    <w:unhideWhenUsed/>
    <w:rsid w:val="00655077"/>
    <w:pPr>
      <w:numPr>
        <w:numId w:val="10"/>
      </w:numPr>
      <w:contextualSpacing/>
    </w:pPr>
  </w:style>
  <w:style w:type="paragraph" w:styleId="ListBullet2">
    <w:name w:val="List Bullet 2"/>
    <w:basedOn w:val="Normal"/>
    <w:semiHidden/>
    <w:unhideWhenUsed/>
    <w:rsid w:val="00655077"/>
    <w:pPr>
      <w:numPr>
        <w:numId w:val="11"/>
      </w:numPr>
      <w:contextualSpacing/>
    </w:pPr>
  </w:style>
  <w:style w:type="paragraph" w:styleId="ListBullet3">
    <w:name w:val="List Bullet 3"/>
    <w:basedOn w:val="Normal"/>
    <w:semiHidden/>
    <w:unhideWhenUsed/>
    <w:rsid w:val="00655077"/>
    <w:pPr>
      <w:numPr>
        <w:numId w:val="12"/>
      </w:numPr>
      <w:contextualSpacing/>
    </w:pPr>
  </w:style>
  <w:style w:type="paragraph" w:styleId="ListBullet4">
    <w:name w:val="List Bullet 4"/>
    <w:basedOn w:val="Normal"/>
    <w:semiHidden/>
    <w:unhideWhenUsed/>
    <w:rsid w:val="00655077"/>
    <w:pPr>
      <w:numPr>
        <w:numId w:val="13"/>
      </w:numPr>
      <w:contextualSpacing/>
    </w:pPr>
  </w:style>
  <w:style w:type="paragraph" w:styleId="ListBullet5">
    <w:name w:val="List Bullet 5"/>
    <w:basedOn w:val="Normal"/>
    <w:semiHidden/>
    <w:unhideWhenUsed/>
    <w:rsid w:val="00655077"/>
    <w:pPr>
      <w:numPr>
        <w:numId w:val="14"/>
      </w:numPr>
      <w:contextualSpacing/>
    </w:pPr>
  </w:style>
  <w:style w:type="paragraph" w:styleId="ListContinue">
    <w:name w:val="List Continue"/>
    <w:basedOn w:val="Normal"/>
    <w:semiHidden/>
    <w:unhideWhenUsed/>
    <w:rsid w:val="00655077"/>
    <w:pPr>
      <w:spacing w:after="120"/>
      <w:ind w:left="360"/>
      <w:contextualSpacing/>
    </w:pPr>
  </w:style>
  <w:style w:type="paragraph" w:styleId="ListContinue2">
    <w:name w:val="List Continue 2"/>
    <w:basedOn w:val="Normal"/>
    <w:semiHidden/>
    <w:unhideWhenUsed/>
    <w:rsid w:val="00655077"/>
    <w:pPr>
      <w:spacing w:after="120"/>
      <w:ind w:left="720"/>
      <w:contextualSpacing/>
    </w:pPr>
  </w:style>
  <w:style w:type="paragraph" w:styleId="ListContinue3">
    <w:name w:val="List Continue 3"/>
    <w:basedOn w:val="Normal"/>
    <w:semiHidden/>
    <w:unhideWhenUsed/>
    <w:rsid w:val="00655077"/>
    <w:pPr>
      <w:spacing w:after="120"/>
      <w:ind w:left="1080"/>
      <w:contextualSpacing/>
    </w:pPr>
  </w:style>
  <w:style w:type="paragraph" w:styleId="ListContinue4">
    <w:name w:val="List Continue 4"/>
    <w:basedOn w:val="Normal"/>
    <w:semiHidden/>
    <w:unhideWhenUsed/>
    <w:rsid w:val="00655077"/>
    <w:pPr>
      <w:spacing w:after="120"/>
      <w:ind w:left="1440"/>
      <w:contextualSpacing/>
    </w:pPr>
  </w:style>
  <w:style w:type="paragraph" w:styleId="ListContinue5">
    <w:name w:val="List Continue 5"/>
    <w:basedOn w:val="Normal"/>
    <w:semiHidden/>
    <w:unhideWhenUsed/>
    <w:rsid w:val="00655077"/>
    <w:pPr>
      <w:spacing w:after="120"/>
      <w:ind w:left="1800"/>
      <w:contextualSpacing/>
    </w:pPr>
  </w:style>
  <w:style w:type="paragraph" w:styleId="ListNumber">
    <w:name w:val="List Number"/>
    <w:basedOn w:val="Normal"/>
    <w:rsid w:val="00655077"/>
    <w:pPr>
      <w:numPr>
        <w:numId w:val="15"/>
      </w:numPr>
      <w:contextualSpacing/>
    </w:pPr>
  </w:style>
  <w:style w:type="paragraph" w:styleId="ListNumber2">
    <w:name w:val="List Number 2"/>
    <w:basedOn w:val="Normal"/>
    <w:semiHidden/>
    <w:unhideWhenUsed/>
    <w:rsid w:val="00655077"/>
    <w:pPr>
      <w:numPr>
        <w:numId w:val="16"/>
      </w:numPr>
      <w:contextualSpacing/>
    </w:pPr>
  </w:style>
  <w:style w:type="paragraph" w:styleId="ListNumber3">
    <w:name w:val="List Number 3"/>
    <w:basedOn w:val="Normal"/>
    <w:semiHidden/>
    <w:unhideWhenUsed/>
    <w:rsid w:val="00655077"/>
    <w:pPr>
      <w:numPr>
        <w:numId w:val="17"/>
      </w:numPr>
      <w:contextualSpacing/>
    </w:pPr>
  </w:style>
  <w:style w:type="paragraph" w:styleId="ListNumber4">
    <w:name w:val="List Number 4"/>
    <w:basedOn w:val="Normal"/>
    <w:semiHidden/>
    <w:unhideWhenUsed/>
    <w:rsid w:val="00655077"/>
    <w:pPr>
      <w:numPr>
        <w:numId w:val="18"/>
      </w:numPr>
      <w:contextualSpacing/>
    </w:pPr>
  </w:style>
  <w:style w:type="paragraph" w:styleId="ListNumber5">
    <w:name w:val="List Number 5"/>
    <w:basedOn w:val="Normal"/>
    <w:semiHidden/>
    <w:unhideWhenUsed/>
    <w:rsid w:val="00655077"/>
    <w:pPr>
      <w:numPr>
        <w:numId w:val="19"/>
      </w:numPr>
      <w:contextualSpacing/>
    </w:pPr>
  </w:style>
  <w:style w:type="paragraph" w:styleId="MacroText">
    <w:name w:val="macro"/>
    <w:link w:val="MacroTextChar"/>
    <w:semiHidden/>
    <w:unhideWhenUsed/>
    <w:rsid w:val="0065507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655077"/>
    <w:rPr>
      <w:rFonts w:ascii="Consolas" w:hAnsi="Consolas"/>
    </w:rPr>
  </w:style>
  <w:style w:type="paragraph" w:styleId="MessageHeader">
    <w:name w:val="Message Header"/>
    <w:basedOn w:val="Normal"/>
    <w:link w:val="MessageHeaderChar"/>
    <w:semiHidden/>
    <w:unhideWhenUsed/>
    <w:rsid w:val="006550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655077"/>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655077"/>
  </w:style>
  <w:style w:type="paragraph" w:styleId="NormalIndent">
    <w:name w:val="Normal Indent"/>
    <w:basedOn w:val="Normal"/>
    <w:semiHidden/>
    <w:unhideWhenUsed/>
    <w:rsid w:val="00655077"/>
    <w:pPr>
      <w:ind w:left="720"/>
    </w:pPr>
  </w:style>
  <w:style w:type="paragraph" w:styleId="NoteHeading">
    <w:name w:val="Note Heading"/>
    <w:basedOn w:val="Normal"/>
    <w:next w:val="Normal"/>
    <w:link w:val="NoteHeadingChar"/>
    <w:semiHidden/>
    <w:unhideWhenUsed/>
    <w:rsid w:val="00655077"/>
  </w:style>
  <w:style w:type="character" w:customStyle="1" w:styleId="NoteHeadingChar">
    <w:name w:val="Note Heading Char"/>
    <w:basedOn w:val="DefaultParagraphFont"/>
    <w:link w:val="NoteHeading"/>
    <w:semiHidden/>
    <w:rsid w:val="00655077"/>
    <w:rPr>
      <w:sz w:val="24"/>
      <w:szCs w:val="24"/>
    </w:rPr>
  </w:style>
  <w:style w:type="paragraph" w:styleId="PlainText">
    <w:name w:val="Plain Text"/>
    <w:basedOn w:val="Normal"/>
    <w:link w:val="PlainTextChar"/>
    <w:semiHidden/>
    <w:unhideWhenUsed/>
    <w:rsid w:val="00655077"/>
    <w:rPr>
      <w:rFonts w:ascii="Consolas" w:hAnsi="Consolas"/>
      <w:sz w:val="21"/>
      <w:szCs w:val="21"/>
    </w:rPr>
  </w:style>
  <w:style w:type="character" w:customStyle="1" w:styleId="PlainTextChar">
    <w:name w:val="Plain Text Char"/>
    <w:basedOn w:val="DefaultParagraphFont"/>
    <w:link w:val="PlainText"/>
    <w:semiHidden/>
    <w:rsid w:val="00655077"/>
    <w:rPr>
      <w:rFonts w:ascii="Consolas" w:hAnsi="Consolas"/>
      <w:sz w:val="21"/>
      <w:szCs w:val="21"/>
    </w:rPr>
  </w:style>
  <w:style w:type="paragraph" w:styleId="Quote">
    <w:name w:val="Quote"/>
    <w:basedOn w:val="Normal"/>
    <w:next w:val="Normal"/>
    <w:link w:val="QuoteChar"/>
    <w:uiPriority w:val="29"/>
    <w:qFormat/>
    <w:rsid w:val="006550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5077"/>
    <w:rPr>
      <w:i/>
      <w:iCs/>
      <w:color w:val="404040" w:themeColor="text1" w:themeTint="BF"/>
      <w:sz w:val="24"/>
      <w:szCs w:val="24"/>
    </w:rPr>
  </w:style>
  <w:style w:type="paragraph" w:styleId="Salutation">
    <w:name w:val="Salutation"/>
    <w:basedOn w:val="Normal"/>
    <w:next w:val="Normal"/>
    <w:link w:val="SalutationChar"/>
    <w:rsid w:val="00655077"/>
  </w:style>
  <w:style w:type="character" w:customStyle="1" w:styleId="SalutationChar">
    <w:name w:val="Salutation Char"/>
    <w:basedOn w:val="DefaultParagraphFont"/>
    <w:link w:val="Salutation"/>
    <w:rsid w:val="00655077"/>
    <w:rPr>
      <w:sz w:val="24"/>
      <w:szCs w:val="24"/>
    </w:rPr>
  </w:style>
  <w:style w:type="paragraph" w:styleId="Signature">
    <w:name w:val="Signature"/>
    <w:basedOn w:val="Normal"/>
    <w:link w:val="SignatureChar"/>
    <w:semiHidden/>
    <w:unhideWhenUsed/>
    <w:rsid w:val="00655077"/>
    <w:pPr>
      <w:ind w:left="4320"/>
    </w:pPr>
  </w:style>
  <w:style w:type="character" w:customStyle="1" w:styleId="SignatureChar">
    <w:name w:val="Signature Char"/>
    <w:basedOn w:val="DefaultParagraphFont"/>
    <w:link w:val="Signature"/>
    <w:semiHidden/>
    <w:rsid w:val="00655077"/>
    <w:rPr>
      <w:sz w:val="24"/>
      <w:szCs w:val="24"/>
    </w:rPr>
  </w:style>
  <w:style w:type="paragraph" w:styleId="Subtitle">
    <w:name w:val="Subtitle"/>
    <w:basedOn w:val="Normal"/>
    <w:next w:val="Normal"/>
    <w:link w:val="SubtitleChar"/>
    <w:qFormat/>
    <w:rsid w:val="006550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5077"/>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655077"/>
    <w:pPr>
      <w:ind w:left="240" w:hanging="240"/>
    </w:pPr>
  </w:style>
  <w:style w:type="paragraph" w:styleId="TableofFigures">
    <w:name w:val="table of figures"/>
    <w:basedOn w:val="Normal"/>
    <w:next w:val="Normal"/>
    <w:semiHidden/>
    <w:unhideWhenUsed/>
    <w:rsid w:val="00655077"/>
  </w:style>
  <w:style w:type="paragraph" w:styleId="Title">
    <w:name w:val="Title"/>
    <w:basedOn w:val="Normal"/>
    <w:next w:val="Normal"/>
    <w:link w:val="TitleChar"/>
    <w:qFormat/>
    <w:rsid w:val="006550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5077"/>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55077"/>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655077"/>
    <w:pPr>
      <w:spacing w:after="100"/>
    </w:pPr>
  </w:style>
  <w:style w:type="paragraph" w:styleId="TOC2">
    <w:name w:val="toc 2"/>
    <w:basedOn w:val="Normal"/>
    <w:next w:val="Normal"/>
    <w:autoRedefine/>
    <w:semiHidden/>
    <w:unhideWhenUsed/>
    <w:rsid w:val="00655077"/>
    <w:pPr>
      <w:spacing w:after="100"/>
      <w:ind w:left="240"/>
    </w:pPr>
  </w:style>
  <w:style w:type="paragraph" w:styleId="TOC3">
    <w:name w:val="toc 3"/>
    <w:basedOn w:val="Normal"/>
    <w:next w:val="Normal"/>
    <w:autoRedefine/>
    <w:semiHidden/>
    <w:unhideWhenUsed/>
    <w:rsid w:val="00655077"/>
    <w:pPr>
      <w:spacing w:after="100"/>
      <w:ind w:left="480"/>
    </w:pPr>
  </w:style>
  <w:style w:type="paragraph" w:styleId="TOC4">
    <w:name w:val="toc 4"/>
    <w:basedOn w:val="Normal"/>
    <w:next w:val="Normal"/>
    <w:autoRedefine/>
    <w:semiHidden/>
    <w:unhideWhenUsed/>
    <w:rsid w:val="00655077"/>
    <w:pPr>
      <w:spacing w:after="100"/>
      <w:ind w:left="720"/>
    </w:pPr>
  </w:style>
  <w:style w:type="paragraph" w:styleId="TOC5">
    <w:name w:val="toc 5"/>
    <w:basedOn w:val="Normal"/>
    <w:next w:val="Normal"/>
    <w:autoRedefine/>
    <w:semiHidden/>
    <w:unhideWhenUsed/>
    <w:rsid w:val="00655077"/>
    <w:pPr>
      <w:spacing w:after="100"/>
      <w:ind w:left="960"/>
    </w:pPr>
  </w:style>
  <w:style w:type="paragraph" w:styleId="TOC6">
    <w:name w:val="toc 6"/>
    <w:basedOn w:val="Normal"/>
    <w:next w:val="Normal"/>
    <w:autoRedefine/>
    <w:semiHidden/>
    <w:unhideWhenUsed/>
    <w:rsid w:val="00655077"/>
    <w:pPr>
      <w:spacing w:after="100"/>
      <w:ind w:left="1200"/>
    </w:pPr>
  </w:style>
  <w:style w:type="paragraph" w:styleId="TOC7">
    <w:name w:val="toc 7"/>
    <w:basedOn w:val="Normal"/>
    <w:next w:val="Normal"/>
    <w:autoRedefine/>
    <w:semiHidden/>
    <w:unhideWhenUsed/>
    <w:rsid w:val="00655077"/>
    <w:pPr>
      <w:spacing w:after="100"/>
      <w:ind w:left="1440"/>
    </w:pPr>
  </w:style>
  <w:style w:type="paragraph" w:styleId="TOC8">
    <w:name w:val="toc 8"/>
    <w:basedOn w:val="Normal"/>
    <w:next w:val="Normal"/>
    <w:autoRedefine/>
    <w:semiHidden/>
    <w:unhideWhenUsed/>
    <w:rsid w:val="00655077"/>
    <w:pPr>
      <w:spacing w:after="100"/>
      <w:ind w:left="1680"/>
    </w:pPr>
  </w:style>
  <w:style w:type="paragraph" w:styleId="TOC9">
    <w:name w:val="toc 9"/>
    <w:basedOn w:val="Normal"/>
    <w:next w:val="Normal"/>
    <w:autoRedefine/>
    <w:semiHidden/>
    <w:unhideWhenUsed/>
    <w:rsid w:val="00655077"/>
    <w:pPr>
      <w:spacing w:after="100"/>
      <w:ind w:left="1920"/>
    </w:pPr>
  </w:style>
  <w:style w:type="paragraph" w:styleId="TOCHeading">
    <w:name w:val="TOC Heading"/>
    <w:basedOn w:val="Heading1"/>
    <w:next w:val="Normal"/>
    <w:uiPriority w:val="39"/>
    <w:semiHidden/>
    <w:unhideWhenUsed/>
    <w:qFormat/>
    <w:rsid w:val="00655077"/>
    <w:pPr>
      <w:keepNext/>
      <w:keepLines/>
      <w:spacing w:after="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657074319">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tc.wa.gov"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2016-01-14T08:00:00+00:00</OpenedDate>
    <Date1 xmlns="dc463f71-b30c-4ab2-9473-d307f9d35888">2016-03-10T08:00:00+00:00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E34A991C90CF4696311095A82F1A55" ma:contentTypeVersion="104" ma:contentTypeDescription="" ma:contentTypeScope="" ma:versionID="657348ab803857543a909506ce5b37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4ADE-DFA2-4AF7-B699-5DEA0D70AD6B}"/>
</file>

<file path=customXml/itemProps2.xml><?xml version="1.0" encoding="utf-8"?>
<ds:datastoreItem xmlns:ds="http://schemas.openxmlformats.org/officeDocument/2006/customXml" ds:itemID="{61DF372F-5F23-4DD6-BCCA-FBFC671B0AFD}"/>
</file>

<file path=customXml/itemProps3.xml><?xml version="1.0" encoding="utf-8"?>
<ds:datastoreItem xmlns:ds="http://schemas.openxmlformats.org/officeDocument/2006/customXml" ds:itemID="{C7FCE323-5B34-4132-8CFD-57B0A55F0070}"/>
</file>

<file path=customXml/itemProps4.xml><?xml version="1.0" encoding="utf-8"?>
<ds:datastoreItem xmlns:ds="http://schemas.openxmlformats.org/officeDocument/2006/customXml" ds:itemID="{CFDC6D70-3BA1-4C8C-AD0A-366DA6D28C84}"/>
</file>

<file path=customXml/itemProps5.xml><?xml version="1.0" encoding="utf-8"?>
<ds:datastoreItem xmlns:ds="http://schemas.openxmlformats.org/officeDocument/2006/customXml" ds:itemID="{D4726A37-DB1D-4E8B-90C8-59B135FBA322}"/>
</file>

<file path=customXml/itemProps6.xml><?xml version="1.0" encoding="utf-8"?>
<ds:datastoreItem xmlns:ds="http://schemas.openxmlformats.org/officeDocument/2006/customXml" ds:itemID="{DF41F116-77B4-456D-B095-BFA5787E4CF6}"/>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Avista Electric Vehicle Charger Pilot</vt:lpstr>
    </vt:vector>
  </TitlesOfParts>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Electric Vehicle Charger Pilot</dc:title>
  <dc:creator/>
  <cp:lastModifiedBy/>
  <cp:revision>1</cp:revision>
  <dcterms:created xsi:type="dcterms:W3CDTF">2016-03-08T01:24:00Z</dcterms:created>
  <dcterms:modified xsi:type="dcterms:W3CDTF">2016-03-08T01:24:00Z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0x0101006E56B4D1795A2E4DB2F0B01679ED314A001EE34A991C90CF4696311095A82F1A55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