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52FA6" w14:textId="77777777" w:rsidR="004D5756" w:rsidRDefault="004D5756">
      <w:pPr>
        <w:rPr>
          <w:b/>
        </w:rPr>
      </w:pPr>
      <w:bookmarkStart w:id="0" w:name="_GoBack"/>
      <w:bookmarkEnd w:id="0"/>
      <w:r w:rsidRPr="004D5756">
        <w:rPr>
          <w:b/>
        </w:rPr>
        <w:t>Summary</w:t>
      </w:r>
    </w:p>
    <w:p w14:paraId="5EB1D250" w14:textId="77777777" w:rsidR="00135CE0" w:rsidRDefault="004D5756">
      <w:r>
        <w:t xml:space="preserve">This memo details an analysis of the cost-effectiveness of Energy Trust energy efficiency measures in Northwest Natural’s </w:t>
      </w:r>
      <w:r w:rsidR="005C05C2">
        <w:t xml:space="preserve">(NWN) </w:t>
      </w:r>
      <w:r>
        <w:t xml:space="preserve">Washington service territory using two different sets of avoided cost (AC) values. </w:t>
      </w:r>
      <w:r w:rsidR="00676C3D" w:rsidRPr="005C05C2">
        <w:t xml:space="preserve">Historically, since Energy Trust began delivering energy efficiency programs to NWN’s Washington customers, the Washington territory has been considered an extension of the Oregon territory and has been delivered by Energy Trust’s existing programs in order to capture and benefit from economies of scale in delivery and outreach and maintain a consistent market structure. </w:t>
      </w:r>
    </w:p>
    <w:p w14:paraId="66DE2D30" w14:textId="77777777" w:rsidR="001A6270" w:rsidRDefault="00676C3D">
      <w:r w:rsidRPr="005C05C2">
        <w:t>Energy Trust has always used a</w:t>
      </w:r>
      <w:r w:rsidR="005C05C2">
        <w:t>n</w:t>
      </w:r>
      <w:r w:rsidR="001A6270">
        <w:t xml:space="preserve"> ‘Energy Trust</w:t>
      </w:r>
      <w:r w:rsidRPr="005C05C2">
        <w:t xml:space="preserve"> </w:t>
      </w:r>
      <w:r w:rsidR="005C05C2">
        <w:t>AC</w:t>
      </w:r>
      <w:r w:rsidR="001A6270">
        <w:t>’</w:t>
      </w:r>
      <w:r w:rsidRPr="005C05C2">
        <w:t xml:space="preserve">, which is a weighted blend of </w:t>
      </w:r>
      <w:r w:rsidR="005C05C2">
        <w:t>AC</w:t>
      </w:r>
      <w:r w:rsidRPr="005C05C2">
        <w:t xml:space="preserve"> values from NWN and the other gas company in our territory, Cascade Natural Gas. We take each company’s </w:t>
      </w:r>
      <w:r w:rsidR="005C05C2">
        <w:t>ACs</w:t>
      </w:r>
      <w:r w:rsidRPr="005C05C2">
        <w:t>, weighted average cost of capital</w:t>
      </w:r>
      <w:r w:rsidR="00702355">
        <w:t xml:space="preserve"> (WACC)</w:t>
      </w:r>
      <w:r w:rsidR="00932E26">
        <w:t>,</w:t>
      </w:r>
      <w:r w:rsidRPr="005C05C2">
        <w:t xml:space="preserve"> and inflation assumptions, weight these values by % of Revenue (91% NWN, 9% CNG in 2014), then apply the 10% conservation act adder and most recently a premium (hedge) value developed by NWN in May, 2015. </w:t>
      </w:r>
      <w:r w:rsidR="005C05C2">
        <w:t xml:space="preserve">ACs </w:t>
      </w:r>
      <w:r w:rsidRPr="005C05C2">
        <w:t>provided to us in the past</w:t>
      </w:r>
      <w:r w:rsidR="005C05C2">
        <w:t xml:space="preserve"> from NWN</w:t>
      </w:r>
      <w:r w:rsidRPr="005C05C2">
        <w:t xml:space="preserve"> have been ‘system-wide’, and have covered both states. </w:t>
      </w:r>
      <w:r w:rsidR="00932E26">
        <w:t xml:space="preserve">Energy Trust uses a discount rate of 4.5%, which is the weighted average of </w:t>
      </w:r>
      <w:r w:rsidR="00702355">
        <w:t xml:space="preserve">the WACCs of </w:t>
      </w:r>
      <w:r w:rsidR="00932E26">
        <w:t xml:space="preserve">all the </w:t>
      </w:r>
      <w:r w:rsidR="008118A0">
        <w:t xml:space="preserve">investor-owned </w:t>
      </w:r>
      <w:r w:rsidR="00932E26">
        <w:t>utilities in Energy Trust</w:t>
      </w:r>
      <w:r w:rsidR="008118A0">
        <w:t>’</w:t>
      </w:r>
      <w:r w:rsidR="00932E26">
        <w:t>s service territory.</w:t>
      </w:r>
    </w:p>
    <w:p w14:paraId="74787A61" w14:textId="77777777" w:rsidR="001A6270" w:rsidRDefault="001A6270">
      <w:r w:rsidRPr="001A6270">
        <w:t xml:space="preserve">Energy Trust most recently updated its blended </w:t>
      </w:r>
      <w:r>
        <w:t>AC</w:t>
      </w:r>
      <w:r w:rsidRPr="001A6270">
        <w:t xml:space="preserve"> in June, 2015 using the methodology described above. We utilized </w:t>
      </w:r>
      <w:r>
        <w:t>AC</w:t>
      </w:r>
      <w:r w:rsidRPr="001A6270">
        <w:t xml:space="preserve"> streams from </w:t>
      </w:r>
      <w:r>
        <w:t>NWN</w:t>
      </w:r>
      <w:r w:rsidRPr="001A6270">
        <w:t xml:space="preserve"> and Cascade Natural Gas’s 2014 and 2015 respective IRPs to screen prescriptive and custom measures for the 2016 program year. The base (start) year for NWN’s 2014 20-year stream of values was simply moved forward, thus Energy Trust’s 2016 blended </w:t>
      </w:r>
      <w:r>
        <w:t>AC</w:t>
      </w:r>
      <w:r w:rsidRPr="001A6270">
        <w:t xml:space="preserve"> be</w:t>
      </w:r>
      <w:r>
        <w:t>gin</w:t>
      </w:r>
      <w:r w:rsidR="008118A0">
        <w:t>s</w:t>
      </w:r>
      <w:r>
        <w:t xml:space="preserve"> using NWN’s 2016-year value</w:t>
      </w:r>
      <w:r w:rsidRPr="001A6270">
        <w:t xml:space="preserve"> (and do not use the 2014-15 years) and hold the 18th year constant into the 70th year</w:t>
      </w:r>
      <w:r>
        <w:t xml:space="preserve"> to cover all potential measure lifetimes</w:t>
      </w:r>
      <w:r w:rsidRPr="001A6270">
        <w:t xml:space="preserve">. Energy Trust 2016 program planning and measure screening has </w:t>
      </w:r>
      <w:r>
        <w:t>already been completed with Energy Trust’s ‘</w:t>
      </w:r>
      <w:r w:rsidRPr="001A6270">
        <w:t>blended</w:t>
      </w:r>
      <w:r>
        <w:t>’</w:t>
      </w:r>
      <w:r w:rsidRPr="001A6270">
        <w:t xml:space="preserve"> </w:t>
      </w:r>
      <w:r>
        <w:t>ACs</w:t>
      </w:r>
      <w:r w:rsidRPr="001A6270">
        <w:t>.</w:t>
      </w:r>
    </w:p>
    <w:p w14:paraId="4CFBC350" w14:textId="77777777" w:rsidR="001A6270" w:rsidRDefault="001A6270" w:rsidP="001A6270">
      <w:r>
        <w:t>Recently, at the request of the Washington Utility and Transportation Commission (WUTC), NWN has developed ACs that are specific to their Washington territory and include a capacity cost value to represent several expected capital-intensive distribution projects that specifically serve the Washington territory</w:t>
      </w:r>
      <w:r w:rsidR="00135CE0">
        <w:t>. This AC uses</w:t>
      </w:r>
      <w:r w:rsidR="00932E26">
        <w:t xml:space="preserve"> </w:t>
      </w:r>
      <w:r w:rsidR="00135CE0">
        <w:t xml:space="preserve">the same 20 year stream of values published in the 2014 IRP (and used by the Energy Trust in their base blended AC) moved forward two </w:t>
      </w:r>
      <w:r w:rsidR="00702355">
        <w:t>years. It is converted into 2016 real</w:t>
      </w:r>
      <w:r w:rsidR="00135CE0">
        <w:t xml:space="preserve"> dollars and uses a Washington-specific</w:t>
      </w:r>
      <w:r w:rsidR="00932E26">
        <w:t xml:space="preserve"> discount rate of</w:t>
      </w:r>
      <w:r w:rsidR="00135CE0">
        <w:t xml:space="preserve"> 5.09</w:t>
      </w:r>
      <w:r w:rsidR="00932E26">
        <w:t>%</w:t>
      </w:r>
      <w:r w:rsidR="00135CE0">
        <w:t xml:space="preserve"> and does not include the premium (hedge) value added to Energy Trust’s blended AC</w:t>
      </w:r>
      <w:r>
        <w:t xml:space="preserve">.  </w:t>
      </w:r>
      <w:r w:rsidR="00135CE0">
        <w:t xml:space="preserve">So essentially it is the </w:t>
      </w:r>
      <w:r w:rsidR="00702355">
        <w:t>same as the Energy Trust blended AC but with the hedge value removed and the capacity cost deferral value added in. Both ACs have</w:t>
      </w:r>
      <w:r w:rsidR="00135CE0">
        <w:t xml:space="preserve"> the 10% Conservation Act </w:t>
      </w:r>
      <w:r w:rsidR="005D5F4B">
        <w:t>adder</w:t>
      </w:r>
      <w:r w:rsidR="00135CE0">
        <w:t xml:space="preserve">. </w:t>
      </w:r>
      <w:r>
        <w:t>The following analysis reviews the differences and impacts that these Washington-specific ACs have and do not have on the cost effectiveness of Energy Trust’s Washington measures and program</w:t>
      </w:r>
      <w:r w:rsidR="005D5F4B">
        <w:t xml:space="preserve"> as developed using the ‘blended AC’</w:t>
      </w:r>
      <w:r>
        <w:t>.</w:t>
      </w:r>
    </w:p>
    <w:p w14:paraId="7180B970" w14:textId="77777777" w:rsidR="00125074" w:rsidRDefault="00A8269B" w:rsidP="00125074">
      <w:pPr>
        <w:jc w:val="center"/>
      </w:pPr>
      <w:r>
        <w:rPr>
          <w:noProof/>
        </w:rPr>
        <w:lastRenderedPageBreak/>
        <w:drawing>
          <wp:inline distT="0" distB="0" distL="0" distR="0" wp14:anchorId="49E8B2CA" wp14:editId="7F1FDBF3">
            <wp:extent cx="4619708" cy="314120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6387" cy="3159350"/>
                    </a:xfrm>
                    <a:prstGeom prst="rect">
                      <a:avLst/>
                    </a:prstGeom>
                    <a:noFill/>
                  </pic:spPr>
                </pic:pic>
              </a:graphicData>
            </a:graphic>
          </wp:inline>
        </w:drawing>
      </w:r>
    </w:p>
    <w:p w14:paraId="7256F4AC" w14:textId="77777777" w:rsidR="00A8269B" w:rsidRDefault="00A8269B">
      <w:pPr>
        <w:rPr>
          <w:b/>
        </w:rPr>
      </w:pPr>
    </w:p>
    <w:p w14:paraId="0CF55569" w14:textId="77777777" w:rsidR="00C90C77" w:rsidRPr="00C90C77" w:rsidRDefault="00C90C77">
      <w:pPr>
        <w:rPr>
          <w:b/>
        </w:rPr>
      </w:pPr>
      <w:r w:rsidRPr="00C90C77">
        <w:rPr>
          <w:b/>
        </w:rPr>
        <w:t>Residential Programs</w:t>
      </w:r>
    </w:p>
    <w:p w14:paraId="3ADA586A" w14:textId="77777777" w:rsidR="00C90C77" w:rsidRDefault="00C90C77">
      <w:pPr>
        <w:rPr>
          <w:b/>
          <w:u w:val="single"/>
        </w:rPr>
      </w:pPr>
      <w:r>
        <w:t>This section covers the Residential programs of the Washington territory, which includes the Existing Homes, New Homes and Products programs.</w:t>
      </w:r>
    </w:p>
    <w:p w14:paraId="657EA7FB" w14:textId="77777777" w:rsidR="00480687" w:rsidRPr="00064E49" w:rsidRDefault="00480687">
      <w:pPr>
        <w:rPr>
          <w:b/>
          <w:u w:val="single"/>
        </w:rPr>
      </w:pPr>
      <w:r w:rsidRPr="00064E49">
        <w:rPr>
          <w:b/>
          <w:u w:val="single"/>
        </w:rPr>
        <w:t>Residential: UCT</w:t>
      </w:r>
    </w:p>
    <w:p w14:paraId="46FF4158" w14:textId="77777777" w:rsidR="00BA4277" w:rsidRPr="00125637" w:rsidRDefault="00932E26">
      <w:r w:rsidRPr="00125637">
        <w:t>After running the measures through our cost effectiveness tool with each set of AC values, the ‘blended’ and the ‘Washington-specific’, we found t</w:t>
      </w:r>
      <w:r w:rsidR="00480687" w:rsidRPr="00125637">
        <w:t xml:space="preserve">he impact to </w:t>
      </w:r>
      <w:r w:rsidR="007E2BA5" w:rsidRPr="00125637">
        <w:t>ACs</w:t>
      </w:r>
      <w:r w:rsidRPr="00125637">
        <w:t xml:space="preserve"> on a per measure basis ranging</w:t>
      </w:r>
      <w:r w:rsidR="00480687" w:rsidRPr="00125637">
        <w:t xml:space="preserve"> between </w:t>
      </w:r>
      <w:r w:rsidR="00702355" w:rsidRPr="00125637">
        <w:t>16% and 22</w:t>
      </w:r>
      <w:r w:rsidR="00362E69" w:rsidRPr="00125637">
        <w:t>%</w:t>
      </w:r>
      <w:r w:rsidR="00A54E94" w:rsidRPr="00125637">
        <w:t xml:space="preserve"> for Residential measures</w:t>
      </w:r>
      <w:r w:rsidR="00362E69" w:rsidRPr="00125637">
        <w:t xml:space="preserve">. </w:t>
      </w:r>
      <w:r w:rsidR="00A54E94" w:rsidRPr="00125637">
        <w:t xml:space="preserve">The </w:t>
      </w:r>
      <w:r w:rsidR="008118A0" w:rsidRPr="00125637">
        <w:t>three</w:t>
      </w:r>
      <w:r w:rsidR="00A54E94" w:rsidRPr="00125637">
        <w:t xml:space="preserve"> key drivers of this range of values are the </w:t>
      </w:r>
      <w:r w:rsidR="001A6270" w:rsidRPr="00125637">
        <w:t>measure life</w:t>
      </w:r>
      <w:r w:rsidR="008118A0" w:rsidRPr="00125637">
        <w:t>, discount rate</w:t>
      </w:r>
      <w:r w:rsidR="001A6270" w:rsidRPr="00125637">
        <w:t xml:space="preserve"> and the load profile of the particular measure</w:t>
      </w:r>
      <w:r w:rsidRPr="00125637">
        <w:t xml:space="preserve">, though the measure life has the most significant impact. </w:t>
      </w:r>
      <w:r w:rsidR="008118A0" w:rsidRPr="00125637">
        <w:t>T</w:t>
      </w:r>
      <w:r w:rsidRPr="00125637">
        <w:t xml:space="preserve">he Washington-specific AC 20-year stream of values is </w:t>
      </w:r>
      <w:r w:rsidR="00702355" w:rsidRPr="00125637">
        <w:t>proportionately higher</w:t>
      </w:r>
      <w:r w:rsidRPr="00125637">
        <w:t xml:space="preserve"> in the early years tha</w:t>
      </w:r>
      <w:r w:rsidR="00702355" w:rsidRPr="00125637">
        <w:t xml:space="preserve">n the ‘blended’ values, and not quite as high </w:t>
      </w:r>
      <w:r w:rsidR="00BA4277" w:rsidRPr="00125637">
        <w:t xml:space="preserve">in the later years. </w:t>
      </w:r>
      <w:r w:rsidR="00125637" w:rsidRPr="00125637">
        <w:t>This results in measures with liv</w:t>
      </w:r>
      <w:r w:rsidR="00BA4277" w:rsidRPr="00125637">
        <w:t>e</w:t>
      </w:r>
      <w:r w:rsidR="00125637" w:rsidRPr="00125637">
        <w:t>s</w:t>
      </w:r>
      <w:r w:rsidR="00BA4277" w:rsidRPr="00125637">
        <w:t xml:space="preserve"> </w:t>
      </w:r>
      <w:r w:rsidR="00125637" w:rsidRPr="00125637">
        <w:t>around 20 years and less being in the 20%+ range and measures with lives of over 25 years being in the high teens.</w:t>
      </w:r>
    </w:p>
    <w:p w14:paraId="497A9BCB" w14:textId="77777777" w:rsidR="00480687" w:rsidRPr="00125637" w:rsidRDefault="00BA4277">
      <w:r w:rsidRPr="00125637">
        <w:t>Table 1 below shows the range of % change to AC encountered</w:t>
      </w:r>
      <w:r w:rsidR="008118A0" w:rsidRPr="00125637">
        <w:t xml:space="preserve"> in the residential measure mix.</w:t>
      </w:r>
      <w:r w:rsidRPr="00125637">
        <w:t xml:space="preserve"> Because there are a limited number of load profile and measure life combinations, there are a limited number of % changes</w:t>
      </w:r>
      <w:r w:rsidR="008118A0" w:rsidRPr="00125637">
        <w:t xml:space="preserve"> to the AC</w:t>
      </w:r>
      <w:r w:rsidRPr="00125637">
        <w:t xml:space="preserve">, and Table 1 shows these % changes and </w:t>
      </w:r>
      <w:r w:rsidR="008118A0" w:rsidRPr="00125637">
        <w:t>the number of measures affected.</w:t>
      </w:r>
      <w:r w:rsidRPr="00125637">
        <w:t xml:space="preserve"> It also shows the % of the total number of measures impacted. Something to bear in mind is that b</w:t>
      </w:r>
      <w:r w:rsidR="007E2BA5" w:rsidRPr="00125637">
        <w:t xml:space="preserve">ecause AC is the only assumption on the Benefit side of the UCT ratio, the % change to AC and the </w:t>
      </w:r>
      <w:r w:rsidRPr="00125637">
        <w:t xml:space="preserve">measure’s </w:t>
      </w:r>
      <w:r w:rsidR="007E2BA5" w:rsidRPr="00125637">
        <w:t xml:space="preserve">UCT score are identical. </w:t>
      </w:r>
      <w:r w:rsidR="00362E69" w:rsidRPr="00125637">
        <w:t xml:space="preserve">The distribution of this impact is shown in Table 1. </w:t>
      </w:r>
    </w:p>
    <w:p w14:paraId="7FB797E1" w14:textId="77777777" w:rsidR="00362E69" w:rsidRPr="00362E69" w:rsidRDefault="00362E69" w:rsidP="00A779D1">
      <w:pPr>
        <w:spacing w:after="120"/>
        <w:rPr>
          <w:b/>
        </w:rPr>
      </w:pPr>
      <w:r w:rsidRPr="00362E69">
        <w:rPr>
          <w:b/>
        </w:rPr>
        <w:t>Table 1.</w:t>
      </w:r>
      <w:r>
        <w:rPr>
          <w:b/>
        </w:rPr>
        <w:t xml:space="preserve"> Showing the range of % change to </w:t>
      </w:r>
      <w:r w:rsidR="00A779D1">
        <w:rPr>
          <w:b/>
        </w:rPr>
        <w:t>AC and UCT</w:t>
      </w:r>
      <w:r>
        <w:rPr>
          <w:b/>
        </w:rPr>
        <w:t>. Includes # and % of measures impacted.</w:t>
      </w:r>
    </w:p>
    <w:tbl>
      <w:tblPr>
        <w:tblStyle w:val="PlainTable11"/>
        <w:tblW w:w="0" w:type="auto"/>
        <w:jc w:val="center"/>
        <w:tblLook w:val="04A0" w:firstRow="1" w:lastRow="0" w:firstColumn="1" w:lastColumn="0" w:noHBand="0" w:noVBand="1"/>
      </w:tblPr>
      <w:tblGrid>
        <w:gridCol w:w="1975"/>
        <w:gridCol w:w="2430"/>
        <w:gridCol w:w="1170"/>
      </w:tblGrid>
      <w:tr w:rsidR="00A8269B" w:rsidRPr="00A8269B" w14:paraId="2FEECF2D" w14:textId="77777777" w:rsidTr="003934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auto"/>
            </w:tcBorders>
            <w:noWrap/>
            <w:hideMark/>
          </w:tcPr>
          <w:p w14:paraId="414A8A79" w14:textId="77777777" w:rsidR="00A8269B" w:rsidRPr="00A8269B" w:rsidRDefault="00A8269B">
            <w:r w:rsidRPr="00A8269B">
              <w:t>% Change  AC</w:t>
            </w:r>
            <w:r w:rsidR="003934A8">
              <w:t>/UCT</w:t>
            </w:r>
          </w:p>
        </w:tc>
        <w:tc>
          <w:tcPr>
            <w:tcW w:w="2430" w:type="dxa"/>
            <w:tcBorders>
              <w:bottom w:val="single" w:sz="4" w:space="0" w:color="auto"/>
            </w:tcBorders>
            <w:noWrap/>
            <w:hideMark/>
          </w:tcPr>
          <w:p w14:paraId="63AF27FC" w14:textId="77777777" w:rsidR="00A8269B" w:rsidRPr="00A8269B" w:rsidRDefault="00A8269B">
            <w:pPr>
              <w:cnfStyle w:val="100000000000" w:firstRow="1" w:lastRow="0" w:firstColumn="0" w:lastColumn="0" w:oddVBand="0" w:evenVBand="0" w:oddHBand="0" w:evenHBand="0" w:firstRowFirstColumn="0" w:firstRowLastColumn="0" w:lastRowFirstColumn="0" w:lastRowLastColumn="0"/>
            </w:pPr>
            <w:r w:rsidRPr="00A8269B">
              <w:t># of affected measures</w:t>
            </w:r>
          </w:p>
        </w:tc>
        <w:tc>
          <w:tcPr>
            <w:tcW w:w="1170" w:type="dxa"/>
            <w:tcBorders>
              <w:bottom w:val="single" w:sz="4" w:space="0" w:color="auto"/>
            </w:tcBorders>
            <w:noWrap/>
            <w:hideMark/>
          </w:tcPr>
          <w:p w14:paraId="519DDB31" w14:textId="77777777" w:rsidR="00A8269B" w:rsidRPr="00A8269B" w:rsidRDefault="00A8269B">
            <w:pPr>
              <w:cnfStyle w:val="100000000000" w:firstRow="1" w:lastRow="0" w:firstColumn="0" w:lastColumn="0" w:oddVBand="0" w:evenVBand="0" w:oddHBand="0" w:evenHBand="0" w:firstRowFirstColumn="0" w:firstRowLastColumn="0" w:lastRowFirstColumn="0" w:lastRowLastColumn="0"/>
            </w:pPr>
            <w:r w:rsidRPr="00A8269B">
              <w:t>% of Total</w:t>
            </w:r>
          </w:p>
        </w:tc>
      </w:tr>
      <w:tr w:rsidR="00A8269B" w:rsidRPr="00A8269B" w14:paraId="1E27A60C" w14:textId="77777777" w:rsidTr="003934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tcBorders>
            <w:noWrap/>
            <w:hideMark/>
          </w:tcPr>
          <w:p w14:paraId="778ECC28" w14:textId="77777777" w:rsidR="00A8269B" w:rsidRPr="00A8269B" w:rsidRDefault="00A8269B" w:rsidP="00A8269B">
            <w:pPr>
              <w:jc w:val="center"/>
            </w:pPr>
            <w:r w:rsidRPr="00A8269B">
              <w:t>16%</w:t>
            </w:r>
          </w:p>
        </w:tc>
        <w:tc>
          <w:tcPr>
            <w:tcW w:w="2430" w:type="dxa"/>
            <w:tcBorders>
              <w:top w:val="single" w:sz="4" w:space="0" w:color="auto"/>
            </w:tcBorders>
            <w:noWrap/>
            <w:hideMark/>
          </w:tcPr>
          <w:p w14:paraId="3C3B206E"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6</w:t>
            </w:r>
          </w:p>
        </w:tc>
        <w:tc>
          <w:tcPr>
            <w:tcW w:w="1170" w:type="dxa"/>
            <w:tcBorders>
              <w:top w:val="single" w:sz="4" w:space="0" w:color="auto"/>
            </w:tcBorders>
            <w:noWrap/>
            <w:hideMark/>
          </w:tcPr>
          <w:p w14:paraId="4357E637"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16%</w:t>
            </w:r>
          </w:p>
        </w:tc>
      </w:tr>
      <w:tr w:rsidR="00A8269B" w:rsidRPr="00A8269B" w14:paraId="198CB341" w14:textId="77777777" w:rsidTr="003934A8">
        <w:trPr>
          <w:trHeight w:val="300"/>
          <w:jc w:val="center"/>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219DA92" w14:textId="77777777" w:rsidR="00A8269B" w:rsidRPr="00A8269B" w:rsidRDefault="00A8269B" w:rsidP="00A8269B">
            <w:pPr>
              <w:jc w:val="center"/>
            </w:pPr>
            <w:r w:rsidRPr="00A8269B">
              <w:t>17%</w:t>
            </w:r>
          </w:p>
        </w:tc>
        <w:tc>
          <w:tcPr>
            <w:tcW w:w="2430" w:type="dxa"/>
            <w:noWrap/>
            <w:hideMark/>
          </w:tcPr>
          <w:p w14:paraId="64E3066D"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2</w:t>
            </w:r>
          </w:p>
        </w:tc>
        <w:tc>
          <w:tcPr>
            <w:tcW w:w="1170" w:type="dxa"/>
            <w:noWrap/>
            <w:hideMark/>
          </w:tcPr>
          <w:p w14:paraId="747A794F"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5%</w:t>
            </w:r>
          </w:p>
        </w:tc>
      </w:tr>
      <w:tr w:rsidR="00A8269B" w:rsidRPr="00A8269B" w14:paraId="3C948F4B" w14:textId="77777777" w:rsidTr="003934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5C5794A" w14:textId="77777777" w:rsidR="00A8269B" w:rsidRPr="00A8269B" w:rsidRDefault="00A8269B" w:rsidP="00A8269B">
            <w:pPr>
              <w:jc w:val="center"/>
            </w:pPr>
            <w:r w:rsidRPr="00A8269B">
              <w:lastRenderedPageBreak/>
              <w:t>21%</w:t>
            </w:r>
          </w:p>
        </w:tc>
        <w:tc>
          <w:tcPr>
            <w:tcW w:w="2430" w:type="dxa"/>
            <w:noWrap/>
            <w:hideMark/>
          </w:tcPr>
          <w:p w14:paraId="43CAD9F5"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21</w:t>
            </w:r>
          </w:p>
        </w:tc>
        <w:tc>
          <w:tcPr>
            <w:tcW w:w="1170" w:type="dxa"/>
            <w:noWrap/>
            <w:hideMark/>
          </w:tcPr>
          <w:p w14:paraId="5818702F"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57%</w:t>
            </w:r>
          </w:p>
        </w:tc>
      </w:tr>
      <w:tr w:rsidR="00A8269B" w:rsidRPr="00A8269B" w14:paraId="6EACEF22" w14:textId="77777777" w:rsidTr="003934A8">
        <w:trPr>
          <w:trHeight w:val="300"/>
          <w:jc w:val="center"/>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A4A1061" w14:textId="77777777" w:rsidR="00A8269B" w:rsidRPr="00A8269B" w:rsidRDefault="00A8269B" w:rsidP="00A8269B">
            <w:pPr>
              <w:jc w:val="center"/>
            </w:pPr>
            <w:r w:rsidRPr="00A8269B">
              <w:t>20%</w:t>
            </w:r>
          </w:p>
        </w:tc>
        <w:tc>
          <w:tcPr>
            <w:tcW w:w="2430" w:type="dxa"/>
            <w:noWrap/>
            <w:hideMark/>
          </w:tcPr>
          <w:p w14:paraId="766334CC"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4</w:t>
            </w:r>
          </w:p>
        </w:tc>
        <w:tc>
          <w:tcPr>
            <w:tcW w:w="1170" w:type="dxa"/>
            <w:noWrap/>
            <w:hideMark/>
          </w:tcPr>
          <w:p w14:paraId="56ED74F6"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11%</w:t>
            </w:r>
          </w:p>
        </w:tc>
      </w:tr>
      <w:tr w:rsidR="00A8269B" w:rsidRPr="00A8269B" w14:paraId="63E83FFD" w14:textId="77777777" w:rsidTr="003934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B5EEF86" w14:textId="77777777" w:rsidR="00A8269B" w:rsidRPr="00A8269B" w:rsidRDefault="00A8269B" w:rsidP="00A8269B">
            <w:pPr>
              <w:jc w:val="center"/>
            </w:pPr>
            <w:r w:rsidRPr="00A8269B">
              <w:t>19%</w:t>
            </w:r>
          </w:p>
        </w:tc>
        <w:tc>
          <w:tcPr>
            <w:tcW w:w="2430" w:type="dxa"/>
            <w:noWrap/>
            <w:hideMark/>
          </w:tcPr>
          <w:p w14:paraId="0417D168"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1</w:t>
            </w:r>
          </w:p>
        </w:tc>
        <w:tc>
          <w:tcPr>
            <w:tcW w:w="1170" w:type="dxa"/>
            <w:noWrap/>
            <w:hideMark/>
          </w:tcPr>
          <w:p w14:paraId="20C941A6"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3%</w:t>
            </w:r>
          </w:p>
        </w:tc>
      </w:tr>
      <w:tr w:rsidR="00A8269B" w:rsidRPr="00A8269B" w14:paraId="1B0F61F6" w14:textId="77777777" w:rsidTr="003934A8">
        <w:trPr>
          <w:trHeight w:val="300"/>
          <w:jc w:val="center"/>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FBFBF" w:themeColor="background1" w:themeShade="BF"/>
            </w:tcBorders>
            <w:noWrap/>
            <w:hideMark/>
          </w:tcPr>
          <w:p w14:paraId="5FEBC013" w14:textId="77777777" w:rsidR="00A8269B" w:rsidRPr="00A8269B" w:rsidRDefault="00A8269B" w:rsidP="00A8269B">
            <w:pPr>
              <w:jc w:val="center"/>
            </w:pPr>
            <w:r w:rsidRPr="00A8269B">
              <w:t>22%</w:t>
            </w:r>
          </w:p>
        </w:tc>
        <w:tc>
          <w:tcPr>
            <w:tcW w:w="2430" w:type="dxa"/>
            <w:tcBorders>
              <w:bottom w:val="single" w:sz="4" w:space="0" w:color="BFBFBF" w:themeColor="background1" w:themeShade="BF"/>
            </w:tcBorders>
            <w:noWrap/>
            <w:hideMark/>
          </w:tcPr>
          <w:p w14:paraId="723479B5"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1</w:t>
            </w:r>
          </w:p>
        </w:tc>
        <w:tc>
          <w:tcPr>
            <w:tcW w:w="1170" w:type="dxa"/>
            <w:tcBorders>
              <w:bottom w:val="single" w:sz="4" w:space="0" w:color="BFBFBF" w:themeColor="background1" w:themeShade="BF"/>
            </w:tcBorders>
            <w:noWrap/>
            <w:hideMark/>
          </w:tcPr>
          <w:p w14:paraId="622E08AB"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3%</w:t>
            </w:r>
          </w:p>
        </w:tc>
      </w:tr>
      <w:tr w:rsidR="00A8269B" w:rsidRPr="00A8269B" w14:paraId="320D4289" w14:textId="77777777" w:rsidTr="003934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auto"/>
            </w:tcBorders>
            <w:noWrap/>
            <w:hideMark/>
          </w:tcPr>
          <w:p w14:paraId="382DEC0A" w14:textId="77777777" w:rsidR="00A8269B" w:rsidRPr="00A8269B" w:rsidRDefault="00A8269B" w:rsidP="00A8269B">
            <w:pPr>
              <w:jc w:val="center"/>
            </w:pPr>
            <w:r w:rsidRPr="00A8269B">
              <w:t>18%</w:t>
            </w:r>
          </w:p>
        </w:tc>
        <w:tc>
          <w:tcPr>
            <w:tcW w:w="2430" w:type="dxa"/>
            <w:tcBorders>
              <w:bottom w:val="single" w:sz="4" w:space="0" w:color="auto"/>
            </w:tcBorders>
            <w:noWrap/>
            <w:hideMark/>
          </w:tcPr>
          <w:p w14:paraId="54C51505"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2</w:t>
            </w:r>
          </w:p>
        </w:tc>
        <w:tc>
          <w:tcPr>
            <w:tcW w:w="1170" w:type="dxa"/>
            <w:tcBorders>
              <w:bottom w:val="single" w:sz="4" w:space="0" w:color="auto"/>
            </w:tcBorders>
            <w:noWrap/>
            <w:hideMark/>
          </w:tcPr>
          <w:p w14:paraId="27C45568"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5%</w:t>
            </w:r>
          </w:p>
        </w:tc>
      </w:tr>
      <w:tr w:rsidR="00A8269B" w:rsidRPr="00A8269B" w14:paraId="45E4F023" w14:textId="77777777" w:rsidTr="003934A8">
        <w:trPr>
          <w:trHeight w:val="300"/>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tcBorders>
            <w:noWrap/>
            <w:hideMark/>
          </w:tcPr>
          <w:p w14:paraId="41BE4DBF" w14:textId="77777777" w:rsidR="00A8269B" w:rsidRPr="00A8269B" w:rsidRDefault="00A8269B" w:rsidP="00A8269B">
            <w:pPr>
              <w:jc w:val="center"/>
            </w:pPr>
            <w:r w:rsidRPr="00A8269B">
              <w:t>Grand Total</w:t>
            </w:r>
          </w:p>
        </w:tc>
        <w:tc>
          <w:tcPr>
            <w:tcW w:w="2430" w:type="dxa"/>
            <w:tcBorders>
              <w:top w:val="single" w:sz="4" w:space="0" w:color="auto"/>
            </w:tcBorders>
            <w:noWrap/>
            <w:hideMark/>
          </w:tcPr>
          <w:p w14:paraId="3CB97945"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37</w:t>
            </w:r>
          </w:p>
        </w:tc>
        <w:tc>
          <w:tcPr>
            <w:tcW w:w="1170" w:type="dxa"/>
            <w:tcBorders>
              <w:top w:val="single" w:sz="4" w:space="0" w:color="auto"/>
            </w:tcBorders>
            <w:noWrap/>
            <w:hideMark/>
          </w:tcPr>
          <w:p w14:paraId="326E2096"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100%</w:t>
            </w:r>
          </w:p>
        </w:tc>
      </w:tr>
    </w:tbl>
    <w:p w14:paraId="7ADD39CA" w14:textId="77777777" w:rsidR="00362E69" w:rsidRDefault="00362E69"/>
    <w:p w14:paraId="13FEFABD" w14:textId="77777777" w:rsidR="00283729" w:rsidRPr="002767F7" w:rsidRDefault="00125637">
      <w:r w:rsidRPr="002767F7">
        <w:t>Table 1 shows that 29</w:t>
      </w:r>
      <w:r w:rsidR="00BA4277" w:rsidRPr="002767F7">
        <w:t>% of residen</w:t>
      </w:r>
      <w:r w:rsidRPr="002767F7">
        <w:t>tial measures have less than a 20</w:t>
      </w:r>
      <w:r w:rsidR="00BA4277" w:rsidRPr="002767F7">
        <w:t>% cha</w:t>
      </w:r>
      <w:r w:rsidRPr="002767F7">
        <w:t>nge to their AC and UCT score, 71</w:t>
      </w:r>
      <w:r w:rsidR="00BA4277" w:rsidRPr="002767F7">
        <w:t xml:space="preserve">% have a </w:t>
      </w:r>
      <w:r w:rsidRPr="002767F7">
        <w:t>20</w:t>
      </w:r>
      <w:r w:rsidR="00BA4277" w:rsidRPr="002767F7">
        <w:t xml:space="preserve">% </w:t>
      </w:r>
      <w:r w:rsidRPr="002767F7">
        <w:t xml:space="preserve">- 22% </w:t>
      </w:r>
      <w:r w:rsidR="00BA4277" w:rsidRPr="002767F7">
        <w:t>impact</w:t>
      </w:r>
      <w:r w:rsidRPr="002767F7">
        <w:t>.</w:t>
      </w:r>
      <w:r w:rsidR="00BA4277" w:rsidRPr="002767F7">
        <w:t xml:space="preserve"> </w:t>
      </w:r>
      <w:r w:rsidR="00AA2B4A" w:rsidRPr="002767F7">
        <w:t xml:space="preserve"> </w:t>
      </w:r>
      <w:r w:rsidRPr="002767F7">
        <w:t>Since all planned measures were at or above the 1.0 UCT threshold, n</w:t>
      </w:r>
      <w:r w:rsidR="00480687" w:rsidRPr="002767F7">
        <w:t xml:space="preserve">o planned measures move above or below the 1.0 </w:t>
      </w:r>
      <w:r w:rsidR="00BF2D75" w:rsidRPr="002767F7">
        <w:t xml:space="preserve">UCT </w:t>
      </w:r>
      <w:r w:rsidR="00480687" w:rsidRPr="002767F7">
        <w:t xml:space="preserve">threshold due to </w:t>
      </w:r>
      <w:r w:rsidR="007E2BA5" w:rsidRPr="002767F7">
        <w:t>AC</w:t>
      </w:r>
      <w:r w:rsidR="00480687" w:rsidRPr="002767F7">
        <w:t xml:space="preserve"> changes. </w:t>
      </w:r>
      <w:r w:rsidRPr="002767F7">
        <w:t xml:space="preserve">Several however, as shown in Table 2, do become more comfortably cost effective. </w:t>
      </w:r>
    </w:p>
    <w:p w14:paraId="37E5DDFB" w14:textId="77777777" w:rsidR="00AA2B4A" w:rsidRPr="002767F7" w:rsidRDefault="00C13E7E">
      <w:r w:rsidRPr="002767F7">
        <w:t xml:space="preserve">Table 2 below shows the </w:t>
      </w:r>
      <w:r w:rsidR="002767F7" w:rsidRPr="002767F7">
        <w:t xml:space="preserve">5 </w:t>
      </w:r>
      <w:r w:rsidRPr="002767F7">
        <w:t>measures with the lowest UCT scores in the 2016 EE mix</w:t>
      </w:r>
      <w:r w:rsidR="002767F7" w:rsidRPr="002767F7">
        <w:t xml:space="preserve"> and was filtered to capture those below a 1.2 UCT BCR</w:t>
      </w:r>
      <w:r w:rsidRPr="002767F7">
        <w:t xml:space="preserve">. It shows the </w:t>
      </w:r>
      <w:r w:rsidR="00BF1914" w:rsidRPr="002767F7">
        <w:t xml:space="preserve">program, measures description, the </w:t>
      </w:r>
      <w:r w:rsidR="002767F7" w:rsidRPr="002767F7">
        <w:t>change in UCT BCR from ‘Blended’ AC to</w:t>
      </w:r>
      <w:r w:rsidR="00BF1914" w:rsidRPr="002767F7">
        <w:t xml:space="preserve"> ‘WA-only’ AC, and the % change in AC and UCT that the measure experienced when switching from Energy Trust’s ‘Blended’ AC. </w:t>
      </w:r>
      <w:r w:rsidR="002767F7" w:rsidRPr="002767F7">
        <w:t xml:space="preserve">It also shows the % of savings contributed in 2014 (most recent year with a full year of data). </w:t>
      </w:r>
      <w:r w:rsidR="008362C6" w:rsidRPr="002767F7">
        <w:t>Only one of these measures</w:t>
      </w:r>
      <w:r w:rsidR="002767F7" w:rsidRPr="002767F7">
        <w:t xml:space="preserve"> (windows)</w:t>
      </w:r>
      <w:r w:rsidR="008362C6" w:rsidRPr="002767F7">
        <w:t xml:space="preserve"> contributed a sign</w:t>
      </w:r>
      <w:r w:rsidR="002767F7" w:rsidRPr="002767F7">
        <w:t>ificant amount</w:t>
      </w:r>
      <w:r w:rsidR="008362C6" w:rsidRPr="002767F7">
        <w:t xml:space="preserve"> of savings </w:t>
      </w:r>
      <w:r w:rsidR="002767F7" w:rsidRPr="002767F7">
        <w:t xml:space="preserve">(4%) </w:t>
      </w:r>
      <w:r w:rsidR="008362C6" w:rsidRPr="002767F7">
        <w:t xml:space="preserve">in 2014 and </w:t>
      </w:r>
      <w:r w:rsidR="002767F7" w:rsidRPr="002767F7">
        <w:t>includes one measure that is</w:t>
      </w:r>
      <w:r w:rsidR="008362C6" w:rsidRPr="002767F7">
        <w:t xml:space="preserve"> new for 2016.</w:t>
      </w:r>
    </w:p>
    <w:p w14:paraId="0881BE4E" w14:textId="77777777" w:rsidR="00085B19" w:rsidRPr="00085B19" w:rsidRDefault="00085B19">
      <w:pPr>
        <w:rPr>
          <w:b/>
        </w:rPr>
      </w:pPr>
      <w:r w:rsidRPr="00085B19">
        <w:rPr>
          <w:b/>
        </w:rPr>
        <w:t xml:space="preserve">Table 2. </w:t>
      </w:r>
      <w:r w:rsidR="000F49C6">
        <w:rPr>
          <w:b/>
        </w:rPr>
        <w:t>M</w:t>
      </w:r>
      <w:r>
        <w:rPr>
          <w:b/>
        </w:rPr>
        <w:t xml:space="preserve">easures with </w:t>
      </w:r>
      <w:r w:rsidRPr="00085B19">
        <w:rPr>
          <w:b/>
        </w:rPr>
        <w:t xml:space="preserve">UCT Scores </w:t>
      </w:r>
      <w:r w:rsidR="000F49C6">
        <w:rPr>
          <w:b/>
        </w:rPr>
        <w:t xml:space="preserve">at or below a 1.2 </w:t>
      </w:r>
      <w:r w:rsidRPr="00085B19">
        <w:rPr>
          <w:b/>
        </w:rPr>
        <w:t>in 2016 mix. Showing % change in UCT from ETO Blended AC to WA-Only AC</w:t>
      </w:r>
      <w:r w:rsidR="008118A0">
        <w:rPr>
          <w:b/>
        </w:rPr>
        <w:t xml:space="preserve"> and the % of 2014 Savings these measures contributed.</w:t>
      </w:r>
    </w:p>
    <w:tbl>
      <w:tblPr>
        <w:tblStyle w:val="PlainTable11"/>
        <w:tblW w:w="0" w:type="auto"/>
        <w:tblLook w:val="04A0" w:firstRow="1" w:lastRow="0" w:firstColumn="1" w:lastColumn="0" w:noHBand="0" w:noVBand="1"/>
      </w:tblPr>
      <w:tblGrid>
        <w:gridCol w:w="1129"/>
        <w:gridCol w:w="3618"/>
        <w:gridCol w:w="1278"/>
        <w:gridCol w:w="1170"/>
        <w:gridCol w:w="1170"/>
      </w:tblGrid>
      <w:tr w:rsidR="00A8269B" w:rsidRPr="00A8269B" w14:paraId="6F5D05AF" w14:textId="77777777" w:rsidTr="00A826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auto"/>
            </w:tcBorders>
            <w:noWrap/>
            <w:hideMark/>
          </w:tcPr>
          <w:p w14:paraId="746E5AD3" w14:textId="77777777" w:rsidR="00A8269B" w:rsidRPr="00A8269B" w:rsidRDefault="00A8269B">
            <w:r w:rsidRPr="00A8269B">
              <w:t>Program</w:t>
            </w:r>
          </w:p>
        </w:tc>
        <w:tc>
          <w:tcPr>
            <w:tcW w:w="3618" w:type="dxa"/>
            <w:tcBorders>
              <w:bottom w:val="single" w:sz="4" w:space="0" w:color="auto"/>
            </w:tcBorders>
            <w:noWrap/>
            <w:hideMark/>
          </w:tcPr>
          <w:p w14:paraId="489F3C19" w14:textId="77777777" w:rsidR="00A8269B" w:rsidRPr="00A8269B" w:rsidRDefault="00A8269B">
            <w:pPr>
              <w:cnfStyle w:val="100000000000" w:firstRow="1" w:lastRow="0" w:firstColumn="0" w:lastColumn="0" w:oddVBand="0" w:evenVBand="0" w:oddHBand="0" w:evenHBand="0" w:firstRowFirstColumn="0" w:firstRowLastColumn="0" w:lastRowFirstColumn="0" w:lastRowLastColumn="0"/>
            </w:pPr>
            <w:r w:rsidRPr="00A8269B">
              <w:t>Measure Description</w:t>
            </w:r>
          </w:p>
        </w:tc>
        <w:tc>
          <w:tcPr>
            <w:tcW w:w="1278" w:type="dxa"/>
            <w:tcBorders>
              <w:bottom w:val="single" w:sz="4" w:space="0" w:color="auto"/>
            </w:tcBorders>
            <w:noWrap/>
            <w:hideMark/>
          </w:tcPr>
          <w:p w14:paraId="1FD17735" w14:textId="77777777" w:rsidR="00A8269B" w:rsidRPr="00A8269B" w:rsidRDefault="00A8269B">
            <w:pPr>
              <w:cnfStyle w:val="100000000000" w:firstRow="1" w:lastRow="0" w:firstColumn="0" w:lastColumn="0" w:oddVBand="0" w:evenVBand="0" w:oddHBand="0" w:evenHBand="0" w:firstRowFirstColumn="0" w:firstRowLastColumn="0" w:lastRowFirstColumn="0" w:lastRowLastColumn="0"/>
            </w:pPr>
            <w:r w:rsidRPr="00A8269B">
              <w:t>Change in UCT BCR</w:t>
            </w:r>
          </w:p>
        </w:tc>
        <w:tc>
          <w:tcPr>
            <w:tcW w:w="1170" w:type="dxa"/>
            <w:tcBorders>
              <w:bottom w:val="single" w:sz="4" w:space="0" w:color="auto"/>
            </w:tcBorders>
            <w:noWrap/>
            <w:hideMark/>
          </w:tcPr>
          <w:p w14:paraId="41D6E3DA" w14:textId="77777777" w:rsidR="00A8269B" w:rsidRPr="00A8269B" w:rsidRDefault="00A8269B">
            <w:pPr>
              <w:cnfStyle w:val="100000000000" w:firstRow="1" w:lastRow="0" w:firstColumn="0" w:lastColumn="0" w:oddVBand="0" w:evenVBand="0" w:oddHBand="0" w:evenHBand="0" w:firstRowFirstColumn="0" w:firstRowLastColumn="0" w:lastRowFirstColumn="0" w:lastRowLastColumn="0"/>
            </w:pPr>
            <w:r w:rsidRPr="00A8269B">
              <w:t>% change in AC/UCT</w:t>
            </w:r>
          </w:p>
        </w:tc>
        <w:tc>
          <w:tcPr>
            <w:tcW w:w="1170" w:type="dxa"/>
            <w:tcBorders>
              <w:bottom w:val="single" w:sz="4" w:space="0" w:color="auto"/>
            </w:tcBorders>
            <w:noWrap/>
            <w:hideMark/>
          </w:tcPr>
          <w:p w14:paraId="6BEFF37D" w14:textId="77777777" w:rsidR="00A8269B" w:rsidRPr="00A8269B" w:rsidRDefault="00A8269B">
            <w:pPr>
              <w:cnfStyle w:val="100000000000" w:firstRow="1" w:lastRow="0" w:firstColumn="0" w:lastColumn="0" w:oddVBand="0" w:evenVBand="0" w:oddHBand="0" w:evenHBand="0" w:firstRowFirstColumn="0" w:firstRowLastColumn="0" w:lastRowFirstColumn="0" w:lastRowLastColumn="0"/>
            </w:pPr>
            <w:r w:rsidRPr="00A8269B">
              <w:t>% of 2014 Savings</w:t>
            </w:r>
          </w:p>
        </w:tc>
      </w:tr>
      <w:tr w:rsidR="00A8269B" w:rsidRPr="00A8269B" w14:paraId="528C7747" w14:textId="77777777" w:rsidTr="00A826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noWrap/>
            <w:hideMark/>
          </w:tcPr>
          <w:p w14:paraId="5EAFED67" w14:textId="77777777" w:rsidR="00A8269B" w:rsidRPr="00A8269B" w:rsidRDefault="00A8269B">
            <w:r w:rsidRPr="00A8269B">
              <w:t>Existing Homes</w:t>
            </w:r>
          </w:p>
        </w:tc>
        <w:tc>
          <w:tcPr>
            <w:tcW w:w="3618" w:type="dxa"/>
            <w:tcBorders>
              <w:top w:val="single" w:sz="4" w:space="0" w:color="auto"/>
            </w:tcBorders>
            <w:noWrap/>
            <w:hideMark/>
          </w:tcPr>
          <w:p w14:paraId="1E3378BD"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Water Heater, Gas .67-.69 $100 2016</w:t>
            </w:r>
          </w:p>
        </w:tc>
        <w:tc>
          <w:tcPr>
            <w:tcW w:w="1278" w:type="dxa"/>
            <w:tcBorders>
              <w:top w:val="single" w:sz="4" w:space="0" w:color="auto"/>
            </w:tcBorders>
            <w:noWrap/>
            <w:hideMark/>
          </w:tcPr>
          <w:p w14:paraId="37ABA8DA"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From 0.98 to 1.19</w:t>
            </w:r>
          </w:p>
        </w:tc>
        <w:tc>
          <w:tcPr>
            <w:tcW w:w="1170" w:type="dxa"/>
            <w:tcBorders>
              <w:top w:val="single" w:sz="4" w:space="0" w:color="auto"/>
            </w:tcBorders>
            <w:noWrap/>
            <w:hideMark/>
          </w:tcPr>
          <w:p w14:paraId="4F7983E4" w14:textId="77777777" w:rsidR="00A8269B" w:rsidRPr="00A8269B" w:rsidRDefault="00A8269B" w:rsidP="00A8269B">
            <w:pPr>
              <w:cnfStyle w:val="000000100000" w:firstRow="0" w:lastRow="0" w:firstColumn="0" w:lastColumn="0" w:oddVBand="0" w:evenVBand="0" w:oddHBand="1" w:evenHBand="0" w:firstRowFirstColumn="0" w:firstRowLastColumn="0" w:lastRowFirstColumn="0" w:lastRowLastColumn="0"/>
            </w:pPr>
            <w:r w:rsidRPr="00A8269B">
              <w:t>21%</w:t>
            </w:r>
          </w:p>
        </w:tc>
        <w:tc>
          <w:tcPr>
            <w:tcW w:w="1170" w:type="dxa"/>
            <w:tcBorders>
              <w:top w:val="single" w:sz="4" w:space="0" w:color="auto"/>
            </w:tcBorders>
            <w:noWrap/>
            <w:hideMark/>
          </w:tcPr>
          <w:p w14:paraId="03C5B3B9"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New Measure</w:t>
            </w:r>
          </w:p>
        </w:tc>
      </w:tr>
      <w:tr w:rsidR="00A8269B" w:rsidRPr="00A8269B" w14:paraId="7EA3DC06" w14:textId="77777777" w:rsidTr="00A8269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1C8CC09" w14:textId="77777777" w:rsidR="00A8269B" w:rsidRPr="00A8269B" w:rsidRDefault="00A8269B">
            <w:r w:rsidRPr="00A8269B">
              <w:t>Existing Homes</w:t>
            </w:r>
          </w:p>
        </w:tc>
        <w:tc>
          <w:tcPr>
            <w:tcW w:w="3618" w:type="dxa"/>
            <w:noWrap/>
            <w:hideMark/>
          </w:tcPr>
          <w:p w14:paraId="3F486F07"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Water Heater, Gas .67-.69 $125 2014</w:t>
            </w:r>
          </w:p>
        </w:tc>
        <w:tc>
          <w:tcPr>
            <w:tcW w:w="1278" w:type="dxa"/>
            <w:noWrap/>
            <w:hideMark/>
          </w:tcPr>
          <w:p w14:paraId="58D83FD3"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From 0.99 to 1.2</w:t>
            </w:r>
          </w:p>
        </w:tc>
        <w:tc>
          <w:tcPr>
            <w:tcW w:w="1170" w:type="dxa"/>
            <w:noWrap/>
            <w:hideMark/>
          </w:tcPr>
          <w:p w14:paraId="7B156B26" w14:textId="77777777" w:rsidR="00A8269B" w:rsidRPr="00A8269B" w:rsidRDefault="00A8269B" w:rsidP="00A8269B">
            <w:pPr>
              <w:cnfStyle w:val="000000000000" w:firstRow="0" w:lastRow="0" w:firstColumn="0" w:lastColumn="0" w:oddVBand="0" w:evenVBand="0" w:oddHBand="0" w:evenHBand="0" w:firstRowFirstColumn="0" w:firstRowLastColumn="0" w:lastRowFirstColumn="0" w:lastRowLastColumn="0"/>
            </w:pPr>
            <w:r w:rsidRPr="00A8269B">
              <w:t>21%</w:t>
            </w:r>
          </w:p>
        </w:tc>
        <w:tc>
          <w:tcPr>
            <w:tcW w:w="1170" w:type="dxa"/>
            <w:noWrap/>
            <w:hideMark/>
          </w:tcPr>
          <w:p w14:paraId="7FBC876A" w14:textId="77777777" w:rsidR="00A8269B" w:rsidRPr="00A8269B" w:rsidRDefault="00A8269B" w:rsidP="00A8269B">
            <w:pPr>
              <w:cnfStyle w:val="000000000000" w:firstRow="0" w:lastRow="0" w:firstColumn="0" w:lastColumn="0" w:oddVBand="0" w:evenVBand="0" w:oddHBand="0" w:evenHBand="0" w:firstRowFirstColumn="0" w:firstRowLastColumn="0" w:lastRowFirstColumn="0" w:lastRowLastColumn="0"/>
            </w:pPr>
            <w:r w:rsidRPr="00A8269B">
              <w:t>0.5%</w:t>
            </w:r>
          </w:p>
        </w:tc>
      </w:tr>
      <w:tr w:rsidR="00A8269B" w:rsidRPr="00A8269B" w14:paraId="1DB9651F" w14:textId="77777777" w:rsidTr="00A826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F3CCF62" w14:textId="77777777" w:rsidR="00A8269B" w:rsidRPr="00A8269B" w:rsidRDefault="00A8269B">
            <w:r w:rsidRPr="00A8269B">
              <w:t>Existing Homes</w:t>
            </w:r>
          </w:p>
        </w:tc>
        <w:tc>
          <w:tcPr>
            <w:tcW w:w="3618" w:type="dxa"/>
            <w:noWrap/>
            <w:hideMark/>
          </w:tcPr>
          <w:p w14:paraId="0AECD086"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Water Heater, Gas .70 $125, 2016</w:t>
            </w:r>
          </w:p>
        </w:tc>
        <w:tc>
          <w:tcPr>
            <w:tcW w:w="1278" w:type="dxa"/>
            <w:noWrap/>
            <w:hideMark/>
          </w:tcPr>
          <w:p w14:paraId="3A086A24"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From 1.06 to 1.28</w:t>
            </w:r>
          </w:p>
        </w:tc>
        <w:tc>
          <w:tcPr>
            <w:tcW w:w="1170" w:type="dxa"/>
            <w:noWrap/>
            <w:hideMark/>
          </w:tcPr>
          <w:p w14:paraId="6FDCA92A" w14:textId="77777777" w:rsidR="00A8269B" w:rsidRPr="00A8269B" w:rsidRDefault="00A8269B" w:rsidP="00A8269B">
            <w:pPr>
              <w:cnfStyle w:val="000000100000" w:firstRow="0" w:lastRow="0" w:firstColumn="0" w:lastColumn="0" w:oddVBand="0" w:evenVBand="0" w:oddHBand="1" w:evenHBand="0" w:firstRowFirstColumn="0" w:firstRowLastColumn="0" w:lastRowFirstColumn="0" w:lastRowLastColumn="0"/>
            </w:pPr>
            <w:r w:rsidRPr="00A8269B">
              <w:t>21%</w:t>
            </w:r>
          </w:p>
        </w:tc>
        <w:tc>
          <w:tcPr>
            <w:tcW w:w="1170" w:type="dxa"/>
            <w:noWrap/>
            <w:hideMark/>
          </w:tcPr>
          <w:p w14:paraId="7F529209" w14:textId="77777777" w:rsidR="00A8269B" w:rsidRPr="00A8269B" w:rsidRDefault="00A8269B" w:rsidP="00A8269B">
            <w:pPr>
              <w:cnfStyle w:val="000000100000" w:firstRow="0" w:lastRow="0" w:firstColumn="0" w:lastColumn="0" w:oddVBand="0" w:evenVBand="0" w:oddHBand="1" w:evenHBand="0" w:firstRowFirstColumn="0" w:firstRowLastColumn="0" w:lastRowFirstColumn="0" w:lastRowLastColumn="0"/>
            </w:pPr>
            <w:r w:rsidRPr="00A8269B">
              <w:t>0.2%</w:t>
            </w:r>
          </w:p>
        </w:tc>
      </w:tr>
      <w:tr w:rsidR="00A8269B" w:rsidRPr="00A8269B" w14:paraId="29CBD55E" w14:textId="77777777" w:rsidTr="00A8269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C6927DB" w14:textId="77777777" w:rsidR="00A8269B" w:rsidRPr="00A8269B" w:rsidRDefault="00A8269B">
            <w:r w:rsidRPr="00A8269B">
              <w:t>Existing Homes</w:t>
            </w:r>
          </w:p>
        </w:tc>
        <w:tc>
          <w:tcPr>
            <w:tcW w:w="3618" w:type="dxa"/>
            <w:noWrap/>
            <w:hideMark/>
          </w:tcPr>
          <w:p w14:paraId="192AF558"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Windows - GAS - U .28-.30</w:t>
            </w:r>
          </w:p>
        </w:tc>
        <w:tc>
          <w:tcPr>
            <w:tcW w:w="1278" w:type="dxa"/>
            <w:noWrap/>
            <w:hideMark/>
          </w:tcPr>
          <w:p w14:paraId="20130351"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From 1.15 to 1.34</w:t>
            </w:r>
          </w:p>
        </w:tc>
        <w:tc>
          <w:tcPr>
            <w:tcW w:w="1170" w:type="dxa"/>
            <w:noWrap/>
            <w:hideMark/>
          </w:tcPr>
          <w:p w14:paraId="147305CE" w14:textId="77777777" w:rsidR="00A8269B" w:rsidRPr="00A8269B" w:rsidRDefault="00A8269B" w:rsidP="00A8269B">
            <w:pPr>
              <w:cnfStyle w:val="000000000000" w:firstRow="0" w:lastRow="0" w:firstColumn="0" w:lastColumn="0" w:oddVBand="0" w:evenVBand="0" w:oddHBand="0" w:evenHBand="0" w:firstRowFirstColumn="0" w:firstRowLastColumn="0" w:lastRowFirstColumn="0" w:lastRowLastColumn="0"/>
            </w:pPr>
            <w:r w:rsidRPr="00A8269B">
              <w:t>16%</w:t>
            </w:r>
          </w:p>
        </w:tc>
        <w:tc>
          <w:tcPr>
            <w:tcW w:w="1170" w:type="dxa"/>
            <w:noWrap/>
            <w:hideMark/>
          </w:tcPr>
          <w:p w14:paraId="1BB27F56" w14:textId="77777777" w:rsidR="00A8269B" w:rsidRPr="00A8269B" w:rsidRDefault="00A8269B" w:rsidP="00A8269B">
            <w:pPr>
              <w:cnfStyle w:val="000000000000" w:firstRow="0" w:lastRow="0" w:firstColumn="0" w:lastColumn="0" w:oddVBand="0" w:evenVBand="0" w:oddHBand="0" w:evenHBand="0" w:firstRowFirstColumn="0" w:firstRowLastColumn="0" w:lastRowFirstColumn="0" w:lastRowLastColumn="0"/>
            </w:pPr>
            <w:r w:rsidRPr="00A8269B">
              <w:t>4%</w:t>
            </w:r>
          </w:p>
        </w:tc>
      </w:tr>
      <w:tr w:rsidR="00A8269B" w:rsidRPr="00A8269B" w14:paraId="4D1EA435" w14:textId="77777777" w:rsidTr="00A826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BC549CC" w14:textId="77777777" w:rsidR="00A8269B" w:rsidRPr="00A8269B" w:rsidRDefault="00A8269B">
            <w:r w:rsidRPr="00A8269B">
              <w:t>Existing Homes</w:t>
            </w:r>
          </w:p>
        </w:tc>
        <w:tc>
          <w:tcPr>
            <w:tcW w:w="3618" w:type="dxa"/>
            <w:noWrap/>
            <w:hideMark/>
          </w:tcPr>
          <w:p w14:paraId="2AACD800"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SF Air Sealing, $150 Gas 2013</w:t>
            </w:r>
          </w:p>
        </w:tc>
        <w:tc>
          <w:tcPr>
            <w:tcW w:w="1278" w:type="dxa"/>
            <w:noWrap/>
            <w:hideMark/>
          </w:tcPr>
          <w:p w14:paraId="43E73704"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From 1.15 to 1.38</w:t>
            </w:r>
          </w:p>
        </w:tc>
        <w:tc>
          <w:tcPr>
            <w:tcW w:w="1170" w:type="dxa"/>
            <w:noWrap/>
            <w:hideMark/>
          </w:tcPr>
          <w:p w14:paraId="18366514" w14:textId="77777777" w:rsidR="00A8269B" w:rsidRPr="00A8269B" w:rsidRDefault="00A8269B" w:rsidP="00A8269B">
            <w:pPr>
              <w:cnfStyle w:val="000000100000" w:firstRow="0" w:lastRow="0" w:firstColumn="0" w:lastColumn="0" w:oddVBand="0" w:evenVBand="0" w:oddHBand="1" w:evenHBand="0" w:firstRowFirstColumn="0" w:firstRowLastColumn="0" w:lastRowFirstColumn="0" w:lastRowLastColumn="0"/>
            </w:pPr>
            <w:r w:rsidRPr="00A8269B">
              <w:t>21%</w:t>
            </w:r>
          </w:p>
        </w:tc>
        <w:tc>
          <w:tcPr>
            <w:tcW w:w="1170" w:type="dxa"/>
            <w:noWrap/>
            <w:hideMark/>
          </w:tcPr>
          <w:p w14:paraId="79D074D2" w14:textId="77777777" w:rsidR="00A8269B" w:rsidRPr="00A8269B" w:rsidRDefault="00A8269B" w:rsidP="00A8269B">
            <w:pPr>
              <w:cnfStyle w:val="000000100000" w:firstRow="0" w:lastRow="0" w:firstColumn="0" w:lastColumn="0" w:oddVBand="0" w:evenVBand="0" w:oddHBand="1" w:evenHBand="0" w:firstRowFirstColumn="0" w:firstRowLastColumn="0" w:lastRowFirstColumn="0" w:lastRowLastColumn="0"/>
            </w:pPr>
            <w:r w:rsidRPr="00A8269B">
              <w:t>0.2%</w:t>
            </w:r>
          </w:p>
        </w:tc>
      </w:tr>
    </w:tbl>
    <w:p w14:paraId="2B8E7247" w14:textId="77777777" w:rsidR="00DC0140" w:rsidRPr="00A357B7" w:rsidRDefault="00DC0140"/>
    <w:p w14:paraId="12C2CC49" w14:textId="77777777" w:rsidR="002767F7" w:rsidRPr="00A357B7" w:rsidRDefault="00BF1914">
      <w:r w:rsidRPr="00A357B7">
        <w:t>Two measures score slightly below the 1.0 threshold when showed to the hundredth digit (Energy Trust reports to the ‘tenth’ digit, at which point these measure round to 1.0), a 2014-15 legacy 0.67-0.69 gas tank water heater measure, which scores a 0.98 and the new 2016 0.67-0.69 measure, whic</w:t>
      </w:r>
      <w:r w:rsidR="002767F7" w:rsidRPr="00A357B7">
        <w:t>h scores a 0.99. There was a 21</w:t>
      </w:r>
      <w:r w:rsidRPr="00A357B7">
        <w:t xml:space="preserve">% impact to these measure’s AC, </w:t>
      </w:r>
      <w:r w:rsidR="002767F7" w:rsidRPr="00A357B7">
        <w:t xml:space="preserve">which bumped them to a 1.2. In this case its worth noting that from a Planning perspective, this makes the measure a more positive contributor to the entire program. Planning typically recommends that programs set incentives to levels resulting in a 1.5 UCT or greater to account for ‘fixed’ budgetary costs such as </w:t>
      </w:r>
      <w:r w:rsidR="00A357B7" w:rsidRPr="00A357B7">
        <w:t xml:space="preserve">delivery, </w:t>
      </w:r>
      <w:r w:rsidR="002767F7" w:rsidRPr="00A357B7">
        <w:t xml:space="preserve">administration, management, marketing, etc…The main point being that if too many measures set their incentives </w:t>
      </w:r>
      <w:r w:rsidR="00A357B7" w:rsidRPr="00A357B7">
        <w:t>around a 1.0 the program as a whole may run the risk of falling out of compliance.</w:t>
      </w:r>
    </w:p>
    <w:p w14:paraId="5623D2BA" w14:textId="77777777" w:rsidR="00480687" w:rsidRPr="00064E49" w:rsidRDefault="00283729">
      <w:pPr>
        <w:rPr>
          <w:b/>
          <w:u w:val="single"/>
        </w:rPr>
      </w:pPr>
      <w:r w:rsidRPr="00064E49">
        <w:rPr>
          <w:b/>
          <w:u w:val="single"/>
        </w:rPr>
        <w:lastRenderedPageBreak/>
        <w:t>Residential: TRC</w:t>
      </w:r>
    </w:p>
    <w:p w14:paraId="37580AFA" w14:textId="77777777" w:rsidR="00064E49" w:rsidRPr="00A357B7" w:rsidRDefault="00064E49">
      <w:r w:rsidRPr="00A357B7">
        <w:t xml:space="preserve">The impact to </w:t>
      </w:r>
      <w:r w:rsidR="007E2BA5" w:rsidRPr="00A357B7">
        <w:t>TRC</w:t>
      </w:r>
      <w:r w:rsidRPr="00A357B7">
        <w:t xml:space="preserve"> on a per measure basis ranges</w:t>
      </w:r>
      <w:r w:rsidR="00A357B7" w:rsidRPr="00A357B7">
        <w:t xml:space="preserve"> between 3</w:t>
      </w:r>
      <w:r w:rsidRPr="00A357B7">
        <w:t xml:space="preserve">% and </w:t>
      </w:r>
      <w:r w:rsidR="00A357B7" w:rsidRPr="00A357B7">
        <w:t>22</w:t>
      </w:r>
      <w:r w:rsidRPr="00A357B7">
        <w:t>%</w:t>
      </w:r>
      <w:r w:rsidR="00A357B7" w:rsidRPr="00A357B7">
        <w:t>, though the bulk of measures fall within the 15%-22% range</w:t>
      </w:r>
      <w:r w:rsidRPr="00A357B7">
        <w:t xml:space="preserve">. </w:t>
      </w:r>
      <w:r w:rsidR="00BF1914" w:rsidRPr="00A357B7">
        <w:t>Unlike the UCT, t</w:t>
      </w:r>
      <w:r w:rsidR="007E2BA5" w:rsidRPr="00A357B7">
        <w:t xml:space="preserve">he impact to AC and the TRC score differ in </w:t>
      </w:r>
      <w:r w:rsidR="00BF1914" w:rsidRPr="00A357B7">
        <w:t xml:space="preserve">a number of measures </w:t>
      </w:r>
      <w:r w:rsidR="007E2BA5" w:rsidRPr="00A357B7">
        <w:t xml:space="preserve">because of the presence of NEBs on the benefit side of the ratio. </w:t>
      </w:r>
      <w:r w:rsidR="00BF1914" w:rsidRPr="00A357B7">
        <w:t>Table 3 below shows the</w:t>
      </w:r>
      <w:r w:rsidRPr="00A357B7">
        <w:t xml:space="preserve"> distribution of</w:t>
      </w:r>
      <w:r w:rsidR="00707640" w:rsidRPr="00A357B7">
        <w:t xml:space="preserve"> </w:t>
      </w:r>
      <w:r w:rsidR="00BF1914" w:rsidRPr="00A357B7">
        <w:t xml:space="preserve">% change encountered when applying the Washington-only AC. </w:t>
      </w:r>
    </w:p>
    <w:p w14:paraId="47A9F7C1" w14:textId="77777777" w:rsidR="00064E49" w:rsidRPr="00064E49" w:rsidRDefault="00085B19" w:rsidP="00A779D1">
      <w:pPr>
        <w:spacing w:after="120"/>
        <w:rPr>
          <w:b/>
        </w:rPr>
      </w:pPr>
      <w:r>
        <w:rPr>
          <w:b/>
        </w:rPr>
        <w:t>Table 3</w:t>
      </w:r>
      <w:r w:rsidR="00064E49" w:rsidRPr="00362E69">
        <w:rPr>
          <w:b/>
        </w:rPr>
        <w:t>.</w:t>
      </w:r>
      <w:r w:rsidR="00064E49">
        <w:rPr>
          <w:b/>
        </w:rPr>
        <w:t xml:space="preserve"> Showing the range of % change to </w:t>
      </w:r>
      <w:r w:rsidR="007E2BA5">
        <w:rPr>
          <w:b/>
        </w:rPr>
        <w:t>TRC BCR</w:t>
      </w:r>
      <w:r w:rsidR="00064E49">
        <w:rPr>
          <w:b/>
        </w:rPr>
        <w:t>. Includes # and % of measures impacted.</w:t>
      </w:r>
    </w:p>
    <w:tbl>
      <w:tblPr>
        <w:tblStyle w:val="PlainTable11"/>
        <w:tblW w:w="0" w:type="auto"/>
        <w:jc w:val="center"/>
        <w:tblLook w:val="04A0" w:firstRow="1" w:lastRow="0" w:firstColumn="1" w:lastColumn="0" w:noHBand="0" w:noVBand="1"/>
      </w:tblPr>
      <w:tblGrid>
        <w:gridCol w:w="1615"/>
        <w:gridCol w:w="2430"/>
        <w:gridCol w:w="1260"/>
      </w:tblGrid>
      <w:tr w:rsidR="00A8269B" w:rsidRPr="00A8269B" w14:paraId="470E9EC3" w14:textId="77777777" w:rsidTr="003934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tcBorders>
              <w:bottom w:val="single" w:sz="4" w:space="0" w:color="auto"/>
            </w:tcBorders>
            <w:noWrap/>
            <w:hideMark/>
          </w:tcPr>
          <w:p w14:paraId="5E928645" w14:textId="77777777" w:rsidR="00A8269B" w:rsidRPr="00A8269B" w:rsidRDefault="00A8269B" w:rsidP="003934A8">
            <w:r w:rsidRPr="00A8269B">
              <w:t xml:space="preserve">% Change  </w:t>
            </w:r>
            <w:r w:rsidR="003934A8">
              <w:t>TRC</w:t>
            </w:r>
          </w:p>
        </w:tc>
        <w:tc>
          <w:tcPr>
            <w:tcW w:w="2430" w:type="dxa"/>
            <w:tcBorders>
              <w:bottom w:val="single" w:sz="4" w:space="0" w:color="auto"/>
            </w:tcBorders>
            <w:noWrap/>
            <w:hideMark/>
          </w:tcPr>
          <w:p w14:paraId="3635F922" w14:textId="77777777" w:rsidR="00A8269B" w:rsidRPr="00A8269B" w:rsidRDefault="00A8269B">
            <w:pPr>
              <w:cnfStyle w:val="100000000000" w:firstRow="1" w:lastRow="0" w:firstColumn="0" w:lastColumn="0" w:oddVBand="0" w:evenVBand="0" w:oddHBand="0" w:evenHBand="0" w:firstRowFirstColumn="0" w:firstRowLastColumn="0" w:lastRowFirstColumn="0" w:lastRowLastColumn="0"/>
            </w:pPr>
            <w:r w:rsidRPr="00A8269B">
              <w:t># of affected measures</w:t>
            </w:r>
          </w:p>
        </w:tc>
        <w:tc>
          <w:tcPr>
            <w:tcW w:w="1260" w:type="dxa"/>
            <w:tcBorders>
              <w:bottom w:val="single" w:sz="4" w:space="0" w:color="auto"/>
            </w:tcBorders>
            <w:noWrap/>
            <w:hideMark/>
          </w:tcPr>
          <w:p w14:paraId="4FA34EB0" w14:textId="77777777" w:rsidR="00A8269B" w:rsidRPr="00A8269B" w:rsidRDefault="00A8269B">
            <w:pPr>
              <w:cnfStyle w:val="100000000000" w:firstRow="1" w:lastRow="0" w:firstColumn="0" w:lastColumn="0" w:oddVBand="0" w:evenVBand="0" w:oddHBand="0" w:evenHBand="0" w:firstRowFirstColumn="0" w:firstRowLastColumn="0" w:lastRowFirstColumn="0" w:lastRowLastColumn="0"/>
            </w:pPr>
            <w:r w:rsidRPr="00A8269B">
              <w:t>% of Total</w:t>
            </w:r>
          </w:p>
        </w:tc>
      </w:tr>
      <w:tr w:rsidR="00A8269B" w:rsidRPr="00A8269B" w14:paraId="311902F7" w14:textId="77777777" w:rsidTr="003934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tcBorders>
            <w:noWrap/>
            <w:hideMark/>
          </w:tcPr>
          <w:p w14:paraId="16ED7D1A" w14:textId="77777777" w:rsidR="00A8269B" w:rsidRPr="00A8269B" w:rsidRDefault="00A8269B" w:rsidP="00A8269B">
            <w:pPr>
              <w:jc w:val="center"/>
            </w:pPr>
            <w:r w:rsidRPr="00A8269B">
              <w:t>3%</w:t>
            </w:r>
          </w:p>
        </w:tc>
        <w:tc>
          <w:tcPr>
            <w:tcW w:w="2430" w:type="dxa"/>
            <w:tcBorders>
              <w:top w:val="single" w:sz="4" w:space="0" w:color="auto"/>
            </w:tcBorders>
            <w:noWrap/>
            <w:hideMark/>
          </w:tcPr>
          <w:p w14:paraId="2FE51541"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1</w:t>
            </w:r>
          </w:p>
        </w:tc>
        <w:tc>
          <w:tcPr>
            <w:tcW w:w="1260" w:type="dxa"/>
            <w:tcBorders>
              <w:top w:val="single" w:sz="4" w:space="0" w:color="auto"/>
            </w:tcBorders>
            <w:noWrap/>
            <w:hideMark/>
          </w:tcPr>
          <w:p w14:paraId="026D2B0B"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3%</w:t>
            </w:r>
          </w:p>
        </w:tc>
      </w:tr>
      <w:tr w:rsidR="00A8269B" w:rsidRPr="00A8269B" w14:paraId="43B69C93" w14:textId="77777777" w:rsidTr="003934A8">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7937987" w14:textId="77777777" w:rsidR="00A8269B" w:rsidRPr="00A8269B" w:rsidRDefault="00A8269B" w:rsidP="00A8269B">
            <w:pPr>
              <w:jc w:val="center"/>
            </w:pPr>
            <w:r w:rsidRPr="00A8269B">
              <w:t>12%</w:t>
            </w:r>
          </w:p>
        </w:tc>
        <w:tc>
          <w:tcPr>
            <w:tcW w:w="2430" w:type="dxa"/>
            <w:noWrap/>
            <w:hideMark/>
          </w:tcPr>
          <w:p w14:paraId="5FA9F892"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1</w:t>
            </w:r>
          </w:p>
        </w:tc>
        <w:tc>
          <w:tcPr>
            <w:tcW w:w="1260" w:type="dxa"/>
            <w:noWrap/>
            <w:hideMark/>
          </w:tcPr>
          <w:p w14:paraId="16B1F2A7"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3%</w:t>
            </w:r>
          </w:p>
        </w:tc>
      </w:tr>
      <w:tr w:rsidR="00A8269B" w:rsidRPr="00A8269B" w14:paraId="56263BA3" w14:textId="77777777" w:rsidTr="003934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FA19E2D" w14:textId="77777777" w:rsidR="00A8269B" w:rsidRPr="00A8269B" w:rsidRDefault="00A8269B" w:rsidP="00A8269B">
            <w:pPr>
              <w:jc w:val="center"/>
            </w:pPr>
            <w:r w:rsidRPr="00A8269B">
              <w:t>15%</w:t>
            </w:r>
          </w:p>
        </w:tc>
        <w:tc>
          <w:tcPr>
            <w:tcW w:w="2430" w:type="dxa"/>
            <w:noWrap/>
            <w:hideMark/>
          </w:tcPr>
          <w:p w14:paraId="063DF7F9"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1</w:t>
            </w:r>
          </w:p>
        </w:tc>
        <w:tc>
          <w:tcPr>
            <w:tcW w:w="1260" w:type="dxa"/>
            <w:noWrap/>
            <w:hideMark/>
          </w:tcPr>
          <w:p w14:paraId="125EB3D9"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3%</w:t>
            </w:r>
          </w:p>
        </w:tc>
      </w:tr>
      <w:tr w:rsidR="00A8269B" w:rsidRPr="00A8269B" w14:paraId="0D9D8E1E" w14:textId="77777777" w:rsidTr="003934A8">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13CAB1B6" w14:textId="77777777" w:rsidR="00A8269B" w:rsidRPr="00A8269B" w:rsidRDefault="00A8269B" w:rsidP="00A8269B">
            <w:pPr>
              <w:jc w:val="center"/>
            </w:pPr>
            <w:r w:rsidRPr="00A8269B">
              <w:t>16%</w:t>
            </w:r>
          </w:p>
        </w:tc>
        <w:tc>
          <w:tcPr>
            <w:tcW w:w="2430" w:type="dxa"/>
            <w:noWrap/>
            <w:hideMark/>
          </w:tcPr>
          <w:p w14:paraId="62105042"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9</w:t>
            </w:r>
          </w:p>
        </w:tc>
        <w:tc>
          <w:tcPr>
            <w:tcW w:w="1260" w:type="dxa"/>
            <w:noWrap/>
            <w:hideMark/>
          </w:tcPr>
          <w:p w14:paraId="26E3D636"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24%</w:t>
            </w:r>
          </w:p>
        </w:tc>
      </w:tr>
      <w:tr w:rsidR="00A8269B" w:rsidRPr="00A8269B" w14:paraId="4B324117" w14:textId="77777777" w:rsidTr="003934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7061C6B9" w14:textId="77777777" w:rsidR="00A8269B" w:rsidRPr="00A8269B" w:rsidRDefault="00A8269B" w:rsidP="00A8269B">
            <w:pPr>
              <w:jc w:val="center"/>
            </w:pPr>
            <w:r w:rsidRPr="00A8269B">
              <w:t>14%</w:t>
            </w:r>
          </w:p>
        </w:tc>
        <w:tc>
          <w:tcPr>
            <w:tcW w:w="2430" w:type="dxa"/>
            <w:noWrap/>
            <w:hideMark/>
          </w:tcPr>
          <w:p w14:paraId="72119F64"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5</w:t>
            </w:r>
          </w:p>
        </w:tc>
        <w:tc>
          <w:tcPr>
            <w:tcW w:w="1260" w:type="dxa"/>
            <w:noWrap/>
            <w:hideMark/>
          </w:tcPr>
          <w:p w14:paraId="291CA6A8"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14%</w:t>
            </w:r>
          </w:p>
        </w:tc>
      </w:tr>
      <w:tr w:rsidR="00A8269B" w:rsidRPr="00A8269B" w14:paraId="62133857" w14:textId="77777777" w:rsidTr="003934A8">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61F7E2D3" w14:textId="77777777" w:rsidR="00A8269B" w:rsidRPr="00A8269B" w:rsidRDefault="00A8269B" w:rsidP="00A8269B">
            <w:pPr>
              <w:jc w:val="center"/>
            </w:pPr>
            <w:r w:rsidRPr="00A8269B">
              <w:t>21%</w:t>
            </w:r>
          </w:p>
        </w:tc>
        <w:tc>
          <w:tcPr>
            <w:tcW w:w="2430" w:type="dxa"/>
            <w:noWrap/>
            <w:hideMark/>
          </w:tcPr>
          <w:p w14:paraId="7DC59FD3"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11</w:t>
            </w:r>
          </w:p>
        </w:tc>
        <w:tc>
          <w:tcPr>
            <w:tcW w:w="1260" w:type="dxa"/>
            <w:noWrap/>
            <w:hideMark/>
          </w:tcPr>
          <w:p w14:paraId="2191666D"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30%</w:t>
            </w:r>
          </w:p>
        </w:tc>
      </w:tr>
      <w:tr w:rsidR="00A8269B" w:rsidRPr="00A8269B" w14:paraId="1308520C" w14:textId="77777777" w:rsidTr="003934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16654C28" w14:textId="77777777" w:rsidR="00A8269B" w:rsidRPr="00A8269B" w:rsidRDefault="00A8269B" w:rsidP="00A8269B">
            <w:pPr>
              <w:jc w:val="center"/>
            </w:pPr>
            <w:r w:rsidRPr="00A8269B">
              <w:t>20%</w:t>
            </w:r>
          </w:p>
        </w:tc>
        <w:tc>
          <w:tcPr>
            <w:tcW w:w="2430" w:type="dxa"/>
            <w:noWrap/>
            <w:hideMark/>
          </w:tcPr>
          <w:p w14:paraId="4727593F"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3</w:t>
            </w:r>
          </w:p>
        </w:tc>
        <w:tc>
          <w:tcPr>
            <w:tcW w:w="1260" w:type="dxa"/>
            <w:noWrap/>
            <w:hideMark/>
          </w:tcPr>
          <w:p w14:paraId="4B97A100"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8%</w:t>
            </w:r>
          </w:p>
        </w:tc>
      </w:tr>
      <w:tr w:rsidR="00A8269B" w:rsidRPr="00A8269B" w14:paraId="4B3DDD9C" w14:textId="77777777" w:rsidTr="003934A8">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tcBorders>
              <w:bottom w:val="single" w:sz="4" w:space="0" w:color="BFBFBF" w:themeColor="background1" w:themeShade="BF"/>
            </w:tcBorders>
            <w:noWrap/>
            <w:hideMark/>
          </w:tcPr>
          <w:p w14:paraId="4140500E" w14:textId="77777777" w:rsidR="00A8269B" w:rsidRPr="00A8269B" w:rsidRDefault="00A8269B" w:rsidP="00A8269B">
            <w:pPr>
              <w:jc w:val="center"/>
            </w:pPr>
            <w:r w:rsidRPr="00A8269B">
              <w:t>22%</w:t>
            </w:r>
          </w:p>
        </w:tc>
        <w:tc>
          <w:tcPr>
            <w:tcW w:w="2430" w:type="dxa"/>
            <w:tcBorders>
              <w:bottom w:val="single" w:sz="4" w:space="0" w:color="BFBFBF" w:themeColor="background1" w:themeShade="BF"/>
            </w:tcBorders>
            <w:noWrap/>
            <w:hideMark/>
          </w:tcPr>
          <w:p w14:paraId="5B4BFDAE"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1</w:t>
            </w:r>
          </w:p>
        </w:tc>
        <w:tc>
          <w:tcPr>
            <w:tcW w:w="1260" w:type="dxa"/>
            <w:tcBorders>
              <w:bottom w:val="single" w:sz="4" w:space="0" w:color="BFBFBF" w:themeColor="background1" w:themeShade="BF"/>
            </w:tcBorders>
            <w:noWrap/>
            <w:hideMark/>
          </w:tcPr>
          <w:p w14:paraId="0D4FD8D3"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3%</w:t>
            </w:r>
          </w:p>
        </w:tc>
      </w:tr>
      <w:tr w:rsidR="00A8269B" w:rsidRPr="00A8269B" w14:paraId="12145695" w14:textId="77777777" w:rsidTr="003934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tcBorders>
              <w:bottom w:val="single" w:sz="4" w:space="0" w:color="auto"/>
            </w:tcBorders>
            <w:noWrap/>
            <w:hideMark/>
          </w:tcPr>
          <w:p w14:paraId="1F6B840A" w14:textId="77777777" w:rsidR="00A8269B" w:rsidRPr="00A8269B" w:rsidRDefault="00A8269B" w:rsidP="00A8269B">
            <w:pPr>
              <w:jc w:val="center"/>
            </w:pPr>
            <w:r w:rsidRPr="00A8269B">
              <w:t>4%</w:t>
            </w:r>
          </w:p>
        </w:tc>
        <w:tc>
          <w:tcPr>
            <w:tcW w:w="2430" w:type="dxa"/>
            <w:tcBorders>
              <w:bottom w:val="single" w:sz="4" w:space="0" w:color="auto"/>
            </w:tcBorders>
            <w:noWrap/>
            <w:hideMark/>
          </w:tcPr>
          <w:p w14:paraId="7AB5295A"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5</w:t>
            </w:r>
          </w:p>
        </w:tc>
        <w:tc>
          <w:tcPr>
            <w:tcW w:w="1260" w:type="dxa"/>
            <w:tcBorders>
              <w:bottom w:val="single" w:sz="4" w:space="0" w:color="auto"/>
            </w:tcBorders>
            <w:noWrap/>
            <w:hideMark/>
          </w:tcPr>
          <w:p w14:paraId="13006AF8" w14:textId="77777777" w:rsidR="00A8269B" w:rsidRPr="00A8269B" w:rsidRDefault="00A8269B" w:rsidP="00A8269B">
            <w:pPr>
              <w:jc w:val="center"/>
              <w:cnfStyle w:val="000000100000" w:firstRow="0" w:lastRow="0" w:firstColumn="0" w:lastColumn="0" w:oddVBand="0" w:evenVBand="0" w:oddHBand="1" w:evenHBand="0" w:firstRowFirstColumn="0" w:firstRowLastColumn="0" w:lastRowFirstColumn="0" w:lastRowLastColumn="0"/>
            </w:pPr>
            <w:r w:rsidRPr="00A8269B">
              <w:t>14%</w:t>
            </w:r>
          </w:p>
        </w:tc>
      </w:tr>
      <w:tr w:rsidR="00A8269B" w:rsidRPr="00A8269B" w14:paraId="65451E9D" w14:textId="77777777" w:rsidTr="003934A8">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tcBorders>
            <w:noWrap/>
            <w:hideMark/>
          </w:tcPr>
          <w:p w14:paraId="314A453B" w14:textId="77777777" w:rsidR="00A8269B" w:rsidRPr="00A8269B" w:rsidRDefault="00A8269B" w:rsidP="00A8269B">
            <w:pPr>
              <w:jc w:val="center"/>
            </w:pPr>
            <w:r w:rsidRPr="00A8269B">
              <w:t>Grand Total</w:t>
            </w:r>
          </w:p>
        </w:tc>
        <w:tc>
          <w:tcPr>
            <w:tcW w:w="2430" w:type="dxa"/>
            <w:tcBorders>
              <w:top w:val="single" w:sz="4" w:space="0" w:color="auto"/>
            </w:tcBorders>
            <w:noWrap/>
            <w:hideMark/>
          </w:tcPr>
          <w:p w14:paraId="094EBDA1"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37</w:t>
            </w:r>
          </w:p>
        </w:tc>
        <w:tc>
          <w:tcPr>
            <w:tcW w:w="1260" w:type="dxa"/>
            <w:tcBorders>
              <w:top w:val="single" w:sz="4" w:space="0" w:color="auto"/>
            </w:tcBorders>
            <w:noWrap/>
            <w:hideMark/>
          </w:tcPr>
          <w:p w14:paraId="2CCD911F" w14:textId="77777777" w:rsidR="00A8269B" w:rsidRPr="00A8269B" w:rsidRDefault="00A8269B" w:rsidP="00A8269B">
            <w:pPr>
              <w:jc w:val="center"/>
              <w:cnfStyle w:val="000000000000" w:firstRow="0" w:lastRow="0" w:firstColumn="0" w:lastColumn="0" w:oddVBand="0" w:evenVBand="0" w:oddHBand="0" w:evenHBand="0" w:firstRowFirstColumn="0" w:firstRowLastColumn="0" w:lastRowFirstColumn="0" w:lastRowLastColumn="0"/>
            </w:pPr>
            <w:r w:rsidRPr="00A8269B">
              <w:t>100%</w:t>
            </w:r>
          </w:p>
        </w:tc>
      </w:tr>
    </w:tbl>
    <w:p w14:paraId="27B44A66" w14:textId="77777777" w:rsidR="00064E49" w:rsidRDefault="00064E49"/>
    <w:p w14:paraId="4A96EAF8" w14:textId="77777777" w:rsidR="00BF1914" w:rsidRPr="00A357B7" w:rsidRDefault="00A357B7">
      <w:r w:rsidRPr="00A357B7">
        <w:t>Table 3 shows that 17</w:t>
      </w:r>
      <w:r w:rsidR="00CE4B94" w:rsidRPr="00A357B7">
        <w:t>% of residential measures were impacted by</w:t>
      </w:r>
      <w:r w:rsidR="008118A0" w:rsidRPr="00A357B7">
        <w:t xml:space="preserve"> a</w:t>
      </w:r>
      <w:r w:rsidR="00CE4B94" w:rsidRPr="00A357B7">
        <w:t xml:space="preserve"> </w:t>
      </w:r>
      <w:r w:rsidRPr="00A357B7">
        <w:t>3-4%</w:t>
      </w:r>
      <w:r w:rsidR="00CE4B94" w:rsidRPr="00A357B7">
        <w:t xml:space="preserve"> change when the Washington-specific AC is applied. </w:t>
      </w:r>
      <w:r w:rsidRPr="00A357B7">
        <w:t>41% of residential measures are impacted by 20</w:t>
      </w:r>
      <w:r w:rsidR="00CE4B94" w:rsidRPr="00A357B7">
        <w:t xml:space="preserve">% </w:t>
      </w:r>
      <w:r w:rsidRPr="00A357B7">
        <w:t>or greater, and the remaining 42% are impacted by a 12-16% impact.</w:t>
      </w:r>
      <w:r w:rsidR="00CE4B94" w:rsidRPr="00A357B7">
        <w:t xml:space="preserve"> </w:t>
      </w:r>
    </w:p>
    <w:p w14:paraId="1AC1039D" w14:textId="77777777" w:rsidR="007532C6" w:rsidRPr="007532C6" w:rsidRDefault="00540E4C">
      <w:r w:rsidRPr="007532C6">
        <w:t xml:space="preserve">Table 4 below shows the ten Residential measures with the lowest TRC scores in the 2016 EE measure mix. It shows the </w:t>
      </w:r>
      <w:r w:rsidR="00A357B7" w:rsidRPr="007532C6">
        <w:t xml:space="preserve">change in </w:t>
      </w:r>
      <w:r w:rsidRPr="007532C6">
        <w:t xml:space="preserve">TRC score </w:t>
      </w:r>
      <w:r w:rsidR="00A357B7" w:rsidRPr="007532C6">
        <w:t>when going from the Energy Trust ‘Blended’ AC to the</w:t>
      </w:r>
      <w:r w:rsidRPr="007532C6">
        <w:t xml:space="preserve"> ‘WA-only’</w:t>
      </w:r>
      <w:r w:rsidR="007532C6" w:rsidRPr="007532C6">
        <w:t xml:space="preserve"> AC, and the % change the TRC score</w:t>
      </w:r>
      <w:r w:rsidRPr="007532C6">
        <w:t xml:space="preserve"> shifted. </w:t>
      </w:r>
      <w:r w:rsidR="00053D4B" w:rsidRPr="007532C6">
        <w:t xml:space="preserve">Only two of these measures </w:t>
      </w:r>
      <w:r w:rsidR="007532C6" w:rsidRPr="007532C6">
        <w:t xml:space="preserve">(Energy Star Homes &amp; Attic Insulation) </w:t>
      </w:r>
      <w:r w:rsidR="00053D4B" w:rsidRPr="007532C6">
        <w:t>cont</w:t>
      </w:r>
      <w:r w:rsidR="007532C6" w:rsidRPr="007532C6">
        <w:t>ributed a significant level</w:t>
      </w:r>
      <w:r w:rsidR="00053D4B" w:rsidRPr="007532C6">
        <w:t xml:space="preserve"> of savings </w:t>
      </w:r>
      <w:r w:rsidR="007532C6" w:rsidRPr="007532C6">
        <w:t xml:space="preserve">(8.7% and 1.4%) </w:t>
      </w:r>
      <w:r w:rsidR="00053D4B" w:rsidRPr="007532C6">
        <w:t>in 2014 (most recent year with a full year of data) and a few that are new for 2016</w:t>
      </w:r>
      <w:r w:rsidR="007532C6" w:rsidRPr="007532C6">
        <w:t>.</w:t>
      </w:r>
      <w:r w:rsidR="00053D4B" w:rsidRPr="007532C6">
        <w:t xml:space="preserve"> </w:t>
      </w:r>
    </w:p>
    <w:p w14:paraId="79B45781" w14:textId="77777777" w:rsidR="00DC0140" w:rsidRDefault="00085B19">
      <w:r w:rsidRPr="00085B19">
        <w:rPr>
          <w:b/>
        </w:rPr>
        <w:t xml:space="preserve">Table 4. </w:t>
      </w:r>
      <w:r>
        <w:rPr>
          <w:b/>
        </w:rPr>
        <w:t>Ten</w:t>
      </w:r>
      <w:r w:rsidRPr="00085B19">
        <w:rPr>
          <w:b/>
        </w:rPr>
        <w:t xml:space="preserve"> </w:t>
      </w:r>
      <w:r>
        <w:rPr>
          <w:b/>
        </w:rPr>
        <w:t xml:space="preserve">measures with </w:t>
      </w:r>
      <w:r w:rsidRPr="00085B19">
        <w:rPr>
          <w:b/>
        </w:rPr>
        <w:t xml:space="preserve">lowest </w:t>
      </w:r>
      <w:r w:rsidR="00540E4C">
        <w:rPr>
          <w:b/>
        </w:rPr>
        <w:t>TRC</w:t>
      </w:r>
      <w:r w:rsidRPr="00085B19">
        <w:rPr>
          <w:b/>
        </w:rPr>
        <w:t xml:space="preserve"> Scores in 2016 mix. Showing % change in </w:t>
      </w:r>
      <w:r w:rsidR="00540E4C">
        <w:rPr>
          <w:b/>
        </w:rPr>
        <w:t>TRC</w:t>
      </w:r>
      <w:r w:rsidRPr="00085B19">
        <w:rPr>
          <w:b/>
        </w:rPr>
        <w:t xml:space="preserve"> from ETO Blended AC to WA-Only AC</w:t>
      </w:r>
      <w:r w:rsidR="00053D4B">
        <w:rPr>
          <w:b/>
        </w:rPr>
        <w:t xml:space="preserve"> and % savings contributed to Sector in 2014</w:t>
      </w:r>
    </w:p>
    <w:tbl>
      <w:tblPr>
        <w:tblStyle w:val="PlainTable11"/>
        <w:tblW w:w="0" w:type="auto"/>
        <w:tblLook w:val="04A0" w:firstRow="1" w:lastRow="0" w:firstColumn="1" w:lastColumn="0" w:noHBand="0" w:noVBand="1"/>
      </w:tblPr>
      <w:tblGrid>
        <w:gridCol w:w="1435"/>
        <w:gridCol w:w="3510"/>
        <w:gridCol w:w="1350"/>
        <w:gridCol w:w="1080"/>
        <w:gridCol w:w="1170"/>
      </w:tblGrid>
      <w:tr w:rsidR="00A8269B" w:rsidRPr="00A8269B" w14:paraId="51790901" w14:textId="77777777" w:rsidTr="00FA0B9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5" w:type="dxa"/>
            <w:tcBorders>
              <w:bottom w:val="single" w:sz="4" w:space="0" w:color="auto"/>
            </w:tcBorders>
            <w:noWrap/>
            <w:hideMark/>
          </w:tcPr>
          <w:p w14:paraId="168DD5EB" w14:textId="77777777" w:rsidR="00A8269B" w:rsidRPr="00FA0B9E" w:rsidRDefault="00A8269B">
            <w:pPr>
              <w:rPr>
                <w:bCs w:val="0"/>
              </w:rPr>
            </w:pPr>
            <w:r w:rsidRPr="00FA0B9E">
              <w:rPr>
                <w:bCs w:val="0"/>
              </w:rPr>
              <w:t>Program</w:t>
            </w:r>
          </w:p>
        </w:tc>
        <w:tc>
          <w:tcPr>
            <w:tcW w:w="3510" w:type="dxa"/>
            <w:tcBorders>
              <w:bottom w:val="single" w:sz="4" w:space="0" w:color="auto"/>
            </w:tcBorders>
            <w:noWrap/>
            <w:hideMark/>
          </w:tcPr>
          <w:p w14:paraId="5A545B22" w14:textId="77777777" w:rsidR="00A8269B" w:rsidRPr="00FA0B9E" w:rsidRDefault="00A8269B">
            <w:pPr>
              <w:cnfStyle w:val="100000000000" w:firstRow="1" w:lastRow="0" w:firstColumn="0" w:lastColumn="0" w:oddVBand="0" w:evenVBand="0" w:oddHBand="0" w:evenHBand="0" w:firstRowFirstColumn="0" w:firstRowLastColumn="0" w:lastRowFirstColumn="0" w:lastRowLastColumn="0"/>
              <w:rPr>
                <w:bCs w:val="0"/>
              </w:rPr>
            </w:pPr>
            <w:r w:rsidRPr="00FA0B9E">
              <w:rPr>
                <w:bCs w:val="0"/>
              </w:rPr>
              <w:t>Measure Description</w:t>
            </w:r>
          </w:p>
        </w:tc>
        <w:tc>
          <w:tcPr>
            <w:tcW w:w="1350" w:type="dxa"/>
            <w:tcBorders>
              <w:bottom w:val="single" w:sz="4" w:space="0" w:color="auto"/>
            </w:tcBorders>
            <w:noWrap/>
            <w:hideMark/>
          </w:tcPr>
          <w:p w14:paraId="7138FB1E" w14:textId="77777777" w:rsidR="00A8269B" w:rsidRPr="00FA0B9E" w:rsidRDefault="00A8269B">
            <w:pPr>
              <w:cnfStyle w:val="100000000000" w:firstRow="1" w:lastRow="0" w:firstColumn="0" w:lastColumn="0" w:oddVBand="0" w:evenVBand="0" w:oddHBand="0" w:evenHBand="0" w:firstRowFirstColumn="0" w:firstRowLastColumn="0" w:lastRowFirstColumn="0" w:lastRowLastColumn="0"/>
              <w:rPr>
                <w:bCs w:val="0"/>
              </w:rPr>
            </w:pPr>
            <w:r w:rsidRPr="00FA0B9E">
              <w:rPr>
                <w:bCs w:val="0"/>
              </w:rPr>
              <w:t>Change in TRC BCR</w:t>
            </w:r>
          </w:p>
        </w:tc>
        <w:tc>
          <w:tcPr>
            <w:tcW w:w="1080" w:type="dxa"/>
            <w:tcBorders>
              <w:bottom w:val="single" w:sz="4" w:space="0" w:color="auto"/>
            </w:tcBorders>
            <w:noWrap/>
            <w:hideMark/>
          </w:tcPr>
          <w:p w14:paraId="3206B0F3" w14:textId="77777777" w:rsidR="00A8269B" w:rsidRPr="00FA0B9E" w:rsidRDefault="00A8269B">
            <w:pPr>
              <w:cnfStyle w:val="100000000000" w:firstRow="1" w:lastRow="0" w:firstColumn="0" w:lastColumn="0" w:oddVBand="0" w:evenVBand="0" w:oddHBand="0" w:evenHBand="0" w:firstRowFirstColumn="0" w:firstRowLastColumn="0" w:lastRowFirstColumn="0" w:lastRowLastColumn="0"/>
              <w:rPr>
                <w:bCs w:val="0"/>
              </w:rPr>
            </w:pPr>
            <w:r w:rsidRPr="00FA0B9E">
              <w:rPr>
                <w:bCs w:val="0"/>
              </w:rPr>
              <w:t>% change in TRC</w:t>
            </w:r>
          </w:p>
        </w:tc>
        <w:tc>
          <w:tcPr>
            <w:tcW w:w="1170" w:type="dxa"/>
            <w:tcBorders>
              <w:bottom w:val="single" w:sz="4" w:space="0" w:color="auto"/>
            </w:tcBorders>
            <w:noWrap/>
            <w:hideMark/>
          </w:tcPr>
          <w:p w14:paraId="45BF2847" w14:textId="77777777" w:rsidR="00A8269B" w:rsidRPr="00FA0B9E" w:rsidRDefault="00A8269B">
            <w:pPr>
              <w:cnfStyle w:val="100000000000" w:firstRow="1" w:lastRow="0" w:firstColumn="0" w:lastColumn="0" w:oddVBand="0" w:evenVBand="0" w:oddHBand="0" w:evenHBand="0" w:firstRowFirstColumn="0" w:firstRowLastColumn="0" w:lastRowFirstColumn="0" w:lastRowLastColumn="0"/>
              <w:rPr>
                <w:bCs w:val="0"/>
              </w:rPr>
            </w:pPr>
            <w:r w:rsidRPr="00FA0B9E">
              <w:rPr>
                <w:bCs w:val="0"/>
              </w:rPr>
              <w:t>% of 2014 Savings</w:t>
            </w:r>
          </w:p>
        </w:tc>
      </w:tr>
      <w:tr w:rsidR="00A8269B" w:rsidRPr="00A8269B" w14:paraId="1D07FC05" w14:textId="77777777" w:rsidTr="00FA0B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tcBorders>
            <w:noWrap/>
            <w:hideMark/>
          </w:tcPr>
          <w:p w14:paraId="2B5B43B5" w14:textId="77777777" w:rsidR="00A8269B" w:rsidRPr="00A8269B" w:rsidRDefault="00A8269B">
            <w:r w:rsidRPr="00A8269B">
              <w:t>Existing Homes</w:t>
            </w:r>
          </w:p>
        </w:tc>
        <w:tc>
          <w:tcPr>
            <w:tcW w:w="3510" w:type="dxa"/>
            <w:tcBorders>
              <w:top w:val="single" w:sz="4" w:space="0" w:color="auto"/>
            </w:tcBorders>
            <w:noWrap/>
            <w:hideMark/>
          </w:tcPr>
          <w:p w14:paraId="67413026"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SF Floor Insulation/SQFT, Gas Heat, Zone 1 2014</w:t>
            </w:r>
          </w:p>
        </w:tc>
        <w:tc>
          <w:tcPr>
            <w:tcW w:w="1350" w:type="dxa"/>
            <w:tcBorders>
              <w:top w:val="single" w:sz="4" w:space="0" w:color="auto"/>
            </w:tcBorders>
            <w:noWrap/>
            <w:hideMark/>
          </w:tcPr>
          <w:p w14:paraId="4AE100E3"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From 0.25 to 0.29</w:t>
            </w:r>
          </w:p>
        </w:tc>
        <w:tc>
          <w:tcPr>
            <w:tcW w:w="1080" w:type="dxa"/>
            <w:tcBorders>
              <w:top w:val="single" w:sz="4" w:space="0" w:color="auto"/>
            </w:tcBorders>
            <w:noWrap/>
            <w:hideMark/>
          </w:tcPr>
          <w:p w14:paraId="34EBF190" w14:textId="77777777" w:rsidR="00A8269B" w:rsidRPr="00A8269B" w:rsidRDefault="00A8269B" w:rsidP="00FA0B9E">
            <w:pPr>
              <w:jc w:val="center"/>
              <w:cnfStyle w:val="000000100000" w:firstRow="0" w:lastRow="0" w:firstColumn="0" w:lastColumn="0" w:oddVBand="0" w:evenVBand="0" w:oddHBand="1" w:evenHBand="0" w:firstRowFirstColumn="0" w:firstRowLastColumn="0" w:lastRowFirstColumn="0" w:lastRowLastColumn="0"/>
            </w:pPr>
            <w:r w:rsidRPr="00A8269B">
              <w:t>16%</w:t>
            </w:r>
          </w:p>
        </w:tc>
        <w:tc>
          <w:tcPr>
            <w:tcW w:w="1170" w:type="dxa"/>
            <w:tcBorders>
              <w:top w:val="single" w:sz="4" w:space="0" w:color="auto"/>
            </w:tcBorders>
            <w:noWrap/>
            <w:hideMark/>
          </w:tcPr>
          <w:p w14:paraId="5A9EE6C5" w14:textId="77777777" w:rsidR="00A8269B" w:rsidRPr="00A8269B" w:rsidRDefault="00A8269B" w:rsidP="00FA0B9E">
            <w:pPr>
              <w:jc w:val="center"/>
              <w:cnfStyle w:val="000000100000" w:firstRow="0" w:lastRow="0" w:firstColumn="0" w:lastColumn="0" w:oddVBand="0" w:evenVBand="0" w:oddHBand="1" w:evenHBand="0" w:firstRowFirstColumn="0" w:firstRowLastColumn="0" w:lastRowFirstColumn="0" w:lastRowLastColumn="0"/>
            </w:pPr>
            <w:r w:rsidRPr="00A8269B">
              <w:t>0.10%</w:t>
            </w:r>
          </w:p>
        </w:tc>
      </w:tr>
      <w:tr w:rsidR="00A8269B" w:rsidRPr="00A8269B" w14:paraId="6A541585" w14:textId="77777777" w:rsidTr="00FA0B9E">
        <w:trPr>
          <w:trHeight w:val="300"/>
        </w:trPr>
        <w:tc>
          <w:tcPr>
            <w:cnfStyle w:val="001000000000" w:firstRow="0" w:lastRow="0" w:firstColumn="1" w:lastColumn="0" w:oddVBand="0" w:evenVBand="0" w:oddHBand="0" w:evenHBand="0" w:firstRowFirstColumn="0" w:firstRowLastColumn="0" w:lastRowFirstColumn="0" w:lastRowLastColumn="0"/>
            <w:tcW w:w="1435" w:type="dxa"/>
            <w:noWrap/>
            <w:hideMark/>
          </w:tcPr>
          <w:p w14:paraId="565C073C" w14:textId="77777777" w:rsidR="00A8269B" w:rsidRPr="00A8269B" w:rsidRDefault="00A8269B">
            <w:r w:rsidRPr="00A8269B">
              <w:t>Existing Homes</w:t>
            </w:r>
          </w:p>
        </w:tc>
        <w:tc>
          <w:tcPr>
            <w:tcW w:w="3510" w:type="dxa"/>
            <w:noWrap/>
            <w:hideMark/>
          </w:tcPr>
          <w:p w14:paraId="238E6436"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Water Heater, Gas .70 $125, 2016</w:t>
            </w:r>
          </w:p>
        </w:tc>
        <w:tc>
          <w:tcPr>
            <w:tcW w:w="1350" w:type="dxa"/>
            <w:noWrap/>
            <w:hideMark/>
          </w:tcPr>
          <w:p w14:paraId="28A7362C"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From 0.31 to 0.37</w:t>
            </w:r>
          </w:p>
        </w:tc>
        <w:tc>
          <w:tcPr>
            <w:tcW w:w="1080" w:type="dxa"/>
            <w:noWrap/>
            <w:hideMark/>
          </w:tcPr>
          <w:p w14:paraId="31D6058F" w14:textId="77777777" w:rsidR="00A8269B" w:rsidRPr="00A8269B" w:rsidRDefault="00A8269B" w:rsidP="00FA0B9E">
            <w:pPr>
              <w:jc w:val="center"/>
              <w:cnfStyle w:val="000000000000" w:firstRow="0" w:lastRow="0" w:firstColumn="0" w:lastColumn="0" w:oddVBand="0" w:evenVBand="0" w:oddHBand="0" w:evenHBand="0" w:firstRowFirstColumn="0" w:firstRowLastColumn="0" w:lastRowFirstColumn="0" w:lastRowLastColumn="0"/>
            </w:pPr>
            <w:r w:rsidRPr="00A8269B">
              <w:t>21%</w:t>
            </w:r>
          </w:p>
        </w:tc>
        <w:tc>
          <w:tcPr>
            <w:tcW w:w="1170" w:type="dxa"/>
            <w:noWrap/>
            <w:hideMark/>
          </w:tcPr>
          <w:p w14:paraId="7AA0150A" w14:textId="77777777" w:rsidR="00A8269B" w:rsidRPr="00A8269B" w:rsidRDefault="00A8269B" w:rsidP="00FA0B9E">
            <w:pPr>
              <w:jc w:val="center"/>
              <w:cnfStyle w:val="000000000000" w:firstRow="0" w:lastRow="0" w:firstColumn="0" w:lastColumn="0" w:oddVBand="0" w:evenVBand="0" w:oddHBand="0" w:evenHBand="0" w:firstRowFirstColumn="0" w:firstRowLastColumn="0" w:lastRowFirstColumn="0" w:lastRowLastColumn="0"/>
            </w:pPr>
            <w:r w:rsidRPr="00A8269B">
              <w:t>0.20%</w:t>
            </w:r>
          </w:p>
        </w:tc>
      </w:tr>
      <w:tr w:rsidR="00A8269B" w:rsidRPr="00A8269B" w14:paraId="66A8C5E5" w14:textId="77777777" w:rsidTr="00FA0B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5" w:type="dxa"/>
            <w:noWrap/>
            <w:hideMark/>
          </w:tcPr>
          <w:p w14:paraId="36CA76F1" w14:textId="77777777" w:rsidR="00A8269B" w:rsidRPr="00A8269B" w:rsidRDefault="00A8269B">
            <w:r w:rsidRPr="00A8269B">
              <w:t>Existing Homes</w:t>
            </w:r>
          </w:p>
        </w:tc>
        <w:tc>
          <w:tcPr>
            <w:tcW w:w="3510" w:type="dxa"/>
            <w:noWrap/>
            <w:hideMark/>
          </w:tcPr>
          <w:p w14:paraId="1041DD69"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SF Gas Boiler</w:t>
            </w:r>
          </w:p>
        </w:tc>
        <w:tc>
          <w:tcPr>
            <w:tcW w:w="1350" w:type="dxa"/>
            <w:noWrap/>
            <w:hideMark/>
          </w:tcPr>
          <w:p w14:paraId="49D7C129"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From 0.31 to 0.37</w:t>
            </w:r>
          </w:p>
        </w:tc>
        <w:tc>
          <w:tcPr>
            <w:tcW w:w="1080" w:type="dxa"/>
            <w:noWrap/>
            <w:hideMark/>
          </w:tcPr>
          <w:p w14:paraId="751A2EB0" w14:textId="77777777" w:rsidR="00A8269B" w:rsidRPr="00A8269B" w:rsidRDefault="00A8269B" w:rsidP="00FA0B9E">
            <w:pPr>
              <w:jc w:val="center"/>
              <w:cnfStyle w:val="000000100000" w:firstRow="0" w:lastRow="0" w:firstColumn="0" w:lastColumn="0" w:oddVBand="0" w:evenVBand="0" w:oddHBand="1" w:evenHBand="0" w:firstRowFirstColumn="0" w:firstRowLastColumn="0" w:lastRowFirstColumn="0" w:lastRowLastColumn="0"/>
            </w:pPr>
            <w:r w:rsidRPr="00A8269B">
              <w:t>20%</w:t>
            </w:r>
          </w:p>
        </w:tc>
        <w:tc>
          <w:tcPr>
            <w:tcW w:w="1170" w:type="dxa"/>
            <w:noWrap/>
            <w:hideMark/>
          </w:tcPr>
          <w:p w14:paraId="087E0C41" w14:textId="77777777" w:rsidR="00A8269B" w:rsidRPr="00A8269B" w:rsidRDefault="00A8269B" w:rsidP="00FA0B9E">
            <w:pPr>
              <w:jc w:val="center"/>
              <w:cnfStyle w:val="000000100000" w:firstRow="0" w:lastRow="0" w:firstColumn="0" w:lastColumn="0" w:oddVBand="0" w:evenVBand="0" w:oddHBand="1" w:evenHBand="0" w:firstRowFirstColumn="0" w:firstRowLastColumn="0" w:lastRowFirstColumn="0" w:lastRowLastColumn="0"/>
            </w:pPr>
            <w:r w:rsidRPr="00A8269B">
              <w:t>0.05%</w:t>
            </w:r>
          </w:p>
        </w:tc>
      </w:tr>
      <w:tr w:rsidR="00A8269B" w:rsidRPr="00A8269B" w14:paraId="156900DF" w14:textId="77777777" w:rsidTr="00FA0B9E">
        <w:trPr>
          <w:trHeight w:val="300"/>
        </w:trPr>
        <w:tc>
          <w:tcPr>
            <w:cnfStyle w:val="001000000000" w:firstRow="0" w:lastRow="0" w:firstColumn="1" w:lastColumn="0" w:oddVBand="0" w:evenVBand="0" w:oddHBand="0" w:evenHBand="0" w:firstRowFirstColumn="0" w:firstRowLastColumn="0" w:lastRowFirstColumn="0" w:lastRowLastColumn="0"/>
            <w:tcW w:w="1435" w:type="dxa"/>
            <w:noWrap/>
            <w:hideMark/>
          </w:tcPr>
          <w:p w14:paraId="73BCC971" w14:textId="77777777" w:rsidR="00A8269B" w:rsidRPr="00A8269B" w:rsidRDefault="00A8269B">
            <w:r w:rsidRPr="00A8269B">
              <w:t>New Homes &amp; Products</w:t>
            </w:r>
          </w:p>
        </w:tc>
        <w:tc>
          <w:tcPr>
            <w:tcW w:w="3510" w:type="dxa"/>
            <w:noWrap/>
            <w:hideMark/>
          </w:tcPr>
          <w:p w14:paraId="2C88D96E"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SW WA EPS Path 5</w:t>
            </w:r>
          </w:p>
        </w:tc>
        <w:tc>
          <w:tcPr>
            <w:tcW w:w="1350" w:type="dxa"/>
            <w:noWrap/>
            <w:hideMark/>
          </w:tcPr>
          <w:p w14:paraId="190A21A9"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From 0.34 to 0.39</w:t>
            </w:r>
          </w:p>
        </w:tc>
        <w:tc>
          <w:tcPr>
            <w:tcW w:w="1080" w:type="dxa"/>
            <w:noWrap/>
            <w:hideMark/>
          </w:tcPr>
          <w:p w14:paraId="34BA1BEC" w14:textId="77777777" w:rsidR="00A8269B" w:rsidRPr="00A8269B" w:rsidRDefault="00A8269B" w:rsidP="00FA0B9E">
            <w:pPr>
              <w:jc w:val="center"/>
              <w:cnfStyle w:val="000000000000" w:firstRow="0" w:lastRow="0" w:firstColumn="0" w:lastColumn="0" w:oddVBand="0" w:evenVBand="0" w:oddHBand="0" w:evenHBand="0" w:firstRowFirstColumn="0" w:firstRowLastColumn="0" w:lastRowFirstColumn="0" w:lastRowLastColumn="0"/>
            </w:pPr>
            <w:r w:rsidRPr="00A8269B">
              <w:t>14%</w:t>
            </w:r>
          </w:p>
        </w:tc>
        <w:tc>
          <w:tcPr>
            <w:tcW w:w="1170" w:type="dxa"/>
            <w:noWrap/>
            <w:hideMark/>
          </w:tcPr>
          <w:p w14:paraId="62CE0A2B" w14:textId="77777777" w:rsidR="00A8269B" w:rsidRPr="00A8269B" w:rsidRDefault="00A8269B" w:rsidP="00FA0B9E">
            <w:pPr>
              <w:jc w:val="center"/>
              <w:cnfStyle w:val="000000000000" w:firstRow="0" w:lastRow="0" w:firstColumn="0" w:lastColumn="0" w:oddVBand="0" w:evenVBand="0" w:oddHBand="0" w:evenHBand="0" w:firstRowFirstColumn="0" w:firstRowLastColumn="0" w:lastRowFirstColumn="0" w:lastRowLastColumn="0"/>
            </w:pPr>
            <w:r w:rsidRPr="00A8269B">
              <w:t>New Measure</w:t>
            </w:r>
          </w:p>
        </w:tc>
      </w:tr>
      <w:tr w:rsidR="00A8269B" w:rsidRPr="00A8269B" w14:paraId="704E80C6" w14:textId="77777777" w:rsidTr="00FA0B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5" w:type="dxa"/>
            <w:noWrap/>
            <w:hideMark/>
          </w:tcPr>
          <w:p w14:paraId="7853180A" w14:textId="77777777" w:rsidR="00A8269B" w:rsidRPr="00A8269B" w:rsidRDefault="00A8269B">
            <w:r w:rsidRPr="00A8269B">
              <w:t>New Homes &amp; Products</w:t>
            </w:r>
          </w:p>
        </w:tc>
        <w:tc>
          <w:tcPr>
            <w:tcW w:w="3510" w:type="dxa"/>
            <w:noWrap/>
            <w:hideMark/>
          </w:tcPr>
          <w:p w14:paraId="26CE3E35"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SW WA EPS Path 4</w:t>
            </w:r>
          </w:p>
        </w:tc>
        <w:tc>
          <w:tcPr>
            <w:tcW w:w="1350" w:type="dxa"/>
            <w:noWrap/>
            <w:hideMark/>
          </w:tcPr>
          <w:p w14:paraId="5135336C"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From 0.35 to 0.4</w:t>
            </w:r>
          </w:p>
        </w:tc>
        <w:tc>
          <w:tcPr>
            <w:tcW w:w="1080" w:type="dxa"/>
            <w:noWrap/>
            <w:hideMark/>
          </w:tcPr>
          <w:p w14:paraId="01028A9C" w14:textId="77777777" w:rsidR="00A8269B" w:rsidRPr="00A8269B" w:rsidRDefault="00A8269B" w:rsidP="00FA0B9E">
            <w:pPr>
              <w:jc w:val="center"/>
              <w:cnfStyle w:val="000000100000" w:firstRow="0" w:lastRow="0" w:firstColumn="0" w:lastColumn="0" w:oddVBand="0" w:evenVBand="0" w:oddHBand="1" w:evenHBand="0" w:firstRowFirstColumn="0" w:firstRowLastColumn="0" w:lastRowFirstColumn="0" w:lastRowLastColumn="0"/>
            </w:pPr>
            <w:r w:rsidRPr="00A8269B">
              <w:t>14%</w:t>
            </w:r>
          </w:p>
        </w:tc>
        <w:tc>
          <w:tcPr>
            <w:tcW w:w="1170" w:type="dxa"/>
            <w:noWrap/>
            <w:hideMark/>
          </w:tcPr>
          <w:p w14:paraId="598C2404" w14:textId="77777777" w:rsidR="00A8269B" w:rsidRPr="00A8269B" w:rsidRDefault="00A8269B" w:rsidP="00FA0B9E">
            <w:pPr>
              <w:jc w:val="center"/>
              <w:cnfStyle w:val="000000100000" w:firstRow="0" w:lastRow="0" w:firstColumn="0" w:lastColumn="0" w:oddVBand="0" w:evenVBand="0" w:oddHBand="1" w:evenHBand="0" w:firstRowFirstColumn="0" w:firstRowLastColumn="0" w:lastRowFirstColumn="0" w:lastRowLastColumn="0"/>
            </w:pPr>
            <w:r w:rsidRPr="00A8269B">
              <w:t>New Measure</w:t>
            </w:r>
          </w:p>
        </w:tc>
      </w:tr>
      <w:tr w:rsidR="00A8269B" w:rsidRPr="00A8269B" w14:paraId="4CFFB199" w14:textId="77777777" w:rsidTr="00FA0B9E">
        <w:trPr>
          <w:trHeight w:val="300"/>
        </w:trPr>
        <w:tc>
          <w:tcPr>
            <w:cnfStyle w:val="001000000000" w:firstRow="0" w:lastRow="0" w:firstColumn="1" w:lastColumn="0" w:oddVBand="0" w:evenVBand="0" w:oddHBand="0" w:evenHBand="0" w:firstRowFirstColumn="0" w:firstRowLastColumn="0" w:lastRowFirstColumn="0" w:lastRowLastColumn="0"/>
            <w:tcW w:w="1435" w:type="dxa"/>
            <w:noWrap/>
            <w:hideMark/>
          </w:tcPr>
          <w:p w14:paraId="0EAF10A3" w14:textId="77777777" w:rsidR="00A8269B" w:rsidRPr="00A8269B" w:rsidRDefault="00A8269B">
            <w:r w:rsidRPr="00A8269B">
              <w:lastRenderedPageBreak/>
              <w:t>New Homes &amp; Products</w:t>
            </w:r>
          </w:p>
        </w:tc>
        <w:tc>
          <w:tcPr>
            <w:tcW w:w="3510" w:type="dxa"/>
            <w:noWrap/>
            <w:hideMark/>
          </w:tcPr>
          <w:p w14:paraId="6D1DF57C"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SW WA Energy Star New Homes - 2015</w:t>
            </w:r>
          </w:p>
        </w:tc>
        <w:tc>
          <w:tcPr>
            <w:tcW w:w="1350" w:type="dxa"/>
            <w:noWrap/>
            <w:hideMark/>
          </w:tcPr>
          <w:p w14:paraId="315F7FB2"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From 0.36 to 0.41</w:t>
            </w:r>
          </w:p>
        </w:tc>
        <w:tc>
          <w:tcPr>
            <w:tcW w:w="1080" w:type="dxa"/>
            <w:noWrap/>
            <w:hideMark/>
          </w:tcPr>
          <w:p w14:paraId="37B2AE00" w14:textId="77777777" w:rsidR="00A8269B" w:rsidRPr="00A8269B" w:rsidRDefault="00A8269B" w:rsidP="00FA0B9E">
            <w:pPr>
              <w:jc w:val="center"/>
              <w:cnfStyle w:val="000000000000" w:firstRow="0" w:lastRow="0" w:firstColumn="0" w:lastColumn="0" w:oddVBand="0" w:evenVBand="0" w:oddHBand="0" w:evenHBand="0" w:firstRowFirstColumn="0" w:firstRowLastColumn="0" w:lastRowFirstColumn="0" w:lastRowLastColumn="0"/>
            </w:pPr>
            <w:r w:rsidRPr="00A8269B">
              <w:t>16%</w:t>
            </w:r>
          </w:p>
        </w:tc>
        <w:tc>
          <w:tcPr>
            <w:tcW w:w="1170" w:type="dxa"/>
            <w:noWrap/>
            <w:hideMark/>
          </w:tcPr>
          <w:p w14:paraId="5CCA03C6" w14:textId="77777777" w:rsidR="00A8269B" w:rsidRPr="00A8269B" w:rsidRDefault="00A8269B" w:rsidP="00FA0B9E">
            <w:pPr>
              <w:jc w:val="center"/>
              <w:cnfStyle w:val="000000000000" w:firstRow="0" w:lastRow="0" w:firstColumn="0" w:lastColumn="0" w:oddVBand="0" w:evenVBand="0" w:oddHBand="0" w:evenHBand="0" w:firstRowFirstColumn="0" w:firstRowLastColumn="0" w:lastRowFirstColumn="0" w:lastRowLastColumn="0"/>
            </w:pPr>
            <w:r w:rsidRPr="00A8269B">
              <w:t>8.70%</w:t>
            </w:r>
          </w:p>
        </w:tc>
      </w:tr>
      <w:tr w:rsidR="00A8269B" w:rsidRPr="00A8269B" w14:paraId="770B126B" w14:textId="77777777" w:rsidTr="00FA0B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5" w:type="dxa"/>
            <w:noWrap/>
            <w:hideMark/>
          </w:tcPr>
          <w:p w14:paraId="084D1F4A" w14:textId="77777777" w:rsidR="00A8269B" w:rsidRPr="00A8269B" w:rsidRDefault="00A8269B">
            <w:r w:rsidRPr="00A8269B">
              <w:t>Existing Homes</w:t>
            </w:r>
          </w:p>
        </w:tc>
        <w:tc>
          <w:tcPr>
            <w:tcW w:w="3510" w:type="dxa"/>
            <w:noWrap/>
            <w:hideMark/>
          </w:tcPr>
          <w:p w14:paraId="11B61228"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SF Knee Wall Insulation/SQFT, Gas Heat, Zone 1 2014</w:t>
            </w:r>
          </w:p>
        </w:tc>
        <w:tc>
          <w:tcPr>
            <w:tcW w:w="1350" w:type="dxa"/>
            <w:noWrap/>
            <w:hideMark/>
          </w:tcPr>
          <w:p w14:paraId="10E34BD2"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From 0.36 to 0.42</w:t>
            </w:r>
          </w:p>
        </w:tc>
        <w:tc>
          <w:tcPr>
            <w:tcW w:w="1080" w:type="dxa"/>
            <w:noWrap/>
            <w:hideMark/>
          </w:tcPr>
          <w:p w14:paraId="7AE06F1B" w14:textId="77777777" w:rsidR="00A8269B" w:rsidRPr="00A8269B" w:rsidRDefault="00A8269B" w:rsidP="00FA0B9E">
            <w:pPr>
              <w:jc w:val="center"/>
              <w:cnfStyle w:val="000000100000" w:firstRow="0" w:lastRow="0" w:firstColumn="0" w:lastColumn="0" w:oddVBand="0" w:evenVBand="0" w:oddHBand="1" w:evenHBand="0" w:firstRowFirstColumn="0" w:firstRowLastColumn="0" w:lastRowFirstColumn="0" w:lastRowLastColumn="0"/>
            </w:pPr>
            <w:r w:rsidRPr="00A8269B">
              <w:t>16%</w:t>
            </w:r>
          </w:p>
        </w:tc>
        <w:tc>
          <w:tcPr>
            <w:tcW w:w="1170" w:type="dxa"/>
            <w:noWrap/>
            <w:hideMark/>
          </w:tcPr>
          <w:p w14:paraId="0F136B61" w14:textId="77777777" w:rsidR="00A8269B" w:rsidRPr="00A8269B" w:rsidRDefault="00A8269B" w:rsidP="00FA0B9E">
            <w:pPr>
              <w:jc w:val="center"/>
              <w:cnfStyle w:val="000000100000" w:firstRow="0" w:lastRow="0" w:firstColumn="0" w:lastColumn="0" w:oddVBand="0" w:evenVBand="0" w:oddHBand="1" w:evenHBand="0" w:firstRowFirstColumn="0" w:firstRowLastColumn="0" w:lastRowFirstColumn="0" w:lastRowLastColumn="0"/>
            </w:pPr>
            <w:r w:rsidRPr="00A8269B">
              <w:t>0.05%</w:t>
            </w:r>
          </w:p>
        </w:tc>
      </w:tr>
      <w:tr w:rsidR="00A8269B" w:rsidRPr="00A8269B" w14:paraId="7F0158E7" w14:textId="77777777" w:rsidTr="00FA0B9E">
        <w:trPr>
          <w:trHeight w:val="300"/>
        </w:trPr>
        <w:tc>
          <w:tcPr>
            <w:cnfStyle w:val="001000000000" w:firstRow="0" w:lastRow="0" w:firstColumn="1" w:lastColumn="0" w:oddVBand="0" w:evenVBand="0" w:oddHBand="0" w:evenHBand="0" w:firstRowFirstColumn="0" w:firstRowLastColumn="0" w:lastRowFirstColumn="0" w:lastRowLastColumn="0"/>
            <w:tcW w:w="1435" w:type="dxa"/>
            <w:noWrap/>
            <w:hideMark/>
          </w:tcPr>
          <w:p w14:paraId="7ECE9D2F" w14:textId="77777777" w:rsidR="00A8269B" w:rsidRPr="00A8269B" w:rsidRDefault="00A8269B">
            <w:r w:rsidRPr="00A8269B">
              <w:t>Existing Homes</w:t>
            </w:r>
          </w:p>
        </w:tc>
        <w:tc>
          <w:tcPr>
            <w:tcW w:w="3510" w:type="dxa"/>
            <w:noWrap/>
            <w:hideMark/>
          </w:tcPr>
          <w:p w14:paraId="57712044"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Water Heater, Gas .67-.69 $100 2016</w:t>
            </w:r>
          </w:p>
        </w:tc>
        <w:tc>
          <w:tcPr>
            <w:tcW w:w="1350" w:type="dxa"/>
            <w:noWrap/>
            <w:hideMark/>
          </w:tcPr>
          <w:p w14:paraId="29EFA4D9"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From 0.49 to 0.59</w:t>
            </w:r>
          </w:p>
        </w:tc>
        <w:tc>
          <w:tcPr>
            <w:tcW w:w="1080" w:type="dxa"/>
            <w:noWrap/>
            <w:hideMark/>
          </w:tcPr>
          <w:p w14:paraId="6993F1FF" w14:textId="77777777" w:rsidR="00A8269B" w:rsidRPr="00A8269B" w:rsidRDefault="00A8269B" w:rsidP="00FA0B9E">
            <w:pPr>
              <w:jc w:val="center"/>
              <w:cnfStyle w:val="000000000000" w:firstRow="0" w:lastRow="0" w:firstColumn="0" w:lastColumn="0" w:oddVBand="0" w:evenVBand="0" w:oddHBand="0" w:evenHBand="0" w:firstRowFirstColumn="0" w:firstRowLastColumn="0" w:lastRowFirstColumn="0" w:lastRowLastColumn="0"/>
            </w:pPr>
            <w:r w:rsidRPr="00A8269B">
              <w:t>21%</w:t>
            </w:r>
          </w:p>
        </w:tc>
        <w:tc>
          <w:tcPr>
            <w:tcW w:w="1170" w:type="dxa"/>
            <w:noWrap/>
            <w:hideMark/>
          </w:tcPr>
          <w:p w14:paraId="6BB7A351" w14:textId="77777777" w:rsidR="00A8269B" w:rsidRPr="00A8269B" w:rsidRDefault="00A8269B" w:rsidP="00FA0B9E">
            <w:pPr>
              <w:jc w:val="center"/>
              <w:cnfStyle w:val="000000000000" w:firstRow="0" w:lastRow="0" w:firstColumn="0" w:lastColumn="0" w:oddVBand="0" w:evenVBand="0" w:oddHBand="0" w:evenHBand="0" w:firstRowFirstColumn="0" w:firstRowLastColumn="0" w:lastRowFirstColumn="0" w:lastRowLastColumn="0"/>
            </w:pPr>
            <w:r w:rsidRPr="00A8269B">
              <w:t>0.50%</w:t>
            </w:r>
          </w:p>
        </w:tc>
      </w:tr>
      <w:tr w:rsidR="00A8269B" w:rsidRPr="00A8269B" w14:paraId="094C9611" w14:textId="77777777" w:rsidTr="00FA0B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5" w:type="dxa"/>
            <w:noWrap/>
            <w:hideMark/>
          </w:tcPr>
          <w:p w14:paraId="71BC8722" w14:textId="77777777" w:rsidR="00A8269B" w:rsidRPr="00A8269B" w:rsidRDefault="00A8269B">
            <w:r w:rsidRPr="00A8269B">
              <w:t>Existing Homes</w:t>
            </w:r>
          </w:p>
        </w:tc>
        <w:tc>
          <w:tcPr>
            <w:tcW w:w="3510" w:type="dxa"/>
            <w:noWrap/>
            <w:hideMark/>
          </w:tcPr>
          <w:p w14:paraId="68990EDF"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SF Attic Insulation/SQFT, Gas Heat, Zone 1 2014</w:t>
            </w:r>
          </w:p>
        </w:tc>
        <w:tc>
          <w:tcPr>
            <w:tcW w:w="1350" w:type="dxa"/>
            <w:noWrap/>
            <w:hideMark/>
          </w:tcPr>
          <w:p w14:paraId="52DC7407" w14:textId="77777777" w:rsidR="00A8269B" w:rsidRPr="00A8269B" w:rsidRDefault="00A8269B">
            <w:pPr>
              <w:cnfStyle w:val="000000100000" w:firstRow="0" w:lastRow="0" w:firstColumn="0" w:lastColumn="0" w:oddVBand="0" w:evenVBand="0" w:oddHBand="1" w:evenHBand="0" w:firstRowFirstColumn="0" w:firstRowLastColumn="0" w:lastRowFirstColumn="0" w:lastRowLastColumn="0"/>
            </w:pPr>
            <w:r w:rsidRPr="00A8269B">
              <w:t>From 0.63 to 0.73</w:t>
            </w:r>
          </w:p>
        </w:tc>
        <w:tc>
          <w:tcPr>
            <w:tcW w:w="1080" w:type="dxa"/>
            <w:noWrap/>
            <w:hideMark/>
          </w:tcPr>
          <w:p w14:paraId="6E5C0369" w14:textId="77777777" w:rsidR="00A8269B" w:rsidRPr="00A8269B" w:rsidRDefault="00A8269B" w:rsidP="00FA0B9E">
            <w:pPr>
              <w:jc w:val="center"/>
              <w:cnfStyle w:val="000000100000" w:firstRow="0" w:lastRow="0" w:firstColumn="0" w:lastColumn="0" w:oddVBand="0" w:evenVBand="0" w:oddHBand="1" w:evenHBand="0" w:firstRowFirstColumn="0" w:firstRowLastColumn="0" w:lastRowFirstColumn="0" w:lastRowLastColumn="0"/>
            </w:pPr>
            <w:r w:rsidRPr="00A8269B">
              <w:t>16%</w:t>
            </w:r>
          </w:p>
        </w:tc>
        <w:tc>
          <w:tcPr>
            <w:tcW w:w="1170" w:type="dxa"/>
            <w:noWrap/>
            <w:hideMark/>
          </w:tcPr>
          <w:p w14:paraId="5AFBCF4D" w14:textId="77777777" w:rsidR="00A8269B" w:rsidRPr="00A8269B" w:rsidRDefault="00A8269B" w:rsidP="00FA0B9E">
            <w:pPr>
              <w:jc w:val="center"/>
              <w:cnfStyle w:val="000000100000" w:firstRow="0" w:lastRow="0" w:firstColumn="0" w:lastColumn="0" w:oddVBand="0" w:evenVBand="0" w:oddHBand="1" w:evenHBand="0" w:firstRowFirstColumn="0" w:firstRowLastColumn="0" w:lastRowFirstColumn="0" w:lastRowLastColumn="0"/>
            </w:pPr>
            <w:r w:rsidRPr="00A8269B">
              <w:t>1.40%</w:t>
            </w:r>
          </w:p>
        </w:tc>
      </w:tr>
      <w:tr w:rsidR="00A8269B" w:rsidRPr="00A8269B" w14:paraId="76A414CB" w14:textId="77777777" w:rsidTr="00FA0B9E">
        <w:trPr>
          <w:trHeight w:val="300"/>
        </w:trPr>
        <w:tc>
          <w:tcPr>
            <w:cnfStyle w:val="001000000000" w:firstRow="0" w:lastRow="0" w:firstColumn="1" w:lastColumn="0" w:oddVBand="0" w:evenVBand="0" w:oddHBand="0" w:evenHBand="0" w:firstRowFirstColumn="0" w:firstRowLastColumn="0" w:lastRowFirstColumn="0" w:lastRowLastColumn="0"/>
            <w:tcW w:w="1435" w:type="dxa"/>
            <w:noWrap/>
            <w:hideMark/>
          </w:tcPr>
          <w:p w14:paraId="5A25BC87" w14:textId="77777777" w:rsidR="00A8269B" w:rsidRPr="00A8269B" w:rsidRDefault="00A8269B">
            <w:r w:rsidRPr="00A8269B">
              <w:t>Existing Homes</w:t>
            </w:r>
          </w:p>
        </w:tc>
        <w:tc>
          <w:tcPr>
            <w:tcW w:w="3510" w:type="dxa"/>
            <w:noWrap/>
            <w:hideMark/>
          </w:tcPr>
          <w:p w14:paraId="74BE6347"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Water Heater, Gas .67-.69 $125 2014</w:t>
            </w:r>
          </w:p>
        </w:tc>
        <w:tc>
          <w:tcPr>
            <w:tcW w:w="1350" w:type="dxa"/>
            <w:noWrap/>
            <w:hideMark/>
          </w:tcPr>
          <w:p w14:paraId="46F38BA3" w14:textId="77777777" w:rsidR="00A8269B" w:rsidRPr="00A8269B" w:rsidRDefault="00A8269B">
            <w:pPr>
              <w:cnfStyle w:val="000000000000" w:firstRow="0" w:lastRow="0" w:firstColumn="0" w:lastColumn="0" w:oddVBand="0" w:evenVBand="0" w:oddHBand="0" w:evenHBand="0" w:firstRowFirstColumn="0" w:firstRowLastColumn="0" w:lastRowFirstColumn="0" w:lastRowLastColumn="0"/>
            </w:pPr>
            <w:r w:rsidRPr="00A8269B">
              <w:t>From 0.62 to 0.75</w:t>
            </w:r>
          </w:p>
        </w:tc>
        <w:tc>
          <w:tcPr>
            <w:tcW w:w="1080" w:type="dxa"/>
            <w:noWrap/>
            <w:hideMark/>
          </w:tcPr>
          <w:p w14:paraId="0840B4F9" w14:textId="77777777" w:rsidR="00A8269B" w:rsidRPr="00A8269B" w:rsidRDefault="00A8269B" w:rsidP="00FA0B9E">
            <w:pPr>
              <w:jc w:val="center"/>
              <w:cnfStyle w:val="000000000000" w:firstRow="0" w:lastRow="0" w:firstColumn="0" w:lastColumn="0" w:oddVBand="0" w:evenVBand="0" w:oddHBand="0" w:evenHBand="0" w:firstRowFirstColumn="0" w:firstRowLastColumn="0" w:lastRowFirstColumn="0" w:lastRowLastColumn="0"/>
            </w:pPr>
            <w:r w:rsidRPr="00A8269B">
              <w:t>21%</w:t>
            </w:r>
          </w:p>
        </w:tc>
        <w:tc>
          <w:tcPr>
            <w:tcW w:w="1170" w:type="dxa"/>
            <w:noWrap/>
            <w:hideMark/>
          </w:tcPr>
          <w:p w14:paraId="356B763F" w14:textId="77777777" w:rsidR="00A8269B" w:rsidRPr="00A8269B" w:rsidRDefault="00A8269B" w:rsidP="00FA0B9E">
            <w:pPr>
              <w:jc w:val="center"/>
              <w:cnfStyle w:val="000000000000" w:firstRow="0" w:lastRow="0" w:firstColumn="0" w:lastColumn="0" w:oddVBand="0" w:evenVBand="0" w:oddHBand="0" w:evenHBand="0" w:firstRowFirstColumn="0" w:firstRowLastColumn="0" w:lastRowFirstColumn="0" w:lastRowLastColumn="0"/>
            </w:pPr>
            <w:r w:rsidRPr="00A8269B">
              <w:t>0.50%</w:t>
            </w:r>
          </w:p>
        </w:tc>
      </w:tr>
    </w:tbl>
    <w:p w14:paraId="0FBE9BA5" w14:textId="77777777" w:rsidR="002528D1" w:rsidRDefault="002528D1"/>
    <w:p w14:paraId="1E65D200" w14:textId="77777777" w:rsidR="00CE4B94" w:rsidRDefault="00194DB7" w:rsidP="00CE4B94">
      <w:r w:rsidRPr="00FA4191">
        <w:t>There are 15</w:t>
      </w:r>
      <w:r w:rsidR="00CE4B94" w:rsidRPr="00FA4191">
        <w:t xml:space="preserve"> measures </w:t>
      </w:r>
      <w:r w:rsidR="00540E4C" w:rsidRPr="00FA4191">
        <w:t xml:space="preserve">in the Residential portfolio </w:t>
      </w:r>
      <w:r w:rsidR="00CE4B94" w:rsidRPr="00FA4191">
        <w:t>that have a TRC score of less than 1.0. All but 2 of these have scores below 0.9 and a change in AC did not move them into a more o</w:t>
      </w:r>
      <w:r w:rsidRPr="00FA4191">
        <w:t>r less cost-effective range. Two</w:t>
      </w:r>
      <w:r w:rsidR="00CE4B94" w:rsidRPr="00FA4191">
        <w:t xml:space="preserve"> measure</w:t>
      </w:r>
      <w:r w:rsidRPr="00FA4191">
        <w:t>s</w:t>
      </w:r>
      <w:r w:rsidR="00CE4B94" w:rsidRPr="00FA4191">
        <w:t xml:space="preserve">, </w:t>
      </w:r>
      <w:r w:rsidRPr="00FA4191">
        <w:t xml:space="preserve">however, </w:t>
      </w:r>
      <w:r w:rsidR="00CE4B94" w:rsidRPr="00FA4191">
        <w:t xml:space="preserve">the </w:t>
      </w:r>
      <w:r w:rsidRPr="00FA4191">
        <w:t>EPS Path 2 new home</w:t>
      </w:r>
      <w:r w:rsidR="00FA4191" w:rsidRPr="00FA4191">
        <w:t xml:space="preserve"> and 90-94%+ AFUE gas furnace</w:t>
      </w:r>
      <w:r w:rsidRPr="00FA4191">
        <w:t xml:space="preserve">, did however move from </w:t>
      </w:r>
      <w:r w:rsidR="00CE4B94" w:rsidRPr="00FA4191">
        <w:t>TRC score</w:t>
      </w:r>
      <w:r w:rsidRPr="00FA4191">
        <w:t>s</w:t>
      </w:r>
      <w:r w:rsidR="00CE4B94" w:rsidRPr="00FA4191">
        <w:t xml:space="preserve"> of </w:t>
      </w:r>
      <w:r w:rsidRPr="00FA4191">
        <w:t xml:space="preserve">between 0.90 and </w:t>
      </w:r>
      <w:r w:rsidR="00CE4B94" w:rsidRPr="00FA4191">
        <w:t>0.92 with Ene</w:t>
      </w:r>
      <w:r w:rsidR="00FA4191" w:rsidRPr="00FA4191">
        <w:t xml:space="preserve">rgy Trust Blended ACs to 1.04 and 1.10 </w:t>
      </w:r>
      <w:r w:rsidR="00CE4B94" w:rsidRPr="00FA4191">
        <w:t xml:space="preserve">with Washington-specific ACs. </w:t>
      </w:r>
      <w:r w:rsidR="00FA4191" w:rsidRPr="00FA4191">
        <w:t>The furnace</w:t>
      </w:r>
      <w:r w:rsidR="00CE4B94" w:rsidRPr="00FA4191">
        <w:t xml:space="preserve"> measure</w:t>
      </w:r>
      <w:r w:rsidR="00FA4191" w:rsidRPr="00FA4191">
        <w:t xml:space="preserve"> is</w:t>
      </w:r>
      <w:r w:rsidR="00CE4B94" w:rsidRPr="00FA4191">
        <w:t xml:space="preserve"> from 2014 though, and will only be used in the first 90 days of 2016 to </w:t>
      </w:r>
      <w:r w:rsidR="001900A7" w:rsidRPr="00FA4191">
        <w:t xml:space="preserve">meet customer expectations and </w:t>
      </w:r>
      <w:r w:rsidR="00CE4B94" w:rsidRPr="00FA4191">
        <w:t>cover the transition to the new 95%+ AF</w:t>
      </w:r>
      <w:r w:rsidR="001900A7" w:rsidRPr="00FA4191">
        <w:t>UE measure created for 2016. The new 95%+</w:t>
      </w:r>
      <w:r w:rsidR="00CE4B94" w:rsidRPr="00FA4191">
        <w:t xml:space="preserve"> measure’s approval </w:t>
      </w:r>
      <w:r w:rsidR="00FA4191" w:rsidRPr="00FA4191">
        <w:t>as an offering in the program</w:t>
      </w:r>
      <w:r w:rsidR="00CE4B94" w:rsidRPr="00FA4191">
        <w:t xml:space="preserve"> </w:t>
      </w:r>
      <w:r w:rsidR="008118A0" w:rsidRPr="00FA4191">
        <w:t>did not make this list</w:t>
      </w:r>
      <w:r w:rsidR="00FA4191" w:rsidRPr="00FA4191">
        <w:t>,</w:t>
      </w:r>
      <w:r w:rsidR="008118A0" w:rsidRPr="00FA4191">
        <w:t xml:space="preserve"> and is not significantly af</w:t>
      </w:r>
      <w:r w:rsidR="00CE4B94" w:rsidRPr="00FA4191">
        <w:t>fe</w:t>
      </w:r>
      <w:r w:rsidR="008118A0" w:rsidRPr="00FA4191">
        <w:t>cted by the increase in AC</w:t>
      </w:r>
      <w:r w:rsidR="00FA4191" w:rsidRPr="00FA4191">
        <w:t xml:space="preserve"> due to its low TRC score of .77 with the WA-only AC</w:t>
      </w:r>
      <w:r w:rsidR="00CE4B94" w:rsidRPr="00FA4191">
        <w:t>.</w:t>
      </w:r>
    </w:p>
    <w:p w14:paraId="43BBDCE0" w14:textId="7579D935" w:rsidR="00D07BD2" w:rsidRPr="00D61712" w:rsidRDefault="00D07BD2" w:rsidP="00D07BD2">
      <w:r>
        <w:t>T</w:t>
      </w:r>
      <w:r w:rsidRPr="00D61712">
        <w:t>able</w:t>
      </w:r>
      <w:r>
        <w:t xml:space="preserve"> 5</w:t>
      </w:r>
      <w:r w:rsidRPr="00D61712">
        <w:t xml:space="preserve"> below provide</w:t>
      </w:r>
      <w:r>
        <w:t>s</w:t>
      </w:r>
      <w:r w:rsidRPr="00D61712">
        <w:t xml:space="preserve"> some insight into the highest-savings measures in </w:t>
      </w:r>
      <w:r>
        <w:t>the residential sector</w:t>
      </w:r>
      <w:r w:rsidRPr="00D61712">
        <w:t xml:space="preserve">, showing the % of savings they contributed in 2014, the % change in AC they are impacted by when changing to Washington-only AC, and their UCT and TRC scores. </w:t>
      </w:r>
      <w:r>
        <w:t>This table shows that the measures responsible for a significant amount of program savings are highly cost effective and are generally not impacted by the new AC.</w:t>
      </w:r>
    </w:p>
    <w:p w14:paraId="19154F0D" w14:textId="2380695C" w:rsidR="00D07BD2" w:rsidRPr="00D61712" w:rsidRDefault="00D07BD2" w:rsidP="00D07BD2">
      <w:pPr>
        <w:rPr>
          <w:b/>
        </w:rPr>
      </w:pPr>
      <w:r>
        <w:rPr>
          <w:b/>
        </w:rPr>
        <w:t>Table 5</w:t>
      </w:r>
      <w:r w:rsidRPr="00D67C25">
        <w:rPr>
          <w:b/>
        </w:rPr>
        <w:t>. Top 4 Savings measures in the Residential Sector with their % of 2014 Savings, % change in AC and UCT and TRC scores with Washington-only ACs.</w:t>
      </w:r>
    </w:p>
    <w:tbl>
      <w:tblPr>
        <w:tblStyle w:val="PlainTable11"/>
        <w:tblW w:w="9895" w:type="dxa"/>
        <w:tblLook w:val="04A0" w:firstRow="1" w:lastRow="0" w:firstColumn="1" w:lastColumn="0" w:noHBand="0" w:noVBand="1"/>
      </w:tblPr>
      <w:tblGrid>
        <w:gridCol w:w="1022"/>
        <w:gridCol w:w="1583"/>
        <w:gridCol w:w="2520"/>
        <w:gridCol w:w="1170"/>
        <w:gridCol w:w="1080"/>
        <w:gridCol w:w="1170"/>
        <w:gridCol w:w="1350"/>
      </w:tblGrid>
      <w:tr w:rsidR="00D07BD2" w:rsidRPr="006618F4" w14:paraId="583F056B" w14:textId="77777777" w:rsidTr="00AF048F">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2" w:type="dxa"/>
            <w:tcBorders>
              <w:bottom w:val="single" w:sz="4" w:space="0" w:color="auto"/>
            </w:tcBorders>
            <w:hideMark/>
          </w:tcPr>
          <w:p w14:paraId="618658BF" w14:textId="77777777" w:rsidR="00D07BD2" w:rsidRPr="006618F4" w:rsidRDefault="00D07BD2" w:rsidP="00AF048F">
            <w:r w:rsidRPr="006618F4">
              <w:t>Program</w:t>
            </w:r>
          </w:p>
        </w:tc>
        <w:tc>
          <w:tcPr>
            <w:tcW w:w="1583" w:type="dxa"/>
            <w:tcBorders>
              <w:bottom w:val="single" w:sz="4" w:space="0" w:color="auto"/>
            </w:tcBorders>
            <w:hideMark/>
          </w:tcPr>
          <w:p w14:paraId="7A078BF9" w14:textId="77777777" w:rsidR="00D07BD2" w:rsidRPr="006618F4" w:rsidRDefault="00D07BD2" w:rsidP="00AF048F">
            <w:pPr>
              <w:cnfStyle w:val="100000000000" w:firstRow="1" w:lastRow="0" w:firstColumn="0" w:lastColumn="0" w:oddVBand="0" w:evenVBand="0" w:oddHBand="0" w:evenHBand="0" w:firstRowFirstColumn="0" w:firstRowLastColumn="0" w:lastRowFirstColumn="0" w:lastRowLastColumn="0"/>
            </w:pPr>
            <w:r w:rsidRPr="006618F4">
              <w:t>Measure Group</w:t>
            </w:r>
          </w:p>
        </w:tc>
        <w:tc>
          <w:tcPr>
            <w:tcW w:w="2520" w:type="dxa"/>
            <w:tcBorders>
              <w:bottom w:val="single" w:sz="4" w:space="0" w:color="auto"/>
            </w:tcBorders>
            <w:hideMark/>
          </w:tcPr>
          <w:p w14:paraId="0E91C193" w14:textId="77777777" w:rsidR="00D07BD2" w:rsidRPr="006618F4" w:rsidRDefault="00D07BD2" w:rsidP="00AF048F">
            <w:pPr>
              <w:cnfStyle w:val="100000000000" w:firstRow="1" w:lastRow="0" w:firstColumn="0" w:lastColumn="0" w:oddVBand="0" w:evenVBand="0" w:oddHBand="0" w:evenHBand="0" w:firstRowFirstColumn="0" w:firstRowLastColumn="0" w:lastRowFirstColumn="0" w:lastRowLastColumn="0"/>
            </w:pPr>
            <w:r w:rsidRPr="006618F4">
              <w:t>Measure Description</w:t>
            </w:r>
          </w:p>
        </w:tc>
        <w:tc>
          <w:tcPr>
            <w:tcW w:w="1170" w:type="dxa"/>
            <w:tcBorders>
              <w:bottom w:val="single" w:sz="4" w:space="0" w:color="auto"/>
            </w:tcBorders>
            <w:hideMark/>
          </w:tcPr>
          <w:p w14:paraId="08BBF075" w14:textId="77777777" w:rsidR="00D07BD2" w:rsidRPr="006618F4" w:rsidRDefault="00D07BD2" w:rsidP="00AF048F">
            <w:pPr>
              <w:cnfStyle w:val="100000000000" w:firstRow="1" w:lastRow="0" w:firstColumn="0" w:lastColumn="0" w:oddVBand="0" w:evenVBand="0" w:oddHBand="0" w:evenHBand="0" w:firstRowFirstColumn="0" w:firstRowLastColumn="0" w:lastRowFirstColumn="0" w:lastRowLastColumn="0"/>
            </w:pPr>
            <w:r w:rsidRPr="006618F4">
              <w:t>% of 2014 Savings</w:t>
            </w:r>
          </w:p>
        </w:tc>
        <w:tc>
          <w:tcPr>
            <w:tcW w:w="1080" w:type="dxa"/>
            <w:tcBorders>
              <w:bottom w:val="single" w:sz="4" w:space="0" w:color="auto"/>
            </w:tcBorders>
            <w:hideMark/>
          </w:tcPr>
          <w:p w14:paraId="2D0479FE" w14:textId="77777777" w:rsidR="00D07BD2" w:rsidRPr="006618F4" w:rsidRDefault="00D07BD2" w:rsidP="00AF048F">
            <w:pPr>
              <w:cnfStyle w:val="100000000000" w:firstRow="1" w:lastRow="0" w:firstColumn="0" w:lastColumn="0" w:oddVBand="0" w:evenVBand="0" w:oddHBand="0" w:evenHBand="0" w:firstRowFirstColumn="0" w:firstRowLastColumn="0" w:lastRowFirstColumn="0" w:lastRowLastColumn="0"/>
            </w:pPr>
            <w:r w:rsidRPr="006618F4">
              <w:t>% change in AC</w:t>
            </w:r>
          </w:p>
        </w:tc>
        <w:tc>
          <w:tcPr>
            <w:tcW w:w="1170" w:type="dxa"/>
            <w:tcBorders>
              <w:bottom w:val="single" w:sz="4" w:space="0" w:color="auto"/>
            </w:tcBorders>
            <w:hideMark/>
          </w:tcPr>
          <w:p w14:paraId="1FC8D5AC" w14:textId="77777777" w:rsidR="00D07BD2" w:rsidRPr="006618F4" w:rsidRDefault="00D07BD2" w:rsidP="00AF048F">
            <w:pPr>
              <w:cnfStyle w:val="100000000000" w:firstRow="1" w:lastRow="0" w:firstColumn="0" w:lastColumn="0" w:oddVBand="0" w:evenVBand="0" w:oddHBand="0" w:evenHBand="0" w:firstRowFirstColumn="0" w:firstRowLastColumn="0" w:lastRowFirstColumn="0" w:lastRowLastColumn="0"/>
            </w:pPr>
            <w:r w:rsidRPr="006618F4">
              <w:t>UCT (WA-only AC)</w:t>
            </w:r>
          </w:p>
        </w:tc>
        <w:tc>
          <w:tcPr>
            <w:tcW w:w="1350" w:type="dxa"/>
            <w:tcBorders>
              <w:bottom w:val="single" w:sz="4" w:space="0" w:color="auto"/>
            </w:tcBorders>
            <w:hideMark/>
          </w:tcPr>
          <w:p w14:paraId="76B9FD80" w14:textId="77777777" w:rsidR="00D07BD2" w:rsidRPr="006618F4" w:rsidRDefault="00D07BD2" w:rsidP="00AF048F">
            <w:pPr>
              <w:cnfStyle w:val="100000000000" w:firstRow="1" w:lastRow="0" w:firstColumn="0" w:lastColumn="0" w:oddVBand="0" w:evenVBand="0" w:oddHBand="0" w:evenHBand="0" w:firstRowFirstColumn="0" w:firstRowLastColumn="0" w:lastRowFirstColumn="0" w:lastRowLastColumn="0"/>
            </w:pPr>
            <w:r w:rsidRPr="006618F4">
              <w:t>TRC (WA-only AC)</w:t>
            </w:r>
          </w:p>
        </w:tc>
      </w:tr>
      <w:tr w:rsidR="00D07BD2" w:rsidRPr="006618F4" w14:paraId="34179CC6" w14:textId="77777777" w:rsidTr="00AF048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tcBorders>
            <w:hideMark/>
          </w:tcPr>
          <w:p w14:paraId="04BFC5B2" w14:textId="77777777" w:rsidR="00D07BD2" w:rsidRPr="006618F4" w:rsidRDefault="00D07BD2" w:rsidP="00AF048F">
            <w:r w:rsidRPr="006618F4">
              <w:t>Products</w:t>
            </w:r>
          </w:p>
        </w:tc>
        <w:tc>
          <w:tcPr>
            <w:tcW w:w="1583" w:type="dxa"/>
            <w:tcBorders>
              <w:top w:val="single" w:sz="4" w:space="0" w:color="auto"/>
            </w:tcBorders>
            <w:hideMark/>
          </w:tcPr>
          <w:p w14:paraId="4C0FFFC0" w14:textId="77777777" w:rsidR="00D07BD2" w:rsidRPr="006618F4" w:rsidRDefault="00D07BD2" w:rsidP="00AF048F">
            <w:pPr>
              <w:cnfStyle w:val="000000100000" w:firstRow="0" w:lastRow="0" w:firstColumn="0" w:lastColumn="0" w:oddVBand="0" w:evenVBand="0" w:oddHBand="1" w:evenHBand="0" w:firstRowFirstColumn="0" w:firstRowLastColumn="0" w:lastRowFirstColumn="0" w:lastRowLastColumn="0"/>
            </w:pPr>
            <w:r w:rsidRPr="006618F4">
              <w:t>Showerhead</w:t>
            </w:r>
          </w:p>
        </w:tc>
        <w:tc>
          <w:tcPr>
            <w:tcW w:w="2520" w:type="dxa"/>
            <w:tcBorders>
              <w:top w:val="single" w:sz="4" w:space="0" w:color="auto"/>
            </w:tcBorders>
            <w:hideMark/>
          </w:tcPr>
          <w:p w14:paraId="1CD34A89" w14:textId="77777777" w:rsidR="00D07BD2" w:rsidRPr="006618F4" w:rsidRDefault="00D07BD2" w:rsidP="00AF048F">
            <w:pPr>
              <w:cnfStyle w:val="000000100000" w:firstRow="0" w:lastRow="0" w:firstColumn="0" w:lastColumn="0" w:oddVBand="0" w:evenVBand="0" w:oddHBand="1" w:evenHBand="0" w:firstRowFirstColumn="0" w:firstRowLastColumn="0" w:lastRowFirstColumn="0" w:lastRowLastColumn="0"/>
            </w:pPr>
            <w:r w:rsidRPr="006618F4">
              <w:t>NWNWA 2.0 gpm Showerhead</w:t>
            </w:r>
          </w:p>
        </w:tc>
        <w:tc>
          <w:tcPr>
            <w:tcW w:w="1170" w:type="dxa"/>
            <w:tcBorders>
              <w:top w:val="single" w:sz="4" w:space="0" w:color="auto"/>
            </w:tcBorders>
            <w:hideMark/>
          </w:tcPr>
          <w:p w14:paraId="70DF1ED1" w14:textId="77777777" w:rsidR="00D07BD2" w:rsidRPr="006618F4" w:rsidRDefault="00D07BD2" w:rsidP="00AF048F">
            <w:pPr>
              <w:jc w:val="center"/>
              <w:cnfStyle w:val="000000100000" w:firstRow="0" w:lastRow="0" w:firstColumn="0" w:lastColumn="0" w:oddVBand="0" w:evenVBand="0" w:oddHBand="1" w:evenHBand="0" w:firstRowFirstColumn="0" w:firstRowLastColumn="0" w:lastRowFirstColumn="0" w:lastRowLastColumn="0"/>
            </w:pPr>
            <w:r w:rsidRPr="006618F4">
              <w:t>14%</w:t>
            </w:r>
          </w:p>
        </w:tc>
        <w:tc>
          <w:tcPr>
            <w:tcW w:w="1080" w:type="dxa"/>
            <w:tcBorders>
              <w:top w:val="single" w:sz="4" w:space="0" w:color="auto"/>
            </w:tcBorders>
            <w:hideMark/>
          </w:tcPr>
          <w:p w14:paraId="3AAE28D8" w14:textId="77777777" w:rsidR="00D07BD2" w:rsidRPr="006618F4" w:rsidRDefault="00D07BD2" w:rsidP="00AF048F">
            <w:pPr>
              <w:jc w:val="center"/>
              <w:cnfStyle w:val="000000100000" w:firstRow="0" w:lastRow="0" w:firstColumn="0" w:lastColumn="0" w:oddVBand="0" w:evenVBand="0" w:oddHBand="1" w:evenHBand="0" w:firstRowFirstColumn="0" w:firstRowLastColumn="0" w:lastRowFirstColumn="0" w:lastRowLastColumn="0"/>
            </w:pPr>
            <w:r w:rsidRPr="006618F4">
              <w:t>21%</w:t>
            </w:r>
          </w:p>
        </w:tc>
        <w:tc>
          <w:tcPr>
            <w:tcW w:w="1170" w:type="dxa"/>
            <w:tcBorders>
              <w:top w:val="single" w:sz="4" w:space="0" w:color="auto"/>
            </w:tcBorders>
            <w:hideMark/>
          </w:tcPr>
          <w:p w14:paraId="4661B61E" w14:textId="77777777" w:rsidR="00D07BD2" w:rsidRPr="006618F4" w:rsidRDefault="00D07BD2" w:rsidP="00AF048F">
            <w:pPr>
              <w:jc w:val="center"/>
              <w:cnfStyle w:val="000000100000" w:firstRow="0" w:lastRow="0" w:firstColumn="0" w:lastColumn="0" w:oddVBand="0" w:evenVBand="0" w:oddHBand="1" w:evenHBand="0" w:firstRowFirstColumn="0" w:firstRowLastColumn="0" w:lastRowFirstColumn="0" w:lastRowLastColumn="0"/>
            </w:pPr>
            <w:r w:rsidRPr="006618F4">
              <w:t>6.7</w:t>
            </w:r>
          </w:p>
        </w:tc>
        <w:tc>
          <w:tcPr>
            <w:tcW w:w="1350" w:type="dxa"/>
            <w:tcBorders>
              <w:top w:val="single" w:sz="4" w:space="0" w:color="auto"/>
            </w:tcBorders>
            <w:hideMark/>
          </w:tcPr>
          <w:p w14:paraId="2D9479F6" w14:textId="77777777" w:rsidR="00D07BD2" w:rsidRPr="006618F4" w:rsidRDefault="00D07BD2" w:rsidP="00AF048F">
            <w:pPr>
              <w:jc w:val="center"/>
              <w:cnfStyle w:val="000000100000" w:firstRow="0" w:lastRow="0" w:firstColumn="0" w:lastColumn="0" w:oddVBand="0" w:evenVBand="0" w:oddHBand="1" w:evenHBand="0" w:firstRowFirstColumn="0" w:firstRowLastColumn="0" w:lastRowFirstColumn="0" w:lastRowLastColumn="0"/>
            </w:pPr>
            <w:r w:rsidRPr="006618F4">
              <w:t>23.06</w:t>
            </w:r>
          </w:p>
        </w:tc>
      </w:tr>
      <w:tr w:rsidR="00D07BD2" w:rsidRPr="006618F4" w14:paraId="42B561EC" w14:textId="77777777" w:rsidTr="00AF048F">
        <w:trPr>
          <w:trHeight w:val="611"/>
        </w:trPr>
        <w:tc>
          <w:tcPr>
            <w:cnfStyle w:val="001000000000" w:firstRow="0" w:lastRow="0" w:firstColumn="1" w:lastColumn="0" w:oddVBand="0" w:evenVBand="0" w:oddHBand="0" w:evenHBand="0" w:firstRowFirstColumn="0" w:firstRowLastColumn="0" w:lastRowFirstColumn="0" w:lastRowLastColumn="0"/>
            <w:tcW w:w="1022" w:type="dxa"/>
            <w:hideMark/>
          </w:tcPr>
          <w:p w14:paraId="08E61992" w14:textId="77777777" w:rsidR="00D07BD2" w:rsidRPr="006618F4" w:rsidRDefault="00D07BD2" w:rsidP="00AF048F">
            <w:r w:rsidRPr="006618F4">
              <w:t>Existing Homes</w:t>
            </w:r>
          </w:p>
        </w:tc>
        <w:tc>
          <w:tcPr>
            <w:tcW w:w="1583" w:type="dxa"/>
            <w:hideMark/>
          </w:tcPr>
          <w:p w14:paraId="7E6FAE02" w14:textId="77777777" w:rsidR="00D07BD2" w:rsidRPr="006618F4" w:rsidRDefault="00D07BD2" w:rsidP="00AF048F">
            <w:pPr>
              <w:cnfStyle w:val="000000000000" w:firstRow="0" w:lastRow="0" w:firstColumn="0" w:lastColumn="0" w:oddVBand="0" w:evenVBand="0" w:oddHBand="0" w:evenHBand="0" w:firstRowFirstColumn="0" w:firstRowLastColumn="0" w:lastRowFirstColumn="0" w:lastRowLastColumn="0"/>
            </w:pPr>
            <w:r w:rsidRPr="006618F4">
              <w:t>Gas Fireplace</w:t>
            </w:r>
          </w:p>
        </w:tc>
        <w:tc>
          <w:tcPr>
            <w:tcW w:w="2520" w:type="dxa"/>
            <w:hideMark/>
          </w:tcPr>
          <w:p w14:paraId="1D7376DE" w14:textId="77777777" w:rsidR="00D07BD2" w:rsidRPr="006618F4" w:rsidRDefault="00D07BD2" w:rsidP="00AF048F">
            <w:pPr>
              <w:cnfStyle w:val="000000000000" w:firstRow="0" w:lastRow="0" w:firstColumn="0" w:lastColumn="0" w:oddVBand="0" w:evenVBand="0" w:oddHBand="0" w:evenHBand="0" w:firstRowFirstColumn="0" w:firstRowLastColumn="0" w:lastRowFirstColumn="0" w:lastRowLastColumn="0"/>
            </w:pPr>
            <w:r w:rsidRPr="006618F4">
              <w:t>Gas Hearth .70+ FE with Intermittent Pilot Light</w:t>
            </w:r>
          </w:p>
        </w:tc>
        <w:tc>
          <w:tcPr>
            <w:tcW w:w="1170" w:type="dxa"/>
            <w:hideMark/>
          </w:tcPr>
          <w:p w14:paraId="71A3EB1A" w14:textId="77777777" w:rsidR="00D07BD2" w:rsidRPr="006618F4" w:rsidRDefault="00D07BD2" w:rsidP="00AF048F">
            <w:pPr>
              <w:jc w:val="center"/>
              <w:cnfStyle w:val="000000000000" w:firstRow="0" w:lastRow="0" w:firstColumn="0" w:lastColumn="0" w:oddVBand="0" w:evenVBand="0" w:oddHBand="0" w:evenHBand="0" w:firstRowFirstColumn="0" w:firstRowLastColumn="0" w:lastRowFirstColumn="0" w:lastRowLastColumn="0"/>
            </w:pPr>
            <w:r w:rsidRPr="006618F4">
              <w:t>9%</w:t>
            </w:r>
          </w:p>
        </w:tc>
        <w:tc>
          <w:tcPr>
            <w:tcW w:w="1080" w:type="dxa"/>
            <w:hideMark/>
          </w:tcPr>
          <w:p w14:paraId="387F3716" w14:textId="77777777" w:rsidR="00D07BD2" w:rsidRPr="006618F4" w:rsidRDefault="00D07BD2" w:rsidP="00AF048F">
            <w:pPr>
              <w:jc w:val="center"/>
              <w:cnfStyle w:val="000000000000" w:firstRow="0" w:lastRow="0" w:firstColumn="0" w:lastColumn="0" w:oddVBand="0" w:evenVBand="0" w:oddHBand="0" w:evenHBand="0" w:firstRowFirstColumn="0" w:firstRowLastColumn="0" w:lastRowFirstColumn="0" w:lastRowLastColumn="0"/>
            </w:pPr>
            <w:r w:rsidRPr="006618F4">
              <w:t>21%</w:t>
            </w:r>
          </w:p>
        </w:tc>
        <w:tc>
          <w:tcPr>
            <w:tcW w:w="1170" w:type="dxa"/>
            <w:hideMark/>
          </w:tcPr>
          <w:p w14:paraId="03711D8A" w14:textId="77777777" w:rsidR="00D07BD2" w:rsidRPr="006618F4" w:rsidRDefault="00D07BD2" w:rsidP="00AF048F">
            <w:pPr>
              <w:jc w:val="center"/>
              <w:cnfStyle w:val="000000000000" w:firstRow="0" w:lastRow="0" w:firstColumn="0" w:lastColumn="0" w:oddVBand="0" w:evenVBand="0" w:oddHBand="0" w:evenHBand="0" w:firstRowFirstColumn="0" w:firstRowLastColumn="0" w:lastRowFirstColumn="0" w:lastRowLastColumn="0"/>
            </w:pPr>
            <w:r w:rsidRPr="006618F4">
              <w:t>3.5</w:t>
            </w:r>
          </w:p>
        </w:tc>
        <w:tc>
          <w:tcPr>
            <w:tcW w:w="1350" w:type="dxa"/>
            <w:hideMark/>
          </w:tcPr>
          <w:p w14:paraId="2586E2BE" w14:textId="77777777" w:rsidR="00D07BD2" w:rsidRPr="006618F4" w:rsidRDefault="00D07BD2" w:rsidP="00AF048F">
            <w:pPr>
              <w:jc w:val="center"/>
              <w:cnfStyle w:val="000000000000" w:firstRow="0" w:lastRow="0" w:firstColumn="0" w:lastColumn="0" w:oddVBand="0" w:evenVBand="0" w:oddHBand="0" w:evenHBand="0" w:firstRowFirstColumn="0" w:firstRowLastColumn="0" w:lastRowFirstColumn="0" w:lastRowLastColumn="0"/>
            </w:pPr>
            <w:r>
              <w:t>866.0</w:t>
            </w:r>
          </w:p>
        </w:tc>
      </w:tr>
      <w:tr w:rsidR="00D07BD2" w:rsidRPr="006618F4" w14:paraId="2CD8A4EE" w14:textId="77777777" w:rsidTr="00AF048F">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22" w:type="dxa"/>
            <w:hideMark/>
          </w:tcPr>
          <w:p w14:paraId="437A7ED7" w14:textId="77777777" w:rsidR="00D07BD2" w:rsidRPr="006618F4" w:rsidRDefault="00D07BD2" w:rsidP="00AF048F">
            <w:r w:rsidRPr="006618F4">
              <w:t>New Homes</w:t>
            </w:r>
          </w:p>
        </w:tc>
        <w:tc>
          <w:tcPr>
            <w:tcW w:w="1583" w:type="dxa"/>
            <w:hideMark/>
          </w:tcPr>
          <w:p w14:paraId="4D60CB5B" w14:textId="77777777" w:rsidR="00D07BD2" w:rsidRPr="006618F4" w:rsidRDefault="00D07BD2" w:rsidP="00AF048F">
            <w:pPr>
              <w:cnfStyle w:val="000000100000" w:firstRow="0" w:lastRow="0" w:firstColumn="0" w:lastColumn="0" w:oddVBand="0" w:evenVBand="0" w:oddHBand="1" w:evenHBand="0" w:firstRowFirstColumn="0" w:firstRowLastColumn="0" w:lastRowFirstColumn="0" w:lastRowLastColumn="0"/>
            </w:pPr>
            <w:r w:rsidRPr="006618F4">
              <w:t>Builder Option Package</w:t>
            </w:r>
          </w:p>
        </w:tc>
        <w:tc>
          <w:tcPr>
            <w:tcW w:w="2520" w:type="dxa"/>
            <w:hideMark/>
          </w:tcPr>
          <w:p w14:paraId="15664651" w14:textId="77777777" w:rsidR="00D07BD2" w:rsidRPr="006618F4" w:rsidRDefault="00D07BD2" w:rsidP="00AF048F">
            <w:pPr>
              <w:cnfStyle w:val="000000100000" w:firstRow="0" w:lastRow="0" w:firstColumn="0" w:lastColumn="0" w:oddVBand="0" w:evenVBand="0" w:oddHBand="1" w:evenHBand="0" w:firstRowFirstColumn="0" w:firstRowLastColumn="0" w:lastRowFirstColumn="0" w:lastRowLastColumn="0"/>
            </w:pPr>
            <w:r w:rsidRPr="006618F4">
              <w:t>SW WA Energy Star New Homes - 2014 ONLY</w:t>
            </w:r>
          </w:p>
        </w:tc>
        <w:tc>
          <w:tcPr>
            <w:tcW w:w="1170" w:type="dxa"/>
            <w:hideMark/>
          </w:tcPr>
          <w:p w14:paraId="0FA44641" w14:textId="77777777" w:rsidR="00D07BD2" w:rsidRPr="006618F4" w:rsidRDefault="00D07BD2" w:rsidP="00AF048F">
            <w:pPr>
              <w:jc w:val="center"/>
              <w:cnfStyle w:val="000000100000" w:firstRow="0" w:lastRow="0" w:firstColumn="0" w:lastColumn="0" w:oddVBand="0" w:evenVBand="0" w:oddHBand="1" w:evenHBand="0" w:firstRowFirstColumn="0" w:firstRowLastColumn="0" w:lastRowFirstColumn="0" w:lastRowLastColumn="0"/>
            </w:pPr>
            <w:r w:rsidRPr="006618F4">
              <w:t>9%</w:t>
            </w:r>
          </w:p>
        </w:tc>
        <w:tc>
          <w:tcPr>
            <w:tcW w:w="1080" w:type="dxa"/>
            <w:hideMark/>
          </w:tcPr>
          <w:p w14:paraId="2C27E143" w14:textId="77777777" w:rsidR="00D07BD2" w:rsidRPr="006618F4" w:rsidRDefault="00D07BD2" w:rsidP="00AF048F">
            <w:pPr>
              <w:jc w:val="center"/>
              <w:cnfStyle w:val="000000100000" w:firstRow="0" w:lastRow="0" w:firstColumn="0" w:lastColumn="0" w:oddVBand="0" w:evenVBand="0" w:oddHBand="1" w:evenHBand="0" w:firstRowFirstColumn="0" w:firstRowLastColumn="0" w:lastRowFirstColumn="0" w:lastRowLastColumn="0"/>
            </w:pPr>
            <w:r w:rsidRPr="006618F4">
              <w:t>19%</w:t>
            </w:r>
          </w:p>
        </w:tc>
        <w:tc>
          <w:tcPr>
            <w:tcW w:w="1170" w:type="dxa"/>
            <w:hideMark/>
          </w:tcPr>
          <w:p w14:paraId="10F9A348" w14:textId="77777777" w:rsidR="00D07BD2" w:rsidRPr="006618F4" w:rsidRDefault="00D07BD2" w:rsidP="00AF048F">
            <w:pPr>
              <w:jc w:val="center"/>
              <w:cnfStyle w:val="000000100000" w:firstRow="0" w:lastRow="0" w:firstColumn="0" w:lastColumn="0" w:oddVBand="0" w:evenVBand="0" w:oddHBand="1" w:evenHBand="0" w:firstRowFirstColumn="0" w:firstRowLastColumn="0" w:lastRowFirstColumn="0" w:lastRowLastColumn="0"/>
            </w:pPr>
            <w:r w:rsidRPr="006618F4">
              <w:t>2.2</w:t>
            </w:r>
          </w:p>
        </w:tc>
        <w:tc>
          <w:tcPr>
            <w:tcW w:w="1350" w:type="dxa"/>
            <w:hideMark/>
          </w:tcPr>
          <w:p w14:paraId="53F9AFC3" w14:textId="77777777" w:rsidR="00D07BD2" w:rsidRPr="006618F4" w:rsidRDefault="00D07BD2" w:rsidP="00AF048F">
            <w:pPr>
              <w:jc w:val="center"/>
              <w:cnfStyle w:val="000000100000" w:firstRow="0" w:lastRow="0" w:firstColumn="0" w:lastColumn="0" w:oddVBand="0" w:evenVBand="0" w:oddHBand="1" w:evenHBand="0" w:firstRowFirstColumn="0" w:firstRowLastColumn="0" w:lastRowFirstColumn="0" w:lastRowLastColumn="0"/>
            </w:pPr>
            <w:r w:rsidRPr="006618F4">
              <w:t>0.41</w:t>
            </w:r>
          </w:p>
        </w:tc>
      </w:tr>
      <w:tr w:rsidR="00D07BD2" w:rsidRPr="006618F4" w14:paraId="2965452D" w14:textId="77777777" w:rsidTr="00AF048F">
        <w:trPr>
          <w:trHeight w:val="600"/>
        </w:trPr>
        <w:tc>
          <w:tcPr>
            <w:cnfStyle w:val="001000000000" w:firstRow="0" w:lastRow="0" w:firstColumn="1" w:lastColumn="0" w:oddVBand="0" w:evenVBand="0" w:oddHBand="0" w:evenHBand="0" w:firstRowFirstColumn="0" w:firstRowLastColumn="0" w:lastRowFirstColumn="0" w:lastRowLastColumn="0"/>
            <w:tcW w:w="1022" w:type="dxa"/>
            <w:hideMark/>
          </w:tcPr>
          <w:p w14:paraId="0E3C172E" w14:textId="77777777" w:rsidR="00D07BD2" w:rsidRPr="006618F4" w:rsidRDefault="00D07BD2" w:rsidP="00AF048F">
            <w:r w:rsidRPr="006618F4">
              <w:t>Existing Homes</w:t>
            </w:r>
          </w:p>
        </w:tc>
        <w:tc>
          <w:tcPr>
            <w:tcW w:w="1583" w:type="dxa"/>
            <w:hideMark/>
          </w:tcPr>
          <w:p w14:paraId="3251F596" w14:textId="77777777" w:rsidR="00D07BD2" w:rsidRPr="006618F4" w:rsidRDefault="00D07BD2" w:rsidP="00AF048F">
            <w:pPr>
              <w:cnfStyle w:val="000000000000" w:firstRow="0" w:lastRow="0" w:firstColumn="0" w:lastColumn="0" w:oddVBand="0" w:evenVBand="0" w:oddHBand="0" w:evenHBand="0" w:firstRowFirstColumn="0" w:firstRowLastColumn="0" w:lastRowFirstColumn="0" w:lastRowLastColumn="0"/>
            </w:pPr>
            <w:r w:rsidRPr="006618F4">
              <w:t>Gas Furnace</w:t>
            </w:r>
          </w:p>
        </w:tc>
        <w:tc>
          <w:tcPr>
            <w:tcW w:w="2520" w:type="dxa"/>
            <w:hideMark/>
          </w:tcPr>
          <w:p w14:paraId="0D4745F9" w14:textId="77777777" w:rsidR="00D07BD2" w:rsidRPr="006618F4" w:rsidRDefault="00D07BD2" w:rsidP="00AF048F">
            <w:pPr>
              <w:cnfStyle w:val="000000000000" w:firstRow="0" w:lastRow="0" w:firstColumn="0" w:lastColumn="0" w:oddVBand="0" w:evenVBand="0" w:oddHBand="0" w:evenHBand="0" w:firstRowFirstColumn="0" w:firstRowLastColumn="0" w:lastRowFirstColumn="0" w:lastRowLastColumn="0"/>
            </w:pPr>
            <w:r w:rsidRPr="006618F4">
              <w:t>Gas Furnace $100 Incentive</w:t>
            </w:r>
          </w:p>
        </w:tc>
        <w:tc>
          <w:tcPr>
            <w:tcW w:w="1170" w:type="dxa"/>
            <w:hideMark/>
          </w:tcPr>
          <w:p w14:paraId="02542A11" w14:textId="77777777" w:rsidR="00D07BD2" w:rsidRPr="006618F4" w:rsidRDefault="00D07BD2" w:rsidP="00AF048F">
            <w:pPr>
              <w:jc w:val="center"/>
              <w:cnfStyle w:val="000000000000" w:firstRow="0" w:lastRow="0" w:firstColumn="0" w:lastColumn="0" w:oddVBand="0" w:evenVBand="0" w:oddHBand="0" w:evenHBand="0" w:firstRowFirstColumn="0" w:firstRowLastColumn="0" w:lastRowFirstColumn="0" w:lastRowLastColumn="0"/>
            </w:pPr>
            <w:r w:rsidRPr="006618F4">
              <w:t>7%</w:t>
            </w:r>
          </w:p>
        </w:tc>
        <w:tc>
          <w:tcPr>
            <w:tcW w:w="1080" w:type="dxa"/>
            <w:hideMark/>
          </w:tcPr>
          <w:p w14:paraId="71DE8206" w14:textId="77777777" w:rsidR="00D07BD2" w:rsidRPr="006618F4" w:rsidRDefault="00D07BD2" w:rsidP="00AF048F">
            <w:pPr>
              <w:jc w:val="center"/>
              <w:cnfStyle w:val="000000000000" w:firstRow="0" w:lastRow="0" w:firstColumn="0" w:lastColumn="0" w:oddVBand="0" w:evenVBand="0" w:oddHBand="0" w:evenHBand="0" w:firstRowFirstColumn="0" w:firstRowLastColumn="0" w:lastRowFirstColumn="0" w:lastRowLastColumn="0"/>
            </w:pPr>
            <w:r w:rsidRPr="006618F4">
              <w:t>20%</w:t>
            </w:r>
          </w:p>
        </w:tc>
        <w:tc>
          <w:tcPr>
            <w:tcW w:w="1170" w:type="dxa"/>
            <w:hideMark/>
          </w:tcPr>
          <w:p w14:paraId="002F14B3" w14:textId="77777777" w:rsidR="00D07BD2" w:rsidRPr="006618F4" w:rsidRDefault="00D07BD2" w:rsidP="00AF048F">
            <w:pPr>
              <w:jc w:val="center"/>
              <w:cnfStyle w:val="000000000000" w:firstRow="0" w:lastRow="0" w:firstColumn="0" w:lastColumn="0" w:oddVBand="0" w:evenVBand="0" w:oddHBand="0" w:evenHBand="0" w:firstRowFirstColumn="0" w:firstRowLastColumn="0" w:lastRowFirstColumn="0" w:lastRowLastColumn="0"/>
            </w:pPr>
            <w:r w:rsidRPr="006618F4">
              <w:t>3.6</w:t>
            </w:r>
          </w:p>
        </w:tc>
        <w:tc>
          <w:tcPr>
            <w:tcW w:w="1350" w:type="dxa"/>
            <w:hideMark/>
          </w:tcPr>
          <w:p w14:paraId="2939CC74" w14:textId="77777777" w:rsidR="00D07BD2" w:rsidRPr="006618F4" w:rsidRDefault="00D07BD2" w:rsidP="00AF048F">
            <w:pPr>
              <w:jc w:val="center"/>
              <w:cnfStyle w:val="000000000000" w:firstRow="0" w:lastRow="0" w:firstColumn="0" w:lastColumn="0" w:oddVBand="0" w:evenVBand="0" w:oddHBand="0" w:evenHBand="0" w:firstRowFirstColumn="0" w:firstRowLastColumn="0" w:lastRowFirstColumn="0" w:lastRowLastColumn="0"/>
            </w:pPr>
            <w:r w:rsidRPr="006618F4">
              <w:t>0.77</w:t>
            </w:r>
          </w:p>
        </w:tc>
      </w:tr>
    </w:tbl>
    <w:p w14:paraId="1B05AC9E" w14:textId="77777777" w:rsidR="00D07BD2" w:rsidRPr="00FA4191" w:rsidRDefault="00D07BD2" w:rsidP="00CE4B94"/>
    <w:p w14:paraId="4336014C" w14:textId="77777777" w:rsidR="00DA5339" w:rsidRPr="00DA5339" w:rsidRDefault="00DA5339" w:rsidP="00DA5339">
      <w:pPr>
        <w:rPr>
          <w:b/>
          <w:color w:val="000000"/>
        </w:rPr>
      </w:pPr>
      <w:r w:rsidRPr="00DA5339">
        <w:rPr>
          <w:b/>
          <w:color w:val="000000"/>
        </w:rPr>
        <w:t>Potential Residential Program Impact</w:t>
      </w:r>
    </w:p>
    <w:p w14:paraId="09DC9C66" w14:textId="77777777" w:rsidR="00322E05" w:rsidRDefault="00DA5339" w:rsidP="00DA5339">
      <w:r w:rsidRPr="00322E05">
        <w:t xml:space="preserve">Evaluation of the impacts of using the Washington specific </w:t>
      </w:r>
      <w:r w:rsidR="00FA4191" w:rsidRPr="00322E05">
        <w:t>AC</w:t>
      </w:r>
      <w:r w:rsidRPr="00322E05">
        <w:t xml:space="preserve"> on “top ten measures with lowest UCT score”, and</w:t>
      </w:r>
      <w:r w:rsidRPr="00322E05">
        <w:rPr>
          <w:u w:val="single"/>
        </w:rPr>
        <w:t xml:space="preserve"> </w:t>
      </w:r>
      <w:r w:rsidRPr="00322E05">
        <w:t xml:space="preserve">the “Ten measures with lowest TRC Scores in 2016 mix” has showed little to no impact on </w:t>
      </w:r>
      <w:r w:rsidRPr="00322E05">
        <w:lastRenderedPageBreak/>
        <w:t xml:space="preserve">the </w:t>
      </w:r>
      <w:r w:rsidR="00FA4191" w:rsidRPr="00322E05">
        <w:t xml:space="preserve">risk of </w:t>
      </w:r>
      <w:r w:rsidRPr="00322E05">
        <w:t>cost</w:t>
      </w:r>
      <w:r w:rsidR="00FA4191" w:rsidRPr="00322E05">
        <w:t xml:space="preserve"> effectiveness of the measures, though it does make them more ‘comfortably’ cost effective and will contribute to the continued compliance of the portfolio. </w:t>
      </w:r>
      <w:r w:rsidRPr="00322E05">
        <w:t xml:space="preserve">The evaluation has also determined that no significant additional measures could be added to the Program portfolio.  Similarly the resulting data shows that no measures are at risk of being lost due to falling below the cost effectiveness screening threshold of 1.0 using the UCT.  </w:t>
      </w:r>
    </w:p>
    <w:p w14:paraId="6F68BC16" w14:textId="1CC80170" w:rsidR="00DA5339" w:rsidRPr="00322E05" w:rsidRDefault="00DA5339" w:rsidP="00DA5339">
      <w:r w:rsidRPr="00322E05">
        <w:t xml:space="preserve">The results of this analysis can also be used to determine the effect of Washington specific AC on the max allowable incentive per measure.  </w:t>
      </w:r>
      <w:r w:rsidR="00FA4191" w:rsidRPr="00322E05">
        <w:t>Because the impact to the</w:t>
      </w:r>
      <w:r w:rsidRPr="00322E05">
        <w:t xml:space="preserve"> cost effectiveness per measure</w:t>
      </w:r>
      <w:r w:rsidR="00FA4191" w:rsidRPr="00322E05">
        <w:t xml:space="preserve"> is around 20%</w:t>
      </w:r>
      <w:r w:rsidRPr="00322E05">
        <w:t xml:space="preserve">, the impact on max allowable incentive </w:t>
      </w:r>
      <w:r w:rsidR="00FA4191" w:rsidRPr="00322E05">
        <w:t>for some of the measures will be around 20%. Max incentive is typically defined by the lesser of two costs, the incremental (TRC) cost or the AC value of the measure’s savings</w:t>
      </w:r>
      <w:r w:rsidR="00322E05">
        <w:t xml:space="preserve"> (to ensure we do not pay more than the incremental cost of the efficient measure over the baseline measure)</w:t>
      </w:r>
      <w:r w:rsidRPr="00322E05">
        <w:t>.  Based on deemed savings per measure and the forecasted quantity of each measure realized, the Program has projected that proposed incentives wo</w:t>
      </w:r>
      <w:r w:rsidR="00322E05">
        <w:t>uld not be altered in order</w:t>
      </w:r>
      <w:r w:rsidR="00FA4191" w:rsidRPr="00322E05">
        <w:t xml:space="preserve"> to continue market consistency across the Portland Metro area </w:t>
      </w:r>
      <w:r w:rsidR="001A1B6D">
        <w:t xml:space="preserve">(including Clark County, WA) </w:t>
      </w:r>
      <w:r w:rsidR="00FA4191" w:rsidRPr="00322E05">
        <w:t xml:space="preserve">and to maintain </w:t>
      </w:r>
      <w:r w:rsidRPr="00322E05">
        <w:t>the overall program</w:t>
      </w:r>
      <w:r w:rsidR="00FA4191" w:rsidRPr="00322E05">
        <w:t xml:space="preserve"> and portfolio</w:t>
      </w:r>
      <w:r w:rsidRPr="00322E05">
        <w:t xml:space="preserve"> cost effectiveness. </w:t>
      </w:r>
      <w:r w:rsidR="00322E05">
        <w:t xml:space="preserve">That said, this new AC will </w:t>
      </w:r>
      <w:r w:rsidR="00FA4191" w:rsidRPr="00322E05">
        <w:t>allow for bonuses to be run on measures with Max Incentive flexibility</w:t>
      </w:r>
      <w:r w:rsidR="00322E05" w:rsidRPr="00322E05">
        <w:t xml:space="preserve"> to drive savings as deemed appropriate through the 2016 program year.</w:t>
      </w:r>
    </w:p>
    <w:p w14:paraId="20047954" w14:textId="77777777" w:rsidR="00BA0426" w:rsidRDefault="00C90C77">
      <w:pPr>
        <w:rPr>
          <w:b/>
          <w:color w:val="000000"/>
        </w:rPr>
      </w:pPr>
      <w:r>
        <w:rPr>
          <w:b/>
          <w:color w:val="000000"/>
        </w:rPr>
        <w:t>Commercial Program</w:t>
      </w:r>
    </w:p>
    <w:p w14:paraId="66AF3D31" w14:textId="77777777" w:rsidR="00C90C77" w:rsidRPr="00E407D1" w:rsidRDefault="00C90C77">
      <w:pPr>
        <w:rPr>
          <w:b/>
        </w:rPr>
      </w:pPr>
      <w:r w:rsidRPr="00E407D1">
        <w:t xml:space="preserve">This section covers the Commercial Sector of the Washington territory, which includes the Existing Buildings Program. This section primarily discusses ‘Prescriptive’ measures, which are screened for cost effectiveness in advance of the program year. Custom measures, which are screened for cost-effectiveness on an individual project basis, </w:t>
      </w:r>
      <w:r w:rsidR="00DD14FE" w:rsidRPr="00E407D1">
        <w:t xml:space="preserve">are discussed separately after the prescriptive measures. </w:t>
      </w:r>
      <w:r w:rsidRPr="00E407D1">
        <w:t xml:space="preserve"> </w:t>
      </w:r>
    </w:p>
    <w:p w14:paraId="6BCB6B0C" w14:textId="77777777" w:rsidR="002528D1" w:rsidRPr="00CB561F" w:rsidRDefault="00595683">
      <w:pPr>
        <w:rPr>
          <w:b/>
          <w:color w:val="000000"/>
          <w:u w:val="single"/>
        </w:rPr>
      </w:pPr>
      <w:r w:rsidRPr="00CB561F">
        <w:rPr>
          <w:b/>
          <w:color w:val="000000"/>
          <w:u w:val="single"/>
        </w:rPr>
        <w:t>Commercial: UCT</w:t>
      </w:r>
    </w:p>
    <w:p w14:paraId="6004EF96" w14:textId="7A2B8AA3" w:rsidR="00E407D1" w:rsidRDefault="00C90C77" w:rsidP="00E407D1">
      <w:r w:rsidRPr="00E407D1">
        <w:t>After running the measures through our cost effectiveness tool with each set of AC values, the ‘blended’ and the ‘Washington-specific’, we found the impact to ACs on a per measure basis ranging</w:t>
      </w:r>
      <w:r w:rsidR="004C6540" w:rsidRPr="00E407D1">
        <w:t xml:space="preserve"> between         </w:t>
      </w:r>
      <w:r w:rsidR="00E407D1" w:rsidRPr="00E407D1">
        <w:t>18-22%</w:t>
      </w:r>
      <w:r w:rsidR="00595683" w:rsidRPr="00E407D1">
        <w:t xml:space="preserve">. Because AC is the only assumption on the Benefit side of the UCT ratio, the % change to AC and the UCT score are identical. The </w:t>
      </w:r>
      <w:r w:rsidRPr="00E407D1">
        <w:t xml:space="preserve">range and </w:t>
      </w:r>
      <w:r w:rsidR="00595683" w:rsidRPr="00E407D1">
        <w:t>distribution of</w:t>
      </w:r>
      <w:r w:rsidRPr="00E407D1">
        <w:t xml:space="preserve"> these % changes when moving from one AC to the other </w:t>
      </w:r>
      <w:r w:rsidR="00707640" w:rsidRPr="00E407D1">
        <w:t xml:space="preserve">is shown in Table </w:t>
      </w:r>
      <w:r w:rsidR="00D07BD2">
        <w:t>6</w:t>
      </w:r>
      <w:r w:rsidRPr="00E407D1">
        <w:t xml:space="preserve"> below</w:t>
      </w:r>
      <w:r w:rsidR="00595683" w:rsidRPr="00E407D1">
        <w:t>.</w:t>
      </w:r>
      <w:r w:rsidRPr="00E407D1">
        <w:t xml:space="preserve"> As discussed in the beginning of the Residential Sector, the % change was most impacted by the number of years the measure life is rat</w:t>
      </w:r>
      <w:r w:rsidR="004C6540" w:rsidRPr="00E407D1">
        <w:t xml:space="preserve">ed to last. </w:t>
      </w:r>
      <w:r w:rsidR="00E407D1" w:rsidRPr="00E407D1">
        <w:t>The Washington-specific AC 20-year stream of values is proportionately higher in the early years than the ‘blended’ values, and not quite as high in the later years. This results in measures with lives around 20 years and less being in the 20%+ range and measures with lives of over 30 years being in the high teens.</w:t>
      </w:r>
    </w:p>
    <w:p w14:paraId="450261C5" w14:textId="6A67B9DE" w:rsidR="00A779D1" w:rsidRPr="00362E69" w:rsidRDefault="00BA0426" w:rsidP="00A779D1">
      <w:pPr>
        <w:spacing w:after="120"/>
        <w:rPr>
          <w:b/>
        </w:rPr>
      </w:pPr>
      <w:r>
        <w:rPr>
          <w:b/>
        </w:rPr>
        <w:t xml:space="preserve">Table </w:t>
      </w:r>
      <w:r w:rsidR="00D07BD2">
        <w:rPr>
          <w:b/>
        </w:rPr>
        <w:t>6</w:t>
      </w:r>
      <w:r w:rsidR="00A779D1" w:rsidRPr="00362E69">
        <w:rPr>
          <w:b/>
        </w:rPr>
        <w:t>.</w:t>
      </w:r>
      <w:r w:rsidR="00A779D1">
        <w:rPr>
          <w:b/>
        </w:rPr>
        <w:t xml:space="preserve"> Showing the range of % change to AC and UCT. Includes # and % of measures impacted.</w:t>
      </w:r>
    </w:p>
    <w:tbl>
      <w:tblPr>
        <w:tblStyle w:val="PlainTable11"/>
        <w:tblW w:w="0" w:type="auto"/>
        <w:jc w:val="center"/>
        <w:tblLook w:val="04A0" w:firstRow="1" w:lastRow="0" w:firstColumn="1" w:lastColumn="0" w:noHBand="0" w:noVBand="1"/>
      </w:tblPr>
      <w:tblGrid>
        <w:gridCol w:w="1975"/>
        <w:gridCol w:w="2430"/>
        <w:gridCol w:w="1170"/>
      </w:tblGrid>
      <w:tr w:rsidR="00D652BD" w:rsidRPr="00D652BD" w14:paraId="0835ABAA" w14:textId="77777777" w:rsidTr="00D652B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auto"/>
            </w:tcBorders>
            <w:noWrap/>
            <w:hideMark/>
          </w:tcPr>
          <w:p w14:paraId="076D9D29" w14:textId="77777777" w:rsidR="00D652BD" w:rsidRPr="00D652BD" w:rsidRDefault="00D652BD" w:rsidP="00D652BD">
            <w:pPr>
              <w:jc w:val="center"/>
            </w:pPr>
            <w:r w:rsidRPr="00D652BD">
              <w:t>% Change  AC/UCT</w:t>
            </w:r>
          </w:p>
        </w:tc>
        <w:tc>
          <w:tcPr>
            <w:tcW w:w="2430" w:type="dxa"/>
            <w:tcBorders>
              <w:bottom w:val="single" w:sz="4" w:space="0" w:color="auto"/>
            </w:tcBorders>
            <w:noWrap/>
            <w:hideMark/>
          </w:tcPr>
          <w:p w14:paraId="1332D22A" w14:textId="77777777" w:rsidR="00D652BD" w:rsidRPr="00D652BD" w:rsidRDefault="00D652BD" w:rsidP="00D652BD">
            <w:pPr>
              <w:jc w:val="center"/>
              <w:cnfStyle w:val="100000000000" w:firstRow="1" w:lastRow="0" w:firstColumn="0" w:lastColumn="0" w:oddVBand="0" w:evenVBand="0" w:oddHBand="0" w:evenHBand="0" w:firstRowFirstColumn="0" w:firstRowLastColumn="0" w:lastRowFirstColumn="0" w:lastRowLastColumn="0"/>
            </w:pPr>
            <w:r w:rsidRPr="00D652BD">
              <w:t># of affected measures</w:t>
            </w:r>
          </w:p>
        </w:tc>
        <w:tc>
          <w:tcPr>
            <w:tcW w:w="1170" w:type="dxa"/>
            <w:tcBorders>
              <w:bottom w:val="single" w:sz="4" w:space="0" w:color="auto"/>
            </w:tcBorders>
            <w:noWrap/>
            <w:hideMark/>
          </w:tcPr>
          <w:p w14:paraId="1FB54570" w14:textId="77777777" w:rsidR="00D652BD" w:rsidRPr="00D652BD" w:rsidRDefault="00D652BD" w:rsidP="00D652BD">
            <w:pPr>
              <w:jc w:val="center"/>
              <w:cnfStyle w:val="100000000000" w:firstRow="1" w:lastRow="0" w:firstColumn="0" w:lastColumn="0" w:oddVBand="0" w:evenVBand="0" w:oddHBand="0" w:evenHBand="0" w:firstRowFirstColumn="0" w:firstRowLastColumn="0" w:lastRowFirstColumn="0" w:lastRowLastColumn="0"/>
            </w:pPr>
            <w:r w:rsidRPr="00D652BD">
              <w:t>% of Total</w:t>
            </w:r>
          </w:p>
        </w:tc>
      </w:tr>
      <w:tr w:rsidR="00D652BD" w:rsidRPr="00D652BD" w14:paraId="13CEDB2C" w14:textId="77777777" w:rsidTr="00D652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tcBorders>
            <w:noWrap/>
            <w:hideMark/>
          </w:tcPr>
          <w:p w14:paraId="0E07414C" w14:textId="77777777" w:rsidR="00D652BD" w:rsidRPr="00D652BD" w:rsidRDefault="00D652BD" w:rsidP="00D652BD">
            <w:pPr>
              <w:jc w:val="center"/>
            </w:pPr>
            <w:r w:rsidRPr="00D652BD">
              <w:t>18%</w:t>
            </w:r>
          </w:p>
        </w:tc>
        <w:tc>
          <w:tcPr>
            <w:tcW w:w="2430" w:type="dxa"/>
            <w:tcBorders>
              <w:top w:val="single" w:sz="4" w:space="0" w:color="auto"/>
            </w:tcBorders>
            <w:noWrap/>
            <w:hideMark/>
          </w:tcPr>
          <w:p w14:paraId="4760BE5A"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3</w:t>
            </w:r>
          </w:p>
        </w:tc>
        <w:tc>
          <w:tcPr>
            <w:tcW w:w="1170" w:type="dxa"/>
            <w:tcBorders>
              <w:top w:val="single" w:sz="4" w:space="0" w:color="auto"/>
            </w:tcBorders>
            <w:noWrap/>
            <w:hideMark/>
          </w:tcPr>
          <w:p w14:paraId="65734FF2"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6%</w:t>
            </w:r>
          </w:p>
        </w:tc>
      </w:tr>
      <w:tr w:rsidR="00D652BD" w:rsidRPr="00D652BD" w14:paraId="2C1F6A8F" w14:textId="77777777" w:rsidTr="00D652BD">
        <w:trPr>
          <w:trHeight w:val="300"/>
          <w:jc w:val="center"/>
        </w:trPr>
        <w:tc>
          <w:tcPr>
            <w:cnfStyle w:val="001000000000" w:firstRow="0" w:lastRow="0" w:firstColumn="1" w:lastColumn="0" w:oddVBand="0" w:evenVBand="0" w:oddHBand="0" w:evenHBand="0" w:firstRowFirstColumn="0" w:firstRowLastColumn="0" w:lastRowFirstColumn="0" w:lastRowLastColumn="0"/>
            <w:tcW w:w="1975" w:type="dxa"/>
            <w:noWrap/>
            <w:hideMark/>
          </w:tcPr>
          <w:p w14:paraId="01BADBD0" w14:textId="77777777" w:rsidR="00D652BD" w:rsidRPr="00D652BD" w:rsidRDefault="00D652BD" w:rsidP="00D652BD">
            <w:pPr>
              <w:jc w:val="center"/>
            </w:pPr>
            <w:r w:rsidRPr="00D652BD">
              <w:t>19%</w:t>
            </w:r>
          </w:p>
        </w:tc>
        <w:tc>
          <w:tcPr>
            <w:tcW w:w="2430" w:type="dxa"/>
            <w:noWrap/>
            <w:hideMark/>
          </w:tcPr>
          <w:p w14:paraId="788F7035"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5</w:t>
            </w:r>
          </w:p>
        </w:tc>
        <w:tc>
          <w:tcPr>
            <w:tcW w:w="1170" w:type="dxa"/>
            <w:noWrap/>
            <w:hideMark/>
          </w:tcPr>
          <w:p w14:paraId="31D0A38F"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9%</w:t>
            </w:r>
          </w:p>
        </w:tc>
      </w:tr>
      <w:tr w:rsidR="00D652BD" w:rsidRPr="00D652BD" w14:paraId="02AAF223" w14:textId="77777777" w:rsidTr="00D652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FBFBF" w:themeColor="background1" w:themeShade="BF"/>
            </w:tcBorders>
            <w:noWrap/>
            <w:hideMark/>
          </w:tcPr>
          <w:p w14:paraId="4C47BFF9" w14:textId="77777777" w:rsidR="00D652BD" w:rsidRPr="00D652BD" w:rsidRDefault="00D652BD" w:rsidP="00D652BD">
            <w:pPr>
              <w:jc w:val="center"/>
            </w:pPr>
            <w:r w:rsidRPr="00D652BD">
              <w:t>21%</w:t>
            </w:r>
          </w:p>
        </w:tc>
        <w:tc>
          <w:tcPr>
            <w:tcW w:w="2430" w:type="dxa"/>
            <w:tcBorders>
              <w:bottom w:val="single" w:sz="4" w:space="0" w:color="BFBFBF" w:themeColor="background1" w:themeShade="BF"/>
            </w:tcBorders>
            <w:noWrap/>
            <w:hideMark/>
          </w:tcPr>
          <w:p w14:paraId="779C8CFE"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27</w:t>
            </w:r>
          </w:p>
        </w:tc>
        <w:tc>
          <w:tcPr>
            <w:tcW w:w="1170" w:type="dxa"/>
            <w:tcBorders>
              <w:bottom w:val="single" w:sz="4" w:space="0" w:color="BFBFBF" w:themeColor="background1" w:themeShade="BF"/>
            </w:tcBorders>
            <w:noWrap/>
            <w:hideMark/>
          </w:tcPr>
          <w:p w14:paraId="4BD9EECC"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51%</w:t>
            </w:r>
          </w:p>
        </w:tc>
      </w:tr>
      <w:tr w:rsidR="00D652BD" w:rsidRPr="00D652BD" w14:paraId="29C7BB29" w14:textId="77777777" w:rsidTr="00D652BD">
        <w:trPr>
          <w:trHeight w:val="300"/>
          <w:jc w:val="center"/>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auto"/>
            </w:tcBorders>
            <w:noWrap/>
            <w:hideMark/>
          </w:tcPr>
          <w:p w14:paraId="7317DD03" w14:textId="77777777" w:rsidR="00D652BD" w:rsidRPr="00D652BD" w:rsidRDefault="00D652BD" w:rsidP="00D652BD">
            <w:pPr>
              <w:jc w:val="center"/>
            </w:pPr>
            <w:r w:rsidRPr="00D652BD">
              <w:t>22%</w:t>
            </w:r>
          </w:p>
        </w:tc>
        <w:tc>
          <w:tcPr>
            <w:tcW w:w="2430" w:type="dxa"/>
            <w:tcBorders>
              <w:bottom w:val="single" w:sz="4" w:space="0" w:color="auto"/>
            </w:tcBorders>
            <w:noWrap/>
            <w:hideMark/>
          </w:tcPr>
          <w:p w14:paraId="7586B40D"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18</w:t>
            </w:r>
          </w:p>
        </w:tc>
        <w:tc>
          <w:tcPr>
            <w:tcW w:w="1170" w:type="dxa"/>
            <w:tcBorders>
              <w:bottom w:val="single" w:sz="4" w:space="0" w:color="auto"/>
            </w:tcBorders>
            <w:noWrap/>
            <w:hideMark/>
          </w:tcPr>
          <w:p w14:paraId="4BB64025"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34%</w:t>
            </w:r>
          </w:p>
        </w:tc>
      </w:tr>
      <w:tr w:rsidR="00D652BD" w:rsidRPr="00D652BD" w14:paraId="2C4ABE19" w14:textId="77777777" w:rsidTr="00D652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tcBorders>
            <w:noWrap/>
            <w:hideMark/>
          </w:tcPr>
          <w:p w14:paraId="6E63E710" w14:textId="77777777" w:rsidR="00D652BD" w:rsidRPr="00D652BD" w:rsidRDefault="00D652BD" w:rsidP="00D652BD">
            <w:pPr>
              <w:jc w:val="center"/>
            </w:pPr>
            <w:r w:rsidRPr="00D652BD">
              <w:t>Total</w:t>
            </w:r>
          </w:p>
        </w:tc>
        <w:tc>
          <w:tcPr>
            <w:tcW w:w="2430" w:type="dxa"/>
            <w:tcBorders>
              <w:top w:val="single" w:sz="4" w:space="0" w:color="auto"/>
            </w:tcBorders>
            <w:noWrap/>
            <w:hideMark/>
          </w:tcPr>
          <w:p w14:paraId="09A4427B"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53</w:t>
            </w:r>
          </w:p>
        </w:tc>
        <w:tc>
          <w:tcPr>
            <w:tcW w:w="1170" w:type="dxa"/>
            <w:tcBorders>
              <w:top w:val="single" w:sz="4" w:space="0" w:color="auto"/>
            </w:tcBorders>
            <w:noWrap/>
            <w:hideMark/>
          </w:tcPr>
          <w:p w14:paraId="7D973149"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100%</w:t>
            </w:r>
          </w:p>
        </w:tc>
      </w:tr>
    </w:tbl>
    <w:p w14:paraId="4A6B933B" w14:textId="77777777" w:rsidR="00595683" w:rsidRDefault="00595683"/>
    <w:p w14:paraId="1BFC2995" w14:textId="73965F0F" w:rsidR="004C6540" w:rsidRPr="00CA6D4D" w:rsidRDefault="00AB1A3B">
      <w:r w:rsidRPr="00AB1A3B">
        <w:lastRenderedPageBreak/>
        <w:t>Table 5 shows that 85</w:t>
      </w:r>
      <w:r w:rsidR="004C6540" w:rsidRPr="00AB1A3B">
        <w:t xml:space="preserve">% of Commercial Sector measures had their AC value </w:t>
      </w:r>
      <w:r w:rsidRPr="00AB1A3B">
        <w:t>increase by 21-22</w:t>
      </w:r>
      <w:r w:rsidR="004C6540" w:rsidRPr="00AB1A3B">
        <w:t xml:space="preserve">% while </w:t>
      </w:r>
      <w:r w:rsidR="004C6540" w:rsidRPr="00CA6D4D">
        <w:t xml:space="preserve">15% </w:t>
      </w:r>
      <w:r w:rsidRPr="00CA6D4D">
        <w:t>increased by 18-19%</w:t>
      </w:r>
      <w:r w:rsidR="004C6540" w:rsidRPr="00CA6D4D">
        <w:t xml:space="preserve">.   </w:t>
      </w:r>
    </w:p>
    <w:p w14:paraId="33D4093A" w14:textId="2491D38D" w:rsidR="004C6540" w:rsidRPr="00CA6D4D" w:rsidRDefault="00D07BD2">
      <w:r>
        <w:t>Table 7</w:t>
      </w:r>
      <w:r w:rsidR="004C6540" w:rsidRPr="00CA6D4D">
        <w:t xml:space="preserve"> below shows the 10 measures in the Existing Buildings Program with the lowest UCT BCR scores. It also shows the % change that occurred to that UCT score when the Washington-only AC were applied.</w:t>
      </w:r>
      <w:r w:rsidR="000D3071" w:rsidRPr="00CA6D4D">
        <w:t xml:space="preserve"> Only </w:t>
      </w:r>
      <w:r w:rsidR="00AB1A3B" w:rsidRPr="00CA6D4D">
        <w:t xml:space="preserve">two </w:t>
      </w:r>
      <w:r w:rsidR="000D3071" w:rsidRPr="00CA6D4D">
        <w:t xml:space="preserve">of these measures contributed a </w:t>
      </w:r>
      <w:r w:rsidR="00AB1A3B" w:rsidRPr="00CA6D4D">
        <w:t xml:space="preserve">significant amount of </w:t>
      </w:r>
      <w:r w:rsidR="000D3071" w:rsidRPr="00CA6D4D">
        <w:t xml:space="preserve">savings in 2014 (most recent year with a full year of data) and those that went unused or did not exist are labeled </w:t>
      </w:r>
      <w:r w:rsidR="00CA6D4D" w:rsidRPr="00CA6D4D">
        <w:t>‘</w:t>
      </w:r>
      <w:r w:rsidR="000D3071" w:rsidRPr="00CA6D4D">
        <w:t>N/A</w:t>
      </w:r>
      <w:r w:rsidR="00CA6D4D" w:rsidRPr="00CA6D4D">
        <w:t>’ or ‘New Measure’</w:t>
      </w:r>
      <w:r w:rsidR="000D3071" w:rsidRPr="00CA6D4D">
        <w:t xml:space="preserve">. </w:t>
      </w:r>
    </w:p>
    <w:p w14:paraId="6872D693" w14:textId="0DCC63FF" w:rsidR="00707640" w:rsidRPr="00707640" w:rsidRDefault="00D07BD2">
      <w:pPr>
        <w:rPr>
          <w:b/>
        </w:rPr>
      </w:pPr>
      <w:r>
        <w:rPr>
          <w:b/>
        </w:rPr>
        <w:t>Table 7</w:t>
      </w:r>
      <w:r w:rsidR="00707640" w:rsidRPr="00707640">
        <w:rPr>
          <w:b/>
        </w:rPr>
        <w:t>. Ten measures with lowest UCT Scores in 2016 mix. Showing % change in UCT from ETO Blended AC to WA-Only AC</w:t>
      </w:r>
      <w:r w:rsidR="00DD14FE">
        <w:rPr>
          <w:b/>
        </w:rPr>
        <w:t xml:space="preserve"> and % of savings contributed in 2014.</w:t>
      </w:r>
    </w:p>
    <w:tbl>
      <w:tblPr>
        <w:tblStyle w:val="PlainTable11"/>
        <w:tblW w:w="9535" w:type="dxa"/>
        <w:jc w:val="center"/>
        <w:tblLook w:val="04A0" w:firstRow="1" w:lastRow="0" w:firstColumn="1" w:lastColumn="0" w:noHBand="0" w:noVBand="1"/>
      </w:tblPr>
      <w:tblGrid>
        <w:gridCol w:w="1048"/>
        <w:gridCol w:w="4907"/>
        <w:gridCol w:w="1135"/>
        <w:gridCol w:w="1186"/>
        <w:gridCol w:w="1260"/>
      </w:tblGrid>
      <w:tr w:rsidR="005D0B37" w:rsidRPr="0071286E" w14:paraId="223A7F40" w14:textId="77777777" w:rsidTr="000038D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7" w:type="dxa"/>
            <w:tcBorders>
              <w:bottom w:val="single" w:sz="4" w:space="0" w:color="auto"/>
            </w:tcBorders>
            <w:noWrap/>
            <w:hideMark/>
          </w:tcPr>
          <w:p w14:paraId="189EC3CF" w14:textId="77777777" w:rsidR="0071286E" w:rsidRPr="0071286E" w:rsidRDefault="0071286E">
            <w:r w:rsidRPr="0071286E">
              <w:t>Program</w:t>
            </w:r>
          </w:p>
        </w:tc>
        <w:tc>
          <w:tcPr>
            <w:tcW w:w="4907" w:type="dxa"/>
            <w:tcBorders>
              <w:bottom w:val="single" w:sz="4" w:space="0" w:color="auto"/>
            </w:tcBorders>
            <w:noWrap/>
            <w:hideMark/>
          </w:tcPr>
          <w:p w14:paraId="1DCAA016" w14:textId="77777777" w:rsidR="0071286E" w:rsidRPr="0071286E" w:rsidRDefault="0071286E">
            <w:pPr>
              <w:cnfStyle w:val="100000000000" w:firstRow="1" w:lastRow="0" w:firstColumn="0" w:lastColumn="0" w:oddVBand="0" w:evenVBand="0" w:oddHBand="0" w:evenHBand="0" w:firstRowFirstColumn="0" w:firstRowLastColumn="0" w:lastRowFirstColumn="0" w:lastRowLastColumn="0"/>
            </w:pPr>
            <w:r w:rsidRPr="0071286E">
              <w:t>Measure Description</w:t>
            </w:r>
          </w:p>
        </w:tc>
        <w:tc>
          <w:tcPr>
            <w:tcW w:w="1135" w:type="dxa"/>
            <w:tcBorders>
              <w:bottom w:val="single" w:sz="4" w:space="0" w:color="auto"/>
            </w:tcBorders>
            <w:noWrap/>
            <w:hideMark/>
          </w:tcPr>
          <w:p w14:paraId="016C3534" w14:textId="77777777" w:rsidR="0071286E" w:rsidRPr="0071286E" w:rsidRDefault="0071286E">
            <w:pPr>
              <w:cnfStyle w:val="100000000000" w:firstRow="1" w:lastRow="0" w:firstColumn="0" w:lastColumn="0" w:oddVBand="0" w:evenVBand="0" w:oddHBand="0" w:evenHBand="0" w:firstRowFirstColumn="0" w:firstRowLastColumn="0" w:lastRowFirstColumn="0" w:lastRowLastColumn="0"/>
            </w:pPr>
            <w:r w:rsidRPr="0071286E">
              <w:t>Change in UCT BCR</w:t>
            </w:r>
          </w:p>
        </w:tc>
        <w:tc>
          <w:tcPr>
            <w:tcW w:w="1186" w:type="dxa"/>
            <w:tcBorders>
              <w:bottom w:val="single" w:sz="4" w:space="0" w:color="auto"/>
            </w:tcBorders>
            <w:noWrap/>
            <w:hideMark/>
          </w:tcPr>
          <w:p w14:paraId="2F41AAC3" w14:textId="77777777" w:rsidR="0071286E" w:rsidRPr="0071286E" w:rsidRDefault="0071286E">
            <w:pPr>
              <w:cnfStyle w:val="100000000000" w:firstRow="1" w:lastRow="0" w:firstColumn="0" w:lastColumn="0" w:oddVBand="0" w:evenVBand="0" w:oddHBand="0" w:evenHBand="0" w:firstRowFirstColumn="0" w:firstRowLastColumn="0" w:lastRowFirstColumn="0" w:lastRowLastColumn="0"/>
            </w:pPr>
            <w:r w:rsidRPr="0071286E">
              <w:t>% change in AC/UCT</w:t>
            </w:r>
          </w:p>
        </w:tc>
        <w:tc>
          <w:tcPr>
            <w:tcW w:w="1260" w:type="dxa"/>
            <w:tcBorders>
              <w:bottom w:val="single" w:sz="4" w:space="0" w:color="auto"/>
            </w:tcBorders>
            <w:noWrap/>
            <w:hideMark/>
          </w:tcPr>
          <w:p w14:paraId="0540CE64" w14:textId="77777777" w:rsidR="0071286E" w:rsidRPr="0071286E" w:rsidRDefault="0071286E">
            <w:pPr>
              <w:cnfStyle w:val="100000000000" w:firstRow="1" w:lastRow="0" w:firstColumn="0" w:lastColumn="0" w:oddVBand="0" w:evenVBand="0" w:oddHBand="0" w:evenHBand="0" w:firstRowFirstColumn="0" w:firstRowLastColumn="0" w:lastRowFirstColumn="0" w:lastRowLastColumn="0"/>
            </w:pPr>
            <w:r w:rsidRPr="0071286E">
              <w:t>% of 2014 Savings</w:t>
            </w:r>
          </w:p>
        </w:tc>
      </w:tr>
      <w:tr w:rsidR="005D0B37" w:rsidRPr="0071286E" w14:paraId="6909A3BF" w14:textId="77777777" w:rsidTr="000038D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7" w:type="dxa"/>
            <w:tcBorders>
              <w:top w:val="single" w:sz="4" w:space="0" w:color="auto"/>
            </w:tcBorders>
            <w:noWrap/>
            <w:hideMark/>
          </w:tcPr>
          <w:p w14:paraId="39307CD3" w14:textId="77777777" w:rsidR="0071286E" w:rsidRPr="0071286E" w:rsidRDefault="0071286E">
            <w:r w:rsidRPr="0071286E">
              <w:t>Existing Buildings</w:t>
            </w:r>
          </w:p>
        </w:tc>
        <w:tc>
          <w:tcPr>
            <w:tcW w:w="4907" w:type="dxa"/>
            <w:tcBorders>
              <w:top w:val="single" w:sz="4" w:space="0" w:color="auto"/>
            </w:tcBorders>
            <w:noWrap/>
            <w:hideMark/>
          </w:tcPr>
          <w:p w14:paraId="14318030"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Dishwasher - Under counter - gas high temp</w:t>
            </w:r>
          </w:p>
        </w:tc>
        <w:tc>
          <w:tcPr>
            <w:tcW w:w="1135" w:type="dxa"/>
            <w:tcBorders>
              <w:top w:val="single" w:sz="4" w:space="0" w:color="auto"/>
            </w:tcBorders>
            <w:noWrap/>
            <w:hideMark/>
          </w:tcPr>
          <w:p w14:paraId="4A0F5ED8"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From 0.9 to 1.1</w:t>
            </w:r>
          </w:p>
        </w:tc>
        <w:tc>
          <w:tcPr>
            <w:tcW w:w="1186" w:type="dxa"/>
            <w:tcBorders>
              <w:top w:val="single" w:sz="4" w:space="0" w:color="auto"/>
            </w:tcBorders>
            <w:noWrap/>
            <w:hideMark/>
          </w:tcPr>
          <w:p w14:paraId="4AB66128" w14:textId="77777777" w:rsidR="0071286E" w:rsidRPr="0071286E" w:rsidRDefault="0071286E" w:rsidP="0071286E">
            <w:pPr>
              <w:cnfStyle w:val="000000100000" w:firstRow="0" w:lastRow="0" w:firstColumn="0" w:lastColumn="0" w:oddVBand="0" w:evenVBand="0" w:oddHBand="1" w:evenHBand="0" w:firstRowFirstColumn="0" w:firstRowLastColumn="0" w:lastRowFirstColumn="0" w:lastRowLastColumn="0"/>
            </w:pPr>
            <w:r w:rsidRPr="0071286E">
              <w:t>22%</w:t>
            </w:r>
          </w:p>
        </w:tc>
        <w:tc>
          <w:tcPr>
            <w:tcW w:w="1260" w:type="dxa"/>
            <w:tcBorders>
              <w:top w:val="single" w:sz="4" w:space="0" w:color="auto"/>
            </w:tcBorders>
            <w:noWrap/>
            <w:hideMark/>
          </w:tcPr>
          <w:p w14:paraId="51BA0975"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N/A</w:t>
            </w:r>
          </w:p>
        </w:tc>
      </w:tr>
      <w:tr w:rsidR="005D0B37" w:rsidRPr="0071286E" w14:paraId="428FD86D" w14:textId="77777777" w:rsidTr="000038D2">
        <w:trPr>
          <w:trHeight w:val="300"/>
          <w:jc w:val="center"/>
        </w:trPr>
        <w:tc>
          <w:tcPr>
            <w:cnfStyle w:val="001000000000" w:firstRow="0" w:lastRow="0" w:firstColumn="1" w:lastColumn="0" w:oddVBand="0" w:evenVBand="0" w:oddHBand="0" w:evenHBand="0" w:firstRowFirstColumn="0" w:firstRowLastColumn="0" w:lastRowFirstColumn="0" w:lastRowLastColumn="0"/>
            <w:tcW w:w="1047" w:type="dxa"/>
            <w:noWrap/>
            <w:hideMark/>
          </w:tcPr>
          <w:p w14:paraId="31DBB2D9" w14:textId="77777777" w:rsidR="0071286E" w:rsidRPr="0071286E" w:rsidRDefault="0071286E">
            <w:r w:rsidRPr="0071286E">
              <w:t>Existing Buildings</w:t>
            </w:r>
          </w:p>
        </w:tc>
        <w:tc>
          <w:tcPr>
            <w:tcW w:w="4907" w:type="dxa"/>
            <w:noWrap/>
            <w:hideMark/>
          </w:tcPr>
          <w:p w14:paraId="54690E37" w14:textId="77777777" w:rsidR="0071286E" w:rsidRPr="0071286E" w:rsidRDefault="005D0B37" w:rsidP="005D0B37">
            <w:pPr>
              <w:cnfStyle w:val="000000000000" w:firstRow="0" w:lastRow="0" w:firstColumn="0" w:lastColumn="0" w:oddVBand="0" w:evenVBand="0" w:oddHBand="0" w:evenHBand="0" w:firstRowFirstColumn="0" w:firstRowLastColumn="0" w:lastRowFirstColumn="0" w:lastRowLastColumn="0"/>
            </w:pPr>
            <w:r>
              <w:t xml:space="preserve">Steam Traps: </w:t>
            </w:r>
            <w:r w:rsidR="0071286E" w:rsidRPr="0071286E">
              <w:t>Effective January 1, 2016 Schools Only.</w:t>
            </w:r>
          </w:p>
        </w:tc>
        <w:tc>
          <w:tcPr>
            <w:tcW w:w="1135" w:type="dxa"/>
            <w:noWrap/>
            <w:hideMark/>
          </w:tcPr>
          <w:p w14:paraId="5D533696"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From 0.99 to 1.21</w:t>
            </w:r>
          </w:p>
        </w:tc>
        <w:tc>
          <w:tcPr>
            <w:tcW w:w="1186" w:type="dxa"/>
            <w:noWrap/>
            <w:hideMark/>
          </w:tcPr>
          <w:p w14:paraId="5C61F3D4" w14:textId="77777777" w:rsidR="0071286E" w:rsidRPr="0071286E" w:rsidRDefault="0071286E" w:rsidP="0071286E">
            <w:pPr>
              <w:cnfStyle w:val="000000000000" w:firstRow="0" w:lastRow="0" w:firstColumn="0" w:lastColumn="0" w:oddVBand="0" w:evenVBand="0" w:oddHBand="0" w:evenHBand="0" w:firstRowFirstColumn="0" w:firstRowLastColumn="0" w:lastRowFirstColumn="0" w:lastRowLastColumn="0"/>
            </w:pPr>
            <w:r w:rsidRPr="0071286E">
              <w:t>22%</w:t>
            </w:r>
          </w:p>
        </w:tc>
        <w:tc>
          <w:tcPr>
            <w:tcW w:w="1260" w:type="dxa"/>
            <w:noWrap/>
            <w:hideMark/>
          </w:tcPr>
          <w:p w14:paraId="34D3F5F7"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New Measure</w:t>
            </w:r>
          </w:p>
        </w:tc>
      </w:tr>
      <w:tr w:rsidR="005D0B37" w:rsidRPr="0071286E" w14:paraId="1DEAD7D7" w14:textId="77777777" w:rsidTr="000038D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7" w:type="dxa"/>
            <w:noWrap/>
            <w:hideMark/>
          </w:tcPr>
          <w:p w14:paraId="236EA351" w14:textId="77777777" w:rsidR="0071286E" w:rsidRPr="0071286E" w:rsidRDefault="0071286E">
            <w:r w:rsidRPr="0071286E">
              <w:t>Existing Buildings</w:t>
            </w:r>
          </w:p>
        </w:tc>
        <w:tc>
          <w:tcPr>
            <w:tcW w:w="4907" w:type="dxa"/>
            <w:noWrap/>
            <w:hideMark/>
          </w:tcPr>
          <w:p w14:paraId="667C2C78"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Commercial Clothes Washer-Gas Water Heat</w:t>
            </w:r>
          </w:p>
        </w:tc>
        <w:tc>
          <w:tcPr>
            <w:tcW w:w="1135" w:type="dxa"/>
            <w:noWrap/>
            <w:hideMark/>
          </w:tcPr>
          <w:p w14:paraId="44C2F3D3"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From 1.03 to 1.26</w:t>
            </w:r>
          </w:p>
        </w:tc>
        <w:tc>
          <w:tcPr>
            <w:tcW w:w="1186" w:type="dxa"/>
            <w:noWrap/>
            <w:hideMark/>
          </w:tcPr>
          <w:p w14:paraId="0610C5A4" w14:textId="77777777" w:rsidR="0071286E" w:rsidRPr="0071286E" w:rsidRDefault="0071286E" w:rsidP="0071286E">
            <w:pPr>
              <w:cnfStyle w:val="000000100000" w:firstRow="0" w:lastRow="0" w:firstColumn="0" w:lastColumn="0" w:oddVBand="0" w:evenVBand="0" w:oddHBand="1" w:evenHBand="0" w:firstRowFirstColumn="0" w:firstRowLastColumn="0" w:lastRowFirstColumn="0" w:lastRowLastColumn="0"/>
            </w:pPr>
            <w:r w:rsidRPr="0071286E">
              <w:t>22%</w:t>
            </w:r>
          </w:p>
        </w:tc>
        <w:tc>
          <w:tcPr>
            <w:tcW w:w="1260" w:type="dxa"/>
            <w:noWrap/>
            <w:hideMark/>
          </w:tcPr>
          <w:p w14:paraId="4C7ACBD7"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N/A</w:t>
            </w:r>
          </w:p>
        </w:tc>
      </w:tr>
      <w:tr w:rsidR="005D0B37" w:rsidRPr="0071286E" w14:paraId="02B51E18" w14:textId="77777777" w:rsidTr="000038D2">
        <w:trPr>
          <w:trHeight w:val="300"/>
          <w:jc w:val="center"/>
        </w:trPr>
        <w:tc>
          <w:tcPr>
            <w:cnfStyle w:val="001000000000" w:firstRow="0" w:lastRow="0" w:firstColumn="1" w:lastColumn="0" w:oddVBand="0" w:evenVBand="0" w:oddHBand="0" w:evenHBand="0" w:firstRowFirstColumn="0" w:firstRowLastColumn="0" w:lastRowFirstColumn="0" w:lastRowLastColumn="0"/>
            <w:tcW w:w="1047" w:type="dxa"/>
            <w:noWrap/>
            <w:hideMark/>
          </w:tcPr>
          <w:p w14:paraId="556719B0" w14:textId="77777777" w:rsidR="0071286E" w:rsidRPr="0071286E" w:rsidRDefault="0071286E">
            <w:r w:rsidRPr="0071286E">
              <w:t>Existing Buildings</w:t>
            </w:r>
          </w:p>
        </w:tc>
        <w:tc>
          <w:tcPr>
            <w:tcW w:w="4907" w:type="dxa"/>
            <w:noWrap/>
            <w:hideMark/>
          </w:tcPr>
          <w:p w14:paraId="6F5152D2"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Infrared (IR) polyethylene greenhouse cover</w:t>
            </w:r>
          </w:p>
        </w:tc>
        <w:tc>
          <w:tcPr>
            <w:tcW w:w="1135" w:type="dxa"/>
            <w:noWrap/>
            <w:hideMark/>
          </w:tcPr>
          <w:p w14:paraId="1DE332FC"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From 1.14 to 1.39</w:t>
            </w:r>
          </w:p>
        </w:tc>
        <w:tc>
          <w:tcPr>
            <w:tcW w:w="1186" w:type="dxa"/>
            <w:noWrap/>
            <w:hideMark/>
          </w:tcPr>
          <w:p w14:paraId="3027A838" w14:textId="77777777" w:rsidR="0071286E" w:rsidRPr="0071286E" w:rsidRDefault="0071286E" w:rsidP="0071286E">
            <w:pPr>
              <w:cnfStyle w:val="000000000000" w:firstRow="0" w:lastRow="0" w:firstColumn="0" w:lastColumn="0" w:oddVBand="0" w:evenVBand="0" w:oddHBand="0" w:evenHBand="0" w:firstRowFirstColumn="0" w:firstRowLastColumn="0" w:lastRowFirstColumn="0" w:lastRowLastColumn="0"/>
            </w:pPr>
            <w:r w:rsidRPr="0071286E">
              <w:t>22%</w:t>
            </w:r>
          </w:p>
        </w:tc>
        <w:tc>
          <w:tcPr>
            <w:tcW w:w="1260" w:type="dxa"/>
            <w:noWrap/>
            <w:hideMark/>
          </w:tcPr>
          <w:p w14:paraId="7C6D286F"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N/A</w:t>
            </w:r>
          </w:p>
        </w:tc>
      </w:tr>
      <w:tr w:rsidR="005D0B37" w:rsidRPr="0071286E" w14:paraId="3EF70726" w14:textId="77777777" w:rsidTr="000038D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7" w:type="dxa"/>
            <w:noWrap/>
            <w:hideMark/>
          </w:tcPr>
          <w:p w14:paraId="79502441" w14:textId="77777777" w:rsidR="0071286E" w:rsidRPr="0071286E" w:rsidRDefault="0071286E">
            <w:r w:rsidRPr="0071286E">
              <w:t>Existing Buildings</w:t>
            </w:r>
          </w:p>
        </w:tc>
        <w:tc>
          <w:tcPr>
            <w:tcW w:w="4907" w:type="dxa"/>
            <w:noWrap/>
            <w:hideMark/>
          </w:tcPr>
          <w:p w14:paraId="128BD1E5"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Boiler Vent Damper</w:t>
            </w:r>
          </w:p>
        </w:tc>
        <w:tc>
          <w:tcPr>
            <w:tcW w:w="1135" w:type="dxa"/>
            <w:noWrap/>
            <w:hideMark/>
          </w:tcPr>
          <w:p w14:paraId="1900078D"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From 1.22 to 1.48</w:t>
            </w:r>
          </w:p>
        </w:tc>
        <w:tc>
          <w:tcPr>
            <w:tcW w:w="1186" w:type="dxa"/>
            <w:noWrap/>
            <w:hideMark/>
          </w:tcPr>
          <w:p w14:paraId="312E5908" w14:textId="77777777" w:rsidR="0071286E" w:rsidRPr="0071286E" w:rsidRDefault="0071286E" w:rsidP="0071286E">
            <w:pPr>
              <w:cnfStyle w:val="000000100000" w:firstRow="0" w:lastRow="0" w:firstColumn="0" w:lastColumn="0" w:oddVBand="0" w:evenVBand="0" w:oddHBand="1" w:evenHBand="0" w:firstRowFirstColumn="0" w:firstRowLastColumn="0" w:lastRowFirstColumn="0" w:lastRowLastColumn="0"/>
            </w:pPr>
            <w:r w:rsidRPr="0071286E">
              <w:t>22%</w:t>
            </w:r>
          </w:p>
        </w:tc>
        <w:tc>
          <w:tcPr>
            <w:tcW w:w="1260" w:type="dxa"/>
            <w:noWrap/>
            <w:hideMark/>
          </w:tcPr>
          <w:p w14:paraId="5A1A5335"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N/A</w:t>
            </w:r>
          </w:p>
        </w:tc>
      </w:tr>
      <w:tr w:rsidR="005D0B37" w:rsidRPr="0071286E" w14:paraId="76E317FD" w14:textId="77777777" w:rsidTr="000038D2">
        <w:trPr>
          <w:trHeight w:val="300"/>
          <w:jc w:val="center"/>
        </w:trPr>
        <w:tc>
          <w:tcPr>
            <w:cnfStyle w:val="001000000000" w:firstRow="0" w:lastRow="0" w:firstColumn="1" w:lastColumn="0" w:oddVBand="0" w:evenVBand="0" w:oddHBand="0" w:evenHBand="0" w:firstRowFirstColumn="0" w:firstRowLastColumn="0" w:lastRowFirstColumn="0" w:lastRowLastColumn="0"/>
            <w:tcW w:w="1047" w:type="dxa"/>
            <w:noWrap/>
            <w:hideMark/>
          </w:tcPr>
          <w:p w14:paraId="25DA100D" w14:textId="77777777" w:rsidR="0071286E" w:rsidRPr="0071286E" w:rsidRDefault="0071286E">
            <w:r w:rsidRPr="0071286E">
              <w:t>Existing Buildings</w:t>
            </w:r>
          </w:p>
        </w:tc>
        <w:tc>
          <w:tcPr>
            <w:tcW w:w="4907" w:type="dxa"/>
            <w:noWrap/>
            <w:hideMark/>
          </w:tcPr>
          <w:p w14:paraId="39A694FF"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Gas Griddle</w:t>
            </w:r>
          </w:p>
        </w:tc>
        <w:tc>
          <w:tcPr>
            <w:tcW w:w="1135" w:type="dxa"/>
            <w:noWrap/>
            <w:hideMark/>
          </w:tcPr>
          <w:p w14:paraId="46AEBF0C"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From 1.24 to 1.5</w:t>
            </w:r>
          </w:p>
        </w:tc>
        <w:tc>
          <w:tcPr>
            <w:tcW w:w="1186" w:type="dxa"/>
            <w:noWrap/>
            <w:hideMark/>
          </w:tcPr>
          <w:p w14:paraId="38E402FB" w14:textId="77777777" w:rsidR="0071286E" w:rsidRPr="0071286E" w:rsidRDefault="0071286E" w:rsidP="0071286E">
            <w:pPr>
              <w:cnfStyle w:val="000000000000" w:firstRow="0" w:lastRow="0" w:firstColumn="0" w:lastColumn="0" w:oddVBand="0" w:evenVBand="0" w:oddHBand="0" w:evenHBand="0" w:firstRowFirstColumn="0" w:firstRowLastColumn="0" w:lastRowFirstColumn="0" w:lastRowLastColumn="0"/>
            </w:pPr>
            <w:r w:rsidRPr="0071286E">
              <w:t>21%</w:t>
            </w:r>
          </w:p>
        </w:tc>
        <w:tc>
          <w:tcPr>
            <w:tcW w:w="1260" w:type="dxa"/>
            <w:noWrap/>
            <w:hideMark/>
          </w:tcPr>
          <w:p w14:paraId="1E5325F0"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N/A</w:t>
            </w:r>
          </w:p>
        </w:tc>
      </w:tr>
      <w:tr w:rsidR="005D0B37" w:rsidRPr="0071286E" w14:paraId="3CAED9F3" w14:textId="77777777" w:rsidTr="000038D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7" w:type="dxa"/>
            <w:noWrap/>
            <w:hideMark/>
          </w:tcPr>
          <w:p w14:paraId="011C40C5" w14:textId="77777777" w:rsidR="0071286E" w:rsidRPr="0071286E" w:rsidRDefault="0071286E">
            <w:r w:rsidRPr="0071286E">
              <w:t>Existing Buildings</w:t>
            </w:r>
          </w:p>
        </w:tc>
        <w:tc>
          <w:tcPr>
            <w:tcW w:w="4907" w:type="dxa"/>
            <w:noWrap/>
            <w:hideMark/>
          </w:tcPr>
          <w:p w14:paraId="33ED82C9"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Roof Insulation R-5 to R-20 gas heat</w:t>
            </w:r>
          </w:p>
        </w:tc>
        <w:tc>
          <w:tcPr>
            <w:tcW w:w="1135" w:type="dxa"/>
            <w:noWrap/>
            <w:hideMark/>
          </w:tcPr>
          <w:p w14:paraId="39BF1BDC"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From 1.28 to 1.52</w:t>
            </w:r>
          </w:p>
        </w:tc>
        <w:tc>
          <w:tcPr>
            <w:tcW w:w="1186" w:type="dxa"/>
            <w:noWrap/>
            <w:hideMark/>
          </w:tcPr>
          <w:p w14:paraId="739C86CC" w14:textId="77777777" w:rsidR="0071286E" w:rsidRPr="0071286E" w:rsidRDefault="0071286E" w:rsidP="0071286E">
            <w:pPr>
              <w:cnfStyle w:val="000000100000" w:firstRow="0" w:lastRow="0" w:firstColumn="0" w:lastColumn="0" w:oddVBand="0" w:evenVBand="0" w:oddHBand="1" w:evenHBand="0" w:firstRowFirstColumn="0" w:firstRowLastColumn="0" w:lastRowFirstColumn="0" w:lastRowLastColumn="0"/>
            </w:pPr>
            <w:r w:rsidRPr="0071286E">
              <w:t>19%</w:t>
            </w:r>
          </w:p>
        </w:tc>
        <w:tc>
          <w:tcPr>
            <w:tcW w:w="1260" w:type="dxa"/>
            <w:noWrap/>
            <w:hideMark/>
          </w:tcPr>
          <w:p w14:paraId="56EC275C" w14:textId="77777777" w:rsidR="0071286E" w:rsidRPr="0071286E" w:rsidRDefault="0071286E" w:rsidP="0071286E">
            <w:pPr>
              <w:cnfStyle w:val="000000100000" w:firstRow="0" w:lastRow="0" w:firstColumn="0" w:lastColumn="0" w:oddVBand="0" w:evenVBand="0" w:oddHBand="1" w:evenHBand="0" w:firstRowFirstColumn="0" w:firstRowLastColumn="0" w:lastRowFirstColumn="0" w:lastRowLastColumn="0"/>
            </w:pPr>
            <w:r w:rsidRPr="0071286E">
              <w:t>3.30%</w:t>
            </w:r>
          </w:p>
        </w:tc>
      </w:tr>
      <w:tr w:rsidR="005D0B37" w:rsidRPr="0071286E" w14:paraId="2DEFB4E3" w14:textId="77777777" w:rsidTr="000038D2">
        <w:trPr>
          <w:trHeight w:val="300"/>
          <w:jc w:val="center"/>
        </w:trPr>
        <w:tc>
          <w:tcPr>
            <w:cnfStyle w:val="001000000000" w:firstRow="0" w:lastRow="0" w:firstColumn="1" w:lastColumn="0" w:oddVBand="0" w:evenVBand="0" w:oddHBand="0" w:evenHBand="0" w:firstRowFirstColumn="0" w:firstRowLastColumn="0" w:lastRowFirstColumn="0" w:lastRowLastColumn="0"/>
            <w:tcW w:w="1047" w:type="dxa"/>
            <w:noWrap/>
            <w:hideMark/>
          </w:tcPr>
          <w:p w14:paraId="1AEC1DD7" w14:textId="77777777" w:rsidR="0071286E" w:rsidRPr="0071286E" w:rsidRDefault="0071286E">
            <w:r w:rsidRPr="0071286E">
              <w:t>Existing Buildings</w:t>
            </w:r>
          </w:p>
        </w:tc>
        <w:tc>
          <w:tcPr>
            <w:tcW w:w="4907" w:type="dxa"/>
            <w:noWrap/>
            <w:hideMark/>
          </w:tcPr>
          <w:p w14:paraId="6F417D6C"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Attic Insulation R-19 to R-38 gas heat</w:t>
            </w:r>
          </w:p>
        </w:tc>
        <w:tc>
          <w:tcPr>
            <w:tcW w:w="1135" w:type="dxa"/>
            <w:noWrap/>
            <w:hideMark/>
          </w:tcPr>
          <w:p w14:paraId="3E757A8A"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From 1.42 to 1.69</w:t>
            </w:r>
          </w:p>
        </w:tc>
        <w:tc>
          <w:tcPr>
            <w:tcW w:w="1186" w:type="dxa"/>
            <w:noWrap/>
            <w:hideMark/>
          </w:tcPr>
          <w:p w14:paraId="3BEAE5F6" w14:textId="77777777" w:rsidR="0071286E" w:rsidRPr="0071286E" w:rsidRDefault="0071286E" w:rsidP="0071286E">
            <w:pPr>
              <w:cnfStyle w:val="000000000000" w:firstRow="0" w:lastRow="0" w:firstColumn="0" w:lastColumn="0" w:oddVBand="0" w:evenVBand="0" w:oddHBand="0" w:evenHBand="0" w:firstRowFirstColumn="0" w:firstRowLastColumn="0" w:lastRowFirstColumn="0" w:lastRowLastColumn="0"/>
            </w:pPr>
            <w:r w:rsidRPr="0071286E">
              <w:t>19%</w:t>
            </w:r>
          </w:p>
        </w:tc>
        <w:tc>
          <w:tcPr>
            <w:tcW w:w="1260" w:type="dxa"/>
            <w:noWrap/>
            <w:hideMark/>
          </w:tcPr>
          <w:p w14:paraId="3D84E270" w14:textId="77777777" w:rsidR="0071286E" w:rsidRPr="0071286E" w:rsidRDefault="0071286E" w:rsidP="0071286E">
            <w:pPr>
              <w:cnfStyle w:val="000000000000" w:firstRow="0" w:lastRow="0" w:firstColumn="0" w:lastColumn="0" w:oddVBand="0" w:evenVBand="0" w:oddHBand="0" w:evenHBand="0" w:firstRowFirstColumn="0" w:firstRowLastColumn="0" w:lastRowFirstColumn="0" w:lastRowLastColumn="0"/>
            </w:pPr>
            <w:r w:rsidRPr="0071286E">
              <w:t>0.50%</w:t>
            </w:r>
          </w:p>
        </w:tc>
      </w:tr>
      <w:tr w:rsidR="005D0B37" w:rsidRPr="0071286E" w14:paraId="6D4B719E" w14:textId="77777777" w:rsidTr="000038D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7" w:type="dxa"/>
            <w:noWrap/>
            <w:hideMark/>
          </w:tcPr>
          <w:p w14:paraId="5FFB25E8" w14:textId="77777777" w:rsidR="0071286E" w:rsidRPr="0071286E" w:rsidRDefault="0071286E">
            <w:r w:rsidRPr="0071286E">
              <w:t>Existing Buildings</w:t>
            </w:r>
          </w:p>
        </w:tc>
        <w:tc>
          <w:tcPr>
            <w:tcW w:w="4907" w:type="dxa"/>
            <w:noWrap/>
            <w:hideMark/>
          </w:tcPr>
          <w:p w14:paraId="40EA0D06"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Domestic Tankless Water Heaters - Food service</w:t>
            </w:r>
          </w:p>
        </w:tc>
        <w:tc>
          <w:tcPr>
            <w:tcW w:w="1135" w:type="dxa"/>
            <w:noWrap/>
            <w:hideMark/>
          </w:tcPr>
          <w:p w14:paraId="6E026D8D"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From 1.42 to 1.72</w:t>
            </w:r>
          </w:p>
        </w:tc>
        <w:tc>
          <w:tcPr>
            <w:tcW w:w="1186" w:type="dxa"/>
            <w:noWrap/>
            <w:hideMark/>
          </w:tcPr>
          <w:p w14:paraId="6E31BA46" w14:textId="77777777" w:rsidR="0071286E" w:rsidRPr="0071286E" w:rsidRDefault="0071286E" w:rsidP="0071286E">
            <w:pPr>
              <w:cnfStyle w:val="000000100000" w:firstRow="0" w:lastRow="0" w:firstColumn="0" w:lastColumn="0" w:oddVBand="0" w:evenVBand="0" w:oddHBand="1" w:evenHBand="0" w:firstRowFirstColumn="0" w:firstRowLastColumn="0" w:lastRowFirstColumn="0" w:lastRowLastColumn="0"/>
            </w:pPr>
            <w:r w:rsidRPr="0071286E">
              <w:t>21%</w:t>
            </w:r>
          </w:p>
        </w:tc>
        <w:tc>
          <w:tcPr>
            <w:tcW w:w="1260" w:type="dxa"/>
            <w:noWrap/>
            <w:hideMark/>
          </w:tcPr>
          <w:p w14:paraId="04C3F99B" w14:textId="77777777" w:rsidR="0071286E" w:rsidRPr="0071286E" w:rsidRDefault="0071286E">
            <w:pPr>
              <w:cnfStyle w:val="000000100000" w:firstRow="0" w:lastRow="0" w:firstColumn="0" w:lastColumn="0" w:oddVBand="0" w:evenVBand="0" w:oddHBand="1" w:evenHBand="0" w:firstRowFirstColumn="0" w:firstRowLastColumn="0" w:lastRowFirstColumn="0" w:lastRowLastColumn="0"/>
            </w:pPr>
            <w:r w:rsidRPr="0071286E">
              <w:t>N/A</w:t>
            </w:r>
          </w:p>
        </w:tc>
      </w:tr>
      <w:tr w:rsidR="005D0B37" w:rsidRPr="0071286E" w14:paraId="075D98E5" w14:textId="77777777" w:rsidTr="000038D2">
        <w:trPr>
          <w:trHeight w:val="300"/>
          <w:jc w:val="center"/>
        </w:trPr>
        <w:tc>
          <w:tcPr>
            <w:cnfStyle w:val="001000000000" w:firstRow="0" w:lastRow="0" w:firstColumn="1" w:lastColumn="0" w:oddVBand="0" w:evenVBand="0" w:oddHBand="0" w:evenHBand="0" w:firstRowFirstColumn="0" w:firstRowLastColumn="0" w:lastRowFirstColumn="0" w:lastRowLastColumn="0"/>
            <w:tcW w:w="1047" w:type="dxa"/>
            <w:noWrap/>
            <w:hideMark/>
          </w:tcPr>
          <w:p w14:paraId="0252B117" w14:textId="77777777" w:rsidR="0071286E" w:rsidRPr="0071286E" w:rsidRDefault="0071286E">
            <w:r w:rsidRPr="0071286E">
              <w:t>Existing Buildings</w:t>
            </w:r>
          </w:p>
        </w:tc>
        <w:tc>
          <w:tcPr>
            <w:tcW w:w="4907" w:type="dxa"/>
            <w:noWrap/>
            <w:hideMark/>
          </w:tcPr>
          <w:p w14:paraId="3960680B"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Gas Combination Ovens</w:t>
            </w:r>
          </w:p>
        </w:tc>
        <w:tc>
          <w:tcPr>
            <w:tcW w:w="1135" w:type="dxa"/>
            <w:noWrap/>
            <w:hideMark/>
          </w:tcPr>
          <w:p w14:paraId="428439AD" w14:textId="77777777" w:rsidR="0071286E" w:rsidRPr="0071286E" w:rsidRDefault="0071286E">
            <w:pPr>
              <w:cnfStyle w:val="000000000000" w:firstRow="0" w:lastRow="0" w:firstColumn="0" w:lastColumn="0" w:oddVBand="0" w:evenVBand="0" w:oddHBand="0" w:evenHBand="0" w:firstRowFirstColumn="0" w:firstRowLastColumn="0" w:lastRowFirstColumn="0" w:lastRowLastColumn="0"/>
            </w:pPr>
            <w:r w:rsidRPr="0071286E">
              <w:t>From 1.63 to 1.98</w:t>
            </w:r>
          </w:p>
        </w:tc>
        <w:tc>
          <w:tcPr>
            <w:tcW w:w="1186" w:type="dxa"/>
            <w:noWrap/>
            <w:hideMark/>
          </w:tcPr>
          <w:p w14:paraId="65A57DDC" w14:textId="77777777" w:rsidR="0071286E" w:rsidRPr="0071286E" w:rsidRDefault="0071286E" w:rsidP="0071286E">
            <w:pPr>
              <w:cnfStyle w:val="000000000000" w:firstRow="0" w:lastRow="0" w:firstColumn="0" w:lastColumn="0" w:oddVBand="0" w:evenVBand="0" w:oddHBand="0" w:evenHBand="0" w:firstRowFirstColumn="0" w:firstRowLastColumn="0" w:lastRowFirstColumn="0" w:lastRowLastColumn="0"/>
            </w:pPr>
            <w:r w:rsidRPr="0071286E">
              <w:t>21%</w:t>
            </w:r>
          </w:p>
        </w:tc>
        <w:tc>
          <w:tcPr>
            <w:tcW w:w="1260" w:type="dxa"/>
            <w:noWrap/>
            <w:hideMark/>
          </w:tcPr>
          <w:p w14:paraId="18DA3CDD" w14:textId="77777777" w:rsidR="0071286E" w:rsidRPr="0071286E" w:rsidRDefault="0071286E" w:rsidP="0071286E">
            <w:pPr>
              <w:cnfStyle w:val="000000000000" w:firstRow="0" w:lastRow="0" w:firstColumn="0" w:lastColumn="0" w:oddVBand="0" w:evenVBand="0" w:oddHBand="0" w:evenHBand="0" w:firstRowFirstColumn="0" w:firstRowLastColumn="0" w:lastRowFirstColumn="0" w:lastRowLastColumn="0"/>
            </w:pPr>
            <w:r w:rsidRPr="0071286E">
              <w:t>1.00%</w:t>
            </w:r>
          </w:p>
        </w:tc>
      </w:tr>
    </w:tbl>
    <w:p w14:paraId="2CBF3BEB" w14:textId="77777777" w:rsidR="00085B19" w:rsidRDefault="00085B19"/>
    <w:p w14:paraId="3F6A7F16" w14:textId="52C143CF" w:rsidR="004C6540" w:rsidRPr="0073246C" w:rsidRDefault="00CA6D4D" w:rsidP="004C6540">
      <w:r w:rsidRPr="0073246C">
        <w:t>One planned measure</w:t>
      </w:r>
      <w:r w:rsidR="004C6540" w:rsidRPr="0073246C">
        <w:t xml:space="preserve"> move</w:t>
      </w:r>
      <w:r w:rsidRPr="0073246C">
        <w:t>s</w:t>
      </w:r>
      <w:r w:rsidR="004C6540" w:rsidRPr="0073246C">
        <w:t xml:space="preserve"> above the 1.0 UCT threshold due to changes in the value of AC. </w:t>
      </w:r>
      <w:r w:rsidR="000C50F0" w:rsidRPr="0073246C">
        <w:t xml:space="preserve">The dishwasher measure moved from a 0.90 to a </w:t>
      </w:r>
      <w:r w:rsidRPr="0073246C">
        <w:t>1.10</w:t>
      </w:r>
      <w:r w:rsidR="000C50F0" w:rsidRPr="0073246C">
        <w:t xml:space="preserve"> with the Washington-only AC. This measure appears to have escaped updating by our engineering team over the last </w:t>
      </w:r>
      <w:r w:rsidR="00A4509A" w:rsidRPr="0073246C">
        <w:t>year or two</w:t>
      </w:r>
      <w:r w:rsidR="000C50F0" w:rsidRPr="0073246C">
        <w:t>, likely due to its low priority/</w:t>
      </w:r>
      <w:r w:rsidRPr="0073246C">
        <w:t xml:space="preserve">customer </w:t>
      </w:r>
      <w:r w:rsidR="000C50F0" w:rsidRPr="0073246C">
        <w:t>uptake</w:t>
      </w:r>
      <w:r w:rsidR="00A4509A" w:rsidRPr="0073246C">
        <w:t xml:space="preserve"> (No uptake in 2014-2015)</w:t>
      </w:r>
      <w:r w:rsidR="000C50F0" w:rsidRPr="0073246C">
        <w:t xml:space="preserve">. </w:t>
      </w:r>
      <w:r w:rsidR="0038293F" w:rsidRPr="0073246C">
        <w:t xml:space="preserve">Occasionally, measures remain slightly below their cost-effective threshold </w:t>
      </w:r>
      <w:r w:rsidRPr="0073246C">
        <w:t>when ACs change</w:t>
      </w:r>
      <w:r w:rsidR="0073246C" w:rsidRPr="0073246C">
        <w:t>,</w:t>
      </w:r>
      <w:r w:rsidRPr="0073246C">
        <w:t xml:space="preserve"> </w:t>
      </w:r>
      <w:r w:rsidR="0038293F" w:rsidRPr="0073246C">
        <w:t>until they are reviewed t</w:t>
      </w:r>
      <w:r w:rsidR="0073246C" w:rsidRPr="0073246C">
        <w:t>he following year. This measure’s incentive was set to match the offering in Oregon and with water NEBs has a strong TRC. T</w:t>
      </w:r>
      <w:r w:rsidR="000C50F0" w:rsidRPr="0073246C">
        <w:t xml:space="preserve">he </w:t>
      </w:r>
      <w:r w:rsidR="0073246C" w:rsidRPr="0073246C">
        <w:t xml:space="preserve">WA-only </w:t>
      </w:r>
      <w:r w:rsidR="000C50F0" w:rsidRPr="0073246C">
        <w:t xml:space="preserve">AC </w:t>
      </w:r>
      <w:r w:rsidR="0073246C" w:rsidRPr="0073246C">
        <w:t>has a</w:t>
      </w:r>
      <w:r w:rsidR="000C50F0" w:rsidRPr="0073246C">
        <w:t xml:space="preserve"> material impact on the measure’s current status</w:t>
      </w:r>
      <w:r w:rsidR="0073246C" w:rsidRPr="0073246C">
        <w:t xml:space="preserve"> by pushing it above a 1.0 but does not alter the program’s plan or incentive level.</w:t>
      </w:r>
      <w:r w:rsidR="000C50F0" w:rsidRPr="0073246C">
        <w:t xml:space="preserve"> </w:t>
      </w:r>
      <w:r w:rsidR="0038293F" w:rsidRPr="0073246C">
        <w:t xml:space="preserve">The steam trap measure for schools </w:t>
      </w:r>
      <w:r w:rsidR="004C6540" w:rsidRPr="0073246C">
        <w:t>score</w:t>
      </w:r>
      <w:r w:rsidR="000C50F0" w:rsidRPr="0073246C">
        <w:t>s</w:t>
      </w:r>
      <w:r w:rsidR="004C6540" w:rsidRPr="0073246C">
        <w:t xml:space="preserve"> </w:t>
      </w:r>
      <w:r w:rsidR="0073246C" w:rsidRPr="0073246C">
        <w:t xml:space="preserve">slightly (insignificantly) </w:t>
      </w:r>
      <w:r w:rsidR="004C6540" w:rsidRPr="0073246C">
        <w:t xml:space="preserve">below the 1.0 threshold </w:t>
      </w:r>
      <w:r w:rsidR="000C50F0" w:rsidRPr="0073246C">
        <w:t>when showed to the hundredth digit (Energy Trust reports to the ‘tenth’ digit, at which point these measure round to 1.0)</w:t>
      </w:r>
      <w:r w:rsidR="0038293F" w:rsidRPr="0073246C">
        <w:t xml:space="preserve"> and </w:t>
      </w:r>
      <w:r w:rsidR="0073246C" w:rsidRPr="0073246C">
        <w:t xml:space="preserve">is measurably impacted by the WA-only AC. Its UCT moves to a 1.2 and strengthens the measure, but its incentive </w:t>
      </w:r>
      <w:r w:rsidR="0038293F" w:rsidRPr="0073246C">
        <w:t xml:space="preserve">would not be </w:t>
      </w:r>
      <w:r w:rsidR="0073246C" w:rsidRPr="0073246C">
        <w:t>changed</w:t>
      </w:r>
      <w:r w:rsidR="0038293F" w:rsidRPr="0073246C">
        <w:t xml:space="preserve"> due to using either AC value.</w:t>
      </w:r>
    </w:p>
    <w:p w14:paraId="739A4B3A" w14:textId="77777777" w:rsidR="00BA0426" w:rsidRPr="00CB561F" w:rsidRDefault="00BA0426" w:rsidP="00BA0426">
      <w:pPr>
        <w:rPr>
          <w:b/>
          <w:color w:val="000000"/>
          <w:u w:val="single"/>
        </w:rPr>
      </w:pPr>
      <w:r>
        <w:rPr>
          <w:b/>
          <w:color w:val="000000"/>
          <w:u w:val="single"/>
        </w:rPr>
        <w:lastRenderedPageBreak/>
        <w:t xml:space="preserve">Commercial: </w:t>
      </w:r>
      <w:r w:rsidRPr="00CB561F">
        <w:rPr>
          <w:b/>
          <w:color w:val="000000"/>
          <w:u w:val="single"/>
        </w:rPr>
        <w:t>T</w:t>
      </w:r>
      <w:r>
        <w:rPr>
          <w:b/>
          <w:color w:val="000000"/>
          <w:u w:val="single"/>
        </w:rPr>
        <w:t>RC</w:t>
      </w:r>
    </w:p>
    <w:p w14:paraId="0144E0EB" w14:textId="47D80309" w:rsidR="00BA0426" w:rsidRPr="0073246C" w:rsidRDefault="00BA0426" w:rsidP="00BA0426">
      <w:r w:rsidRPr="0073246C">
        <w:t xml:space="preserve">The impact to TRC on a per measure basis ranges between </w:t>
      </w:r>
      <w:r w:rsidR="0073246C" w:rsidRPr="0073246C">
        <w:t>1-22</w:t>
      </w:r>
      <w:r w:rsidRPr="0073246C">
        <w:t xml:space="preserve">%. The impact to AC and the TRC score differ in </w:t>
      </w:r>
      <w:r w:rsidR="00A4509A" w:rsidRPr="0073246C">
        <w:t>some</w:t>
      </w:r>
      <w:r w:rsidRPr="0073246C">
        <w:t xml:space="preserve"> measures because of the presence of NEBs on the benefit side of the ratio. The distribution of</w:t>
      </w:r>
      <w:r w:rsidR="00D07BD2">
        <w:t xml:space="preserve"> this impact is shown in Table 8</w:t>
      </w:r>
      <w:r w:rsidRPr="0073246C">
        <w:t>.</w:t>
      </w:r>
      <w:r w:rsidR="00A4509A" w:rsidRPr="0073246C">
        <w:t xml:space="preserve"> </w:t>
      </w:r>
    </w:p>
    <w:p w14:paraId="4A7539C3" w14:textId="4C00A7BA" w:rsidR="00BA0426" w:rsidRPr="00BA0426" w:rsidRDefault="00D07BD2" w:rsidP="00BA0426">
      <w:pPr>
        <w:spacing w:after="120"/>
        <w:rPr>
          <w:b/>
        </w:rPr>
      </w:pPr>
      <w:r>
        <w:rPr>
          <w:b/>
        </w:rPr>
        <w:t>Table 8</w:t>
      </w:r>
      <w:r w:rsidR="00BA0426" w:rsidRPr="00362E69">
        <w:rPr>
          <w:b/>
        </w:rPr>
        <w:t>.</w:t>
      </w:r>
      <w:r w:rsidR="00BA0426">
        <w:rPr>
          <w:b/>
        </w:rPr>
        <w:t xml:space="preserve"> Showing the range of % change to TRC BCR. Includes # and % of measures impacted.</w:t>
      </w:r>
    </w:p>
    <w:tbl>
      <w:tblPr>
        <w:tblStyle w:val="PlainTable11"/>
        <w:tblW w:w="0" w:type="auto"/>
        <w:jc w:val="center"/>
        <w:tblLook w:val="04A0" w:firstRow="1" w:lastRow="0" w:firstColumn="1" w:lastColumn="0" w:noHBand="0" w:noVBand="1"/>
      </w:tblPr>
      <w:tblGrid>
        <w:gridCol w:w="1615"/>
        <w:gridCol w:w="2340"/>
        <w:gridCol w:w="1170"/>
      </w:tblGrid>
      <w:tr w:rsidR="00D652BD" w:rsidRPr="00D652BD" w14:paraId="3BA93200" w14:textId="77777777" w:rsidTr="00D652B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tcBorders>
              <w:bottom w:val="single" w:sz="4" w:space="0" w:color="auto"/>
            </w:tcBorders>
            <w:noWrap/>
            <w:hideMark/>
          </w:tcPr>
          <w:p w14:paraId="0E35D5FF" w14:textId="77777777" w:rsidR="00D652BD" w:rsidRPr="00D652BD" w:rsidRDefault="00D652BD">
            <w:r w:rsidRPr="00D652BD">
              <w:t>% Change  TRC</w:t>
            </w:r>
          </w:p>
        </w:tc>
        <w:tc>
          <w:tcPr>
            <w:tcW w:w="2340" w:type="dxa"/>
            <w:tcBorders>
              <w:bottom w:val="single" w:sz="4" w:space="0" w:color="auto"/>
            </w:tcBorders>
            <w:noWrap/>
            <w:hideMark/>
          </w:tcPr>
          <w:p w14:paraId="425F42A5" w14:textId="77777777" w:rsidR="00D652BD" w:rsidRPr="00D652BD" w:rsidRDefault="00D652BD">
            <w:pPr>
              <w:cnfStyle w:val="100000000000" w:firstRow="1" w:lastRow="0" w:firstColumn="0" w:lastColumn="0" w:oddVBand="0" w:evenVBand="0" w:oddHBand="0" w:evenHBand="0" w:firstRowFirstColumn="0" w:firstRowLastColumn="0" w:lastRowFirstColumn="0" w:lastRowLastColumn="0"/>
            </w:pPr>
            <w:r w:rsidRPr="00D652BD">
              <w:t># of affected measures</w:t>
            </w:r>
          </w:p>
        </w:tc>
        <w:tc>
          <w:tcPr>
            <w:tcW w:w="1170" w:type="dxa"/>
            <w:tcBorders>
              <w:bottom w:val="single" w:sz="4" w:space="0" w:color="auto"/>
            </w:tcBorders>
            <w:noWrap/>
            <w:hideMark/>
          </w:tcPr>
          <w:p w14:paraId="5B8C97D2" w14:textId="77777777" w:rsidR="00D652BD" w:rsidRPr="00D652BD" w:rsidRDefault="00D652BD">
            <w:pPr>
              <w:cnfStyle w:val="100000000000" w:firstRow="1" w:lastRow="0" w:firstColumn="0" w:lastColumn="0" w:oddVBand="0" w:evenVBand="0" w:oddHBand="0" w:evenHBand="0" w:firstRowFirstColumn="0" w:firstRowLastColumn="0" w:lastRowFirstColumn="0" w:lastRowLastColumn="0"/>
            </w:pPr>
            <w:r w:rsidRPr="00D652BD">
              <w:t>% of Total</w:t>
            </w:r>
          </w:p>
        </w:tc>
      </w:tr>
      <w:tr w:rsidR="00D652BD" w:rsidRPr="00D652BD" w14:paraId="62111C9F" w14:textId="77777777" w:rsidTr="00D652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tcBorders>
            <w:noWrap/>
            <w:hideMark/>
          </w:tcPr>
          <w:p w14:paraId="64EFF441" w14:textId="77777777" w:rsidR="00D652BD" w:rsidRPr="00D652BD" w:rsidRDefault="00D652BD" w:rsidP="00D652BD">
            <w:pPr>
              <w:jc w:val="center"/>
            </w:pPr>
            <w:r w:rsidRPr="00D652BD">
              <w:t>1%</w:t>
            </w:r>
          </w:p>
        </w:tc>
        <w:tc>
          <w:tcPr>
            <w:tcW w:w="2340" w:type="dxa"/>
            <w:tcBorders>
              <w:top w:val="single" w:sz="4" w:space="0" w:color="auto"/>
            </w:tcBorders>
            <w:noWrap/>
            <w:hideMark/>
          </w:tcPr>
          <w:p w14:paraId="647A3BAD"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2</w:t>
            </w:r>
          </w:p>
        </w:tc>
        <w:tc>
          <w:tcPr>
            <w:tcW w:w="1170" w:type="dxa"/>
            <w:tcBorders>
              <w:top w:val="single" w:sz="4" w:space="0" w:color="auto"/>
            </w:tcBorders>
            <w:noWrap/>
            <w:hideMark/>
          </w:tcPr>
          <w:p w14:paraId="4050426D"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4%</w:t>
            </w:r>
          </w:p>
        </w:tc>
      </w:tr>
      <w:tr w:rsidR="00D652BD" w:rsidRPr="00D652BD" w14:paraId="1093571D" w14:textId="77777777" w:rsidTr="00D652BD">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583F579" w14:textId="77777777" w:rsidR="00D652BD" w:rsidRPr="00D652BD" w:rsidRDefault="00D652BD" w:rsidP="00D652BD">
            <w:pPr>
              <w:jc w:val="center"/>
            </w:pPr>
            <w:r w:rsidRPr="00D652BD">
              <w:t>2%</w:t>
            </w:r>
          </w:p>
        </w:tc>
        <w:tc>
          <w:tcPr>
            <w:tcW w:w="2340" w:type="dxa"/>
            <w:noWrap/>
            <w:hideMark/>
          </w:tcPr>
          <w:p w14:paraId="726D0A81"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2</w:t>
            </w:r>
          </w:p>
        </w:tc>
        <w:tc>
          <w:tcPr>
            <w:tcW w:w="1170" w:type="dxa"/>
            <w:noWrap/>
            <w:hideMark/>
          </w:tcPr>
          <w:p w14:paraId="5C38F81D"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4%</w:t>
            </w:r>
          </w:p>
        </w:tc>
      </w:tr>
      <w:tr w:rsidR="00D652BD" w:rsidRPr="00D652BD" w14:paraId="4E528BAC" w14:textId="77777777" w:rsidTr="00D652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7F81C08F" w14:textId="77777777" w:rsidR="00D652BD" w:rsidRPr="00D652BD" w:rsidRDefault="00D652BD" w:rsidP="00D652BD">
            <w:pPr>
              <w:jc w:val="center"/>
            </w:pPr>
            <w:r w:rsidRPr="00D652BD">
              <w:t>3%</w:t>
            </w:r>
          </w:p>
        </w:tc>
        <w:tc>
          <w:tcPr>
            <w:tcW w:w="2340" w:type="dxa"/>
            <w:noWrap/>
            <w:hideMark/>
          </w:tcPr>
          <w:p w14:paraId="2FC523AA"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4</w:t>
            </w:r>
          </w:p>
        </w:tc>
        <w:tc>
          <w:tcPr>
            <w:tcW w:w="1170" w:type="dxa"/>
            <w:noWrap/>
            <w:hideMark/>
          </w:tcPr>
          <w:p w14:paraId="38F5F205"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8%</w:t>
            </w:r>
          </w:p>
        </w:tc>
      </w:tr>
      <w:tr w:rsidR="00D652BD" w:rsidRPr="00D652BD" w14:paraId="12E46757" w14:textId="77777777" w:rsidTr="00D652BD">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FC527DD" w14:textId="77777777" w:rsidR="00D652BD" w:rsidRPr="00D652BD" w:rsidRDefault="00D652BD" w:rsidP="00D652BD">
            <w:pPr>
              <w:jc w:val="center"/>
            </w:pPr>
            <w:r w:rsidRPr="00D652BD">
              <w:t>5%</w:t>
            </w:r>
          </w:p>
        </w:tc>
        <w:tc>
          <w:tcPr>
            <w:tcW w:w="2340" w:type="dxa"/>
            <w:noWrap/>
            <w:hideMark/>
          </w:tcPr>
          <w:p w14:paraId="59973614"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1</w:t>
            </w:r>
          </w:p>
        </w:tc>
        <w:tc>
          <w:tcPr>
            <w:tcW w:w="1170" w:type="dxa"/>
            <w:noWrap/>
            <w:hideMark/>
          </w:tcPr>
          <w:p w14:paraId="19029395"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2%</w:t>
            </w:r>
          </w:p>
        </w:tc>
      </w:tr>
      <w:tr w:rsidR="00D652BD" w:rsidRPr="00D652BD" w14:paraId="1B415D73" w14:textId="77777777" w:rsidTr="00D652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5F5D2E86" w14:textId="77777777" w:rsidR="00D652BD" w:rsidRPr="00D652BD" w:rsidRDefault="00D652BD" w:rsidP="00D652BD">
            <w:pPr>
              <w:jc w:val="center"/>
            </w:pPr>
            <w:r w:rsidRPr="00D652BD">
              <w:t>7%</w:t>
            </w:r>
          </w:p>
        </w:tc>
        <w:tc>
          <w:tcPr>
            <w:tcW w:w="2340" w:type="dxa"/>
            <w:noWrap/>
            <w:hideMark/>
          </w:tcPr>
          <w:p w14:paraId="14CEB42F"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1</w:t>
            </w:r>
          </w:p>
        </w:tc>
        <w:tc>
          <w:tcPr>
            <w:tcW w:w="1170" w:type="dxa"/>
            <w:noWrap/>
            <w:hideMark/>
          </w:tcPr>
          <w:p w14:paraId="58E318F5"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2%</w:t>
            </w:r>
          </w:p>
        </w:tc>
      </w:tr>
      <w:tr w:rsidR="00D652BD" w:rsidRPr="00D652BD" w14:paraId="0AB70998" w14:textId="77777777" w:rsidTr="00D652BD">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35AAD494" w14:textId="77777777" w:rsidR="00D652BD" w:rsidRPr="00D652BD" w:rsidRDefault="00D652BD" w:rsidP="00D652BD">
            <w:pPr>
              <w:jc w:val="center"/>
            </w:pPr>
            <w:r w:rsidRPr="00D652BD">
              <w:t>13%</w:t>
            </w:r>
          </w:p>
        </w:tc>
        <w:tc>
          <w:tcPr>
            <w:tcW w:w="2340" w:type="dxa"/>
            <w:noWrap/>
            <w:hideMark/>
          </w:tcPr>
          <w:p w14:paraId="75A9F666"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5</w:t>
            </w:r>
          </w:p>
        </w:tc>
        <w:tc>
          <w:tcPr>
            <w:tcW w:w="1170" w:type="dxa"/>
            <w:noWrap/>
            <w:hideMark/>
          </w:tcPr>
          <w:p w14:paraId="145E8F95"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9%</w:t>
            </w:r>
          </w:p>
        </w:tc>
      </w:tr>
      <w:tr w:rsidR="00D652BD" w:rsidRPr="00D652BD" w14:paraId="5513860A" w14:textId="77777777" w:rsidTr="00D652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AF7C41E" w14:textId="77777777" w:rsidR="00D652BD" w:rsidRPr="00D652BD" w:rsidRDefault="00D652BD" w:rsidP="00D652BD">
            <w:pPr>
              <w:jc w:val="center"/>
            </w:pPr>
            <w:r w:rsidRPr="00D652BD">
              <w:t>18%</w:t>
            </w:r>
          </w:p>
        </w:tc>
        <w:tc>
          <w:tcPr>
            <w:tcW w:w="2340" w:type="dxa"/>
            <w:noWrap/>
            <w:hideMark/>
          </w:tcPr>
          <w:p w14:paraId="7E2B79B4"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3</w:t>
            </w:r>
          </w:p>
        </w:tc>
        <w:tc>
          <w:tcPr>
            <w:tcW w:w="1170" w:type="dxa"/>
            <w:noWrap/>
            <w:hideMark/>
          </w:tcPr>
          <w:p w14:paraId="64E8E12E"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6%</w:t>
            </w:r>
          </w:p>
        </w:tc>
      </w:tr>
      <w:tr w:rsidR="00D652BD" w:rsidRPr="00D652BD" w14:paraId="7C07AF78" w14:textId="77777777" w:rsidTr="00D652BD">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690A0FC9" w14:textId="77777777" w:rsidR="00D652BD" w:rsidRPr="00D652BD" w:rsidRDefault="00D652BD" w:rsidP="00D652BD">
            <w:pPr>
              <w:jc w:val="center"/>
            </w:pPr>
            <w:r w:rsidRPr="00D652BD">
              <w:t>19%</w:t>
            </w:r>
          </w:p>
        </w:tc>
        <w:tc>
          <w:tcPr>
            <w:tcW w:w="2340" w:type="dxa"/>
            <w:noWrap/>
            <w:hideMark/>
          </w:tcPr>
          <w:p w14:paraId="420C9046"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5</w:t>
            </w:r>
          </w:p>
        </w:tc>
        <w:tc>
          <w:tcPr>
            <w:tcW w:w="1170" w:type="dxa"/>
            <w:noWrap/>
            <w:hideMark/>
          </w:tcPr>
          <w:p w14:paraId="7707A9BD"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9%</w:t>
            </w:r>
          </w:p>
        </w:tc>
      </w:tr>
      <w:tr w:rsidR="00D652BD" w:rsidRPr="00D652BD" w14:paraId="2AEFD5E4" w14:textId="77777777" w:rsidTr="00D652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tcBorders>
              <w:bottom w:val="single" w:sz="4" w:space="0" w:color="BFBFBF" w:themeColor="background1" w:themeShade="BF"/>
            </w:tcBorders>
            <w:noWrap/>
            <w:hideMark/>
          </w:tcPr>
          <w:p w14:paraId="4DE37984" w14:textId="77777777" w:rsidR="00D652BD" w:rsidRPr="00D652BD" w:rsidRDefault="00D652BD" w:rsidP="00D652BD">
            <w:pPr>
              <w:jc w:val="center"/>
            </w:pPr>
            <w:r w:rsidRPr="00D652BD">
              <w:t>21%</w:t>
            </w:r>
          </w:p>
        </w:tc>
        <w:tc>
          <w:tcPr>
            <w:tcW w:w="2340" w:type="dxa"/>
            <w:tcBorders>
              <w:bottom w:val="single" w:sz="4" w:space="0" w:color="BFBFBF" w:themeColor="background1" w:themeShade="BF"/>
            </w:tcBorders>
            <w:noWrap/>
            <w:hideMark/>
          </w:tcPr>
          <w:p w14:paraId="2AB99E96"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22</w:t>
            </w:r>
          </w:p>
        </w:tc>
        <w:tc>
          <w:tcPr>
            <w:tcW w:w="1170" w:type="dxa"/>
            <w:tcBorders>
              <w:bottom w:val="single" w:sz="4" w:space="0" w:color="BFBFBF" w:themeColor="background1" w:themeShade="BF"/>
            </w:tcBorders>
            <w:noWrap/>
            <w:hideMark/>
          </w:tcPr>
          <w:p w14:paraId="2E05ADF8"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42%</w:t>
            </w:r>
          </w:p>
        </w:tc>
      </w:tr>
      <w:tr w:rsidR="00D652BD" w:rsidRPr="00D652BD" w14:paraId="3E5CC222" w14:textId="77777777" w:rsidTr="00D652BD">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tcBorders>
              <w:bottom w:val="single" w:sz="4" w:space="0" w:color="auto"/>
            </w:tcBorders>
            <w:noWrap/>
            <w:hideMark/>
          </w:tcPr>
          <w:p w14:paraId="4DED5AA7" w14:textId="77777777" w:rsidR="00D652BD" w:rsidRPr="00D652BD" w:rsidRDefault="00D652BD" w:rsidP="00D652BD">
            <w:pPr>
              <w:jc w:val="center"/>
            </w:pPr>
            <w:r w:rsidRPr="00D652BD">
              <w:t>22%</w:t>
            </w:r>
          </w:p>
        </w:tc>
        <w:tc>
          <w:tcPr>
            <w:tcW w:w="2340" w:type="dxa"/>
            <w:tcBorders>
              <w:bottom w:val="single" w:sz="4" w:space="0" w:color="auto"/>
            </w:tcBorders>
            <w:noWrap/>
            <w:hideMark/>
          </w:tcPr>
          <w:p w14:paraId="25BB95CE"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8</w:t>
            </w:r>
          </w:p>
        </w:tc>
        <w:tc>
          <w:tcPr>
            <w:tcW w:w="1170" w:type="dxa"/>
            <w:tcBorders>
              <w:bottom w:val="single" w:sz="4" w:space="0" w:color="auto"/>
            </w:tcBorders>
            <w:noWrap/>
            <w:hideMark/>
          </w:tcPr>
          <w:p w14:paraId="286ED136" w14:textId="77777777" w:rsidR="00D652BD" w:rsidRPr="00D652BD" w:rsidRDefault="00D652BD" w:rsidP="00D652BD">
            <w:pPr>
              <w:jc w:val="center"/>
              <w:cnfStyle w:val="000000000000" w:firstRow="0" w:lastRow="0" w:firstColumn="0" w:lastColumn="0" w:oddVBand="0" w:evenVBand="0" w:oddHBand="0" w:evenHBand="0" w:firstRowFirstColumn="0" w:firstRowLastColumn="0" w:lastRowFirstColumn="0" w:lastRowLastColumn="0"/>
            </w:pPr>
            <w:r w:rsidRPr="00D652BD">
              <w:t>15%</w:t>
            </w:r>
          </w:p>
        </w:tc>
      </w:tr>
      <w:tr w:rsidR="00D652BD" w:rsidRPr="00D652BD" w14:paraId="1F48FDBD" w14:textId="77777777" w:rsidTr="00D652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tcBorders>
            <w:noWrap/>
            <w:hideMark/>
          </w:tcPr>
          <w:p w14:paraId="07907111" w14:textId="77777777" w:rsidR="00D652BD" w:rsidRPr="00D652BD" w:rsidRDefault="00D652BD" w:rsidP="00D652BD">
            <w:pPr>
              <w:jc w:val="center"/>
            </w:pPr>
            <w:r w:rsidRPr="00D652BD">
              <w:t>Total</w:t>
            </w:r>
          </w:p>
        </w:tc>
        <w:tc>
          <w:tcPr>
            <w:tcW w:w="2340" w:type="dxa"/>
            <w:tcBorders>
              <w:top w:val="single" w:sz="4" w:space="0" w:color="auto"/>
            </w:tcBorders>
            <w:noWrap/>
            <w:hideMark/>
          </w:tcPr>
          <w:p w14:paraId="4B4E3D11"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53</w:t>
            </w:r>
          </w:p>
        </w:tc>
        <w:tc>
          <w:tcPr>
            <w:tcW w:w="1170" w:type="dxa"/>
            <w:tcBorders>
              <w:top w:val="single" w:sz="4" w:space="0" w:color="auto"/>
            </w:tcBorders>
            <w:noWrap/>
            <w:hideMark/>
          </w:tcPr>
          <w:p w14:paraId="13898F3E" w14:textId="77777777" w:rsidR="00D652BD" w:rsidRPr="00D652BD" w:rsidRDefault="00D652BD" w:rsidP="00D652BD">
            <w:pPr>
              <w:jc w:val="center"/>
              <w:cnfStyle w:val="000000100000" w:firstRow="0" w:lastRow="0" w:firstColumn="0" w:lastColumn="0" w:oddVBand="0" w:evenVBand="0" w:oddHBand="1" w:evenHBand="0" w:firstRowFirstColumn="0" w:firstRowLastColumn="0" w:lastRowFirstColumn="0" w:lastRowLastColumn="0"/>
            </w:pPr>
            <w:r w:rsidRPr="00D652BD">
              <w:t>100%</w:t>
            </w:r>
          </w:p>
        </w:tc>
      </w:tr>
    </w:tbl>
    <w:p w14:paraId="4E3B08B0" w14:textId="77777777" w:rsidR="00BA0426" w:rsidRDefault="00BA0426"/>
    <w:p w14:paraId="49C91749" w14:textId="2D09C9E9" w:rsidR="00A4509A" w:rsidRPr="0073246C" w:rsidRDefault="00D07BD2" w:rsidP="00A4509A">
      <w:r>
        <w:t>Table 8</w:t>
      </w:r>
      <w:r w:rsidR="00A4509A" w:rsidRPr="0073246C">
        <w:t xml:space="preserve"> shows that </w:t>
      </w:r>
      <w:r w:rsidR="00F5496D" w:rsidRPr="0073246C">
        <w:t>2</w:t>
      </w:r>
      <w:r w:rsidR="0073246C" w:rsidRPr="0073246C">
        <w:t>0</w:t>
      </w:r>
      <w:r w:rsidR="00A4509A" w:rsidRPr="0073246C">
        <w:t xml:space="preserve">% of Commercial Sector measures </w:t>
      </w:r>
      <w:r w:rsidR="00F5496D" w:rsidRPr="0073246C">
        <w:t>will have a</w:t>
      </w:r>
      <w:r w:rsidR="0073246C" w:rsidRPr="0073246C">
        <w:t>n increase</w:t>
      </w:r>
      <w:r w:rsidR="00F5496D" w:rsidRPr="0073246C">
        <w:t xml:space="preserve"> in </w:t>
      </w:r>
      <w:r w:rsidR="00A4509A" w:rsidRPr="0073246C">
        <w:t>AC value</w:t>
      </w:r>
      <w:r w:rsidR="0073246C" w:rsidRPr="0073246C">
        <w:t xml:space="preserve"> of less than 8%,</w:t>
      </w:r>
      <w:r w:rsidR="00F5496D" w:rsidRPr="0073246C">
        <w:t xml:space="preserve"> </w:t>
      </w:r>
      <w:r w:rsidR="0073246C" w:rsidRPr="0073246C">
        <w:t>while 57</w:t>
      </w:r>
      <w:r w:rsidR="00A4509A" w:rsidRPr="0073246C">
        <w:t xml:space="preserve">% </w:t>
      </w:r>
      <w:r w:rsidR="0073246C" w:rsidRPr="0073246C">
        <w:t>increase by over 20%. The remaining 23% increase by 13-19%.</w:t>
      </w:r>
      <w:r w:rsidR="00A4509A" w:rsidRPr="0073246C">
        <w:t xml:space="preserve">  </w:t>
      </w:r>
    </w:p>
    <w:p w14:paraId="428F3312" w14:textId="1E6939F2" w:rsidR="00B15363" w:rsidRPr="00E0560E" w:rsidRDefault="00D07BD2" w:rsidP="00A4509A">
      <w:r>
        <w:t>Table 9</w:t>
      </w:r>
      <w:r w:rsidR="00B15363" w:rsidRPr="00E0560E">
        <w:t xml:space="preserve"> below shows the </w:t>
      </w:r>
      <w:r w:rsidR="00E0560E" w:rsidRPr="00E0560E">
        <w:t xml:space="preserve">change in BCR to the </w:t>
      </w:r>
      <w:r w:rsidR="00B15363" w:rsidRPr="00E0560E">
        <w:t>10 measures w</w:t>
      </w:r>
      <w:r w:rsidR="009459F0" w:rsidRPr="00E0560E">
        <w:t>ith the lowest TRC scores in</w:t>
      </w:r>
      <w:r w:rsidR="00B15363" w:rsidRPr="00E0560E">
        <w:t xml:space="preserve"> 2016 and the % change in TRC when the Washington-only AC were applied.</w:t>
      </w:r>
      <w:r w:rsidR="003F5531" w:rsidRPr="00E0560E">
        <w:t xml:space="preserve"> None of these measures contributed a significant (&gt;1%) share of savings in 2014 (most recent year with a full year of data) </w:t>
      </w:r>
      <w:r w:rsidR="000D3071" w:rsidRPr="00E0560E">
        <w:t>and m</w:t>
      </w:r>
      <w:r w:rsidR="003F5531" w:rsidRPr="00E0560E">
        <w:t xml:space="preserve">ost went unused in 2014. </w:t>
      </w:r>
    </w:p>
    <w:p w14:paraId="1CF2EF35" w14:textId="5BE294B7" w:rsidR="00707640" w:rsidRPr="00707640" w:rsidRDefault="00D07BD2" w:rsidP="00BA0426">
      <w:pPr>
        <w:rPr>
          <w:b/>
        </w:rPr>
      </w:pPr>
      <w:r>
        <w:rPr>
          <w:b/>
        </w:rPr>
        <w:t>Table 9</w:t>
      </w:r>
      <w:r w:rsidR="00707640" w:rsidRPr="00707640">
        <w:rPr>
          <w:b/>
        </w:rPr>
        <w:t>. Ten measures with lowest TRC Scores in 2016 mix. Showing % change in TRC from ETO Blended AC to WA-Only AC</w:t>
      </w:r>
    </w:p>
    <w:tbl>
      <w:tblPr>
        <w:tblStyle w:val="PlainTable11"/>
        <w:tblW w:w="0" w:type="auto"/>
        <w:jc w:val="center"/>
        <w:tblLook w:val="04A0" w:firstRow="1" w:lastRow="0" w:firstColumn="1" w:lastColumn="0" w:noHBand="0" w:noVBand="1"/>
      </w:tblPr>
      <w:tblGrid>
        <w:gridCol w:w="1075"/>
        <w:gridCol w:w="2880"/>
        <w:gridCol w:w="1260"/>
        <w:gridCol w:w="1080"/>
        <w:gridCol w:w="1260"/>
      </w:tblGrid>
      <w:tr w:rsidR="000038D2" w:rsidRPr="000038D2" w14:paraId="461FAF2B" w14:textId="77777777" w:rsidTr="000038D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bottom w:val="single" w:sz="4" w:space="0" w:color="auto"/>
            </w:tcBorders>
            <w:noWrap/>
            <w:hideMark/>
          </w:tcPr>
          <w:p w14:paraId="2ECF8A3D" w14:textId="77777777" w:rsidR="000038D2" w:rsidRPr="000038D2" w:rsidRDefault="000038D2">
            <w:r w:rsidRPr="000038D2">
              <w:t>Program</w:t>
            </w:r>
          </w:p>
        </w:tc>
        <w:tc>
          <w:tcPr>
            <w:tcW w:w="2880" w:type="dxa"/>
            <w:tcBorders>
              <w:bottom w:val="single" w:sz="4" w:space="0" w:color="auto"/>
            </w:tcBorders>
            <w:noWrap/>
            <w:hideMark/>
          </w:tcPr>
          <w:p w14:paraId="6AF712A9" w14:textId="77777777" w:rsidR="000038D2" w:rsidRPr="000038D2" w:rsidRDefault="000038D2">
            <w:pPr>
              <w:cnfStyle w:val="100000000000" w:firstRow="1" w:lastRow="0" w:firstColumn="0" w:lastColumn="0" w:oddVBand="0" w:evenVBand="0" w:oddHBand="0" w:evenHBand="0" w:firstRowFirstColumn="0" w:firstRowLastColumn="0" w:lastRowFirstColumn="0" w:lastRowLastColumn="0"/>
            </w:pPr>
            <w:r w:rsidRPr="000038D2">
              <w:t>Measure Description</w:t>
            </w:r>
          </w:p>
        </w:tc>
        <w:tc>
          <w:tcPr>
            <w:tcW w:w="1260" w:type="dxa"/>
            <w:tcBorders>
              <w:bottom w:val="single" w:sz="4" w:space="0" w:color="auto"/>
            </w:tcBorders>
            <w:noWrap/>
            <w:hideMark/>
          </w:tcPr>
          <w:p w14:paraId="2393C8B2" w14:textId="77777777" w:rsidR="000038D2" w:rsidRPr="000038D2" w:rsidRDefault="000038D2">
            <w:pPr>
              <w:cnfStyle w:val="100000000000" w:firstRow="1" w:lastRow="0" w:firstColumn="0" w:lastColumn="0" w:oddVBand="0" w:evenVBand="0" w:oddHBand="0" w:evenHBand="0" w:firstRowFirstColumn="0" w:firstRowLastColumn="0" w:lastRowFirstColumn="0" w:lastRowLastColumn="0"/>
            </w:pPr>
            <w:r w:rsidRPr="000038D2">
              <w:t>Change in TRC BCR</w:t>
            </w:r>
          </w:p>
        </w:tc>
        <w:tc>
          <w:tcPr>
            <w:tcW w:w="1080" w:type="dxa"/>
            <w:tcBorders>
              <w:bottom w:val="single" w:sz="4" w:space="0" w:color="auto"/>
            </w:tcBorders>
            <w:noWrap/>
            <w:hideMark/>
          </w:tcPr>
          <w:p w14:paraId="77870C55" w14:textId="77777777" w:rsidR="000038D2" w:rsidRPr="000038D2" w:rsidRDefault="000038D2">
            <w:pPr>
              <w:cnfStyle w:val="100000000000" w:firstRow="1" w:lastRow="0" w:firstColumn="0" w:lastColumn="0" w:oddVBand="0" w:evenVBand="0" w:oddHBand="0" w:evenHBand="0" w:firstRowFirstColumn="0" w:firstRowLastColumn="0" w:lastRowFirstColumn="0" w:lastRowLastColumn="0"/>
            </w:pPr>
            <w:r w:rsidRPr="000038D2">
              <w:t>% change in TRC</w:t>
            </w:r>
          </w:p>
        </w:tc>
        <w:tc>
          <w:tcPr>
            <w:tcW w:w="1260" w:type="dxa"/>
            <w:tcBorders>
              <w:bottom w:val="single" w:sz="4" w:space="0" w:color="auto"/>
            </w:tcBorders>
            <w:noWrap/>
            <w:hideMark/>
          </w:tcPr>
          <w:p w14:paraId="12F11783" w14:textId="77777777" w:rsidR="000038D2" w:rsidRPr="000038D2" w:rsidRDefault="000038D2">
            <w:pPr>
              <w:cnfStyle w:val="100000000000" w:firstRow="1" w:lastRow="0" w:firstColumn="0" w:lastColumn="0" w:oddVBand="0" w:evenVBand="0" w:oddHBand="0" w:evenHBand="0" w:firstRowFirstColumn="0" w:firstRowLastColumn="0" w:lastRowFirstColumn="0" w:lastRowLastColumn="0"/>
            </w:pPr>
            <w:r w:rsidRPr="000038D2">
              <w:t>% of 2014 Savings</w:t>
            </w:r>
          </w:p>
        </w:tc>
      </w:tr>
      <w:tr w:rsidR="000038D2" w:rsidRPr="000038D2" w14:paraId="03D50835" w14:textId="77777777" w:rsidTr="000038D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noWrap/>
            <w:hideMark/>
          </w:tcPr>
          <w:p w14:paraId="488FCF66" w14:textId="77777777" w:rsidR="000038D2" w:rsidRPr="000038D2" w:rsidRDefault="000038D2">
            <w:r w:rsidRPr="000038D2">
              <w:t>Existing Buildings</w:t>
            </w:r>
          </w:p>
        </w:tc>
        <w:tc>
          <w:tcPr>
            <w:tcW w:w="2880" w:type="dxa"/>
            <w:tcBorders>
              <w:top w:val="single" w:sz="4" w:space="0" w:color="auto"/>
            </w:tcBorders>
            <w:noWrap/>
            <w:hideMark/>
          </w:tcPr>
          <w:p w14:paraId="50146088"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Gas Griddle</w:t>
            </w:r>
          </w:p>
        </w:tc>
        <w:tc>
          <w:tcPr>
            <w:tcW w:w="1260" w:type="dxa"/>
            <w:tcBorders>
              <w:top w:val="single" w:sz="4" w:space="0" w:color="auto"/>
            </w:tcBorders>
            <w:noWrap/>
            <w:hideMark/>
          </w:tcPr>
          <w:p w14:paraId="38C83180"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From 0.42 to 0.5</w:t>
            </w:r>
          </w:p>
        </w:tc>
        <w:tc>
          <w:tcPr>
            <w:tcW w:w="1080" w:type="dxa"/>
            <w:tcBorders>
              <w:top w:val="single" w:sz="4" w:space="0" w:color="auto"/>
            </w:tcBorders>
            <w:noWrap/>
            <w:hideMark/>
          </w:tcPr>
          <w:p w14:paraId="731FCB25" w14:textId="77777777" w:rsidR="000038D2" w:rsidRPr="000038D2" w:rsidRDefault="000038D2" w:rsidP="000038D2">
            <w:pPr>
              <w:cnfStyle w:val="000000100000" w:firstRow="0" w:lastRow="0" w:firstColumn="0" w:lastColumn="0" w:oddVBand="0" w:evenVBand="0" w:oddHBand="1" w:evenHBand="0" w:firstRowFirstColumn="0" w:firstRowLastColumn="0" w:lastRowFirstColumn="0" w:lastRowLastColumn="0"/>
            </w:pPr>
            <w:r w:rsidRPr="000038D2">
              <w:t>21%</w:t>
            </w:r>
          </w:p>
        </w:tc>
        <w:tc>
          <w:tcPr>
            <w:tcW w:w="1260" w:type="dxa"/>
            <w:tcBorders>
              <w:top w:val="single" w:sz="4" w:space="0" w:color="auto"/>
            </w:tcBorders>
            <w:noWrap/>
            <w:hideMark/>
          </w:tcPr>
          <w:p w14:paraId="25C14DDE"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N/A</w:t>
            </w:r>
          </w:p>
        </w:tc>
      </w:tr>
      <w:tr w:rsidR="000038D2" w:rsidRPr="000038D2" w14:paraId="6A22A3D0" w14:textId="77777777" w:rsidTr="000038D2">
        <w:trPr>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EA88278" w14:textId="77777777" w:rsidR="000038D2" w:rsidRPr="000038D2" w:rsidRDefault="000038D2">
            <w:r w:rsidRPr="000038D2">
              <w:t>Existing Buildings</w:t>
            </w:r>
          </w:p>
        </w:tc>
        <w:tc>
          <w:tcPr>
            <w:tcW w:w="2880" w:type="dxa"/>
            <w:noWrap/>
            <w:hideMark/>
          </w:tcPr>
          <w:p w14:paraId="41A1E553"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Attic Insulation R-19 to R-38 gas heat</w:t>
            </w:r>
          </w:p>
        </w:tc>
        <w:tc>
          <w:tcPr>
            <w:tcW w:w="1260" w:type="dxa"/>
            <w:noWrap/>
            <w:hideMark/>
          </w:tcPr>
          <w:p w14:paraId="7AE76FAD"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From 0.47 to 0.56</w:t>
            </w:r>
          </w:p>
        </w:tc>
        <w:tc>
          <w:tcPr>
            <w:tcW w:w="1080" w:type="dxa"/>
            <w:noWrap/>
            <w:hideMark/>
          </w:tcPr>
          <w:p w14:paraId="1BB4277A" w14:textId="77777777" w:rsidR="000038D2" w:rsidRPr="000038D2" w:rsidRDefault="000038D2" w:rsidP="000038D2">
            <w:pPr>
              <w:cnfStyle w:val="000000000000" w:firstRow="0" w:lastRow="0" w:firstColumn="0" w:lastColumn="0" w:oddVBand="0" w:evenVBand="0" w:oddHBand="0" w:evenHBand="0" w:firstRowFirstColumn="0" w:firstRowLastColumn="0" w:lastRowFirstColumn="0" w:lastRowLastColumn="0"/>
            </w:pPr>
            <w:r w:rsidRPr="000038D2">
              <w:t>19%</w:t>
            </w:r>
          </w:p>
        </w:tc>
        <w:tc>
          <w:tcPr>
            <w:tcW w:w="1260" w:type="dxa"/>
            <w:noWrap/>
            <w:hideMark/>
          </w:tcPr>
          <w:p w14:paraId="695B2EE3" w14:textId="77777777" w:rsidR="000038D2" w:rsidRPr="000038D2" w:rsidRDefault="000038D2" w:rsidP="000038D2">
            <w:pPr>
              <w:cnfStyle w:val="000000000000" w:firstRow="0" w:lastRow="0" w:firstColumn="0" w:lastColumn="0" w:oddVBand="0" w:evenVBand="0" w:oddHBand="0" w:evenHBand="0" w:firstRowFirstColumn="0" w:firstRowLastColumn="0" w:lastRowFirstColumn="0" w:lastRowLastColumn="0"/>
            </w:pPr>
            <w:r w:rsidRPr="000038D2">
              <w:t>0.50%</w:t>
            </w:r>
          </w:p>
        </w:tc>
      </w:tr>
      <w:tr w:rsidR="000038D2" w:rsidRPr="000038D2" w14:paraId="5C060393" w14:textId="77777777" w:rsidTr="000038D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4DF34B3D" w14:textId="77777777" w:rsidR="000038D2" w:rsidRPr="000038D2" w:rsidRDefault="000038D2">
            <w:r w:rsidRPr="000038D2">
              <w:t>Existing Buildings</w:t>
            </w:r>
          </w:p>
        </w:tc>
        <w:tc>
          <w:tcPr>
            <w:tcW w:w="2880" w:type="dxa"/>
            <w:noWrap/>
            <w:hideMark/>
          </w:tcPr>
          <w:p w14:paraId="099A337D"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Domestic Tankless Water Heaters - Food service</w:t>
            </w:r>
          </w:p>
        </w:tc>
        <w:tc>
          <w:tcPr>
            <w:tcW w:w="1260" w:type="dxa"/>
            <w:noWrap/>
            <w:hideMark/>
          </w:tcPr>
          <w:p w14:paraId="7BB5EB18"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From 0.72 to 0.87</w:t>
            </w:r>
          </w:p>
        </w:tc>
        <w:tc>
          <w:tcPr>
            <w:tcW w:w="1080" w:type="dxa"/>
            <w:noWrap/>
            <w:hideMark/>
          </w:tcPr>
          <w:p w14:paraId="0D08E9C3" w14:textId="77777777" w:rsidR="000038D2" w:rsidRPr="000038D2" w:rsidRDefault="000038D2" w:rsidP="000038D2">
            <w:pPr>
              <w:cnfStyle w:val="000000100000" w:firstRow="0" w:lastRow="0" w:firstColumn="0" w:lastColumn="0" w:oddVBand="0" w:evenVBand="0" w:oddHBand="1" w:evenHBand="0" w:firstRowFirstColumn="0" w:firstRowLastColumn="0" w:lastRowFirstColumn="0" w:lastRowLastColumn="0"/>
            </w:pPr>
            <w:r w:rsidRPr="000038D2">
              <w:t>21%</w:t>
            </w:r>
          </w:p>
        </w:tc>
        <w:tc>
          <w:tcPr>
            <w:tcW w:w="1260" w:type="dxa"/>
            <w:noWrap/>
            <w:hideMark/>
          </w:tcPr>
          <w:p w14:paraId="29FCA300"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N/A</w:t>
            </w:r>
          </w:p>
        </w:tc>
      </w:tr>
      <w:tr w:rsidR="000038D2" w:rsidRPr="000038D2" w14:paraId="107381E8" w14:textId="77777777" w:rsidTr="000038D2">
        <w:trPr>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6DC410AA" w14:textId="77777777" w:rsidR="000038D2" w:rsidRPr="000038D2" w:rsidRDefault="000038D2">
            <w:r w:rsidRPr="000038D2">
              <w:t>Existing Buildings</w:t>
            </w:r>
          </w:p>
        </w:tc>
        <w:tc>
          <w:tcPr>
            <w:tcW w:w="2880" w:type="dxa"/>
            <w:noWrap/>
            <w:hideMark/>
          </w:tcPr>
          <w:p w14:paraId="15C04A0A"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Boiler Vent Damper</w:t>
            </w:r>
          </w:p>
        </w:tc>
        <w:tc>
          <w:tcPr>
            <w:tcW w:w="1260" w:type="dxa"/>
            <w:noWrap/>
            <w:hideMark/>
          </w:tcPr>
          <w:p w14:paraId="0CE513EA"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From 0.81 to 0.99</w:t>
            </w:r>
          </w:p>
        </w:tc>
        <w:tc>
          <w:tcPr>
            <w:tcW w:w="1080" w:type="dxa"/>
            <w:noWrap/>
            <w:hideMark/>
          </w:tcPr>
          <w:p w14:paraId="4B39A6EA" w14:textId="77777777" w:rsidR="000038D2" w:rsidRPr="000038D2" w:rsidRDefault="000038D2" w:rsidP="000038D2">
            <w:pPr>
              <w:cnfStyle w:val="000000000000" w:firstRow="0" w:lastRow="0" w:firstColumn="0" w:lastColumn="0" w:oddVBand="0" w:evenVBand="0" w:oddHBand="0" w:evenHBand="0" w:firstRowFirstColumn="0" w:firstRowLastColumn="0" w:lastRowFirstColumn="0" w:lastRowLastColumn="0"/>
            </w:pPr>
            <w:r w:rsidRPr="000038D2">
              <w:t>22%</w:t>
            </w:r>
          </w:p>
        </w:tc>
        <w:tc>
          <w:tcPr>
            <w:tcW w:w="1260" w:type="dxa"/>
            <w:noWrap/>
            <w:hideMark/>
          </w:tcPr>
          <w:p w14:paraId="7DC52D9B"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N/A</w:t>
            </w:r>
          </w:p>
        </w:tc>
      </w:tr>
      <w:tr w:rsidR="000038D2" w:rsidRPr="000038D2" w14:paraId="283FE5A2" w14:textId="77777777" w:rsidTr="000038D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A4B58A7" w14:textId="77777777" w:rsidR="000038D2" w:rsidRPr="000038D2" w:rsidRDefault="000038D2">
            <w:r w:rsidRPr="000038D2">
              <w:t>Existing Buildings</w:t>
            </w:r>
          </w:p>
        </w:tc>
        <w:tc>
          <w:tcPr>
            <w:tcW w:w="2880" w:type="dxa"/>
            <w:noWrap/>
            <w:hideMark/>
          </w:tcPr>
          <w:p w14:paraId="7794E16C"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Warm-Air Furnace &lt; 225 kBtuh input</w:t>
            </w:r>
          </w:p>
        </w:tc>
        <w:tc>
          <w:tcPr>
            <w:tcW w:w="1260" w:type="dxa"/>
            <w:noWrap/>
            <w:hideMark/>
          </w:tcPr>
          <w:p w14:paraId="2598D583"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From 0.92 to 1.11</w:t>
            </w:r>
          </w:p>
        </w:tc>
        <w:tc>
          <w:tcPr>
            <w:tcW w:w="1080" w:type="dxa"/>
            <w:noWrap/>
            <w:hideMark/>
          </w:tcPr>
          <w:p w14:paraId="7343BE01" w14:textId="77777777" w:rsidR="000038D2" w:rsidRPr="000038D2" w:rsidRDefault="000038D2" w:rsidP="000038D2">
            <w:pPr>
              <w:cnfStyle w:val="000000100000" w:firstRow="0" w:lastRow="0" w:firstColumn="0" w:lastColumn="0" w:oddVBand="0" w:evenVBand="0" w:oddHBand="1" w:evenHBand="0" w:firstRowFirstColumn="0" w:firstRowLastColumn="0" w:lastRowFirstColumn="0" w:lastRowLastColumn="0"/>
            </w:pPr>
            <w:r w:rsidRPr="000038D2">
              <w:t>21%</w:t>
            </w:r>
          </w:p>
        </w:tc>
        <w:tc>
          <w:tcPr>
            <w:tcW w:w="1260" w:type="dxa"/>
            <w:noWrap/>
            <w:hideMark/>
          </w:tcPr>
          <w:p w14:paraId="08DD2E25"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N/A</w:t>
            </w:r>
          </w:p>
        </w:tc>
      </w:tr>
      <w:tr w:rsidR="000038D2" w:rsidRPr="000038D2" w14:paraId="7E9EC3AF" w14:textId="77777777" w:rsidTr="000038D2">
        <w:trPr>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659476D" w14:textId="77777777" w:rsidR="000038D2" w:rsidRPr="000038D2" w:rsidRDefault="000038D2">
            <w:r w:rsidRPr="000038D2">
              <w:t>Existing Buildings</w:t>
            </w:r>
          </w:p>
        </w:tc>
        <w:tc>
          <w:tcPr>
            <w:tcW w:w="2880" w:type="dxa"/>
            <w:noWrap/>
            <w:hideMark/>
          </w:tcPr>
          <w:p w14:paraId="1A15F6B1"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Turbo Pot with Lid</w:t>
            </w:r>
          </w:p>
        </w:tc>
        <w:tc>
          <w:tcPr>
            <w:tcW w:w="1260" w:type="dxa"/>
            <w:noWrap/>
            <w:hideMark/>
          </w:tcPr>
          <w:p w14:paraId="57A5B2D3"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From 0.97 to 1.18</w:t>
            </w:r>
          </w:p>
        </w:tc>
        <w:tc>
          <w:tcPr>
            <w:tcW w:w="1080" w:type="dxa"/>
            <w:noWrap/>
            <w:hideMark/>
          </w:tcPr>
          <w:p w14:paraId="0ACA3048" w14:textId="77777777" w:rsidR="000038D2" w:rsidRPr="000038D2" w:rsidRDefault="000038D2" w:rsidP="000038D2">
            <w:pPr>
              <w:cnfStyle w:val="000000000000" w:firstRow="0" w:lastRow="0" w:firstColumn="0" w:lastColumn="0" w:oddVBand="0" w:evenVBand="0" w:oddHBand="0" w:evenHBand="0" w:firstRowFirstColumn="0" w:firstRowLastColumn="0" w:lastRowFirstColumn="0" w:lastRowLastColumn="0"/>
            </w:pPr>
            <w:r w:rsidRPr="000038D2">
              <w:t>22%</w:t>
            </w:r>
          </w:p>
        </w:tc>
        <w:tc>
          <w:tcPr>
            <w:tcW w:w="1260" w:type="dxa"/>
            <w:noWrap/>
            <w:hideMark/>
          </w:tcPr>
          <w:p w14:paraId="09AAF5A7"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N/A</w:t>
            </w:r>
          </w:p>
        </w:tc>
      </w:tr>
      <w:tr w:rsidR="000038D2" w:rsidRPr="000038D2" w14:paraId="06D7F079" w14:textId="77777777" w:rsidTr="000038D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BC5FD5F" w14:textId="77777777" w:rsidR="000038D2" w:rsidRPr="000038D2" w:rsidRDefault="000038D2">
            <w:r w:rsidRPr="000038D2">
              <w:lastRenderedPageBreak/>
              <w:t>Existing Buildings</w:t>
            </w:r>
          </w:p>
        </w:tc>
        <w:tc>
          <w:tcPr>
            <w:tcW w:w="2880" w:type="dxa"/>
            <w:noWrap/>
            <w:hideMark/>
          </w:tcPr>
          <w:p w14:paraId="6595F575"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Wall Insulation - Gas heating</w:t>
            </w:r>
          </w:p>
        </w:tc>
        <w:tc>
          <w:tcPr>
            <w:tcW w:w="1260" w:type="dxa"/>
            <w:noWrap/>
            <w:hideMark/>
          </w:tcPr>
          <w:p w14:paraId="44F68270"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From 0.97 to 1.15</w:t>
            </w:r>
          </w:p>
        </w:tc>
        <w:tc>
          <w:tcPr>
            <w:tcW w:w="1080" w:type="dxa"/>
            <w:noWrap/>
            <w:hideMark/>
          </w:tcPr>
          <w:p w14:paraId="3FF6E2F8" w14:textId="77777777" w:rsidR="000038D2" w:rsidRPr="000038D2" w:rsidRDefault="000038D2" w:rsidP="000038D2">
            <w:pPr>
              <w:cnfStyle w:val="000000100000" w:firstRow="0" w:lastRow="0" w:firstColumn="0" w:lastColumn="0" w:oddVBand="0" w:evenVBand="0" w:oddHBand="1" w:evenHBand="0" w:firstRowFirstColumn="0" w:firstRowLastColumn="0" w:lastRowFirstColumn="0" w:lastRowLastColumn="0"/>
            </w:pPr>
            <w:r w:rsidRPr="000038D2">
              <w:t>19%</w:t>
            </w:r>
          </w:p>
        </w:tc>
        <w:tc>
          <w:tcPr>
            <w:tcW w:w="1260" w:type="dxa"/>
            <w:noWrap/>
            <w:hideMark/>
          </w:tcPr>
          <w:p w14:paraId="7D6E2D97"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N/A</w:t>
            </w:r>
          </w:p>
        </w:tc>
      </w:tr>
      <w:tr w:rsidR="000038D2" w:rsidRPr="000038D2" w14:paraId="6DE7D2D8" w14:textId="77777777" w:rsidTr="000038D2">
        <w:trPr>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530F3C0" w14:textId="77777777" w:rsidR="000038D2" w:rsidRPr="000038D2" w:rsidRDefault="000038D2">
            <w:r w:rsidRPr="000038D2">
              <w:t>Existing Buildings</w:t>
            </w:r>
          </w:p>
        </w:tc>
        <w:tc>
          <w:tcPr>
            <w:tcW w:w="2880" w:type="dxa"/>
            <w:noWrap/>
            <w:hideMark/>
          </w:tcPr>
          <w:p w14:paraId="6203E384"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Domestic Tankless Water Heaters - Lodging</w:t>
            </w:r>
          </w:p>
        </w:tc>
        <w:tc>
          <w:tcPr>
            <w:tcW w:w="1260" w:type="dxa"/>
            <w:noWrap/>
            <w:hideMark/>
          </w:tcPr>
          <w:p w14:paraId="4A3C25D4"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From 1.11 to 1.34</w:t>
            </w:r>
          </w:p>
        </w:tc>
        <w:tc>
          <w:tcPr>
            <w:tcW w:w="1080" w:type="dxa"/>
            <w:noWrap/>
            <w:hideMark/>
          </w:tcPr>
          <w:p w14:paraId="00841EEB" w14:textId="77777777" w:rsidR="000038D2" w:rsidRPr="000038D2" w:rsidRDefault="000038D2" w:rsidP="000038D2">
            <w:pPr>
              <w:cnfStyle w:val="000000000000" w:firstRow="0" w:lastRow="0" w:firstColumn="0" w:lastColumn="0" w:oddVBand="0" w:evenVBand="0" w:oddHBand="0" w:evenHBand="0" w:firstRowFirstColumn="0" w:firstRowLastColumn="0" w:lastRowFirstColumn="0" w:lastRowLastColumn="0"/>
            </w:pPr>
            <w:r w:rsidRPr="000038D2">
              <w:t>21%</w:t>
            </w:r>
          </w:p>
        </w:tc>
        <w:tc>
          <w:tcPr>
            <w:tcW w:w="1260" w:type="dxa"/>
            <w:noWrap/>
            <w:hideMark/>
          </w:tcPr>
          <w:p w14:paraId="67A2DC3C"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N/A</w:t>
            </w:r>
          </w:p>
        </w:tc>
      </w:tr>
      <w:tr w:rsidR="000038D2" w:rsidRPr="000038D2" w14:paraId="2D3EADE3" w14:textId="77777777" w:rsidTr="000038D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7190A718" w14:textId="77777777" w:rsidR="000038D2" w:rsidRPr="000038D2" w:rsidRDefault="000038D2">
            <w:r w:rsidRPr="000038D2">
              <w:t>Existing Buildings</w:t>
            </w:r>
          </w:p>
        </w:tc>
        <w:tc>
          <w:tcPr>
            <w:tcW w:w="2880" w:type="dxa"/>
            <w:noWrap/>
            <w:hideMark/>
          </w:tcPr>
          <w:p w14:paraId="55674305"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Pipe Insulation - Hot water - Pipe Diameter &gt; 1.5"</w:t>
            </w:r>
          </w:p>
        </w:tc>
        <w:tc>
          <w:tcPr>
            <w:tcW w:w="1260" w:type="dxa"/>
            <w:noWrap/>
            <w:hideMark/>
          </w:tcPr>
          <w:p w14:paraId="75830808"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From 1.16 to 1.41</w:t>
            </w:r>
          </w:p>
        </w:tc>
        <w:tc>
          <w:tcPr>
            <w:tcW w:w="1080" w:type="dxa"/>
            <w:noWrap/>
            <w:hideMark/>
          </w:tcPr>
          <w:p w14:paraId="3ED8065B" w14:textId="77777777" w:rsidR="000038D2" w:rsidRPr="000038D2" w:rsidRDefault="000038D2" w:rsidP="000038D2">
            <w:pPr>
              <w:cnfStyle w:val="000000100000" w:firstRow="0" w:lastRow="0" w:firstColumn="0" w:lastColumn="0" w:oddVBand="0" w:evenVBand="0" w:oddHBand="1" w:evenHBand="0" w:firstRowFirstColumn="0" w:firstRowLastColumn="0" w:lastRowFirstColumn="0" w:lastRowLastColumn="0"/>
            </w:pPr>
            <w:r w:rsidRPr="000038D2">
              <w:t>21%</w:t>
            </w:r>
          </w:p>
        </w:tc>
        <w:tc>
          <w:tcPr>
            <w:tcW w:w="1260" w:type="dxa"/>
            <w:noWrap/>
            <w:hideMark/>
          </w:tcPr>
          <w:p w14:paraId="007896D2" w14:textId="77777777" w:rsidR="000038D2" w:rsidRPr="000038D2" w:rsidRDefault="000038D2">
            <w:pPr>
              <w:cnfStyle w:val="000000100000" w:firstRow="0" w:lastRow="0" w:firstColumn="0" w:lastColumn="0" w:oddVBand="0" w:evenVBand="0" w:oddHBand="1" w:evenHBand="0" w:firstRowFirstColumn="0" w:firstRowLastColumn="0" w:lastRowFirstColumn="0" w:lastRowLastColumn="0"/>
            </w:pPr>
            <w:r w:rsidRPr="000038D2">
              <w:t>N/A</w:t>
            </w:r>
          </w:p>
        </w:tc>
      </w:tr>
      <w:tr w:rsidR="000038D2" w:rsidRPr="000038D2" w14:paraId="0CF52B63" w14:textId="77777777" w:rsidTr="000038D2">
        <w:trPr>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8A1AEC3" w14:textId="77777777" w:rsidR="000038D2" w:rsidRPr="000038D2" w:rsidRDefault="000038D2">
            <w:r w:rsidRPr="000038D2">
              <w:t>Existing Buildings</w:t>
            </w:r>
          </w:p>
        </w:tc>
        <w:tc>
          <w:tcPr>
            <w:tcW w:w="2880" w:type="dxa"/>
            <w:noWrap/>
            <w:hideMark/>
          </w:tcPr>
          <w:p w14:paraId="4DBA5740"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Pipe Insulation - Hot water - Pipe Diameter ≤ 1.5"</w:t>
            </w:r>
          </w:p>
        </w:tc>
        <w:tc>
          <w:tcPr>
            <w:tcW w:w="1260" w:type="dxa"/>
            <w:noWrap/>
            <w:hideMark/>
          </w:tcPr>
          <w:p w14:paraId="00B223B2"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From 1.16 to 1.41</w:t>
            </w:r>
          </w:p>
        </w:tc>
        <w:tc>
          <w:tcPr>
            <w:tcW w:w="1080" w:type="dxa"/>
            <w:noWrap/>
            <w:hideMark/>
          </w:tcPr>
          <w:p w14:paraId="4D10174A" w14:textId="77777777" w:rsidR="000038D2" w:rsidRPr="000038D2" w:rsidRDefault="000038D2" w:rsidP="000038D2">
            <w:pPr>
              <w:cnfStyle w:val="000000000000" w:firstRow="0" w:lastRow="0" w:firstColumn="0" w:lastColumn="0" w:oddVBand="0" w:evenVBand="0" w:oddHBand="0" w:evenHBand="0" w:firstRowFirstColumn="0" w:firstRowLastColumn="0" w:lastRowFirstColumn="0" w:lastRowLastColumn="0"/>
            </w:pPr>
            <w:r w:rsidRPr="000038D2">
              <w:t>21%</w:t>
            </w:r>
          </w:p>
        </w:tc>
        <w:tc>
          <w:tcPr>
            <w:tcW w:w="1260" w:type="dxa"/>
            <w:noWrap/>
            <w:hideMark/>
          </w:tcPr>
          <w:p w14:paraId="7D5A517D" w14:textId="77777777" w:rsidR="000038D2" w:rsidRPr="000038D2" w:rsidRDefault="000038D2">
            <w:pPr>
              <w:cnfStyle w:val="000000000000" w:firstRow="0" w:lastRow="0" w:firstColumn="0" w:lastColumn="0" w:oddVBand="0" w:evenVBand="0" w:oddHBand="0" w:evenHBand="0" w:firstRowFirstColumn="0" w:firstRowLastColumn="0" w:lastRowFirstColumn="0" w:lastRowLastColumn="0"/>
            </w:pPr>
            <w:r w:rsidRPr="000038D2">
              <w:t>N/A</w:t>
            </w:r>
          </w:p>
        </w:tc>
      </w:tr>
    </w:tbl>
    <w:p w14:paraId="348E3BEC" w14:textId="77777777" w:rsidR="00B16512" w:rsidRDefault="00B16512" w:rsidP="00BA0426"/>
    <w:p w14:paraId="6E20462B" w14:textId="52F7B215" w:rsidR="00BA0426" w:rsidRPr="004E6CFE" w:rsidRDefault="00F5496D">
      <w:r w:rsidRPr="004E6CFE">
        <w:t xml:space="preserve">There are 7 measures that have a TRC score of less than 1.0. Of the 7 measures, 4 of these have scores </w:t>
      </w:r>
      <w:r w:rsidR="004E6CFE" w:rsidRPr="004E6CFE">
        <w:t xml:space="preserve">that are measurably impacted by the new AC and move from below a 1.0 to a 1.0 or greater (Boiler Vent Damper, Warm-Air Furnace, Turbo Pot with Lid, and Wall Insulation). </w:t>
      </w:r>
      <w:r w:rsidR="00753B54" w:rsidRPr="004E6CFE">
        <w:t xml:space="preserve">In each of these cases however, a change in AC did not impact their availability or </w:t>
      </w:r>
      <w:r w:rsidR="00ED34A7" w:rsidRPr="004E6CFE">
        <w:t xml:space="preserve">the </w:t>
      </w:r>
      <w:r w:rsidR="00753B54" w:rsidRPr="004E6CFE">
        <w:t xml:space="preserve">incentive </w:t>
      </w:r>
      <w:r w:rsidR="004E6CFE" w:rsidRPr="004E6CFE">
        <w:t>amount that the program offered since the program’s primary test is the UCT and the incentive amount does not interact with the TRC test.</w:t>
      </w:r>
    </w:p>
    <w:p w14:paraId="6730C286" w14:textId="77777777" w:rsidR="00DA3B5B" w:rsidRPr="007D75C3" w:rsidRDefault="007D75C3">
      <w:pPr>
        <w:rPr>
          <w:b/>
          <w:u w:val="single"/>
        </w:rPr>
      </w:pPr>
      <w:r w:rsidRPr="007D75C3">
        <w:rPr>
          <w:b/>
          <w:u w:val="single"/>
        </w:rPr>
        <w:t>Commercial: Custom Measures</w:t>
      </w:r>
    </w:p>
    <w:p w14:paraId="54A385E4" w14:textId="2180AB0A" w:rsidR="00FB6A32" w:rsidRPr="00D61712" w:rsidRDefault="0081715D">
      <w:r w:rsidRPr="00D61712">
        <w:t xml:space="preserve">Because custom measures are vetted for cost effectiveness on a project by project basis prior to their approval, it is </w:t>
      </w:r>
      <w:r w:rsidR="004E6CFE" w:rsidRPr="00D61712">
        <w:t xml:space="preserve">more difficult to assess what impact a change to AC will have on savings acquisition. </w:t>
      </w:r>
      <w:r w:rsidRPr="00D61712">
        <w:t xml:space="preserve">In 2014 (the last year that we have a complete year’s data) </w:t>
      </w:r>
      <w:r w:rsidR="00FB6A32" w:rsidRPr="00D61712">
        <w:t xml:space="preserve">12 of 15 of the custom projects had measure lives of 15 years and had a change in AC of </w:t>
      </w:r>
      <w:r w:rsidR="004E6CFE" w:rsidRPr="00D61712">
        <w:t>21</w:t>
      </w:r>
      <w:r w:rsidR="00FB6A32" w:rsidRPr="00D61712">
        <w:t xml:space="preserve">%. </w:t>
      </w:r>
      <w:r w:rsidR="00D07BD2">
        <w:t>Table 10</w:t>
      </w:r>
      <w:r w:rsidR="00D61712" w:rsidRPr="00D61712">
        <w:t xml:space="preserve"> below shows a breakdown of custom measures with the average % change in AC and the average WA-only UCT and TRC scores. It also shows the % of savings that the given measure group was responsible for in the Commercial Sector in 2014 (last year of complete data).</w:t>
      </w:r>
    </w:p>
    <w:p w14:paraId="507BFC46" w14:textId="4F7BCD18" w:rsidR="004E6CFE" w:rsidRDefault="00D07BD2" w:rsidP="004E6CFE">
      <w:r>
        <w:rPr>
          <w:b/>
        </w:rPr>
        <w:t>Table 10</w:t>
      </w:r>
      <w:r w:rsidR="004E6CFE" w:rsidRPr="00707640">
        <w:rPr>
          <w:b/>
        </w:rPr>
        <w:t xml:space="preserve">. </w:t>
      </w:r>
      <w:r w:rsidR="004E6CFE">
        <w:rPr>
          <w:b/>
        </w:rPr>
        <w:t>Custom measure groups showing project quantity, BCRs and average % change in AC</w:t>
      </w:r>
    </w:p>
    <w:tbl>
      <w:tblPr>
        <w:tblStyle w:val="PlainTable11"/>
        <w:tblW w:w="0" w:type="auto"/>
        <w:jc w:val="center"/>
        <w:tblLook w:val="04A0" w:firstRow="1" w:lastRow="0" w:firstColumn="1" w:lastColumn="0" w:noHBand="0" w:noVBand="1"/>
      </w:tblPr>
      <w:tblGrid>
        <w:gridCol w:w="1795"/>
        <w:gridCol w:w="1023"/>
        <w:gridCol w:w="1450"/>
        <w:gridCol w:w="1577"/>
        <w:gridCol w:w="1530"/>
        <w:gridCol w:w="1260"/>
      </w:tblGrid>
      <w:tr w:rsidR="004E6CFE" w:rsidRPr="00DA3EB6" w14:paraId="23CF9747" w14:textId="77777777" w:rsidTr="00AF048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auto"/>
            </w:tcBorders>
            <w:noWrap/>
            <w:hideMark/>
          </w:tcPr>
          <w:p w14:paraId="3F89EFB5" w14:textId="77777777" w:rsidR="004E6CFE" w:rsidRPr="00DA3EB6" w:rsidRDefault="004E6CFE" w:rsidP="00AF048F">
            <w:r w:rsidRPr="00DA3EB6">
              <w:t>Custom Measure Group</w:t>
            </w:r>
          </w:p>
        </w:tc>
        <w:tc>
          <w:tcPr>
            <w:tcW w:w="1023" w:type="dxa"/>
            <w:tcBorders>
              <w:bottom w:val="single" w:sz="4" w:space="0" w:color="auto"/>
            </w:tcBorders>
            <w:noWrap/>
            <w:hideMark/>
          </w:tcPr>
          <w:p w14:paraId="29BDCA46" w14:textId="77777777" w:rsidR="004E6CFE" w:rsidRPr="00DA3EB6" w:rsidRDefault="004E6CFE" w:rsidP="00AF048F">
            <w:pPr>
              <w:cnfStyle w:val="100000000000" w:firstRow="1" w:lastRow="0" w:firstColumn="0" w:lastColumn="0" w:oddVBand="0" w:evenVBand="0" w:oddHBand="0" w:evenHBand="0" w:firstRowFirstColumn="0" w:firstRowLastColumn="0" w:lastRowFirstColumn="0" w:lastRowLastColumn="0"/>
            </w:pPr>
            <w:r w:rsidRPr="00DA3EB6">
              <w:t>Quantity</w:t>
            </w:r>
          </w:p>
        </w:tc>
        <w:tc>
          <w:tcPr>
            <w:tcW w:w="1450" w:type="dxa"/>
            <w:tcBorders>
              <w:bottom w:val="single" w:sz="4" w:space="0" w:color="auto"/>
            </w:tcBorders>
            <w:noWrap/>
            <w:hideMark/>
          </w:tcPr>
          <w:p w14:paraId="710598E6" w14:textId="77777777" w:rsidR="004E6CFE" w:rsidRPr="00DA3EB6" w:rsidRDefault="004E6CFE" w:rsidP="00AF048F">
            <w:pPr>
              <w:cnfStyle w:val="100000000000" w:firstRow="1" w:lastRow="0" w:firstColumn="0" w:lastColumn="0" w:oddVBand="0" w:evenVBand="0" w:oddHBand="0" w:evenHBand="0" w:firstRowFirstColumn="0" w:firstRowLastColumn="0" w:lastRowFirstColumn="0" w:lastRowLastColumn="0"/>
            </w:pPr>
            <w:r w:rsidRPr="00DA3EB6">
              <w:t>Average % change in AC</w:t>
            </w:r>
          </w:p>
        </w:tc>
        <w:tc>
          <w:tcPr>
            <w:tcW w:w="1577" w:type="dxa"/>
            <w:tcBorders>
              <w:bottom w:val="single" w:sz="4" w:space="0" w:color="auto"/>
            </w:tcBorders>
            <w:noWrap/>
            <w:hideMark/>
          </w:tcPr>
          <w:p w14:paraId="7EC7959B" w14:textId="77777777" w:rsidR="004E6CFE" w:rsidRPr="00DA3EB6" w:rsidRDefault="004E6CFE" w:rsidP="00AF048F">
            <w:pPr>
              <w:cnfStyle w:val="100000000000" w:firstRow="1" w:lastRow="0" w:firstColumn="0" w:lastColumn="0" w:oddVBand="0" w:evenVBand="0" w:oddHBand="0" w:evenHBand="0" w:firstRowFirstColumn="0" w:firstRowLastColumn="0" w:lastRowFirstColumn="0" w:lastRowLastColumn="0"/>
            </w:pPr>
            <w:r w:rsidRPr="00DA3EB6">
              <w:t>Average UCT (WA-only AC)</w:t>
            </w:r>
          </w:p>
        </w:tc>
        <w:tc>
          <w:tcPr>
            <w:tcW w:w="1530" w:type="dxa"/>
            <w:tcBorders>
              <w:bottom w:val="single" w:sz="4" w:space="0" w:color="auto"/>
            </w:tcBorders>
            <w:noWrap/>
            <w:hideMark/>
          </w:tcPr>
          <w:p w14:paraId="49C3446F" w14:textId="77777777" w:rsidR="004E6CFE" w:rsidRPr="00DA3EB6" w:rsidRDefault="004E6CFE" w:rsidP="00AF048F">
            <w:pPr>
              <w:cnfStyle w:val="100000000000" w:firstRow="1" w:lastRow="0" w:firstColumn="0" w:lastColumn="0" w:oddVBand="0" w:evenVBand="0" w:oddHBand="0" w:evenHBand="0" w:firstRowFirstColumn="0" w:firstRowLastColumn="0" w:lastRowFirstColumn="0" w:lastRowLastColumn="0"/>
            </w:pPr>
            <w:r w:rsidRPr="00DA3EB6">
              <w:t>Average TRC (WA-only AC)</w:t>
            </w:r>
          </w:p>
        </w:tc>
        <w:tc>
          <w:tcPr>
            <w:tcW w:w="1260" w:type="dxa"/>
            <w:tcBorders>
              <w:bottom w:val="single" w:sz="4" w:space="0" w:color="auto"/>
            </w:tcBorders>
            <w:noWrap/>
            <w:hideMark/>
          </w:tcPr>
          <w:p w14:paraId="63252A2B" w14:textId="77777777" w:rsidR="004E6CFE" w:rsidRPr="00DA3EB6" w:rsidRDefault="004E6CFE" w:rsidP="00AF048F">
            <w:pPr>
              <w:cnfStyle w:val="100000000000" w:firstRow="1" w:lastRow="0" w:firstColumn="0" w:lastColumn="0" w:oddVBand="0" w:evenVBand="0" w:oddHBand="0" w:evenHBand="0" w:firstRowFirstColumn="0" w:firstRowLastColumn="0" w:lastRowFirstColumn="0" w:lastRowLastColumn="0"/>
            </w:pPr>
            <w:r w:rsidRPr="00DA3EB6">
              <w:t>% of 2014 Savings</w:t>
            </w:r>
          </w:p>
        </w:tc>
      </w:tr>
      <w:tr w:rsidR="004E6CFE" w:rsidRPr="00DA3EB6" w14:paraId="65FB27AD" w14:textId="77777777" w:rsidTr="00AF04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auto"/>
            </w:tcBorders>
            <w:noWrap/>
            <w:hideMark/>
          </w:tcPr>
          <w:p w14:paraId="6DEB4898" w14:textId="77777777" w:rsidR="004E6CFE" w:rsidRPr="00DA3EB6" w:rsidRDefault="004E6CFE" w:rsidP="00AF048F">
            <w:r w:rsidRPr="00DA3EB6">
              <w:t>Custom Building Controls</w:t>
            </w:r>
          </w:p>
        </w:tc>
        <w:tc>
          <w:tcPr>
            <w:tcW w:w="1023" w:type="dxa"/>
            <w:tcBorders>
              <w:top w:val="single" w:sz="4" w:space="0" w:color="auto"/>
            </w:tcBorders>
            <w:noWrap/>
            <w:hideMark/>
          </w:tcPr>
          <w:p w14:paraId="764CEC32"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5</w:t>
            </w:r>
          </w:p>
        </w:tc>
        <w:tc>
          <w:tcPr>
            <w:tcW w:w="1450" w:type="dxa"/>
            <w:tcBorders>
              <w:top w:val="single" w:sz="4" w:space="0" w:color="auto"/>
            </w:tcBorders>
            <w:noWrap/>
            <w:hideMark/>
          </w:tcPr>
          <w:p w14:paraId="000E3979"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21%</w:t>
            </w:r>
          </w:p>
        </w:tc>
        <w:tc>
          <w:tcPr>
            <w:tcW w:w="1577" w:type="dxa"/>
            <w:tcBorders>
              <w:top w:val="single" w:sz="4" w:space="0" w:color="auto"/>
            </w:tcBorders>
            <w:noWrap/>
            <w:hideMark/>
          </w:tcPr>
          <w:p w14:paraId="3CBF7B73"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3.38</w:t>
            </w:r>
          </w:p>
        </w:tc>
        <w:tc>
          <w:tcPr>
            <w:tcW w:w="1530" w:type="dxa"/>
            <w:tcBorders>
              <w:top w:val="single" w:sz="4" w:space="0" w:color="auto"/>
            </w:tcBorders>
            <w:noWrap/>
            <w:hideMark/>
          </w:tcPr>
          <w:p w14:paraId="18EFAFDE"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5.90</w:t>
            </w:r>
          </w:p>
        </w:tc>
        <w:tc>
          <w:tcPr>
            <w:tcW w:w="1260" w:type="dxa"/>
            <w:tcBorders>
              <w:top w:val="single" w:sz="4" w:space="0" w:color="auto"/>
            </w:tcBorders>
            <w:noWrap/>
            <w:hideMark/>
          </w:tcPr>
          <w:p w14:paraId="3E3A8488"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23%</w:t>
            </w:r>
          </w:p>
        </w:tc>
      </w:tr>
      <w:tr w:rsidR="004E6CFE" w:rsidRPr="00DA3EB6" w14:paraId="54704557" w14:textId="77777777" w:rsidTr="00AF048F">
        <w:trPr>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F2E029E" w14:textId="77777777" w:rsidR="004E6CFE" w:rsidRPr="00DA3EB6" w:rsidRDefault="004E6CFE" w:rsidP="00AF048F">
            <w:r w:rsidRPr="00DA3EB6">
              <w:t>Custom Gas</w:t>
            </w:r>
          </w:p>
        </w:tc>
        <w:tc>
          <w:tcPr>
            <w:tcW w:w="1023" w:type="dxa"/>
            <w:noWrap/>
            <w:hideMark/>
          </w:tcPr>
          <w:p w14:paraId="53276161" w14:textId="77777777" w:rsidR="004E6CFE" w:rsidRPr="00DA3EB6" w:rsidRDefault="004E6CFE" w:rsidP="00AF048F">
            <w:pPr>
              <w:jc w:val="center"/>
              <w:cnfStyle w:val="000000000000" w:firstRow="0" w:lastRow="0" w:firstColumn="0" w:lastColumn="0" w:oddVBand="0" w:evenVBand="0" w:oddHBand="0" w:evenHBand="0" w:firstRowFirstColumn="0" w:firstRowLastColumn="0" w:lastRowFirstColumn="0" w:lastRowLastColumn="0"/>
            </w:pPr>
            <w:r w:rsidRPr="00DA3EB6">
              <w:t>4</w:t>
            </w:r>
          </w:p>
        </w:tc>
        <w:tc>
          <w:tcPr>
            <w:tcW w:w="1450" w:type="dxa"/>
            <w:noWrap/>
            <w:hideMark/>
          </w:tcPr>
          <w:p w14:paraId="28CFBB5A" w14:textId="77777777" w:rsidR="004E6CFE" w:rsidRPr="00DA3EB6" w:rsidRDefault="004E6CFE" w:rsidP="00AF048F">
            <w:pPr>
              <w:jc w:val="center"/>
              <w:cnfStyle w:val="000000000000" w:firstRow="0" w:lastRow="0" w:firstColumn="0" w:lastColumn="0" w:oddVBand="0" w:evenVBand="0" w:oddHBand="0" w:evenHBand="0" w:firstRowFirstColumn="0" w:firstRowLastColumn="0" w:lastRowFirstColumn="0" w:lastRowLastColumn="0"/>
            </w:pPr>
            <w:r w:rsidRPr="00DA3EB6">
              <w:t>21%</w:t>
            </w:r>
          </w:p>
        </w:tc>
        <w:tc>
          <w:tcPr>
            <w:tcW w:w="1577" w:type="dxa"/>
            <w:noWrap/>
            <w:hideMark/>
          </w:tcPr>
          <w:p w14:paraId="445341DD" w14:textId="77777777" w:rsidR="004E6CFE" w:rsidRPr="00DA3EB6" w:rsidRDefault="004E6CFE" w:rsidP="00AF048F">
            <w:pPr>
              <w:jc w:val="center"/>
              <w:cnfStyle w:val="000000000000" w:firstRow="0" w:lastRow="0" w:firstColumn="0" w:lastColumn="0" w:oddVBand="0" w:evenVBand="0" w:oddHBand="0" w:evenHBand="0" w:firstRowFirstColumn="0" w:firstRowLastColumn="0" w:lastRowFirstColumn="0" w:lastRowLastColumn="0"/>
            </w:pPr>
            <w:r w:rsidRPr="00DA3EB6">
              <w:t>5.70</w:t>
            </w:r>
          </w:p>
        </w:tc>
        <w:tc>
          <w:tcPr>
            <w:tcW w:w="1530" w:type="dxa"/>
            <w:noWrap/>
            <w:hideMark/>
          </w:tcPr>
          <w:p w14:paraId="491290C7" w14:textId="77777777" w:rsidR="004E6CFE" w:rsidRPr="00DA3EB6" w:rsidRDefault="004E6CFE" w:rsidP="00AF048F">
            <w:pPr>
              <w:jc w:val="center"/>
              <w:cnfStyle w:val="000000000000" w:firstRow="0" w:lastRow="0" w:firstColumn="0" w:lastColumn="0" w:oddVBand="0" w:evenVBand="0" w:oddHBand="0" w:evenHBand="0" w:firstRowFirstColumn="0" w:firstRowLastColumn="0" w:lastRowFirstColumn="0" w:lastRowLastColumn="0"/>
            </w:pPr>
            <w:r w:rsidRPr="00DA3EB6">
              <w:t>29.27</w:t>
            </w:r>
          </w:p>
        </w:tc>
        <w:tc>
          <w:tcPr>
            <w:tcW w:w="1260" w:type="dxa"/>
            <w:noWrap/>
            <w:hideMark/>
          </w:tcPr>
          <w:p w14:paraId="684905CC" w14:textId="77777777" w:rsidR="004E6CFE" w:rsidRPr="00DA3EB6" w:rsidRDefault="004E6CFE" w:rsidP="00AF048F">
            <w:pPr>
              <w:jc w:val="center"/>
              <w:cnfStyle w:val="000000000000" w:firstRow="0" w:lastRow="0" w:firstColumn="0" w:lastColumn="0" w:oddVBand="0" w:evenVBand="0" w:oddHBand="0" w:evenHBand="0" w:firstRowFirstColumn="0" w:firstRowLastColumn="0" w:lastRowFirstColumn="0" w:lastRowLastColumn="0"/>
            </w:pPr>
            <w:r w:rsidRPr="00DA3EB6">
              <w:t>2%</w:t>
            </w:r>
          </w:p>
        </w:tc>
      </w:tr>
      <w:tr w:rsidR="004E6CFE" w:rsidRPr="00DA3EB6" w14:paraId="2F3CF94D" w14:textId="77777777" w:rsidTr="00AF04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220F976" w14:textId="77777777" w:rsidR="004E6CFE" w:rsidRPr="00DA3EB6" w:rsidRDefault="004E6CFE" w:rsidP="00AF048F">
            <w:r w:rsidRPr="00DA3EB6">
              <w:t>Custom Heat Recovery</w:t>
            </w:r>
          </w:p>
        </w:tc>
        <w:tc>
          <w:tcPr>
            <w:tcW w:w="1023" w:type="dxa"/>
            <w:noWrap/>
            <w:hideMark/>
          </w:tcPr>
          <w:p w14:paraId="760F226B"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1</w:t>
            </w:r>
          </w:p>
        </w:tc>
        <w:tc>
          <w:tcPr>
            <w:tcW w:w="1450" w:type="dxa"/>
            <w:noWrap/>
            <w:hideMark/>
          </w:tcPr>
          <w:p w14:paraId="3DA85B22"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21%</w:t>
            </w:r>
          </w:p>
        </w:tc>
        <w:tc>
          <w:tcPr>
            <w:tcW w:w="1577" w:type="dxa"/>
            <w:noWrap/>
            <w:hideMark/>
          </w:tcPr>
          <w:p w14:paraId="7EBCEF5B"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4.36</w:t>
            </w:r>
          </w:p>
        </w:tc>
        <w:tc>
          <w:tcPr>
            <w:tcW w:w="1530" w:type="dxa"/>
            <w:noWrap/>
            <w:hideMark/>
          </w:tcPr>
          <w:p w14:paraId="31376541"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2.18</w:t>
            </w:r>
          </w:p>
        </w:tc>
        <w:tc>
          <w:tcPr>
            <w:tcW w:w="1260" w:type="dxa"/>
            <w:noWrap/>
            <w:hideMark/>
          </w:tcPr>
          <w:p w14:paraId="3534375F"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8%</w:t>
            </w:r>
          </w:p>
        </w:tc>
      </w:tr>
      <w:tr w:rsidR="004E6CFE" w:rsidRPr="00DA3EB6" w14:paraId="0DF1DBAE" w14:textId="77777777" w:rsidTr="00AF048F">
        <w:trPr>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5134C4E1" w14:textId="77777777" w:rsidR="004E6CFE" w:rsidRPr="00DA3EB6" w:rsidRDefault="004E6CFE" w:rsidP="00AF048F">
            <w:r w:rsidRPr="00DA3EB6">
              <w:t>Custom HVAC</w:t>
            </w:r>
          </w:p>
        </w:tc>
        <w:tc>
          <w:tcPr>
            <w:tcW w:w="1023" w:type="dxa"/>
            <w:noWrap/>
            <w:hideMark/>
          </w:tcPr>
          <w:p w14:paraId="7071D7A2" w14:textId="77777777" w:rsidR="004E6CFE" w:rsidRPr="00DA3EB6" w:rsidRDefault="004E6CFE" w:rsidP="00AF048F">
            <w:pPr>
              <w:jc w:val="center"/>
              <w:cnfStyle w:val="000000000000" w:firstRow="0" w:lastRow="0" w:firstColumn="0" w:lastColumn="0" w:oddVBand="0" w:evenVBand="0" w:oddHBand="0" w:evenHBand="0" w:firstRowFirstColumn="0" w:firstRowLastColumn="0" w:lastRowFirstColumn="0" w:lastRowLastColumn="0"/>
            </w:pPr>
            <w:r w:rsidRPr="00DA3EB6">
              <w:t>4</w:t>
            </w:r>
          </w:p>
        </w:tc>
        <w:tc>
          <w:tcPr>
            <w:tcW w:w="1450" w:type="dxa"/>
            <w:noWrap/>
            <w:hideMark/>
          </w:tcPr>
          <w:p w14:paraId="5A6A5145" w14:textId="77777777" w:rsidR="004E6CFE" w:rsidRPr="00DA3EB6" w:rsidRDefault="004E6CFE" w:rsidP="00AF048F">
            <w:pPr>
              <w:jc w:val="center"/>
              <w:cnfStyle w:val="000000000000" w:firstRow="0" w:lastRow="0" w:firstColumn="0" w:lastColumn="0" w:oddVBand="0" w:evenVBand="0" w:oddHBand="0" w:evenHBand="0" w:firstRowFirstColumn="0" w:firstRowLastColumn="0" w:lastRowFirstColumn="0" w:lastRowLastColumn="0"/>
            </w:pPr>
            <w:r w:rsidRPr="00DA3EB6">
              <w:t>21%</w:t>
            </w:r>
          </w:p>
        </w:tc>
        <w:tc>
          <w:tcPr>
            <w:tcW w:w="1577" w:type="dxa"/>
            <w:noWrap/>
            <w:hideMark/>
          </w:tcPr>
          <w:p w14:paraId="3BBCA1CD" w14:textId="77777777" w:rsidR="004E6CFE" w:rsidRPr="00DA3EB6" w:rsidRDefault="004E6CFE" w:rsidP="00AF048F">
            <w:pPr>
              <w:jc w:val="center"/>
              <w:cnfStyle w:val="000000000000" w:firstRow="0" w:lastRow="0" w:firstColumn="0" w:lastColumn="0" w:oddVBand="0" w:evenVBand="0" w:oddHBand="0" w:evenHBand="0" w:firstRowFirstColumn="0" w:firstRowLastColumn="0" w:lastRowFirstColumn="0" w:lastRowLastColumn="0"/>
            </w:pPr>
            <w:r w:rsidRPr="00DA3EB6">
              <w:t>4.04</w:t>
            </w:r>
          </w:p>
        </w:tc>
        <w:tc>
          <w:tcPr>
            <w:tcW w:w="1530" w:type="dxa"/>
            <w:noWrap/>
            <w:hideMark/>
          </w:tcPr>
          <w:p w14:paraId="4E98183A" w14:textId="77777777" w:rsidR="004E6CFE" w:rsidRPr="00DA3EB6" w:rsidRDefault="004E6CFE" w:rsidP="00AF048F">
            <w:pPr>
              <w:jc w:val="center"/>
              <w:cnfStyle w:val="000000000000" w:firstRow="0" w:lastRow="0" w:firstColumn="0" w:lastColumn="0" w:oddVBand="0" w:evenVBand="0" w:oddHBand="0" w:evenHBand="0" w:firstRowFirstColumn="0" w:firstRowLastColumn="0" w:lastRowFirstColumn="0" w:lastRowLastColumn="0"/>
            </w:pPr>
            <w:r w:rsidRPr="00DA3EB6">
              <w:t>2.21</w:t>
            </w:r>
          </w:p>
        </w:tc>
        <w:tc>
          <w:tcPr>
            <w:tcW w:w="1260" w:type="dxa"/>
            <w:noWrap/>
            <w:hideMark/>
          </w:tcPr>
          <w:p w14:paraId="3BE65258" w14:textId="77777777" w:rsidR="004E6CFE" w:rsidRPr="00DA3EB6" w:rsidRDefault="004E6CFE" w:rsidP="00AF048F">
            <w:pPr>
              <w:jc w:val="center"/>
              <w:cnfStyle w:val="000000000000" w:firstRow="0" w:lastRow="0" w:firstColumn="0" w:lastColumn="0" w:oddVBand="0" w:evenVBand="0" w:oddHBand="0" w:evenHBand="0" w:firstRowFirstColumn="0" w:firstRowLastColumn="0" w:lastRowFirstColumn="0" w:lastRowLastColumn="0"/>
            </w:pPr>
            <w:r w:rsidRPr="00DA3EB6">
              <w:t>2%</w:t>
            </w:r>
          </w:p>
        </w:tc>
      </w:tr>
      <w:tr w:rsidR="004E6CFE" w:rsidRPr="00DA3EB6" w14:paraId="77115B4F" w14:textId="77777777" w:rsidTr="00AF04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1285504C" w14:textId="77777777" w:rsidR="004E6CFE" w:rsidRPr="00DA3EB6" w:rsidRDefault="004E6CFE" w:rsidP="00AF048F">
            <w:r w:rsidRPr="00DA3EB6">
              <w:t>Custom VFD</w:t>
            </w:r>
          </w:p>
        </w:tc>
        <w:tc>
          <w:tcPr>
            <w:tcW w:w="1023" w:type="dxa"/>
            <w:noWrap/>
            <w:hideMark/>
          </w:tcPr>
          <w:p w14:paraId="1F661BEC"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1</w:t>
            </w:r>
          </w:p>
        </w:tc>
        <w:tc>
          <w:tcPr>
            <w:tcW w:w="1450" w:type="dxa"/>
            <w:noWrap/>
            <w:hideMark/>
          </w:tcPr>
          <w:p w14:paraId="2B49FBEF"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21%</w:t>
            </w:r>
          </w:p>
        </w:tc>
        <w:tc>
          <w:tcPr>
            <w:tcW w:w="1577" w:type="dxa"/>
            <w:noWrap/>
            <w:hideMark/>
          </w:tcPr>
          <w:p w14:paraId="5052D970"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N/A - no incentive paid</w:t>
            </w:r>
          </w:p>
        </w:tc>
        <w:tc>
          <w:tcPr>
            <w:tcW w:w="1530" w:type="dxa"/>
            <w:noWrap/>
            <w:hideMark/>
          </w:tcPr>
          <w:p w14:paraId="156C80D2"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7.78</w:t>
            </w:r>
          </w:p>
        </w:tc>
        <w:tc>
          <w:tcPr>
            <w:tcW w:w="1260" w:type="dxa"/>
            <w:noWrap/>
            <w:hideMark/>
          </w:tcPr>
          <w:p w14:paraId="7E96B7AD" w14:textId="77777777" w:rsidR="004E6CFE" w:rsidRPr="00DA3EB6" w:rsidRDefault="004E6CFE" w:rsidP="00AF048F">
            <w:pPr>
              <w:jc w:val="center"/>
              <w:cnfStyle w:val="000000100000" w:firstRow="0" w:lastRow="0" w:firstColumn="0" w:lastColumn="0" w:oddVBand="0" w:evenVBand="0" w:oddHBand="1" w:evenHBand="0" w:firstRowFirstColumn="0" w:firstRowLastColumn="0" w:lastRowFirstColumn="0" w:lastRowLastColumn="0"/>
            </w:pPr>
            <w:r w:rsidRPr="00DA3EB6">
              <w:t>11%</w:t>
            </w:r>
          </w:p>
        </w:tc>
      </w:tr>
    </w:tbl>
    <w:p w14:paraId="6FE8E274" w14:textId="77777777" w:rsidR="004E6CFE" w:rsidRDefault="004E6CFE" w:rsidP="004E6CFE"/>
    <w:p w14:paraId="2054554B" w14:textId="4FEBA24E" w:rsidR="00213D4D" w:rsidRPr="00D61712" w:rsidRDefault="00FB6A32">
      <w:r w:rsidRPr="00D61712">
        <w:t>T</w:t>
      </w:r>
      <w:r w:rsidR="0081715D" w:rsidRPr="00D61712">
        <w:t>here were no custom projects with a</w:t>
      </w:r>
      <w:r w:rsidR="009459F0" w:rsidRPr="00D61712">
        <w:t xml:space="preserve"> UCT BCR of less than 2.0 and the</w:t>
      </w:r>
      <w:r w:rsidR="0081715D" w:rsidRPr="00D61712">
        <w:t xml:space="preserve"> average UCT across all the pro</w:t>
      </w:r>
      <w:r w:rsidR="009459F0" w:rsidRPr="00D61712">
        <w:t>jects was</w:t>
      </w:r>
      <w:r w:rsidR="0081715D" w:rsidRPr="00D61712">
        <w:t xml:space="preserve"> 4.27</w:t>
      </w:r>
      <w:r w:rsidR="0026121D" w:rsidRPr="00D61712">
        <w:t xml:space="preserve"> (using WA-only AC)</w:t>
      </w:r>
      <w:r w:rsidR="0081715D" w:rsidRPr="00D61712">
        <w:t xml:space="preserve">. On the TRC side, </w:t>
      </w:r>
      <w:r w:rsidR="00447052" w:rsidRPr="00D61712">
        <w:t>13 of the 15 total projects had individual TRC scores we</w:t>
      </w:r>
      <w:r w:rsidRPr="00D61712">
        <w:t xml:space="preserve">ll over a 1.0 and the average across all projects was 3.65. </w:t>
      </w:r>
      <w:r w:rsidR="00447052" w:rsidRPr="00D61712">
        <w:t>Two projects had scores below 1.0, a 0.88 and</w:t>
      </w:r>
      <w:r w:rsidRPr="00D61712">
        <w:t xml:space="preserve"> 0.42</w:t>
      </w:r>
      <w:r w:rsidR="00447052" w:rsidRPr="00D61712">
        <w:t xml:space="preserve">. These projects share a project ID number with other measures and </w:t>
      </w:r>
      <w:r w:rsidR="00D61712" w:rsidRPr="00D61712">
        <w:t xml:space="preserve">its possible they </w:t>
      </w:r>
      <w:r w:rsidR="00447052" w:rsidRPr="00D61712">
        <w:t>may have been screened together at the time the project was vetted</w:t>
      </w:r>
      <w:r w:rsidR="00D61712" w:rsidRPr="00D61712">
        <w:t xml:space="preserve"> and split apart in Energy Trust’s database</w:t>
      </w:r>
      <w:r w:rsidR="00447052" w:rsidRPr="00D61712">
        <w:t xml:space="preserve">. In any event, </w:t>
      </w:r>
      <w:r w:rsidRPr="00D61712">
        <w:t>the change in AC that would occur by using a Washington-only value would</w:t>
      </w:r>
      <w:r w:rsidR="00B16512" w:rsidRPr="00D61712">
        <w:t xml:space="preserve"> not have </w:t>
      </w:r>
      <w:r w:rsidR="00D61712" w:rsidRPr="00D61712">
        <w:t xml:space="preserve">had </w:t>
      </w:r>
      <w:r w:rsidR="00B16512" w:rsidRPr="00D61712">
        <w:t xml:space="preserve">a significant impact </w:t>
      </w:r>
      <w:r w:rsidR="00D61712" w:rsidRPr="00D61712">
        <w:t>on those projects. It</w:t>
      </w:r>
      <w:r w:rsidR="00B16512" w:rsidRPr="00D61712">
        <w:t xml:space="preserve"> is </w:t>
      </w:r>
      <w:r w:rsidR="00D61712" w:rsidRPr="00D61712">
        <w:t xml:space="preserve">possible that the increased AC might affect future </w:t>
      </w:r>
      <w:r w:rsidR="00D61712" w:rsidRPr="00D61712">
        <w:lastRenderedPageBreak/>
        <w:t xml:space="preserve">proposed projects though, and could increase the uptake of custom projects. That remains unclear since they are analyzed on a case by case basis. </w:t>
      </w:r>
    </w:p>
    <w:p w14:paraId="6632BD12" w14:textId="634D9784" w:rsidR="00EA1C14" w:rsidRPr="00D61712" w:rsidRDefault="00D07BD2">
      <w:r>
        <w:t>Table 11</w:t>
      </w:r>
      <w:r w:rsidR="00EA1C14" w:rsidRPr="00D61712">
        <w:t xml:space="preserve"> below provide</w:t>
      </w:r>
      <w:r>
        <w:t>s</w:t>
      </w:r>
      <w:r w:rsidR="00EA1C14" w:rsidRPr="00D61712">
        <w:t xml:space="preserve"> some insight into the highest-savings meas</w:t>
      </w:r>
      <w:r>
        <w:t>ures in the Commercial Sect</w:t>
      </w:r>
      <w:r w:rsidR="00EA1C14" w:rsidRPr="00D61712">
        <w:t>or, showing the % of savings they contributed, the % change in AC they are impacted by when changing to Washington-only AC, and their UCT and TRC scores. In the case of the Custom VFD measure, there was only one measure and no incentive was paid for the project, resulting in the N/A for the UCT.</w:t>
      </w:r>
      <w:r>
        <w:t xml:space="preserve"> Overall though, this table</w:t>
      </w:r>
      <w:r w:rsidR="00D61712">
        <w:t xml:space="preserve"> show</w:t>
      </w:r>
      <w:r>
        <w:t>s</w:t>
      </w:r>
      <w:r w:rsidR="00D61712">
        <w:t xml:space="preserve"> that the measures responsible for a significant amount of program savings are highly cost effective and are generally not impacted by the new AC.</w:t>
      </w:r>
    </w:p>
    <w:p w14:paraId="42B198AD" w14:textId="101C4C11" w:rsidR="00D61712" w:rsidRPr="00D67C25" w:rsidRDefault="00D61712" w:rsidP="00D61712">
      <w:pPr>
        <w:rPr>
          <w:b/>
        </w:rPr>
      </w:pPr>
      <w:r w:rsidRPr="00D67C25">
        <w:rPr>
          <w:b/>
        </w:rPr>
        <w:t>Table 11. Top 4 Savings Measures in the Commercial Sector with their % of 2014 Savings, % change in AC and Average UCT and TRC scores with Washington-only ACs.</w:t>
      </w:r>
    </w:p>
    <w:tbl>
      <w:tblPr>
        <w:tblStyle w:val="PlainTable11"/>
        <w:tblW w:w="10800" w:type="dxa"/>
        <w:tblInd w:w="-725" w:type="dxa"/>
        <w:tblLayout w:type="fixed"/>
        <w:tblLook w:val="04A0" w:firstRow="1" w:lastRow="0" w:firstColumn="1" w:lastColumn="0" w:noHBand="0" w:noVBand="1"/>
      </w:tblPr>
      <w:tblGrid>
        <w:gridCol w:w="1075"/>
        <w:gridCol w:w="1805"/>
        <w:gridCol w:w="3150"/>
        <w:gridCol w:w="1170"/>
        <w:gridCol w:w="1170"/>
        <w:gridCol w:w="1170"/>
        <w:gridCol w:w="1260"/>
      </w:tblGrid>
      <w:tr w:rsidR="00D61712" w:rsidRPr="00167E4E" w14:paraId="4B7EBBB0" w14:textId="77777777" w:rsidTr="00AF048F">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75" w:type="dxa"/>
            <w:tcBorders>
              <w:bottom w:val="single" w:sz="4" w:space="0" w:color="auto"/>
            </w:tcBorders>
            <w:hideMark/>
          </w:tcPr>
          <w:p w14:paraId="323AFED6" w14:textId="77777777" w:rsidR="00D61712" w:rsidRPr="00167E4E" w:rsidRDefault="00D61712" w:rsidP="00AF048F">
            <w:r w:rsidRPr="00167E4E">
              <w:t>Program</w:t>
            </w:r>
          </w:p>
        </w:tc>
        <w:tc>
          <w:tcPr>
            <w:tcW w:w="1805" w:type="dxa"/>
            <w:tcBorders>
              <w:bottom w:val="single" w:sz="4" w:space="0" w:color="auto"/>
            </w:tcBorders>
            <w:hideMark/>
          </w:tcPr>
          <w:p w14:paraId="1C4F375A" w14:textId="77777777" w:rsidR="00D61712" w:rsidRPr="00167E4E" w:rsidRDefault="00D61712" w:rsidP="00AF048F">
            <w:pPr>
              <w:cnfStyle w:val="100000000000" w:firstRow="1" w:lastRow="0" w:firstColumn="0" w:lastColumn="0" w:oddVBand="0" w:evenVBand="0" w:oddHBand="0" w:evenHBand="0" w:firstRowFirstColumn="0" w:firstRowLastColumn="0" w:lastRowFirstColumn="0" w:lastRowLastColumn="0"/>
            </w:pPr>
            <w:r w:rsidRPr="00167E4E">
              <w:t>Measure Group</w:t>
            </w:r>
          </w:p>
        </w:tc>
        <w:tc>
          <w:tcPr>
            <w:tcW w:w="3150" w:type="dxa"/>
            <w:tcBorders>
              <w:bottom w:val="single" w:sz="4" w:space="0" w:color="auto"/>
            </w:tcBorders>
            <w:hideMark/>
          </w:tcPr>
          <w:p w14:paraId="260B48D8" w14:textId="77777777" w:rsidR="00D61712" w:rsidRPr="00167E4E" w:rsidRDefault="00D61712" w:rsidP="00AF048F">
            <w:pPr>
              <w:cnfStyle w:val="100000000000" w:firstRow="1" w:lastRow="0" w:firstColumn="0" w:lastColumn="0" w:oddVBand="0" w:evenVBand="0" w:oddHBand="0" w:evenHBand="0" w:firstRowFirstColumn="0" w:firstRowLastColumn="0" w:lastRowFirstColumn="0" w:lastRowLastColumn="0"/>
            </w:pPr>
            <w:r w:rsidRPr="00167E4E">
              <w:t>Measure Description</w:t>
            </w:r>
          </w:p>
        </w:tc>
        <w:tc>
          <w:tcPr>
            <w:tcW w:w="1170" w:type="dxa"/>
            <w:tcBorders>
              <w:bottom w:val="single" w:sz="4" w:space="0" w:color="auto"/>
            </w:tcBorders>
            <w:hideMark/>
          </w:tcPr>
          <w:p w14:paraId="19F65572" w14:textId="77777777" w:rsidR="00D61712" w:rsidRPr="00167E4E" w:rsidRDefault="00D61712" w:rsidP="00AF048F">
            <w:pPr>
              <w:cnfStyle w:val="100000000000" w:firstRow="1" w:lastRow="0" w:firstColumn="0" w:lastColumn="0" w:oddVBand="0" w:evenVBand="0" w:oddHBand="0" w:evenHBand="0" w:firstRowFirstColumn="0" w:firstRowLastColumn="0" w:lastRowFirstColumn="0" w:lastRowLastColumn="0"/>
            </w:pPr>
            <w:r w:rsidRPr="00167E4E">
              <w:t>% of 2014 Savings</w:t>
            </w:r>
          </w:p>
        </w:tc>
        <w:tc>
          <w:tcPr>
            <w:tcW w:w="1170" w:type="dxa"/>
            <w:tcBorders>
              <w:bottom w:val="single" w:sz="4" w:space="0" w:color="auto"/>
            </w:tcBorders>
            <w:hideMark/>
          </w:tcPr>
          <w:p w14:paraId="1A38BB20" w14:textId="77777777" w:rsidR="00D61712" w:rsidRPr="00167E4E" w:rsidRDefault="00D61712" w:rsidP="00AF048F">
            <w:pPr>
              <w:cnfStyle w:val="100000000000" w:firstRow="1" w:lastRow="0" w:firstColumn="0" w:lastColumn="0" w:oddVBand="0" w:evenVBand="0" w:oddHBand="0" w:evenHBand="0" w:firstRowFirstColumn="0" w:firstRowLastColumn="0" w:lastRowFirstColumn="0" w:lastRowLastColumn="0"/>
            </w:pPr>
            <w:r w:rsidRPr="00167E4E">
              <w:t>Average % change in AC</w:t>
            </w:r>
          </w:p>
        </w:tc>
        <w:tc>
          <w:tcPr>
            <w:tcW w:w="1170" w:type="dxa"/>
            <w:tcBorders>
              <w:bottom w:val="single" w:sz="4" w:space="0" w:color="auto"/>
            </w:tcBorders>
            <w:hideMark/>
          </w:tcPr>
          <w:p w14:paraId="0D6F83C2" w14:textId="77777777" w:rsidR="00D61712" w:rsidRPr="00167E4E" w:rsidRDefault="00D61712" w:rsidP="00AF048F">
            <w:pPr>
              <w:cnfStyle w:val="100000000000" w:firstRow="1" w:lastRow="0" w:firstColumn="0" w:lastColumn="0" w:oddVBand="0" w:evenVBand="0" w:oddHBand="0" w:evenHBand="0" w:firstRowFirstColumn="0" w:firstRowLastColumn="0" w:lastRowFirstColumn="0" w:lastRowLastColumn="0"/>
            </w:pPr>
            <w:r w:rsidRPr="00167E4E">
              <w:t>Average UCT (WA-only AC)</w:t>
            </w:r>
          </w:p>
        </w:tc>
        <w:tc>
          <w:tcPr>
            <w:tcW w:w="1260" w:type="dxa"/>
            <w:tcBorders>
              <w:bottom w:val="single" w:sz="4" w:space="0" w:color="auto"/>
            </w:tcBorders>
            <w:hideMark/>
          </w:tcPr>
          <w:p w14:paraId="0A1E67BF" w14:textId="77777777" w:rsidR="00D61712" w:rsidRPr="00167E4E" w:rsidRDefault="00D61712" w:rsidP="00AF048F">
            <w:pPr>
              <w:cnfStyle w:val="100000000000" w:firstRow="1" w:lastRow="0" w:firstColumn="0" w:lastColumn="0" w:oddVBand="0" w:evenVBand="0" w:oddHBand="0" w:evenHBand="0" w:firstRowFirstColumn="0" w:firstRowLastColumn="0" w:lastRowFirstColumn="0" w:lastRowLastColumn="0"/>
            </w:pPr>
            <w:r w:rsidRPr="00167E4E">
              <w:t>Average TRC (WA-only AC)</w:t>
            </w:r>
          </w:p>
        </w:tc>
      </w:tr>
      <w:tr w:rsidR="00D61712" w:rsidRPr="00167E4E" w14:paraId="5B419C46" w14:textId="77777777" w:rsidTr="00AF048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hideMark/>
          </w:tcPr>
          <w:p w14:paraId="57F33CB5" w14:textId="77777777" w:rsidR="00D61712" w:rsidRPr="00167E4E" w:rsidRDefault="00D61712" w:rsidP="00AF048F">
            <w:r w:rsidRPr="00167E4E">
              <w:t>Existing Buildings</w:t>
            </w:r>
          </w:p>
        </w:tc>
        <w:tc>
          <w:tcPr>
            <w:tcW w:w="1805" w:type="dxa"/>
            <w:tcBorders>
              <w:top w:val="single" w:sz="4" w:space="0" w:color="auto"/>
            </w:tcBorders>
            <w:hideMark/>
          </w:tcPr>
          <w:p w14:paraId="296CC991"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Custom Building Controls</w:t>
            </w:r>
          </w:p>
        </w:tc>
        <w:tc>
          <w:tcPr>
            <w:tcW w:w="3150" w:type="dxa"/>
            <w:tcBorders>
              <w:top w:val="single" w:sz="4" w:space="0" w:color="auto"/>
            </w:tcBorders>
            <w:hideMark/>
          </w:tcPr>
          <w:p w14:paraId="4D7D8309"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Custom Building Controls</w:t>
            </w:r>
          </w:p>
        </w:tc>
        <w:tc>
          <w:tcPr>
            <w:tcW w:w="1170" w:type="dxa"/>
            <w:tcBorders>
              <w:top w:val="single" w:sz="4" w:space="0" w:color="auto"/>
            </w:tcBorders>
            <w:hideMark/>
          </w:tcPr>
          <w:p w14:paraId="6318D56C"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23%</w:t>
            </w:r>
          </w:p>
        </w:tc>
        <w:tc>
          <w:tcPr>
            <w:tcW w:w="1170" w:type="dxa"/>
            <w:tcBorders>
              <w:top w:val="single" w:sz="4" w:space="0" w:color="auto"/>
            </w:tcBorders>
            <w:hideMark/>
          </w:tcPr>
          <w:p w14:paraId="4AC07251"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21%</w:t>
            </w:r>
          </w:p>
        </w:tc>
        <w:tc>
          <w:tcPr>
            <w:tcW w:w="1170" w:type="dxa"/>
            <w:tcBorders>
              <w:top w:val="single" w:sz="4" w:space="0" w:color="auto"/>
            </w:tcBorders>
            <w:hideMark/>
          </w:tcPr>
          <w:p w14:paraId="53EE5E59"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3.4</w:t>
            </w:r>
          </w:p>
        </w:tc>
        <w:tc>
          <w:tcPr>
            <w:tcW w:w="1260" w:type="dxa"/>
            <w:tcBorders>
              <w:top w:val="single" w:sz="4" w:space="0" w:color="auto"/>
            </w:tcBorders>
            <w:hideMark/>
          </w:tcPr>
          <w:p w14:paraId="7AA65CC3"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5.9</w:t>
            </w:r>
          </w:p>
        </w:tc>
      </w:tr>
      <w:tr w:rsidR="00D61712" w:rsidRPr="00167E4E" w14:paraId="6FDEB1A7" w14:textId="77777777" w:rsidTr="00AF048F">
        <w:trPr>
          <w:trHeight w:val="300"/>
        </w:trPr>
        <w:tc>
          <w:tcPr>
            <w:cnfStyle w:val="001000000000" w:firstRow="0" w:lastRow="0" w:firstColumn="1" w:lastColumn="0" w:oddVBand="0" w:evenVBand="0" w:oddHBand="0" w:evenHBand="0" w:firstRowFirstColumn="0" w:firstRowLastColumn="0" w:lastRowFirstColumn="0" w:lastRowLastColumn="0"/>
            <w:tcW w:w="1075" w:type="dxa"/>
            <w:hideMark/>
          </w:tcPr>
          <w:p w14:paraId="7F1517F2" w14:textId="77777777" w:rsidR="00D61712" w:rsidRPr="00167E4E" w:rsidRDefault="00D61712" w:rsidP="00AF048F">
            <w:r w:rsidRPr="00167E4E">
              <w:t>Existing Buildings</w:t>
            </w:r>
          </w:p>
        </w:tc>
        <w:tc>
          <w:tcPr>
            <w:tcW w:w="1805" w:type="dxa"/>
            <w:hideMark/>
          </w:tcPr>
          <w:p w14:paraId="67449C0B"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Food Equipment</w:t>
            </w:r>
          </w:p>
        </w:tc>
        <w:tc>
          <w:tcPr>
            <w:tcW w:w="3150" w:type="dxa"/>
            <w:hideMark/>
          </w:tcPr>
          <w:p w14:paraId="4E233906"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Gas Fryer 2014</w:t>
            </w:r>
          </w:p>
        </w:tc>
        <w:tc>
          <w:tcPr>
            <w:tcW w:w="1170" w:type="dxa"/>
            <w:hideMark/>
          </w:tcPr>
          <w:p w14:paraId="384F6BA7"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20%</w:t>
            </w:r>
          </w:p>
        </w:tc>
        <w:tc>
          <w:tcPr>
            <w:tcW w:w="1170" w:type="dxa"/>
            <w:hideMark/>
          </w:tcPr>
          <w:p w14:paraId="59E1C2A7"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21%</w:t>
            </w:r>
          </w:p>
        </w:tc>
        <w:tc>
          <w:tcPr>
            <w:tcW w:w="1170" w:type="dxa"/>
            <w:hideMark/>
          </w:tcPr>
          <w:p w14:paraId="44F56A77"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3.6</w:t>
            </w:r>
          </w:p>
        </w:tc>
        <w:tc>
          <w:tcPr>
            <w:tcW w:w="1260" w:type="dxa"/>
            <w:hideMark/>
          </w:tcPr>
          <w:p w14:paraId="1602435B"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2.6</w:t>
            </w:r>
          </w:p>
        </w:tc>
      </w:tr>
      <w:tr w:rsidR="00D61712" w:rsidRPr="00167E4E" w14:paraId="4E2C9E9E" w14:textId="77777777" w:rsidTr="00AF048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75" w:type="dxa"/>
            <w:hideMark/>
          </w:tcPr>
          <w:p w14:paraId="4D524B54" w14:textId="77777777" w:rsidR="00D61712" w:rsidRPr="00167E4E" w:rsidRDefault="00D61712" w:rsidP="00AF048F">
            <w:r w:rsidRPr="00167E4E">
              <w:t>Existing Buildings</w:t>
            </w:r>
          </w:p>
        </w:tc>
        <w:tc>
          <w:tcPr>
            <w:tcW w:w="1805" w:type="dxa"/>
            <w:hideMark/>
          </w:tcPr>
          <w:p w14:paraId="6920B280"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Boiler</w:t>
            </w:r>
          </w:p>
        </w:tc>
        <w:tc>
          <w:tcPr>
            <w:tcW w:w="3150" w:type="dxa"/>
            <w:hideMark/>
          </w:tcPr>
          <w:p w14:paraId="266CC24D"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Gas-fired Condensing Boiler &gt;= 300 kbtuh, &lt;= 2500 kbtuh 0.9 ET</w:t>
            </w:r>
          </w:p>
        </w:tc>
        <w:tc>
          <w:tcPr>
            <w:tcW w:w="1170" w:type="dxa"/>
            <w:hideMark/>
          </w:tcPr>
          <w:p w14:paraId="3566C9BB"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15%</w:t>
            </w:r>
          </w:p>
        </w:tc>
        <w:tc>
          <w:tcPr>
            <w:tcW w:w="1170" w:type="dxa"/>
            <w:hideMark/>
          </w:tcPr>
          <w:p w14:paraId="4355E8E5"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18%</w:t>
            </w:r>
          </w:p>
        </w:tc>
        <w:tc>
          <w:tcPr>
            <w:tcW w:w="1170" w:type="dxa"/>
            <w:hideMark/>
          </w:tcPr>
          <w:p w14:paraId="51D46A7D"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3.82</w:t>
            </w:r>
          </w:p>
        </w:tc>
        <w:tc>
          <w:tcPr>
            <w:tcW w:w="1260" w:type="dxa"/>
            <w:hideMark/>
          </w:tcPr>
          <w:p w14:paraId="5D061A52" w14:textId="77777777" w:rsidR="00D61712" w:rsidRPr="00167E4E" w:rsidRDefault="00D61712" w:rsidP="00AF048F">
            <w:pPr>
              <w:cnfStyle w:val="000000100000" w:firstRow="0" w:lastRow="0" w:firstColumn="0" w:lastColumn="0" w:oddVBand="0" w:evenVBand="0" w:oddHBand="1" w:evenHBand="0" w:firstRowFirstColumn="0" w:firstRowLastColumn="0" w:lastRowFirstColumn="0" w:lastRowLastColumn="0"/>
              <w:rPr>
                <w:b/>
              </w:rPr>
            </w:pPr>
            <w:r w:rsidRPr="00167E4E">
              <w:rPr>
                <w:b/>
              </w:rPr>
              <w:t>2.35</w:t>
            </w:r>
          </w:p>
        </w:tc>
      </w:tr>
      <w:tr w:rsidR="00D61712" w:rsidRPr="00167E4E" w14:paraId="25DC4E4A" w14:textId="77777777" w:rsidTr="00AF048F">
        <w:trPr>
          <w:trHeight w:val="300"/>
        </w:trPr>
        <w:tc>
          <w:tcPr>
            <w:cnfStyle w:val="001000000000" w:firstRow="0" w:lastRow="0" w:firstColumn="1" w:lastColumn="0" w:oddVBand="0" w:evenVBand="0" w:oddHBand="0" w:evenHBand="0" w:firstRowFirstColumn="0" w:firstRowLastColumn="0" w:lastRowFirstColumn="0" w:lastRowLastColumn="0"/>
            <w:tcW w:w="1075" w:type="dxa"/>
            <w:hideMark/>
          </w:tcPr>
          <w:p w14:paraId="20CE03A5" w14:textId="77777777" w:rsidR="00D61712" w:rsidRPr="00167E4E" w:rsidRDefault="00D61712" w:rsidP="00AF048F">
            <w:r w:rsidRPr="00167E4E">
              <w:t>Existing Buildings</w:t>
            </w:r>
          </w:p>
        </w:tc>
        <w:tc>
          <w:tcPr>
            <w:tcW w:w="1805" w:type="dxa"/>
            <w:hideMark/>
          </w:tcPr>
          <w:p w14:paraId="1A6E882B"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Custom VFD</w:t>
            </w:r>
          </w:p>
        </w:tc>
        <w:tc>
          <w:tcPr>
            <w:tcW w:w="3150" w:type="dxa"/>
            <w:hideMark/>
          </w:tcPr>
          <w:p w14:paraId="1D6A8814"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Custom VFDs</w:t>
            </w:r>
          </w:p>
        </w:tc>
        <w:tc>
          <w:tcPr>
            <w:tcW w:w="1170" w:type="dxa"/>
            <w:hideMark/>
          </w:tcPr>
          <w:p w14:paraId="1AF3326C"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11%</w:t>
            </w:r>
          </w:p>
        </w:tc>
        <w:tc>
          <w:tcPr>
            <w:tcW w:w="1170" w:type="dxa"/>
            <w:hideMark/>
          </w:tcPr>
          <w:p w14:paraId="7EE213D3"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21%</w:t>
            </w:r>
          </w:p>
        </w:tc>
        <w:tc>
          <w:tcPr>
            <w:tcW w:w="1170" w:type="dxa"/>
            <w:hideMark/>
          </w:tcPr>
          <w:p w14:paraId="421F8781"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N/A</w:t>
            </w:r>
          </w:p>
        </w:tc>
        <w:tc>
          <w:tcPr>
            <w:tcW w:w="1260" w:type="dxa"/>
            <w:hideMark/>
          </w:tcPr>
          <w:p w14:paraId="4E9E3176" w14:textId="77777777" w:rsidR="00D61712" w:rsidRPr="00167E4E" w:rsidRDefault="00D61712" w:rsidP="00AF048F">
            <w:pPr>
              <w:cnfStyle w:val="000000000000" w:firstRow="0" w:lastRow="0" w:firstColumn="0" w:lastColumn="0" w:oddVBand="0" w:evenVBand="0" w:oddHBand="0" w:evenHBand="0" w:firstRowFirstColumn="0" w:firstRowLastColumn="0" w:lastRowFirstColumn="0" w:lastRowLastColumn="0"/>
              <w:rPr>
                <w:b/>
              </w:rPr>
            </w:pPr>
            <w:r w:rsidRPr="00167E4E">
              <w:rPr>
                <w:b/>
              </w:rPr>
              <w:t>7.78</w:t>
            </w:r>
          </w:p>
        </w:tc>
      </w:tr>
    </w:tbl>
    <w:p w14:paraId="45D4AB13" w14:textId="77777777" w:rsidR="00DA5339" w:rsidRDefault="00DA5339"/>
    <w:p w14:paraId="0AB3C0E3" w14:textId="77777777" w:rsidR="00DA5339" w:rsidRPr="00DA5339" w:rsidRDefault="00DA5339" w:rsidP="00DA5339">
      <w:pPr>
        <w:rPr>
          <w:b/>
          <w:color w:val="000000"/>
        </w:rPr>
      </w:pPr>
      <w:r>
        <w:rPr>
          <w:b/>
          <w:color w:val="000000"/>
        </w:rPr>
        <w:t>Potential Commercial</w:t>
      </w:r>
      <w:r w:rsidRPr="00DA5339">
        <w:rPr>
          <w:b/>
          <w:color w:val="000000"/>
        </w:rPr>
        <w:t xml:space="preserve"> Program Impact</w:t>
      </w:r>
    </w:p>
    <w:p w14:paraId="21746392" w14:textId="7C4E6707" w:rsidR="00D07BD2" w:rsidRPr="000A1457" w:rsidRDefault="00DA5339" w:rsidP="00DA5339">
      <w:r w:rsidRPr="000A1457">
        <w:t xml:space="preserve">Evaluation of the </w:t>
      </w:r>
      <w:r w:rsidR="00D07BD2" w:rsidRPr="000A1457">
        <w:t>impacts of using the Washington-</w:t>
      </w:r>
      <w:r w:rsidRPr="000A1457">
        <w:t xml:space="preserve">specific </w:t>
      </w:r>
      <w:r w:rsidR="00D07BD2" w:rsidRPr="000A1457">
        <w:t>AC</w:t>
      </w:r>
      <w:r w:rsidRPr="000A1457">
        <w:t xml:space="preserve"> on “top ten measures with lowest UCT score”, and</w:t>
      </w:r>
      <w:r w:rsidR="00D07BD2" w:rsidRPr="000A1457">
        <w:t xml:space="preserve"> t</w:t>
      </w:r>
      <w:r w:rsidRPr="000A1457">
        <w:t xml:space="preserve">he “Ten measures with lowest TRC Scores in 2016 mix” has showed </w:t>
      </w:r>
      <w:r w:rsidR="00D07BD2" w:rsidRPr="000A1457">
        <w:t>some general positive</w:t>
      </w:r>
      <w:r w:rsidRPr="000A1457">
        <w:t xml:space="preserve"> impact on the </w:t>
      </w:r>
      <w:r w:rsidR="00D07BD2" w:rsidRPr="000A1457">
        <w:t xml:space="preserve">overall </w:t>
      </w:r>
      <w:r w:rsidRPr="000A1457">
        <w:t>cost effectiveness of the measure</w:t>
      </w:r>
      <w:r w:rsidR="00D07BD2" w:rsidRPr="000A1457">
        <w:t>s and program, but does not indicate that the program as currently designed would be altered with increased incentives</w:t>
      </w:r>
      <w:r w:rsidR="00902FD6" w:rsidRPr="000A1457">
        <w:t xml:space="preserve">, but gives them a greater level of ‘comfort’ that they are cost effective. </w:t>
      </w:r>
      <w:r w:rsidRPr="000A1457">
        <w:t xml:space="preserve">The evaluation has also determined that no significant additional measures could be added to the Program portfolio.  Similarly the resulting data shows that no measures are at risk of being lost due to falling below the cost effectiveness screening threshold of 1.0 using the UCT.  </w:t>
      </w:r>
    </w:p>
    <w:p w14:paraId="2CFB74CC" w14:textId="22ECDDB1" w:rsidR="00DA5339" w:rsidRPr="007137C2" w:rsidRDefault="00DA5339" w:rsidP="00DA5339">
      <w:pPr>
        <w:rPr>
          <w:color w:val="FF0000"/>
        </w:rPr>
      </w:pPr>
      <w:r w:rsidRPr="000A1457">
        <w:t xml:space="preserve">The results of this analysis can also be used to determine the effect of Washington specific AC on the max allowable incentive per measure.  </w:t>
      </w:r>
      <w:r w:rsidR="00902FD6" w:rsidRPr="000A1457">
        <w:t xml:space="preserve">Because the impact to the cost effectiveness per measure is around 20%, the impact on max allowable incentive for some of the measures will be around 20%. Max incentive is typically defined by the lesser of two costs, the incremental (TRC) cost or the AC value of the measure’s savings (to ensure we do not pay more than the incremental cost of the efficient measure over the baseline measure).  Based on historical performance, increased incentives to some prescriptive measures and the recent ‘across the board’ </w:t>
      </w:r>
      <w:r w:rsidR="00902FD6">
        <w:t>increase to incentive levels for custom measures in the Existing Buildings program</w:t>
      </w:r>
      <w:r w:rsidR="00902FD6" w:rsidRPr="00322E05">
        <w:t xml:space="preserve">, </w:t>
      </w:r>
      <w:r w:rsidR="00902FD6">
        <w:t>planned</w:t>
      </w:r>
      <w:r w:rsidR="00902FD6" w:rsidRPr="00322E05">
        <w:t xml:space="preserve"> incentive</w:t>
      </w:r>
      <w:r w:rsidR="00902FD6">
        <w:t xml:space="preserve"> levels for 2016</w:t>
      </w:r>
      <w:r w:rsidR="00902FD6" w:rsidRPr="00322E05">
        <w:t xml:space="preserve"> </w:t>
      </w:r>
      <w:r w:rsidR="000A1457">
        <w:t xml:space="preserve">are already pushing the boundary of what is cost effective and </w:t>
      </w:r>
      <w:r w:rsidR="00902FD6" w:rsidRPr="00322E05">
        <w:t>wo</w:t>
      </w:r>
      <w:r w:rsidR="00902FD6">
        <w:t xml:space="preserve">uld not be changed in response to the new WA-only AC. In fact, beyond the program’s strong preference to maintain market consistency in the Portland Metro area (including Clark </w:t>
      </w:r>
      <w:r w:rsidR="00902FD6">
        <w:lastRenderedPageBreak/>
        <w:t xml:space="preserve">County), in the case of this program, AC increases of about 20% would provide a level of comfort that in the event that savings achieved were lower than forecasted. </w:t>
      </w:r>
    </w:p>
    <w:p w14:paraId="691446B0" w14:textId="62BDB59B" w:rsidR="00DA5339" w:rsidRPr="002528D1" w:rsidRDefault="007137C2">
      <w:r>
        <w:t xml:space="preserve"> </w:t>
      </w:r>
    </w:p>
    <w:sectPr w:rsidR="00DA5339" w:rsidRPr="002528D1">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8AFA51" w15:done="0"/>
  <w15:commentEx w15:paraId="5E9A58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8D186" w14:textId="77777777" w:rsidR="00412157" w:rsidRDefault="00412157" w:rsidP="00707640">
      <w:pPr>
        <w:spacing w:after="0" w:line="240" w:lineRule="auto"/>
      </w:pPr>
      <w:r>
        <w:separator/>
      </w:r>
    </w:p>
  </w:endnote>
  <w:endnote w:type="continuationSeparator" w:id="0">
    <w:p w14:paraId="1804E654" w14:textId="77777777" w:rsidR="00412157" w:rsidRDefault="00412157" w:rsidP="0070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046E1" w14:textId="23DD059A" w:rsidR="00702355" w:rsidRDefault="00702355">
    <w:pPr>
      <w:pStyle w:val="Footer"/>
      <w:jc w:val="center"/>
    </w:pPr>
  </w:p>
  <w:p w14:paraId="58BC0319" w14:textId="77777777" w:rsidR="00702355" w:rsidRDefault="00702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A6F59" w14:textId="77777777" w:rsidR="00412157" w:rsidRDefault="00412157" w:rsidP="00707640">
      <w:pPr>
        <w:spacing w:after="0" w:line="240" w:lineRule="auto"/>
      </w:pPr>
      <w:r>
        <w:separator/>
      </w:r>
    </w:p>
  </w:footnote>
  <w:footnote w:type="continuationSeparator" w:id="0">
    <w:p w14:paraId="3ECE26FE" w14:textId="77777777" w:rsidR="00412157" w:rsidRDefault="00412157" w:rsidP="00707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435AC" w14:textId="77777777" w:rsidR="000A1460" w:rsidRDefault="000A1460">
    <w:pPr>
      <w:pStyle w:val="Header"/>
    </w:pPr>
    <w:r>
      <w:t>APPENDIX E</w:t>
    </w:r>
  </w:p>
  <w:p w14:paraId="10026FBC" w14:textId="7C9497A8" w:rsidR="000A1460" w:rsidRDefault="000A1460">
    <w:pPr>
      <w:pStyle w:val="Header"/>
    </w:pPr>
    <w:r>
      <w:t xml:space="preserve">NWN WUTC Advice No. 15-10 </w:t>
    </w:r>
    <w:r w:rsidRPr="000A1460">
      <w:ptab w:relativeTo="margin" w:alignment="center" w:leader="none"/>
    </w:r>
    <w:r w:rsidRPr="000A1460">
      <w:ptab w:relativeTo="margin" w:alignment="right" w:leader="none"/>
    </w:r>
    <w:r w:rsidRPr="000A1460">
      <w:t xml:space="preserve">Page </w:t>
    </w:r>
    <w:r w:rsidRPr="000A1460">
      <w:fldChar w:fldCharType="begin"/>
    </w:r>
    <w:r w:rsidRPr="000A1460">
      <w:instrText xml:space="preserve"> PAGE  \* Arabic  \* MERGEFORMAT </w:instrText>
    </w:r>
    <w:r w:rsidRPr="000A1460">
      <w:fldChar w:fldCharType="separate"/>
    </w:r>
    <w:r w:rsidR="006E17B7">
      <w:rPr>
        <w:noProof/>
      </w:rPr>
      <w:t>1</w:t>
    </w:r>
    <w:r w:rsidRPr="000A1460">
      <w:fldChar w:fldCharType="end"/>
    </w:r>
    <w:r w:rsidRPr="000A1460">
      <w:t xml:space="preserve"> of </w:t>
    </w:r>
    <w:r w:rsidR="006E17B7">
      <w:fldChar w:fldCharType="begin"/>
    </w:r>
    <w:r w:rsidR="006E17B7">
      <w:instrText xml:space="preserve"> NUMPAGES  \* Arabic  \* MERGEFORMAT </w:instrText>
    </w:r>
    <w:r w:rsidR="006E17B7">
      <w:fldChar w:fldCharType="separate"/>
    </w:r>
    <w:r w:rsidR="006E17B7">
      <w:rPr>
        <w:noProof/>
      </w:rPr>
      <w:t>11</w:t>
    </w:r>
    <w:r w:rsidR="006E17B7">
      <w:rPr>
        <w:noProof/>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Hudson">
    <w15:presenceInfo w15:providerId="AD" w15:userId="S-1-5-21-299502267-1482476501-1417001333-24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87"/>
    <w:rsid w:val="000038D2"/>
    <w:rsid w:val="000475E6"/>
    <w:rsid w:val="00053D4B"/>
    <w:rsid w:val="00064E49"/>
    <w:rsid w:val="000743D1"/>
    <w:rsid w:val="00085B19"/>
    <w:rsid w:val="000A1457"/>
    <w:rsid w:val="000A1460"/>
    <w:rsid w:val="000C50F0"/>
    <w:rsid w:val="000D0DF1"/>
    <w:rsid w:val="000D3071"/>
    <w:rsid w:val="000F49C6"/>
    <w:rsid w:val="00106305"/>
    <w:rsid w:val="00125074"/>
    <w:rsid w:val="00125637"/>
    <w:rsid w:val="00135CE0"/>
    <w:rsid w:val="001553F3"/>
    <w:rsid w:val="00167E4E"/>
    <w:rsid w:val="00185BB5"/>
    <w:rsid w:val="001900A7"/>
    <w:rsid w:val="00194DB7"/>
    <w:rsid w:val="001A1B6D"/>
    <w:rsid w:val="001A6270"/>
    <w:rsid w:val="00213D4D"/>
    <w:rsid w:val="002528D1"/>
    <w:rsid w:val="0026121D"/>
    <w:rsid w:val="00271F61"/>
    <w:rsid w:val="002767F7"/>
    <w:rsid w:val="00283729"/>
    <w:rsid w:val="00322E05"/>
    <w:rsid w:val="00362E69"/>
    <w:rsid w:val="0038293F"/>
    <w:rsid w:val="00385FB6"/>
    <w:rsid w:val="0039028C"/>
    <w:rsid w:val="003934A8"/>
    <w:rsid w:val="003F5531"/>
    <w:rsid w:val="00412157"/>
    <w:rsid w:val="00427C71"/>
    <w:rsid w:val="00447052"/>
    <w:rsid w:val="00480687"/>
    <w:rsid w:val="004C6540"/>
    <w:rsid w:val="004D5756"/>
    <w:rsid w:val="004E6CFE"/>
    <w:rsid w:val="005235B6"/>
    <w:rsid w:val="00540E4C"/>
    <w:rsid w:val="00595683"/>
    <w:rsid w:val="005B3872"/>
    <w:rsid w:val="005C05C2"/>
    <w:rsid w:val="005D0B37"/>
    <w:rsid w:val="005D5F4B"/>
    <w:rsid w:val="005F0386"/>
    <w:rsid w:val="00613B89"/>
    <w:rsid w:val="006618F4"/>
    <w:rsid w:val="00676C3D"/>
    <w:rsid w:val="006E17B7"/>
    <w:rsid w:val="006F352E"/>
    <w:rsid w:val="00702355"/>
    <w:rsid w:val="00707640"/>
    <w:rsid w:val="0071286E"/>
    <w:rsid w:val="007137C2"/>
    <w:rsid w:val="0073246C"/>
    <w:rsid w:val="007378DE"/>
    <w:rsid w:val="007532C6"/>
    <w:rsid w:val="00753B54"/>
    <w:rsid w:val="007D75C3"/>
    <w:rsid w:val="007E2BA5"/>
    <w:rsid w:val="007E7BAE"/>
    <w:rsid w:val="008118A0"/>
    <w:rsid w:val="0081715D"/>
    <w:rsid w:val="008362C6"/>
    <w:rsid w:val="00902FD6"/>
    <w:rsid w:val="00932E26"/>
    <w:rsid w:val="009459F0"/>
    <w:rsid w:val="009F28D3"/>
    <w:rsid w:val="00A04DAE"/>
    <w:rsid w:val="00A357B7"/>
    <w:rsid w:val="00A376CC"/>
    <w:rsid w:val="00A4509A"/>
    <w:rsid w:val="00A54E94"/>
    <w:rsid w:val="00A779D1"/>
    <w:rsid w:val="00A8269B"/>
    <w:rsid w:val="00A8274B"/>
    <w:rsid w:val="00A853BF"/>
    <w:rsid w:val="00AA2B4A"/>
    <w:rsid w:val="00AB0A7B"/>
    <w:rsid w:val="00AB1A3B"/>
    <w:rsid w:val="00B15363"/>
    <w:rsid w:val="00B16512"/>
    <w:rsid w:val="00BA0426"/>
    <w:rsid w:val="00BA4277"/>
    <w:rsid w:val="00BE6E5E"/>
    <w:rsid w:val="00BF1914"/>
    <w:rsid w:val="00BF2D75"/>
    <w:rsid w:val="00C13E7E"/>
    <w:rsid w:val="00C62A14"/>
    <w:rsid w:val="00C65A6C"/>
    <w:rsid w:val="00C90C77"/>
    <w:rsid w:val="00CA6D4D"/>
    <w:rsid w:val="00CB47B3"/>
    <w:rsid w:val="00CB561F"/>
    <w:rsid w:val="00CE4B94"/>
    <w:rsid w:val="00D07BD2"/>
    <w:rsid w:val="00D61712"/>
    <w:rsid w:val="00D63E07"/>
    <w:rsid w:val="00D652BD"/>
    <w:rsid w:val="00D67C25"/>
    <w:rsid w:val="00DA3B5B"/>
    <w:rsid w:val="00DA3EB6"/>
    <w:rsid w:val="00DA5339"/>
    <w:rsid w:val="00DC0140"/>
    <w:rsid w:val="00DD14FE"/>
    <w:rsid w:val="00E0560E"/>
    <w:rsid w:val="00E22CC2"/>
    <w:rsid w:val="00E407D1"/>
    <w:rsid w:val="00E65E34"/>
    <w:rsid w:val="00EA1C14"/>
    <w:rsid w:val="00ED34A7"/>
    <w:rsid w:val="00F255A5"/>
    <w:rsid w:val="00F5496D"/>
    <w:rsid w:val="00F61F03"/>
    <w:rsid w:val="00FA0B9E"/>
    <w:rsid w:val="00FA4191"/>
    <w:rsid w:val="00FB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62E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07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640"/>
  </w:style>
  <w:style w:type="paragraph" w:styleId="Footer">
    <w:name w:val="footer"/>
    <w:basedOn w:val="Normal"/>
    <w:link w:val="FooterChar"/>
    <w:uiPriority w:val="99"/>
    <w:unhideWhenUsed/>
    <w:rsid w:val="00707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640"/>
  </w:style>
  <w:style w:type="paragraph" w:styleId="BalloonText">
    <w:name w:val="Balloon Text"/>
    <w:basedOn w:val="Normal"/>
    <w:link w:val="BalloonTextChar"/>
    <w:uiPriority w:val="99"/>
    <w:semiHidden/>
    <w:unhideWhenUsed/>
    <w:rsid w:val="0052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5B6"/>
    <w:rPr>
      <w:rFonts w:ascii="Tahoma" w:hAnsi="Tahoma" w:cs="Tahoma"/>
      <w:sz w:val="16"/>
      <w:szCs w:val="16"/>
    </w:rPr>
  </w:style>
  <w:style w:type="table" w:customStyle="1" w:styleId="GridTableLight">
    <w:name w:val="Grid Table Light"/>
    <w:basedOn w:val="TableNormal"/>
    <w:uiPriority w:val="40"/>
    <w:rsid w:val="00390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22E05"/>
    <w:rPr>
      <w:sz w:val="16"/>
      <w:szCs w:val="16"/>
    </w:rPr>
  </w:style>
  <w:style w:type="paragraph" w:styleId="CommentText">
    <w:name w:val="annotation text"/>
    <w:basedOn w:val="Normal"/>
    <w:link w:val="CommentTextChar"/>
    <w:uiPriority w:val="99"/>
    <w:semiHidden/>
    <w:unhideWhenUsed/>
    <w:rsid w:val="00322E05"/>
    <w:pPr>
      <w:spacing w:line="240" w:lineRule="auto"/>
    </w:pPr>
    <w:rPr>
      <w:sz w:val="20"/>
      <w:szCs w:val="20"/>
    </w:rPr>
  </w:style>
  <w:style w:type="character" w:customStyle="1" w:styleId="CommentTextChar">
    <w:name w:val="Comment Text Char"/>
    <w:basedOn w:val="DefaultParagraphFont"/>
    <w:link w:val="CommentText"/>
    <w:uiPriority w:val="99"/>
    <w:semiHidden/>
    <w:rsid w:val="00322E05"/>
    <w:rPr>
      <w:sz w:val="20"/>
      <w:szCs w:val="20"/>
    </w:rPr>
  </w:style>
  <w:style w:type="paragraph" w:styleId="CommentSubject">
    <w:name w:val="annotation subject"/>
    <w:basedOn w:val="CommentText"/>
    <w:next w:val="CommentText"/>
    <w:link w:val="CommentSubjectChar"/>
    <w:uiPriority w:val="99"/>
    <w:semiHidden/>
    <w:unhideWhenUsed/>
    <w:rsid w:val="00322E05"/>
    <w:rPr>
      <w:b/>
      <w:bCs/>
    </w:rPr>
  </w:style>
  <w:style w:type="character" w:customStyle="1" w:styleId="CommentSubjectChar">
    <w:name w:val="Comment Subject Char"/>
    <w:basedOn w:val="CommentTextChar"/>
    <w:link w:val="CommentSubject"/>
    <w:uiPriority w:val="99"/>
    <w:semiHidden/>
    <w:rsid w:val="00322E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62E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07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640"/>
  </w:style>
  <w:style w:type="paragraph" w:styleId="Footer">
    <w:name w:val="footer"/>
    <w:basedOn w:val="Normal"/>
    <w:link w:val="FooterChar"/>
    <w:uiPriority w:val="99"/>
    <w:unhideWhenUsed/>
    <w:rsid w:val="00707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640"/>
  </w:style>
  <w:style w:type="paragraph" w:styleId="BalloonText">
    <w:name w:val="Balloon Text"/>
    <w:basedOn w:val="Normal"/>
    <w:link w:val="BalloonTextChar"/>
    <w:uiPriority w:val="99"/>
    <w:semiHidden/>
    <w:unhideWhenUsed/>
    <w:rsid w:val="0052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5B6"/>
    <w:rPr>
      <w:rFonts w:ascii="Tahoma" w:hAnsi="Tahoma" w:cs="Tahoma"/>
      <w:sz w:val="16"/>
      <w:szCs w:val="16"/>
    </w:rPr>
  </w:style>
  <w:style w:type="table" w:customStyle="1" w:styleId="GridTableLight">
    <w:name w:val="Grid Table Light"/>
    <w:basedOn w:val="TableNormal"/>
    <w:uiPriority w:val="40"/>
    <w:rsid w:val="00390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22E05"/>
    <w:rPr>
      <w:sz w:val="16"/>
      <w:szCs w:val="16"/>
    </w:rPr>
  </w:style>
  <w:style w:type="paragraph" w:styleId="CommentText">
    <w:name w:val="annotation text"/>
    <w:basedOn w:val="Normal"/>
    <w:link w:val="CommentTextChar"/>
    <w:uiPriority w:val="99"/>
    <w:semiHidden/>
    <w:unhideWhenUsed/>
    <w:rsid w:val="00322E05"/>
    <w:pPr>
      <w:spacing w:line="240" w:lineRule="auto"/>
    </w:pPr>
    <w:rPr>
      <w:sz w:val="20"/>
      <w:szCs w:val="20"/>
    </w:rPr>
  </w:style>
  <w:style w:type="character" w:customStyle="1" w:styleId="CommentTextChar">
    <w:name w:val="Comment Text Char"/>
    <w:basedOn w:val="DefaultParagraphFont"/>
    <w:link w:val="CommentText"/>
    <w:uiPriority w:val="99"/>
    <w:semiHidden/>
    <w:rsid w:val="00322E05"/>
    <w:rPr>
      <w:sz w:val="20"/>
      <w:szCs w:val="20"/>
    </w:rPr>
  </w:style>
  <w:style w:type="paragraph" w:styleId="CommentSubject">
    <w:name w:val="annotation subject"/>
    <w:basedOn w:val="CommentText"/>
    <w:next w:val="CommentText"/>
    <w:link w:val="CommentSubjectChar"/>
    <w:uiPriority w:val="99"/>
    <w:semiHidden/>
    <w:unhideWhenUsed/>
    <w:rsid w:val="00322E05"/>
    <w:rPr>
      <w:b/>
      <w:bCs/>
    </w:rPr>
  </w:style>
  <w:style w:type="character" w:customStyle="1" w:styleId="CommentSubjectChar">
    <w:name w:val="Comment Subject Char"/>
    <w:basedOn w:val="CommentTextChar"/>
    <w:link w:val="CommentSubject"/>
    <w:uiPriority w:val="99"/>
    <w:semiHidden/>
    <w:rsid w:val="00322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126">
      <w:bodyDiv w:val="1"/>
      <w:marLeft w:val="0"/>
      <w:marRight w:val="0"/>
      <w:marTop w:val="0"/>
      <w:marBottom w:val="0"/>
      <w:divBdr>
        <w:top w:val="none" w:sz="0" w:space="0" w:color="auto"/>
        <w:left w:val="none" w:sz="0" w:space="0" w:color="auto"/>
        <w:bottom w:val="none" w:sz="0" w:space="0" w:color="auto"/>
        <w:right w:val="none" w:sz="0" w:space="0" w:color="auto"/>
      </w:divBdr>
    </w:div>
    <w:div w:id="187447704">
      <w:bodyDiv w:val="1"/>
      <w:marLeft w:val="0"/>
      <w:marRight w:val="0"/>
      <w:marTop w:val="0"/>
      <w:marBottom w:val="0"/>
      <w:divBdr>
        <w:top w:val="none" w:sz="0" w:space="0" w:color="auto"/>
        <w:left w:val="none" w:sz="0" w:space="0" w:color="auto"/>
        <w:bottom w:val="none" w:sz="0" w:space="0" w:color="auto"/>
        <w:right w:val="none" w:sz="0" w:space="0" w:color="auto"/>
      </w:divBdr>
    </w:div>
    <w:div w:id="202331187">
      <w:bodyDiv w:val="1"/>
      <w:marLeft w:val="0"/>
      <w:marRight w:val="0"/>
      <w:marTop w:val="0"/>
      <w:marBottom w:val="0"/>
      <w:divBdr>
        <w:top w:val="none" w:sz="0" w:space="0" w:color="auto"/>
        <w:left w:val="none" w:sz="0" w:space="0" w:color="auto"/>
        <w:bottom w:val="none" w:sz="0" w:space="0" w:color="auto"/>
        <w:right w:val="none" w:sz="0" w:space="0" w:color="auto"/>
      </w:divBdr>
    </w:div>
    <w:div w:id="205333134">
      <w:bodyDiv w:val="1"/>
      <w:marLeft w:val="0"/>
      <w:marRight w:val="0"/>
      <w:marTop w:val="0"/>
      <w:marBottom w:val="0"/>
      <w:divBdr>
        <w:top w:val="none" w:sz="0" w:space="0" w:color="auto"/>
        <w:left w:val="none" w:sz="0" w:space="0" w:color="auto"/>
        <w:bottom w:val="none" w:sz="0" w:space="0" w:color="auto"/>
        <w:right w:val="none" w:sz="0" w:space="0" w:color="auto"/>
      </w:divBdr>
    </w:div>
    <w:div w:id="240604565">
      <w:bodyDiv w:val="1"/>
      <w:marLeft w:val="0"/>
      <w:marRight w:val="0"/>
      <w:marTop w:val="0"/>
      <w:marBottom w:val="0"/>
      <w:divBdr>
        <w:top w:val="none" w:sz="0" w:space="0" w:color="auto"/>
        <w:left w:val="none" w:sz="0" w:space="0" w:color="auto"/>
        <w:bottom w:val="none" w:sz="0" w:space="0" w:color="auto"/>
        <w:right w:val="none" w:sz="0" w:space="0" w:color="auto"/>
      </w:divBdr>
    </w:div>
    <w:div w:id="325208425">
      <w:bodyDiv w:val="1"/>
      <w:marLeft w:val="0"/>
      <w:marRight w:val="0"/>
      <w:marTop w:val="0"/>
      <w:marBottom w:val="0"/>
      <w:divBdr>
        <w:top w:val="none" w:sz="0" w:space="0" w:color="auto"/>
        <w:left w:val="none" w:sz="0" w:space="0" w:color="auto"/>
        <w:bottom w:val="none" w:sz="0" w:space="0" w:color="auto"/>
        <w:right w:val="none" w:sz="0" w:space="0" w:color="auto"/>
      </w:divBdr>
    </w:div>
    <w:div w:id="380130782">
      <w:bodyDiv w:val="1"/>
      <w:marLeft w:val="0"/>
      <w:marRight w:val="0"/>
      <w:marTop w:val="0"/>
      <w:marBottom w:val="0"/>
      <w:divBdr>
        <w:top w:val="none" w:sz="0" w:space="0" w:color="auto"/>
        <w:left w:val="none" w:sz="0" w:space="0" w:color="auto"/>
        <w:bottom w:val="none" w:sz="0" w:space="0" w:color="auto"/>
        <w:right w:val="none" w:sz="0" w:space="0" w:color="auto"/>
      </w:divBdr>
    </w:div>
    <w:div w:id="387803802">
      <w:bodyDiv w:val="1"/>
      <w:marLeft w:val="0"/>
      <w:marRight w:val="0"/>
      <w:marTop w:val="0"/>
      <w:marBottom w:val="0"/>
      <w:divBdr>
        <w:top w:val="none" w:sz="0" w:space="0" w:color="auto"/>
        <w:left w:val="none" w:sz="0" w:space="0" w:color="auto"/>
        <w:bottom w:val="none" w:sz="0" w:space="0" w:color="auto"/>
        <w:right w:val="none" w:sz="0" w:space="0" w:color="auto"/>
      </w:divBdr>
    </w:div>
    <w:div w:id="412051378">
      <w:bodyDiv w:val="1"/>
      <w:marLeft w:val="0"/>
      <w:marRight w:val="0"/>
      <w:marTop w:val="0"/>
      <w:marBottom w:val="0"/>
      <w:divBdr>
        <w:top w:val="none" w:sz="0" w:space="0" w:color="auto"/>
        <w:left w:val="none" w:sz="0" w:space="0" w:color="auto"/>
        <w:bottom w:val="none" w:sz="0" w:space="0" w:color="auto"/>
        <w:right w:val="none" w:sz="0" w:space="0" w:color="auto"/>
      </w:divBdr>
    </w:div>
    <w:div w:id="439380722">
      <w:bodyDiv w:val="1"/>
      <w:marLeft w:val="0"/>
      <w:marRight w:val="0"/>
      <w:marTop w:val="0"/>
      <w:marBottom w:val="0"/>
      <w:divBdr>
        <w:top w:val="none" w:sz="0" w:space="0" w:color="auto"/>
        <w:left w:val="none" w:sz="0" w:space="0" w:color="auto"/>
        <w:bottom w:val="none" w:sz="0" w:space="0" w:color="auto"/>
        <w:right w:val="none" w:sz="0" w:space="0" w:color="auto"/>
      </w:divBdr>
    </w:div>
    <w:div w:id="654383175">
      <w:bodyDiv w:val="1"/>
      <w:marLeft w:val="0"/>
      <w:marRight w:val="0"/>
      <w:marTop w:val="0"/>
      <w:marBottom w:val="0"/>
      <w:divBdr>
        <w:top w:val="none" w:sz="0" w:space="0" w:color="auto"/>
        <w:left w:val="none" w:sz="0" w:space="0" w:color="auto"/>
        <w:bottom w:val="none" w:sz="0" w:space="0" w:color="auto"/>
        <w:right w:val="none" w:sz="0" w:space="0" w:color="auto"/>
      </w:divBdr>
    </w:div>
    <w:div w:id="761150588">
      <w:bodyDiv w:val="1"/>
      <w:marLeft w:val="0"/>
      <w:marRight w:val="0"/>
      <w:marTop w:val="0"/>
      <w:marBottom w:val="0"/>
      <w:divBdr>
        <w:top w:val="none" w:sz="0" w:space="0" w:color="auto"/>
        <w:left w:val="none" w:sz="0" w:space="0" w:color="auto"/>
        <w:bottom w:val="none" w:sz="0" w:space="0" w:color="auto"/>
        <w:right w:val="none" w:sz="0" w:space="0" w:color="auto"/>
      </w:divBdr>
    </w:div>
    <w:div w:id="849443439">
      <w:bodyDiv w:val="1"/>
      <w:marLeft w:val="0"/>
      <w:marRight w:val="0"/>
      <w:marTop w:val="0"/>
      <w:marBottom w:val="0"/>
      <w:divBdr>
        <w:top w:val="none" w:sz="0" w:space="0" w:color="auto"/>
        <w:left w:val="none" w:sz="0" w:space="0" w:color="auto"/>
        <w:bottom w:val="none" w:sz="0" w:space="0" w:color="auto"/>
        <w:right w:val="none" w:sz="0" w:space="0" w:color="auto"/>
      </w:divBdr>
    </w:div>
    <w:div w:id="851645756">
      <w:bodyDiv w:val="1"/>
      <w:marLeft w:val="0"/>
      <w:marRight w:val="0"/>
      <w:marTop w:val="0"/>
      <w:marBottom w:val="0"/>
      <w:divBdr>
        <w:top w:val="none" w:sz="0" w:space="0" w:color="auto"/>
        <w:left w:val="none" w:sz="0" w:space="0" w:color="auto"/>
        <w:bottom w:val="none" w:sz="0" w:space="0" w:color="auto"/>
        <w:right w:val="none" w:sz="0" w:space="0" w:color="auto"/>
      </w:divBdr>
    </w:div>
    <w:div w:id="957644293">
      <w:bodyDiv w:val="1"/>
      <w:marLeft w:val="0"/>
      <w:marRight w:val="0"/>
      <w:marTop w:val="0"/>
      <w:marBottom w:val="0"/>
      <w:divBdr>
        <w:top w:val="none" w:sz="0" w:space="0" w:color="auto"/>
        <w:left w:val="none" w:sz="0" w:space="0" w:color="auto"/>
        <w:bottom w:val="none" w:sz="0" w:space="0" w:color="auto"/>
        <w:right w:val="none" w:sz="0" w:space="0" w:color="auto"/>
      </w:divBdr>
    </w:div>
    <w:div w:id="1017928230">
      <w:bodyDiv w:val="1"/>
      <w:marLeft w:val="0"/>
      <w:marRight w:val="0"/>
      <w:marTop w:val="0"/>
      <w:marBottom w:val="0"/>
      <w:divBdr>
        <w:top w:val="none" w:sz="0" w:space="0" w:color="auto"/>
        <w:left w:val="none" w:sz="0" w:space="0" w:color="auto"/>
        <w:bottom w:val="none" w:sz="0" w:space="0" w:color="auto"/>
        <w:right w:val="none" w:sz="0" w:space="0" w:color="auto"/>
      </w:divBdr>
    </w:div>
    <w:div w:id="1032610621">
      <w:bodyDiv w:val="1"/>
      <w:marLeft w:val="0"/>
      <w:marRight w:val="0"/>
      <w:marTop w:val="0"/>
      <w:marBottom w:val="0"/>
      <w:divBdr>
        <w:top w:val="none" w:sz="0" w:space="0" w:color="auto"/>
        <w:left w:val="none" w:sz="0" w:space="0" w:color="auto"/>
        <w:bottom w:val="none" w:sz="0" w:space="0" w:color="auto"/>
        <w:right w:val="none" w:sz="0" w:space="0" w:color="auto"/>
      </w:divBdr>
    </w:div>
    <w:div w:id="1093666063">
      <w:bodyDiv w:val="1"/>
      <w:marLeft w:val="0"/>
      <w:marRight w:val="0"/>
      <w:marTop w:val="0"/>
      <w:marBottom w:val="0"/>
      <w:divBdr>
        <w:top w:val="none" w:sz="0" w:space="0" w:color="auto"/>
        <w:left w:val="none" w:sz="0" w:space="0" w:color="auto"/>
        <w:bottom w:val="none" w:sz="0" w:space="0" w:color="auto"/>
        <w:right w:val="none" w:sz="0" w:space="0" w:color="auto"/>
      </w:divBdr>
    </w:div>
    <w:div w:id="1130055254">
      <w:bodyDiv w:val="1"/>
      <w:marLeft w:val="0"/>
      <w:marRight w:val="0"/>
      <w:marTop w:val="0"/>
      <w:marBottom w:val="0"/>
      <w:divBdr>
        <w:top w:val="none" w:sz="0" w:space="0" w:color="auto"/>
        <w:left w:val="none" w:sz="0" w:space="0" w:color="auto"/>
        <w:bottom w:val="none" w:sz="0" w:space="0" w:color="auto"/>
        <w:right w:val="none" w:sz="0" w:space="0" w:color="auto"/>
      </w:divBdr>
    </w:div>
    <w:div w:id="1179005862">
      <w:bodyDiv w:val="1"/>
      <w:marLeft w:val="0"/>
      <w:marRight w:val="0"/>
      <w:marTop w:val="0"/>
      <w:marBottom w:val="0"/>
      <w:divBdr>
        <w:top w:val="none" w:sz="0" w:space="0" w:color="auto"/>
        <w:left w:val="none" w:sz="0" w:space="0" w:color="auto"/>
        <w:bottom w:val="none" w:sz="0" w:space="0" w:color="auto"/>
        <w:right w:val="none" w:sz="0" w:space="0" w:color="auto"/>
      </w:divBdr>
    </w:div>
    <w:div w:id="1215121992">
      <w:bodyDiv w:val="1"/>
      <w:marLeft w:val="0"/>
      <w:marRight w:val="0"/>
      <w:marTop w:val="0"/>
      <w:marBottom w:val="0"/>
      <w:divBdr>
        <w:top w:val="none" w:sz="0" w:space="0" w:color="auto"/>
        <w:left w:val="none" w:sz="0" w:space="0" w:color="auto"/>
        <w:bottom w:val="none" w:sz="0" w:space="0" w:color="auto"/>
        <w:right w:val="none" w:sz="0" w:space="0" w:color="auto"/>
      </w:divBdr>
    </w:div>
    <w:div w:id="1285848655">
      <w:bodyDiv w:val="1"/>
      <w:marLeft w:val="0"/>
      <w:marRight w:val="0"/>
      <w:marTop w:val="0"/>
      <w:marBottom w:val="0"/>
      <w:divBdr>
        <w:top w:val="none" w:sz="0" w:space="0" w:color="auto"/>
        <w:left w:val="none" w:sz="0" w:space="0" w:color="auto"/>
        <w:bottom w:val="none" w:sz="0" w:space="0" w:color="auto"/>
        <w:right w:val="none" w:sz="0" w:space="0" w:color="auto"/>
      </w:divBdr>
    </w:div>
    <w:div w:id="1321694042">
      <w:bodyDiv w:val="1"/>
      <w:marLeft w:val="0"/>
      <w:marRight w:val="0"/>
      <w:marTop w:val="0"/>
      <w:marBottom w:val="0"/>
      <w:divBdr>
        <w:top w:val="none" w:sz="0" w:space="0" w:color="auto"/>
        <w:left w:val="none" w:sz="0" w:space="0" w:color="auto"/>
        <w:bottom w:val="none" w:sz="0" w:space="0" w:color="auto"/>
        <w:right w:val="none" w:sz="0" w:space="0" w:color="auto"/>
      </w:divBdr>
    </w:div>
    <w:div w:id="1344014665">
      <w:bodyDiv w:val="1"/>
      <w:marLeft w:val="0"/>
      <w:marRight w:val="0"/>
      <w:marTop w:val="0"/>
      <w:marBottom w:val="0"/>
      <w:divBdr>
        <w:top w:val="none" w:sz="0" w:space="0" w:color="auto"/>
        <w:left w:val="none" w:sz="0" w:space="0" w:color="auto"/>
        <w:bottom w:val="none" w:sz="0" w:space="0" w:color="auto"/>
        <w:right w:val="none" w:sz="0" w:space="0" w:color="auto"/>
      </w:divBdr>
    </w:div>
    <w:div w:id="1369337087">
      <w:bodyDiv w:val="1"/>
      <w:marLeft w:val="0"/>
      <w:marRight w:val="0"/>
      <w:marTop w:val="0"/>
      <w:marBottom w:val="0"/>
      <w:divBdr>
        <w:top w:val="none" w:sz="0" w:space="0" w:color="auto"/>
        <w:left w:val="none" w:sz="0" w:space="0" w:color="auto"/>
        <w:bottom w:val="none" w:sz="0" w:space="0" w:color="auto"/>
        <w:right w:val="none" w:sz="0" w:space="0" w:color="auto"/>
      </w:divBdr>
    </w:div>
    <w:div w:id="1433890910">
      <w:bodyDiv w:val="1"/>
      <w:marLeft w:val="0"/>
      <w:marRight w:val="0"/>
      <w:marTop w:val="0"/>
      <w:marBottom w:val="0"/>
      <w:divBdr>
        <w:top w:val="none" w:sz="0" w:space="0" w:color="auto"/>
        <w:left w:val="none" w:sz="0" w:space="0" w:color="auto"/>
        <w:bottom w:val="none" w:sz="0" w:space="0" w:color="auto"/>
        <w:right w:val="none" w:sz="0" w:space="0" w:color="auto"/>
      </w:divBdr>
    </w:div>
    <w:div w:id="1497845924">
      <w:bodyDiv w:val="1"/>
      <w:marLeft w:val="0"/>
      <w:marRight w:val="0"/>
      <w:marTop w:val="0"/>
      <w:marBottom w:val="0"/>
      <w:divBdr>
        <w:top w:val="none" w:sz="0" w:space="0" w:color="auto"/>
        <w:left w:val="none" w:sz="0" w:space="0" w:color="auto"/>
        <w:bottom w:val="none" w:sz="0" w:space="0" w:color="auto"/>
        <w:right w:val="none" w:sz="0" w:space="0" w:color="auto"/>
      </w:divBdr>
    </w:div>
    <w:div w:id="1629431990">
      <w:bodyDiv w:val="1"/>
      <w:marLeft w:val="0"/>
      <w:marRight w:val="0"/>
      <w:marTop w:val="0"/>
      <w:marBottom w:val="0"/>
      <w:divBdr>
        <w:top w:val="none" w:sz="0" w:space="0" w:color="auto"/>
        <w:left w:val="none" w:sz="0" w:space="0" w:color="auto"/>
        <w:bottom w:val="none" w:sz="0" w:space="0" w:color="auto"/>
        <w:right w:val="none" w:sz="0" w:space="0" w:color="auto"/>
      </w:divBdr>
    </w:div>
    <w:div w:id="1679650762">
      <w:bodyDiv w:val="1"/>
      <w:marLeft w:val="0"/>
      <w:marRight w:val="0"/>
      <w:marTop w:val="0"/>
      <w:marBottom w:val="0"/>
      <w:divBdr>
        <w:top w:val="none" w:sz="0" w:space="0" w:color="auto"/>
        <w:left w:val="none" w:sz="0" w:space="0" w:color="auto"/>
        <w:bottom w:val="none" w:sz="0" w:space="0" w:color="auto"/>
        <w:right w:val="none" w:sz="0" w:space="0" w:color="auto"/>
      </w:divBdr>
    </w:div>
    <w:div w:id="1812408484">
      <w:bodyDiv w:val="1"/>
      <w:marLeft w:val="0"/>
      <w:marRight w:val="0"/>
      <w:marTop w:val="0"/>
      <w:marBottom w:val="0"/>
      <w:divBdr>
        <w:top w:val="none" w:sz="0" w:space="0" w:color="auto"/>
        <w:left w:val="none" w:sz="0" w:space="0" w:color="auto"/>
        <w:bottom w:val="none" w:sz="0" w:space="0" w:color="auto"/>
        <w:right w:val="none" w:sz="0" w:space="0" w:color="auto"/>
      </w:divBdr>
    </w:div>
    <w:div w:id="1860003161">
      <w:bodyDiv w:val="1"/>
      <w:marLeft w:val="0"/>
      <w:marRight w:val="0"/>
      <w:marTop w:val="0"/>
      <w:marBottom w:val="0"/>
      <w:divBdr>
        <w:top w:val="none" w:sz="0" w:space="0" w:color="auto"/>
        <w:left w:val="none" w:sz="0" w:space="0" w:color="auto"/>
        <w:bottom w:val="none" w:sz="0" w:space="0" w:color="auto"/>
        <w:right w:val="none" w:sz="0" w:space="0" w:color="auto"/>
      </w:divBdr>
    </w:div>
    <w:div w:id="1869414611">
      <w:bodyDiv w:val="1"/>
      <w:marLeft w:val="0"/>
      <w:marRight w:val="0"/>
      <w:marTop w:val="0"/>
      <w:marBottom w:val="0"/>
      <w:divBdr>
        <w:top w:val="none" w:sz="0" w:space="0" w:color="auto"/>
        <w:left w:val="none" w:sz="0" w:space="0" w:color="auto"/>
        <w:bottom w:val="none" w:sz="0" w:space="0" w:color="auto"/>
        <w:right w:val="none" w:sz="0" w:space="0" w:color="auto"/>
      </w:divBdr>
    </w:div>
    <w:div w:id="1874541368">
      <w:bodyDiv w:val="1"/>
      <w:marLeft w:val="0"/>
      <w:marRight w:val="0"/>
      <w:marTop w:val="0"/>
      <w:marBottom w:val="0"/>
      <w:divBdr>
        <w:top w:val="none" w:sz="0" w:space="0" w:color="auto"/>
        <w:left w:val="none" w:sz="0" w:space="0" w:color="auto"/>
        <w:bottom w:val="none" w:sz="0" w:space="0" w:color="auto"/>
        <w:right w:val="none" w:sz="0" w:space="0" w:color="auto"/>
      </w:divBdr>
    </w:div>
    <w:div w:id="1939101690">
      <w:bodyDiv w:val="1"/>
      <w:marLeft w:val="0"/>
      <w:marRight w:val="0"/>
      <w:marTop w:val="0"/>
      <w:marBottom w:val="0"/>
      <w:divBdr>
        <w:top w:val="none" w:sz="0" w:space="0" w:color="auto"/>
        <w:left w:val="none" w:sz="0" w:space="0" w:color="auto"/>
        <w:bottom w:val="none" w:sz="0" w:space="0" w:color="auto"/>
        <w:right w:val="none" w:sz="0" w:space="0" w:color="auto"/>
      </w:divBdr>
    </w:div>
    <w:div w:id="2037726839">
      <w:bodyDiv w:val="1"/>
      <w:marLeft w:val="0"/>
      <w:marRight w:val="0"/>
      <w:marTop w:val="0"/>
      <w:marBottom w:val="0"/>
      <w:divBdr>
        <w:top w:val="none" w:sz="0" w:space="0" w:color="auto"/>
        <w:left w:val="none" w:sz="0" w:space="0" w:color="auto"/>
        <w:bottom w:val="none" w:sz="0" w:space="0" w:color="auto"/>
        <w:right w:val="none" w:sz="0" w:space="0" w:color="auto"/>
      </w:divBdr>
    </w:div>
    <w:div w:id="2039427821">
      <w:bodyDiv w:val="1"/>
      <w:marLeft w:val="0"/>
      <w:marRight w:val="0"/>
      <w:marTop w:val="0"/>
      <w:marBottom w:val="0"/>
      <w:divBdr>
        <w:top w:val="none" w:sz="0" w:space="0" w:color="auto"/>
        <w:left w:val="none" w:sz="0" w:space="0" w:color="auto"/>
        <w:bottom w:val="none" w:sz="0" w:space="0" w:color="auto"/>
        <w:right w:val="none" w:sz="0" w:space="0" w:color="auto"/>
      </w:divBdr>
    </w:div>
    <w:div w:id="20581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2015-12-15T08:00:00+00:00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8AE96-83AB-4123-82C3-8642D8DDC33D}"/>
</file>

<file path=customXml/itemProps2.xml><?xml version="1.0" encoding="utf-8"?>
<ds:datastoreItem xmlns:ds="http://schemas.openxmlformats.org/officeDocument/2006/customXml" ds:itemID="{AB320841-0269-4418-A9EC-FDA14DB4F5BC}"/>
</file>

<file path=customXml/itemProps3.xml><?xml version="1.0" encoding="utf-8"?>
<ds:datastoreItem xmlns:ds="http://schemas.openxmlformats.org/officeDocument/2006/customXml" ds:itemID="{7E6AA92F-4B33-4AB3-BCA3-BB7C2B0E8F19}"/>
</file>

<file path=customXml/itemProps4.xml><?xml version="1.0" encoding="utf-8"?>
<ds:datastoreItem xmlns:ds="http://schemas.openxmlformats.org/officeDocument/2006/customXml" ds:itemID="{0159B17B-6EF3-4390-A3B7-AC7D9EE133B7}"/>
</file>

<file path=customXml/itemProps5.xml><?xml version="1.0" encoding="utf-8"?>
<ds:datastoreItem xmlns:ds="http://schemas.openxmlformats.org/officeDocument/2006/customXml" ds:itemID="{0A269703-C547-476E-8644-E09A22A47BE5}"/>
</file>

<file path=docProps/app.xml><?xml version="1.0" encoding="utf-8"?>
<Properties xmlns="http://schemas.openxmlformats.org/officeDocument/2006/extended-properties" xmlns:vt="http://schemas.openxmlformats.org/officeDocument/2006/docPropsVTypes">
  <Template>Normal.dotm</Template>
  <TotalTime>0</TotalTime>
  <Pages>11</Pages>
  <Words>3731</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The Energy Trust of Oregon</Company>
  <LinksUpToDate>false</LinksUpToDate>
  <CharactersWithSpaces>24949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Hudson</dc:creator>
  <cp:lastModifiedBy>Hammer, Gail </cp:lastModifiedBy>
  <cp:revision>2</cp:revision>
  <dcterms:created xsi:type="dcterms:W3CDTF">2015-12-15T20:29:00Z</dcterms:created>
  <dcterms:modified xsi:type="dcterms:W3CDTF">2015-12-15T20:29:00Z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0x0101006E56B4D1795A2E4DB2F0B01679ED314A00B9D47D3FFA0C4E438A251DA7753C113E</vt:lpwstr>
  </property>
  <property fmtid="{D5CDD505-2E9C-101B-9397-08002B2CF9AE}" pid="3" name="_dlc_DocIdItemGuid">
    <vt:lpwstr>5cf6e3ff-1344-4d5b-8d4e-52743beec80f</vt:lpwstr>
  </property>
  <property fmtid="{D5CDD505-2E9C-101B-9397-08002B2CF9AE}" pid="4" name="_docset_NoMedatataSyncRequired">
    <vt:lpwstr>False</vt:lpwstr>
  </property>
</Properties>
</file>