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AF92E" w14:textId="77777777" w:rsidR="00AE64C6" w:rsidRPr="004A2910" w:rsidRDefault="00AE64C6" w:rsidP="00277DE4">
      <w:pPr>
        <w:tabs>
          <w:tab w:val="center" w:pos="4680"/>
        </w:tabs>
        <w:ind w:right="18"/>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14:paraId="01EAF92F" w14:textId="77777777" w:rsidR="00AE64C6" w:rsidRPr="004A2910" w:rsidRDefault="00AE64C6" w:rsidP="00277DE4">
      <w:pPr>
        <w:jc w:val="both"/>
        <w:rPr>
          <w:sz w:val="24"/>
        </w:rPr>
      </w:pPr>
    </w:p>
    <w:p w14:paraId="01EAF930" w14:textId="77777777" w:rsidR="00AE64C6" w:rsidRPr="004A2910" w:rsidRDefault="00AE64C6" w:rsidP="00277DE4">
      <w:pPr>
        <w:jc w:val="both"/>
        <w:rPr>
          <w:sz w:val="24"/>
        </w:rPr>
      </w:pPr>
    </w:p>
    <w:tbl>
      <w:tblPr>
        <w:tblW w:w="0" w:type="auto"/>
        <w:tblLayout w:type="fixed"/>
        <w:tblCellMar>
          <w:left w:w="124" w:type="dxa"/>
          <w:right w:w="124" w:type="dxa"/>
        </w:tblCellMar>
        <w:tblLook w:val="0000" w:firstRow="0" w:lastRow="0" w:firstColumn="0" w:lastColumn="0" w:noHBand="0" w:noVBand="0"/>
      </w:tblPr>
      <w:tblGrid>
        <w:gridCol w:w="4590"/>
        <w:gridCol w:w="4590"/>
      </w:tblGrid>
      <w:tr w:rsidR="00AE64C6" w:rsidRPr="004A2910" w14:paraId="01EAF93E" w14:textId="77777777" w:rsidTr="008B66D1">
        <w:tc>
          <w:tcPr>
            <w:tcW w:w="4590" w:type="dxa"/>
            <w:tcBorders>
              <w:top w:val="single" w:sz="6" w:space="0" w:color="FFFFFF"/>
              <w:left w:val="single" w:sz="6" w:space="0" w:color="FFFFFF"/>
              <w:bottom w:val="single" w:sz="7" w:space="0" w:color="000000"/>
              <w:right w:val="single" w:sz="6" w:space="0" w:color="FFFFFF"/>
            </w:tcBorders>
          </w:tcPr>
          <w:p w14:paraId="01EAF931" w14:textId="77777777" w:rsidR="00E33329" w:rsidRPr="005E52E7" w:rsidRDefault="00E33329" w:rsidP="00277DE4">
            <w:pPr>
              <w:spacing w:after="19"/>
              <w:rPr>
                <w:color w:val="000000"/>
                <w:sz w:val="24"/>
              </w:rPr>
            </w:pPr>
            <w:r w:rsidRPr="005E52E7">
              <w:rPr>
                <w:color w:val="000000"/>
                <w:sz w:val="24"/>
              </w:rPr>
              <w:t>In the Matter of</w:t>
            </w:r>
          </w:p>
          <w:p w14:paraId="01EAF932" w14:textId="77777777" w:rsidR="00E33329" w:rsidRPr="005E52E7" w:rsidRDefault="00E33329" w:rsidP="00277DE4">
            <w:pPr>
              <w:spacing w:after="19"/>
              <w:rPr>
                <w:color w:val="000000"/>
                <w:sz w:val="24"/>
              </w:rPr>
            </w:pPr>
          </w:p>
          <w:p w14:paraId="01EAF933" w14:textId="77777777" w:rsidR="00E33329" w:rsidRPr="005E52E7" w:rsidRDefault="00E33329" w:rsidP="00277DE4">
            <w:pPr>
              <w:spacing w:after="19"/>
              <w:rPr>
                <w:color w:val="000000"/>
                <w:sz w:val="24"/>
              </w:rPr>
            </w:pPr>
          </w:p>
          <w:p w14:paraId="01EAF934" w14:textId="77777777" w:rsidR="00E33329" w:rsidRPr="005E52E7" w:rsidRDefault="00E33329" w:rsidP="00277DE4">
            <w:pPr>
              <w:spacing w:after="19"/>
              <w:rPr>
                <w:color w:val="000000"/>
                <w:sz w:val="24"/>
              </w:rPr>
            </w:pPr>
            <w:r w:rsidRPr="005E52E7">
              <w:rPr>
                <w:color w:val="000000"/>
                <w:sz w:val="24"/>
              </w:rPr>
              <w:t>PUGET SOUND ENERGY</w:t>
            </w:r>
          </w:p>
          <w:p w14:paraId="01EAF935" w14:textId="77777777" w:rsidR="00E33329" w:rsidRPr="005E52E7" w:rsidRDefault="00E33329" w:rsidP="00277DE4">
            <w:pPr>
              <w:spacing w:after="19"/>
              <w:rPr>
                <w:color w:val="000000"/>
                <w:sz w:val="24"/>
              </w:rPr>
            </w:pPr>
          </w:p>
          <w:p w14:paraId="01EAF936" w14:textId="77777777" w:rsidR="00E33329" w:rsidRPr="005E52E7" w:rsidRDefault="00E33329" w:rsidP="00277DE4">
            <w:pPr>
              <w:spacing w:after="19"/>
              <w:rPr>
                <w:color w:val="000000"/>
                <w:sz w:val="24"/>
              </w:rPr>
            </w:pPr>
          </w:p>
          <w:p w14:paraId="01EAF937" w14:textId="77777777" w:rsidR="00AE64C6" w:rsidRDefault="00E33329" w:rsidP="00277DE4">
            <w:pPr>
              <w:rPr>
                <w:color w:val="000000"/>
                <w:sz w:val="24"/>
              </w:rPr>
            </w:pPr>
            <w:r w:rsidRPr="005E52E7">
              <w:rPr>
                <w:color w:val="000000"/>
                <w:sz w:val="24"/>
              </w:rPr>
              <w:t>Report Identifying Its 2016-2025 Ten-Year Achievable Electric Conservation Potential and Its 2016-2017 Electric Biennial Conservation Target Under RCW 19.285.040 and WAC 480-109-010</w:t>
            </w:r>
          </w:p>
          <w:p w14:paraId="01EAF938" w14:textId="77777777" w:rsidR="00DC5BCC" w:rsidRPr="004A2910" w:rsidRDefault="00DC5BCC" w:rsidP="00277DE4">
            <w:pP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01EAF939" w14:textId="77777777" w:rsidR="00E33329" w:rsidRPr="00E33329" w:rsidRDefault="00E33329" w:rsidP="00DB20E2">
            <w:pPr>
              <w:ind w:left="408"/>
              <w:rPr>
                <w:sz w:val="24"/>
              </w:rPr>
            </w:pPr>
            <w:r w:rsidRPr="00E33329">
              <w:rPr>
                <w:sz w:val="24"/>
              </w:rPr>
              <w:t xml:space="preserve">DOCKET UE-152058 </w:t>
            </w:r>
          </w:p>
          <w:p w14:paraId="01EAF93A" w14:textId="77777777" w:rsidR="00E33329" w:rsidRPr="00E33329" w:rsidRDefault="00E33329" w:rsidP="00DB20E2">
            <w:pPr>
              <w:ind w:left="408"/>
              <w:rPr>
                <w:sz w:val="24"/>
              </w:rPr>
            </w:pPr>
            <w:r w:rsidRPr="00E33329">
              <w:rPr>
                <w:sz w:val="24"/>
              </w:rPr>
              <w:t>DOCKET UE-152042</w:t>
            </w:r>
          </w:p>
          <w:p w14:paraId="01EAF93B" w14:textId="77777777" w:rsidR="00E33329" w:rsidRPr="00E33329" w:rsidRDefault="00E33329" w:rsidP="00DB20E2">
            <w:pPr>
              <w:ind w:left="408"/>
              <w:rPr>
                <w:sz w:val="24"/>
              </w:rPr>
            </w:pPr>
          </w:p>
          <w:p w14:paraId="01EAF93C" w14:textId="77777777" w:rsidR="00E33329" w:rsidRPr="00E33329" w:rsidRDefault="00E33329" w:rsidP="00DB20E2">
            <w:pPr>
              <w:ind w:left="408"/>
              <w:rPr>
                <w:sz w:val="24"/>
              </w:rPr>
            </w:pPr>
          </w:p>
          <w:p w14:paraId="01EAF93D" w14:textId="77777777" w:rsidR="00AE64C6" w:rsidRPr="00F03002" w:rsidRDefault="00E33329" w:rsidP="00DB20E2">
            <w:pPr>
              <w:ind w:left="408"/>
              <w:rPr>
                <w:sz w:val="24"/>
              </w:rPr>
            </w:pPr>
            <w:r w:rsidRPr="00E33329">
              <w:rPr>
                <w:sz w:val="24"/>
              </w:rPr>
              <w:t>COMMISSION STAFF’S ANSWER TO THE PETITION OF PUGET SOUND ENERGY SEEKING AUTHORIZATION TO APPLY EXCESS CONSERVATION SAVINGS TO FUTURE DECOUPLING CONSERVATION TARGET SHORTFALL</w:t>
            </w:r>
          </w:p>
        </w:tc>
      </w:tr>
    </w:tbl>
    <w:p w14:paraId="01EAF93F" w14:textId="77777777" w:rsidR="00AE64C6" w:rsidRDefault="00AE64C6" w:rsidP="00277DE4">
      <w:pPr>
        <w:jc w:val="both"/>
        <w:rPr>
          <w:sz w:val="24"/>
        </w:rPr>
      </w:pPr>
    </w:p>
    <w:p w14:paraId="01EAF940" w14:textId="77777777" w:rsidR="005E51C2" w:rsidRPr="009A4EF2" w:rsidRDefault="00E33329" w:rsidP="009A4EF2">
      <w:pPr>
        <w:pStyle w:val="Heading1"/>
      </w:pPr>
      <w:r w:rsidRPr="00552198">
        <w:t>INTRODUCTION</w:t>
      </w:r>
    </w:p>
    <w:p w14:paraId="01EAF941" w14:textId="77777777" w:rsidR="00E33329" w:rsidRPr="00C07709" w:rsidRDefault="00E06E21" w:rsidP="00047038">
      <w:pPr>
        <w:widowControl/>
        <w:numPr>
          <w:ilvl w:val="0"/>
          <w:numId w:val="4"/>
        </w:numPr>
        <w:tabs>
          <w:tab w:val="clear" w:pos="1080"/>
          <w:tab w:val="left" w:pos="0"/>
        </w:tabs>
        <w:autoSpaceDE/>
        <w:autoSpaceDN/>
        <w:adjustRightInd/>
        <w:spacing w:line="480" w:lineRule="auto"/>
        <w:ind w:left="0" w:hanging="720"/>
        <w:rPr>
          <w:sz w:val="24"/>
        </w:rPr>
      </w:pPr>
      <w:r w:rsidRPr="00C07709">
        <w:rPr>
          <w:sz w:val="24"/>
        </w:rPr>
        <w:t xml:space="preserve"> </w:t>
      </w:r>
      <w:r w:rsidR="00E33329" w:rsidRPr="00C07709">
        <w:rPr>
          <w:sz w:val="24"/>
        </w:rPr>
        <w:t xml:space="preserve"> </w:t>
      </w:r>
      <w:r w:rsidR="00E33329" w:rsidRPr="00C07709">
        <w:rPr>
          <w:sz w:val="24"/>
        </w:rPr>
        <w:tab/>
      </w:r>
      <w:r w:rsidR="00C07709" w:rsidRPr="00C07709">
        <w:rPr>
          <w:sz w:val="24"/>
        </w:rPr>
        <w:t>In Docket</w:t>
      </w:r>
      <w:r w:rsidR="00E33329" w:rsidRPr="00C07709">
        <w:rPr>
          <w:sz w:val="24"/>
        </w:rPr>
        <w:t xml:space="preserve"> UE</w:t>
      </w:r>
      <w:r w:rsidR="00E33329" w:rsidRPr="00C07709">
        <w:rPr>
          <w:sz w:val="24"/>
        </w:rPr>
        <w:noBreakHyphen/>
        <w:t xml:space="preserve">132043, </w:t>
      </w:r>
      <w:r w:rsidR="00C07709" w:rsidRPr="00C07709">
        <w:rPr>
          <w:sz w:val="24"/>
        </w:rPr>
        <w:t xml:space="preserve">Commission Staff (Staff) </w:t>
      </w:r>
      <w:r w:rsidR="00E33329" w:rsidRPr="00C07709">
        <w:rPr>
          <w:sz w:val="24"/>
        </w:rPr>
        <w:t xml:space="preserve">recommended that </w:t>
      </w:r>
      <w:r w:rsidR="00C07709">
        <w:rPr>
          <w:sz w:val="24"/>
        </w:rPr>
        <w:t>Puget Sound Energy (PSE or the Company)</w:t>
      </w:r>
      <w:r w:rsidR="00E33329" w:rsidRPr="00C07709">
        <w:rPr>
          <w:sz w:val="24"/>
        </w:rPr>
        <w:t xml:space="preserve"> file a petition with the Commission to address</w:t>
      </w:r>
      <w:r w:rsidR="00C07709" w:rsidRPr="00C07709">
        <w:rPr>
          <w:sz w:val="24"/>
        </w:rPr>
        <w:t xml:space="preserve"> the question of “whether excess savings should be allowed to make up for a future shortfall in PSE’s decoupling commitment.”</w:t>
      </w:r>
      <w:r w:rsidR="00C07709">
        <w:rPr>
          <w:rStyle w:val="FootnoteReference"/>
          <w:sz w:val="24"/>
        </w:rPr>
        <w:footnoteReference w:id="2"/>
      </w:r>
      <w:r w:rsidR="00C07709" w:rsidRPr="00C07709">
        <w:rPr>
          <w:sz w:val="24"/>
        </w:rPr>
        <w:t xml:space="preserve"> There was some confusion, however, amongst the parties as to where (that is, in which docket or case) this question should be addressed.</w:t>
      </w:r>
      <w:r w:rsidR="00C07709">
        <w:rPr>
          <w:sz w:val="24"/>
        </w:rPr>
        <w:t xml:space="preserve"> To resolve this confusion, parties filed a joint motion </w:t>
      </w:r>
      <w:r w:rsidR="00C07709" w:rsidRPr="00C07709">
        <w:rPr>
          <w:sz w:val="24"/>
        </w:rPr>
        <w:t>for ministerial amendment in Dockets UE</w:t>
      </w:r>
      <w:r w:rsidR="00C07709" w:rsidRPr="00C07709">
        <w:rPr>
          <w:sz w:val="24"/>
        </w:rPr>
        <w:noBreakHyphen/>
        <w:t>121697 and UG</w:t>
      </w:r>
      <w:r w:rsidR="00C07709" w:rsidRPr="00C07709">
        <w:rPr>
          <w:sz w:val="24"/>
        </w:rPr>
        <w:noBreakHyphen/>
        <w:t>121705</w:t>
      </w:r>
      <w:r w:rsidR="00C07709">
        <w:rPr>
          <w:sz w:val="24"/>
        </w:rPr>
        <w:t xml:space="preserve"> and </w:t>
      </w:r>
      <w:r w:rsidR="00E33329" w:rsidRPr="00C07709">
        <w:rPr>
          <w:sz w:val="24"/>
        </w:rPr>
        <w:t xml:space="preserve">the Commission granted </w:t>
      </w:r>
      <w:r w:rsidR="00C07709">
        <w:rPr>
          <w:sz w:val="24"/>
        </w:rPr>
        <w:t>that</w:t>
      </w:r>
      <w:r w:rsidR="00E33329" w:rsidRPr="00C07709">
        <w:rPr>
          <w:sz w:val="24"/>
        </w:rPr>
        <w:t xml:space="preserve"> motion, amending Order 07 to include: </w:t>
      </w:r>
    </w:p>
    <w:p w14:paraId="01EAF942" w14:textId="77777777" w:rsidR="00E33329" w:rsidRDefault="00E33329" w:rsidP="00DB20E2">
      <w:pPr>
        <w:widowControl/>
        <w:autoSpaceDE/>
        <w:autoSpaceDN/>
        <w:adjustRightInd/>
        <w:spacing w:after="240"/>
        <w:ind w:left="720" w:right="734"/>
        <w:rPr>
          <w:sz w:val="24"/>
        </w:rPr>
      </w:pPr>
      <w:r w:rsidRPr="00122745">
        <w:rPr>
          <w:sz w:val="24"/>
        </w:rPr>
        <w:t>Prospectively from the date the Commission enters Order 16 in these dockets (i.e., October 14, 2016), issues related to the Company’s decoupling conservation commitments, including compliance with the decoupling conservation commitments approved in this Order 07, will be considered in the same dockets as the Company’s biennial conservation plan and report.</w:t>
      </w:r>
      <w:r>
        <w:rPr>
          <w:rStyle w:val="FootnoteReference"/>
          <w:sz w:val="24"/>
        </w:rPr>
        <w:footnoteReference w:id="3"/>
      </w:r>
    </w:p>
    <w:p w14:paraId="01EAF943" w14:textId="77777777" w:rsidR="00E33329" w:rsidRDefault="00E33329" w:rsidP="00E33329">
      <w:pPr>
        <w:widowControl/>
        <w:tabs>
          <w:tab w:val="left" w:pos="0"/>
        </w:tabs>
        <w:autoSpaceDE/>
        <w:autoSpaceDN/>
        <w:adjustRightInd/>
        <w:spacing w:line="480" w:lineRule="auto"/>
        <w:rPr>
          <w:sz w:val="24"/>
        </w:rPr>
      </w:pPr>
      <w:r>
        <w:rPr>
          <w:sz w:val="24"/>
        </w:rPr>
        <w:lastRenderedPageBreak/>
        <w:t>Th</w:t>
      </w:r>
      <w:r w:rsidR="00C07709">
        <w:rPr>
          <w:sz w:val="24"/>
        </w:rPr>
        <w:t>is ministerial amendment directed</w:t>
      </w:r>
      <w:r>
        <w:rPr>
          <w:sz w:val="24"/>
        </w:rPr>
        <w:t xml:space="preserve"> the Company and parties to address issues regarding </w:t>
      </w:r>
      <w:r w:rsidR="00F34432">
        <w:rPr>
          <w:sz w:val="24"/>
        </w:rPr>
        <w:t>compliance</w:t>
      </w:r>
      <w:r w:rsidR="00C07709">
        <w:rPr>
          <w:sz w:val="24"/>
        </w:rPr>
        <w:t xml:space="preserve"> with </w:t>
      </w:r>
      <w:r>
        <w:rPr>
          <w:sz w:val="24"/>
        </w:rPr>
        <w:t>the Company’s decoupling conservation commitments, including any filings about the use of excess conservation towards compliance with a decoupling conservation commitment, in the same dockets going forward as the Company’s biennial conservation plan and report.</w:t>
      </w:r>
      <w:r>
        <w:rPr>
          <w:rStyle w:val="FootnoteReference"/>
          <w:sz w:val="24"/>
        </w:rPr>
        <w:footnoteReference w:id="4"/>
      </w:r>
    </w:p>
    <w:p w14:paraId="01EAF944" w14:textId="77777777" w:rsidR="00E33329" w:rsidRDefault="00C07709" w:rsidP="00E33329">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t xml:space="preserve">Accordingly, on October 24, 2016, </w:t>
      </w:r>
      <w:r w:rsidR="001C7DE3">
        <w:rPr>
          <w:sz w:val="24"/>
        </w:rPr>
        <w:t>in the same docket as its biennial conservation plan and report, PSE filed its Petition seeking</w:t>
      </w:r>
      <w:r w:rsidR="00082936">
        <w:rPr>
          <w:sz w:val="24"/>
        </w:rPr>
        <w:t xml:space="preserve"> an order from the Commission</w:t>
      </w:r>
      <w:r w:rsidR="001C7DE3">
        <w:rPr>
          <w:sz w:val="24"/>
        </w:rPr>
        <w:t xml:space="preserve"> to authorize</w:t>
      </w:r>
      <w:r w:rsidR="00082936">
        <w:rPr>
          <w:sz w:val="24"/>
        </w:rPr>
        <w:t xml:space="preserve"> the Company to apply excess conservation savings earned in a qualifying biennium to be applied towards a potential shortfall in achieving its future decoupling conservation target.</w:t>
      </w:r>
      <w:r w:rsidR="00C86A26">
        <w:rPr>
          <w:rStyle w:val="FootnoteReference"/>
          <w:sz w:val="24"/>
        </w:rPr>
        <w:footnoteReference w:id="5"/>
      </w:r>
      <w:r w:rsidR="00082936">
        <w:rPr>
          <w:sz w:val="24"/>
        </w:rPr>
        <w:t xml:space="preserve"> </w:t>
      </w:r>
    </w:p>
    <w:p w14:paraId="01EAF945" w14:textId="19BBD517" w:rsidR="00082936" w:rsidRPr="001E322A" w:rsidRDefault="00082936" w:rsidP="00082936">
      <w:pPr>
        <w:widowControl/>
        <w:numPr>
          <w:ilvl w:val="0"/>
          <w:numId w:val="4"/>
        </w:numPr>
        <w:tabs>
          <w:tab w:val="clear" w:pos="1080"/>
          <w:tab w:val="left" w:pos="0"/>
        </w:tabs>
        <w:autoSpaceDE/>
        <w:autoSpaceDN/>
        <w:adjustRightInd/>
        <w:spacing w:line="480" w:lineRule="auto"/>
        <w:ind w:left="0" w:hanging="720"/>
        <w:rPr>
          <w:sz w:val="24"/>
        </w:rPr>
      </w:pPr>
      <w:r>
        <w:rPr>
          <w:sz w:val="24"/>
        </w:rPr>
        <w:tab/>
        <w:t>WAC 480</w:t>
      </w:r>
      <w:r>
        <w:rPr>
          <w:sz w:val="24"/>
        </w:rPr>
        <w:noBreakHyphen/>
        <w:t>07</w:t>
      </w:r>
      <w:r>
        <w:rPr>
          <w:sz w:val="24"/>
        </w:rPr>
        <w:noBreakHyphen/>
        <w:t xml:space="preserve">370(1) allows a party to file an answer to petition with the Commission within twenty days after the petition is filed. Staff files this </w:t>
      </w:r>
      <w:r w:rsidR="00983ADC">
        <w:rPr>
          <w:sz w:val="24"/>
        </w:rPr>
        <w:t>answer</w:t>
      </w:r>
      <w:r>
        <w:rPr>
          <w:sz w:val="24"/>
        </w:rPr>
        <w:t xml:space="preserve"> pursuant to that rule. </w:t>
      </w:r>
      <w:r w:rsidR="00983ADC">
        <w:rPr>
          <w:sz w:val="24"/>
        </w:rPr>
        <w:t>T</w:t>
      </w:r>
      <w:r>
        <w:rPr>
          <w:sz w:val="24"/>
        </w:rPr>
        <w:t xml:space="preserve">he Company filed its petition on October 24, 2016, </w:t>
      </w:r>
      <w:r w:rsidR="00983ADC">
        <w:rPr>
          <w:sz w:val="24"/>
        </w:rPr>
        <w:t xml:space="preserve">therefore </w:t>
      </w:r>
      <w:r>
        <w:rPr>
          <w:sz w:val="24"/>
        </w:rPr>
        <w:t>the deadline for any answer is November 14, 2016.</w:t>
      </w:r>
      <w:r>
        <w:rPr>
          <w:rStyle w:val="FootnoteReference"/>
          <w:sz w:val="24"/>
        </w:rPr>
        <w:footnoteReference w:id="6"/>
      </w:r>
    </w:p>
    <w:p w14:paraId="01EAF946" w14:textId="77777777" w:rsidR="00883DDB" w:rsidRDefault="00883DDB" w:rsidP="009A4EF2">
      <w:pPr>
        <w:pStyle w:val="Heading1"/>
      </w:pPr>
      <w:r w:rsidRPr="00FD221E">
        <w:t>APPLICABLE RULES</w:t>
      </w:r>
    </w:p>
    <w:p w14:paraId="01EAF947" w14:textId="538AE424" w:rsidR="00E33329" w:rsidRPr="001E322A" w:rsidRDefault="00E06E21" w:rsidP="00E33329">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00A34517">
        <w:rPr>
          <w:sz w:val="24"/>
        </w:rPr>
        <w:t xml:space="preserve">This question of excess conservation for the Company’s decoupling conservation </w:t>
      </w:r>
      <w:r w:rsidR="00F34432">
        <w:rPr>
          <w:sz w:val="24"/>
        </w:rPr>
        <w:t>commitment</w:t>
      </w:r>
      <w:r w:rsidR="00A34517">
        <w:rPr>
          <w:sz w:val="24"/>
        </w:rPr>
        <w:t xml:space="preserve"> is related</w:t>
      </w:r>
      <w:r w:rsidR="00CD2C51">
        <w:rPr>
          <w:sz w:val="24"/>
        </w:rPr>
        <w:t xml:space="preserve"> to</w:t>
      </w:r>
      <w:r w:rsidR="00A34517">
        <w:rPr>
          <w:sz w:val="24"/>
        </w:rPr>
        <w:t xml:space="preserve"> the Company’s obligations to comply with conservation requirements in Washington’s Energy In</w:t>
      </w:r>
      <w:r w:rsidR="00CD2C51">
        <w:rPr>
          <w:sz w:val="24"/>
        </w:rPr>
        <w:t xml:space="preserve">dependence Act </w:t>
      </w:r>
      <w:r w:rsidR="004F419B">
        <w:rPr>
          <w:sz w:val="24"/>
        </w:rPr>
        <w:t xml:space="preserve">(EIA) </w:t>
      </w:r>
      <w:r w:rsidR="00CD2C51">
        <w:rPr>
          <w:sz w:val="24"/>
        </w:rPr>
        <w:t>found at RCW 19.285. The Company correctly cites the applicable statutes and rules</w:t>
      </w:r>
      <w:r w:rsidR="00983ADC">
        <w:rPr>
          <w:sz w:val="24"/>
        </w:rPr>
        <w:t>, relevant to its petition</w:t>
      </w:r>
      <w:r w:rsidR="004F419B">
        <w:rPr>
          <w:sz w:val="24"/>
        </w:rPr>
        <w:t xml:space="preserve">: </w:t>
      </w:r>
      <w:r w:rsidR="00CD2C51">
        <w:rPr>
          <w:sz w:val="24"/>
        </w:rPr>
        <w:t>RCW 80.01.040, RCW 19.285, WAC 480</w:t>
      </w:r>
      <w:r w:rsidR="00CD2C51">
        <w:rPr>
          <w:sz w:val="24"/>
        </w:rPr>
        <w:noBreakHyphen/>
        <w:t>109</w:t>
      </w:r>
      <w:r w:rsidR="00AC299D">
        <w:rPr>
          <w:sz w:val="24"/>
        </w:rPr>
        <w:noBreakHyphen/>
        <w:t>100</w:t>
      </w:r>
      <w:r w:rsidR="00CD2C51">
        <w:rPr>
          <w:sz w:val="24"/>
        </w:rPr>
        <w:t>, and WAC 480-07</w:t>
      </w:r>
      <w:r w:rsidR="00CD2C51">
        <w:rPr>
          <w:sz w:val="24"/>
        </w:rPr>
        <w:noBreakHyphen/>
        <w:t>370.</w:t>
      </w:r>
      <w:r w:rsidR="00CD2C51">
        <w:rPr>
          <w:rStyle w:val="FootnoteReference"/>
          <w:sz w:val="24"/>
        </w:rPr>
        <w:footnoteReference w:id="7"/>
      </w:r>
    </w:p>
    <w:p w14:paraId="01EAF948" w14:textId="77777777" w:rsidR="005E51C2" w:rsidRDefault="00E33329" w:rsidP="009A4EF2">
      <w:pPr>
        <w:pStyle w:val="Heading1"/>
      </w:pPr>
      <w:r w:rsidRPr="00277DE4">
        <w:lastRenderedPageBreak/>
        <w:t>RESPONSE</w:t>
      </w:r>
      <w:r>
        <w:t xml:space="preserve"> </w:t>
      </w:r>
    </w:p>
    <w:p w14:paraId="01EAF949" w14:textId="77777777" w:rsidR="004408C7" w:rsidRDefault="004408C7" w:rsidP="002910B9">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t xml:space="preserve">Staff believes that the Company’s petition is timely, relevant, and ripe for determination. Recent updates to RCW 19.285 allowed for excess conservation achieved in prior biennia to be used for compliance towards a utility’s conservation targets </w:t>
      </w:r>
      <w:r w:rsidR="00F34432">
        <w:rPr>
          <w:sz w:val="24"/>
        </w:rPr>
        <w:t>in</w:t>
      </w:r>
      <w:r>
        <w:rPr>
          <w:sz w:val="24"/>
        </w:rPr>
        <w:t xml:space="preserve"> future biennia, but the Commission has not yet determined whether this should encompass the decoupling conservation commitments of PSE. Staff believes this determination is vital to the conservation planning of the Company and </w:t>
      </w:r>
      <w:r w:rsidR="00F34432">
        <w:rPr>
          <w:sz w:val="24"/>
        </w:rPr>
        <w:t xml:space="preserve">that it </w:t>
      </w:r>
      <w:r>
        <w:rPr>
          <w:sz w:val="24"/>
        </w:rPr>
        <w:t xml:space="preserve">would further encourage the Company to </w:t>
      </w:r>
      <w:r w:rsidR="00F34432">
        <w:rPr>
          <w:sz w:val="24"/>
        </w:rPr>
        <w:t>continue striving</w:t>
      </w:r>
      <w:r>
        <w:rPr>
          <w:sz w:val="24"/>
        </w:rPr>
        <w:t xml:space="preserve"> for greater conservation achievements.</w:t>
      </w:r>
    </w:p>
    <w:p w14:paraId="01EAF94A" w14:textId="50F40CFE" w:rsidR="002910B9" w:rsidRDefault="001164E9" w:rsidP="002910B9">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Pr="003E72F2">
        <w:rPr>
          <w:sz w:val="24"/>
        </w:rPr>
        <w:t xml:space="preserve">Staff agrees </w:t>
      </w:r>
      <w:r>
        <w:rPr>
          <w:sz w:val="24"/>
        </w:rPr>
        <w:t xml:space="preserve">with the Company that the Commission should authorize the Company to apply </w:t>
      </w:r>
      <w:r w:rsidRPr="00F235EF">
        <w:rPr>
          <w:color w:val="000000"/>
          <w:sz w:val="24"/>
        </w:rPr>
        <w:t xml:space="preserve">excess electric savings earned in a qualifying biennium to </w:t>
      </w:r>
      <w:r>
        <w:rPr>
          <w:color w:val="000000"/>
          <w:sz w:val="24"/>
        </w:rPr>
        <w:t xml:space="preserve">a </w:t>
      </w:r>
      <w:r w:rsidRPr="00F235EF">
        <w:rPr>
          <w:color w:val="000000"/>
          <w:sz w:val="24"/>
        </w:rPr>
        <w:t xml:space="preserve">potential shortfall of its Commission-approved Decoupling Conservation </w:t>
      </w:r>
      <w:r>
        <w:rPr>
          <w:color w:val="000000"/>
          <w:sz w:val="24"/>
        </w:rPr>
        <w:t>Target</w:t>
      </w:r>
      <w:r w:rsidRPr="00F235EF">
        <w:rPr>
          <w:color w:val="000000"/>
          <w:sz w:val="24"/>
        </w:rPr>
        <w:t xml:space="preserve"> in a future qualifying biennium pursuant to WAC 480</w:t>
      </w:r>
      <w:r w:rsidRPr="00F235EF">
        <w:rPr>
          <w:color w:val="000000"/>
          <w:sz w:val="24"/>
        </w:rPr>
        <w:noBreakHyphen/>
        <w:t>07</w:t>
      </w:r>
      <w:r w:rsidRPr="00F235EF">
        <w:rPr>
          <w:color w:val="000000"/>
          <w:sz w:val="24"/>
        </w:rPr>
        <w:noBreakHyphen/>
        <w:t>370, WAC 480-109-100 and RCW 19.285.</w:t>
      </w:r>
      <w:r>
        <w:rPr>
          <w:color w:val="000000"/>
          <w:sz w:val="24"/>
        </w:rPr>
        <w:t xml:space="preserve"> </w:t>
      </w:r>
      <w:r w:rsidR="002910B9" w:rsidRPr="003E72F2">
        <w:rPr>
          <w:sz w:val="24"/>
        </w:rPr>
        <w:t>In the 2014-2015 biennium, the Company achieved 38,906 megawatt-hours of excess conservation</w:t>
      </w:r>
      <w:r w:rsidR="002910B9">
        <w:rPr>
          <w:sz w:val="24"/>
        </w:rPr>
        <w:t>.</w:t>
      </w:r>
      <w:r w:rsidR="002910B9" w:rsidRPr="003E72F2">
        <w:rPr>
          <w:rStyle w:val="FootnoteReference"/>
          <w:sz w:val="24"/>
        </w:rPr>
        <w:footnoteReference w:id="8"/>
      </w:r>
      <w:r w:rsidR="002910B9">
        <w:rPr>
          <w:sz w:val="24"/>
        </w:rPr>
        <w:t xml:space="preserve"> Staff believes that this amount of excess conservation should be available from the 2014-2015 biennium for use towards a shortfall of the Commission-approved EIA biennial conservation target or the Company’s decoupling conservation commitment (referred to in the Petition as “Decoupling Conservation Target”) in the two </w:t>
      </w:r>
      <w:r w:rsidR="00983ADC">
        <w:rPr>
          <w:sz w:val="24"/>
        </w:rPr>
        <w:t xml:space="preserve">immediately </w:t>
      </w:r>
      <w:r w:rsidR="002910B9">
        <w:rPr>
          <w:sz w:val="24"/>
        </w:rPr>
        <w:t>subsequent biennia (2016-2017, 2018-2019), consistent with the EIA.</w:t>
      </w:r>
    </w:p>
    <w:p w14:paraId="01EAF94B" w14:textId="77777777" w:rsidR="004408C7" w:rsidRPr="004408C7" w:rsidRDefault="004408C7" w:rsidP="004408C7">
      <w:pPr>
        <w:pStyle w:val="Heading4"/>
      </w:pPr>
      <w:r w:rsidRPr="004408C7">
        <w:t>Methodology</w:t>
      </w:r>
    </w:p>
    <w:p w14:paraId="01EAF94C" w14:textId="40D5EE53" w:rsidR="009F0160" w:rsidRDefault="004408C7" w:rsidP="001164E9">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sidR="001164E9">
        <w:rPr>
          <w:sz w:val="24"/>
        </w:rPr>
        <w:tab/>
        <w:t xml:space="preserve">Staff does not agree, however, with the suggestion that the Commission should set a </w:t>
      </w:r>
      <w:r w:rsidR="00983ADC">
        <w:rPr>
          <w:sz w:val="24"/>
        </w:rPr>
        <w:t>binding</w:t>
      </w:r>
      <w:r w:rsidR="001164E9">
        <w:rPr>
          <w:sz w:val="24"/>
        </w:rPr>
        <w:t xml:space="preserve"> methodology</w:t>
      </w:r>
      <w:r w:rsidR="009F0160">
        <w:rPr>
          <w:sz w:val="24"/>
        </w:rPr>
        <w:t>, at this time,</w:t>
      </w:r>
      <w:r w:rsidR="001164E9">
        <w:rPr>
          <w:sz w:val="24"/>
        </w:rPr>
        <w:t xml:space="preserve"> for determining the amount of excess electric savings </w:t>
      </w:r>
      <w:r w:rsidR="001164E9">
        <w:rPr>
          <w:sz w:val="24"/>
        </w:rPr>
        <w:lastRenderedPageBreak/>
        <w:t>achieved</w:t>
      </w:r>
      <w:r w:rsidR="00983ADC">
        <w:rPr>
          <w:sz w:val="24"/>
        </w:rPr>
        <w:t xml:space="preserve"> in every biennium going forward</w:t>
      </w:r>
      <w:r w:rsidR="001164E9">
        <w:rPr>
          <w:sz w:val="24"/>
        </w:rPr>
        <w:t xml:space="preserve">. Staff believes that the Commission should retain its authority and discretion to evaluate a utility’s biennial conservation </w:t>
      </w:r>
      <w:r w:rsidR="009F0160">
        <w:rPr>
          <w:sz w:val="24"/>
        </w:rPr>
        <w:t xml:space="preserve">plan and </w:t>
      </w:r>
      <w:r w:rsidR="005944BE">
        <w:rPr>
          <w:sz w:val="24"/>
        </w:rPr>
        <w:t>report</w:t>
      </w:r>
      <w:r w:rsidR="001164E9">
        <w:rPr>
          <w:sz w:val="24"/>
        </w:rPr>
        <w:t xml:space="preserve"> and </w:t>
      </w:r>
      <w:r w:rsidR="009F0160">
        <w:rPr>
          <w:sz w:val="24"/>
        </w:rPr>
        <w:t xml:space="preserve">to </w:t>
      </w:r>
      <w:r w:rsidR="001164E9">
        <w:rPr>
          <w:sz w:val="24"/>
        </w:rPr>
        <w:t xml:space="preserve">determine </w:t>
      </w:r>
      <w:r w:rsidR="009F0160">
        <w:rPr>
          <w:sz w:val="24"/>
        </w:rPr>
        <w:t xml:space="preserve">based upon the circumstances presented the </w:t>
      </w:r>
      <w:r w:rsidR="001164E9">
        <w:rPr>
          <w:sz w:val="24"/>
        </w:rPr>
        <w:t xml:space="preserve">quantity of excess electric savings the utility has achieved. </w:t>
      </w:r>
    </w:p>
    <w:p w14:paraId="01EAF94D" w14:textId="59157E36" w:rsidR="001164E9" w:rsidRDefault="009F0160" w:rsidP="001164E9">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r>
      <w:r w:rsidR="001164E9">
        <w:rPr>
          <w:sz w:val="24"/>
        </w:rPr>
        <w:t>In its petition, the Company explains a methodology for calculating excess conservation.</w:t>
      </w:r>
      <w:r w:rsidR="001164E9">
        <w:rPr>
          <w:rStyle w:val="FootnoteReference"/>
          <w:sz w:val="24"/>
        </w:rPr>
        <w:footnoteReference w:id="9"/>
      </w:r>
      <w:r w:rsidR="001164E9">
        <w:rPr>
          <w:sz w:val="24"/>
        </w:rPr>
        <w:t xml:space="preserve"> </w:t>
      </w:r>
      <w:r>
        <w:rPr>
          <w:sz w:val="24"/>
        </w:rPr>
        <w:t>Staff does not believe the Company’s petition asks for, or requires, the Commission to determine any particular calculation methodology at this time.</w:t>
      </w:r>
      <w:r>
        <w:rPr>
          <w:rStyle w:val="FootnoteReference"/>
          <w:sz w:val="24"/>
        </w:rPr>
        <w:footnoteReference w:id="10"/>
      </w:r>
      <w:r>
        <w:rPr>
          <w:sz w:val="24"/>
        </w:rPr>
        <w:t xml:space="preserve"> Staff would encourage the Commission to refrain from making such a determination.</w:t>
      </w:r>
      <w:r w:rsidRPr="001164E9">
        <w:rPr>
          <w:sz w:val="24"/>
        </w:rPr>
        <w:t xml:space="preserve"> </w:t>
      </w:r>
      <w:r w:rsidR="001164E9">
        <w:rPr>
          <w:sz w:val="24"/>
        </w:rPr>
        <w:t>If the Commission interprets the Company’s petition as a request for approval of any particular methodology for calculating the amount of excess electric conservation savings,</w:t>
      </w:r>
      <w:r w:rsidR="00983ADC">
        <w:rPr>
          <w:sz w:val="24"/>
        </w:rPr>
        <w:t xml:space="preserve"> for all biennia going forward,</w:t>
      </w:r>
      <w:r w:rsidR="001164E9">
        <w:rPr>
          <w:sz w:val="24"/>
        </w:rPr>
        <w:t xml:space="preserve"> Staff would oppose that element of the Company’s petition.</w:t>
      </w:r>
      <w:r w:rsidR="001164E9" w:rsidRPr="001164E9">
        <w:rPr>
          <w:sz w:val="24"/>
        </w:rPr>
        <w:t xml:space="preserve"> </w:t>
      </w:r>
      <w:r w:rsidR="001164E9">
        <w:rPr>
          <w:sz w:val="24"/>
        </w:rPr>
        <w:t xml:space="preserve">Refraining from </w:t>
      </w:r>
      <w:r w:rsidR="002910B9">
        <w:rPr>
          <w:sz w:val="24"/>
        </w:rPr>
        <w:t xml:space="preserve">a decision at this time </w:t>
      </w:r>
      <w:r w:rsidR="001164E9">
        <w:rPr>
          <w:sz w:val="24"/>
        </w:rPr>
        <w:t xml:space="preserve">would preserve the Commission’s ability to consider circumstances </w:t>
      </w:r>
      <w:r w:rsidR="002910B9">
        <w:rPr>
          <w:sz w:val="24"/>
        </w:rPr>
        <w:t xml:space="preserve">in future biennia </w:t>
      </w:r>
      <w:r w:rsidR="001164E9">
        <w:rPr>
          <w:sz w:val="24"/>
        </w:rPr>
        <w:t xml:space="preserve">that may influence the Commission’s </w:t>
      </w:r>
      <w:r w:rsidR="002910B9">
        <w:rPr>
          <w:sz w:val="24"/>
        </w:rPr>
        <w:t>determination</w:t>
      </w:r>
      <w:r w:rsidR="001164E9">
        <w:rPr>
          <w:sz w:val="24"/>
        </w:rPr>
        <w:t xml:space="preserve"> </w:t>
      </w:r>
      <w:r>
        <w:rPr>
          <w:sz w:val="24"/>
        </w:rPr>
        <w:t>for</w:t>
      </w:r>
      <w:r w:rsidR="001164E9">
        <w:rPr>
          <w:sz w:val="24"/>
        </w:rPr>
        <w:t xml:space="preserve"> </w:t>
      </w:r>
      <w:r w:rsidR="002910B9">
        <w:rPr>
          <w:sz w:val="24"/>
        </w:rPr>
        <w:t>quantifying</w:t>
      </w:r>
      <w:r w:rsidR="001164E9">
        <w:rPr>
          <w:sz w:val="24"/>
        </w:rPr>
        <w:t xml:space="preserve"> excess electric conservation savings.</w:t>
      </w:r>
    </w:p>
    <w:p w14:paraId="01EAF94E" w14:textId="77777777" w:rsidR="004408C7" w:rsidRDefault="004408C7" w:rsidP="004408C7">
      <w:pPr>
        <w:pStyle w:val="Heading4"/>
      </w:pPr>
      <w:r>
        <w:t>EIA Target and Decoupling Commitment</w:t>
      </w:r>
    </w:p>
    <w:p w14:paraId="01EAF94F" w14:textId="77777777" w:rsidR="00027CC4" w:rsidRDefault="004408C7"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sidR="00E06E21">
        <w:rPr>
          <w:sz w:val="24"/>
        </w:rPr>
        <w:tab/>
      </w:r>
      <w:r w:rsidR="00232BC4">
        <w:rPr>
          <w:sz w:val="24"/>
        </w:rPr>
        <w:t>Staff notes that t</w:t>
      </w:r>
      <w:r w:rsidR="004F419B">
        <w:rPr>
          <w:sz w:val="24"/>
        </w:rPr>
        <w:t xml:space="preserve">he Company’s decoupling conservation commitment is inextricably intertwined with its </w:t>
      </w:r>
      <w:r w:rsidR="00232BC4">
        <w:rPr>
          <w:sz w:val="24"/>
        </w:rPr>
        <w:t xml:space="preserve">Commission-approved </w:t>
      </w:r>
      <w:r w:rsidR="004F419B">
        <w:rPr>
          <w:sz w:val="24"/>
        </w:rPr>
        <w:t xml:space="preserve">EIA target. </w:t>
      </w:r>
      <w:r w:rsidR="003E72F2">
        <w:rPr>
          <w:sz w:val="24"/>
        </w:rPr>
        <w:t>The decoupling conservation commitment requires that the Company</w:t>
      </w:r>
      <w:r w:rsidR="004F419B">
        <w:rPr>
          <w:sz w:val="24"/>
        </w:rPr>
        <w:t xml:space="preserve"> achieve an additional five percent of conservation </w:t>
      </w:r>
      <w:r w:rsidR="004F419B">
        <w:rPr>
          <w:sz w:val="24"/>
        </w:rPr>
        <w:lastRenderedPageBreak/>
        <w:t xml:space="preserve">beyond its EIA </w:t>
      </w:r>
      <w:r w:rsidR="00B46660">
        <w:rPr>
          <w:sz w:val="24"/>
        </w:rPr>
        <w:t xml:space="preserve">biennial </w:t>
      </w:r>
      <w:r w:rsidR="004F419B">
        <w:rPr>
          <w:sz w:val="24"/>
        </w:rPr>
        <w:t>target.</w:t>
      </w:r>
      <w:r w:rsidR="00B46660">
        <w:rPr>
          <w:rStyle w:val="FootnoteReference"/>
          <w:sz w:val="24"/>
        </w:rPr>
        <w:footnoteReference w:id="11"/>
      </w:r>
      <w:r w:rsidR="004F419B">
        <w:rPr>
          <w:sz w:val="24"/>
        </w:rPr>
        <w:t xml:space="preserve"> </w:t>
      </w:r>
      <w:r w:rsidR="00B46660">
        <w:rPr>
          <w:sz w:val="24"/>
        </w:rPr>
        <w:t>The Company’s decoupling conservation commitment is</w:t>
      </w:r>
      <w:r w:rsidR="003E72F2">
        <w:rPr>
          <w:sz w:val="24"/>
        </w:rPr>
        <w:t xml:space="preserve"> set</w:t>
      </w:r>
      <w:r w:rsidR="00B46660">
        <w:rPr>
          <w:sz w:val="24"/>
        </w:rPr>
        <w:t xml:space="preserve">, therefore, </w:t>
      </w:r>
      <w:r w:rsidR="003E72F2">
        <w:rPr>
          <w:sz w:val="24"/>
        </w:rPr>
        <w:t>based</w:t>
      </w:r>
      <w:r w:rsidR="00B46660">
        <w:rPr>
          <w:sz w:val="24"/>
        </w:rPr>
        <w:t xml:space="preserve"> upon </w:t>
      </w:r>
      <w:r w:rsidR="003E72F2">
        <w:rPr>
          <w:sz w:val="24"/>
        </w:rPr>
        <w:t>its</w:t>
      </w:r>
      <w:r w:rsidR="00B46660">
        <w:rPr>
          <w:sz w:val="24"/>
        </w:rPr>
        <w:t xml:space="preserve"> </w:t>
      </w:r>
      <w:r w:rsidR="00232BC4">
        <w:rPr>
          <w:sz w:val="24"/>
        </w:rPr>
        <w:t xml:space="preserve">approved </w:t>
      </w:r>
      <w:r w:rsidR="00B46660">
        <w:rPr>
          <w:sz w:val="24"/>
        </w:rPr>
        <w:t xml:space="preserve">EIA </w:t>
      </w:r>
      <w:r w:rsidR="003E72F2">
        <w:rPr>
          <w:sz w:val="24"/>
        </w:rPr>
        <w:t xml:space="preserve">biennial </w:t>
      </w:r>
      <w:r w:rsidR="00B46660">
        <w:rPr>
          <w:sz w:val="24"/>
        </w:rPr>
        <w:t>target.</w:t>
      </w:r>
    </w:p>
    <w:p w14:paraId="01EAF950" w14:textId="77777777" w:rsidR="000B6279" w:rsidRDefault="004F419B" w:rsidP="00BE14A3">
      <w:pPr>
        <w:widowControl/>
        <w:numPr>
          <w:ilvl w:val="0"/>
          <w:numId w:val="4"/>
        </w:numPr>
        <w:tabs>
          <w:tab w:val="clear" w:pos="1080"/>
          <w:tab w:val="left" w:pos="0"/>
        </w:tabs>
        <w:autoSpaceDE/>
        <w:autoSpaceDN/>
        <w:adjustRightInd/>
        <w:spacing w:line="480" w:lineRule="auto"/>
        <w:ind w:left="0" w:hanging="720"/>
        <w:rPr>
          <w:sz w:val="24"/>
        </w:rPr>
      </w:pPr>
      <w:r w:rsidRPr="000B6279">
        <w:rPr>
          <w:sz w:val="24"/>
        </w:rPr>
        <w:t xml:space="preserve"> </w:t>
      </w:r>
      <w:r w:rsidRPr="000B6279">
        <w:rPr>
          <w:sz w:val="24"/>
        </w:rPr>
        <w:tab/>
        <w:t xml:space="preserve">The Company correctly explains </w:t>
      </w:r>
      <w:r w:rsidR="003E72F2" w:rsidRPr="000B6279">
        <w:rPr>
          <w:sz w:val="24"/>
        </w:rPr>
        <w:t xml:space="preserve">in its petition </w:t>
      </w:r>
      <w:r w:rsidRPr="000B6279">
        <w:rPr>
          <w:sz w:val="24"/>
        </w:rPr>
        <w:t>that the EIA was recently updated to allow a utility to use conservation</w:t>
      </w:r>
      <w:r w:rsidR="004C6C8E" w:rsidRPr="000B6279">
        <w:rPr>
          <w:sz w:val="24"/>
        </w:rPr>
        <w:t xml:space="preserve"> achieved</w:t>
      </w:r>
      <w:r w:rsidRPr="000B6279">
        <w:rPr>
          <w:sz w:val="24"/>
        </w:rPr>
        <w:t xml:space="preserve"> </w:t>
      </w:r>
      <w:r w:rsidR="004C6C8E" w:rsidRPr="000B6279">
        <w:rPr>
          <w:sz w:val="24"/>
        </w:rPr>
        <w:t xml:space="preserve">in excess of its biennial target </w:t>
      </w:r>
      <w:r w:rsidRPr="000B6279">
        <w:rPr>
          <w:sz w:val="24"/>
        </w:rPr>
        <w:t xml:space="preserve">in </w:t>
      </w:r>
      <w:r w:rsidR="004C6C8E" w:rsidRPr="000B6279">
        <w:rPr>
          <w:sz w:val="24"/>
        </w:rPr>
        <w:t xml:space="preserve">either of </w:t>
      </w:r>
      <w:r w:rsidRPr="000B6279">
        <w:rPr>
          <w:sz w:val="24"/>
        </w:rPr>
        <w:t xml:space="preserve">the </w:t>
      </w:r>
      <w:r w:rsidR="003E72F2" w:rsidRPr="000B6279">
        <w:rPr>
          <w:sz w:val="24"/>
        </w:rPr>
        <w:t>prior</w:t>
      </w:r>
      <w:r w:rsidRPr="000B6279">
        <w:rPr>
          <w:sz w:val="24"/>
        </w:rPr>
        <w:t xml:space="preserve"> two biennia</w:t>
      </w:r>
      <w:r w:rsidR="004C6C8E" w:rsidRPr="000B6279">
        <w:rPr>
          <w:sz w:val="24"/>
        </w:rPr>
        <w:t xml:space="preserve"> (beginning January 1, 2014) towards a</w:t>
      </w:r>
      <w:r w:rsidRPr="000B6279">
        <w:rPr>
          <w:sz w:val="24"/>
        </w:rPr>
        <w:t xml:space="preserve"> shortfall </w:t>
      </w:r>
      <w:r w:rsidR="004C6C8E" w:rsidRPr="000B6279">
        <w:rPr>
          <w:sz w:val="24"/>
        </w:rPr>
        <w:t>with</w:t>
      </w:r>
      <w:r w:rsidRPr="000B6279">
        <w:rPr>
          <w:sz w:val="24"/>
        </w:rPr>
        <w:t xml:space="preserve"> </w:t>
      </w:r>
      <w:r w:rsidR="003E72F2" w:rsidRPr="000B6279">
        <w:rPr>
          <w:sz w:val="24"/>
        </w:rPr>
        <w:t>the utility’s</w:t>
      </w:r>
      <w:r w:rsidRPr="000B6279">
        <w:rPr>
          <w:sz w:val="24"/>
        </w:rPr>
        <w:t xml:space="preserve"> EIA biennial target, with certain limitations</w:t>
      </w:r>
      <w:r>
        <w:rPr>
          <w:sz w:val="24"/>
        </w:rPr>
        <w:t>.</w:t>
      </w:r>
      <w:r w:rsidRPr="000B6279">
        <w:rPr>
          <w:rStyle w:val="FootnoteReference"/>
          <w:sz w:val="24"/>
        </w:rPr>
        <w:footnoteReference w:id="12"/>
      </w:r>
      <w:r w:rsidRPr="000B6279">
        <w:rPr>
          <w:sz w:val="24"/>
        </w:rPr>
        <w:t xml:space="preserve"> Staff agrees that the update to the EIA does not expressly addre</w:t>
      </w:r>
      <w:r w:rsidR="00B46660" w:rsidRPr="000B6279">
        <w:rPr>
          <w:sz w:val="24"/>
        </w:rPr>
        <w:t xml:space="preserve">ss </w:t>
      </w:r>
      <w:r w:rsidR="004C6C8E" w:rsidRPr="000B6279">
        <w:rPr>
          <w:sz w:val="24"/>
        </w:rPr>
        <w:t>whether</w:t>
      </w:r>
      <w:r w:rsidR="00B46660" w:rsidRPr="000B6279">
        <w:rPr>
          <w:sz w:val="24"/>
        </w:rPr>
        <w:t xml:space="preserve"> </w:t>
      </w:r>
      <w:r w:rsidR="004C6C8E" w:rsidRPr="000B6279">
        <w:rPr>
          <w:sz w:val="24"/>
        </w:rPr>
        <w:t xml:space="preserve">excess conservation should also be allowed to comply with a utility’s </w:t>
      </w:r>
      <w:r w:rsidR="00B46660" w:rsidRPr="000B6279">
        <w:rPr>
          <w:sz w:val="24"/>
        </w:rPr>
        <w:t>decoupling conservation commitments</w:t>
      </w:r>
      <w:r w:rsidR="004C6C8E">
        <w:rPr>
          <w:sz w:val="24"/>
        </w:rPr>
        <w:t>.</w:t>
      </w:r>
      <w:r w:rsidR="004C6C8E" w:rsidRPr="000B6279">
        <w:rPr>
          <w:rStyle w:val="FootnoteReference"/>
          <w:sz w:val="24"/>
        </w:rPr>
        <w:footnoteReference w:id="13"/>
      </w:r>
      <w:r w:rsidR="003E72F2" w:rsidRPr="000B6279">
        <w:rPr>
          <w:sz w:val="24"/>
        </w:rPr>
        <w:t xml:space="preserve"> </w:t>
      </w:r>
      <w:r w:rsidR="004C6C8E" w:rsidRPr="000B6279">
        <w:rPr>
          <w:sz w:val="24"/>
        </w:rPr>
        <w:t>G</w:t>
      </w:r>
      <w:r w:rsidR="003E72F2" w:rsidRPr="000B6279">
        <w:rPr>
          <w:sz w:val="24"/>
        </w:rPr>
        <w:t>uidance from the Commission is appropriate</w:t>
      </w:r>
      <w:r w:rsidR="00B46660" w:rsidRPr="000B6279">
        <w:rPr>
          <w:sz w:val="24"/>
        </w:rPr>
        <w:t>.</w:t>
      </w:r>
      <w:r w:rsidR="004C6C8E">
        <w:rPr>
          <w:sz w:val="24"/>
        </w:rPr>
        <w:t xml:space="preserve"> </w:t>
      </w:r>
      <w:r w:rsidR="00232BC4" w:rsidRPr="000B6279">
        <w:rPr>
          <w:sz w:val="24"/>
        </w:rPr>
        <w:t xml:space="preserve">Staff believes </w:t>
      </w:r>
      <w:r w:rsidR="00037739" w:rsidRPr="000B6279">
        <w:rPr>
          <w:sz w:val="24"/>
        </w:rPr>
        <w:t xml:space="preserve">that allowing the Company to use excess electric conservation from </w:t>
      </w:r>
      <w:r w:rsidR="00B45099" w:rsidRPr="000B6279">
        <w:rPr>
          <w:sz w:val="24"/>
        </w:rPr>
        <w:t>a qualifying</w:t>
      </w:r>
      <w:r w:rsidR="00037739" w:rsidRPr="000B6279">
        <w:rPr>
          <w:sz w:val="24"/>
        </w:rPr>
        <w:t xml:space="preserve"> biennium towards a </w:t>
      </w:r>
      <w:r w:rsidR="00B45099" w:rsidRPr="000B6279">
        <w:rPr>
          <w:sz w:val="24"/>
        </w:rPr>
        <w:t xml:space="preserve">future </w:t>
      </w:r>
      <w:r w:rsidR="00037739" w:rsidRPr="000B6279">
        <w:rPr>
          <w:sz w:val="24"/>
        </w:rPr>
        <w:t xml:space="preserve">shortfall of </w:t>
      </w:r>
      <w:r w:rsidR="00B45099" w:rsidRPr="000B6279">
        <w:rPr>
          <w:sz w:val="24"/>
        </w:rPr>
        <w:t xml:space="preserve">its </w:t>
      </w:r>
      <w:r w:rsidR="00037739" w:rsidRPr="000B6279">
        <w:rPr>
          <w:sz w:val="24"/>
        </w:rPr>
        <w:t xml:space="preserve">decoupling conservation commitment </w:t>
      </w:r>
      <w:r w:rsidR="00232BC4" w:rsidRPr="000B6279">
        <w:rPr>
          <w:sz w:val="24"/>
        </w:rPr>
        <w:t>is consistent with the update to the EIA</w:t>
      </w:r>
      <w:r w:rsidR="00B45099" w:rsidRPr="000B6279">
        <w:rPr>
          <w:sz w:val="24"/>
        </w:rPr>
        <w:t xml:space="preserve">. </w:t>
      </w:r>
    </w:p>
    <w:p w14:paraId="01EAF951" w14:textId="13E88D94" w:rsidR="00947C2A" w:rsidRPr="000B6279" w:rsidRDefault="000B6279" w:rsidP="00F97C07">
      <w:pPr>
        <w:widowControl/>
        <w:numPr>
          <w:ilvl w:val="0"/>
          <w:numId w:val="4"/>
        </w:numPr>
        <w:tabs>
          <w:tab w:val="clear" w:pos="1080"/>
          <w:tab w:val="left" w:pos="0"/>
        </w:tabs>
        <w:autoSpaceDE/>
        <w:autoSpaceDN/>
        <w:adjustRightInd/>
        <w:spacing w:line="480" w:lineRule="auto"/>
        <w:ind w:left="0" w:hanging="720"/>
        <w:rPr>
          <w:sz w:val="24"/>
        </w:rPr>
      </w:pPr>
      <w:r w:rsidRPr="000B6279">
        <w:rPr>
          <w:sz w:val="24"/>
        </w:rPr>
        <w:tab/>
        <w:t>Staff disagrees with NWEC and the concerns it rai</w:t>
      </w:r>
      <w:r w:rsidR="00983ADC">
        <w:rPr>
          <w:sz w:val="24"/>
        </w:rPr>
        <w:t>ses</w:t>
      </w:r>
      <w:r w:rsidRPr="000B6279">
        <w:rPr>
          <w:sz w:val="24"/>
        </w:rPr>
        <w:t xml:space="preserve"> in regard to </w:t>
      </w:r>
      <w:r w:rsidR="00983ADC">
        <w:rPr>
          <w:sz w:val="24"/>
        </w:rPr>
        <w:t>the Company’s</w:t>
      </w:r>
      <w:r w:rsidRPr="000B6279">
        <w:rPr>
          <w:sz w:val="24"/>
        </w:rPr>
        <w:t xml:space="preserve"> petition. Staff encourages the Commission to foresee the implications and impact of a decision to disallow the use of excess conservation for the Company’s decoupling conservation commitment. NWEC</w:t>
      </w:r>
      <w:r w:rsidR="00983ADC">
        <w:rPr>
          <w:sz w:val="24"/>
        </w:rPr>
        <w:t>’s</w:t>
      </w:r>
      <w:r w:rsidRPr="000B6279">
        <w:rPr>
          <w:sz w:val="24"/>
        </w:rPr>
        <w:t xml:space="preserve"> comments imply that granting the Company’s petition </w:t>
      </w:r>
      <w:r w:rsidR="00983ADC">
        <w:rPr>
          <w:sz w:val="24"/>
        </w:rPr>
        <w:t>will</w:t>
      </w:r>
      <w:r w:rsidRPr="000B6279">
        <w:rPr>
          <w:sz w:val="24"/>
        </w:rPr>
        <w:t xml:space="preserve"> disincentivize “pursuing robust conservation targets.”</w:t>
      </w:r>
      <w:r w:rsidR="005944BE">
        <w:rPr>
          <w:rStyle w:val="FootnoteReference"/>
          <w:sz w:val="24"/>
        </w:rPr>
        <w:footnoteReference w:id="14"/>
      </w:r>
      <w:r w:rsidRPr="000B6279">
        <w:rPr>
          <w:sz w:val="24"/>
        </w:rPr>
        <w:t xml:space="preserve"> The opposite is true. </w:t>
      </w:r>
      <w:r>
        <w:rPr>
          <w:sz w:val="24"/>
        </w:rPr>
        <w:t xml:space="preserve">Granting the Company’s petition should encourage greater, and immediate, conservation efforts. </w:t>
      </w:r>
      <w:r w:rsidR="006F2320" w:rsidRPr="000B6279">
        <w:rPr>
          <w:sz w:val="24"/>
        </w:rPr>
        <w:t xml:space="preserve">The update </w:t>
      </w:r>
      <w:r w:rsidR="00E23905">
        <w:rPr>
          <w:sz w:val="24"/>
        </w:rPr>
        <w:t>encourages</w:t>
      </w:r>
      <w:r w:rsidR="00E23905" w:rsidRPr="000B6279">
        <w:rPr>
          <w:sz w:val="24"/>
        </w:rPr>
        <w:t xml:space="preserve"> </w:t>
      </w:r>
      <w:r w:rsidR="006F2320" w:rsidRPr="000B6279">
        <w:rPr>
          <w:sz w:val="24"/>
        </w:rPr>
        <w:t>immediate conservation efforts beyond the Company’s current obligations by allowing t</w:t>
      </w:r>
      <w:r w:rsidR="00947C2A" w:rsidRPr="000B6279">
        <w:rPr>
          <w:sz w:val="24"/>
        </w:rPr>
        <w:t xml:space="preserve">he benefit from </w:t>
      </w:r>
      <w:r w:rsidR="006F2320" w:rsidRPr="000B6279">
        <w:rPr>
          <w:sz w:val="24"/>
        </w:rPr>
        <w:t xml:space="preserve">these </w:t>
      </w:r>
      <w:r w:rsidR="00947C2A" w:rsidRPr="000B6279">
        <w:rPr>
          <w:sz w:val="24"/>
        </w:rPr>
        <w:t xml:space="preserve">conservation </w:t>
      </w:r>
      <w:r w:rsidR="006F2320" w:rsidRPr="000B6279">
        <w:rPr>
          <w:sz w:val="24"/>
        </w:rPr>
        <w:t>efforts</w:t>
      </w:r>
      <w:r w:rsidR="00947C2A" w:rsidRPr="000B6279">
        <w:rPr>
          <w:sz w:val="24"/>
        </w:rPr>
        <w:t xml:space="preserve"> </w:t>
      </w:r>
      <w:r w:rsidR="006F2320" w:rsidRPr="000B6279">
        <w:rPr>
          <w:sz w:val="24"/>
        </w:rPr>
        <w:t>to</w:t>
      </w:r>
      <w:r w:rsidR="00947C2A" w:rsidRPr="000B6279">
        <w:rPr>
          <w:sz w:val="24"/>
        </w:rPr>
        <w:t xml:space="preserve"> be retained</w:t>
      </w:r>
      <w:r w:rsidR="006F2320" w:rsidRPr="000B6279">
        <w:rPr>
          <w:sz w:val="24"/>
        </w:rPr>
        <w:t xml:space="preserve"> for use </w:t>
      </w:r>
      <w:r w:rsidR="006F2320" w:rsidRPr="000B6279">
        <w:rPr>
          <w:sz w:val="24"/>
        </w:rPr>
        <w:lastRenderedPageBreak/>
        <w:t>towards compliance in a later biennium.</w:t>
      </w:r>
      <w:r w:rsidR="005944BE">
        <w:rPr>
          <w:rStyle w:val="FootnoteReference"/>
          <w:sz w:val="24"/>
        </w:rPr>
        <w:footnoteReference w:id="15"/>
      </w:r>
      <w:r w:rsidR="00947C2A" w:rsidRPr="000B6279">
        <w:rPr>
          <w:sz w:val="24"/>
        </w:rPr>
        <w:t xml:space="preserve"> Staff believes it </w:t>
      </w:r>
      <w:r w:rsidR="006F2320" w:rsidRPr="000B6279">
        <w:rPr>
          <w:sz w:val="24"/>
        </w:rPr>
        <w:t>is</w:t>
      </w:r>
      <w:r w:rsidR="00947C2A" w:rsidRPr="000B6279">
        <w:rPr>
          <w:sz w:val="24"/>
        </w:rPr>
        <w:t xml:space="preserve"> consistent for the Commission to </w:t>
      </w:r>
      <w:r w:rsidR="002A6522" w:rsidRPr="000B6279">
        <w:rPr>
          <w:sz w:val="24"/>
        </w:rPr>
        <w:t xml:space="preserve">preserve this incentive by </w:t>
      </w:r>
      <w:r w:rsidR="006F68A5">
        <w:rPr>
          <w:sz w:val="24"/>
        </w:rPr>
        <w:t>allowing the update to RCW 19.285 to encompass</w:t>
      </w:r>
      <w:r w:rsidR="00947C2A" w:rsidRPr="000B6279">
        <w:rPr>
          <w:sz w:val="24"/>
        </w:rPr>
        <w:t xml:space="preserve"> </w:t>
      </w:r>
      <w:r w:rsidR="002A6522" w:rsidRPr="000B6279">
        <w:rPr>
          <w:sz w:val="24"/>
        </w:rPr>
        <w:t xml:space="preserve">the Company’s </w:t>
      </w:r>
      <w:r w:rsidR="00947C2A" w:rsidRPr="000B6279">
        <w:rPr>
          <w:sz w:val="24"/>
        </w:rPr>
        <w:t>decoupling conservation commitments.</w:t>
      </w:r>
      <w:r w:rsidR="005944BE">
        <w:rPr>
          <w:rStyle w:val="FootnoteReference"/>
          <w:sz w:val="24"/>
        </w:rPr>
        <w:footnoteReference w:id="16"/>
      </w:r>
    </w:p>
    <w:p w14:paraId="01EAF952" w14:textId="77777777" w:rsidR="00017B01" w:rsidRDefault="00017B01" w:rsidP="00F03002">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t xml:space="preserve">Staff believes the </w:t>
      </w:r>
      <w:r w:rsidR="00232BC4">
        <w:rPr>
          <w:sz w:val="24"/>
        </w:rPr>
        <w:t xml:space="preserve">hypothetical situation described in the </w:t>
      </w:r>
      <w:r>
        <w:rPr>
          <w:sz w:val="24"/>
        </w:rPr>
        <w:t>Company’</w:t>
      </w:r>
      <w:r w:rsidR="00691380">
        <w:rPr>
          <w:sz w:val="24"/>
        </w:rPr>
        <w:t>s petition presents a fair</w:t>
      </w:r>
      <w:r w:rsidR="002A6522">
        <w:rPr>
          <w:sz w:val="24"/>
        </w:rPr>
        <w:t xml:space="preserve"> and reasonable</w:t>
      </w:r>
      <w:r>
        <w:rPr>
          <w:sz w:val="24"/>
        </w:rPr>
        <w:t xml:space="preserve"> </w:t>
      </w:r>
      <w:r w:rsidR="00232BC4">
        <w:rPr>
          <w:sz w:val="24"/>
        </w:rPr>
        <w:t xml:space="preserve">depiction </w:t>
      </w:r>
      <w:r>
        <w:rPr>
          <w:sz w:val="24"/>
        </w:rPr>
        <w:t xml:space="preserve">of how excess </w:t>
      </w:r>
      <w:r w:rsidR="00037739">
        <w:rPr>
          <w:sz w:val="24"/>
        </w:rPr>
        <w:t xml:space="preserve">electric </w:t>
      </w:r>
      <w:r>
        <w:rPr>
          <w:sz w:val="24"/>
        </w:rPr>
        <w:t xml:space="preserve">conservation could be </w:t>
      </w:r>
      <w:r w:rsidR="00691380">
        <w:rPr>
          <w:sz w:val="24"/>
        </w:rPr>
        <w:t>accounted for and applied</w:t>
      </w:r>
      <w:r>
        <w:rPr>
          <w:sz w:val="24"/>
        </w:rPr>
        <w:t xml:space="preserve"> in the event of a shortfall towards its decoupling conservation commitment.</w:t>
      </w:r>
      <w:r>
        <w:rPr>
          <w:rStyle w:val="FootnoteReference"/>
          <w:sz w:val="24"/>
        </w:rPr>
        <w:footnoteReference w:id="17"/>
      </w:r>
      <w:r w:rsidR="00691380">
        <w:rPr>
          <w:sz w:val="24"/>
        </w:rPr>
        <w:t xml:space="preserve"> In the event of a shortfall, Staff would review the calculations of the Company as part of its evaluation </w:t>
      </w:r>
      <w:r w:rsidR="00947C2A">
        <w:rPr>
          <w:sz w:val="24"/>
        </w:rPr>
        <w:t xml:space="preserve">of the Company’s biennial conservation report, </w:t>
      </w:r>
      <w:r w:rsidR="00691380">
        <w:rPr>
          <w:sz w:val="24"/>
        </w:rPr>
        <w:t>ensur</w:t>
      </w:r>
      <w:r w:rsidR="00947C2A">
        <w:rPr>
          <w:sz w:val="24"/>
        </w:rPr>
        <w:t>ing the calculation’s</w:t>
      </w:r>
      <w:r w:rsidR="00691380">
        <w:rPr>
          <w:sz w:val="24"/>
        </w:rPr>
        <w:t xml:space="preserve"> accuracy and </w:t>
      </w:r>
      <w:r w:rsidR="00947C2A">
        <w:rPr>
          <w:sz w:val="24"/>
        </w:rPr>
        <w:t>the absence of any</w:t>
      </w:r>
      <w:r w:rsidR="00691380">
        <w:rPr>
          <w:sz w:val="24"/>
        </w:rPr>
        <w:t xml:space="preserve"> double-counting.</w:t>
      </w:r>
      <w:r w:rsidR="002A6522">
        <w:rPr>
          <w:sz w:val="24"/>
        </w:rPr>
        <w:t xml:space="preserve"> If any flaws in the methodology used by the Company were found, the Commission could address them and make a determination about the amount of excess electric conservation achieved by the Company.</w:t>
      </w:r>
    </w:p>
    <w:p w14:paraId="01EAF953" w14:textId="77777777" w:rsidR="005E51C2" w:rsidRDefault="005E51C2" w:rsidP="009A4EF2">
      <w:pPr>
        <w:pStyle w:val="Heading1"/>
      </w:pPr>
      <w:r w:rsidRPr="005E51C2">
        <w:t>CONCLUSION</w:t>
      </w:r>
    </w:p>
    <w:p w14:paraId="01EAF954" w14:textId="47906486" w:rsidR="00421CFE" w:rsidRDefault="00E06E21" w:rsidP="000B6279">
      <w:pPr>
        <w:widowControl/>
        <w:numPr>
          <w:ilvl w:val="0"/>
          <w:numId w:val="4"/>
        </w:numPr>
        <w:tabs>
          <w:tab w:val="clear" w:pos="1080"/>
          <w:tab w:val="left" w:pos="0"/>
        </w:tabs>
        <w:autoSpaceDE/>
        <w:autoSpaceDN/>
        <w:adjustRightInd/>
        <w:spacing w:line="480" w:lineRule="auto"/>
        <w:ind w:left="0" w:hanging="720"/>
        <w:rPr>
          <w:sz w:val="24"/>
        </w:rPr>
      </w:pPr>
      <w:r w:rsidRPr="00F4289B">
        <w:rPr>
          <w:sz w:val="24"/>
        </w:rPr>
        <w:t xml:space="preserve"> </w:t>
      </w:r>
      <w:r w:rsidRPr="00F4289B">
        <w:rPr>
          <w:sz w:val="24"/>
        </w:rPr>
        <w:tab/>
      </w:r>
      <w:r w:rsidR="000B6279">
        <w:rPr>
          <w:sz w:val="24"/>
        </w:rPr>
        <w:t xml:space="preserve">Staff opposes any implication that the Commission should predetermine the calculation methodology </w:t>
      </w:r>
      <w:r w:rsidR="006F68A5">
        <w:rPr>
          <w:sz w:val="24"/>
        </w:rPr>
        <w:t xml:space="preserve">used </w:t>
      </w:r>
      <w:r w:rsidR="000B6279">
        <w:rPr>
          <w:sz w:val="24"/>
        </w:rPr>
        <w:t xml:space="preserve">to </w:t>
      </w:r>
      <w:r w:rsidR="00421CFE">
        <w:rPr>
          <w:sz w:val="24"/>
        </w:rPr>
        <w:t>establish the quantity of excess conservation that the Company will achieve at the conclusion of any</w:t>
      </w:r>
      <w:r w:rsidR="006F68A5">
        <w:rPr>
          <w:sz w:val="24"/>
        </w:rPr>
        <w:t xml:space="preserve"> future</w:t>
      </w:r>
      <w:r w:rsidR="00421CFE">
        <w:rPr>
          <w:sz w:val="24"/>
        </w:rPr>
        <w:t xml:space="preserve"> biennium. </w:t>
      </w:r>
    </w:p>
    <w:p w14:paraId="01EAF955" w14:textId="4E7A69CE" w:rsidR="00421CFE" w:rsidRDefault="00421CFE" w:rsidP="000B6279">
      <w:pPr>
        <w:widowControl/>
        <w:numPr>
          <w:ilvl w:val="0"/>
          <w:numId w:val="4"/>
        </w:numPr>
        <w:tabs>
          <w:tab w:val="clear" w:pos="1080"/>
          <w:tab w:val="left" w:pos="0"/>
        </w:tabs>
        <w:autoSpaceDE/>
        <w:autoSpaceDN/>
        <w:adjustRightInd/>
        <w:spacing w:line="480" w:lineRule="auto"/>
        <w:ind w:left="0" w:hanging="720"/>
        <w:rPr>
          <w:sz w:val="24"/>
        </w:rPr>
      </w:pPr>
      <w:r>
        <w:rPr>
          <w:sz w:val="24"/>
        </w:rPr>
        <w:t xml:space="preserve"> </w:t>
      </w:r>
      <w:r>
        <w:rPr>
          <w:sz w:val="24"/>
        </w:rPr>
        <w:tab/>
        <w:t xml:space="preserve">Staff agrees that the Commission has the discretion and authority to apply the update of RCW 19.285 </w:t>
      </w:r>
      <w:r w:rsidR="00A81D1E">
        <w:rPr>
          <w:sz w:val="24"/>
        </w:rPr>
        <w:t xml:space="preserve">to decoupling conservation commitments in order </w:t>
      </w:r>
      <w:r>
        <w:rPr>
          <w:sz w:val="24"/>
        </w:rPr>
        <w:t xml:space="preserve">to consistently incentivize utilities, like PSE, to undertake as </w:t>
      </w:r>
      <w:r w:rsidR="00A81D1E">
        <w:rPr>
          <w:sz w:val="24"/>
        </w:rPr>
        <w:t>much</w:t>
      </w:r>
      <w:r>
        <w:rPr>
          <w:sz w:val="24"/>
        </w:rPr>
        <w:t xml:space="preserve"> immediate conservation </w:t>
      </w:r>
      <w:r w:rsidR="00A81D1E">
        <w:rPr>
          <w:sz w:val="24"/>
        </w:rPr>
        <w:t>efforts</w:t>
      </w:r>
      <w:r>
        <w:rPr>
          <w:sz w:val="24"/>
        </w:rPr>
        <w:t xml:space="preserve"> as possible by allowing utilities to apply excess conservation achieved in prior biennia towards a shortfall of compliance in </w:t>
      </w:r>
      <w:r w:rsidR="00A81D1E">
        <w:rPr>
          <w:sz w:val="24"/>
        </w:rPr>
        <w:t xml:space="preserve">either of the two immediately subsequent </w:t>
      </w:r>
      <w:r>
        <w:rPr>
          <w:sz w:val="24"/>
        </w:rPr>
        <w:t>future biennia.</w:t>
      </w:r>
    </w:p>
    <w:p w14:paraId="01EAF956" w14:textId="77777777" w:rsidR="005E51C2" w:rsidRDefault="00421CFE" w:rsidP="000B6279">
      <w:pPr>
        <w:widowControl/>
        <w:numPr>
          <w:ilvl w:val="0"/>
          <w:numId w:val="4"/>
        </w:numPr>
        <w:tabs>
          <w:tab w:val="clear" w:pos="1080"/>
          <w:tab w:val="left" w:pos="0"/>
        </w:tabs>
        <w:autoSpaceDE/>
        <w:autoSpaceDN/>
        <w:adjustRightInd/>
        <w:spacing w:line="480" w:lineRule="auto"/>
        <w:ind w:left="0" w:hanging="720"/>
        <w:rPr>
          <w:sz w:val="24"/>
        </w:rPr>
      </w:pPr>
      <w:r>
        <w:rPr>
          <w:sz w:val="24"/>
        </w:rPr>
        <w:lastRenderedPageBreak/>
        <w:t xml:space="preserve"> </w:t>
      </w:r>
      <w:r>
        <w:rPr>
          <w:sz w:val="24"/>
        </w:rPr>
        <w:tab/>
      </w:r>
      <w:r w:rsidR="000B6279">
        <w:rPr>
          <w:sz w:val="24"/>
        </w:rPr>
        <w:t xml:space="preserve">Staff supports the Company’s petition for a </w:t>
      </w:r>
      <w:r w:rsidR="000B6279" w:rsidRPr="000B6279">
        <w:rPr>
          <w:sz w:val="24"/>
        </w:rPr>
        <w:t xml:space="preserve">Commission order that </w:t>
      </w:r>
      <w:r w:rsidR="000B6279">
        <w:rPr>
          <w:sz w:val="24"/>
        </w:rPr>
        <w:t xml:space="preserve">permits </w:t>
      </w:r>
      <w:r w:rsidR="000B6279" w:rsidRPr="000B6279">
        <w:rPr>
          <w:sz w:val="24"/>
        </w:rPr>
        <w:t xml:space="preserve">PSE </w:t>
      </w:r>
      <w:r w:rsidR="000B6279">
        <w:rPr>
          <w:sz w:val="24"/>
        </w:rPr>
        <w:t xml:space="preserve">to </w:t>
      </w:r>
      <w:r w:rsidR="000B6279" w:rsidRPr="000B6279">
        <w:rPr>
          <w:sz w:val="24"/>
        </w:rPr>
        <w:t xml:space="preserve">apply excess electric conservation savings earned in a qualifying biennium, including the excess of 38,906 MWh for the 2014-2015 biennium, to a potential shortfall of its Commission-approved </w:t>
      </w:r>
      <w:r w:rsidR="000B6279">
        <w:rPr>
          <w:sz w:val="24"/>
        </w:rPr>
        <w:t>EIA biennial target and its decoupling conservation commitment</w:t>
      </w:r>
      <w:r w:rsidR="000B6279" w:rsidRPr="000B6279">
        <w:rPr>
          <w:sz w:val="24"/>
        </w:rPr>
        <w:t xml:space="preserve"> in a future qualifying biennium, in a ma</w:t>
      </w:r>
      <w:r w:rsidR="005944BE">
        <w:rPr>
          <w:sz w:val="24"/>
        </w:rPr>
        <w:t>nner consistent with RCW 19.285</w:t>
      </w:r>
      <w:r w:rsidR="000B6279" w:rsidRPr="000B6279">
        <w:rPr>
          <w:sz w:val="24"/>
        </w:rPr>
        <w:t>.</w:t>
      </w:r>
      <w:r w:rsidR="005944BE">
        <w:rPr>
          <w:rStyle w:val="FootnoteReference"/>
          <w:sz w:val="24"/>
        </w:rPr>
        <w:footnoteReference w:id="18"/>
      </w:r>
    </w:p>
    <w:p w14:paraId="01EAF958" w14:textId="7F1C7E7A" w:rsidR="005E51C2" w:rsidRPr="005E51C2" w:rsidRDefault="00CF3EBA" w:rsidP="00F03002">
      <w:pPr>
        <w:keepNext/>
        <w:tabs>
          <w:tab w:val="left" w:pos="0"/>
        </w:tabs>
        <w:rPr>
          <w:sz w:val="24"/>
        </w:rPr>
      </w:pPr>
      <w:r>
        <w:rPr>
          <w:sz w:val="24"/>
        </w:rPr>
        <w:tab/>
        <w:t xml:space="preserve">DATED </w:t>
      </w:r>
      <w:r w:rsidR="00FF14C6">
        <w:rPr>
          <w:sz w:val="24"/>
        </w:rPr>
        <w:t>this 14</w:t>
      </w:r>
      <w:r w:rsidR="00FF14C6" w:rsidRPr="00FF14C6">
        <w:rPr>
          <w:sz w:val="24"/>
          <w:vertAlign w:val="superscript"/>
        </w:rPr>
        <w:t>th</w:t>
      </w:r>
      <w:r w:rsidR="00FF14C6">
        <w:rPr>
          <w:sz w:val="24"/>
        </w:rPr>
        <w:t xml:space="preserve"> day of </w:t>
      </w:r>
      <w:r w:rsidR="00E33329">
        <w:rPr>
          <w:sz w:val="24"/>
        </w:rPr>
        <w:t>November</w:t>
      </w:r>
      <w:r>
        <w:rPr>
          <w:sz w:val="24"/>
        </w:rPr>
        <w:t xml:space="preserve"> 2016</w:t>
      </w:r>
      <w:r w:rsidR="005E51C2" w:rsidRPr="005E51C2">
        <w:rPr>
          <w:sz w:val="24"/>
        </w:rPr>
        <w:t>.</w:t>
      </w:r>
    </w:p>
    <w:p w14:paraId="01EAF959" w14:textId="77777777" w:rsidR="00F748D8" w:rsidRDefault="00F748D8" w:rsidP="00F03002">
      <w:pPr>
        <w:keepNext/>
        <w:ind w:left="4860"/>
        <w:rPr>
          <w:sz w:val="24"/>
        </w:rPr>
      </w:pPr>
    </w:p>
    <w:p w14:paraId="69460FE0" w14:textId="33F0F845" w:rsidR="00FF14C6" w:rsidRDefault="00FF14C6" w:rsidP="00F03002">
      <w:pPr>
        <w:keepNext/>
        <w:ind w:left="4860"/>
        <w:rPr>
          <w:sz w:val="24"/>
        </w:rPr>
      </w:pPr>
      <w:r>
        <w:rPr>
          <w:sz w:val="24"/>
        </w:rPr>
        <w:t xml:space="preserve">Respectfully submitted, </w:t>
      </w:r>
    </w:p>
    <w:p w14:paraId="032D00BD" w14:textId="77777777" w:rsidR="00FF14C6" w:rsidRPr="005E51C2" w:rsidRDefault="00FF14C6" w:rsidP="00F03002">
      <w:pPr>
        <w:keepNext/>
        <w:ind w:left="4860"/>
        <w:rPr>
          <w:sz w:val="24"/>
        </w:rPr>
      </w:pPr>
    </w:p>
    <w:p w14:paraId="01EAF95A" w14:textId="77777777" w:rsidR="00F748D8" w:rsidRPr="005E51C2" w:rsidRDefault="00F748D8" w:rsidP="00F03002">
      <w:pPr>
        <w:keepNext/>
        <w:ind w:left="4860"/>
        <w:rPr>
          <w:sz w:val="24"/>
        </w:rPr>
      </w:pPr>
      <w:r w:rsidRPr="005E51C2">
        <w:rPr>
          <w:sz w:val="24"/>
        </w:rPr>
        <w:t>ROB</w:t>
      </w:r>
      <w:r w:rsidR="00BF3CD1" w:rsidRPr="005E51C2">
        <w:rPr>
          <w:sz w:val="24"/>
        </w:rPr>
        <w:t xml:space="preserve">ERT </w:t>
      </w:r>
      <w:r w:rsidR="005E51C2" w:rsidRPr="005E51C2">
        <w:rPr>
          <w:sz w:val="24"/>
        </w:rPr>
        <w:t>W. FERGUSON</w:t>
      </w:r>
      <w:r w:rsidRPr="005E51C2">
        <w:rPr>
          <w:sz w:val="24"/>
        </w:rPr>
        <w:t xml:space="preserve"> </w:t>
      </w:r>
    </w:p>
    <w:p w14:paraId="01EAF95B" w14:textId="77777777" w:rsidR="00F748D8" w:rsidRPr="005E51C2" w:rsidRDefault="00F748D8" w:rsidP="00F03002">
      <w:pPr>
        <w:keepNext/>
        <w:ind w:left="4860"/>
        <w:rPr>
          <w:sz w:val="24"/>
        </w:rPr>
      </w:pPr>
      <w:r w:rsidRPr="005E51C2">
        <w:rPr>
          <w:sz w:val="24"/>
        </w:rPr>
        <w:t>Attorney General</w:t>
      </w:r>
    </w:p>
    <w:p w14:paraId="01EAF95C" w14:textId="77777777" w:rsidR="00F748D8" w:rsidRPr="005E51C2" w:rsidRDefault="00F748D8" w:rsidP="00F03002">
      <w:pPr>
        <w:keepNext/>
        <w:ind w:left="4860"/>
        <w:rPr>
          <w:sz w:val="24"/>
        </w:rPr>
      </w:pPr>
    </w:p>
    <w:p w14:paraId="01EAF95D" w14:textId="77777777" w:rsidR="005E07C2" w:rsidRPr="005E51C2" w:rsidRDefault="005E07C2" w:rsidP="00F03002">
      <w:pPr>
        <w:keepNext/>
        <w:ind w:left="4860"/>
        <w:rPr>
          <w:sz w:val="24"/>
        </w:rPr>
      </w:pPr>
    </w:p>
    <w:p w14:paraId="01EAF95E" w14:textId="77777777" w:rsidR="00F748D8" w:rsidRPr="005E51C2" w:rsidRDefault="00F748D8" w:rsidP="00F03002">
      <w:pPr>
        <w:keepNext/>
        <w:ind w:left="4867"/>
        <w:rPr>
          <w:sz w:val="24"/>
        </w:rPr>
      </w:pPr>
      <w:r w:rsidRPr="005E51C2">
        <w:rPr>
          <w:sz w:val="24"/>
        </w:rPr>
        <w:t>___________________________</w:t>
      </w:r>
      <w:r w:rsidR="00FD3FCE" w:rsidRPr="005E51C2">
        <w:rPr>
          <w:sz w:val="24"/>
        </w:rPr>
        <w:t>___</w:t>
      </w:r>
      <w:r w:rsidRPr="005E51C2">
        <w:rPr>
          <w:sz w:val="24"/>
        </w:rPr>
        <w:t>___</w:t>
      </w:r>
    </w:p>
    <w:p w14:paraId="01EAF95F" w14:textId="77777777" w:rsidR="00F748D8" w:rsidRPr="005E51C2" w:rsidRDefault="00CF3EBA" w:rsidP="00F03002">
      <w:pPr>
        <w:keepNext/>
        <w:ind w:left="4860"/>
        <w:rPr>
          <w:sz w:val="24"/>
        </w:rPr>
      </w:pPr>
      <w:r>
        <w:rPr>
          <w:sz w:val="24"/>
        </w:rPr>
        <w:t>ANDREW J. O’CONNELL</w:t>
      </w:r>
    </w:p>
    <w:p w14:paraId="01EAF960" w14:textId="77777777" w:rsidR="00F748D8" w:rsidRPr="005E51C2" w:rsidRDefault="00F748D8" w:rsidP="00F03002">
      <w:pPr>
        <w:keepNext/>
        <w:ind w:left="4860"/>
        <w:rPr>
          <w:sz w:val="24"/>
        </w:rPr>
      </w:pPr>
      <w:r w:rsidRPr="005E51C2">
        <w:rPr>
          <w:sz w:val="24"/>
        </w:rPr>
        <w:t>Assistant Attorney General</w:t>
      </w:r>
    </w:p>
    <w:p w14:paraId="01EAF961" w14:textId="77777777" w:rsidR="00F748D8" w:rsidRPr="005E51C2" w:rsidRDefault="00F748D8" w:rsidP="00F03002">
      <w:pPr>
        <w:keepNext/>
        <w:ind w:left="4860"/>
        <w:rPr>
          <w:sz w:val="24"/>
        </w:rPr>
      </w:pPr>
      <w:r w:rsidRPr="005E51C2">
        <w:rPr>
          <w:sz w:val="24"/>
        </w:rPr>
        <w:t>Counsel for Washington Utilities and</w:t>
      </w:r>
    </w:p>
    <w:p w14:paraId="01EAF962" w14:textId="77777777" w:rsidR="00F748D8" w:rsidRPr="005E51C2" w:rsidRDefault="004F69A5" w:rsidP="00F03002">
      <w:pPr>
        <w:ind w:left="4860"/>
        <w:rPr>
          <w:sz w:val="24"/>
        </w:rPr>
      </w:pPr>
      <w:r w:rsidRPr="005E51C2">
        <w:rPr>
          <w:sz w:val="24"/>
        </w:rPr>
        <w:t>Transportation Commission</w:t>
      </w:r>
      <w:r w:rsidR="005E07C2" w:rsidRPr="005E51C2">
        <w:rPr>
          <w:sz w:val="24"/>
        </w:rPr>
        <w:t xml:space="preserve"> Staff</w:t>
      </w:r>
    </w:p>
    <w:sectPr w:rsidR="00F748D8" w:rsidRPr="005E51C2" w:rsidSect="00F748D8">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AF967" w14:textId="77777777" w:rsidR="00E45867" w:rsidRDefault="00E45867">
      <w:r>
        <w:separator/>
      </w:r>
    </w:p>
    <w:p w14:paraId="01EAF968" w14:textId="77777777" w:rsidR="00E45867" w:rsidRDefault="00E45867"/>
  </w:endnote>
  <w:endnote w:type="continuationSeparator" w:id="0">
    <w:p w14:paraId="01EAF969" w14:textId="77777777" w:rsidR="00E45867" w:rsidRDefault="00E45867">
      <w:r>
        <w:continuationSeparator/>
      </w:r>
    </w:p>
    <w:p w14:paraId="01EAF96A" w14:textId="77777777" w:rsidR="00E45867" w:rsidRDefault="00E45867"/>
  </w:endnote>
  <w:endnote w:type="continuationNotice" w:id="1">
    <w:p w14:paraId="01EAF96B" w14:textId="77777777" w:rsidR="00E45867" w:rsidRDefault="00E45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F96C" w14:textId="77777777" w:rsidR="00047038" w:rsidRDefault="00047038" w:rsidP="002F2722">
    <w:pPr>
      <w:pStyle w:val="Footer"/>
      <w:rPr>
        <w:sz w:val="22"/>
        <w:szCs w:val="22"/>
      </w:rPr>
    </w:pPr>
  </w:p>
  <w:p w14:paraId="01EAF96D" w14:textId="77777777" w:rsidR="00047038" w:rsidRPr="00AE64C6" w:rsidRDefault="00047038" w:rsidP="002F2722">
    <w:pPr>
      <w:pStyle w:val="Footer"/>
      <w:rPr>
        <w:sz w:val="22"/>
        <w:szCs w:val="22"/>
      </w:rPr>
    </w:pPr>
    <w:r w:rsidRPr="00AE64C6">
      <w:rPr>
        <w:sz w:val="22"/>
        <w:szCs w:val="22"/>
      </w:rPr>
      <w:t xml:space="preserve">COMMISSION STAFF’S </w:t>
    </w:r>
    <w:r>
      <w:rPr>
        <w:sz w:val="22"/>
        <w:szCs w:val="22"/>
      </w:rPr>
      <w:t>ANSWER</w:t>
    </w:r>
  </w:p>
  <w:p w14:paraId="01EAF96F" w14:textId="142B4234" w:rsidR="00047038" w:rsidRPr="00AE64C6" w:rsidRDefault="00047038" w:rsidP="00FF14C6">
    <w:pPr>
      <w:pStyle w:val="Footer"/>
      <w:rPr>
        <w:sz w:val="22"/>
        <w:szCs w:val="22"/>
      </w:rPr>
    </w:pPr>
    <w:r>
      <w:rPr>
        <w:sz w:val="22"/>
        <w:szCs w:val="22"/>
      </w:rPr>
      <w:t>TO PSE’S PETITION</w:t>
    </w:r>
    <w:r w:rsidRPr="00AE64C6">
      <w:rPr>
        <w:sz w:val="22"/>
        <w:szCs w:val="22"/>
      </w:rPr>
      <w:t xml:space="preserve"> - </w:t>
    </w:r>
    <w:r w:rsidRPr="00AE64C6">
      <w:rPr>
        <w:sz w:val="22"/>
        <w:szCs w:val="22"/>
      </w:rPr>
      <w:fldChar w:fldCharType="begin"/>
    </w:r>
    <w:r w:rsidRPr="00AE64C6">
      <w:rPr>
        <w:sz w:val="22"/>
        <w:szCs w:val="22"/>
      </w:rPr>
      <w:instrText xml:space="preserve"> PAGE   \* MERGEFORMAT </w:instrText>
    </w:r>
    <w:r w:rsidRPr="00AE64C6">
      <w:rPr>
        <w:sz w:val="22"/>
        <w:szCs w:val="22"/>
      </w:rPr>
      <w:fldChar w:fldCharType="separate"/>
    </w:r>
    <w:r w:rsidR="000A6981">
      <w:rPr>
        <w:noProof/>
        <w:sz w:val="22"/>
        <w:szCs w:val="22"/>
      </w:rPr>
      <w:t>6</w:t>
    </w:r>
    <w:r w:rsidRPr="00AE64C6">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AF963" w14:textId="77777777" w:rsidR="00E45867" w:rsidRDefault="00E45867">
      <w:r>
        <w:separator/>
      </w:r>
    </w:p>
  </w:footnote>
  <w:footnote w:type="continuationSeparator" w:id="0">
    <w:p w14:paraId="01EAF964" w14:textId="77777777" w:rsidR="00E45867" w:rsidRDefault="00E45867">
      <w:r>
        <w:continuationSeparator/>
      </w:r>
    </w:p>
    <w:p w14:paraId="01EAF965" w14:textId="77777777" w:rsidR="00E45867" w:rsidRDefault="00E45867"/>
  </w:footnote>
  <w:footnote w:type="continuationNotice" w:id="1">
    <w:p w14:paraId="01EAF966" w14:textId="77777777" w:rsidR="00E45867" w:rsidRDefault="00E45867"/>
  </w:footnote>
  <w:footnote w:id="2">
    <w:p w14:paraId="01EAF970" w14:textId="77777777" w:rsidR="00047038" w:rsidRPr="00C07709" w:rsidRDefault="00047038">
      <w:pPr>
        <w:pStyle w:val="FootnoteText"/>
      </w:pPr>
      <w:r>
        <w:rPr>
          <w:rStyle w:val="FootnoteReference"/>
        </w:rPr>
        <w:footnoteRef/>
      </w:r>
      <w:r>
        <w:t xml:space="preserve"> </w:t>
      </w:r>
      <w:r>
        <w:rPr>
          <w:i/>
        </w:rPr>
        <w:t>In the Matter of Puget Sound Energy’s 2014-2015 Biennial Conservation Target Under RCW 19.285.040</w:t>
      </w:r>
      <w:r>
        <w:t>, Docket UE</w:t>
      </w:r>
      <w:r>
        <w:noBreakHyphen/>
        <w:t>132043, Order 05, Order Regarding Conservation Achievement for the 2014-201</w:t>
      </w:r>
      <w:r w:rsidR="001D2CD7">
        <w:t>5 Biennium, ¶ 4 (Aug. 15, 2016).</w:t>
      </w:r>
    </w:p>
  </w:footnote>
  <w:footnote w:id="3">
    <w:p w14:paraId="01EAF971" w14:textId="77777777" w:rsidR="00047038" w:rsidRPr="00122745" w:rsidRDefault="00047038" w:rsidP="00E33329">
      <w:pPr>
        <w:pStyle w:val="FootnoteText"/>
      </w:pPr>
      <w:r>
        <w:rPr>
          <w:rStyle w:val="FootnoteReference"/>
        </w:rPr>
        <w:footnoteRef/>
      </w:r>
      <w:r>
        <w:t xml:space="preserve"> </w:t>
      </w:r>
      <w:r>
        <w:rPr>
          <w:i/>
        </w:rPr>
        <w:t>In the Matter of the Petition of Puget Sound Energy and NW Energy Coalition For an Order Authorizing PSE to Implement Electric and Natural Gas Decoupling Mechanisms and to Record Accounting Entries Associated with the Mechanisms</w:t>
      </w:r>
      <w:r>
        <w:t>, Dockets UE</w:t>
      </w:r>
      <w:r>
        <w:noBreakHyphen/>
        <w:t>121697 and UG</w:t>
      </w:r>
      <w:r>
        <w:noBreakHyphen/>
        <w:t>121705 (consolidated), Order 16, Granting Joint Motion for Ministerial Amendment, ¶ 5 (Oct. 14, 2016).</w:t>
      </w:r>
    </w:p>
  </w:footnote>
  <w:footnote w:id="4">
    <w:p w14:paraId="01EAF972" w14:textId="77777777" w:rsidR="00047038" w:rsidRPr="00122745" w:rsidRDefault="00047038" w:rsidP="00E33329">
      <w:pPr>
        <w:pStyle w:val="FootnoteText"/>
      </w:pPr>
      <w:r>
        <w:rPr>
          <w:rStyle w:val="FootnoteReference"/>
        </w:rPr>
        <w:footnoteRef/>
      </w:r>
      <w:r>
        <w:t xml:space="preserve"> </w:t>
      </w:r>
      <w:r>
        <w:rPr>
          <w:i/>
        </w:rPr>
        <w:t>Id.</w:t>
      </w:r>
      <w:r>
        <w:t xml:space="preserve"> at ¶ 3.</w:t>
      </w:r>
    </w:p>
  </w:footnote>
  <w:footnote w:id="5">
    <w:p w14:paraId="01EAF973" w14:textId="77777777" w:rsidR="00047038" w:rsidRDefault="00047038" w:rsidP="00C86A26">
      <w:pPr>
        <w:pStyle w:val="FootnoteText"/>
      </w:pPr>
      <w:r>
        <w:rPr>
          <w:rStyle w:val="FootnoteReference"/>
        </w:rPr>
        <w:footnoteRef/>
      </w:r>
      <w:r>
        <w:t xml:space="preserve"> </w:t>
      </w:r>
      <w:r>
        <w:rPr>
          <w:i/>
        </w:rPr>
        <w:t xml:space="preserve">See </w:t>
      </w:r>
      <w:r w:rsidRPr="00C86A26">
        <w:rPr>
          <w:i/>
        </w:rPr>
        <w:t>In the Matter of Puget Sound Energy Report Identifying Its 2016-2025 Ten-Year Achievable Electric Conservation Potential and Its 2016-2017 Electric Biennial Conservation Target Under RCW 19.285.040 and WAC 480-109-010</w:t>
      </w:r>
      <w:r>
        <w:t>, Dockets UE</w:t>
      </w:r>
      <w:r>
        <w:noBreakHyphen/>
        <w:t>152058 and UE</w:t>
      </w:r>
      <w:r>
        <w:noBreakHyphen/>
        <w:t>152042, Petition of Puget Sound Energy Seeking Authorization to Apply Excess Conservation Savings to Future Decoupling Conservation Target Shortfall, ¶ 1 (Oct. 24, 2016) [hereinafter “PSE Petition”].</w:t>
      </w:r>
    </w:p>
  </w:footnote>
  <w:footnote w:id="6">
    <w:p w14:paraId="01EAF974" w14:textId="77777777" w:rsidR="00047038" w:rsidRDefault="00047038" w:rsidP="00082936">
      <w:pPr>
        <w:pStyle w:val="FootnoteText"/>
      </w:pPr>
      <w:r>
        <w:rPr>
          <w:rStyle w:val="FootnoteReference"/>
        </w:rPr>
        <w:footnoteRef/>
      </w:r>
      <w:r>
        <w:t xml:space="preserve"> </w:t>
      </w:r>
      <w:r>
        <w:rPr>
          <w:i/>
        </w:rPr>
        <w:t xml:space="preserve">See </w:t>
      </w:r>
      <w:r>
        <w:t>WAC 480</w:t>
      </w:r>
      <w:r>
        <w:noBreakHyphen/>
        <w:t>07</w:t>
      </w:r>
      <w:r>
        <w:noBreakHyphen/>
        <w:t>370(1)(c)(iv).</w:t>
      </w:r>
    </w:p>
  </w:footnote>
  <w:footnote w:id="7">
    <w:p w14:paraId="01EAF975" w14:textId="77777777" w:rsidR="00CD2C51" w:rsidRPr="00CD2C51" w:rsidRDefault="00CD2C51">
      <w:pPr>
        <w:pStyle w:val="FootnoteText"/>
      </w:pPr>
      <w:r>
        <w:rPr>
          <w:rStyle w:val="FootnoteReference"/>
        </w:rPr>
        <w:footnoteRef/>
      </w:r>
      <w:r>
        <w:t xml:space="preserve"> </w:t>
      </w:r>
      <w:r>
        <w:rPr>
          <w:i/>
        </w:rPr>
        <w:t xml:space="preserve">See </w:t>
      </w:r>
      <w:r>
        <w:t>PSE Petition, ¶ 3.</w:t>
      </w:r>
    </w:p>
  </w:footnote>
  <w:footnote w:id="8">
    <w:p w14:paraId="01EAF976" w14:textId="77777777" w:rsidR="002910B9" w:rsidRDefault="002910B9" w:rsidP="002910B9">
      <w:pPr>
        <w:pStyle w:val="FootnoteText"/>
      </w:pPr>
      <w:r>
        <w:rPr>
          <w:rStyle w:val="FootnoteReference"/>
        </w:rPr>
        <w:footnoteRef/>
      </w:r>
      <w:r>
        <w:t xml:space="preserve"> </w:t>
      </w:r>
      <w:r>
        <w:rPr>
          <w:i/>
        </w:rPr>
        <w:t>In the Matter of Puget Sound Energy’s 2014-2015 Biennial Conservation Target Under RCW 19.285.040</w:t>
      </w:r>
      <w:r>
        <w:t>, Docket UE</w:t>
      </w:r>
      <w:r>
        <w:noBreakHyphen/>
        <w:t>132043, Order 05, Order Regarding Conservation Achievement for the 2014-2015 Biennium, ¶ 19 (Aug. 15, 2016).</w:t>
      </w:r>
    </w:p>
  </w:footnote>
  <w:footnote w:id="9">
    <w:p w14:paraId="01EAF977" w14:textId="3D209671" w:rsidR="001164E9" w:rsidRDefault="001164E9" w:rsidP="001164E9">
      <w:pPr>
        <w:pStyle w:val="FootnoteText"/>
      </w:pPr>
      <w:r>
        <w:rPr>
          <w:rStyle w:val="FootnoteReference"/>
        </w:rPr>
        <w:footnoteRef/>
      </w:r>
      <w:r>
        <w:t xml:space="preserve"> PSE Petition,</w:t>
      </w:r>
      <w:r w:rsidRPr="004461E7">
        <w:t xml:space="preserve"> </w:t>
      </w:r>
      <w:r>
        <w:t>¶ 11.</w:t>
      </w:r>
      <w:r w:rsidR="00983ADC">
        <w:t xml:space="preserve"> The methodology presented follows the one presented in PSE’s current biennial conservation plan, and Staff acknowledges that symmetry.</w:t>
      </w:r>
    </w:p>
  </w:footnote>
  <w:footnote w:id="10">
    <w:p w14:paraId="01EAF978" w14:textId="77777777" w:rsidR="009F0160" w:rsidRDefault="009F0160">
      <w:pPr>
        <w:pStyle w:val="FootnoteText"/>
      </w:pPr>
      <w:r>
        <w:rPr>
          <w:rStyle w:val="FootnoteReference"/>
        </w:rPr>
        <w:footnoteRef/>
      </w:r>
      <w:r>
        <w:t xml:space="preserve"> </w:t>
      </w:r>
      <w:r>
        <w:rPr>
          <w:i/>
        </w:rPr>
        <w:t xml:space="preserve">See </w:t>
      </w:r>
      <w:r>
        <w:t>PSE Petition,</w:t>
      </w:r>
      <w:r w:rsidRPr="004461E7">
        <w:t xml:space="preserve"> </w:t>
      </w:r>
      <w:r>
        <w:t>¶¶ 1, 11, 32.</w:t>
      </w:r>
      <w:r w:rsidR="00E23905">
        <w:t xml:space="preserve"> In fact, it makes sense to address the expected calculation methodology in a utility’s biennial </w:t>
      </w:r>
      <w:r w:rsidR="001F6A05">
        <w:t xml:space="preserve">conservation </w:t>
      </w:r>
      <w:r w:rsidR="00E23905">
        <w:t>plan.</w:t>
      </w:r>
      <w:r w:rsidR="001C22B0">
        <w:t xml:space="preserve"> A guiding principle has been to make sure the inclusion or exclusion of a particular type of conservation is treated the same in setting the target and in establishing the conservation achievement for a particular biennium. </w:t>
      </w:r>
    </w:p>
  </w:footnote>
  <w:footnote w:id="11">
    <w:p w14:paraId="01EAF979" w14:textId="77777777" w:rsidR="00B46660" w:rsidRDefault="00B46660">
      <w:pPr>
        <w:pStyle w:val="FootnoteText"/>
      </w:pPr>
      <w:r>
        <w:rPr>
          <w:rStyle w:val="FootnoteReference"/>
        </w:rPr>
        <w:footnoteRef/>
      </w:r>
      <w:r>
        <w:t xml:space="preserve"> PSE Petition ¶ 19; </w:t>
      </w:r>
      <w:r>
        <w:rPr>
          <w:i/>
        </w:rPr>
        <w:t>In the Matter of the Petition of Puget Sound Energy and NW Energy Coalition For an Order Authorizing PSE to Implement Electric and Natural Gas Decoupling Mechanisms and to Record Accounting Entries Associated with the Mechanisms</w:t>
      </w:r>
      <w:r>
        <w:t>, Dockets UE</w:t>
      </w:r>
      <w:r>
        <w:noBreakHyphen/>
        <w:t>121697 and UG</w:t>
      </w:r>
      <w:r>
        <w:noBreakHyphen/>
        <w:t>121705 (consolidated), Order 07, Final Order, ¶¶ 108-112.</w:t>
      </w:r>
    </w:p>
  </w:footnote>
  <w:footnote w:id="12">
    <w:p w14:paraId="01EAF97A" w14:textId="77777777" w:rsidR="004F419B" w:rsidRDefault="004F419B">
      <w:pPr>
        <w:pStyle w:val="FootnoteText"/>
      </w:pPr>
      <w:r>
        <w:rPr>
          <w:rStyle w:val="FootnoteReference"/>
        </w:rPr>
        <w:footnoteRef/>
      </w:r>
      <w:r>
        <w:t xml:space="preserve"> PSE Petition, ¶ 18; RCW 19.284.040(c).</w:t>
      </w:r>
    </w:p>
  </w:footnote>
  <w:footnote w:id="13">
    <w:p w14:paraId="01EAF97B" w14:textId="77777777" w:rsidR="004C6C8E" w:rsidRDefault="004C6C8E" w:rsidP="004C6C8E">
      <w:pPr>
        <w:pStyle w:val="FootnoteText"/>
      </w:pPr>
      <w:r>
        <w:rPr>
          <w:rStyle w:val="FootnoteReference"/>
        </w:rPr>
        <w:footnoteRef/>
      </w:r>
      <w:r>
        <w:t xml:space="preserve"> PSE Petition ¶ 19.</w:t>
      </w:r>
    </w:p>
  </w:footnote>
  <w:footnote w:id="14">
    <w:p w14:paraId="01EAF97C" w14:textId="099897D1" w:rsidR="005944BE" w:rsidRDefault="005944BE">
      <w:pPr>
        <w:pStyle w:val="FootnoteText"/>
      </w:pPr>
      <w:r>
        <w:rPr>
          <w:rStyle w:val="FootnoteReference"/>
        </w:rPr>
        <w:footnoteRef/>
      </w:r>
      <w:r>
        <w:t xml:space="preserve"> NWEC Response </w:t>
      </w:r>
      <w:r w:rsidR="00EA04F2">
        <w:t>to</w:t>
      </w:r>
      <w:r>
        <w:t xml:space="preserve"> PSE’s Petition, p. 2 (filed Nov. 10, 2016).</w:t>
      </w:r>
    </w:p>
  </w:footnote>
  <w:footnote w:id="15">
    <w:p w14:paraId="01EAF97D" w14:textId="77777777" w:rsidR="005944BE" w:rsidRPr="005944BE" w:rsidRDefault="005944BE">
      <w:pPr>
        <w:pStyle w:val="FootnoteText"/>
      </w:pPr>
      <w:r>
        <w:rPr>
          <w:rStyle w:val="FootnoteReference"/>
        </w:rPr>
        <w:footnoteRef/>
      </w:r>
      <w:r>
        <w:t xml:space="preserve"> Excess conservation can only be used in either of the two immediately subsequent biennia: the excess conservation is not retained as a “safety net” in perpetuity. RCW 19.285.040.</w:t>
      </w:r>
    </w:p>
  </w:footnote>
  <w:footnote w:id="16">
    <w:p w14:paraId="01EAF97E" w14:textId="77777777" w:rsidR="005944BE" w:rsidRDefault="005944BE">
      <w:pPr>
        <w:pStyle w:val="FootnoteText"/>
      </w:pPr>
      <w:r>
        <w:rPr>
          <w:rStyle w:val="FootnoteReference"/>
        </w:rPr>
        <w:footnoteRef/>
      </w:r>
      <w:r>
        <w:t xml:space="preserve"> The application of excess conservation is still limited to use during either of the two immediately subsequent biennia after the excess conservation is achieved. RCW 19.285.040. Excess conservation is not “banked” for use in perpetuity during any future biennia.</w:t>
      </w:r>
      <w:r w:rsidRPr="005944BE">
        <w:t xml:space="preserve"> </w:t>
      </w:r>
      <w:r>
        <w:t>RCW 19.285.040.</w:t>
      </w:r>
    </w:p>
  </w:footnote>
  <w:footnote w:id="17">
    <w:p w14:paraId="01EAF97F" w14:textId="77777777" w:rsidR="00017B01" w:rsidRDefault="00017B01">
      <w:pPr>
        <w:pStyle w:val="FootnoteText"/>
      </w:pPr>
      <w:r>
        <w:rPr>
          <w:rStyle w:val="FootnoteReference"/>
        </w:rPr>
        <w:footnoteRef/>
      </w:r>
      <w:r>
        <w:t xml:space="preserve"> PSE Petition ¶¶ </w:t>
      </w:r>
      <w:r w:rsidR="00691380">
        <w:t>24-30.</w:t>
      </w:r>
    </w:p>
  </w:footnote>
  <w:footnote w:id="18">
    <w:p w14:paraId="01EAF980" w14:textId="434C068D" w:rsidR="005944BE" w:rsidRDefault="005944BE">
      <w:pPr>
        <w:pStyle w:val="FootnoteText"/>
      </w:pPr>
      <w:r>
        <w:rPr>
          <w:rStyle w:val="FootnoteReference"/>
        </w:rPr>
        <w:footnoteRef/>
      </w:r>
      <w:r>
        <w:t xml:space="preserve"> The application of excess conservation is still limited to use during either of the two immediately subsequent biennia after the excess conservation is achieved. RCW 19.285.040. Excess conservation is not “banked” for use in perpetuity during any future biennia.</w:t>
      </w:r>
      <w:r w:rsidRPr="005944BE">
        <w:t xml:space="preserve"> </w:t>
      </w:r>
      <w:r w:rsidR="000A6981">
        <w:rPr>
          <w:i/>
        </w:rPr>
        <w:t xml:space="preserve">See </w:t>
      </w:r>
      <w:bookmarkStart w:id="0" w:name="_GoBack"/>
      <w:bookmarkEnd w:id="0"/>
      <w:r>
        <w:t>RCW 19.285.040.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E3FE051E"/>
    <w:lvl w:ilvl="0" w:tplc="B308D296">
      <w:start w:val="1"/>
      <w:numFmt w:val="decimal"/>
      <w:lvlText w:val="%1"/>
      <w:lvlJc w:val="left"/>
      <w:pPr>
        <w:tabs>
          <w:tab w:val="num" w:pos="1080"/>
        </w:tabs>
        <w:ind w:left="1080" w:hanging="1080"/>
      </w:pPr>
      <w:rPr>
        <w:rFonts w:hint="default"/>
        <w:b w:val="0"/>
        <w:i/>
        <w:sz w:val="24"/>
        <w:szCs w:val="24"/>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3721B"/>
    <w:multiLevelType w:val="hybridMultilevel"/>
    <w:tmpl w:val="CB227010"/>
    <w:lvl w:ilvl="0" w:tplc="FFFFFFFF">
      <w:start w:val="1"/>
      <w:numFmt w:val="decimal"/>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ED79E9"/>
    <w:multiLevelType w:val="hybridMultilevel"/>
    <w:tmpl w:val="67F24604"/>
    <w:lvl w:ilvl="0" w:tplc="61DA84F8">
      <w:start w:val="1"/>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5AA36FF0"/>
    <w:multiLevelType w:val="hybridMultilevel"/>
    <w:tmpl w:val="F600EDDE"/>
    <w:lvl w:ilvl="0" w:tplc="1A581370">
      <w:start w:val="1"/>
      <w:numFmt w:val="upperRoman"/>
      <w:pStyle w:val="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4F71"/>
    <w:rsid w:val="000150D3"/>
    <w:rsid w:val="000151F5"/>
    <w:rsid w:val="00017B01"/>
    <w:rsid w:val="00020E4B"/>
    <w:rsid w:val="00020F15"/>
    <w:rsid w:val="0002279A"/>
    <w:rsid w:val="00025DB8"/>
    <w:rsid w:val="00026636"/>
    <w:rsid w:val="00026829"/>
    <w:rsid w:val="00027CC4"/>
    <w:rsid w:val="00033E73"/>
    <w:rsid w:val="00036009"/>
    <w:rsid w:val="00036CCC"/>
    <w:rsid w:val="00037739"/>
    <w:rsid w:val="000440C8"/>
    <w:rsid w:val="00047038"/>
    <w:rsid w:val="0004790F"/>
    <w:rsid w:val="000525AD"/>
    <w:rsid w:val="000531BD"/>
    <w:rsid w:val="0005473E"/>
    <w:rsid w:val="0005478B"/>
    <w:rsid w:val="0005674A"/>
    <w:rsid w:val="00062161"/>
    <w:rsid w:val="0006385D"/>
    <w:rsid w:val="00065672"/>
    <w:rsid w:val="000705C6"/>
    <w:rsid w:val="00071733"/>
    <w:rsid w:val="0007184C"/>
    <w:rsid w:val="00073457"/>
    <w:rsid w:val="00074A1C"/>
    <w:rsid w:val="00082936"/>
    <w:rsid w:val="00082FAB"/>
    <w:rsid w:val="0008303B"/>
    <w:rsid w:val="0008387A"/>
    <w:rsid w:val="0008390F"/>
    <w:rsid w:val="000A4A2C"/>
    <w:rsid w:val="000A6981"/>
    <w:rsid w:val="000A755E"/>
    <w:rsid w:val="000B1755"/>
    <w:rsid w:val="000B49A6"/>
    <w:rsid w:val="000B6279"/>
    <w:rsid w:val="000B6E57"/>
    <w:rsid w:val="000C3CA8"/>
    <w:rsid w:val="000C70C7"/>
    <w:rsid w:val="000D48F4"/>
    <w:rsid w:val="000D63F3"/>
    <w:rsid w:val="000E18E3"/>
    <w:rsid w:val="000E1C39"/>
    <w:rsid w:val="000E3559"/>
    <w:rsid w:val="000E4569"/>
    <w:rsid w:val="000E48F6"/>
    <w:rsid w:val="000F445F"/>
    <w:rsid w:val="000F7BB5"/>
    <w:rsid w:val="001076AF"/>
    <w:rsid w:val="00113240"/>
    <w:rsid w:val="00116211"/>
    <w:rsid w:val="001164E9"/>
    <w:rsid w:val="00116E20"/>
    <w:rsid w:val="00120C9F"/>
    <w:rsid w:val="00122638"/>
    <w:rsid w:val="00125AEB"/>
    <w:rsid w:val="001265CF"/>
    <w:rsid w:val="001371F2"/>
    <w:rsid w:val="00152AEF"/>
    <w:rsid w:val="00165959"/>
    <w:rsid w:val="0017024A"/>
    <w:rsid w:val="00173668"/>
    <w:rsid w:val="00181515"/>
    <w:rsid w:val="00183C7F"/>
    <w:rsid w:val="0019604C"/>
    <w:rsid w:val="001A017E"/>
    <w:rsid w:val="001A05E8"/>
    <w:rsid w:val="001A1957"/>
    <w:rsid w:val="001A33A7"/>
    <w:rsid w:val="001A3B82"/>
    <w:rsid w:val="001A3E51"/>
    <w:rsid w:val="001A495D"/>
    <w:rsid w:val="001A6CF3"/>
    <w:rsid w:val="001C22B0"/>
    <w:rsid w:val="001C3F85"/>
    <w:rsid w:val="001C7DE3"/>
    <w:rsid w:val="001D2CD7"/>
    <w:rsid w:val="001D5D07"/>
    <w:rsid w:val="001E1020"/>
    <w:rsid w:val="001E5E9E"/>
    <w:rsid w:val="001F332D"/>
    <w:rsid w:val="001F4EF9"/>
    <w:rsid w:val="001F5010"/>
    <w:rsid w:val="001F6716"/>
    <w:rsid w:val="001F6A05"/>
    <w:rsid w:val="001F70B1"/>
    <w:rsid w:val="00200EAC"/>
    <w:rsid w:val="002037CC"/>
    <w:rsid w:val="002038CD"/>
    <w:rsid w:val="002040AC"/>
    <w:rsid w:val="002057C8"/>
    <w:rsid w:val="002061F2"/>
    <w:rsid w:val="002069EB"/>
    <w:rsid w:val="0021431A"/>
    <w:rsid w:val="00215843"/>
    <w:rsid w:val="00216E13"/>
    <w:rsid w:val="00216EAE"/>
    <w:rsid w:val="00220D16"/>
    <w:rsid w:val="0022331C"/>
    <w:rsid w:val="0022400E"/>
    <w:rsid w:val="0023198D"/>
    <w:rsid w:val="00232BC4"/>
    <w:rsid w:val="00232E44"/>
    <w:rsid w:val="00237E76"/>
    <w:rsid w:val="00246BF5"/>
    <w:rsid w:val="00251934"/>
    <w:rsid w:val="00251F75"/>
    <w:rsid w:val="002527EE"/>
    <w:rsid w:val="00255923"/>
    <w:rsid w:val="00256EE6"/>
    <w:rsid w:val="00257C2B"/>
    <w:rsid w:val="0026098F"/>
    <w:rsid w:val="002717B2"/>
    <w:rsid w:val="002724E8"/>
    <w:rsid w:val="00277DE4"/>
    <w:rsid w:val="002807E9"/>
    <w:rsid w:val="00283462"/>
    <w:rsid w:val="00285DAF"/>
    <w:rsid w:val="00287AEE"/>
    <w:rsid w:val="00290C55"/>
    <w:rsid w:val="002910B9"/>
    <w:rsid w:val="002913FF"/>
    <w:rsid w:val="002A35D9"/>
    <w:rsid w:val="002A56E9"/>
    <w:rsid w:val="002A621E"/>
    <w:rsid w:val="002A6522"/>
    <w:rsid w:val="002B2722"/>
    <w:rsid w:val="002B285A"/>
    <w:rsid w:val="002C1F67"/>
    <w:rsid w:val="002C74C4"/>
    <w:rsid w:val="002D1A20"/>
    <w:rsid w:val="002E39B9"/>
    <w:rsid w:val="002E67CB"/>
    <w:rsid w:val="002E745E"/>
    <w:rsid w:val="002F2722"/>
    <w:rsid w:val="002F42E8"/>
    <w:rsid w:val="002F7225"/>
    <w:rsid w:val="002F7B8F"/>
    <w:rsid w:val="00300D69"/>
    <w:rsid w:val="00301085"/>
    <w:rsid w:val="00301413"/>
    <w:rsid w:val="00301503"/>
    <w:rsid w:val="003054C9"/>
    <w:rsid w:val="00307F3E"/>
    <w:rsid w:val="003200B6"/>
    <w:rsid w:val="00320B15"/>
    <w:rsid w:val="00327DE5"/>
    <w:rsid w:val="00330D57"/>
    <w:rsid w:val="00332357"/>
    <w:rsid w:val="00341D66"/>
    <w:rsid w:val="00341F52"/>
    <w:rsid w:val="00352A71"/>
    <w:rsid w:val="0036095B"/>
    <w:rsid w:val="00361B47"/>
    <w:rsid w:val="00361C24"/>
    <w:rsid w:val="00363451"/>
    <w:rsid w:val="003702CC"/>
    <w:rsid w:val="00371ED6"/>
    <w:rsid w:val="00373CD2"/>
    <w:rsid w:val="00374FEB"/>
    <w:rsid w:val="003819A3"/>
    <w:rsid w:val="0038263B"/>
    <w:rsid w:val="0038705F"/>
    <w:rsid w:val="0039300F"/>
    <w:rsid w:val="00395038"/>
    <w:rsid w:val="0039690C"/>
    <w:rsid w:val="00397BB7"/>
    <w:rsid w:val="003A1ECB"/>
    <w:rsid w:val="003B5A24"/>
    <w:rsid w:val="003B6AEC"/>
    <w:rsid w:val="003B7983"/>
    <w:rsid w:val="003C1A71"/>
    <w:rsid w:val="003C5390"/>
    <w:rsid w:val="003C6CF3"/>
    <w:rsid w:val="003C70FE"/>
    <w:rsid w:val="003D2394"/>
    <w:rsid w:val="003D4350"/>
    <w:rsid w:val="003D5324"/>
    <w:rsid w:val="003D76B6"/>
    <w:rsid w:val="003E14DB"/>
    <w:rsid w:val="003E1E1A"/>
    <w:rsid w:val="003E3B7E"/>
    <w:rsid w:val="003E72F2"/>
    <w:rsid w:val="003F1945"/>
    <w:rsid w:val="004013EB"/>
    <w:rsid w:val="00402763"/>
    <w:rsid w:val="00403A63"/>
    <w:rsid w:val="00403C6E"/>
    <w:rsid w:val="004040DF"/>
    <w:rsid w:val="00410027"/>
    <w:rsid w:val="00420F5F"/>
    <w:rsid w:val="00421CFE"/>
    <w:rsid w:val="00422E32"/>
    <w:rsid w:val="00424EA6"/>
    <w:rsid w:val="004301D3"/>
    <w:rsid w:val="00431CF3"/>
    <w:rsid w:val="00435A10"/>
    <w:rsid w:val="00436753"/>
    <w:rsid w:val="00437B3E"/>
    <w:rsid w:val="004408C7"/>
    <w:rsid w:val="00445F85"/>
    <w:rsid w:val="004461E7"/>
    <w:rsid w:val="004513E6"/>
    <w:rsid w:val="00453C61"/>
    <w:rsid w:val="00462C2D"/>
    <w:rsid w:val="00466894"/>
    <w:rsid w:val="00472B83"/>
    <w:rsid w:val="00473D82"/>
    <w:rsid w:val="004753AE"/>
    <w:rsid w:val="00475D47"/>
    <w:rsid w:val="00475DE9"/>
    <w:rsid w:val="004846DC"/>
    <w:rsid w:val="00492B7A"/>
    <w:rsid w:val="0049536E"/>
    <w:rsid w:val="004A01F7"/>
    <w:rsid w:val="004A428B"/>
    <w:rsid w:val="004A42C2"/>
    <w:rsid w:val="004A4F64"/>
    <w:rsid w:val="004A792E"/>
    <w:rsid w:val="004B0236"/>
    <w:rsid w:val="004B25E8"/>
    <w:rsid w:val="004B6A97"/>
    <w:rsid w:val="004B7092"/>
    <w:rsid w:val="004C14D5"/>
    <w:rsid w:val="004C2991"/>
    <w:rsid w:val="004C2E9F"/>
    <w:rsid w:val="004C39DA"/>
    <w:rsid w:val="004C3D65"/>
    <w:rsid w:val="004C46A5"/>
    <w:rsid w:val="004C4B5E"/>
    <w:rsid w:val="004C6C8E"/>
    <w:rsid w:val="004C6FE4"/>
    <w:rsid w:val="004D19DD"/>
    <w:rsid w:val="004D26A6"/>
    <w:rsid w:val="004D437D"/>
    <w:rsid w:val="004D7CC1"/>
    <w:rsid w:val="004E1311"/>
    <w:rsid w:val="004E1EB8"/>
    <w:rsid w:val="004F419B"/>
    <w:rsid w:val="004F5AF1"/>
    <w:rsid w:val="004F6899"/>
    <w:rsid w:val="004F69A5"/>
    <w:rsid w:val="00500322"/>
    <w:rsid w:val="005007CC"/>
    <w:rsid w:val="00501099"/>
    <w:rsid w:val="00501FFC"/>
    <w:rsid w:val="0050268E"/>
    <w:rsid w:val="005063EC"/>
    <w:rsid w:val="00510658"/>
    <w:rsid w:val="005144A4"/>
    <w:rsid w:val="005259FF"/>
    <w:rsid w:val="0053735C"/>
    <w:rsid w:val="0054238B"/>
    <w:rsid w:val="005452F0"/>
    <w:rsid w:val="005455EE"/>
    <w:rsid w:val="005465C8"/>
    <w:rsid w:val="00547C1A"/>
    <w:rsid w:val="0055076A"/>
    <w:rsid w:val="00552198"/>
    <w:rsid w:val="00553E6D"/>
    <w:rsid w:val="00565878"/>
    <w:rsid w:val="00565C62"/>
    <w:rsid w:val="00570C9A"/>
    <w:rsid w:val="00572E8D"/>
    <w:rsid w:val="0057472B"/>
    <w:rsid w:val="00581299"/>
    <w:rsid w:val="00582B08"/>
    <w:rsid w:val="005875A8"/>
    <w:rsid w:val="005944BE"/>
    <w:rsid w:val="00595D41"/>
    <w:rsid w:val="005A143B"/>
    <w:rsid w:val="005A211E"/>
    <w:rsid w:val="005A24D1"/>
    <w:rsid w:val="005B1106"/>
    <w:rsid w:val="005B4C0B"/>
    <w:rsid w:val="005C27FE"/>
    <w:rsid w:val="005C65E0"/>
    <w:rsid w:val="005C68A2"/>
    <w:rsid w:val="005E07C2"/>
    <w:rsid w:val="005E3556"/>
    <w:rsid w:val="005E51C2"/>
    <w:rsid w:val="005E5FB0"/>
    <w:rsid w:val="005E67AC"/>
    <w:rsid w:val="005E79D1"/>
    <w:rsid w:val="005F573F"/>
    <w:rsid w:val="005F5B22"/>
    <w:rsid w:val="006003B1"/>
    <w:rsid w:val="00600B66"/>
    <w:rsid w:val="006056DE"/>
    <w:rsid w:val="006241BD"/>
    <w:rsid w:val="00624908"/>
    <w:rsid w:val="0063272B"/>
    <w:rsid w:val="00641F98"/>
    <w:rsid w:val="00651048"/>
    <w:rsid w:val="006510D8"/>
    <w:rsid w:val="00651AB5"/>
    <w:rsid w:val="00653E53"/>
    <w:rsid w:val="0065561B"/>
    <w:rsid w:val="006558A6"/>
    <w:rsid w:val="00656E01"/>
    <w:rsid w:val="0067645C"/>
    <w:rsid w:val="0068016D"/>
    <w:rsid w:val="00690224"/>
    <w:rsid w:val="00690C73"/>
    <w:rsid w:val="00691380"/>
    <w:rsid w:val="006923D9"/>
    <w:rsid w:val="00694140"/>
    <w:rsid w:val="006951F3"/>
    <w:rsid w:val="006A5200"/>
    <w:rsid w:val="006A7B1C"/>
    <w:rsid w:val="006B227F"/>
    <w:rsid w:val="006B6168"/>
    <w:rsid w:val="006B7484"/>
    <w:rsid w:val="006C0FDA"/>
    <w:rsid w:val="006C4809"/>
    <w:rsid w:val="006C5B6D"/>
    <w:rsid w:val="006C681E"/>
    <w:rsid w:val="006D3136"/>
    <w:rsid w:val="006D75B8"/>
    <w:rsid w:val="006F0101"/>
    <w:rsid w:val="006F2320"/>
    <w:rsid w:val="006F68A5"/>
    <w:rsid w:val="007011FE"/>
    <w:rsid w:val="0070572A"/>
    <w:rsid w:val="00712D97"/>
    <w:rsid w:val="00713531"/>
    <w:rsid w:val="00716A03"/>
    <w:rsid w:val="007241E1"/>
    <w:rsid w:val="00737B08"/>
    <w:rsid w:val="00737B83"/>
    <w:rsid w:val="0074026C"/>
    <w:rsid w:val="00745F1D"/>
    <w:rsid w:val="007464F1"/>
    <w:rsid w:val="00755A0D"/>
    <w:rsid w:val="00756B26"/>
    <w:rsid w:val="00761736"/>
    <w:rsid w:val="007661FD"/>
    <w:rsid w:val="0076699B"/>
    <w:rsid w:val="00766B21"/>
    <w:rsid w:val="0076703C"/>
    <w:rsid w:val="007701D7"/>
    <w:rsid w:val="007804C9"/>
    <w:rsid w:val="00781D1E"/>
    <w:rsid w:val="00782FA9"/>
    <w:rsid w:val="00790D98"/>
    <w:rsid w:val="007934DB"/>
    <w:rsid w:val="00797650"/>
    <w:rsid w:val="007A17BF"/>
    <w:rsid w:val="007A6428"/>
    <w:rsid w:val="007B6F44"/>
    <w:rsid w:val="007C09D8"/>
    <w:rsid w:val="007C1BA6"/>
    <w:rsid w:val="007C331B"/>
    <w:rsid w:val="007D4062"/>
    <w:rsid w:val="007D4400"/>
    <w:rsid w:val="007E0E3D"/>
    <w:rsid w:val="007E21E0"/>
    <w:rsid w:val="007E54E9"/>
    <w:rsid w:val="007F2CF8"/>
    <w:rsid w:val="008002CA"/>
    <w:rsid w:val="00811AE1"/>
    <w:rsid w:val="008130C1"/>
    <w:rsid w:val="0081788F"/>
    <w:rsid w:val="00817F92"/>
    <w:rsid w:val="008278BF"/>
    <w:rsid w:val="008313F2"/>
    <w:rsid w:val="00831CFC"/>
    <w:rsid w:val="00835BD3"/>
    <w:rsid w:val="008430FC"/>
    <w:rsid w:val="00843845"/>
    <w:rsid w:val="0084711F"/>
    <w:rsid w:val="0085277C"/>
    <w:rsid w:val="008567EE"/>
    <w:rsid w:val="00861530"/>
    <w:rsid w:val="00864C87"/>
    <w:rsid w:val="00864F3C"/>
    <w:rsid w:val="00873BC1"/>
    <w:rsid w:val="0088278B"/>
    <w:rsid w:val="00883DDB"/>
    <w:rsid w:val="0089062F"/>
    <w:rsid w:val="00894945"/>
    <w:rsid w:val="00895062"/>
    <w:rsid w:val="008A0347"/>
    <w:rsid w:val="008A5182"/>
    <w:rsid w:val="008A5853"/>
    <w:rsid w:val="008A6401"/>
    <w:rsid w:val="008B21DE"/>
    <w:rsid w:val="008B4C53"/>
    <w:rsid w:val="008B5266"/>
    <w:rsid w:val="008B60A3"/>
    <w:rsid w:val="008B65C2"/>
    <w:rsid w:val="008B66D1"/>
    <w:rsid w:val="008C4DB3"/>
    <w:rsid w:val="008C7B03"/>
    <w:rsid w:val="008D06BE"/>
    <w:rsid w:val="008D1A59"/>
    <w:rsid w:val="008D21C9"/>
    <w:rsid w:val="008D25BA"/>
    <w:rsid w:val="008E1111"/>
    <w:rsid w:val="008E214D"/>
    <w:rsid w:val="008E22C8"/>
    <w:rsid w:val="008E56C3"/>
    <w:rsid w:val="008F18CD"/>
    <w:rsid w:val="008F2014"/>
    <w:rsid w:val="008F2FDE"/>
    <w:rsid w:val="008F7A49"/>
    <w:rsid w:val="0091035F"/>
    <w:rsid w:val="009125B3"/>
    <w:rsid w:val="00913AF8"/>
    <w:rsid w:val="00920A96"/>
    <w:rsid w:val="00925837"/>
    <w:rsid w:val="00931FB1"/>
    <w:rsid w:val="009404A3"/>
    <w:rsid w:val="00942442"/>
    <w:rsid w:val="009446D6"/>
    <w:rsid w:val="00947C2A"/>
    <w:rsid w:val="00955650"/>
    <w:rsid w:val="00961ACE"/>
    <w:rsid w:val="00962F24"/>
    <w:rsid w:val="0096684F"/>
    <w:rsid w:val="00970C9E"/>
    <w:rsid w:val="00973D0C"/>
    <w:rsid w:val="00973F8D"/>
    <w:rsid w:val="00976D4F"/>
    <w:rsid w:val="00983ADC"/>
    <w:rsid w:val="009902D6"/>
    <w:rsid w:val="00992D8A"/>
    <w:rsid w:val="00994727"/>
    <w:rsid w:val="009A2238"/>
    <w:rsid w:val="009A2C70"/>
    <w:rsid w:val="009A36BC"/>
    <w:rsid w:val="009A4EF2"/>
    <w:rsid w:val="009B10F1"/>
    <w:rsid w:val="009B4DA2"/>
    <w:rsid w:val="009B719D"/>
    <w:rsid w:val="009C2DB0"/>
    <w:rsid w:val="009C3643"/>
    <w:rsid w:val="009C4950"/>
    <w:rsid w:val="009D6057"/>
    <w:rsid w:val="009E2B70"/>
    <w:rsid w:val="009E2E50"/>
    <w:rsid w:val="009E3DC4"/>
    <w:rsid w:val="009E408B"/>
    <w:rsid w:val="009F0160"/>
    <w:rsid w:val="009F29FD"/>
    <w:rsid w:val="00A03EF4"/>
    <w:rsid w:val="00A078C1"/>
    <w:rsid w:val="00A15518"/>
    <w:rsid w:val="00A2032E"/>
    <w:rsid w:val="00A22136"/>
    <w:rsid w:val="00A22B44"/>
    <w:rsid w:val="00A2565F"/>
    <w:rsid w:val="00A264A5"/>
    <w:rsid w:val="00A34517"/>
    <w:rsid w:val="00A43990"/>
    <w:rsid w:val="00A474F4"/>
    <w:rsid w:val="00A51B9E"/>
    <w:rsid w:val="00A57F3F"/>
    <w:rsid w:val="00A61A5C"/>
    <w:rsid w:val="00A62D51"/>
    <w:rsid w:val="00A652FF"/>
    <w:rsid w:val="00A74623"/>
    <w:rsid w:val="00A771A1"/>
    <w:rsid w:val="00A80028"/>
    <w:rsid w:val="00A81D1E"/>
    <w:rsid w:val="00A832C4"/>
    <w:rsid w:val="00A91891"/>
    <w:rsid w:val="00A918DE"/>
    <w:rsid w:val="00AA6C68"/>
    <w:rsid w:val="00AA75C5"/>
    <w:rsid w:val="00AB057A"/>
    <w:rsid w:val="00AB3768"/>
    <w:rsid w:val="00AC05CE"/>
    <w:rsid w:val="00AC12A1"/>
    <w:rsid w:val="00AC1781"/>
    <w:rsid w:val="00AC299D"/>
    <w:rsid w:val="00AC5144"/>
    <w:rsid w:val="00AD196B"/>
    <w:rsid w:val="00AD1A9B"/>
    <w:rsid w:val="00AD386B"/>
    <w:rsid w:val="00AE5760"/>
    <w:rsid w:val="00AE64C6"/>
    <w:rsid w:val="00AE6F1C"/>
    <w:rsid w:val="00AF1BE3"/>
    <w:rsid w:val="00AF48E0"/>
    <w:rsid w:val="00B04018"/>
    <w:rsid w:val="00B066EA"/>
    <w:rsid w:val="00B210E2"/>
    <w:rsid w:val="00B232E6"/>
    <w:rsid w:val="00B34AEA"/>
    <w:rsid w:val="00B34BBD"/>
    <w:rsid w:val="00B35A7C"/>
    <w:rsid w:val="00B42871"/>
    <w:rsid w:val="00B45099"/>
    <w:rsid w:val="00B46660"/>
    <w:rsid w:val="00B512D5"/>
    <w:rsid w:val="00B53D41"/>
    <w:rsid w:val="00B568DB"/>
    <w:rsid w:val="00B635A4"/>
    <w:rsid w:val="00B7076C"/>
    <w:rsid w:val="00B72573"/>
    <w:rsid w:val="00B737DF"/>
    <w:rsid w:val="00B73973"/>
    <w:rsid w:val="00B73E83"/>
    <w:rsid w:val="00B75E6A"/>
    <w:rsid w:val="00B75F6B"/>
    <w:rsid w:val="00B854A9"/>
    <w:rsid w:val="00B91684"/>
    <w:rsid w:val="00BA7598"/>
    <w:rsid w:val="00BB2387"/>
    <w:rsid w:val="00BB2AB6"/>
    <w:rsid w:val="00BB378B"/>
    <w:rsid w:val="00BB7AFB"/>
    <w:rsid w:val="00BC0C30"/>
    <w:rsid w:val="00BC23FD"/>
    <w:rsid w:val="00BE051D"/>
    <w:rsid w:val="00BE391C"/>
    <w:rsid w:val="00BF1252"/>
    <w:rsid w:val="00BF3039"/>
    <w:rsid w:val="00BF3CD1"/>
    <w:rsid w:val="00BF45B5"/>
    <w:rsid w:val="00BF5A13"/>
    <w:rsid w:val="00C02C2F"/>
    <w:rsid w:val="00C07709"/>
    <w:rsid w:val="00C14B13"/>
    <w:rsid w:val="00C1596F"/>
    <w:rsid w:val="00C273D4"/>
    <w:rsid w:val="00C3360A"/>
    <w:rsid w:val="00C34BC7"/>
    <w:rsid w:val="00C360A4"/>
    <w:rsid w:val="00C36EA6"/>
    <w:rsid w:val="00C37964"/>
    <w:rsid w:val="00C4323C"/>
    <w:rsid w:val="00C4379C"/>
    <w:rsid w:val="00C46CB9"/>
    <w:rsid w:val="00C5478B"/>
    <w:rsid w:val="00C55550"/>
    <w:rsid w:val="00C62F6F"/>
    <w:rsid w:val="00C70471"/>
    <w:rsid w:val="00C75C68"/>
    <w:rsid w:val="00C82318"/>
    <w:rsid w:val="00C8671D"/>
    <w:rsid w:val="00C86A26"/>
    <w:rsid w:val="00C91C3F"/>
    <w:rsid w:val="00C91EA3"/>
    <w:rsid w:val="00C9217A"/>
    <w:rsid w:val="00C935E7"/>
    <w:rsid w:val="00C96001"/>
    <w:rsid w:val="00CA357E"/>
    <w:rsid w:val="00CB3C27"/>
    <w:rsid w:val="00CB7A1B"/>
    <w:rsid w:val="00CC0B34"/>
    <w:rsid w:val="00CC1912"/>
    <w:rsid w:val="00CD0A16"/>
    <w:rsid w:val="00CD1BEE"/>
    <w:rsid w:val="00CD2C51"/>
    <w:rsid w:val="00CD5153"/>
    <w:rsid w:val="00CE26AE"/>
    <w:rsid w:val="00CE401C"/>
    <w:rsid w:val="00CE4C27"/>
    <w:rsid w:val="00CE5688"/>
    <w:rsid w:val="00CF3EBA"/>
    <w:rsid w:val="00D000DF"/>
    <w:rsid w:val="00D01AB9"/>
    <w:rsid w:val="00D04866"/>
    <w:rsid w:val="00D111B6"/>
    <w:rsid w:val="00D113C1"/>
    <w:rsid w:val="00D13B6F"/>
    <w:rsid w:val="00D15A24"/>
    <w:rsid w:val="00D16D6D"/>
    <w:rsid w:val="00D17FE9"/>
    <w:rsid w:val="00D22173"/>
    <w:rsid w:val="00D22816"/>
    <w:rsid w:val="00D3439C"/>
    <w:rsid w:val="00D40341"/>
    <w:rsid w:val="00D440A6"/>
    <w:rsid w:val="00D547F0"/>
    <w:rsid w:val="00D5645F"/>
    <w:rsid w:val="00D6358A"/>
    <w:rsid w:val="00D65730"/>
    <w:rsid w:val="00D70F04"/>
    <w:rsid w:val="00D759C6"/>
    <w:rsid w:val="00D75D95"/>
    <w:rsid w:val="00D81BFB"/>
    <w:rsid w:val="00D835BE"/>
    <w:rsid w:val="00DA41A3"/>
    <w:rsid w:val="00DA492F"/>
    <w:rsid w:val="00DA6DC5"/>
    <w:rsid w:val="00DB20E2"/>
    <w:rsid w:val="00DB6555"/>
    <w:rsid w:val="00DC1B26"/>
    <w:rsid w:val="00DC5BCC"/>
    <w:rsid w:val="00DD0A3B"/>
    <w:rsid w:val="00DD100F"/>
    <w:rsid w:val="00DD4ABF"/>
    <w:rsid w:val="00DE2C2F"/>
    <w:rsid w:val="00DE3351"/>
    <w:rsid w:val="00DF1E7D"/>
    <w:rsid w:val="00E03677"/>
    <w:rsid w:val="00E06421"/>
    <w:rsid w:val="00E06E21"/>
    <w:rsid w:val="00E141DC"/>
    <w:rsid w:val="00E17C9F"/>
    <w:rsid w:val="00E2090E"/>
    <w:rsid w:val="00E22CC0"/>
    <w:rsid w:val="00E23905"/>
    <w:rsid w:val="00E247CF"/>
    <w:rsid w:val="00E33329"/>
    <w:rsid w:val="00E45867"/>
    <w:rsid w:val="00E505BE"/>
    <w:rsid w:val="00E57FAF"/>
    <w:rsid w:val="00E621D0"/>
    <w:rsid w:val="00E6475C"/>
    <w:rsid w:val="00E65091"/>
    <w:rsid w:val="00E6513D"/>
    <w:rsid w:val="00E67A1A"/>
    <w:rsid w:val="00E72B5B"/>
    <w:rsid w:val="00E76984"/>
    <w:rsid w:val="00E84CCF"/>
    <w:rsid w:val="00E87C49"/>
    <w:rsid w:val="00E90059"/>
    <w:rsid w:val="00E9492A"/>
    <w:rsid w:val="00EA04F2"/>
    <w:rsid w:val="00EA350E"/>
    <w:rsid w:val="00EA3BC4"/>
    <w:rsid w:val="00EA76D8"/>
    <w:rsid w:val="00EB1151"/>
    <w:rsid w:val="00EB3263"/>
    <w:rsid w:val="00EB6E4E"/>
    <w:rsid w:val="00EC3875"/>
    <w:rsid w:val="00EC4665"/>
    <w:rsid w:val="00EC7789"/>
    <w:rsid w:val="00ED0A73"/>
    <w:rsid w:val="00ED57B0"/>
    <w:rsid w:val="00EE2C87"/>
    <w:rsid w:val="00EF1D62"/>
    <w:rsid w:val="00F00ABA"/>
    <w:rsid w:val="00F03002"/>
    <w:rsid w:val="00F070AB"/>
    <w:rsid w:val="00F11986"/>
    <w:rsid w:val="00F1524F"/>
    <w:rsid w:val="00F1545F"/>
    <w:rsid w:val="00F17E88"/>
    <w:rsid w:val="00F223BA"/>
    <w:rsid w:val="00F22E5B"/>
    <w:rsid w:val="00F22E97"/>
    <w:rsid w:val="00F23BB1"/>
    <w:rsid w:val="00F30943"/>
    <w:rsid w:val="00F3194C"/>
    <w:rsid w:val="00F3392A"/>
    <w:rsid w:val="00F34432"/>
    <w:rsid w:val="00F352E1"/>
    <w:rsid w:val="00F364BF"/>
    <w:rsid w:val="00F36C11"/>
    <w:rsid w:val="00F37AF6"/>
    <w:rsid w:val="00F37B26"/>
    <w:rsid w:val="00F410EE"/>
    <w:rsid w:val="00F41400"/>
    <w:rsid w:val="00F42778"/>
    <w:rsid w:val="00F4289B"/>
    <w:rsid w:val="00F42F52"/>
    <w:rsid w:val="00F4336E"/>
    <w:rsid w:val="00F434F2"/>
    <w:rsid w:val="00F45BE8"/>
    <w:rsid w:val="00F46A39"/>
    <w:rsid w:val="00F50856"/>
    <w:rsid w:val="00F52913"/>
    <w:rsid w:val="00F5449B"/>
    <w:rsid w:val="00F6496D"/>
    <w:rsid w:val="00F709A6"/>
    <w:rsid w:val="00F73BBB"/>
    <w:rsid w:val="00F748D8"/>
    <w:rsid w:val="00F75AA1"/>
    <w:rsid w:val="00F7633A"/>
    <w:rsid w:val="00F77C60"/>
    <w:rsid w:val="00F816B6"/>
    <w:rsid w:val="00F8318B"/>
    <w:rsid w:val="00F864FC"/>
    <w:rsid w:val="00F963B7"/>
    <w:rsid w:val="00F9775D"/>
    <w:rsid w:val="00FA02A5"/>
    <w:rsid w:val="00FA4897"/>
    <w:rsid w:val="00FA7BF1"/>
    <w:rsid w:val="00FB00FD"/>
    <w:rsid w:val="00FB2340"/>
    <w:rsid w:val="00FB351D"/>
    <w:rsid w:val="00FC50C9"/>
    <w:rsid w:val="00FC5371"/>
    <w:rsid w:val="00FC7C2D"/>
    <w:rsid w:val="00FD3FCE"/>
    <w:rsid w:val="00FD6DE5"/>
    <w:rsid w:val="00FE097F"/>
    <w:rsid w:val="00FE4D47"/>
    <w:rsid w:val="00FE5E9E"/>
    <w:rsid w:val="00FE6FEB"/>
    <w:rsid w:val="00FF14C6"/>
    <w:rsid w:val="00FF2E42"/>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41"/>
    <o:shapelayout v:ext="edit">
      <o:idmap v:ext="edit" data="1"/>
    </o:shapelayout>
  </w:shapeDefaults>
  <w:decimalSymbol w:val="."/>
  <w:listSeparator w:val=","/>
  <w14:docId w14:val="01EAF92E"/>
  <w15:chartTrackingRefBased/>
  <w15:docId w15:val="{3E82D901-8690-4E3E-A805-B1AC62D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ListParagraph"/>
    <w:next w:val="Normal"/>
    <w:link w:val="Heading1Char"/>
    <w:qFormat/>
    <w:rsid w:val="009A4EF2"/>
    <w:pPr>
      <w:keepNext/>
      <w:numPr>
        <w:numId w:val="5"/>
      </w:numPr>
      <w:spacing w:line="480" w:lineRule="auto"/>
      <w:ind w:left="720"/>
      <w:jc w:val="center"/>
      <w:outlineLvl w:val="0"/>
    </w:pPr>
    <w:rPr>
      <w:b/>
      <w:sz w:val="24"/>
    </w:rPr>
  </w:style>
  <w:style w:type="paragraph" w:styleId="Heading4">
    <w:name w:val="heading 4"/>
    <w:basedOn w:val="ListParagraph"/>
    <w:next w:val="Normal"/>
    <w:qFormat/>
    <w:rsid w:val="004408C7"/>
    <w:pPr>
      <w:widowControl/>
      <w:numPr>
        <w:numId w:val="7"/>
      </w:numPr>
      <w:tabs>
        <w:tab w:val="left" w:pos="0"/>
      </w:tabs>
      <w:autoSpaceDE/>
      <w:autoSpaceDN/>
      <w:adjustRightInd/>
      <w:spacing w:line="480" w:lineRule="auto"/>
      <w:ind w:left="1440" w:hanging="720"/>
      <w:outlineLvl w:val="3"/>
    </w:pPr>
    <w:rPr>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paragraph" w:styleId="BodyText">
    <w:name w:val="Body Text"/>
    <w:basedOn w:val="Normal"/>
    <w:link w:val="BodyTextChar"/>
    <w:rsid w:val="00B34AEA"/>
    <w:pPr>
      <w:spacing w:after="120"/>
    </w:pPr>
  </w:style>
  <w:style w:type="character" w:customStyle="1" w:styleId="BodyTextChar">
    <w:name w:val="Body Text Char"/>
    <w:basedOn w:val="DefaultParagraphFont"/>
    <w:link w:val="BodyText"/>
    <w:rsid w:val="00B34AEA"/>
    <w:rPr>
      <w:szCs w:val="24"/>
    </w:rPr>
  </w:style>
  <w:style w:type="character" w:customStyle="1" w:styleId="Heading1Char">
    <w:name w:val="Heading 1 Char"/>
    <w:basedOn w:val="DefaultParagraphFont"/>
    <w:link w:val="Heading1"/>
    <w:rsid w:val="009A4EF2"/>
    <w:rPr>
      <w:b/>
      <w:sz w:val="24"/>
      <w:szCs w:val="24"/>
    </w:rPr>
  </w:style>
  <w:style w:type="character" w:styleId="Strong">
    <w:name w:val="Strong"/>
    <w:qFormat/>
    <w:rsid w:val="00E06E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2015-10-27T07:00:00+00:00</OpenedDate>
    <Date1 xmlns="dc463f71-b30c-4ab2-9473-d307f9d35888">2016-11-14T23:26:26+00:00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52CF73B3D8E64F9159400EFEC065B3" ma:contentTypeVersion="119" ma:contentTypeDescription="" ma:contentTypeScope="" ma:versionID="84cd3688a021f2d28bc6bca9dec0e0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9B77D-1215-477F-83D2-1E36EF688400}">
  <ds:schemaRefs>
    <ds:schemaRef ds:uri="http://schemas.microsoft.com/sharepoint/v3/contenttype/forms"/>
  </ds:schemaRefs>
</ds:datastoreItem>
</file>

<file path=customXml/itemProps2.xml><?xml version="1.0" encoding="utf-8"?>
<ds:datastoreItem xmlns:ds="http://schemas.openxmlformats.org/officeDocument/2006/customXml" ds:itemID="{3A678F14-64E2-45BB-ABF0-DCFEC8E3C303}">
  <ds:schemaRefs>
    <ds:schemaRef ds:uri="http://schemas.microsoft.com/office/2006/metadata/longProperties"/>
  </ds:schemaRefs>
</ds:datastoreItem>
</file>

<file path=customXml/itemProps3.xml><?xml version="1.0" encoding="utf-8"?>
<ds:datastoreItem xmlns:ds="http://schemas.openxmlformats.org/officeDocument/2006/customXml" ds:itemID="{4F97A112-5E01-4F22-80D1-B60ADE96BFBD}">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dde7b3f8-6eac-457b-bc2a-336d890ae149"/>
    <ds:schemaRef ds:uri="http://schemas.microsoft.com/office/2006/metadata/properties"/>
  </ds:schemaRefs>
</ds:datastoreItem>
</file>

<file path=customXml/itemProps4.xml><?xml version="1.0" encoding="utf-8"?>
<ds:datastoreItem xmlns:ds="http://schemas.openxmlformats.org/officeDocument/2006/customXml" ds:itemID="{D1508FA2-C754-4B68-ADE4-605441F97754}"/>
</file>

<file path=customXml/itemProps5.xml><?xml version="1.0" encoding="utf-8"?>
<ds:datastoreItem xmlns:ds="http://schemas.openxmlformats.org/officeDocument/2006/customXml" ds:itemID="{959D5365-8D46-4DA9-8964-F475F63BB902}">
  <ds:schemaRefs>
    <ds:schemaRef ds:uri="http://schemas.openxmlformats.org/officeDocument/2006/bibliography"/>
  </ds:schemaRefs>
</ds:datastoreItem>
</file>

<file path=customXml/itemProps6.xml><?xml version="1.0" encoding="utf-8"?>
<ds:datastoreItem xmlns:ds="http://schemas.openxmlformats.org/officeDocument/2006/customXml" ds:itemID="{75C42304-8E51-4D3C-AB78-002975E079AE}"/>
</file>

<file path=docProps/app.xml><?xml version="1.0" encoding="utf-8"?>
<Properties xmlns="http://schemas.openxmlformats.org/officeDocument/2006/extended-properties" xmlns:vt="http://schemas.openxmlformats.org/officeDocument/2006/docPropsVTypes">
  <Template>Normal</Template>
  <TotalTime>38</TotalTime>
  <Pages>7</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O'Connell</dc:creator>
  <cp:keywords/>
  <dc:description/>
  <cp:lastModifiedBy>Andrew J. O'Connell</cp:lastModifiedBy>
  <cp:revision>7</cp:revision>
  <cp:lastPrinted>2014-12-05T16:47:00Z</cp:lastPrinted>
  <dcterms:created xsi:type="dcterms:W3CDTF">2016-11-14T19:55:00Z</dcterms:created>
  <dcterms:modified xsi:type="dcterms:W3CDTF">2016-11-14T22:00:00Z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0x0101006E56B4D1795A2E4DB2F0B01679ED314A004452CF73B3D8E64F9159400EFEC065B3</vt:lpwstr>
  </property>
  <property fmtid="{D5CDD505-2E9C-101B-9397-08002B2CF9AE}" pid="5" name="_docset_NoMedatataSyncRequired">
    <vt:lpwstr>False</vt:lpwstr>
  </property>
</Properties>
</file>