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Vasquez, Alan</w:t>
        <w:cr/>
        <w:t>d/b/a Integrity Moving and Delivery Services</w:t>
      </w:r>
    </w:p>
    <w:p>
      <w:r>
        <w:t>16826 SE 259th Street</w:t>
        <w:cr/>
        <w:t>Covington, WA 98042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HG065845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150488</w:t>
      </w:r>
      <w:r w:rsidR="00C30993">
        <w:tab/>
      </w:r>
      <w:r>
        <w:t>August 18,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CE8A5DE0749A4BB8F97189F7BEBA0C" ma:contentTypeVersion="119" ma:contentTypeDescription="" ma:contentTypeScope="" ma:versionID="3147b63e7342a81bbf91d1916f817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2015-03-26T07:00:00+00:00</OpenedDate>
    <Date1 xmlns="dc463f71-b30c-4ab2-9473-d307f9d35888">2016-08-18T07:00:00+00:00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Vasquez, Alan</CaseCompanyNames>
    <DocketNumber xmlns="dc463f71-b30c-4ab2-9473-d307f9d35888">150488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484A-8F5B-4392-B6BA-B5C4242CADC5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AA67E4BE-A5E0-4019-89E3-C5245976C9C3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0x0101006E56B4D1795A2E4DB2F0B01679ED314A0069CE8A5DE0749A4BB8F97189F7BEBA0C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