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B8484" w14:textId="77777777" w:rsidR="0097483B" w:rsidRDefault="0097483B">
      <w:pPr>
        <w:tabs>
          <w:tab w:val="center" w:pos="4428"/>
        </w:tabs>
        <w:suppressAutoHyphens/>
        <w:jc w:val="center"/>
        <w:rPr>
          <w:spacing w:val="-3"/>
        </w:rPr>
      </w:pPr>
      <w:bookmarkStart w:id="0" w:name="_GoBack"/>
      <w:bookmarkEnd w:id="0"/>
    </w:p>
    <w:p w14:paraId="564D1FAD" w14:textId="77777777" w:rsidR="0097483B" w:rsidRDefault="0097483B">
      <w:pPr>
        <w:tabs>
          <w:tab w:val="center" w:pos="4428"/>
        </w:tabs>
        <w:suppressAutoHyphens/>
        <w:jc w:val="center"/>
        <w:rPr>
          <w:spacing w:val="-3"/>
        </w:rPr>
      </w:pPr>
    </w:p>
    <w:p w14:paraId="2C0CD302" w14:textId="77777777" w:rsidR="000754BF" w:rsidRDefault="00B733D2">
      <w:pPr>
        <w:tabs>
          <w:tab w:val="center" w:pos="4428"/>
        </w:tabs>
        <w:suppressAutoHyphens/>
        <w:jc w:val="center"/>
        <w:rPr>
          <w:spacing w:val="-3"/>
        </w:rPr>
      </w:pPr>
      <w:r>
        <w:rPr>
          <w:spacing w:val="-3"/>
        </w:rPr>
        <w:t>GENERAL RULES AND REGULATIONS</w:t>
      </w:r>
    </w:p>
    <w:p w14:paraId="2C0CD303" w14:textId="77777777" w:rsidR="000754BF" w:rsidRPr="00030333" w:rsidRDefault="00B733D2">
      <w:pPr>
        <w:tabs>
          <w:tab w:val="center" w:pos="4428"/>
        </w:tabs>
        <w:suppressAutoHyphens/>
        <w:jc w:val="center"/>
        <w:rPr>
          <w:spacing w:val="-3"/>
          <w:sz w:val="22"/>
        </w:rPr>
      </w:pPr>
      <w:r w:rsidRPr="00030333">
        <w:rPr>
          <w:spacing w:val="-3"/>
          <w:sz w:val="22"/>
        </w:rPr>
        <w:t>(</w:t>
      </w:r>
      <w:proofErr w:type="gramStart"/>
      <w:r w:rsidRPr="00030333">
        <w:rPr>
          <w:spacing w:val="-3"/>
          <w:sz w:val="22"/>
        </w:rPr>
        <w:t>continued</w:t>
      </w:r>
      <w:proofErr w:type="gramEnd"/>
      <w:r w:rsidRPr="00030333">
        <w:rPr>
          <w:spacing w:val="-3"/>
          <w:sz w:val="22"/>
        </w:rPr>
        <w:t>)</w:t>
      </w:r>
    </w:p>
    <w:p w14:paraId="2C0CD305" w14:textId="77777777" w:rsidR="000754BF" w:rsidRDefault="000754BF">
      <w:pPr>
        <w:tabs>
          <w:tab w:val="left" w:pos="-720"/>
        </w:tabs>
        <w:suppressAutoHyphens/>
        <w:jc w:val="both"/>
        <w:rPr>
          <w:spacing w:val="-3"/>
        </w:rPr>
      </w:pPr>
    </w:p>
    <w:p w14:paraId="2C0CD306" w14:textId="345DEFBD" w:rsidR="000754BF" w:rsidRPr="00030333" w:rsidRDefault="00B733D2">
      <w:pPr>
        <w:tabs>
          <w:tab w:val="left" w:pos="-720"/>
        </w:tabs>
        <w:suppressAutoHyphens/>
        <w:jc w:val="both"/>
        <w:rPr>
          <w:b/>
          <w:spacing w:val="-3"/>
          <w:sz w:val="22"/>
        </w:rPr>
      </w:pPr>
      <w:proofErr w:type="gramStart"/>
      <w:r w:rsidRPr="00030333">
        <w:rPr>
          <w:b/>
          <w:spacing w:val="-3"/>
          <w:sz w:val="22"/>
        </w:rPr>
        <w:t>Rule 3.</w:t>
      </w:r>
      <w:proofErr w:type="gramEnd"/>
      <w:r w:rsidRPr="00030333">
        <w:rPr>
          <w:b/>
          <w:spacing w:val="-3"/>
          <w:sz w:val="22"/>
        </w:rPr>
        <w:tab/>
      </w:r>
      <w:r w:rsidR="00030333">
        <w:rPr>
          <w:b/>
          <w:spacing w:val="-3"/>
          <w:sz w:val="22"/>
        </w:rPr>
        <w:tab/>
      </w:r>
      <w:r w:rsidRPr="00030333">
        <w:rPr>
          <w:b/>
          <w:spacing w:val="-3"/>
          <w:sz w:val="22"/>
        </w:rPr>
        <w:t>Deposits (continued).</w:t>
      </w:r>
    </w:p>
    <w:p w14:paraId="2C0CD307" w14:textId="0D2EC38D" w:rsidR="000754BF" w:rsidRDefault="0097483B">
      <w:pPr>
        <w:tabs>
          <w:tab w:val="left" w:pos="-720"/>
        </w:tabs>
        <w:suppressAutoHyphens/>
        <w:jc w:val="both"/>
        <w:rPr>
          <w:spacing w:val="-3"/>
        </w:rPr>
      </w:pPr>
      <w:r w:rsidRPr="0097483B">
        <w:rPr>
          <w:noProof/>
          <w:spacing w:val="-2"/>
          <w:sz w:val="19"/>
          <w:szCs w:val="19"/>
        </w:rPr>
        <mc:AlternateContent>
          <mc:Choice Requires="wps">
            <w:drawing>
              <wp:anchor distT="0" distB="0" distL="114300" distR="114300" simplePos="0" relativeHeight="251659264" behindDoc="0" locked="0" layoutInCell="1" allowOverlap="1" wp14:anchorId="743500C8" wp14:editId="3C5C4F81">
                <wp:simplePos x="0" y="0"/>
                <wp:positionH relativeFrom="column">
                  <wp:posOffset>5890260</wp:posOffset>
                </wp:positionH>
                <wp:positionV relativeFrom="paragraph">
                  <wp:posOffset>26035</wp:posOffset>
                </wp:positionV>
                <wp:extent cx="632460" cy="416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4168140"/>
                        </a:xfrm>
                        <a:prstGeom prst="rect">
                          <a:avLst/>
                        </a:prstGeom>
                        <a:solidFill>
                          <a:srgbClr val="FFFFFF"/>
                        </a:solidFill>
                        <a:ln w="9525">
                          <a:noFill/>
                          <a:miter lim="800000"/>
                          <a:headEnd/>
                          <a:tailEnd/>
                        </a:ln>
                      </wps:spPr>
                      <wps:txbx>
                        <w:txbxContent>
                          <w:p w14:paraId="7843A0DD" w14:textId="7B574F34" w:rsidR="0097483B" w:rsidRDefault="0097483B">
                            <w:pPr>
                              <w:rPr>
                                <w:sz w:val="20"/>
                              </w:rPr>
                            </w:pPr>
                            <w:r>
                              <w:rPr>
                                <w:sz w:val="20"/>
                              </w:rPr>
                              <w:t>(M)</w:t>
                            </w:r>
                          </w:p>
                          <w:p w14:paraId="5F867B9F" w14:textId="77777777" w:rsidR="0097483B" w:rsidRDefault="0097483B">
                            <w:pPr>
                              <w:rPr>
                                <w:sz w:val="20"/>
                              </w:rPr>
                            </w:pPr>
                          </w:p>
                          <w:p w14:paraId="45416033" w14:textId="77777777" w:rsidR="0097483B" w:rsidRDefault="0097483B">
                            <w:pPr>
                              <w:rPr>
                                <w:sz w:val="20"/>
                              </w:rPr>
                            </w:pPr>
                          </w:p>
                          <w:p w14:paraId="78144B68" w14:textId="77777777" w:rsidR="0097483B" w:rsidRDefault="0097483B">
                            <w:pPr>
                              <w:rPr>
                                <w:sz w:val="20"/>
                              </w:rPr>
                            </w:pPr>
                          </w:p>
                          <w:p w14:paraId="3D9DCE8A" w14:textId="77777777" w:rsidR="0097483B" w:rsidRDefault="0097483B">
                            <w:pPr>
                              <w:rPr>
                                <w:sz w:val="20"/>
                              </w:rPr>
                            </w:pPr>
                          </w:p>
                          <w:p w14:paraId="6A09646A" w14:textId="77777777" w:rsidR="0097483B" w:rsidRDefault="0097483B">
                            <w:pPr>
                              <w:rPr>
                                <w:sz w:val="20"/>
                              </w:rPr>
                            </w:pPr>
                          </w:p>
                          <w:p w14:paraId="055E2003" w14:textId="77777777" w:rsidR="0097483B" w:rsidRDefault="0097483B">
                            <w:pPr>
                              <w:rPr>
                                <w:sz w:val="20"/>
                              </w:rPr>
                            </w:pPr>
                          </w:p>
                          <w:p w14:paraId="06FEBCFB" w14:textId="77777777" w:rsidR="0097483B" w:rsidRDefault="0097483B">
                            <w:pPr>
                              <w:rPr>
                                <w:sz w:val="20"/>
                              </w:rPr>
                            </w:pPr>
                          </w:p>
                          <w:p w14:paraId="75A48AE6" w14:textId="77777777" w:rsidR="0097483B" w:rsidRDefault="0097483B">
                            <w:pPr>
                              <w:rPr>
                                <w:sz w:val="20"/>
                              </w:rPr>
                            </w:pPr>
                          </w:p>
                          <w:p w14:paraId="44718FB7" w14:textId="77777777" w:rsidR="0097483B" w:rsidRDefault="0097483B">
                            <w:pPr>
                              <w:rPr>
                                <w:sz w:val="20"/>
                              </w:rPr>
                            </w:pPr>
                          </w:p>
                          <w:p w14:paraId="53A34A8D" w14:textId="77777777" w:rsidR="0097483B" w:rsidRDefault="0097483B">
                            <w:pPr>
                              <w:rPr>
                                <w:sz w:val="20"/>
                              </w:rPr>
                            </w:pPr>
                          </w:p>
                          <w:p w14:paraId="3A6FF2B7" w14:textId="77777777" w:rsidR="0097483B" w:rsidRDefault="0097483B">
                            <w:pPr>
                              <w:rPr>
                                <w:sz w:val="20"/>
                              </w:rPr>
                            </w:pPr>
                          </w:p>
                          <w:p w14:paraId="73BF3B1B" w14:textId="77777777" w:rsidR="0097483B" w:rsidRDefault="0097483B">
                            <w:pPr>
                              <w:rPr>
                                <w:sz w:val="20"/>
                              </w:rPr>
                            </w:pPr>
                          </w:p>
                          <w:p w14:paraId="0A4B78D7" w14:textId="77777777" w:rsidR="0097483B" w:rsidRDefault="0097483B">
                            <w:pPr>
                              <w:rPr>
                                <w:sz w:val="20"/>
                              </w:rPr>
                            </w:pPr>
                          </w:p>
                          <w:p w14:paraId="0C6797AA" w14:textId="77777777" w:rsidR="0097483B" w:rsidRDefault="0097483B">
                            <w:pPr>
                              <w:rPr>
                                <w:sz w:val="20"/>
                              </w:rPr>
                            </w:pPr>
                          </w:p>
                          <w:p w14:paraId="7D321A23" w14:textId="77777777" w:rsidR="0097483B" w:rsidRDefault="0097483B">
                            <w:pPr>
                              <w:rPr>
                                <w:sz w:val="20"/>
                              </w:rPr>
                            </w:pPr>
                          </w:p>
                          <w:p w14:paraId="0621B890" w14:textId="77777777" w:rsidR="0097483B" w:rsidRDefault="0097483B">
                            <w:pPr>
                              <w:rPr>
                                <w:sz w:val="20"/>
                              </w:rPr>
                            </w:pPr>
                          </w:p>
                          <w:p w14:paraId="56B22BED" w14:textId="77777777" w:rsidR="0097483B" w:rsidRDefault="0097483B">
                            <w:pPr>
                              <w:rPr>
                                <w:sz w:val="20"/>
                              </w:rPr>
                            </w:pPr>
                          </w:p>
                          <w:p w14:paraId="0C4C051B" w14:textId="77777777" w:rsidR="0097483B" w:rsidRDefault="0097483B">
                            <w:pPr>
                              <w:rPr>
                                <w:sz w:val="20"/>
                              </w:rPr>
                            </w:pPr>
                          </w:p>
                          <w:p w14:paraId="5B6CA6C3" w14:textId="77777777" w:rsidR="0097483B" w:rsidRDefault="0097483B">
                            <w:pPr>
                              <w:rPr>
                                <w:sz w:val="20"/>
                              </w:rPr>
                            </w:pPr>
                          </w:p>
                          <w:p w14:paraId="72466B64" w14:textId="77777777" w:rsidR="0097483B" w:rsidRDefault="0097483B">
                            <w:pPr>
                              <w:rPr>
                                <w:sz w:val="20"/>
                              </w:rPr>
                            </w:pPr>
                          </w:p>
                          <w:p w14:paraId="1292D264" w14:textId="77777777" w:rsidR="0097483B" w:rsidRDefault="0097483B">
                            <w:pPr>
                              <w:rPr>
                                <w:sz w:val="20"/>
                              </w:rPr>
                            </w:pPr>
                          </w:p>
                          <w:p w14:paraId="259E11EF" w14:textId="77777777" w:rsidR="0097483B" w:rsidRDefault="0097483B">
                            <w:pPr>
                              <w:rPr>
                                <w:sz w:val="20"/>
                              </w:rPr>
                            </w:pPr>
                          </w:p>
                          <w:p w14:paraId="3C22BBDE" w14:textId="77777777" w:rsidR="0097483B" w:rsidRDefault="0097483B">
                            <w:pPr>
                              <w:rPr>
                                <w:sz w:val="20"/>
                              </w:rPr>
                            </w:pPr>
                          </w:p>
                          <w:p w14:paraId="1B8DF669" w14:textId="5CB3A897" w:rsidR="0097483B" w:rsidRPr="0097483B" w:rsidRDefault="0097483B">
                            <w:pPr>
                              <w:rPr>
                                <w:sz w:val="20"/>
                              </w:rPr>
                            </w:pPr>
                            <w:r>
                              <w:rPr>
                                <w:sz w:val="20"/>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8pt;margin-top:2.05pt;width:49.8pt;height:3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v5IQIAAB0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" stroked="f">
                <v:textbox>
                  <w:txbxContent>
                    <w:p w14:paraId="7843A0DD" w14:textId="7B574F34" w:rsidR="0097483B" w:rsidRDefault="0097483B">
                      <w:pPr>
                        <w:rPr>
                          <w:sz w:val="20"/>
                        </w:rPr>
                      </w:pPr>
                      <w:r>
                        <w:rPr>
                          <w:sz w:val="20"/>
                        </w:rPr>
                        <w:t>(M)</w:t>
                      </w:r>
                    </w:p>
                    <w:p w14:paraId="5F867B9F" w14:textId="77777777" w:rsidR="0097483B" w:rsidRDefault="0097483B">
                      <w:pPr>
                        <w:rPr>
                          <w:sz w:val="20"/>
                        </w:rPr>
                      </w:pPr>
                    </w:p>
                    <w:p w14:paraId="45416033" w14:textId="77777777" w:rsidR="0097483B" w:rsidRDefault="0097483B">
                      <w:pPr>
                        <w:rPr>
                          <w:sz w:val="20"/>
                        </w:rPr>
                      </w:pPr>
                    </w:p>
                    <w:p w14:paraId="78144B68" w14:textId="77777777" w:rsidR="0097483B" w:rsidRDefault="0097483B">
                      <w:pPr>
                        <w:rPr>
                          <w:sz w:val="20"/>
                        </w:rPr>
                      </w:pPr>
                    </w:p>
                    <w:p w14:paraId="3D9DCE8A" w14:textId="77777777" w:rsidR="0097483B" w:rsidRDefault="0097483B">
                      <w:pPr>
                        <w:rPr>
                          <w:sz w:val="20"/>
                        </w:rPr>
                      </w:pPr>
                    </w:p>
                    <w:p w14:paraId="6A09646A" w14:textId="77777777" w:rsidR="0097483B" w:rsidRDefault="0097483B">
                      <w:pPr>
                        <w:rPr>
                          <w:sz w:val="20"/>
                        </w:rPr>
                      </w:pPr>
                    </w:p>
                    <w:p w14:paraId="055E2003" w14:textId="77777777" w:rsidR="0097483B" w:rsidRDefault="0097483B">
                      <w:pPr>
                        <w:rPr>
                          <w:sz w:val="20"/>
                        </w:rPr>
                      </w:pPr>
                    </w:p>
                    <w:p w14:paraId="06FEBCFB" w14:textId="77777777" w:rsidR="0097483B" w:rsidRDefault="0097483B">
                      <w:pPr>
                        <w:rPr>
                          <w:sz w:val="20"/>
                        </w:rPr>
                      </w:pPr>
                    </w:p>
                    <w:p w14:paraId="75A48AE6" w14:textId="77777777" w:rsidR="0097483B" w:rsidRDefault="0097483B">
                      <w:pPr>
                        <w:rPr>
                          <w:sz w:val="20"/>
                        </w:rPr>
                      </w:pPr>
                    </w:p>
                    <w:p w14:paraId="44718FB7" w14:textId="77777777" w:rsidR="0097483B" w:rsidRDefault="0097483B">
                      <w:pPr>
                        <w:rPr>
                          <w:sz w:val="20"/>
                        </w:rPr>
                      </w:pPr>
                    </w:p>
                    <w:p w14:paraId="53A34A8D" w14:textId="77777777" w:rsidR="0097483B" w:rsidRDefault="0097483B">
                      <w:pPr>
                        <w:rPr>
                          <w:sz w:val="20"/>
                        </w:rPr>
                      </w:pPr>
                    </w:p>
                    <w:p w14:paraId="3A6FF2B7" w14:textId="77777777" w:rsidR="0097483B" w:rsidRDefault="0097483B">
                      <w:pPr>
                        <w:rPr>
                          <w:sz w:val="20"/>
                        </w:rPr>
                      </w:pPr>
                    </w:p>
                    <w:p w14:paraId="73BF3B1B" w14:textId="77777777" w:rsidR="0097483B" w:rsidRDefault="0097483B">
                      <w:pPr>
                        <w:rPr>
                          <w:sz w:val="20"/>
                        </w:rPr>
                      </w:pPr>
                    </w:p>
                    <w:p w14:paraId="0A4B78D7" w14:textId="77777777" w:rsidR="0097483B" w:rsidRDefault="0097483B">
                      <w:pPr>
                        <w:rPr>
                          <w:sz w:val="20"/>
                        </w:rPr>
                      </w:pPr>
                    </w:p>
                    <w:p w14:paraId="0C6797AA" w14:textId="77777777" w:rsidR="0097483B" w:rsidRDefault="0097483B">
                      <w:pPr>
                        <w:rPr>
                          <w:sz w:val="20"/>
                        </w:rPr>
                      </w:pPr>
                    </w:p>
                    <w:p w14:paraId="7D321A23" w14:textId="77777777" w:rsidR="0097483B" w:rsidRDefault="0097483B">
                      <w:pPr>
                        <w:rPr>
                          <w:sz w:val="20"/>
                        </w:rPr>
                      </w:pPr>
                    </w:p>
                    <w:p w14:paraId="0621B890" w14:textId="77777777" w:rsidR="0097483B" w:rsidRDefault="0097483B">
                      <w:pPr>
                        <w:rPr>
                          <w:sz w:val="20"/>
                        </w:rPr>
                      </w:pPr>
                    </w:p>
                    <w:p w14:paraId="56B22BED" w14:textId="77777777" w:rsidR="0097483B" w:rsidRDefault="0097483B">
                      <w:pPr>
                        <w:rPr>
                          <w:sz w:val="20"/>
                        </w:rPr>
                      </w:pPr>
                    </w:p>
                    <w:p w14:paraId="0C4C051B" w14:textId="77777777" w:rsidR="0097483B" w:rsidRDefault="0097483B">
                      <w:pPr>
                        <w:rPr>
                          <w:sz w:val="20"/>
                        </w:rPr>
                      </w:pPr>
                    </w:p>
                    <w:p w14:paraId="5B6CA6C3" w14:textId="77777777" w:rsidR="0097483B" w:rsidRDefault="0097483B">
                      <w:pPr>
                        <w:rPr>
                          <w:sz w:val="20"/>
                        </w:rPr>
                      </w:pPr>
                    </w:p>
                    <w:p w14:paraId="72466B64" w14:textId="77777777" w:rsidR="0097483B" w:rsidRDefault="0097483B">
                      <w:pPr>
                        <w:rPr>
                          <w:sz w:val="20"/>
                        </w:rPr>
                      </w:pPr>
                    </w:p>
                    <w:p w14:paraId="1292D264" w14:textId="77777777" w:rsidR="0097483B" w:rsidRDefault="0097483B">
                      <w:pPr>
                        <w:rPr>
                          <w:sz w:val="20"/>
                        </w:rPr>
                      </w:pPr>
                    </w:p>
                    <w:p w14:paraId="259E11EF" w14:textId="77777777" w:rsidR="0097483B" w:rsidRDefault="0097483B">
                      <w:pPr>
                        <w:rPr>
                          <w:sz w:val="20"/>
                        </w:rPr>
                      </w:pPr>
                    </w:p>
                    <w:p w14:paraId="3C22BBDE" w14:textId="77777777" w:rsidR="0097483B" w:rsidRDefault="0097483B">
                      <w:pPr>
                        <w:rPr>
                          <w:sz w:val="20"/>
                        </w:rPr>
                      </w:pPr>
                    </w:p>
                    <w:p w14:paraId="1B8DF669" w14:textId="5CB3A897" w:rsidR="0097483B" w:rsidRPr="0097483B" w:rsidRDefault="0097483B">
                      <w:pPr>
                        <w:rPr>
                          <w:sz w:val="20"/>
                        </w:rPr>
                      </w:pPr>
                      <w:r>
                        <w:rPr>
                          <w:sz w:val="20"/>
                        </w:rPr>
                        <w:t>(M)</w:t>
                      </w:r>
                    </w:p>
                  </w:txbxContent>
                </v:textbox>
              </v:shape>
            </w:pict>
          </mc:Fallback>
        </mc:AlternateContent>
      </w:r>
    </w:p>
    <w:p w14:paraId="2C0CD30B" w14:textId="7EB3BE8A" w:rsidR="000754BF" w:rsidRPr="00030333" w:rsidRDefault="0097483B">
      <w:pPr>
        <w:tabs>
          <w:tab w:val="left" w:pos="-720"/>
        </w:tabs>
        <w:suppressAutoHyphens/>
        <w:jc w:val="both"/>
        <w:rPr>
          <w:spacing w:val="-3"/>
          <w:sz w:val="19"/>
          <w:szCs w:val="19"/>
        </w:rPr>
      </w:pPr>
      <w:r>
        <w:rPr>
          <w:noProof/>
          <w:spacing w:val="-3"/>
          <w:sz w:val="19"/>
          <w:szCs w:val="19"/>
        </w:rPr>
        <mc:AlternateContent>
          <mc:Choice Requires="wps">
            <w:drawing>
              <wp:anchor distT="0" distB="0" distL="114300" distR="114300" simplePos="0" relativeHeight="251660288" behindDoc="0" locked="0" layoutInCell="1" allowOverlap="1" wp14:anchorId="50A1BA07" wp14:editId="75EAF718">
                <wp:simplePos x="0" y="0"/>
                <wp:positionH relativeFrom="column">
                  <wp:posOffset>6067425</wp:posOffset>
                </wp:positionH>
                <wp:positionV relativeFrom="paragraph">
                  <wp:posOffset>88900</wp:posOffset>
                </wp:positionV>
                <wp:extent cx="7620" cy="3305175"/>
                <wp:effectExtent l="0" t="0" r="30480" b="28575"/>
                <wp:wrapNone/>
                <wp:docPr id="1" name="Straight Connector 1"/>
                <wp:cNvGraphicFramePr/>
                <a:graphic xmlns:a="http://schemas.openxmlformats.org/drawingml/2006/main">
                  <a:graphicData uri="http://schemas.microsoft.com/office/word/2010/wordprocessingShape">
                    <wps:wsp>
                      <wps:cNvCnPr/>
                      <wps:spPr>
                        <a:xfrm>
                          <a:off x="0" y="0"/>
                          <a:ext cx="7620" cy="3305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75pt,7pt" to="478.35pt,2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" strokecolor="black [3213]"/>
            </w:pict>
          </mc:Fallback>
        </mc:AlternateContent>
      </w:r>
    </w:p>
    <w:p w14:paraId="2C0CD30C" w14:textId="77777777" w:rsidR="000754BF" w:rsidRPr="0097483B" w:rsidRDefault="00B733D2">
      <w:pPr>
        <w:tabs>
          <w:tab w:val="left" w:pos="-720"/>
        </w:tabs>
        <w:suppressAutoHyphens/>
        <w:rPr>
          <w:rFonts w:cs="Arial"/>
          <w:spacing w:val="-2"/>
          <w:sz w:val="20"/>
        </w:rPr>
      </w:pPr>
      <w:proofErr w:type="gramStart"/>
      <w:r w:rsidRPr="0097483B">
        <w:rPr>
          <w:rFonts w:cs="Arial"/>
          <w:b/>
          <w:spacing w:val="-2"/>
          <w:sz w:val="20"/>
          <w:u w:val="single"/>
        </w:rPr>
        <w:t>Special Deposit for Anticipatory Breach or Other Circumstances (Non-Residential)</w:t>
      </w:r>
      <w:r w:rsidRPr="0097483B">
        <w:rPr>
          <w:rFonts w:cs="Arial"/>
          <w:b/>
          <w:spacing w:val="-2"/>
          <w:sz w:val="20"/>
        </w:rPr>
        <w:t>.</w:t>
      </w:r>
      <w:proofErr w:type="gramEnd"/>
    </w:p>
    <w:p w14:paraId="2C0CD30D" w14:textId="77777777" w:rsidR="000754BF" w:rsidRPr="0097483B" w:rsidRDefault="000754BF">
      <w:pPr>
        <w:tabs>
          <w:tab w:val="left" w:pos="-720"/>
        </w:tabs>
        <w:suppressAutoHyphens/>
        <w:rPr>
          <w:rFonts w:cs="Arial"/>
          <w:spacing w:val="-2"/>
          <w:sz w:val="20"/>
        </w:rPr>
      </w:pPr>
    </w:p>
    <w:p w14:paraId="2C0CD30E" w14:textId="6CA1906E" w:rsidR="000754BF" w:rsidRPr="0097483B" w:rsidRDefault="00B733D2">
      <w:pPr>
        <w:tabs>
          <w:tab w:val="left" w:pos="-720"/>
        </w:tabs>
        <w:suppressAutoHyphens/>
        <w:rPr>
          <w:rFonts w:cs="Arial"/>
          <w:spacing w:val="-2"/>
          <w:sz w:val="20"/>
        </w:rPr>
      </w:pPr>
      <w:r w:rsidRPr="0097483B">
        <w:rPr>
          <w:rFonts w:cs="Arial"/>
          <w:spacing w:val="-2"/>
          <w:sz w:val="20"/>
        </w:rPr>
        <w:t>A deposit, bond, letter of credit, or other equivalent security may be required, in the amount of the charges for one-sixth of the estimated annual usage of a non-residential customer at the service address, plus any fixed charges due upon termination of service where:</w:t>
      </w:r>
    </w:p>
    <w:p w14:paraId="2C0CD30F" w14:textId="77777777" w:rsidR="000754BF" w:rsidRPr="0097483B" w:rsidRDefault="000754BF">
      <w:pPr>
        <w:tabs>
          <w:tab w:val="left" w:pos="-720"/>
        </w:tabs>
        <w:suppressAutoHyphens/>
        <w:rPr>
          <w:rFonts w:cs="Arial"/>
          <w:spacing w:val="-2"/>
          <w:sz w:val="20"/>
        </w:rPr>
      </w:pPr>
    </w:p>
    <w:p w14:paraId="2C0CD310" w14:textId="77777777" w:rsidR="000754BF" w:rsidRPr="0097483B" w:rsidRDefault="00B733D2">
      <w:pPr>
        <w:tabs>
          <w:tab w:val="left" w:pos="-720"/>
        </w:tabs>
        <w:suppressAutoHyphens/>
        <w:ind w:left="720" w:hanging="720"/>
        <w:rPr>
          <w:rFonts w:cs="Arial"/>
          <w:spacing w:val="-2"/>
          <w:sz w:val="20"/>
        </w:rPr>
      </w:pPr>
      <w:r w:rsidRPr="0097483B">
        <w:rPr>
          <w:rFonts w:cs="Arial"/>
          <w:b/>
          <w:spacing w:val="-2"/>
          <w:sz w:val="20"/>
        </w:rPr>
        <w:t>(a)</w:t>
      </w:r>
      <w:r w:rsidRPr="0097483B">
        <w:rPr>
          <w:rFonts w:cs="Arial"/>
          <w:spacing w:val="-2"/>
          <w:sz w:val="20"/>
        </w:rPr>
        <w:tab/>
        <w:t>there is an anticipatory breach by a customer of a service agreement or special contract in the form of an overt communication of intention or an action which renders performance impossible or demonstrates a clear determination not to continue with performance; or</w:t>
      </w:r>
    </w:p>
    <w:p w14:paraId="2C0CD311" w14:textId="77777777" w:rsidR="000754BF" w:rsidRPr="0097483B" w:rsidRDefault="00B733D2">
      <w:pPr>
        <w:tabs>
          <w:tab w:val="left" w:pos="-720"/>
        </w:tabs>
        <w:suppressAutoHyphens/>
        <w:ind w:left="720" w:hanging="720"/>
        <w:rPr>
          <w:rFonts w:cs="Arial"/>
          <w:spacing w:val="-2"/>
          <w:sz w:val="20"/>
        </w:rPr>
      </w:pPr>
      <w:r w:rsidRPr="0097483B">
        <w:rPr>
          <w:rFonts w:cs="Arial"/>
          <w:b/>
          <w:spacing w:val="-2"/>
          <w:sz w:val="20"/>
        </w:rPr>
        <w:t>(b)</w:t>
      </w:r>
      <w:r w:rsidRPr="0097483B">
        <w:rPr>
          <w:rFonts w:cs="Arial"/>
          <w:spacing w:val="-2"/>
          <w:sz w:val="20"/>
        </w:rPr>
        <w:tab/>
      </w:r>
      <w:proofErr w:type="gramStart"/>
      <w:r w:rsidRPr="0097483B">
        <w:rPr>
          <w:rFonts w:cs="Arial"/>
          <w:spacing w:val="-2"/>
          <w:sz w:val="20"/>
        </w:rPr>
        <w:t>it</w:t>
      </w:r>
      <w:proofErr w:type="gramEnd"/>
      <w:r w:rsidRPr="0097483B">
        <w:rPr>
          <w:rFonts w:cs="Arial"/>
          <w:spacing w:val="-2"/>
          <w:sz w:val="20"/>
        </w:rPr>
        <w:t xml:space="preserve"> is reasonably certain that a customer will discontinue service entirely prior to fulfilling existing contractual obligations.  Facts sufficient to establish such a reasonable certainty would include, but would not be limited to, the construction of a service connection to an alternative energy source; the installation of alternate fuel facilities; or other explicit acts, statements, or correspondence indicating an intent to discontinue service under existing contracts or otherwise to decline to comply with existing contractual obligations.</w:t>
      </w:r>
    </w:p>
    <w:p w14:paraId="2C0CD312" w14:textId="77777777" w:rsidR="000754BF" w:rsidRPr="0097483B" w:rsidRDefault="000754BF">
      <w:pPr>
        <w:tabs>
          <w:tab w:val="left" w:pos="-720"/>
        </w:tabs>
        <w:suppressAutoHyphens/>
        <w:rPr>
          <w:rFonts w:cs="Arial"/>
          <w:spacing w:val="-3"/>
          <w:sz w:val="20"/>
        </w:rPr>
      </w:pPr>
    </w:p>
    <w:p w14:paraId="2C0CD313" w14:textId="77777777" w:rsidR="000754BF" w:rsidRPr="0097483B" w:rsidRDefault="00B733D2">
      <w:pPr>
        <w:pStyle w:val="BodyText"/>
        <w:rPr>
          <w:rFonts w:cs="Arial"/>
        </w:rPr>
      </w:pPr>
      <w:r w:rsidRPr="0097483B">
        <w:rPr>
          <w:rFonts w:cs="Arial"/>
        </w:rPr>
        <w:t>The Company shall notify a customer from whom a deposit has been required under this section that the customer may dispute the requirement by appealing to the Commission as provided in the WUTC Credit Rules.  Pending resolution of the appeal, the Commission may require the Company to continue service upon such terms and conditions as the Commission finds reasonable.  However, the Company may discontinue service 30 days after the date of its request for a deposit unless the customer has provided the deposit, or the Commission has concluded its proceedings on appeal with an order that the deposit shall not be required.</w:t>
      </w:r>
    </w:p>
    <w:p w14:paraId="2C0CD314" w14:textId="77777777" w:rsidR="000754BF" w:rsidRDefault="000754BF">
      <w:pPr>
        <w:tabs>
          <w:tab w:val="left" w:pos="-720"/>
        </w:tabs>
        <w:suppressAutoHyphens/>
        <w:rPr>
          <w:rFonts w:cs="Arial"/>
          <w:spacing w:val="-3"/>
          <w:sz w:val="20"/>
        </w:rPr>
      </w:pPr>
    </w:p>
    <w:p w14:paraId="521652CC" w14:textId="506627D6" w:rsidR="00521C0F" w:rsidRDefault="00521C0F">
      <w:pPr>
        <w:tabs>
          <w:tab w:val="left" w:pos="-720"/>
        </w:tabs>
        <w:suppressAutoHyphens/>
        <w:rPr>
          <w:rFonts w:cs="Arial"/>
          <w:spacing w:val="-3"/>
          <w:sz w:val="20"/>
        </w:rPr>
      </w:pPr>
    </w:p>
    <w:p w14:paraId="03828210" w14:textId="77777777" w:rsidR="00521C0F" w:rsidRDefault="00521C0F" w:rsidP="00521C0F">
      <w:pPr>
        <w:rPr>
          <w:spacing w:val="-3"/>
          <w:sz w:val="20"/>
        </w:rPr>
      </w:pPr>
    </w:p>
    <w:p w14:paraId="40C463B3" w14:textId="77777777" w:rsidR="00521C0F" w:rsidRDefault="00521C0F" w:rsidP="00521C0F">
      <w:pPr>
        <w:rPr>
          <w:spacing w:val="-3"/>
          <w:sz w:val="20"/>
        </w:rPr>
      </w:pPr>
    </w:p>
    <w:p w14:paraId="4931933B" w14:textId="77777777" w:rsidR="00521C0F" w:rsidRDefault="00521C0F" w:rsidP="00521C0F">
      <w:pPr>
        <w:rPr>
          <w:spacing w:val="-3"/>
          <w:sz w:val="20"/>
        </w:rPr>
      </w:pPr>
    </w:p>
    <w:p w14:paraId="0DEA2A09" w14:textId="77777777" w:rsidR="00521C0F" w:rsidRDefault="00521C0F" w:rsidP="00521C0F">
      <w:pPr>
        <w:rPr>
          <w:spacing w:val="-3"/>
          <w:sz w:val="20"/>
        </w:rPr>
      </w:pPr>
    </w:p>
    <w:p w14:paraId="6B5B4873" w14:textId="77777777" w:rsidR="00521C0F" w:rsidRDefault="00521C0F" w:rsidP="00521C0F">
      <w:pPr>
        <w:rPr>
          <w:spacing w:val="-3"/>
          <w:sz w:val="20"/>
        </w:rPr>
      </w:pPr>
    </w:p>
    <w:p w14:paraId="27F751EC" w14:textId="77777777" w:rsidR="00521C0F" w:rsidRDefault="00521C0F" w:rsidP="00521C0F">
      <w:pPr>
        <w:rPr>
          <w:spacing w:val="-3"/>
          <w:sz w:val="20"/>
        </w:rPr>
      </w:pPr>
    </w:p>
    <w:p w14:paraId="560EA506" w14:textId="77777777" w:rsidR="00521C0F" w:rsidRDefault="00521C0F" w:rsidP="00521C0F">
      <w:pPr>
        <w:rPr>
          <w:spacing w:val="-3"/>
          <w:sz w:val="20"/>
        </w:rPr>
      </w:pPr>
    </w:p>
    <w:p w14:paraId="0ADDAC4D" w14:textId="77777777" w:rsidR="00521C0F" w:rsidRDefault="00521C0F" w:rsidP="00521C0F">
      <w:pPr>
        <w:rPr>
          <w:spacing w:val="-3"/>
          <w:sz w:val="20"/>
        </w:rPr>
      </w:pPr>
    </w:p>
    <w:p w14:paraId="7527C6A2" w14:textId="77777777" w:rsidR="00521C0F" w:rsidRDefault="00521C0F" w:rsidP="00521C0F">
      <w:pPr>
        <w:rPr>
          <w:spacing w:val="-3"/>
          <w:sz w:val="20"/>
        </w:rPr>
      </w:pPr>
    </w:p>
    <w:p w14:paraId="11FC2BB1" w14:textId="77777777" w:rsidR="00521C0F" w:rsidRDefault="00521C0F" w:rsidP="00521C0F">
      <w:pPr>
        <w:rPr>
          <w:spacing w:val="-3"/>
          <w:sz w:val="20"/>
        </w:rPr>
      </w:pPr>
    </w:p>
    <w:p w14:paraId="1224DBED" w14:textId="77777777" w:rsidR="00521C0F" w:rsidRDefault="00521C0F" w:rsidP="00521C0F">
      <w:pPr>
        <w:rPr>
          <w:spacing w:val="-3"/>
          <w:sz w:val="20"/>
        </w:rPr>
      </w:pPr>
    </w:p>
    <w:p w14:paraId="2B15D689" w14:textId="77777777" w:rsidR="00521C0F" w:rsidRDefault="00521C0F" w:rsidP="00521C0F">
      <w:pPr>
        <w:rPr>
          <w:spacing w:val="-3"/>
          <w:sz w:val="20"/>
        </w:rPr>
      </w:pPr>
    </w:p>
    <w:p w14:paraId="7FD40B86" w14:textId="77777777" w:rsidR="00521C0F" w:rsidRDefault="00521C0F" w:rsidP="00521C0F">
      <w:pPr>
        <w:rPr>
          <w:spacing w:val="-3"/>
          <w:sz w:val="20"/>
        </w:rPr>
      </w:pPr>
    </w:p>
    <w:p w14:paraId="4AF88EAC" w14:textId="7C0C3E7E" w:rsidR="00521C0F" w:rsidRDefault="00521C0F" w:rsidP="00521C0F">
      <w:pPr>
        <w:rPr>
          <w:sz w:val="20"/>
        </w:rPr>
      </w:pPr>
      <w:r>
        <w:rPr>
          <w:spacing w:val="-3"/>
          <w:sz w:val="20"/>
        </w:rPr>
        <w:t xml:space="preserve">(M) </w:t>
      </w:r>
      <w:r>
        <w:rPr>
          <w:sz w:val="20"/>
        </w:rPr>
        <w:t>Material transferred from 1</w:t>
      </w:r>
      <w:r w:rsidRPr="00521C0F">
        <w:rPr>
          <w:sz w:val="20"/>
          <w:vertAlign w:val="superscript"/>
        </w:rPr>
        <w:t>st</w:t>
      </w:r>
      <w:r>
        <w:rPr>
          <w:sz w:val="20"/>
        </w:rPr>
        <w:t xml:space="preserve"> Revised Sheet No. 3.2</w:t>
      </w:r>
    </w:p>
    <w:p w14:paraId="3C8647A2" w14:textId="77777777" w:rsidR="00521C0F" w:rsidRDefault="00521C0F" w:rsidP="00521C0F">
      <w:pPr>
        <w:tabs>
          <w:tab w:val="left" w:pos="-720"/>
        </w:tabs>
        <w:suppressAutoHyphens/>
        <w:rPr>
          <w:spacing w:val="-3"/>
          <w:sz w:val="20"/>
        </w:rPr>
      </w:pPr>
    </w:p>
    <w:p w14:paraId="6C388C2A" w14:textId="77777777" w:rsidR="00521C0F" w:rsidRPr="0097483B" w:rsidRDefault="00521C0F">
      <w:pPr>
        <w:tabs>
          <w:tab w:val="left" w:pos="-720"/>
        </w:tabs>
        <w:suppressAutoHyphens/>
        <w:rPr>
          <w:rFonts w:cs="Arial"/>
          <w:spacing w:val="-3"/>
          <w:sz w:val="20"/>
        </w:rPr>
      </w:pPr>
    </w:p>
    <w:sectPr w:rsidR="00521C0F" w:rsidRPr="0097483B">
      <w:headerReference w:type="default" r:id="rId11"/>
      <w:footerReference w:type="default" r:id="rId12"/>
      <w:pgSz w:w="12240" w:h="15840" w:code="1"/>
      <w:pgMar w:top="720" w:right="180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D319" w14:textId="77777777" w:rsidR="000754BF" w:rsidRDefault="00B733D2">
      <w:r>
        <w:separator/>
      </w:r>
    </w:p>
  </w:endnote>
  <w:endnote w:type="continuationSeparator" w:id="0">
    <w:p w14:paraId="2C0CD31A" w14:textId="77777777" w:rsidR="000754BF" w:rsidRDefault="00B7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D31F" w14:textId="163D37B8" w:rsidR="000754BF" w:rsidRPr="002E01DF" w:rsidRDefault="00B733D2" w:rsidP="0097483B">
    <w:pPr>
      <w:pStyle w:val="Footer"/>
      <w:tabs>
        <w:tab w:val="clear" w:pos="4320"/>
        <w:tab w:val="left" w:pos="6030"/>
      </w:tabs>
      <w:rPr>
        <w:sz w:val="22"/>
      </w:rPr>
    </w:pPr>
    <w:r w:rsidRPr="002E01DF">
      <w:rPr>
        <w:sz w:val="22"/>
      </w:rPr>
      <w:t>Issued</w:t>
    </w:r>
    <w:r w:rsidR="00914AC1">
      <w:rPr>
        <w:sz w:val="22"/>
      </w:rPr>
      <w:t xml:space="preserve"> May 13</w:t>
    </w:r>
    <w:r w:rsidR="0097483B" w:rsidRPr="002E01DF">
      <w:rPr>
        <w:sz w:val="22"/>
      </w:rPr>
      <w:t>, 2015</w:t>
    </w:r>
    <w:r w:rsidRPr="002E01DF">
      <w:rPr>
        <w:sz w:val="22"/>
      </w:rPr>
      <w:tab/>
      <w:t>Effective with service on</w:t>
    </w:r>
  </w:p>
  <w:p w14:paraId="2C0CD320" w14:textId="1AADA1CF" w:rsidR="000754BF" w:rsidRPr="002E01DF" w:rsidRDefault="00B733D2" w:rsidP="0097483B">
    <w:pPr>
      <w:pStyle w:val="Footer"/>
      <w:tabs>
        <w:tab w:val="clear" w:pos="4320"/>
        <w:tab w:val="left" w:pos="6030"/>
      </w:tabs>
      <w:rPr>
        <w:sz w:val="22"/>
      </w:rPr>
    </w:pPr>
    <w:r w:rsidRPr="002E01DF">
      <w:rPr>
        <w:sz w:val="22"/>
      </w:rPr>
      <w:t xml:space="preserve">NWN </w:t>
    </w:r>
    <w:r w:rsidR="00030333" w:rsidRPr="002E01DF">
      <w:rPr>
        <w:sz w:val="22"/>
      </w:rPr>
      <w:t xml:space="preserve">WUTC </w:t>
    </w:r>
    <w:r w:rsidRPr="002E01DF">
      <w:rPr>
        <w:sz w:val="22"/>
      </w:rPr>
      <w:t>Advice No.</w:t>
    </w:r>
    <w:r w:rsidR="0097483B" w:rsidRPr="002E01DF">
      <w:rPr>
        <w:sz w:val="22"/>
      </w:rPr>
      <w:t xml:space="preserve"> 15-02</w:t>
    </w:r>
    <w:r w:rsidR="00914AC1">
      <w:rPr>
        <w:sz w:val="22"/>
      </w:rPr>
      <w:t>A</w:t>
    </w:r>
    <w:r w:rsidRPr="002E01DF">
      <w:rPr>
        <w:sz w:val="22"/>
      </w:rPr>
      <w:tab/>
      <w:t>and after</w:t>
    </w:r>
    <w:r w:rsidR="0097483B" w:rsidRPr="002E01DF">
      <w:rPr>
        <w:sz w:val="22"/>
      </w:rPr>
      <w:t xml:space="preserve"> </w:t>
    </w:r>
    <w:r w:rsidR="00914AC1">
      <w:rPr>
        <w:sz w:val="22"/>
      </w:rPr>
      <w:t>May 29</w:t>
    </w:r>
    <w:r w:rsidR="0097483B" w:rsidRPr="002E01DF">
      <w:rPr>
        <w:sz w:val="22"/>
      </w:rPr>
      <w:t>, 2015</w:t>
    </w:r>
  </w:p>
  <w:p w14:paraId="2C0CD321" w14:textId="77777777" w:rsidR="000754BF" w:rsidRDefault="000754BF">
    <w:pPr>
      <w:pStyle w:val="Footer"/>
      <w:pBdr>
        <w:bottom w:val="single" w:sz="6" w:space="1" w:color="auto"/>
      </w:pBdr>
      <w:jc w:val="center"/>
      <w:rPr>
        <w:sz w:val="18"/>
      </w:rPr>
    </w:pPr>
  </w:p>
  <w:p w14:paraId="2C0CD323" w14:textId="77777777" w:rsidR="000754BF" w:rsidRDefault="00B733D2">
    <w:pPr>
      <w:pStyle w:val="Footer"/>
      <w:jc w:val="center"/>
      <w:rPr>
        <w:b/>
        <w:i/>
        <w:sz w:val="18"/>
      </w:rPr>
    </w:pPr>
    <w:r>
      <w:rPr>
        <w:b/>
        <w:i/>
        <w:sz w:val="18"/>
      </w:rPr>
      <w:t>Issued by:  NORTHWEST NATURAL GAS COMPANY</w:t>
    </w:r>
  </w:p>
  <w:p w14:paraId="2C0CD324" w14:textId="3BDACA2B" w:rsidR="000754BF" w:rsidRDefault="00030333">
    <w:pPr>
      <w:pStyle w:val="Footer"/>
      <w:jc w:val="center"/>
      <w:rPr>
        <w:i/>
        <w:sz w:val="18"/>
      </w:rPr>
    </w:pPr>
    <w:proofErr w:type="gramStart"/>
    <w:r>
      <w:rPr>
        <w:i/>
        <w:sz w:val="18"/>
      </w:rPr>
      <w:t>d.b.a</w:t>
    </w:r>
    <w:proofErr w:type="gramEnd"/>
    <w:r>
      <w:rPr>
        <w:i/>
        <w:sz w:val="18"/>
      </w:rPr>
      <w:t>. NW Natural</w:t>
    </w:r>
  </w:p>
  <w:p w14:paraId="2C0CD325" w14:textId="77777777" w:rsidR="000754BF" w:rsidRDefault="00B733D2">
    <w:pPr>
      <w:pStyle w:val="Footer"/>
      <w:jc w:val="center"/>
      <w:rPr>
        <w:i/>
        <w:sz w:val="18"/>
      </w:rPr>
    </w:pPr>
    <w:r>
      <w:rPr>
        <w:i/>
        <w:sz w:val="18"/>
      </w:rPr>
      <w:t>220 N.W. Second Avenue</w:t>
    </w:r>
  </w:p>
  <w:p w14:paraId="2C0CD326" w14:textId="77777777" w:rsidR="000754BF" w:rsidRDefault="00B733D2">
    <w:pPr>
      <w:pStyle w:val="Footer"/>
      <w:jc w:val="center"/>
    </w:pPr>
    <w:r>
      <w:rPr>
        <w:i/>
        <w:sz w:val="18"/>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D317" w14:textId="77777777" w:rsidR="000754BF" w:rsidRDefault="00B733D2">
      <w:r>
        <w:separator/>
      </w:r>
    </w:p>
  </w:footnote>
  <w:footnote w:type="continuationSeparator" w:id="0">
    <w:p w14:paraId="2C0CD318" w14:textId="77777777" w:rsidR="000754BF" w:rsidRDefault="00B7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D31B" w14:textId="77777777" w:rsidR="000754BF" w:rsidRPr="0097483B" w:rsidRDefault="00B733D2">
    <w:pPr>
      <w:pStyle w:val="Header"/>
      <w:rPr>
        <w:b/>
      </w:rPr>
    </w:pPr>
    <w:r w:rsidRPr="0097483B">
      <w:rPr>
        <w:b/>
      </w:rPr>
      <w:t>NORTHWEST NATURAL GAS COMPANY</w:t>
    </w:r>
  </w:p>
  <w:p w14:paraId="2C0CD31C" w14:textId="134CF027" w:rsidR="000754BF" w:rsidRDefault="000F4FF3" w:rsidP="000F4FF3">
    <w:pPr>
      <w:pStyle w:val="Header"/>
      <w:tabs>
        <w:tab w:val="clear" w:pos="4320"/>
        <w:tab w:val="left" w:pos="3600"/>
      </w:tabs>
    </w:pPr>
    <w:r>
      <w:t>WN U-6</w:t>
    </w:r>
    <w:r>
      <w:tab/>
    </w:r>
    <w:r w:rsidR="0097483B">
      <w:t>Original Sheet 3.3</w:t>
    </w:r>
  </w:p>
  <w:p w14:paraId="06838A77" w14:textId="77777777" w:rsidR="002E01DF" w:rsidRDefault="002E01DF" w:rsidP="000F4FF3">
    <w:pPr>
      <w:pStyle w:val="Header"/>
      <w:tabs>
        <w:tab w:val="clear" w:pos="4320"/>
        <w:tab w:val="left" w:pos="3600"/>
      </w:tabs>
    </w:pPr>
  </w:p>
  <w:p w14:paraId="2C0CD31E" w14:textId="77777777" w:rsidR="000754BF" w:rsidRDefault="000754BF">
    <w:pPr>
      <w:pBdr>
        <w:bottom w:val="doub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D2"/>
    <w:rsid w:val="00030333"/>
    <w:rsid w:val="000754BF"/>
    <w:rsid w:val="000F4FF3"/>
    <w:rsid w:val="00137853"/>
    <w:rsid w:val="00187286"/>
    <w:rsid w:val="002E01DF"/>
    <w:rsid w:val="00521C0F"/>
    <w:rsid w:val="00914AC1"/>
    <w:rsid w:val="0097483B"/>
    <w:rsid w:val="00B7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C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pPr>
    <w:rPr>
      <w:spacing w:val="-2"/>
      <w:sz w:val="20"/>
    </w:rPr>
  </w:style>
  <w:style w:type="paragraph" w:styleId="BalloonText">
    <w:name w:val="Balloon Text"/>
    <w:basedOn w:val="Normal"/>
    <w:link w:val="BalloonTextChar"/>
    <w:uiPriority w:val="99"/>
    <w:semiHidden/>
    <w:unhideWhenUsed/>
    <w:rsid w:val="0097483B"/>
    <w:rPr>
      <w:rFonts w:ascii="Tahoma" w:hAnsi="Tahoma" w:cs="Tahoma"/>
      <w:sz w:val="16"/>
      <w:szCs w:val="16"/>
    </w:rPr>
  </w:style>
  <w:style w:type="character" w:customStyle="1" w:styleId="BalloonTextChar">
    <w:name w:val="Balloon Text Char"/>
    <w:basedOn w:val="DefaultParagraphFont"/>
    <w:link w:val="BalloonText"/>
    <w:uiPriority w:val="99"/>
    <w:semiHidden/>
    <w:rsid w:val="00974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pPr>
    <w:rPr>
      <w:spacing w:val="-2"/>
      <w:sz w:val="20"/>
    </w:rPr>
  </w:style>
  <w:style w:type="paragraph" w:styleId="BalloonText">
    <w:name w:val="Balloon Text"/>
    <w:basedOn w:val="Normal"/>
    <w:link w:val="BalloonTextChar"/>
    <w:uiPriority w:val="99"/>
    <w:semiHidden/>
    <w:unhideWhenUsed/>
    <w:rsid w:val="0097483B"/>
    <w:rPr>
      <w:rFonts w:ascii="Tahoma" w:hAnsi="Tahoma" w:cs="Tahoma"/>
      <w:sz w:val="16"/>
      <w:szCs w:val="16"/>
    </w:rPr>
  </w:style>
  <w:style w:type="character" w:customStyle="1" w:styleId="BalloonTextChar">
    <w:name w:val="Balloon Text Char"/>
    <w:basedOn w:val="DefaultParagraphFont"/>
    <w:link w:val="BalloonText"/>
    <w:uiPriority w:val="99"/>
    <w:semiHidden/>
    <w:rsid w:val="00974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D89D860F3CFF4D81BC479198698E4D" ma:contentTypeVersion="111" ma:contentTypeDescription="" ma:contentTypeScope="" ma:versionID="61ab953352833e06ce70a68c4831cb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2015-03-09T07:00:00+00:00</OpenedDate>
    <Date1 xmlns="dc463f71-b30c-4ab2-9473-d307f9d35888">2015-05-13T07:00:00+00:00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150409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506775-F70F-4F2C-BD5B-A56F1FF6E864}"/>
</file>

<file path=customXml/itemProps2.xml><?xml version="1.0" encoding="utf-8"?>
<ds:datastoreItem xmlns:ds="http://schemas.openxmlformats.org/officeDocument/2006/customXml" ds:itemID="{72B7C806-2DF6-48E2-9F9F-EAD1ADC2E95C}"/>
</file>

<file path=customXml/itemProps3.xml><?xml version="1.0" encoding="utf-8"?>
<ds:datastoreItem xmlns:ds="http://schemas.openxmlformats.org/officeDocument/2006/customXml" ds:itemID="{56E32F74-957A-4F66-A8FB-96A6C4ABB055}"/>
</file>

<file path=customXml/itemProps4.xml><?xml version="1.0" encoding="utf-8"?>
<ds:datastoreItem xmlns:ds="http://schemas.openxmlformats.org/officeDocument/2006/customXml" ds:itemID="{0AEFD1F7-611C-40F9-BD0A-FBCB945BD068}"/>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Deposits</vt:lpstr>
    </vt:vector>
  </TitlesOfParts>
  <Company>Northwest Natural Gas</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Deposits</dc:title>
  <dc:creator>NNG</dc:creator>
  <cp:lastModifiedBy>King, Onita</cp:lastModifiedBy>
  <cp:revision>6</cp:revision>
  <cp:lastPrinted>2015-03-07T21:31:00Z</cp:lastPrinted>
  <dcterms:created xsi:type="dcterms:W3CDTF">2015-03-07T21:27:00Z</dcterms:created>
  <dcterms:modified xsi:type="dcterms:W3CDTF">2015-05-12T18:40:00Z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0x0101006E56B4D1795A2E4DB2F0B01679ED314A0005D89D860F3CFF4D81BC479198698E4D</vt:lpwstr>
  </property>
  <property fmtid="{D5CDD505-2E9C-101B-9397-08002B2CF9AE}" pid="3" name="_dlc_DocIdItemGuid">
    <vt:lpwstr>1657969f-056f-4222-9bc1-abe29c7c0952</vt:lpwstr>
  </property>
  <property fmtid="{D5CDD505-2E9C-101B-9397-08002B2CF9AE}" pid="4" name="_docset_NoMedatataSyncRequired">
    <vt:lpwstr>False</vt:lpwstr>
  </property>
</Properties>
</file>