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57588" w14:textId="77777777" w:rsidR="00F6325E" w:rsidRPr="000E0793" w:rsidRDefault="009C2DF7">
      <w:pPr>
        <w:pStyle w:val="BodyText"/>
        <w:jc w:val="center"/>
        <w:rPr>
          <w:b/>
          <w:bCs/>
        </w:rPr>
      </w:pPr>
      <w:r w:rsidRPr="000E0793">
        <w:rPr>
          <w:b/>
          <w:bCs/>
        </w:rPr>
        <w:t>BEFORE THE WASHINGTON</w:t>
      </w:r>
    </w:p>
    <w:p w14:paraId="21057589" w14:textId="77777777" w:rsidR="00F6325E" w:rsidRPr="000E0793" w:rsidRDefault="009C2DF7">
      <w:pPr>
        <w:pStyle w:val="BodyText"/>
        <w:jc w:val="center"/>
        <w:rPr>
          <w:b/>
          <w:bCs/>
        </w:rPr>
      </w:pPr>
      <w:r w:rsidRPr="000E0793">
        <w:rPr>
          <w:b/>
          <w:bCs/>
        </w:rPr>
        <w:t>UTILITIES AND TRANSPORTATION COMMISSION</w:t>
      </w:r>
    </w:p>
    <w:p w14:paraId="2105758A" w14:textId="77777777" w:rsidR="00F6325E" w:rsidRPr="000E0793" w:rsidRDefault="00F6325E">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F6325E" w:rsidRPr="000E0793" w14:paraId="2105759F" w14:textId="77777777">
        <w:trPr>
          <w:trHeight w:val="3118"/>
        </w:trPr>
        <w:tc>
          <w:tcPr>
            <w:tcW w:w="4208" w:type="dxa"/>
          </w:tcPr>
          <w:p w14:paraId="2105758B" w14:textId="77777777" w:rsidR="00F6325E" w:rsidRPr="000E0793" w:rsidRDefault="009C2DF7">
            <w:r w:rsidRPr="000E0793">
              <w:t>In the Matter of the Petition of</w:t>
            </w:r>
          </w:p>
          <w:p w14:paraId="2105758C" w14:textId="77777777" w:rsidR="00F6325E" w:rsidRPr="000E0793" w:rsidRDefault="00F6325E"/>
          <w:p w14:paraId="2105758D" w14:textId="12C0163C" w:rsidR="00F6325E" w:rsidRPr="000E0793" w:rsidRDefault="009C2DF7">
            <w:r w:rsidRPr="000E0793">
              <w:fldChar w:fldCharType="begin"/>
            </w:r>
            <w:r w:rsidRPr="000E0793">
              <w:instrText xml:space="preserve"> ASK company1_name "Enter Full Company 1 Name</w:instrText>
            </w:r>
            <w:r w:rsidRPr="000E0793">
              <w:fldChar w:fldCharType="separate"/>
            </w:r>
            <w:bookmarkStart w:id="0" w:name="company1_name"/>
            <w:r w:rsidR="00AB67F3" w:rsidRPr="000E0793">
              <w:t>Cascade Natural Gas Corporation</w:t>
            </w:r>
            <w:bookmarkEnd w:id="0"/>
            <w:r w:rsidRPr="000E0793">
              <w:fldChar w:fldCharType="end"/>
            </w:r>
            <w:r w:rsidR="007166FA">
              <w:t>PACIFIC POWER &amp; LIGHT COMPANY</w:t>
            </w:r>
            <w:r w:rsidRPr="000E0793">
              <w:t>,</w:t>
            </w:r>
          </w:p>
          <w:p w14:paraId="2105758E" w14:textId="77777777" w:rsidR="00F6325E" w:rsidRPr="000E0793" w:rsidRDefault="009C2DF7">
            <w:r w:rsidRPr="000E0793">
              <w:fldChar w:fldCharType="begin"/>
            </w:r>
            <w:r w:rsidRPr="000E0793">
              <w:instrText xml:space="preserve"> ASK acronym1 "Enter company 1's Short Name" \* MERGEFORMAT </w:instrText>
            </w:r>
            <w:r w:rsidRPr="000E0793">
              <w:fldChar w:fldCharType="separate"/>
            </w:r>
            <w:bookmarkStart w:id="1" w:name="acronym1"/>
            <w:r w:rsidR="00AB67F3" w:rsidRPr="000E0793">
              <w:t>CNGC</w:t>
            </w:r>
            <w:bookmarkEnd w:id="1"/>
            <w:r w:rsidRPr="000E0793">
              <w:fldChar w:fldCharType="end"/>
            </w:r>
          </w:p>
          <w:p w14:paraId="2105758F" w14:textId="77777777" w:rsidR="00F6325E" w:rsidRPr="000E0793" w:rsidRDefault="009C2DF7">
            <w:r w:rsidRPr="000E0793">
              <w:t xml:space="preserve">                      Petitioner,</w:t>
            </w:r>
          </w:p>
          <w:p w14:paraId="21057590" w14:textId="77777777" w:rsidR="00F6325E" w:rsidRPr="000E0793" w:rsidRDefault="00F6325E"/>
          <w:p w14:paraId="21057591" w14:textId="6D372F7C" w:rsidR="00F6325E" w:rsidRPr="000E0793" w:rsidRDefault="007662CB">
            <w:pPr>
              <w:pStyle w:val="NumberedParagraph0"/>
              <w:spacing w:after="0"/>
            </w:pPr>
            <w:r w:rsidRPr="000E0793">
              <w:t xml:space="preserve">For an Order Approving the </w:t>
            </w:r>
            <w:r w:rsidR="007166FA">
              <w:t>Exchange of Certain Transmi</w:t>
            </w:r>
            <w:r w:rsidR="005A2E4E">
              <w:t>ssion Assets with Idaho Power Co</w:t>
            </w:r>
            <w:r w:rsidR="007166FA">
              <w:t>mpany</w:t>
            </w:r>
          </w:p>
          <w:p w14:paraId="21057592" w14:textId="77777777" w:rsidR="00F6325E" w:rsidRPr="000E0793" w:rsidRDefault="009C2DF7">
            <w:pPr>
              <w:pStyle w:val="NumberedParagraph0"/>
              <w:spacing w:after="0"/>
            </w:pPr>
            <w:r w:rsidRPr="000E0793">
              <w:t xml:space="preserve"> . . . . . . . . . . . . . . . . . . . . . . . . . . . . . . . . .</w:t>
            </w:r>
          </w:p>
        </w:tc>
        <w:tc>
          <w:tcPr>
            <w:tcW w:w="400" w:type="dxa"/>
          </w:tcPr>
          <w:p w14:paraId="21057593" w14:textId="77777777" w:rsidR="00F6325E" w:rsidRPr="000E0793" w:rsidRDefault="009C2DF7">
            <w:pPr>
              <w:jc w:val="center"/>
            </w:pPr>
            <w:r w:rsidRPr="000E0793">
              <w:t>)</w:t>
            </w:r>
            <w:r w:rsidRPr="000E0793">
              <w:br/>
              <w:t>)</w:t>
            </w:r>
            <w:r w:rsidRPr="000E0793">
              <w:br/>
              <w:t>)</w:t>
            </w:r>
            <w:r w:rsidRPr="000E0793">
              <w:br/>
              <w:t>)</w:t>
            </w:r>
            <w:r w:rsidRPr="000E0793">
              <w:br/>
              <w:t>)</w:t>
            </w:r>
            <w:r w:rsidRPr="000E0793">
              <w:br/>
              <w:t>)</w:t>
            </w:r>
            <w:r w:rsidRPr="000E0793">
              <w:br/>
              <w:t>)</w:t>
            </w:r>
            <w:r w:rsidRPr="000E0793">
              <w:br/>
              <w:t>)</w:t>
            </w:r>
            <w:r w:rsidRPr="000E0793">
              <w:br/>
              <w:t>)</w:t>
            </w:r>
            <w:r w:rsidRPr="000E0793">
              <w:br/>
              <w:t>)</w:t>
            </w:r>
          </w:p>
          <w:p w14:paraId="21057594" w14:textId="2C3B322F" w:rsidR="00F6325E" w:rsidRPr="000E0793" w:rsidRDefault="007662CB">
            <w:pPr>
              <w:jc w:val="center"/>
            </w:pPr>
            <w:r w:rsidRPr="000E0793">
              <w:t>)</w:t>
            </w:r>
          </w:p>
        </w:tc>
        <w:tc>
          <w:tcPr>
            <w:tcW w:w="3888" w:type="dxa"/>
          </w:tcPr>
          <w:p w14:paraId="21057595" w14:textId="51B4D4FA" w:rsidR="00F6325E" w:rsidRPr="000E0793" w:rsidRDefault="009C2DF7">
            <w:r w:rsidRPr="000E0793">
              <w:t xml:space="preserve">DOCKET </w:t>
            </w:r>
            <w:r w:rsidRPr="000E0793">
              <w:fldChar w:fldCharType="begin"/>
            </w:r>
            <w:r w:rsidRPr="000E0793">
              <w:instrText xml:space="preserve"> ASK docket_no "Enter Docket Number using PG-XXXXXX Format</w:instrText>
            </w:r>
            <w:r w:rsidRPr="000E0793">
              <w:fldChar w:fldCharType="separate"/>
            </w:r>
            <w:bookmarkStart w:id="2" w:name="docket_no"/>
            <w:r w:rsidR="00AB67F3" w:rsidRPr="000E0793">
              <w:t>PG-150425</w:t>
            </w:r>
            <w:bookmarkEnd w:id="2"/>
            <w:r w:rsidRPr="000E0793">
              <w:fldChar w:fldCharType="end"/>
            </w:r>
            <w:r w:rsidR="007166FA">
              <w:t>UE-144136</w:t>
            </w:r>
          </w:p>
          <w:p w14:paraId="21057596" w14:textId="77777777" w:rsidR="00F6325E" w:rsidRPr="000E0793" w:rsidRDefault="00F6325E">
            <w:pPr>
              <w:pStyle w:val="Header"/>
              <w:tabs>
                <w:tab w:val="clear" w:pos="8300"/>
              </w:tabs>
              <w:rPr>
                <w:lang w:val="en-US" w:eastAsia="en-US"/>
              </w:rPr>
            </w:pPr>
          </w:p>
          <w:p w14:paraId="21057597" w14:textId="77777777" w:rsidR="00F6325E" w:rsidRPr="000E0793" w:rsidRDefault="009C2DF7">
            <w:r w:rsidRPr="000E0793">
              <w:t xml:space="preserve">ORDER </w:t>
            </w:r>
            <w:r w:rsidRPr="000E0793">
              <w:fldChar w:fldCharType="begin"/>
            </w:r>
            <w:r w:rsidRPr="000E0793">
              <w:instrText xml:space="preserve"> ASK order_no "Enter Order Number"</w:instrText>
            </w:r>
            <w:r w:rsidRPr="000E0793">
              <w:fldChar w:fldCharType="separate"/>
            </w:r>
            <w:bookmarkStart w:id="3" w:name="order_no"/>
            <w:r w:rsidR="00AB67F3" w:rsidRPr="000E0793">
              <w:t>01</w:t>
            </w:r>
            <w:bookmarkEnd w:id="3"/>
            <w:r w:rsidRPr="000E0793">
              <w:fldChar w:fldCharType="end"/>
            </w:r>
            <w:fldSimple w:instr=" REF order_no \* MERGEFORMAT">
              <w:r w:rsidR="00505742" w:rsidRPr="000E0793">
                <w:t>01</w:t>
              </w:r>
            </w:fldSimple>
          </w:p>
          <w:p w14:paraId="2105759D" w14:textId="77777777" w:rsidR="00F6325E" w:rsidRDefault="00F6325E">
            <w:pPr>
              <w:pStyle w:val="Header"/>
              <w:tabs>
                <w:tab w:val="clear" w:pos="8300"/>
              </w:tabs>
              <w:rPr>
                <w:lang w:val="en-US" w:eastAsia="en-US"/>
              </w:rPr>
            </w:pPr>
          </w:p>
          <w:p w14:paraId="0EC5C8BC" w14:textId="77777777" w:rsidR="00A61719" w:rsidRPr="000E0793" w:rsidRDefault="00A61719">
            <w:pPr>
              <w:pStyle w:val="Header"/>
              <w:tabs>
                <w:tab w:val="clear" w:pos="8300"/>
              </w:tabs>
              <w:rPr>
                <w:lang w:val="en-US" w:eastAsia="en-US"/>
              </w:rPr>
            </w:pPr>
          </w:p>
          <w:p w14:paraId="2105759E" w14:textId="7EECC620" w:rsidR="00F6325E" w:rsidRPr="000E0793" w:rsidRDefault="009C2DF7">
            <w:pPr>
              <w:pStyle w:val="Header"/>
              <w:tabs>
                <w:tab w:val="clear" w:pos="8300"/>
              </w:tabs>
              <w:rPr>
                <w:lang w:val="en-US" w:eastAsia="en-US"/>
              </w:rPr>
            </w:pPr>
            <w:r w:rsidRPr="000E0793">
              <w:rPr>
                <w:lang w:val="en-US" w:eastAsia="en-US"/>
              </w:rPr>
              <w:t>ORDER GRANTING PETITION</w:t>
            </w:r>
            <w:r w:rsidR="007166FA">
              <w:rPr>
                <w:lang w:val="en-US" w:eastAsia="en-US"/>
              </w:rPr>
              <w:t xml:space="preserve"> SUBJECT TO CONDITIONS</w:t>
            </w:r>
          </w:p>
        </w:tc>
      </w:tr>
    </w:tbl>
    <w:p w14:paraId="210575A0" w14:textId="77777777" w:rsidR="00F6325E" w:rsidRPr="000E0793" w:rsidRDefault="00F6325E"/>
    <w:p w14:paraId="210575A1" w14:textId="77777777" w:rsidR="00F6325E" w:rsidRPr="000E0793" w:rsidRDefault="009C2DF7">
      <w:pPr>
        <w:pStyle w:val="SectionHeading"/>
        <w:spacing w:line="320" w:lineRule="exact"/>
        <w:rPr>
          <w:szCs w:val="24"/>
        </w:rPr>
      </w:pPr>
      <w:r w:rsidRPr="000E0793">
        <w:rPr>
          <w:szCs w:val="24"/>
        </w:rPr>
        <w:t>BACKGROUND</w:t>
      </w:r>
    </w:p>
    <w:p w14:paraId="210575A7" w14:textId="7B6763AE" w:rsidR="00F6325E" w:rsidRPr="000E0793" w:rsidRDefault="009C2DF7" w:rsidP="00625A6C">
      <w:pPr>
        <w:pStyle w:val="FindingsConclusions"/>
        <w:spacing w:line="320" w:lineRule="exact"/>
      </w:pPr>
      <w:r w:rsidRPr="000E0793">
        <w:t xml:space="preserve">On </w:t>
      </w:r>
      <w:r w:rsidRPr="000E0793">
        <w:fldChar w:fldCharType="begin"/>
      </w:r>
      <w:r w:rsidRPr="000E0793">
        <w:instrText xml:space="preserve"> ask filing_date "Enter Filing Date" </w:instrText>
      </w:r>
      <w:r w:rsidRPr="000E0793">
        <w:fldChar w:fldCharType="separate"/>
      </w:r>
      <w:bookmarkStart w:id="4" w:name="filing_date"/>
      <w:r w:rsidR="00AB67F3" w:rsidRPr="000E0793">
        <w:t>March 12, 2015</w:t>
      </w:r>
      <w:bookmarkEnd w:id="4"/>
      <w:r w:rsidRPr="000E0793">
        <w:fldChar w:fldCharType="end"/>
      </w:r>
      <w:r w:rsidR="007166FA">
        <w:t>December 19, 2014</w:t>
      </w:r>
      <w:r w:rsidRPr="000E0793">
        <w:t xml:space="preserve">, </w:t>
      </w:r>
      <w:r w:rsidR="007166FA">
        <w:t>Pacific Power &amp; Light Company (Pacific Power</w:t>
      </w:r>
      <w:r w:rsidR="007662CB" w:rsidRPr="000E0793">
        <w:t xml:space="preserve"> or </w:t>
      </w:r>
      <w:r w:rsidR="00DD7EEF" w:rsidRPr="000E0793">
        <w:t>C</w:t>
      </w:r>
      <w:r w:rsidR="007662CB" w:rsidRPr="000E0793">
        <w:t xml:space="preserve">ompany) </w:t>
      </w:r>
      <w:bookmarkStart w:id="5" w:name="_GoBack"/>
      <w:bookmarkEnd w:id="5"/>
      <w:r w:rsidR="007662CB" w:rsidRPr="000E0793">
        <w:t xml:space="preserve">filed </w:t>
      </w:r>
      <w:r w:rsidR="007166FA">
        <w:t>a</w:t>
      </w:r>
      <w:r w:rsidR="007662CB" w:rsidRPr="000E0793">
        <w:t xml:space="preserve"> petition </w:t>
      </w:r>
      <w:r w:rsidR="007166FA">
        <w:t>requesting authorization to exchange approximately $43 million in Company-owned transmission assets for approximately $43 million in transmission assets owned by Idaho Power Company (Idaho Power).</w:t>
      </w:r>
      <w:r w:rsidR="00C06A89" w:rsidRPr="000E0793">
        <w:t xml:space="preserve"> </w:t>
      </w:r>
      <w:r w:rsidR="007166FA">
        <w:t>The purpose of the transaction is to update or replace a series of complicated transmission agreements through a combination of ownership exchanges and open access transmission tariff (OATT) transactions.</w:t>
      </w:r>
      <w:r w:rsidR="00E577E2">
        <w:rPr>
          <w:rStyle w:val="FootnoteReference"/>
        </w:rPr>
        <w:footnoteReference w:id="1"/>
      </w:r>
      <w:r w:rsidR="00FB4417">
        <w:br/>
      </w:r>
    </w:p>
    <w:p w14:paraId="273621E0" w14:textId="221721C3" w:rsidR="00DD7EEF" w:rsidRDefault="007166FA" w:rsidP="005A2E4E">
      <w:pPr>
        <w:pStyle w:val="FindingsConclusions"/>
        <w:spacing w:line="276" w:lineRule="auto"/>
      </w:pPr>
      <w:r>
        <w:t>Pacific Power and Idaho Power are joint owners of the 2,100-MW Jim Bridger coal plant in Wyoming</w:t>
      </w:r>
      <w:r w:rsidR="005A2E4E">
        <w:t>.</w:t>
      </w:r>
      <w:r>
        <w:t xml:space="preserve"> Pacific Power own</w:t>
      </w:r>
      <w:r w:rsidR="005A2E4E">
        <w:t xml:space="preserve">s </w:t>
      </w:r>
      <w:r>
        <w:t>two-thirds of the plant’s output</w:t>
      </w:r>
      <w:r w:rsidR="005A2E4E">
        <w:t>,</w:t>
      </w:r>
      <w:r>
        <w:t xml:space="preserve"> and Idaho Power own</w:t>
      </w:r>
      <w:r w:rsidR="005A2E4E">
        <w:t>s</w:t>
      </w:r>
      <w:r>
        <w:t xml:space="preserve"> one-third.</w:t>
      </w:r>
      <w:r w:rsidR="00244CA2">
        <w:t xml:space="preserve"> The proposed asset transfer would change the ownership structure of the lines that Pacific Power uses to move power from Wyoming to the Pacific Northwest. </w:t>
      </w:r>
      <w:r w:rsidR="005A2E4E">
        <w:t xml:space="preserve">Instead of Pacific Power owning two lines and Idaho Power owning the third line, Pacific Power will own two-thirds of each line and Idaho Power will own one-third of each line. </w:t>
      </w:r>
      <w:r w:rsidR="00244CA2">
        <w:t>At present, Pacific Power has the ability to move 1,600 MW of capacity into the Pacific Northwest. If the transfer is approved and executed, Pacific Power will still have 1,600 MW of transfer capacity.</w:t>
      </w:r>
    </w:p>
    <w:p w14:paraId="0C6F11F2" w14:textId="77777777" w:rsidR="00981047" w:rsidRDefault="00981047" w:rsidP="00981047">
      <w:pPr>
        <w:pStyle w:val="ListParagraph"/>
      </w:pPr>
    </w:p>
    <w:p w14:paraId="1E25683A" w14:textId="1E732C9E" w:rsidR="00981047" w:rsidRDefault="00981047" w:rsidP="00981047">
      <w:pPr>
        <w:pStyle w:val="FindingsConclusions"/>
        <w:spacing w:line="276" w:lineRule="auto"/>
      </w:pPr>
      <w:r>
        <w:t>WAC 480-143-170 requires utility transfers to be consistent with the public interest. The Commission will approve those transfers when the applicant demonstrates that the transfer “</w:t>
      </w:r>
      <w:r w:rsidRPr="005476F1">
        <w:t>on balance, at least does not harm</w:t>
      </w:r>
      <w:r>
        <w:t>.”</w:t>
      </w:r>
      <w:r>
        <w:rPr>
          <w:rStyle w:val="FootnoteReference"/>
        </w:rPr>
        <w:footnoteReference w:id="2"/>
      </w:r>
      <w:r>
        <w:t xml:space="preserve"> Based on the </w:t>
      </w:r>
      <w:r w:rsidR="00DE1093">
        <w:t>C</w:t>
      </w:r>
      <w:r>
        <w:t xml:space="preserve">ompany’s filing and responses to </w:t>
      </w:r>
      <w:r w:rsidR="00DE1093">
        <w:lastRenderedPageBreak/>
        <w:t>S</w:t>
      </w:r>
      <w:r>
        <w:t xml:space="preserve">taff’s data requests, </w:t>
      </w:r>
      <w:r w:rsidR="00DE1093">
        <w:t>S</w:t>
      </w:r>
      <w:r>
        <w:t xml:space="preserve">taff believes the petition satisfies the </w:t>
      </w:r>
      <w:r w:rsidR="00DE1093">
        <w:t xml:space="preserve">Commission’s four-part test </w:t>
      </w:r>
      <w:r w:rsidR="00DA212D">
        <w:t>to determine</w:t>
      </w:r>
      <w:r>
        <w:t xml:space="preserve"> whether the no-harm standard has been met</w:t>
      </w:r>
      <w:r w:rsidR="00DE1093">
        <w:t>, as discussed below</w:t>
      </w:r>
      <w:r>
        <w:t>.</w:t>
      </w:r>
      <w:r w:rsidR="00A1568F">
        <w:br/>
      </w:r>
    </w:p>
    <w:p w14:paraId="4CFBC36D" w14:textId="6DD74DE9" w:rsidR="00F50B85" w:rsidRDefault="00ED2935" w:rsidP="00A821DA">
      <w:pPr>
        <w:pStyle w:val="FindingsConclusions"/>
        <w:spacing w:line="276" w:lineRule="auto"/>
      </w:pPr>
      <w:r>
        <w:t>In the first part</w:t>
      </w:r>
      <w:r w:rsidR="00F50B85">
        <w:t xml:space="preserve"> of the four-part test</w:t>
      </w:r>
      <w:r w:rsidR="00A1568F">
        <w:t>, the Commission examines the rates and risks faced by ratepayers</w:t>
      </w:r>
      <w:r w:rsidR="00DA212D">
        <w:t xml:space="preserve"> if the transfer</w:t>
      </w:r>
      <w:r>
        <w:t xml:space="preserve"> is approved</w:t>
      </w:r>
      <w:r w:rsidR="00A1568F">
        <w:t>. In response to a Staff data request, the Company indicated that the potential impact on Washington rates would be a near-term increase of a</w:t>
      </w:r>
      <w:r w:rsidR="00DA212D">
        <w:t>pproximately</w:t>
      </w:r>
      <w:r w:rsidR="00A1568F">
        <w:t xml:space="preserve"> $575,000, but cautioned that any actual increase would depend on the test period used.</w:t>
      </w:r>
      <w:r w:rsidR="00A1568F">
        <w:rPr>
          <w:rStyle w:val="FootnoteReference"/>
        </w:rPr>
        <w:footnoteReference w:id="3"/>
      </w:r>
      <w:r w:rsidR="00A1568F">
        <w:t xml:space="preserve"> By Staff’s estimate, $575,000 would represent an increase of about 0.2 percent, or $0.23 per month for the average residential customer. The transaction </w:t>
      </w:r>
      <w:r w:rsidR="00F50B85">
        <w:t xml:space="preserve">also </w:t>
      </w:r>
      <w:r w:rsidR="00A1568F">
        <w:t>appears to slightly reduce risks for Washington ratepayers by</w:t>
      </w:r>
      <w:r w:rsidR="00A1568F" w:rsidRPr="00A1568F">
        <w:t xml:space="preserve"> </w:t>
      </w:r>
      <w:r w:rsidR="00A1568F">
        <w:t xml:space="preserve">decreasing both the impact of line outages and the Company’s need for wheeling on Idaho Power’s system. </w:t>
      </w:r>
      <w:r w:rsidR="00A821DA">
        <w:t xml:space="preserve">Although the benefits are largely unquantifiable at this point, a potential rate increase of 0.2 percent appears reasonable to attain them. Based on this analysis, </w:t>
      </w:r>
      <w:r w:rsidR="00F50B85">
        <w:t>S</w:t>
      </w:r>
      <w:r w:rsidR="00A821DA">
        <w:t>taff believes that the proposed transaction’s projected impact on the rates and risk</w:t>
      </w:r>
      <w:r w:rsidR="00F50B85">
        <w:t>s</w:t>
      </w:r>
      <w:r w:rsidR="00A821DA">
        <w:t xml:space="preserve"> for Washington ratepayers would not be harmful.</w:t>
      </w:r>
      <w:r w:rsidR="00F50B85">
        <w:br/>
      </w:r>
    </w:p>
    <w:p w14:paraId="052EA60F" w14:textId="1DAF50E5" w:rsidR="00A821DA" w:rsidRDefault="00A821DA" w:rsidP="00A821DA">
      <w:pPr>
        <w:pStyle w:val="FindingsConclusions"/>
        <w:spacing w:line="276" w:lineRule="auto"/>
      </w:pPr>
      <w:r>
        <w:t xml:space="preserve">Second, the Commission examines the balance of interests among customers, shareholders, and the broader public. The </w:t>
      </w:r>
      <w:r w:rsidR="009974E9">
        <w:t xml:space="preserve">exchange </w:t>
      </w:r>
      <w:r>
        <w:t xml:space="preserve">proposed </w:t>
      </w:r>
      <w:r w:rsidR="009974E9">
        <w:t>by the Petition</w:t>
      </w:r>
      <w:r>
        <w:t xml:space="preserve"> gives the Company the ability to better serve its Idaho territory without appearing to harm any of its other territories, and the Company </w:t>
      </w:r>
      <w:r w:rsidR="009974E9">
        <w:t>believes</w:t>
      </w:r>
      <w:r>
        <w:t xml:space="preserve"> that it also creates a strong foundation for </w:t>
      </w:r>
      <w:r w:rsidR="009974E9">
        <w:t>it to work with</w:t>
      </w:r>
      <w:r>
        <w:t xml:space="preserve"> Idaho Power on future projects of mutual interest. </w:t>
      </w:r>
      <w:r w:rsidR="00F50B85">
        <w:t>S</w:t>
      </w:r>
      <w:r>
        <w:t xml:space="preserve">taff believes that the proposed agreement serves the interests of Washington ratepayers and </w:t>
      </w:r>
      <w:r w:rsidR="009974E9">
        <w:t>C</w:t>
      </w:r>
      <w:r>
        <w:t>ompany shareholders without harming either party.</w:t>
      </w:r>
      <w:r>
        <w:br/>
        <w:t xml:space="preserve"> </w:t>
      </w:r>
    </w:p>
    <w:p w14:paraId="420DBB2A" w14:textId="059187B4" w:rsidR="00A821DA" w:rsidRDefault="00A821DA" w:rsidP="00981047">
      <w:pPr>
        <w:pStyle w:val="FindingsConclusions"/>
        <w:spacing w:line="276" w:lineRule="auto"/>
      </w:pPr>
      <w:r>
        <w:t xml:space="preserve">Third, the Commission looks at the effect of the transaction on competitive markets. From a competitive standpoint, </w:t>
      </w:r>
      <w:r w:rsidR="00F50B85">
        <w:t xml:space="preserve">the </w:t>
      </w:r>
      <w:r>
        <w:t xml:space="preserve">most significant impact </w:t>
      </w:r>
      <w:r w:rsidR="00F50B85">
        <w:t>of the proposed exchange will</w:t>
      </w:r>
      <w:r>
        <w:t xml:space="preserve"> be the increased capacity for Pacific Power to dynamically schedule power across Idaho Power’s system. For Idaho Power, the transaction appears to improve </w:t>
      </w:r>
      <w:r w:rsidR="00F50B85">
        <w:t>its</w:t>
      </w:r>
      <w:r>
        <w:t xml:space="preserve"> ability to access energy market hubs in Oregon and California. </w:t>
      </w:r>
      <w:r w:rsidR="00F50B85">
        <w:t>S</w:t>
      </w:r>
      <w:r>
        <w:t>taff believes that the proposed exchange would increase market access in the region</w:t>
      </w:r>
      <w:r w:rsidR="00F50B85">
        <w:t>, and</w:t>
      </w:r>
      <w:r>
        <w:t xml:space="preserve"> </w:t>
      </w:r>
      <w:r w:rsidR="009974E9">
        <w:t xml:space="preserve">Staff </w:t>
      </w:r>
      <w:r>
        <w:t>did not identify any potential anti-competitive outcomes.</w:t>
      </w:r>
      <w:r>
        <w:br/>
      </w:r>
    </w:p>
    <w:p w14:paraId="4B060425" w14:textId="4B7475C6" w:rsidR="00A821DA" w:rsidRDefault="00A821DA" w:rsidP="00981047">
      <w:pPr>
        <w:pStyle w:val="FindingsConclusions"/>
        <w:spacing w:line="276" w:lineRule="auto"/>
      </w:pPr>
      <w:r>
        <w:lastRenderedPageBreak/>
        <w:t xml:space="preserve">Finally, the Commission considers whether the interests of Washington ratepayers will be protected. Based on the Company’s responses to Staff’s data requests, Staff concludes </w:t>
      </w:r>
      <w:r w:rsidR="009974E9">
        <w:t>that t</w:t>
      </w:r>
      <w:r>
        <w:t>he proposed transaction does not appear to negatively affect the interests of Washington ratepayers</w:t>
      </w:r>
      <w:r w:rsidR="009974E9">
        <w:t xml:space="preserve">. Moreover, </w:t>
      </w:r>
      <w:r>
        <w:t xml:space="preserve">the </w:t>
      </w:r>
      <w:r w:rsidR="00376B8D">
        <w:t>C</w:t>
      </w:r>
      <w:r>
        <w:t xml:space="preserve">ommission has established a process </w:t>
      </w:r>
      <w:r w:rsidR="00376B8D">
        <w:t>to ensure</w:t>
      </w:r>
      <w:r>
        <w:t xml:space="preserve"> that </w:t>
      </w:r>
      <w:r w:rsidR="00C25E25">
        <w:t xml:space="preserve">any </w:t>
      </w:r>
      <w:r>
        <w:t xml:space="preserve">increased costs </w:t>
      </w:r>
      <w:r w:rsidR="009974E9">
        <w:t xml:space="preserve">incurred </w:t>
      </w:r>
      <w:r>
        <w:t>as a result of this transaction could only be p</w:t>
      </w:r>
      <w:r w:rsidR="00C25E25">
        <w:t xml:space="preserve">assed onto ratepayers if there </w:t>
      </w:r>
      <w:r w:rsidR="00F435AD">
        <w:t xml:space="preserve">is </w:t>
      </w:r>
      <w:r>
        <w:t>a commensurate benefit identified.</w:t>
      </w:r>
      <w:r>
        <w:br/>
      </w:r>
    </w:p>
    <w:p w14:paraId="50F8F176" w14:textId="55B952A1" w:rsidR="000C4370" w:rsidRPr="000E0793" w:rsidRDefault="00A821DA" w:rsidP="008C4781">
      <w:pPr>
        <w:pStyle w:val="FindingsConclusions"/>
        <w:spacing w:line="276" w:lineRule="auto"/>
      </w:pPr>
      <w:r>
        <w:t xml:space="preserve">Staff’s analysis of the </w:t>
      </w:r>
      <w:r w:rsidR="00376B8D">
        <w:t>Petition</w:t>
      </w:r>
      <w:r>
        <w:t xml:space="preserve"> concludes that, on balance, the proposed transaction does not appear to </w:t>
      </w:r>
      <w:r w:rsidR="00C25E25">
        <w:t>harm</w:t>
      </w:r>
      <w:r>
        <w:t xml:space="preserve"> Washington ratepayers. Staff therefore recommends that the </w:t>
      </w:r>
      <w:r w:rsidR="00376B8D">
        <w:t>C</w:t>
      </w:r>
      <w:r>
        <w:t xml:space="preserve">ommission grant the </w:t>
      </w:r>
      <w:r w:rsidR="00376B8D">
        <w:t>C</w:t>
      </w:r>
      <w:r w:rsidR="00C25E25">
        <w:t>ompany’s P</w:t>
      </w:r>
      <w:r>
        <w:t>etition for an order authorizing the exchange</w:t>
      </w:r>
      <w:r w:rsidR="00376B8D">
        <w:t xml:space="preserve"> of transmission assets</w:t>
      </w:r>
      <w:r>
        <w:t>, subject to the following conditions:</w:t>
      </w:r>
      <w:r w:rsidR="00F73CC3">
        <w:t xml:space="preserve"> 1) the Company must notify the Commission of any material changes to the proposed transaction within 10 business days</w:t>
      </w:r>
      <w:r w:rsidR="002C385C">
        <w:t xml:space="preserve"> of any material change</w:t>
      </w:r>
      <w:r w:rsidR="00F73CC3">
        <w:t>;</w:t>
      </w:r>
      <w:r w:rsidR="002C385C">
        <w:t xml:space="preserve"> and 2) the Company must file with the Commission the final journal entry recording the transaction within 60 days of the transaction’s closure</w:t>
      </w:r>
      <w:r w:rsidR="00376B8D">
        <w:t>.</w:t>
      </w:r>
      <w:r w:rsidR="00376B8D">
        <w:br/>
      </w:r>
    </w:p>
    <w:p w14:paraId="3D63C0FD" w14:textId="77777777" w:rsidR="00DD7EEF" w:rsidRPr="000E0793" w:rsidRDefault="00DD7EEF" w:rsidP="00DD7EEF">
      <w:pPr>
        <w:pStyle w:val="FindingsConclusions"/>
        <w:numPr>
          <w:ilvl w:val="0"/>
          <w:numId w:val="0"/>
        </w:numPr>
        <w:spacing w:line="320" w:lineRule="exact"/>
        <w:jc w:val="center"/>
        <w:rPr>
          <w:b/>
        </w:rPr>
      </w:pPr>
      <w:r w:rsidRPr="000E0793">
        <w:rPr>
          <w:b/>
        </w:rPr>
        <w:t>DISCUSSION</w:t>
      </w:r>
    </w:p>
    <w:p w14:paraId="6C69A32A" w14:textId="77777777" w:rsidR="00DD7EEF" w:rsidRPr="000E0793" w:rsidRDefault="00DD7EEF" w:rsidP="00DD7EEF">
      <w:pPr>
        <w:pStyle w:val="ListParagraph"/>
      </w:pPr>
    </w:p>
    <w:p w14:paraId="4DA92127" w14:textId="05D44819" w:rsidR="00DD7EEF" w:rsidRPr="000E0793" w:rsidRDefault="00DD7EEF" w:rsidP="00900D6E">
      <w:pPr>
        <w:pStyle w:val="FindingsConclusions"/>
        <w:spacing w:line="320" w:lineRule="exact"/>
      </w:pPr>
      <w:r w:rsidRPr="000E0793">
        <w:t xml:space="preserve">We agree with Staff that </w:t>
      </w:r>
      <w:r w:rsidR="00A821DA">
        <w:t>Pacific Power</w:t>
      </w:r>
      <w:r w:rsidRPr="000E0793">
        <w:t xml:space="preserve">’s </w:t>
      </w:r>
      <w:r w:rsidR="002F55D1">
        <w:t>exchange of assets with Idaho Power does not appear to be harmful to Washington ratepayers</w:t>
      </w:r>
      <w:r w:rsidR="000E0793" w:rsidRPr="000E0793">
        <w:t>.</w:t>
      </w:r>
      <w:r w:rsidR="002F55D1">
        <w:t xml:space="preserve"> As Staff noted, the potential for a minor rate increase is balanced by </w:t>
      </w:r>
      <w:r w:rsidR="00C25E25">
        <w:t xml:space="preserve">the </w:t>
      </w:r>
      <w:r w:rsidR="002F55D1">
        <w:t>potential benefits</w:t>
      </w:r>
      <w:r w:rsidR="00C25E25">
        <w:t>,</w:t>
      </w:r>
      <w:r w:rsidR="002F55D1">
        <w:t xml:space="preserve"> such as improved operational efficiency, increased reliability</w:t>
      </w:r>
      <w:r w:rsidR="00376B8D">
        <w:t>,</w:t>
      </w:r>
      <w:r w:rsidR="002F55D1">
        <w:t xml:space="preserve"> and reduced wheeling expenses. Furthermore, the </w:t>
      </w:r>
      <w:r w:rsidR="00376B8D">
        <w:t>C</w:t>
      </w:r>
      <w:r w:rsidR="002F55D1">
        <w:t xml:space="preserve">ommission’s practices ensure that any cost increases arising from this transaction will only be passed on to ratepayers if the </w:t>
      </w:r>
      <w:r w:rsidR="00376B8D">
        <w:t>C</w:t>
      </w:r>
      <w:r w:rsidR="002F55D1">
        <w:t xml:space="preserve">ompany can identify commensurate benefits. Accordingly, we approve the Company’s </w:t>
      </w:r>
      <w:r w:rsidR="00C25E25">
        <w:t>P</w:t>
      </w:r>
      <w:r w:rsidR="002F55D1">
        <w:t xml:space="preserve">etition subject to the conditions </w:t>
      </w:r>
      <w:r w:rsidR="00376B8D">
        <w:t>that the Company notify the Commission of any material changes to the proposed transaction within 10 business days</w:t>
      </w:r>
      <w:r w:rsidR="002C385C">
        <w:t xml:space="preserve"> of any material change</w:t>
      </w:r>
      <w:r w:rsidR="00376B8D">
        <w:t xml:space="preserve">, and that the Company </w:t>
      </w:r>
      <w:r w:rsidR="002C385C">
        <w:t>file with the Commission the final journal entry recording the transaction within 60 days of the transaction’s closure</w:t>
      </w:r>
      <w:r w:rsidR="002F55D1">
        <w:t xml:space="preserve">. </w:t>
      </w:r>
    </w:p>
    <w:p w14:paraId="4BF2FA5C" w14:textId="77777777" w:rsidR="00F71BD5" w:rsidRPr="000E0793" w:rsidRDefault="00F71BD5" w:rsidP="00E7765C">
      <w:pPr>
        <w:pStyle w:val="NumberedParagraph0"/>
        <w:spacing w:after="0" w:line="320" w:lineRule="exact"/>
      </w:pPr>
    </w:p>
    <w:p w14:paraId="287CF087" w14:textId="7EB6C13C" w:rsidR="00E7765C" w:rsidRPr="00376B8D" w:rsidRDefault="009C2DF7" w:rsidP="00376B8D">
      <w:pPr>
        <w:pStyle w:val="SectionHeading"/>
        <w:spacing w:after="0" w:line="320" w:lineRule="exact"/>
        <w:rPr>
          <w:szCs w:val="24"/>
        </w:rPr>
      </w:pPr>
      <w:r w:rsidRPr="000E0793">
        <w:rPr>
          <w:szCs w:val="24"/>
        </w:rPr>
        <w:t>FINDINGS AND CONCLUSIONS</w:t>
      </w:r>
      <w:r w:rsidR="00376B8D">
        <w:rPr>
          <w:szCs w:val="24"/>
        </w:rPr>
        <w:br/>
      </w:r>
    </w:p>
    <w:p w14:paraId="053CF7D7" w14:textId="3AE8C4CD" w:rsidR="000E0793" w:rsidRPr="007E6AF6" w:rsidRDefault="009C2DF7" w:rsidP="00F435AD">
      <w:pPr>
        <w:pStyle w:val="FindingsConclusions"/>
        <w:spacing w:line="320" w:lineRule="exact"/>
        <w:ind w:left="700" w:hanging="1510"/>
      </w:pPr>
      <w:r w:rsidRPr="007E6AF6">
        <w:t>(1)</w:t>
      </w:r>
      <w:r w:rsidRPr="007E6AF6">
        <w:tab/>
      </w:r>
      <w:r w:rsidR="000E0793" w:rsidRPr="007E6AF6">
        <w:t>The Washington Utilities and Transportation Commission is an agency of the State of Washington vested by statute with the authority to regulate rates, regulations, practices, accounts, securities, transfers of property, and affiliated interests of publ</w:t>
      </w:r>
      <w:r w:rsidR="00AC691A">
        <w:t xml:space="preserve">ic service companies, including electric </w:t>
      </w:r>
      <w:r w:rsidR="000E0793" w:rsidRPr="007E6AF6">
        <w:t xml:space="preserve">companies.  </w:t>
      </w:r>
      <w:r w:rsidR="000E0793" w:rsidRPr="007E6AF6">
        <w:br/>
      </w:r>
    </w:p>
    <w:p w14:paraId="210575C4" w14:textId="13A36EDC" w:rsidR="00F6325E" w:rsidRPr="007E6AF6" w:rsidRDefault="009C2DF7" w:rsidP="00F435AD">
      <w:pPr>
        <w:pStyle w:val="FindingsConclusions"/>
        <w:spacing w:line="320" w:lineRule="exact"/>
        <w:ind w:left="700" w:hanging="1510"/>
      </w:pPr>
      <w:r w:rsidRPr="007E6AF6">
        <w:lastRenderedPageBreak/>
        <w:t>(2)</w:t>
      </w:r>
      <w:r w:rsidRPr="007E6AF6">
        <w:tab/>
      </w:r>
      <w:r w:rsidR="0078385C">
        <w:t>Pacific Power</w:t>
      </w:r>
      <w:r w:rsidR="007662CB" w:rsidRPr="007E6AF6">
        <w:t xml:space="preserve"> </w:t>
      </w:r>
      <w:r w:rsidR="000E0793" w:rsidRPr="007E6AF6">
        <w:t xml:space="preserve">is </w:t>
      </w:r>
      <w:r w:rsidR="00AC691A">
        <w:t>an electric</w:t>
      </w:r>
      <w:r w:rsidR="000E0793" w:rsidRPr="007E6AF6">
        <w:fldChar w:fldCharType="begin"/>
      </w:r>
      <w:r w:rsidR="000E0793" w:rsidRPr="007E6AF6">
        <w:instrText xml:space="preserve"> if company_type = ?lectric “an electric” </w:instrText>
      </w:r>
      <w:r w:rsidR="000E0793" w:rsidRPr="007E6AF6">
        <w:fldChar w:fldCharType="begin"/>
      </w:r>
      <w:r w:rsidR="000E0793" w:rsidRPr="007E6AF6">
        <w:instrText xml:space="preserve"> if company_type = ?as “a gas” “a water” </w:instrText>
      </w:r>
      <w:r w:rsidR="000E0793" w:rsidRPr="007E6AF6">
        <w:fldChar w:fldCharType="separate"/>
      </w:r>
      <w:r w:rsidR="00505742" w:rsidRPr="007E6AF6">
        <w:rPr>
          <w:noProof/>
        </w:rPr>
        <w:instrText>a water</w:instrText>
      </w:r>
      <w:r w:rsidR="000E0793" w:rsidRPr="007E6AF6">
        <w:fldChar w:fldCharType="end"/>
      </w:r>
      <w:r w:rsidR="000E0793" w:rsidRPr="007E6AF6">
        <w:instrText xml:space="preserve"> </w:instrText>
      </w:r>
      <w:r w:rsidR="000E0793" w:rsidRPr="007E6AF6">
        <w:fldChar w:fldCharType="end"/>
      </w:r>
      <w:r w:rsidR="000E0793" w:rsidRPr="007E6AF6">
        <w:t xml:space="preserve"> company and a public service company subject to Commission jurisdiction.</w:t>
      </w:r>
      <w:r w:rsidR="000E0793" w:rsidRPr="007E6AF6">
        <w:br/>
      </w:r>
    </w:p>
    <w:p w14:paraId="63A20468" w14:textId="2EA2A442" w:rsidR="00E7765C" w:rsidRPr="000E0793" w:rsidRDefault="009C2DF7" w:rsidP="00F435AD">
      <w:pPr>
        <w:pStyle w:val="FindingsConclusions"/>
        <w:spacing w:line="320" w:lineRule="exact"/>
        <w:ind w:left="700" w:hanging="1510"/>
        <w:rPr>
          <w:b/>
          <w:bCs/>
          <w:color w:val="000000"/>
        </w:rPr>
      </w:pPr>
      <w:r w:rsidRPr="000E0793">
        <w:t>(3)</w:t>
      </w:r>
      <w:r w:rsidRPr="000E0793">
        <w:tab/>
      </w:r>
      <w:r w:rsidR="000E0793" w:rsidRPr="000E0793">
        <w:t xml:space="preserve">This matter came before the Commission at its regularly scheduled meeting on </w:t>
      </w:r>
      <w:r w:rsidR="000E0793" w:rsidRPr="000E0793">
        <w:fldChar w:fldCharType="begin"/>
      </w:r>
      <w:r w:rsidR="000E0793" w:rsidRPr="000E0793">
        <w:instrText xml:space="preserve"> ASK om_date "Enter Open Meeting Date "</w:instrText>
      </w:r>
      <w:r w:rsidR="000E0793" w:rsidRPr="000E0793">
        <w:fldChar w:fldCharType="separate"/>
      </w:r>
      <w:bookmarkStart w:id="6" w:name="om_date"/>
      <w:r w:rsidR="000E0793" w:rsidRPr="000E0793">
        <w:t>May 28, 2015</w:t>
      </w:r>
      <w:bookmarkEnd w:id="6"/>
      <w:r w:rsidR="000E0793" w:rsidRPr="000E0793">
        <w:fldChar w:fldCharType="end"/>
      </w:r>
      <w:r w:rsidR="0078385C">
        <w:t>September 24</w:t>
      </w:r>
      <w:r w:rsidR="000E0793" w:rsidRPr="000E0793">
        <w:t>, 2015.</w:t>
      </w:r>
      <w:r w:rsidR="000E0793">
        <w:br/>
      </w:r>
    </w:p>
    <w:p w14:paraId="210575C8" w14:textId="23F6E124" w:rsidR="00F6325E" w:rsidRPr="00F73CC3" w:rsidRDefault="00E7765C" w:rsidP="00F435AD">
      <w:pPr>
        <w:pStyle w:val="FindingsConclusions"/>
        <w:spacing w:line="320" w:lineRule="exact"/>
        <w:ind w:left="700" w:hanging="1510"/>
      </w:pPr>
      <w:r w:rsidRPr="000E0793">
        <w:t xml:space="preserve">(4) </w:t>
      </w:r>
      <w:r w:rsidRPr="000E0793">
        <w:tab/>
      </w:r>
      <w:r w:rsidR="000E0793" w:rsidRPr="00F73CC3">
        <w:t xml:space="preserve">On </w:t>
      </w:r>
      <w:r w:rsidR="000E0793" w:rsidRPr="00F73CC3">
        <w:fldChar w:fldCharType="begin"/>
      </w:r>
      <w:r w:rsidR="000E0793" w:rsidRPr="00F73CC3">
        <w:instrText xml:space="preserve"> ask filing_date "Enter Filing Date" </w:instrText>
      </w:r>
      <w:r w:rsidR="000E0793" w:rsidRPr="00F73CC3">
        <w:fldChar w:fldCharType="separate"/>
      </w:r>
      <w:r w:rsidR="000E0793" w:rsidRPr="00F73CC3">
        <w:t>March 12, 2015</w:t>
      </w:r>
      <w:r w:rsidR="000E0793" w:rsidRPr="00F73CC3">
        <w:fldChar w:fldCharType="end"/>
      </w:r>
      <w:r w:rsidR="00BC418A" w:rsidRPr="00F73CC3">
        <w:t>December 19, 2014</w:t>
      </w:r>
      <w:r w:rsidR="000E0793" w:rsidRPr="00F73CC3">
        <w:t xml:space="preserve">, </w:t>
      </w:r>
      <w:r w:rsidR="00BC418A" w:rsidRPr="00F73CC3">
        <w:t>Pacific Power</w:t>
      </w:r>
      <w:r w:rsidR="000E0793" w:rsidRPr="00F73CC3">
        <w:t xml:space="preserve"> filed </w:t>
      </w:r>
      <w:r w:rsidR="00BC418A" w:rsidRPr="00F73CC3">
        <w:t>a</w:t>
      </w:r>
      <w:r w:rsidR="000E0793" w:rsidRPr="00F73CC3">
        <w:t xml:space="preserve"> petition for an order </w:t>
      </w:r>
      <w:r w:rsidR="00BC418A" w:rsidRPr="00F73CC3">
        <w:t>authorizing</w:t>
      </w:r>
      <w:r w:rsidR="000E0793" w:rsidRPr="00F73CC3">
        <w:t xml:space="preserve"> the </w:t>
      </w:r>
      <w:r w:rsidR="00BC418A" w:rsidRPr="00F73CC3">
        <w:t>exchange of approximately $43 million in Company-owned assets for approximately $43 million in transmission assets owned by Idaho Power</w:t>
      </w:r>
      <w:r w:rsidR="000E0793" w:rsidRPr="00F73CC3">
        <w:t xml:space="preserve">. </w:t>
      </w:r>
      <w:r w:rsidR="000E0793" w:rsidRPr="00F73CC3">
        <w:br/>
      </w:r>
    </w:p>
    <w:p w14:paraId="210575C9" w14:textId="1EC9DFF9" w:rsidR="00F6325E" w:rsidRPr="00F73CC3" w:rsidRDefault="009C2DF7" w:rsidP="00F435AD">
      <w:pPr>
        <w:pStyle w:val="FindingsConclusions"/>
        <w:spacing w:line="320" w:lineRule="exact"/>
        <w:ind w:left="700" w:hanging="1510"/>
        <w:rPr>
          <w:b/>
          <w:bCs/>
          <w:color w:val="000000"/>
        </w:rPr>
      </w:pPr>
      <w:r w:rsidRPr="00F73CC3">
        <w:t>(5)</w:t>
      </w:r>
      <w:r w:rsidRPr="00F73CC3">
        <w:tab/>
      </w:r>
      <w:r w:rsidR="000E0793" w:rsidRPr="00F73CC3">
        <w:t xml:space="preserve">Staff reviewed the </w:t>
      </w:r>
      <w:r w:rsidR="00376B8D">
        <w:t>P</w:t>
      </w:r>
      <w:r w:rsidR="00BC418A" w:rsidRPr="00F73CC3">
        <w:t>etition</w:t>
      </w:r>
      <w:r w:rsidR="000E0793" w:rsidRPr="00F73CC3">
        <w:t xml:space="preserve"> and found that </w:t>
      </w:r>
      <w:r w:rsidR="00BC418A" w:rsidRPr="00F73CC3">
        <w:t>the exchange of assets will not harm Washington ratepayers</w:t>
      </w:r>
      <w:r w:rsidR="000E0793" w:rsidRPr="00F73CC3">
        <w:t xml:space="preserve">. </w:t>
      </w:r>
    </w:p>
    <w:p w14:paraId="210575CA" w14:textId="77777777" w:rsidR="00F6325E" w:rsidRPr="000E0793" w:rsidRDefault="00F6325E" w:rsidP="00E7765C">
      <w:pPr>
        <w:pStyle w:val="FindingsConclusions"/>
        <w:numPr>
          <w:ilvl w:val="0"/>
          <w:numId w:val="0"/>
        </w:numPr>
        <w:spacing w:line="320" w:lineRule="exact"/>
      </w:pPr>
    </w:p>
    <w:p w14:paraId="71EF8147" w14:textId="2BA397C1" w:rsidR="00F71BD5" w:rsidRPr="000E0793" w:rsidRDefault="009C2DF7" w:rsidP="00F435AD">
      <w:pPr>
        <w:pStyle w:val="FindingsConclusions"/>
        <w:spacing w:line="320" w:lineRule="exact"/>
        <w:ind w:left="700" w:hanging="1510"/>
      </w:pPr>
      <w:r w:rsidRPr="000E0793">
        <w:t>(6)</w:t>
      </w:r>
      <w:r w:rsidRPr="000E0793">
        <w:tab/>
        <w:t xml:space="preserve">After reviewing </w:t>
      </w:r>
      <w:r w:rsidR="0078385C">
        <w:t>Pacific Power</w:t>
      </w:r>
      <w:r w:rsidRPr="000E0793">
        <w:t xml:space="preserve">’s </w:t>
      </w:r>
      <w:r w:rsidR="00376B8D">
        <w:t>P</w:t>
      </w:r>
      <w:r w:rsidRPr="000E0793">
        <w:t xml:space="preserve">etition and giving due consideration to all relevant matters and for good cause shown, the Commission finds it is consistent with the public interest to grant </w:t>
      </w:r>
      <w:r w:rsidR="0078385C">
        <w:t>Pacific Power</w:t>
      </w:r>
      <w:r w:rsidRPr="000E0793">
        <w:t xml:space="preserve">’s </w:t>
      </w:r>
      <w:r w:rsidR="007662CB" w:rsidRPr="000E0793">
        <w:t xml:space="preserve">petition and </w:t>
      </w:r>
      <w:r w:rsidR="0078385C">
        <w:t xml:space="preserve">authorize </w:t>
      </w:r>
      <w:r w:rsidR="00BC418A">
        <w:t>the proposed exchange of assets, subject to the conditions that the Company notify the Commission of any material changes to the proposed transaction within 10 business days</w:t>
      </w:r>
      <w:r w:rsidR="002C385C">
        <w:t xml:space="preserve"> of any material change</w:t>
      </w:r>
      <w:r w:rsidR="00BC418A">
        <w:t xml:space="preserve">, and that the Company </w:t>
      </w:r>
      <w:r w:rsidR="002C385C">
        <w:t>file with the Commission the final journal entry recording the transaction within 60 days of the transaction’s closure</w:t>
      </w:r>
      <w:r w:rsidR="00BC418A">
        <w:t>.</w:t>
      </w:r>
    </w:p>
    <w:p w14:paraId="437B72CA" w14:textId="73B45EE5" w:rsidR="00F71BD5" w:rsidRPr="000E0793" w:rsidRDefault="00F71BD5" w:rsidP="00F71BD5">
      <w:pPr>
        <w:pStyle w:val="FindingsConclusions"/>
        <w:numPr>
          <w:ilvl w:val="0"/>
          <w:numId w:val="0"/>
        </w:numPr>
        <w:spacing w:line="320" w:lineRule="exact"/>
        <w:ind w:left="700"/>
      </w:pPr>
    </w:p>
    <w:p w14:paraId="210575CC" w14:textId="71EDF804" w:rsidR="00F6325E" w:rsidRPr="000E0793" w:rsidRDefault="0078385C" w:rsidP="0061500C">
      <w:pPr>
        <w:pStyle w:val="SectionHeading"/>
        <w:spacing w:after="0" w:line="320" w:lineRule="exact"/>
        <w:rPr>
          <w:szCs w:val="24"/>
        </w:rPr>
      </w:pPr>
      <w:r>
        <w:rPr>
          <w:szCs w:val="24"/>
        </w:rPr>
        <w:t>ORDE</w:t>
      </w:r>
      <w:r w:rsidR="009C2DF7" w:rsidRPr="000E0793">
        <w:rPr>
          <w:szCs w:val="24"/>
        </w:rPr>
        <w:t>R</w:t>
      </w:r>
    </w:p>
    <w:p w14:paraId="1FAED05B" w14:textId="77777777" w:rsidR="0061500C" w:rsidRPr="000E0793" w:rsidRDefault="0061500C" w:rsidP="0061500C">
      <w:pPr>
        <w:pStyle w:val="NumberedParagraph0"/>
        <w:spacing w:after="0" w:line="320" w:lineRule="exact"/>
      </w:pPr>
    </w:p>
    <w:p w14:paraId="210575CD" w14:textId="77777777" w:rsidR="00F6325E" w:rsidRPr="000E0793" w:rsidRDefault="009C2DF7" w:rsidP="0061500C">
      <w:pPr>
        <w:pStyle w:val="NumberedParagraph0"/>
        <w:spacing w:after="0" w:line="320" w:lineRule="exact"/>
        <w:ind w:left="-720" w:firstLine="720"/>
        <w:rPr>
          <w:b/>
        </w:rPr>
      </w:pPr>
      <w:r w:rsidRPr="000E0793">
        <w:rPr>
          <w:b/>
        </w:rPr>
        <w:t>THE COMMISSION ORDERS:</w:t>
      </w:r>
    </w:p>
    <w:p w14:paraId="74707299" w14:textId="77777777" w:rsidR="0061500C" w:rsidRPr="000E0793" w:rsidRDefault="0061500C" w:rsidP="0061500C">
      <w:pPr>
        <w:pStyle w:val="NumberedParagraph0"/>
        <w:spacing w:after="0" w:line="320" w:lineRule="exact"/>
        <w:ind w:left="-720" w:firstLine="720"/>
        <w:rPr>
          <w:b/>
        </w:rPr>
      </w:pPr>
    </w:p>
    <w:p w14:paraId="210575CE" w14:textId="72FD5522" w:rsidR="00F6325E" w:rsidRPr="000E0793" w:rsidRDefault="00833988" w:rsidP="00F435AD">
      <w:pPr>
        <w:pStyle w:val="FindingsConclusions"/>
        <w:spacing w:line="320" w:lineRule="exact"/>
        <w:ind w:left="700" w:hanging="1510"/>
      </w:pPr>
      <w:r w:rsidRPr="000E0793">
        <w:t>(</w:t>
      </w:r>
      <w:r w:rsidR="009C2DF7" w:rsidRPr="000E0793">
        <w:t>1)</w:t>
      </w:r>
      <w:r w:rsidR="009C2DF7" w:rsidRPr="000E0793">
        <w:tab/>
      </w:r>
      <w:r w:rsidR="0078385C">
        <w:t>Pacific Power &amp; Light</w:t>
      </w:r>
      <w:r w:rsidR="00BC418A">
        <w:t xml:space="preserve"> Company</w:t>
      </w:r>
      <w:r w:rsidR="004822EE" w:rsidRPr="000E0793">
        <w:t>’s petition</w:t>
      </w:r>
      <w:r w:rsidR="009C2DF7" w:rsidRPr="000E0793">
        <w:t xml:space="preserve"> for </w:t>
      </w:r>
      <w:r w:rsidR="00BC418A">
        <w:t xml:space="preserve">authorization to exchange certain transmission assets with Idaho Power Company </w:t>
      </w:r>
      <w:r w:rsidR="007662CB" w:rsidRPr="000E0793">
        <w:t>is</w:t>
      </w:r>
      <w:r w:rsidR="009C2DF7" w:rsidRPr="000E0793">
        <w:t xml:space="preserve"> granted</w:t>
      </w:r>
      <w:r w:rsidR="00BC418A">
        <w:t>, subject to the following conditions: 1) Pacific Power &amp; Light Company must notify the Commission of any material changes to the proposed transaction within 10 business days</w:t>
      </w:r>
      <w:r w:rsidR="002C385C">
        <w:t xml:space="preserve"> of any material change</w:t>
      </w:r>
      <w:r w:rsidR="00BC418A">
        <w:t xml:space="preserve">; and 2) Pacific Power &amp; Light Company must </w:t>
      </w:r>
      <w:r w:rsidR="002C385C">
        <w:t>file with the Commission the final journal entry recording the transaction within 60 days of the transaction’s closure</w:t>
      </w:r>
      <w:r w:rsidR="00BC418A">
        <w:t xml:space="preserve">. </w:t>
      </w:r>
      <w:r w:rsidR="009C2DF7" w:rsidRPr="000E0793">
        <w:t xml:space="preserve"> </w:t>
      </w:r>
    </w:p>
    <w:p w14:paraId="210575CF" w14:textId="77777777" w:rsidR="00F6325E" w:rsidRPr="000E0793" w:rsidRDefault="00F6325E" w:rsidP="0061500C">
      <w:pPr>
        <w:pStyle w:val="FindingsConclusions"/>
        <w:numPr>
          <w:ilvl w:val="0"/>
          <w:numId w:val="0"/>
        </w:numPr>
        <w:spacing w:line="320" w:lineRule="exact"/>
        <w:ind w:left="-720"/>
      </w:pPr>
    </w:p>
    <w:p w14:paraId="210575D2" w14:textId="007680D8" w:rsidR="00F6325E" w:rsidRPr="000E0793" w:rsidRDefault="00833988" w:rsidP="00F435AD">
      <w:pPr>
        <w:pStyle w:val="FindingsConclusions"/>
        <w:spacing w:line="320" w:lineRule="exact"/>
        <w:ind w:left="700" w:hanging="1510"/>
      </w:pPr>
      <w:r w:rsidRPr="000E0793">
        <w:t>(</w:t>
      </w:r>
      <w:r w:rsidR="009C2DF7" w:rsidRPr="000E0793">
        <w:t>2)</w:t>
      </w:r>
      <w:r w:rsidR="009C2DF7" w:rsidRPr="000E0793">
        <w:tab/>
        <w:t>The Commission retains jurisdict</w:t>
      </w:r>
      <w:r w:rsidR="0078385C">
        <w:t>ion over the subject matter and Pacific Power &amp; Light</w:t>
      </w:r>
      <w:r w:rsidR="0078385C" w:rsidRPr="000E0793">
        <w:t xml:space="preserve"> </w:t>
      </w:r>
      <w:r w:rsidR="009C2DF7" w:rsidRPr="000E0793">
        <w:t xml:space="preserve">to effectuate the </w:t>
      </w:r>
      <w:r w:rsidR="004822EE" w:rsidRPr="000E0793">
        <w:t>terms</w:t>
      </w:r>
      <w:r w:rsidR="009C2DF7" w:rsidRPr="000E0793">
        <w:t xml:space="preserve"> of this Order.</w:t>
      </w:r>
    </w:p>
    <w:p w14:paraId="58D1523B" w14:textId="77777777" w:rsidR="002C385C" w:rsidRDefault="002C385C" w:rsidP="00E7765C">
      <w:pPr>
        <w:spacing w:line="320" w:lineRule="exact"/>
      </w:pPr>
    </w:p>
    <w:p w14:paraId="210575D4" w14:textId="2DD92BE7" w:rsidR="00F6325E" w:rsidRPr="000E0793" w:rsidRDefault="009C2DF7" w:rsidP="00E7765C">
      <w:pPr>
        <w:spacing w:line="320" w:lineRule="exact"/>
      </w:pPr>
      <w:r w:rsidRPr="000E0793">
        <w:lastRenderedPageBreak/>
        <w:t xml:space="preserve">DATED at Olympia, Washington, and effective </w:t>
      </w:r>
      <w:r w:rsidR="0078385C">
        <w:rPr>
          <w:bCs/>
        </w:rPr>
        <w:t>September 24</w:t>
      </w:r>
      <w:r w:rsidRPr="000E0793">
        <w:rPr>
          <w:bCs/>
        </w:rPr>
        <w:t>, 2015</w:t>
      </w:r>
      <w:r w:rsidRPr="000E0793">
        <w:t>.</w:t>
      </w:r>
    </w:p>
    <w:p w14:paraId="210575D5" w14:textId="77777777" w:rsidR="00F6325E" w:rsidRPr="000E0793" w:rsidRDefault="00F6325E" w:rsidP="00E7765C">
      <w:pPr>
        <w:pStyle w:val="Header"/>
        <w:tabs>
          <w:tab w:val="clear" w:pos="8300"/>
        </w:tabs>
        <w:spacing w:line="320" w:lineRule="exact"/>
      </w:pPr>
    </w:p>
    <w:p w14:paraId="68CDA24B" w14:textId="501C7F33" w:rsidR="002B4880" w:rsidRPr="007672BD" w:rsidRDefault="009C2DF7" w:rsidP="007672BD">
      <w:pPr>
        <w:spacing w:line="320" w:lineRule="exact"/>
        <w:jc w:val="center"/>
      </w:pPr>
      <w:r w:rsidRPr="000E0793">
        <w:t>WASHINGTON UTILITIES AND TRANSPORTATION COMMISSION</w:t>
      </w:r>
    </w:p>
    <w:p w14:paraId="33D7FFB2" w14:textId="77777777" w:rsidR="002B4880" w:rsidRPr="00CD3D54" w:rsidRDefault="002B4880" w:rsidP="002B4880">
      <w:pPr>
        <w:spacing w:before="120" w:after="240" w:line="288" w:lineRule="auto"/>
        <w:rPr>
          <w:rFonts w:eastAsia="Calibri"/>
        </w:rPr>
      </w:pPr>
    </w:p>
    <w:p w14:paraId="30A7E96D" w14:textId="77777777" w:rsidR="00AC691A" w:rsidRDefault="00AC691A" w:rsidP="00AC691A">
      <w:pPr>
        <w:spacing w:line="288" w:lineRule="auto"/>
        <w:ind w:left="2880" w:firstLine="720"/>
        <w:rPr>
          <w:rFonts w:eastAsia="Calibri"/>
        </w:rPr>
      </w:pPr>
    </w:p>
    <w:p w14:paraId="5449F5A7" w14:textId="77777777" w:rsidR="00AC691A" w:rsidRPr="00CD3D54" w:rsidRDefault="00AC691A" w:rsidP="00AC691A">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PHILIP B. JONES, Commissioner</w:t>
      </w:r>
    </w:p>
    <w:p w14:paraId="3461E3D5" w14:textId="77777777" w:rsidR="00AC691A" w:rsidRPr="00CD3D54" w:rsidRDefault="00AC691A" w:rsidP="00AC691A">
      <w:pPr>
        <w:spacing w:before="120" w:after="240" w:line="288" w:lineRule="auto"/>
        <w:rPr>
          <w:rFonts w:eastAsia="Calibri"/>
        </w:rPr>
      </w:pPr>
    </w:p>
    <w:p w14:paraId="2A6E25E4" w14:textId="77777777" w:rsidR="00AC691A" w:rsidRPr="00CD3D54" w:rsidRDefault="00AC691A" w:rsidP="00AC691A">
      <w:pPr>
        <w:spacing w:before="120" w:after="240" w:line="288" w:lineRule="auto"/>
        <w:rPr>
          <w:rFonts w:eastAsia="Calibri"/>
        </w:rPr>
      </w:pPr>
    </w:p>
    <w:p w14:paraId="5EB0688E" w14:textId="77777777" w:rsidR="00AC691A" w:rsidRPr="00CD3D54" w:rsidRDefault="00AC691A" w:rsidP="00AC691A">
      <w:pPr>
        <w:spacing w:before="120" w:after="240"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r>
      <w:r>
        <w:rPr>
          <w:rFonts w:eastAsia="Calibri"/>
        </w:rPr>
        <w:t>ANN E. RENDAHL</w:t>
      </w:r>
      <w:r w:rsidRPr="00CD3D54">
        <w:rPr>
          <w:rFonts w:eastAsia="Calibri"/>
        </w:rPr>
        <w:t>, Commissioner</w:t>
      </w:r>
    </w:p>
    <w:p w14:paraId="210575E3" w14:textId="624E16CD" w:rsidR="00F6325E" w:rsidRPr="000E0793" w:rsidRDefault="00F6325E" w:rsidP="002B4880">
      <w:pPr>
        <w:spacing w:line="320" w:lineRule="exact"/>
      </w:pPr>
    </w:p>
    <w:p w14:paraId="210575E4" w14:textId="77777777" w:rsidR="00F6325E" w:rsidRPr="000E0793" w:rsidRDefault="00F6325E">
      <w:pPr>
        <w:spacing w:line="320" w:lineRule="exact"/>
        <w:ind w:left="2880"/>
      </w:pPr>
    </w:p>
    <w:p w14:paraId="21057602" w14:textId="3532463F" w:rsidR="00F6325E" w:rsidRPr="000E0793" w:rsidRDefault="0037043C" w:rsidP="0037043C">
      <w:pPr>
        <w:spacing w:line="320" w:lineRule="exact"/>
        <w:jc w:val="center"/>
      </w:pPr>
      <w:r w:rsidRPr="000E0793">
        <w:t xml:space="preserve"> </w:t>
      </w:r>
    </w:p>
    <w:p w14:paraId="21057603" w14:textId="77777777" w:rsidR="00F6325E" w:rsidRPr="000E0793" w:rsidRDefault="00F6325E">
      <w:pPr>
        <w:spacing w:line="320" w:lineRule="exact"/>
      </w:pPr>
    </w:p>
    <w:sectPr w:rsidR="00F6325E" w:rsidRPr="000E0793" w:rsidSect="00F435AD">
      <w:headerReference w:type="default" r:id="rId11"/>
      <w:type w:val="continuous"/>
      <w:pgSz w:w="12240" w:h="15840" w:code="1"/>
      <w:pgMar w:top="1530" w:right="135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1BE69" w14:textId="77777777" w:rsidR="000D5D2F" w:rsidRDefault="000D5D2F">
      <w:r>
        <w:separator/>
      </w:r>
    </w:p>
  </w:endnote>
  <w:endnote w:type="continuationSeparator" w:id="0">
    <w:p w14:paraId="1B5DA10C" w14:textId="77777777" w:rsidR="000D5D2F" w:rsidRDefault="000D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20923" w14:textId="77777777" w:rsidR="000D5D2F" w:rsidRDefault="000D5D2F">
      <w:r>
        <w:separator/>
      </w:r>
    </w:p>
  </w:footnote>
  <w:footnote w:type="continuationSeparator" w:id="0">
    <w:p w14:paraId="1D9EB483" w14:textId="77777777" w:rsidR="000D5D2F" w:rsidRDefault="000D5D2F">
      <w:r>
        <w:continuationSeparator/>
      </w:r>
    </w:p>
  </w:footnote>
  <w:footnote w:id="1">
    <w:p w14:paraId="4868095D" w14:textId="12A1553A" w:rsidR="00E577E2" w:rsidRPr="00E577E2" w:rsidRDefault="00E577E2">
      <w:pPr>
        <w:pStyle w:val="FootnoteText"/>
        <w:rPr>
          <w:rFonts w:ascii="Times New Roman" w:hAnsi="Times New Roman"/>
          <w:sz w:val="22"/>
          <w:szCs w:val="22"/>
        </w:rPr>
      </w:pPr>
      <w:r w:rsidRPr="00E577E2">
        <w:rPr>
          <w:rStyle w:val="FootnoteReference"/>
          <w:rFonts w:ascii="Times New Roman" w:hAnsi="Times New Roman"/>
          <w:sz w:val="22"/>
          <w:szCs w:val="22"/>
        </w:rPr>
        <w:footnoteRef/>
      </w:r>
      <w:r w:rsidRPr="00E577E2">
        <w:rPr>
          <w:rFonts w:ascii="Times New Roman" w:hAnsi="Times New Roman"/>
          <w:sz w:val="22"/>
          <w:szCs w:val="22"/>
        </w:rPr>
        <w:t xml:space="preserve"> Washington is the last jurisdiction to act on this </w:t>
      </w:r>
      <w:r>
        <w:rPr>
          <w:rFonts w:ascii="Times New Roman" w:hAnsi="Times New Roman"/>
          <w:sz w:val="22"/>
          <w:szCs w:val="22"/>
        </w:rPr>
        <w:t>P</w:t>
      </w:r>
      <w:r w:rsidRPr="00E577E2">
        <w:rPr>
          <w:rFonts w:ascii="Times New Roman" w:hAnsi="Times New Roman"/>
          <w:sz w:val="22"/>
          <w:szCs w:val="22"/>
        </w:rPr>
        <w:t xml:space="preserve">etition; it has been approved by FERC and the regulatory commissions of four other states. Attachment A to Commission Staff’s memo summarizes each entity’s decision and the conditions of approval that </w:t>
      </w:r>
      <w:r>
        <w:rPr>
          <w:rFonts w:ascii="Times New Roman" w:hAnsi="Times New Roman"/>
          <w:sz w:val="22"/>
          <w:szCs w:val="22"/>
        </w:rPr>
        <w:t>each</w:t>
      </w:r>
      <w:r w:rsidRPr="00E577E2">
        <w:rPr>
          <w:rFonts w:ascii="Times New Roman" w:hAnsi="Times New Roman"/>
          <w:sz w:val="22"/>
          <w:szCs w:val="22"/>
        </w:rPr>
        <w:t xml:space="preserve"> imposed.</w:t>
      </w:r>
      <w:r>
        <w:rPr>
          <w:rFonts w:ascii="Times New Roman" w:hAnsi="Times New Roman"/>
          <w:sz w:val="22"/>
          <w:szCs w:val="22"/>
        </w:rPr>
        <w:br/>
      </w:r>
    </w:p>
  </w:footnote>
  <w:footnote w:id="2">
    <w:p w14:paraId="20DB3EBC" w14:textId="2821F503" w:rsidR="00981047" w:rsidRPr="00981047" w:rsidRDefault="00981047">
      <w:pPr>
        <w:pStyle w:val="FootnoteText"/>
        <w:rPr>
          <w:sz w:val="22"/>
          <w:szCs w:val="22"/>
        </w:rPr>
      </w:pPr>
      <w:r w:rsidRPr="00E577E2">
        <w:rPr>
          <w:rStyle w:val="FootnoteReference"/>
          <w:rFonts w:ascii="Times New Roman" w:hAnsi="Times New Roman"/>
          <w:sz w:val="22"/>
          <w:szCs w:val="22"/>
        </w:rPr>
        <w:footnoteRef/>
      </w:r>
      <w:r w:rsidRPr="00E577E2">
        <w:rPr>
          <w:rFonts w:ascii="Times New Roman" w:hAnsi="Times New Roman"/>
          <w:sz w:val="22"/>
          <w:szCs w:val="22"/>
        </w:rPr>
        <w:t xml:space="preserve"> Docket UE-991255, Second Supplemental Order (March 6, 2000) ¶ 29.</w:t>
      </w:r>
    </w:p>
  </w:footnote>
  <w:footnote w:id="3">
    <w:p w14:paraId="24A11A3B" w14:textId="77777777" w:rsidR="00A1568F" w:rsidRPr="00F50B85" w:rsidRDefault="00A1568F" w:rsidP="00A1568F">
      <w:pPr>
        <w:pStyle w:val="FootnoteText"/>
        <w:rPr>
          <w:rFonts w:ascii="Times New Roman" w:hAnsi="Times New Roman"/>
          <w:sz w:val="22"/>
          <w:szCs w:val="22"/>
        </w:rPr>
      </w:pPr>
      <w:r w:rsidRPr="00F50B85">
        <w:rPr>
          <w:rStyle w:val="FootnoteReference"/>
          <w:rFonts w:ascii="Times New Roman" w:hAnsi="Times New Roman"/>
          <w:sz w:val="22"/>
          <w:szCs w:val="22"/>
        </w:rPr>
        <w:footnoteRef/>
      </w:r>
      <w:r w:rsidRPr="00F50B85">
        <w:rPr>
          <w:rFonts w:ascii="Times New Roman" w:hAnsi="Times New Roman"/>
          <w:sz w:val="22"/>
          <w:szCs w:val="22"/>
        </w:rPr>
        <w:t xml:space="preserve"> Pacific Power response to WUTC Data Request 8. The company projected that the transaction could reduce Washington-allocated assets by $175,000 and increase power costs by $750,000. The increase in power costs is the result of moving to OATT-based rates for wheeling on Idaho Power’s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760F" w14:textId="3821DC83" w:rsidR="00F6325E" w:rsidRDefault="009C2DF7">
    <w:pPr>
      <w:pStyle w:val="Header"/>
      <w:tabs>
        <w:tab w:val="left" w:pos="7000"/>
      </w:tabs>
      <w:rPr>
        <w:rStyle w:val="PageNumber"/>
        <w:b/>
        <w:sz w:val="20"/>
      </w:rPr>
    </w:pPr>
    <w:r>
      <w:rPr>
        <w:b/>
        <w:sz w:val="20"/>
      </w:rPr>
      <w:t>DOCKET</w:t>
    </w:r>
    <w:r w:rsidR="005D40B5">
      <w:rPr>
        <w:b/>
        <w:sz w:val="20"/>
        <w:lang w:val="en-US"/>
      </w:rPr>
      <w:t xml:space="preserve"> UE-144136</w:t>
    </w:r>
    <w:r>
      <w:rPr>
        <w:b/>
        <w:sz w:val="20"/>
      </w:rPr>
      <w:tab/>
    </w:r>
    <w:r>
      <w:rPr>
        <w:b/>
        <w:sz w:val="20"/>
      </w:rPr>
      <w:tab/>
      <w:t xml:space="preserve">                 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230ECD">
      <w:rPr>
        <w:rStyle w:val="PageNumber"/>
        <w:b/>
        <w:noProof/>
        <w:sz w:val="20"/>
      </w:rPr>
      <w:t>4</w:t>
    </w:r>
    <w:r>
      <w:rPr>
        <w:rStyle w:val="PageNumber"/>
        <w:b/>
        <w:sz w:val="20"/>
      </w:rPr>
      <w:fldChar w:fldCharType="end"/>
    </w:r>
  </w:p>
  <w:p w14:paraId="21057610" w14:textId="60638C1C" w:rsidR="00F6325E" w:rsidRDefault="009C2DF7">
    <w:pPr>
      <w:pStyle w:val="Header"/>
      <w:tabs>
        <w:tab w:val="left" w:pos="7000"/>
      </w:tabs>
      <w:rPr>
        <w:rStyle w:val="PageNumber"/>
        <w:sz w:val="20"/>
      </w:rPr>
    </w:pPr>
    <w:r>
      <w:rPr>
        <w:rStyle w:val="PageNumber"/>
        <w:b/>
        <w:sz w:val="20"/>
      </w:rPr>
      <w:t xml:space="preserve">ORDER </w:t>
    </w:r>
    <w:r>
      <w:rPr>
        <w:rStyle w:val="PageNumber"/>
        <w:b/>
        <w:sz w:val="20"/>
      </w:rPr>
      <w:fldChar w:fldCharType="begin"/>
    </w:r>
    <w:r>
      <w:rPr>
        <w:rStyle w:val="PageNumber"/>
        <w:b/>
        <w:sz w:val="20"/>
      </w:rPr>
      <w:instrText xml:space="preserve"> REF order_no  \* MERGEFORMAT </w:instrText>
    </w:r>
    <w:r>
      <w:rPr>
        <w:rStyle w:val="PageNumber"/>
        <w:b/>
        <w:sz w:val="20"/>
      </w:rPr>
      <w:fldChar w:fldCharType="separate"/>
    </w:r>
    <w:r w:rsidR="00505742" w:rsidRPr="00505742">
      <w:rPr>
        <w:b/>
        <w:sz w:val="20"/>
      </w:rPr>
      <w:t>01</w:t>
    </w:r>
    <w:r>
      <w:rPr>
        <w:rStyle w:val="PageNumber"/>
        <w:b/>
        <w:sz w:val="20"/>
      </w:rPr>
      <w:fldChar w:fldCharType="end"/>
    </w:r>
  </w:p>
  <w:p w14:paraId="21057611" w14:textId="77777777" w:rsidR="00F6325E" w:rsidRDefault="00F6325E">
    <w:pPr>
      <w:pStyle w:val="Header"/>
      <w:tabs>
        <w:tab w:val="left" w:pos="7100"/>
      </w:tabs>
      <w:rPr>
        <w:rStyle w:val="PageNumber"/>
        <w:b/>
        <w:sz w:val="20"/>
      </w:rPr>
    </w:pPr>
  </w:p>
  <w:p w14:paraId="21057612" w14:textId="77777777" w:rsidR="00F6325E" w:rsidRDefault="00F6325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5AD875A8"/>
    <w:lvl w:ilvl="0">
      <w:start w:val="1"/>
      <w:numFmt w:val="decimal"/>
      <w:pStyle w:val="FindingsConclusions"/>
      <w:lvlText w:val="%1"/>
      <w:lvlJc w:val="left"/>
      <w:pPr>
        <w:tabs>
          <w:tab w:val="num" w:pos="0"/>
        </w:tabs>
        <w:ind w:left="0" w:hanging="720"/>
      </w:pPr>
      <w:rPr>
        <w:rFonts w:ascii="Palatino Linotype" w:hAnsi="Palatino Linotype"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DC94A70"/>
    <w:multiLevelType w:val="hybridMultilevel"/>
    <w:tmpl w:val="BDA2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8067BB"/>
    <w:multiLevelType w:val="hybridMultilevel"/>
    <w:tmpl w:val="A10E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7"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8A44F2"/>
    <w:multiLevelType w:val="hybridMultilevel"/>
    <w:tmpl w:val="33EEA3EC"/>
    <w:lvl w:ilvl="0" w:tplc="9A82EB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DA50BB"/>
    <w:multiLevelType w:val="hybridMultilevel"/>
    <w:tmpl w:val="95CC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21"/>
  </w:num>
  <w:num w:numId="5">
    <w:abstractNumId w:val="2"/>
  </w:num>
  <w:num w:numId="6">
    <w:abstractNumId w:val="15"/>
  </w:num>
  <w:num w:numId="7">
    <w:abstractNumId w:val="5"/>
  </w:num>
  <w:num w:numId="8">
    <w:abstractNumId w:val="20"/>
  </w:num>
  <w:num w:numId="9">
    <w:abstractNumId w:val="9"/>
  </w:num>
  <w:num w:numId="10">
    <w:abstractNumId w:val="3"/>
  </w:num>
  <w:num w:numId="11">
    <w:abstractNumId w:val="13"/>
  </w:num>
  <w:num w:numId="12">
    <w:abstractNumId w:val="3"/>
  </w:num>
  <w:num w:numId="13">
    <w:abstractNumId w:val="17"/>
  </w:num>
  <w:num w:numId="14">
    <w:abstractNumId w:val="22"/>
  </w:num>
  <w:num w:numId="15">
    <w:abstractNumId w:val="4"/>
  </w:num>
  <w:num w:numId="16">
    <w:abstractNumId w:val="10"/>
  </w:num>
  <w:num w:numId="17">
    <w:abstractNumId w:val="1"/>
  </w:num>
  <w:num w:numId="18">
    <w:abstractNumId w:val="8"/>
  </w:num>
  <w:num w:numId="19">
    <w:abstractNumId w:val="7"/>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6"/>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4"/>
  </w:num>
  <w:num w:numId="45">
    <w:abstractNumId w:val="18"/>
  </w:num>
  <w:num w:numId="46">
    <w:abstractNumId w:val="1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E"/>
    <w:rsid w:val="000C4370"/>
    <w:rsid w:val="000D5D2F"/>
    <w:rsid w:val="000E0793"/>
    <w:rsid w:val="00230ECD"/>
    <w:rsid w:val="00244CA2"/>
    <w:rsid w:val="002B4880"/>
    <w:rsid w:val="002C385C"/>
    <w:rsid w:val="002F55D1"/>
    <w:rsid w:val="00337C96"/>
    <w:rsid w:val="0037043C"/>
    <w:rsid w:val="00376B8D"/>
    <w:rsid w:val="003A674C"/>
    <w:rsid w:val="004822EE"/>
    <w:rsid w:val="004E32C2"/>
    <w:rsid w:val="00505742"/>
    <w:rsid w:val="005A2E4E"/>
    <w:rsid w:val="005D40B5"/>
    <w:rsid w:val="0061500C"/>
    <w:rsid w:val="007166FA"/>
    <w:rsid w:val="007662CB"/>
    <w:rsid w:val="007672BD"/>
    <w:rsid w:val="0078385C"/>
    <w:rsid w:val="007E6AF6"/>
    <w:rsid w:val="00833988"/>
    <w:rsid w:val="008B5DCF"/>
    <w:rsid w:val="00981047"/>
    <w:rsid w:val="009974E9"/>
    <w:rsid w:val="009C2DF7"/>
    <w:rsid w:val="009E229A"/>
    <w:rsid w:val="00A1568F"/>
    <w:rsid w:val="00A1790A"/>
    <w:rsid w:val="00A61719"/>
    <w:rsid w:val="00A70BFC"/>
    <w:rsid w:val="00A821DA"/>
    <w:rsid w:val="00AB67F3"/>
    <w:rsid w:val="00AC691A"/>
    <w:rsid w:val="00BC418A"/>
    <w:rsid w:val="00C06A89"/>
    <w:rsid w:val="00C25E25"/>
    <w:rsid w:val="00C6517B"/>
    <w:rsid w:val="00DA212D"/>
    <w:rsid w:val="00DD7EEF"/>
    <w:rsid w:val="00DE1093"/>
    <w:rsid w:val="00E577E2"/>
    <w:rsid w:val="00E7765C"/>
    <w:rsid w:val="00ED2935"/>
    <w:rsid w:val="00F435AD"/>
    <w:rsid w:val="00F50B85"/>
    <w:rsid w:val="00F6325E"/>
    <w:rsid w:val="00F71BD5"/>
    <w:rsid w:val="00F73CC3"/>
    <w:rsid w:val="00F96019"/>
    <w:rsid w:val="00FB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057588"/>
  <w15:chartTrackingRefBased/>
  <w15:docId w15:val="{6BB695BC-5C3B-4D86-9226-44DA3DD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0">
    <w:name w:val="Numbered Paragraph"/>
    <w:basedOn w:val="Normal"/>
    <w:pPr>
      <w:spacing w:after="240"/>
    </w:pPr>
  </w:style>
  <w:style w:type="paragraph" w:customStyle="1" w:styleId="SectionHeading">
    <w:name w:val="Section Heading"/>
    <w:next w:val="NumberedParagraph0"/>
    <w:pPr>
      <w:keepNext/>
      <w:spacing w:after="240"/>
      <w:jc w:val="center"/>
    </w:pPr>
    <w:rPr>
      <w:b/>
      <w:bCs/>
      <w:sz w:val="24"/>
    </w:rPr>
  </w:style>
  <w:style w:type="paragraph" w:customStyle="1" w:styleId="SectionHeadingI">
    <w:name w:val="Section Heading I"/>
    <w:basedOn w:val="SectionHeading"/>
    <w:next w:val="NumberedParagraph0"/>
    <w:pPr>
      <w:numPr>
        <w:numId w:val="15"/>
      </w:numPr>
    </w:pPr>
  </w:style>
  <w:style w:type="paragraph" w:customStyle="1" w:styleId="SubsectionHeading">
    <w:name w:val="Subsection Heading"/>
    <w:basedOn w:val="SectionHeading"/>
    <w:next w:val="NumberedParagraph0"/>
    <w:pPr>
      <w:jc w:val="left"/>
    </w:pPr>
  </w:style>
  <w:style w:type="paragraph" w:customStyle="1" w:styleId="SubsectionHeadingA">
    <w:name w:val="Subsection Heading A"/>
    <w:basedOn w:val="SubsectionHeading"/>
    <w:next w:val="NumberedParagraph0"/>
    <w:pPr>
      <w:numPr>
        <w:numId w:val="17"/>
      </w:numPr>
    </w:pPr>
  </w:style>
  <w:style w:type="paragraph" w:customStyle="1" w:styleId="SubsubSectHeading">
    <w:name w:val="SubsubSect Heading"/>
    <w:basedOn w:val="SubsectionHeading"/>
    <w:next w:val="NumberedParagraph0"/>
    <w:pPr>
      <w:ind w:left="720"/>
    </w:pPr>
  </w:style>
  <w:style w:type="paragraph" w:customStyle="1" w:styleId="SubsubsectHeading1">
    <w:name w:val="Subsubsect Heading 1"/>
    <w:basedOn w:val="SubsubSectHeading"/>
    <w:pPr>
      <w:numPr>
        <w:numId w:val="18"/>
      </w:numPr>
    </w:pPr>
  </w:style>
  <w:style w:type="paragraph" w:customStyle="1" w:styleId="numberedparagraph">
    <w:name w:val="numberedparagraph"/>
    <w:basedOn w:val="Normal"/>
    <w:pPr>
      <w:numPr>
        <w:numId w:val="2"/>
      </w:numPr>
      <w:spacing w:after="240"/>
    </w:pPr>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FindingsConclusions">
    <w:name w:val="Findings &amp; Conclusions"/>
    <w:basedOn w:val="Normal"/>
    <w:pPr>
      <w:numPr>
        <w:numId w:val="1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link w:val="Header"/>
    <w:rPr>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rsid w:val="00244CA2"/>
    <w:rPr>
      <w:rFonts w:ascii="Palatino Linotype" w:hAnsi="Palatino Linotype"/>
      <w:sz w:val="20"/>
      <w:szCs w:val="20"/>
    </w:rPr>
  </w:style>
  <w:style w:type="character" w:customStyle="1" w:styleId="FootnoteTextChar">
    <w:name w:val="Footnote Text Char"/>
    <w:basedOn w:val="DefaultParagraphFont"/>
    <w:link w:val="FootnoteText"/>
    <w:uiPriority w:val="99"/>
    <w:rsid w:val="00244CA2"/>
    <w:rPr>
      <w:rFonts w:ascii="Palatino Linotype" w:hAnsi="Palatino Linotype"/>
    </w:rPr>
  </w:style>
  <w:style w:type="character" w:styleId="FootnoteReference">
    <w:name w:val="footnote reference"/>
    <w:basedOn w:val="DefaultParagraphFont"/>
    <w:uiPriority w:val="99"/>
    <w:unhideWhenUsed/>
    <w:rsid w:val="00244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 w:id="20096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ukke\Desktop\PG%20150425%20CNG%20Proximity%20ID%206320\(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2014-12-19T08:00:00+00:00</OpenedDate>
    <Date1 xmlns="dc463f71-b30c-4ab2-9473-d307f9d35888">2015-09-24T07:00:00+00:00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144136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A188FF635E448BB43AE8437DC1D73" ma:contentTypeVersion="175" ma:contentTypeDescription="" ma:contentTypeScope="" ma:versionID="630037fac3aa665da6deadcd56c47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046099-6D58-465E-8950-D030165A45E0}"/>
</file>

<file path=customXml/itemProps2.xml><?xml version="1.0" encoding="utf-8"?>
<ds:datastoreItem xmlns:ds="http://schemas.openxmlformats.org/officeDocument/2006/customXml" ds:itemID="{072838A2-6736-4A77-9B9D-4D3E27B4CC42}"/>
</file>

<file path=customXml/itemProps3.xml><?xml version="1.0" encoding="utf-8"?>
<ds:datastoreItem xmlns:ds="http://schemas.openxmlformats.org/officeDocument/2006/customXml" ds:itemID="{8C27AE36-CF6A-4797-B087-28DBEA69210F}"/>
</file>

<file path=customXml/itemProps4.xml><?xml version="1.0" encoding="utf-8"?>
<ds:datastoreItem xmlns:ds="http://schemas.openxmlformats.org/officeDocument/2006/customXml" ds:itemID="{4CE04258-12C5-473B-A751-91C60E35ACA1}"/>
</file>

<file path=customXml/itemProps5.xml><?xml version="1.0" encoding="utf-8"?>
<ds:datastoreItem xmlns:ds="http://schemas.openxmlformats.org/officeDocument/2006/customXml" ds:itemID="{AA54EFD8-94BA-4C0B-9611-239A8D936870}"/>
</file>

<file path=docProps/app.xml><?xml version="1.0" encoding="utf-8"?>
<Properties xmlns="http://schemas.openxmlformats.org/officeDocument/2006/extended-properties" xmlns:vt="http://schemas.openxmlformats.org/officeDocument/2006/docPropsVTypes">
  <Template>(Pipeline) Gas MAOP above 250 or 500 psig</Template>
  <TotalTime>0</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8999</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Rukke</dc:creator>
  <cp:keywords/>
  <cp:lastModifiedBy>Kern, Cathy (UTC)</cp:lastModifiedBy>
  <cp:revision>2</cp:revision>
  <cp:lastPrinted>2007-11-01T15:17:00Z</cp:lastPrinted>
  <dcterms:created xsi:type="dcterms:W3CDTF">2015-09-24T17:17:00Z</dcterms:created>
  <dcterms:modified xsi:type="dcterms:W3CDTF">2015-09-24T17:17:00Z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0x0101006E56B4D1795A2E4DB2F0B01679ED314A003C8A188FF635E448BB43AE8437DC1D73</vt:lpwstr>
  </property>
  <property fmtid="{D5CDD505-2E9C-101B-9397-08002B2CF9AE}" pid="3" name="_docset_NoMedatataSyncRequired">
    <vt:lpwstr>False</vt:lpwstr>
  </property>
</Properties>
</file>