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1F7" w:rsidRPr="0005562C" w:rsidRDefault="00F301F7" w:rsidP="0005562C">
      <w:pPr>
        <w:ind w:left="720" w:hanging="720"/>
        <w:jc w:val="both"/>
        <w:rPr>
          <w:rFonts w:ascii="Arial" w:hAnsi="Arial" w:cs="Arial"/>
          <w:b/>
          <w:sz w:val="20"/>
        </w:rPr>
      </w:pPr>
      <w:r w:rsidRPr="0005562C">
        <w:rPr>
          <w:rFonts w:ascii="Arial" w:hAnsi="Arial" w:cs="Arial"/>
          <w:b/>
          <w:sz w:val="20"/>
        </w:rPr>
        <w:t>III.</w:t>
      </w:r>
      <w:r w:rsidRPr="0005562C">
        <w:rPr>
          <w:rFonts w:ascii="Arial" w:hAnsi="Arial" w:cs="Arial"/>
          <w:b/>
          <w:sz w:val="20"/>
        </w:rPr>
        <w:tab/>
      </w:r>
      <w:r w:rsidR="0005562C">
        <w:rPr>
          <w:rFonts w:ascii="Arial" w:hAnsi="Arial" w:cs="Arial"/>
          <w:b/>
          <w:sz w:val="20"/>
          <w:u w:val="single"/>
        </w:rPr>
        <w:t>NONRESIDENTIAL EXTENSIONS:</w:t>
      </w:r>
      <w:r w:rsidR="0005562C">
        <w:rPr>
          <w:rFonts w:ascii="Arial" w:hAnsi="Arial" w:cs="Arial"/>
          <w:sz w:val="20"/>
        </w:rPr>
        <w:t xml:space="preserve"> (continued)</w:t>
      </w:r>
      <w:r w:rsidR="00101084" w:rsidRPr="0005562C">
        <w:rPr>
          <w:rFonts w:ascii="Arial" w:hAnsi="Arial" w:cs="Arial"/>
          <w:b/>
          <w:sz w:val="20"/>
        </w:rPr>
        <w:t xml:space="preserve"> </w:t>
      </w:r>
    </w:p>
    <w:p w:rsidR="00CC3570" w:rsidRDefault="00CC3570" w:rsidP="0005562C">
      <w:pPr>
        <w:ind w:left="720" w:hanging="720"/>
        <w:jc w:val="both"/>
        <w:rPr>
          <w:rFonts w:ascii="Arial" w:hAnsi="Arial" w:cs="Arial"/>
          <w:sz w:val="20"/>
        </w:rPr>
      </w:pPr>
      <w:r w:rsidRPr="00CC3570">
        <w:rPr>
          <w:rFonts w:ascii="Arial" w:hAnsi="Arial" w:cs="Arial"/>
          <w:sz w:val="20"/>
        </w:rPr>
        <w:t>B.</w:t>
      </w:r>
      <w:r w:rsidRPr="00CC3570">
        <w:rPr>
          <w:rFonts w:ascii="Arial" w:hAnsi="Arial" w:cs="Arial"/>
          <w:b/>
          <w:sz w:val="20"/>
        </w:rPr>
        <w:tab/>
      </w:r>
      <w:r w:rsidR="0005562C">
        <w:rPr>
          <w:rFonts w:ascii="Arial" w:hAnsi="Arial" w:cs="Arial"/>
          <w:sz w:val="20"/>
          <w:u w:val="single"/>
        </w:rPr>
        <w:t>ADDITIONAL CUSTOMERS, ADVANCES AND REFUNDS:</w:t>
      </w:r>
      <w:r w:rsidR="00101084">
        <w:rPr>
          <w:rFonts w:ascii="Arial" w:hAnsi="Arial" w:cs="Arial"/>
          <w:sz w:val="20"/>
        </w:rPr>
        <w:t xml:space="preserve"> (continued)</w:t>
      </w:r>
    </w:p>
    <w:p w:rsidR="00101084" w:rsidRPr="008F0474" w:rsidRDefault="00101084" w:rsidP="00CC3570">
      <w:pPr>
        <w:ind w:left="1440" w:hanging="720"/>
        <w:jc w:val="both"/>
        <w:rPr>
          <w:rFonts w:ascii="Arial" w:hAnsi="Arial" w:cs="Arial"/>
          <w:sz w:val="20"/>
        </w:rPr>
      </w:pPr>
    </w:p>
    <w:p w:rsidR="00101084" w:rsidRPr="0005562C" w:rsidRDefault="00101084" w:rsidP="0005562C">
      <w:pPr>
        <w:ind w:left="1440" w:hanging="720"/>
        <w:jc w:val="both"/>
        <w:rPr>
          <w:rFonts w:ascii="Arial" w:hAnsi="Arial" w:cs="Arial"/>
          <w:sz w:val="20"/>
          <w:u w:val="single"/>
        </w:rPr>
      </w:pPr>
      <w:r w:rsidRPr="008F0474">
        <w:rPr>
          <w:rFonts w:ascii="Arial" w:hAnsi="Arial" w:cs="Arial"/>
          <w:sz w:val="20"/>
        </w:rPr>
        <w:t>3.</w:t>
      </w:r>
      <w:r w:rsidRPr="008F0474">
        <w:rPr>
          <w:rFonts w:ascii="Arial" w:hAnsi="Arial" w:cs="Arial"/>
          <w:b/>
          <w:sz w:val="20"/>
        </w:rPr>
        <w:tab/>
      </w:r>
      <w:r w:rsidR="0005562C">
        <w:rPr>
          <w:rFonts w:ascii="Arial" w:hAnsi="Arial" w:cs="Arial"/>
          <w:sz w:val="20"/>
          <w:u w:val="single"/>
        </w:rPr>
        <w:t>ADJUSTMENT OF CONTRACT MINIMUM BILLING:</w:t>
      </w:r>
    </w:p>
    <w:p w:rsidR="00101084" w:rsidRPr="008F0474" w:rsidRDefault="0005562C" w:rsidP="0005562C">
      <w:pPr>
        <w:ind w:left="1440"/>
        <w:jc w:val="both"/>
        <w:rPr>
          <w:rFonts w:ascii="Arial" w:hAnsi="Arial" w:cs="Arial"/>
          <w:sz w:val="20"/>
        </w:rPr>
      </w:pPr>
      <w:r>
        <w:rPr>
          <w:rFonts w:ascii="Arial" w:hAnsi="Arial" w:cs="Arial"/>
          <w:sz w:val="20"/>
        </w:rPr>
        <w:tab/>
      </w:r>
      <w:r w:rsidR="00101084" w:rsidRPr="008F0474">
        <w:rPr>
          <w:rFonts w:ascii="Arial" w:hAnsi="Arial" w:cs="Arial"/>
          <w:sz w:val="20"/>
        </w:rPr>
        <w:t>Additional Customers also must share the Facilities Charges of the existing Customers.  The Company will allocate the Facilities Charges in the same manner used for allocating the original advance.</w:t>
      </w:r>
    </w:p>
    <w:p w:rsidR="00101084" w:rsidRPr="008F0474" w:rsidRDefault="00101084" w:rsidP="00CC3570">
      <w:pPr>
        <w:ind w:left="1440" w:hanging="720"/>
        <w:jc w:val="both"/>
        <w:rPr>
          <w:rFonts w:ascii="Arial" w:hAnsi="Arial" w:cs="Arial"/>
          <w:sz w:val="20"/>
        </w:rPr>
      </w:pPr>
    </w:p>
    <w:p w:rsidR="008F0474" w:rsidRPr="0005562C" w:rsidRDefault="0005562C" w:rsidP="0005562C">
      <w:pPr>
        <w:numPr>
          <w:ilvl w:val="0"/>
          <w:numId w:val="7"/>
        </w:numPr>
        <w:tabs>
          <w:tab w:val="clear" w:pos="1440"/>
        </w:tabs>
        <w:ind w:left="720"/>
        <w:jc w:val="both"/>
        <w:rPr>
          <w:rFonts w:ascii="Arial" w:hAnsi="Arial" w:cs="Arial"/>
          <w:sz w:val="20"/>
          <w:u w:val="single"/>
        </w:rPr>
      </w:pPr>
      <w:r>
        <w:rPr>
          <w:rFonts w:ascii="Arial" w:hAnsi="Arial" w:cs="Arial"/>
          <w:sz w:val="20"/>
          <w:u w:val="single"/>
        </w:rPr>
        <w:t>UNDERGROUND EXTENSIONS:</w:t>
      </w:r>
    </w:p>
    <w:p w:rsidR="008F0474" w:rsidRDefault="004E740A" w:rsidP="0005562C">
      <w:pPr>
        <w:ind w:left="720"/>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9264" behindDoc="0" locked="0" layoutInCell="1" allowOverlap="1">
                <wp:simplePos x="0" y="0"/>
                <wp:positionH relativeFrom="column">
                  <wp:posOffset>6096000</wp:posOffset>
                </wp:positionH>
                <wp:positionV relativeFrom="paragraph">
                  <wp:posOffset>224790</wp:posOffset>
                </wp:positionV>
                <wp:extent cx="666750" cy="23241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66750" cy="2324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740A" w:rsidRDefault="004E740A">
                            <w:pPr>
                              <w:rPr>
                                <w:rFonts w:ascii="Arial" w:hAnsi="Arial" w:cs="Arial"/>
                                <w:sz w:val="20"/>
                              </w:rPr>
                            </w:pPr>
                          </w:p>
                          <w:p w:rsidR="004E740A" w:rsidRDefault="004E740A">
                            <w:pPr>
                              <w:rPr>
                                <w:rFonts w:ascii="Arial" w:hAnsi="Arial" w:cs="Arial"/>
                                <w:sz w:val="20"/>
                              </w:rPr>
                            </w:pPr>
                          </w:p>
                          <w:p w:rsidR="004E740A" w:rsidRDefault="004E740A">
                            <w:pPr>
                              <w:rPr>
                                <w:rFonts w:ascii="Arial" w:hAnsi="Arial" w:cs="Arial"/>
                                <w:sz w:val="20"/>
                              </w:rPr>
                            </w:pPr>
                          </w:p>
                          <w:p w:rsidR="004E740A" w:rsidRDefault="004E740A">
                            <w:pPr>
                              <w:rPr>
                                <w:rFonts w:ascii="Arial" w:hAnsi="Arial" w:cs="Arial"/>
                                <w:sz w:val="20"/>
                              </w:rPr>
                            </w:pPr>
                          </w:p>
                          <w:p w:rsidR="004E740A" w:rsidRDefault="004E740A">
                            <w:pPr>
                              <w:rPr>
                                <w:rFonts w:ascii="Arial" w:hAnsi="Arial" w:cs="Arial"/>
                                <w:sz w:val="20"/>
                              </w:rPr>
                            </w:pPr>
                          </w:p>
                          <w:p w:rsidR="004E740A" w:rsidRDefault="004E740A">
                            <w:pPr>
                              <w:rPr>
                                <w:rFonts w:ascii="Arial" w:hAnsi="Arial" w:cs="Arial"/>
                                <w:sz w:val="20"/>
                              </w:rPr>
                            </w:pPr>
                            <w:r>
                              <w:rPr>
                                <w:rFonts w:ascii="Arial" w:hAnsi="Arial" w:cs="Arial"/>
                                <w:sz w:val="20"/>
                              </w:rPr>
                              <w:t>(N)</w:t>
                            </w:r>
                          </w:p>
                          <w:p w:rsidR="004E740A" w:rsidRDefault="004E740A">
                            <w:pPr>
                              <w:rPr>
                                <w:rFonts w:ascii="Arial" w:hAnsi="Arial" w:cs="Arial"/>
                                <w:sz w:val="20"/>
                              </w:rPr>
                            </w:pPr>
                          </w:p>
                          <w:p w:rsidR="004E740A" w:rsidRDefault="004E740A">
                            <w:pPr>
                              <w:rPr>
                                <w:rFonts w:ascii="Arial" w:hAnsi="Arial" w:cs="Arial"/>
                                <w:sz w:val="20"/>
                              </w:rPr>
                            </w:pPr>
                          </w:p>
                          <w:p w:rsidR="004E740A" w:rsidRDefault="004E740A">
                            <w:pPr>
                              <w:rPr>
                                <w:rFonts w:ascii="Arial" w:hAnsi="Arial" w:cs="Arial"/>
                                <w:sz w:val="20"/>
                              </w:rPr>
                            </w:pPr>
                          </w:p>
                          <w:p w:rsidR="004E740A" w:rsidRPr="004E740A" w:rsidRDefault="004E740A">
                            <w:pPr>
                              <w:rPr>
                                <w:rFonts w:ascii="Arial" w:hAnsi="Arial" w:cs="Arial"/>
                                <w:sz w:val="20"/>
                              </w:rPr>
                            </w:pPr>
                            <w:r>
                              <w:rPr>
                                <w:rFonts w:ascii="Arial" w:hAnsi="Arial" w:cs="Arial"/>
                                <w:sz w:val="20"/>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80pt;margin-top:17.7pt;width:52.5pt;height:18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" filled="f" stroked="f" strokeweight=".5pt">
                <v:textbox>
                  <w:txbxContent>
                    <w:p w:rsidR="004E740A" w:rsidRDefault="004E740A">
                      <w:pPr>
                        <w:rPr>
                          <w:rFonts w:ascii="Arial" w:hAnsi="Arial" w:cs="Arial"/>
                          <w:sz w:val="20"/>
                        </w:rPr>
                      </w:pPr>
                    </w:p>
                    <w:p w:rsidR="004E740A" w:rsidRDefault="004E740A">
                      <w:pPr>
                        <w:rPr>
                          <w:rFonts w:ascii="Arial" w:hAnsi="Arial" w:cs="Arial"/>
                          <w:sz w:val="20"/>
                        </w:rPr>
                      </w:pPr>
                    </w:p>
                    <w:p w:rsidR="004E740A" w:rsidRDefault="004E740A">
                      <w:pPr>
                        <w:rPr>
                          <w:rFonts w:ascii="Arial" w:hAnsi="Arial" w:cs="Arial"/>
                          <w:sz w:val="20"/>
                        </w:rPr>
                      </w:pPr>
                    </w:p>
                    <w:p w:rsidR="004E740A" w:rsidRDefault="004E740A">
                      <w:pPr>
                        <w:rPr>
                          <w:rFonts w:ascii="Arial" w:hAnsi="Arial" w:cs="Arial"/>
                          <w:sz w:val="20"/>
                        </w:rPr>
                      </w:pPr>
                    </w:p>
                    <w:p w:rsidR="004E740A" w:rsidRDefault="004E740A">
                      <w:pPr>
                        <w:rPr>
                          <w:rFonts w:ascii="Arial" w:hAnsi="Arial" w:cs="Arial"/>
                          <w:sz w:val="20"/>
                        </w:rPr>
                      </w:pPr>
                    </w:p>
                    <w:p w:rsidR="004E740A" w:rsidRDefault="004E740A">
                      <w:pPr>
                        <w:rPr>
                          <w:rFonts w:ascii="Arial" w:hAnsi="Arial" w:cs="Arial"/>
                          <w:sz w:val="20"/>
                        </w:rPr>
                      </w:pPr>
                      <w:r>
                        <w:rPr>
                          <w:rFonts w:ascii="Arial" w:hAnsi="Arial" w:cs="Arial"/>
                          <w:sz w:val="20"/>
                        </w:rPr>
                        <w:t>(N)</w:t>
                      </w:r>
                    </w:p>
                    <w:p w:rsidR="004E740A" w:rsidRDefault="004E740A">
                      <w:pPr>
                        <w:rPr>
                          <w:rFonts w:ascii="Arial" w:hAnsi="Arial" w:cs="Arial"/>
                          <w:sz w:val="20"/>
                        </w:rPr>
                      </w:pPr>
                    </w:p>
                    <w:p w:rsidR="004E740A" w:rsidRDefault="004E740A">
                      <w:pPr>
                        <w:rPr>
                          <w:rFonts w:ascii="Arial" w:hAnsi="Arial" w:cs="Arial"/>
                          <w:sz w:val="20"/>
                        </w:rPr>
                      </w:pPr>
                    </w:p>
                    <w:p w:rsidR="004E740A" w:rsidRDefault="004E740A">
                      <w:pPr>
                        <w:rPr>
                          <w:rFonts w:ascii="Arial" w:hAnsi="Arial" w:cs="Arial"/>
                          <w:sz w:val="20"/>
                        </w:rPr>
                      </w:pPr>
                    </w:p>
                    <w:p w:rsidR="004E740A" w:rsidRPr="004E740A" w:rsidRDefault="004E740A">
                      <w:pPr>
                        <w:rPr>
                          <w:rFonts w:ascii="Arial" w:hAnsi="Arial" w:cs="Arial"/>
                          <w:sz w:val="20"/>
                        </w:rPr>
                      </w:pPr>
                      <w:r>
                        <w:rPr>
                          <w:rFonts w:ascii="Arial" w:hAnsi="Arial" w:cs="Arial"/>
                          <w:sz w:val="20"/>
                        </w:rPr>
                        <w:t>(N)</w:t>
                      </w:r>
                    </w:p>
                  </w:txbxContent>
                </v:textbox>
              </v:shape>
            </w:pict>
          </mc:Fallback>
        </mc:AlternateContent>
      </w:r>
      <w:r w:rsidR="0005562C">
        <w:rPr>
          <w:rFonts w:ascii="Arial" w:hAnsi="Arial" w:cs="Arial"/>
          <w:sz w:val="20"/>
        </w:rPr>
        <w:tab/>
      </w:r>
      <w:r w:rsidR="008F0474" w:rsidRPr="008F0474">
        <w:rPr>
          <w:rFonts w:ascii="Arial" w:hAnsi="Arial" w:cs="Arial"/>
          <w:sz w:val="20"/>
        </w:rPr>
        <w:t>The Company will construct Extensions underground when requested by the Applicant or if required by local ordinance or conditions.  The Applicant must pay for the conversion of any existing overhead facilities to underground, under the terms of Section VI of this Rule.  The Applicant must provide all trenching and backfilling, imported backfill material, conduits, and equipment foundations that the Company requires for the Extension.  If the Applicant requests, the Company will provide these items at the Applicant's expense.</w:t>
      </w:r>
    </w:p>
    <w:p w:rsidR="00BA2A94" w:rsidRDefault="00BA2A94" w:rsidP="0005562C">
      <w:pPr>
        <w:ind w:left="720"/>
        <w:jc w:val="both"/>
        <w:rPr>
          <w:rFonts w:ascii="Arial" w:hAnsi="Arial" w:cs="Arial"/>
          <w:sz w:val="20"/>
        </w:rPr>
      </w:pPr>
    </w:p>
    <w:p w:rsidR="00BA2A94" w:rsidRPr="00BA2A94" w:rsidRDefault="00BA2A94" w:rsidP="00BA2A94">
      <w:pPr>
        <w:pStyle w:val="ListParagraph"/>
        <w:numPr>
          <w:ilvl w:val="0"/>
          <w:numId w:val="7"/>
        </w:numPr>
        <w:tabs>
          <w:tab w:val="clear" w:pos="1440"/>
          <w:tab w:val="num" w:pos="720"/>
        </w:tabs>
        <w:ind w:hanging="1440"/>
        <w:jc w:val="both"/>
        <w:rPr>
          <w:rFonts w:ascii="Arial" w:hAnsi="Arial" w:cs="Arial"/>
          <w:sz w:val="20"/>
          <w:u w:val="single"/>
        </w:rPr>
      </w:pPr>
      <w:r w:rsidRPr="00BA2A94">
        <w:rPr>
          <w:rFonts w:ascii="Arial" w:hAnsi="Arial" w:cs="Arial"/>
          <w:sz w:val="20"/>
          <w:u w:val="single"/>
        </w:rPr>
        <w:t>STREET LIGHTING:</w:t>
      </w:r>
    </w:p>
    <w:p w:rsidR="00BA2A94" w:rsidRPr="008F0474" w:rsidRDefault="004E740A" w:rsidP="00BA2A94">
      <w:pPr>
        <w:ind w:left="720" w:firstLine="720"/>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0288" behindDoc="0" locked="0" layoutInCell="1" allowOverlap="1">
                <wp:simplePos x="0" y="0"/>
                <wp:positionH relativeFrom="column">
                  <wp:posOffset>6267450</wp:posOffset>
                </wp:positionH>
                <wp:positionV relativeFrom="paragraph">
                  <wp:posOffset>0</wp:posOffset>
                </wp:positionV>
                <wp:extent cx="0" cy="390525"/>
                <wp:effectExtent l="0" t="0" r="19050" b="9525"/>
                <wp:wrapNone/>
                <wp:docPr id="11" name="Straight Connector 11"/>
                <wp:cNvGraphicFramePr/>
                <a:graphic xmlns:a="http://schemas.openxmlformats.org/drawingml/2006/main">
                  <a:graphicData uri="http://schemas.microsoft.com/office/word/2010/wordprocessingShape">
                    <wps:wsp>
                      <wps:cNvCnPr/>
                      <wps:spPr>
                        <a:xfrm>
                          <a:off x="0" y="0"/>
                          <a:ext cx="0" cy="390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3.5pt,0" to="493.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" strokecolor="black [3213]"/>
            </w:pict>
          </mc:Fallback>
        </mc:AlternateContent>
      </w:r>
      <w:r w:rsidR="00BA2A94">
        <w:rPr>
          <w:rFonts w:ascii="Arial" w:hAnsi="Arial" w:cs="Arial"/>
          <w:sz w:val="20"/>
        </w:rPr>
        <w:t>The Extension Allowance to streetlights taking service under rate schedules 51 or 53 or 54 is equal to five times the annual revenu</w:t>
      </w:r>
      <w:r>
        <w:rPr>
          <w:rFonts w:ascii="Arial" w:hAnsi="Arial" w:cs="Arial"/>
          <w:sz w:val="20"/>
        </w:rPr>
        <w:t xml:space="preserve">e from the lights to be added. </w:t>
      </w:r>
      <w:r w:rsidR="00BA2A94">
        <w:rPr>
          <w:rFonts w:ascii="Arial" w:hAnsi="Arial" w:cs="Arial"/>
          <w:sz w:val="20"/>
        </w:rPr>
        <w:t>The Applicant must provide a non-refundable advance for costs exceeding the Extension Allowance prior to the lights being added.  Facilities charges and Contract Minimum Billings do not apply to streetlights</w:t>
      </w:r>
      <w:r>
        <w:rPr>
          <w:rFonts w:ascii="Arial" w:hAnsi="Arial" w:cs="Arial"/>
          <w:sz w:val="20"/>
        </w:rPr>
        <w:t>.</w:t>
      </w:r>
    </w:p>
    <w:p w:rsidR="008F0474" w:rsidRPr="008F0474" w:rsidRDefault="008F0474" w:rsidP="008F0474">
      <w:pPr>
        <w:ind w:left="1440"/>
        <w:jc w:val="both"/>
        <w:rPr>
          <w:rFonts w:ascii="Arial" w:hAnsi="Arial" w:cs="Arial"/>
          <w:sz w:val="20"/>
        </w:rPr>
      </w:pPr>
    </w:p>
    <w:p w:rsidR="008F0474" w:rsidRPr="0005562C" w:rsidRDefault="008F0474" w:rsidP="0005562C">
      <w:pPr>
        <w:ind w:left="720" w:hanging="720"/>
        <w:jc w:val="both"/>
        <w:rPr>
          <w:rFonts w:ascii="Arial" w:hAnsi="Arial" w:cs="Arial"/>
          <w:b/>
          <w:sz w:val="20"/>
        </w:rPr>
      </w:pPr>
      <w:r w:rsidRPr="0005562C">
        <w:rPr>
          <w:rFonts w:ascii="Arial" w:hAnsi="Arial" w:cs="Arial"/>
          <w:b/>
          <w:sz w:val="20"/>
        </w:rPr>
        <w:t>IV.</w:t>
      </w:r>
      <w:r w:rsidRPr="0005562C">
        <w:rPr>
          <w:rFonts w:ascii="Arial" w:hAnsi="Arial" w:cs="Arial"/>
          <w:b/>
          <w:sz w:val="20"/>
        </w:rPr>
        <w:tab/>
      </w:r>
      <w:r w:rsidR="0005562C">
        <w:rPr>
          <w:rFonts w:ascii="Arial" w:hAnsi="Arial" w:cs="Arial"/>
          <w:b/>
          <w:sz w:val="20"/>
          <w:u w:val="single"/>
        </w:rPr>
        <w:t>EXTENSIONS TO PLANNED DEVELOPMENTS:</w:t>
      </w:r>
    </w:p>
    <w:p w:rsidR="008F0474" w:rsidRPr="0005562C" w:rsidRDefault="008F0474" w:rsidP="0005562C">
      <w:pPr>
        <w:ind w:hanging="720"/>
        <w:jc w:val="both"/>
        <w:rPr>
          <w:rFonts w:ascii="Arial" w:hAnsi="Arial" w:cs="Arial"/>
          <w:b/>
          <w:sz w:val="20"/>
        </w:rPr>
      </w:pPr>
    </w:p>
    <w:p w:rsidR="008F0474" w:rsidRPr="0005562C" w:rsidRDefault="008F0474" w:rsidP="0005562C">
      <w:pPr>
        <w:ind w:left="720" w:hanging="720"/>
        <w:jc w:val="both"/>
        <w:rPr>
          <w:rFonts w:ascii="Arial" w:hAnsi="Arial" w:cs="Arial"/>
          <w:sz w:val="20"/>
          <w:u w:val="single"/>
        </w:rPr>
      </w:pPr>
      <w:r w:rsidRPr="008F0474">
        <w:rPr>
          <w:rFonts w:ascii="Arial" w:hAnsi="Arial" w:cs="Arial"/>
          <w:sz w:val="20"/>
        </w:rPr>
        <w:t>A.</w:t>
      </w:r>
      <w:r w:rsidRPr="008F0474">
        <w:rPr>
          <w:rFonts w:ascii="Arial" w:hAnsi="Arial" w:cs="Arial"/>
          <w:b/>
          <w:sz w:val="20"/>
        </w:rPr>
        <w:tab/>
      </w:r>
      <w:r w:rsidR="0005562C">
        <w:rPr>
          <w:rFonts w:ascii="Arial" w:hAnsi="Arial" w:cs="Arial"/>
          <w:sz w:val="20"/>
          <w:u w:val="single"/>
        </w:rPr>
        <w:t>GENERAL:</w:t>
      </w:r>
    </w:p>
    <w:p w:rsidR="008F0474" w:rsidRPr="008F0474" w:rsidRDefault="0005562C" w:rsidP="0005562C">
      <w:pPr>
        <w:ind w:left="720"/>
        <w:jc w:val="both"/>
        <w:rPr>
          <w:rFonts w:ascii="Arial" w:hAnsi="Arial" w:cs="Arial"/>
          <w:sz w:val="20"/>
        </w:rPr>
      </w:pPr>
      <w:r>
        <w:rPr>
          <w:rFonts w:ascii="Arial" w:hAnsi="Arial" w:cs="Arial"/>
          <w:sz w:val="20"/>
        </w:rPr>
        <w:tab/>
      </w:r>
      <w:r w:rsidR="008F0474" w:rsidRPr="008F0474">
        <w:rPr>
          <w:rFonts w:ascii="Arial" w:hAnsi="Arial" w:cs="Arial"/>
          <w:sz w:val="20"/>
        </w:rPr>
        <w:t>Planned Developments, including subdivisions and mobile home parks, are areas where groups of buildings or dwellings may be constructed at or about the same time.  The Company will install facilities in developments before there are actual Applicants for service under the terms of a written contract.</w:t>
      </w:r>
    </w:p>
    <w:p w:rsidR="008F0474" w:rsidRPr="008F0474" w:rsidRDefault="008F0474" w:rsidP="0005562C">
      <w:pPr>
        <w:ind w:left="720"/>
        <w:jc w:val="both"/>
        <w:rPr>
          <w:rFonts w:ascii="Arial" w:hAnsi="Arial" w:cs="Arial"/>
          <w:b/>
          <w:sz w:val="20"/>
        </w:rPr>
      </w:pPr>
    </w:p>
    <w:p w:rsidR="008F0474" w:rsidRPr="0005562C" w:rsidRDefault="008F0474" w:rsidP="0005562C">
      <w:pPr>
        <w:ind w:left="720" w:hanging="720"/>
        <w:jc w:val="both"/>
        <w:rPr>
          <w:rFonts w:ascii="Arial" w:hAnsi="Arial" w:cs="Arial"/>
          <w:sz w:val="20"/>
          <w:u w:val="single"/>
        </w:rPr>
      </w:pPr>
      <w:r w:rsidRPr="008F0474">
        <w:rPr>
          <w:rFonts w:ascii="Arial" w:hAnsi="Arial" w:cs="Arial"/>
          <w:sz w:val="20"/>
        </w:rPr>
        <w:t>B.</w:t>
      </w:r>
      <w:r w:rsidRPr="008F0474">
        <w:rPr>
          <w:rFonts w:ascii="Arial" w:hAnsi="Arial" w:cs="Arial"/>
          <w:b/>
          <w:sz w:val="20"/>
        </w:rPr>
        <w:tab/>
      </w:r>
      <w:r w:rsidR="0005562C">
        <w:rPr>
          <w:rFonts w:ascii="Arial" w:hAnsi="Arial" w:cs="Arial"/>
          <w:sz w:val="20"/>
          <w:u w:val="single"/>
        </w:rPr>
        <w:t>ALLOWANCES AND ADVANCES:</w:t>
      </w:r>
    </w:p>
    <w:p w:rsidR="008F0474" w:rsidRPr="008F0474" w:rsidRDefault="0005562C" w:rsidP="0005562C">
      <w:pPr>
        <w:ind w:left="720"/>
        <w:jc w:val="both"/>
        <w:rPr>
          <w:rFonts w:ascii="Arial" w:hAnsi="Arial" w:cs="Arial"/>
          <w:sz w:val="20"/>
        </w:rPr>
      </w:pPr>
      <w:r>
        <w:rPr>
          <w:rFonts w:ascii="Arial" w:hAnsi="Arial" w:cs="Arial"/>
          <w:sz w:val="20"/>
        </w:rPr>
        <w:tab/>
      </w:r>
      <w:r w:rsidR="008F0474" w:rsidRPr="008F0474">
        <w:rPr>
          <w:rFonts w:ascii="Arial" w:hAnsi="Arial" w:cs="Arial"/>
          <w:sz w:val="20"/>
        </w:rPr>
        <w:t xml:space="preserve">For Nonresidential developments the Developer must pay a non-refundable advance equal to the Company’s estimated installed costs to make primary service available to each lot.  </w:t>
      </w:r>
    </w:p>
    <w:p w:rsidR="008F0474" w:rsidRPr="008F0474" w:rsidRDefault="008F0474" w:rsidP="0005562C">
      <w:pPr>
        <w:ind w:left="720"/>
        <w:jc w:val="both"/>
        <w:rPr>
          <w:rFonts w:ascii="Arial" w:hAnsi="Arial" w:cs="Arial"/>
          <w:sz w:val="20"/>
        </w:rPr>
      </w:pPr>
    </w:p>
    <w:p w:rsidR="008F0474" w:rsidRPr="008F0474" w:rsidRDefault="0005562C" w:rsidP="0005562C">
      <w:pPr>
        <w:ind w:left="720"/>
        <w:jc w:val="both"/>
        <w:rPr>
          <w:rFonts w:ascii="Arial" w:hAnsi="Arial" w:cs="Arial"/>
          <w:sz w:val="20"/>
        </w:rPr>
      </w:pPr>
      <w:r>
        <w:rPr>
          <w:rFonts w:ascii="Arial" w:hAnsi="Arial" w:cs="Arial"/>
          <w:sz w:val="20"/>
        </w:rPr>
        <w:tab/>
      </w:r>
      <w:r w:rsidR="008F0474" w:rsidRPr="008F0474">
        <w:rPr>
          <w:rFonts w:ascii="Arial" w:hAnsi="Arial" w:cs="Arial"/>
          <w:sz w:val="20"/>
        </w:rPr>
        <w:t>For Residential developments the Company will provide the Developer an Extension Allowance of $800 for each lot.  The Developer must pay a non-refundable advance for all other costs to make secondary voltage service available to each lot.  No Extension Allowance will be provided to the Developer for lots without secondary voltage service to the lot line.</w:t>
      </w:r>
    </w:p>
    <w:p w:rsidR="008F0474" w:rsidRPr="008F0474" w:rsidRDefault="008F0474" w:rsidP="0005562C">
      <w:pPr>
        <w:ind w:left="720"/>
        <w:jc w:val="both"/>
        <w:rPr>
          <w:rFonts w:ascii="Arial" w:hAnsi="Arial" w:cs="Arial"/>
          <w:sz w:val="20"/>
        </w:rPr>
      </w:pPr>
    </w:p>
    <w:p w:rsidR="008F0474" w:rsidRPr="008F0474" w:rsidRDefault="0005562C" w:rsidP="0005562C">
      <w:pPr>
        <w:ind w:left="720"/>
        <w:jc w:val="both"/>
        <w:rPr>
          <w:rFonts w:ascii="Arial" w:hAnsi="Arial" w:cs="Arial"/>
          <w:sz w:val="20"/>
        </w:rPr>
      </w:pPr>
      <w:r>
        <w:rPr>
          <w:rFonts w:ascii="Arial" w:hAnsi="Arial" w:cs="Arial"/>
          <w:sz w:val="20"/>
        </w:rPr>
        <w:tab/>
      </w:r>
      <w:r w:rsidR="008F0474" w:rsidRPr="008F0474">
        <w:rPr>
          <w:rFonts w:ascii="Arial" w:hAnsi="Arial" w:cs="Arial"/>
          <w:sz w:val="20"/>
        </w:rPr>
        <w:t>For both Nonresidential and Residential developments the Company may require the Developer to pay for facilities to provide additional service reliability or for future development.</w:t>
      </w:r>
    </w:p>
    <w:p w:rsidR="00CC3570" w:rsidRPr="008F0474" w:rsidRDefault="00CC3570" w:rsidP="00CC3570">
      <w:pPr>
        <w:ind w:left="1440" w:hanging="720"/>
        <w:jc w:val="both"/>
        <w:rPr>
          <w:rFonts w:ascii="Arial" w:hAnsi="Arial" w:cs="Arial"/>
          <w:b/>
          <w:sz w:val="20"/>
        </w:rPr>
      </w:pPr>
    </w:p>
    <w:sectPr w:rsidR="00CC3570" w:rsidRPr="008F0474" w:rsidSect="00E6160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084" w:rsidRDefault="00101084" w:rsidP="008474F2">
      <w:r>
        <w:separator/>
      </w:r>
    </w:p>
  </w:endnote>
  <w:endnote w:type="continuationSeparator" w:id="0">
    <w:p w:rsidR="00101084" w:rsidRDefault="00101084"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657" w:rsidRDefault="001156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84" w:rsidRDefault="00101084"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(continued)</w:t>
    </w:r>
  </w:p>
  <w:p w:rsidR="00101084" w:rsidRDefault="00101084" w:rsidP="00087CF7">
    <w:pPr>
      <w:pStyle w:val="Footer"/>
      <w:pBdr>
        <w:bottom w:val="single" w:sz="6" w:space="0" w:color="auto"/>
      </w:pBdr>
      <w:tabs>
        <w:tab w:val="clear" w:pos="4680"/>
      </w:tabs>
      <w:ind w:left="900" w:hanging="900"/>
      <w:jc w:val="center"/>
      <w:rPr>
        <w:rFonts w:ascii="Arial" w:hAnsi="Arial" w:cs="Arial"/>
        <w:sz w:val="20"/>
      </w:rPr>
    </w:pPr>
  </w:p>
  <w:p w:rsidR="00101084" w:rsidRDefault="00101084"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r w:rsidR="00115657">
      <w:rPr>
        <w:rFonts w:ascii="Arial" w:hAnsi="Arial" w:cs="Arial"/>
        <w:sz w:val="20"/>
      </w:rPr>
      <w:t>January 8, 2014</w:t>
    </w:r>
    <w:r>
      <w:rPr>
        <w:rFonts w:ascii="Arial" w:hAnsi="Arial" w:cs="Arial"/>
        <w:sz w:val="20"/>
      </w:rPr>
      <w:tab/>
    </w:r>
    <w:r>
      <w:rPr>
        <w:rFonts w:ascii="Arial" w:hAnsi="Arial" w:cs="Arial"/>
        <w:b/>
        <w:sz w:val="20"/>
      </w:rPr>
      <w:t>Effective:</w:t>
    </w:r>
    <w:r>
      <w:rPr>
        <w:rFonts w:ascii="Arial" w:hAnsi="Arial" w:cs="Arial"/>
        <w:sz w:val="20"/>
      </w:rPr>
      <w:t xml:space="preserve"> </w:t>
    </w:r>
    <w:r w:rsidR="00115657">
      <w:rPr>
        <w:rFonts w:ascii="Arial" w:hAnsi="Arial" w:cs="Arial"/>
        <w:sz w:val="20"/>
      </w:rPr>
      <w:t>March 1, 2014</w:t>
    </w:r>
  </w:p>
  <w:p w:rsidR="00101084" w:rsidRDefault="00101084"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r w:rsidR="00115657">
      <w:rPr>
        <w:rFonts w:ascii="Arial" w:hAnsi="Arial" w:cs="Arial"/>
        <w:sz w:val="20"/>
      </w:rPr>
      <w:t>14-01</w:t>
    </w:r>
    <w:bookmarkStart w:id="0" w:name="_GoBack"/>
    <w:bookmarkEnd w:id="0"/>
  </w:p>
  <w:p w:rsidR="00BA2A94" w:rsidRDefault="00BA2A94" w:rsidP="00BA2A94">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9744" behindDoc="1" locked="0" layoutInCell="1" allowOverlap="1" wp14:anchorId="68C1B2EE" wp14:editId="69FA4E38">
          <wp:simplePos x="0" y="0"/>
          <wp:positionH relativeFrom="column">
            <wp:posOffset>241935</wp:posOffset>
          </wp:positionH>
          <wp:positionV relativeFrom="paragraph">
            <wp:posOffset>129540</wp:posOffset>
          </wp:positionV>
          <wp:extent cx="1830705" cy="350520"/>
          <wp:effectExtent l="19050" t="0" r="0" b="0"/>
          <wp:wrapThrough wrapText="bothSides">
            <wp:wrapPolygon edited="0">
              <wp:start x="-225" y="0"/>
              <wp:lineTo x="-225" y="19957"/>
              <wp:lineTo x="21578" y="19957"/>
              <wp:lineTo x="21578" y="0"/>
              <wp:lineTo x="-225" y="0"/>
            </wp:wrapPolygon>
          </wp:wrapThrough>
          <wp:docPr id="19" name="Picture 11"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rg"/>
                  <pic:cNvPicPr>
                    <a:picLocks noChangeAspect="1" noChangeArrowheads="1"/>
                  </pic:cNvPicPr>
                </pic:nvPicPr>
                <pic:blipFill>
                  <a:blip r:embed="rId1"/>
                  <a:srcRect/>
                  <a:stretch>
                    <a:fillRect/>
                  </a:stretch>
                </pic:blipFill>
                <pic:spPr bwMode="auto">
                  <a:xfrm>
                    <a:off x="0" y="0"/>
                    <a:ext cx="1830705" cy="350520"/>
                  </a:xfrm>
                  <a:prstGeom prst="rect">
                    <a:avLst/>
                  </a:prstGeom>
                  <a:noFill/>
                  <a:ln w="9525">
                    <a:noFill/>
                    <a:miter lim="800000"/>
                    <a:headEnd/>
                    <a:tailEnd/>
                  </a:ln>
                </pic:spPr>
              </pic:pic>
            </a:graphicData>
          </a:graphic>
        </wp:anchor>
      </w:drawing>
    </w:r>
    <w:r>
      <w:rPr>
        <w:rFonts w:ascii="Arial" w:hAnsi="Arial" w:cs="Arial"/>
        <w:b/>
        <w:sz w:val="20"/>
      </w:rPr>
      <w:t>Issued by Pacific Power &amp; Light Company</w:t>
    </w:r>
  </w:p>
  <w:p w:rsidR="00BA2A94" w:rsidRDefault="00BA2A94" w:rsidP="00BA2A94">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78720" behindDoc="1" locked="0" layoutInCell="1" allowOverlap="1" wp14:anchorId="42979A8D" wp14:editId="4D10F5C1">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101084" w:rsidRDefault="00BA2A94" w:rsidP="00BA2A94">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77696" behindDoc="1" locked="0" layoutInCell="1" allowOverlap="1" wp14:anchorId="21CE40BA" wp14:editId="0095EACD">
          <wp:simplePos x="0" y="0"/>
          <wp:positionH relativeFrom="column">
            <wp:posOffset>2889841</wp:posOffset>
          </wp:positionH>
          <wp:positionV relativeFrom="paragraph">
            <wp:posOffset>3952506</wp:posOffset>
          </wp:positionV>
          <wp:extent cx="1947973" cy="435935"/>
          <wp:effectExtent l="1905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William R. Griffith</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r w:rsidR="00101084">
      <w:rPr>
        <w:rFonts w:ascii="Arial" w:hAnsi="Arial" w:cs="Arial"/>
        <w:sz w:val="20"/>
      </w:rPr>
      <w:tab/>
    </w:r>
    <w:r w:rsidR="00101084">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657" w:rsidRDefault="00115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084" w:rsidRDefault="00101084" w:rsidP="008474F2">
      <w:r>
        <w:separator/>
      </w:r>
    </w:p>
  </w:footnote>
  <w:footnote w:type="continuationSeparator" w:id="0">
    <w:p w:rsidR="00101084" w:rsidRDefault="00101084"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657" w:rsidRDefault="001156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84" w:rsidRPr="00F37ECE" w:rsidRDefault="00734548" w:rsidP="00F37ECE">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vTXjv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9.45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"/>
          </w:pict>
        </mc:Fallback>
      </mc:AlternateContent>
    </w:r>
    <w:r>
      <w:rPr>
        <w:noProof/>
        <w:lang w:eastAsia="en-US"/>
      </w:rPr>
      <mc:AlternateContent>
        <mc:Choice Requires="wps">
          <w:drawing>
            <wp:anchor distT="0" distB="0" distL="114300" distR="114300" simplePos="0" relativeHeight="251675648"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62.55pt;margin-top:-16.9pt;width:0;height:11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3hh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7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MYt4YRwCAAA7BAAADgAAAAAAAAAAAAAAAAAuAgAAZHJzL2Uyb0RvYy54bWxQSwEC&#10;LQAUAAYACAAAACEAqiT/8d8AAAALAQAADwAAAAAAAAAAAAAAAAB2BAAAZHJzL2Rvd25yZXYueG1s&#10;UEsFBgAAAAAEAAQA8wAAAIIFAAAAAA==&#10;"/>
          </w:pict>
        </mc:Fallback>
      </mc:AlternateContent>
    </w:r>
    <w:r w:rsidR="00F37ECE">
      <w:rPr>
        <w:rFonts w:ascii="Arial" w:hAnsi="Arial" w:cs="Arial"/>
        <w:b/>
        <w:noProof/>
        <w:sz w:val="24"/>
        <w:szCs w:val="24"/>
        <w:lang w:eastAsia="en-US"/>
      </w:rPr>
      <w:t>PACIFIC POWER &amp; LIGHT COMPANY</w:t>
    </w:r>
  </w:p>
  <w:p w:rsidR="00101084" w:rsidRDefault="00101084"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101084" w:rsidRPr="00CD01ED" w:rsidRDefault="00101084"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101084" w:rsidRDefault="00BA2A94" w:rsidP="00A91A21">
    <w:pPr>
      <w:tabs>
        <w:tab w:val="left" w:pos="7200"/>
      </w:tabs>
      <w:ind w:right="2160"/>
      <w:jc w:val="right"/>
      <w:rPr>
        <w:rFonts w:ascii="Arial" w:hAnsi="Arial" w:cs="Arial"/>
        <w:sz w:val="20"/>
      </w:rPr>
    </w:pPr>
    <w:r>
      <w:rPr>
        <w:rFonts w:ascii="Arial" w:hAnsi="Arial" w:cs="Arial"/>
        <w:sz w:val="20"/>
      </w:rPr>
      <w:t>First Revision of Sheet No. R14.7</w:t>
    </w:r>
  </w:p>
  <w:p w:rsidR="00101084" w:rsidRDefault="00BA2A94" w:rsidP="00A91A21">
    <w:pPr>
      <w:tabs>
        <w:tab w:val="left" w:pos="7200"/>
      </w:tabs>
      <w:ind w:right="2160"/>
      <w:jc w:val="right"/>
      <w:rPr>
        <w:rFonts w:ascii="Arial" w:hAnsi="Arial" w:cs="Arial"/>
        <w:sz w:val="20"/>
      </w:rPr>
    </w:pPr>
    <w:r>
      <w:rPr>
        <w:rFonts w:ascii="Arial" w:hAnsi="Arial" w:cs="Arial"/>
        <w:sz w:val="20"/>
      </w:rPr>
      <w:t xml:space="preserve">Canceling </w:t>
    </w:r>
    <w:r w:rsidR="00101084">
      <w:rPr>
        <w:rFonts w:ascii="Arial" w:hAnsi="Arial" w:cs="Arial"/>
        <w:sz w:val="20"/>
      </w:rPr>
      <w:t>Original Sheet No. R14.7</w:t>
    </w:r>
  </w:p>
  <w:p w:rsidR="00101084" w:rsidRDefault="00101084">
    <w:pPr>
      <w:rPr>
        <w:rFonts w:ascii="Arial" w:hAnsi="Arial" w:cs="Arial"/>
        <w:sz w:val="20"/>
      </w:rPr>
    </w:pPr>
    <w:r>
      <w:rPr>
        <w:rFonts w:ascii="Arial" w:hAnsi="Arial" w:cs="Arial"/>
        <w:sz w:val="20"/>
      </w:rPr>
      <w:tab/>
    </w:r>
  </w:p>
  <w:p w:rsidR="00101084" w:rsidRPr="00CF64E6" w:rsidRDefault="00101084" w:rsidP="00A91A21">
    <w:pPr>
      <w:tabs>
        <w:tab w:val="left" w:pos="7200"/>
      </w:tabs>
      <w:ind w:right="2160"/>
      <w:rPr>
        <w:rFonts w:ascii="Arial" w:hAnsi="Arial" w:cs="Arial"/>
        <w:b/>
        <w:sz w:val="24"/>
        <w:szCs w:val="24"/>
      </w:rPr>
    </w:pPr>
    <w:r>
      <w:rPr>
        <w:rFonts w:ascii="Arial" w:hAnsi="Arial" w:cs="Arial"/>
        <w:b/>
        <w:sz w:val="24"/>
        <w:szCs w:val="24"/>
      </w:rPr>
      <w:t>Rule 14</w:t>
    </w:r>
  </w:p>
  <w:p w:rsidR="00101084" w:rsidRPr="00A91A21" w:rsidRDefault="00101084" w:rsidP="00A91A21">
    <w:pPr>
      <w:pBdr>
        <w:bottom w:val="single" w:sz="12" w:space="1" w:color="auto"/>
      </w:pBdr>
      <w:rPr>
        <w:rFonts w:ascii="Arial" w:hAnsi="Arial" w:cs="Arial"/>
        <w:b/>
        <w:sz w:val="20"/>
      </w:rPr>
    </w:pPr>
    <w:r>
      <w:rPr>
        <w:rFonts w:ascii="Arial" w:hAnsi="Arial" w:cs="Arial"/>
        <w:b/>
        <w:sz w:val="20"/>
      </w:rPr>
      <w:t>GENERAL RULES AND REGULATIONS – LINE EXTENSIONS</w:t>
    </w:r>
  </w:p>
  <w:p w:rsidR="00101084" w:rsidRPr="00AE1E9E" w:rsidRDefault="00101084">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657" w:rsidRDefault="001156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309A"/>
    <w:multiLevelType w:val="hybridMultilevel"/>
    <w:tmpl w:val="A35A4D9A"/>
    <w:lvl w:ilvl="0" w:tplc="7B18E834">
      <w:start w:val="3"/>
      <w:numFmt w:val="upp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9B7E80"/>
    <w:multiLevelType w:val="hybridMultilevel"/>
    <w:tmpl w:val="682A7372"/>
    <w:lvl w:ilvl="0" w:tplc="8BF827D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3">
    <w:nsid w:val="2261090B"/>
    <w:multiLevelType w:val="hybridMultilevel"/>
    <w:tmpl w:val="CA76A5DE"/>
    <w:lvl w:ilvl="0" w:tplc="6E0C28D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627216"/>
    <w:multiLevelType w:val="singleLevel"/>
    <w:tmpl w:val="F7E24D4E"/>
    <w:lvl w:ilvl="0">
      <w:start w:val="2"/>
      <w:numFmt w:val="lowerLetter"/>
      <w:lvlText w:val="(%1)"/>
      <w:lvlJc w:val="left"/>
      <w:pPr>
        <w:tabs>
          <w:tab w:val="num" w:pos="720"/>
        </w:tabs>
        <w:ind w:left="720" w:hanging="720"/>
      </w:pPr>
      <w:rPr>
        <w:rFonts w:hint="default"/>
      </w:rPr>
    </w:lvl>
  </w:abstractNum>
  <w:abstractNum w:abstractNumId="5">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6">
    <w:nsid w:val="796D25F8"/>
    <w:multiLevelType w:val="singleLevel"/>
    <w:tmpl w:val="7564103C"/>
    <w:lvl w:ilvl="0">
      <w:start w:val="500"/>
      <w:numFmt w:val="lowerRoman"/>
      <w:lvlText w:val="(%1)"/>
      <w:lvlJc w:val="left"/>
      <w:pPr>
        <w:tabs>
          <w:tab w:val="num" w:pos="720"/>
        </w:tabs>
        <w:ind w:left="720" w:hanging="720"/>
      </w:pPr>
      <w:rPr>
        <w:rFonts w:hint="default"/>
      </w:rPr>
    </w:lvl>
  </w:abstractNum>
  <w:num w:numId="1">
    <w:abstractNumId w:val="2"/>
  </w:num>
  <w:num w:numId="2">
    <w:abstractNumId w:val="5"/>
  </w:num>
  <w:num w:numId="3">
    <w:abstractNumId w:val="6"/>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9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1837"/>
    <w:rsid w:val="00013419"/>
    <w:rsid w:val="00030BE8"/>
    <w:rsid w:val="00042879"/>
    <w:rsid w:val="00045BE4"/>
    <w:rsid w:val="0005562C"/>
    <w:rsid w:val="00087CF7"/>
    <w:rsid w:val="000A0A99"/>
    <w:rsid w:val="000A0FF1"/>
    <w:rsid w:val="000B36F4"/>
    <w:rsid w:val="00101084"/>
    <w:rsid w:val="00115657"/>
    <w:rsid w:val="001305AF"/>
    <w:rsid w:val="001522E7"/>
    <w:rsid w:val="00154214"/>
    <w:rsid w:val="001620F1"/>
    <w:rsid w:val="00162727"/>
    <w:rsid w:val="001D4F15"/>
    <w:rsid w:val="001E1819"/>
    <w:rsid w:val="001F19AC"/>
    <w:rsid w:val="00201673"/>
    <w:rsid w:val="0020310B"/>
    <w:rsid w:val="00204381"/>
    <w:rsid w:val="00205735"/>
    <w:rsid w:val="00266E07"/>
    <w:rsid w:val="002C1B76"/>
    <w:rsid w:val="002C79BC"/>
    <w:rsid w:val="002E41E4"/>
    <w:rsid w:val="002E6C6E"/>
    <w:rsid w:val="00341521"/>
    <w:rsid w:val="00342742"/>
    <w:rsid w:val="0034455A"/>
    <w:rsid w:val="00351316"/>
    <w:rsid w:val="003545F5"/>
    <w:rsid w:val="003927F0"/>
    <w:rsid w:val="003F72C1"/>
    <w:rsid w:val="004043D5"/>
    <w:rsid w:val="004127C9"/>
    <w:rsid w:val="00451435"/>
    <w:rsid w:val="00496029"/>
    <w:rsid w:val="004A30F3"/>
    <w:rsid w:val="004B1617"/>
    <w:rsid w:val="004B3240"/>
    <w:rsid w:val="004C5FE8"/>
    <w:rsid w:val="004E740A"/>
    <w:rsid w:val="00546A05"/>
    <w:rsid w:val="00547427"/>
    <w:rsid w:val="00550C6E"/>
    <w:rsid w:val="00555712"/>
    <w:rsid w:val="00564506"/>
    <w:rsid w:val="00577682"/>
    <w:rsid w:val="00580EC3"/>
    <w:rsid w:val="0059549C"/>
    <w:rsid w:val="005A1156"/>
    <w:rsid w:val="005E29DE"/>
    <w:rsid w:val="005E42F2"/>
    <w:rsid w:val="005F64B9"/>
    <w:rsid w:val="005F7880"/>
    <w:rsid w:val="00622FED"/>
    <w:rsid w:val="006638F3"/>
    <w:rsid w:val="00685AFC"/>
    <w:rsid w:val="0068713C"/>
    <w:rsid w:val="006A033A"/>
    <w:rsid w:val="006A6B74"/>
    <w:rsid w:val="006D7723"/>
    <w:rsid w:val="006E1287"/>
    <w:rsid w:val="00710518"/>
    <w:rsid w:val="00715FFA"/>
    <w:rsid w:val="00725039"/>
    <w:rsid w:val="00734548"/>
    <w:rsid w:val="007504BF"/>
    <w:rsid w:val="0077488B"/>
    <w:rsid w:val="007E0BC7"/>
    <w:rsid w:val="007F06C3"/>
    <w:rsid w:val="007F6029"/>
    <w:rsid w:val="007F7353"/>
    <w:rsid w:val="00813698"/>
    <w:rsid w:val="00823ACF"/>
    <w:rsid w:val="008474F2"/>
    <w:rsid w:val="00874A40"/>
    <w:rsid w:val="008766A2"/>
    <w:rsid w:val="00876B56"/>
    <w:rsid w:val="00886645"/>
    <w:rsid w:val="008A77C7"/>
    <w:rsid w:val="008E7364"/>
    <w:rsid w:val="008F0474"/>
    <w:rsid w:val="00920A5D"/>
    <w:rsid w:val="00926A73"/>
    <w:rsid w:val="00947E57"/>
    <w:rsid w:val="009C3016"/>
    <w:rsid w:val="009E0C82"/>
    <w:rsid w:val="00A261ED"/>
    <w:rsid w:val="00A541CA"/>
    <w:rsid w:val="00A72436"/>
    <w:rsid w:val="00A91A21"/>
    <w:rsid w:val="00AA2B16"/>
    <w:rsid w:val="00AA6EAF"/>
    <w:rsid w:val="00AD4335"/>
    <w:rsid w:val="00AE07BB"/>
    <w:rsid w:val="00AE1E9E"/>
    <w:rsid w:val="00AE7611"/>
    <w:rsid w:val="00AF0EAC"/>
    <w:rsid w:val="00B20EEB"/>
    <w:rsid w:val="00B43CBE"/>
    <w:rsid w:val="00B54432"/>
    <w:rsid w:val="00B62CA7"/>
    <w:rsid w:val="00B85B7D"/>
    <w:rsid w:val="00B86CD1"/>
    <w:rsid w:val="00BA088F"/>
    <w:rsid w:val="00BA2A94"/>
    <w:rsid w:val="00BF7535"/>
    <w:rsid w:val="00C0493E"/>
    <w:rsid w:val="00C210FD"/>
    <w:rsid w:val="00C60F7D"/>
    <w:rsid w:val="00C8147C"/>
    <w:rsid w:val="00C91131"/>
    <w:rsid w:val="00CC3570"/>
    <w:rsid w:val="00CD01ED"/>
    <w:rsid w:val="00CE6692"/>
    <w:rsid w:val="00CF6051"/>
    <w:rsid w:val="00CF64E6"/>
    <w:rsid w:val="00D313E0"/>
    <w:rsid w:val="00D60206"/>
    <w:rsid w:val="00D8216E"/>
    <w:rsid w:val="00D932B5"/>
    <w:rsid w:val="00E522DD"/>
    <w:rsid w:val="00E53EC5"/>
    <w:rsid w:val="00E61608"/>
    <w:rsid w:val="00E6731D"/>
    <w:rsid w:val="00E84454"/>
    <w:rsid w:val="00E86C83"/>
    <w:rsid w:val="00EA0EE4"/>
    <w:rsid w:val="00EA42D3"/>
    <w:rsid w:val="00EA5629"/>
    <w:rsid w:val="00F148A9"/>
    <w:rsid w:val="00F301F7"/>
    <w:rsid w:val="00F3022B"/>
    <w:rsid w:val="00F30DDC"/>
    <w:rsid w:val="00F3756B"/>
    <w:rsid w:val="00F37ECE"/>
    <w:rsid w:val="00F50525"/>
    <w:rsid w:val="00F528E2"/>
    <w:rsid w:val="00F62533"/>
    <w:rsid w:val="00F66F8A"/>
    <w:rsid w:val="00F77BD7"/>
    <w:rsid w:val="00FC124E"/>
    <w:rsid w:val="00FE2C51"/>
    <w:rsid w:val="00FF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
    <w:name w:val="Body Text"/>
    <w:basedOn w:val="Normal"/>
    <w:link w:val="BodyTextChar"/>
    <w:uiPriority w:val="99"/>
    <w:semiHidden/>
    <w:unhideWhenUsed/>
    <w:rsid w:val="00045BE4"/>
    <w:pPr>
      <w:spacing w:after="120"/>
    </w:pPr>
  </w:style>
  <w:style w:type="character" w:customStyle="1" w:styleId="BodyTextChar">
    <w:name w:val="Body Text Char"/>
    <w:basedOn w:val="DefaultParagraphFont"/>
    <w:link w:val="BodyText"/>
    <w:uiPriority w:val="99"/>
    <w:semiHidden/>
    <w:rsid w:val="00045BE4"/>
    <w:rPr>
      <w:rFonts w:ascii="Courier New" w:eastAsia="Times New Roman" w:hAnsi="Courier New" w:cs="Times New Roman"/>
      <w:sz w:val="18"/>
      <w:szCs w:val="20"/>
    </w:rPr>
  </w:style>
  <w:style w:type="paragraph" w:styleId="BodyTextIndent">
    <w:name w:val="Body Text Indent"/>
    <w:basedOn w:val="Normal"/>
    <w:link w:val="BodyTextIndentChar"/>
    <w:uiPriority w:val="99"/>
    <w:semiHidden/>
    <w:unhideWhenUsed/>
    <w:rsid w:val="00045BE4"/>
    <w:pPr>
      <w:spacing w:after="120"/>
      <w:ind w:left="360"/>
    </w:pPr>
  </w:style>
  <w:style w:type="character" w:customStyle="1" w:styleId="BodyTextIndentChar">
    <w:name w:val="Body Text Indent Char"/>
    <w:basedOn w:val="DefaultParagraphFont"/>
    <w:link w:val="BodyTextIndent"/>
    <w:uiPriority w:val="99"/>
    <w:semiHidden/>
    <w:rsid w:val="00045BE4"/>
    <w:rPr>
      <w:rFonts w:ascii="Courier New" w:eastAsia="Times New Roman" w:hAnsi="Courier New" w:cs="Times New Roman"/>
      <w:sz w:val="18"/>
      <w:szCs w:val="20"/>
    </w:rPr>
  </w:style>
  <w:style w:type="paragraph" w:styleId="ListParagraph">
    <w:name w:val="List Paragraph"/>
    <w:basedOn w:val="Normal"/>
    <w:uiPriority w:val="34"/>
    <w:qFormat/>
    <w:rsid w:val="001E1819"/>
    <w:pPr>
      <w:ind w:left="720"/>
      <w:contextualSpacing/>
    </w:pPr>
  </w:style>
  <w:style w:type="paragraph" w:styleId="BalloonText">
    <w:name w:val="Balloon Text"/>
    <w:basedOn w:val="Normal"/>
    <w:link w:val="BalloonTextChar"/>
    <w:uiPriority w:val="99"/>
    <w:semiHidden/>
    <w:unhideWhenUsed/>
    <w:rsid w:val="00BA2A94"/>
    <w:rPr>
      <w:rFonts w:ascii="Tahoma" w:hAnsi="Tahoma" w:cs="Tahoma"/>
      <w:sz w:val="16"/>
      <w:szCs w:val="16"/>
    </w:rPr>
  </w:style>
  <w:style w:type="character" w:customStyle="1" w:styleId="BalloonTextChar">
    <w:name w:val="Balloon Text Char"/>
    <w:basedOn w:val="DefaultParagraphFont"/>
    <w:link w:val="BalloonText"/>
    <w:uiPriority w:val="99"/>
    <w:semiHidden/>
    <w:rsid w:val="00BA2A9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
    <w:name w:val="Body Text"/>
    <w:basedOn w:val="Normal"/>
    <w:link w:val="BodyTextChar"/>
    <w:uiPriority w:val="99"/>
    <w:semiHidden/>
    <w:unhideWhenUsed/>
    <w:rsid w:val="00045BE4"/>
    <w:pPr>
      <w:spacing w:after="120"/>
    </w:pPr>
  </w:style>
  <w:style w:type="character" w:customStyle="1" w:styleId="BodyTextChar">
    <w:name w:val="Body Text Char"/>
    <w:basedOn w:val="DefaultParagraphFont"/>
    <w:link w:val="BodyText"/>
    <w:uiPriority w:val="99"/>
    <w:semiHidden/>
    <w:rsid w:val="00045BE4"/>
    <w:rPr>
      <w:rFonts w:ascii="Courier New" w:eastAsia="Times New Roman" w:hAnsi="Courier New" w:cs="Times New Roman"/>
      <w:sz w:val="18"/>
      <w:szCs w:val="20"/>
    </w:rPr>
  </w:style>
  <w:style w:type="paragraph" w:styleId="BodyTextIndent">
    <w:name w:val="Body Text Indent"/>
    <w:basedOn w:val="Normal"/>
    <w:link w:val="BodyTextIndentChar"/>
    <w:uiPriority w:val="99"/>
    <w:semiHidden/>
    <w:unhideWhenUsed/>
    <w:rsid w:val="00045BE4"/>
    <w:pPr>
      <w:spacing w:after="120"/>
      <w:ind w:left="360"/>
    </w:pPr>
  </w:style>
  <w:style w:type="character" w:customStyle="1" w:styleId="BodyTextIndentChar">
    <w:name w:val="Body Text Indent Char"/>
    <w:basedOn w:val="DefaultParagraphFont"/>
    <w:link w:val="BodyTextIndent"/>
    <w:uiPriority w:val="99"/>
    <w:semiHidden/>
    <w:rsid w:val="00045BE4"/>
    <w:rPr>
      <w:rFonts w:ascii="Courier New" w:eastAsia="Times New Roman" w:hAnsi="Courier New" w:cs="Times New Roman"/>
      <w:sz w:val="18"/>
      <w:szCs w:val="20"/>
    </w:rPr>
  </w:style>
  <w:style w:type="paragraph" w:styleId="ListParagraph">
    <w:name w:val="List Paragraph"/>
    <w:basedOn w:val="Normal"/>
    <w:uiPriority w:val="34"/>
    <w:qFormat/>
    <w:rsid w:val="001E1819"/>
    <w:pPr>
      <w:ind w:left="720"/>
      <w:contextualSpacing/>
    </w:pPr>
  </w:style>
  <w:style w:type="paragraph" w:styleId="BalloonText">
    <w:name w:val="Balloon Text"/>
    <w:basedOn w:val="Normal"/>
    <w:link w:val="BalloonTextChar"/>
    <w:uiPriority w:val="99"/>
    <w:semiHidden/>
    <w:unhideWhenUsed/>
    <w:rsid w:val="00BA2A94"/>
    <w:rPr>
      <w:rFonts w:ascii="Tahoma" w:hAnsi="Tahoma" w:cs="Tahoma"/>
      <w:sz w:val="16"/>
      <w:szCs w:val="16"/>
    </w:rPr>
  </w:style>
  <w:style w:type="character" w:customStyle="1" w:styleId="BalloonTextChar">
    <w:name w:val="Balloon Text Char"/>
    <w:basedOn w:val="DefaultParagraphFont"/>
    <w:link w:val="BalloonText"/>
    <w:uiPriority w:val="99"/>
    <w:semiHidden/>
    <w:rsid w:val="00BA2A9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174744">
      <w:bodyDiv w:val="1"/>
      <w:marLeft w:val="0"/>
      <w:marRight w:val="0"/>
      <w:marTop w:val="0"/>
      <w:marBottom w:val="0"/>
      <w:divBdr>
        <w:top w:val="none" w:sz="0" w:space="0" w:color="auto"/>
        <w:left w:val="none" w:sz="0" w:space="0" w:color="auto"/>
        <w:bottom w:val="none" w:sz="0" w:space="0" w:color="auto"/>
        <w:right w:val="none" w:sz="0" w:space="0" w:color="auto"/>
      </w:divBdr>
    </w:div>
    <w:div w:id="189372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2014-01-08T08:00:00+00:00</OpenedDate>
    <Date1 xmlns="dc463f71-b30c-4ab2-9473-d307f9d35888">2014-01-08T08:00:00+00:00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140040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0F47B9DF9D0CA47A2530F5318B4638D" ma:contentTypeVersion="175" ma:contentTypeDescription="" ma:contentTypeScope="" ma:versionID="6d9ea0b7f28fb72a5e80a9da6150e5e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CA8FF6-6654-4325-8D24-119C9FE146FC}"/>
</file>

<file path=customXml/itemProps2.xml><?xml version="1.0" encoding="utf-8"?>
<ds:datastoreItem xmlns:ds="http://schemas.openxmlformats.org/officeDocument/2006/customXml" ds:itemID="{0E53A9B5-891A-4475-A79F-06E21390F280}"/>
</file>

<file path=customXml/itemProps3.xml><?xml version="1.0" encoding="utf-8"?>
<ds:datastoreItem xmlns:ds="http://schemas.openxmlformats.org/officeDocument/2006/customXml" ds:itemID="{696E23CF-7EE1-498B-BD61-D2133223A641}"/>
</file>

<file path=customXml/itemProps4.xml><?xml version="1.0" encoding="utf-8"?>
<ds:datastoreItem xmlns:ds="http://schemas.openxmlformats.org/officeDocument/2006/customXml" ds:itemID="{EBA43653-D1A0-446B-B7E4-F3D5D5EC2C08}"/>
</file>

<file path=customXml/itemProps5.xml><?xml version="1.0" encoding="utf-8"?>
<ds:datastoreItem xmlns:ds="http://schemas.openxmlformats.org/officeDocument/2006/customXml" ds:itemID="{4FD26097-E4EB-4CF6-AFF3-D5DD8A8F2AF9}"/>
</file>

<file path=docProps/app.xml><?xml version="1.0" encoding="utf-8"?>
<Properties xmlns="http://schemas.openxmlformats.org/officeDocument/2006/extended-properties" xmlns:vt="http://schemas.openxmlformats.org/officeDocument/2006/docPropsVTypes">
  <Template>Normal.dotm</Template>
  <TotalTime>3</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Meyer, Carrie</cp:lastModifiedBy>
  <cp:revision>5</cp:revision>
  <cp:lastPrinted>2011-04-06T22:22:00Z</cp:lastPrinted>
  <dcterms:created xsi:type="dcterms:W3CDTF">2013-11-21T18:04:00Z</dcterms:created>
  <dcterms:modified xsi:type="dcterms:W3CDTF">2014-01-08T23:14:00Z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0x0101006E56B4D1795A2E4DB2F0B01679ED314A00B0F47B9DF9D0CA47A2530F5318B4638D</vt:lpwstr>
  </property>
  <property fmtid="{D5CDD505-2E9C-101B-9397-08002B2CF9AE}" pid="3" name="_docset_NoMedatataSyncRequired">
    <vt:lpwstr>False</vt:lpwstr>
  </property>
</Properties>
</file>