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245A1" w14:textId="1D704E5C" w:rsidR="00007C00" w:rsidRPr="00254BB1" w:rsidRDefault="00007C00" w:rsidP="00007C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254BB1">
        <w:rPr>
          <w:sz w:val="24"/>
        </w:rPr>
        <w:t>Agenda Date:</w:t>
      </w:r>
      <w:r w:rsidRPr="00254BB1">
        <w:rPr>
          <w:sz w:val="24"/>
        </w:rPr>
        <w:tab/>
      </w:r>
      <w:r w:rsidRPr="00254BB1">
        <w:rPr>
          <w:sz w:val="24"/>
        </w:rPr>
        <w:tab/>
      </w:r>
      <w:r w:rsidR="00531DCA">
        <w:rPr>
          <w:sz w:val="24"/>
        </w:rPr>
        <w:t>December 27, 2013</w:t>
      </w:r>
      <w:r w:rsidRPr="00254BB1">
        <w:rPr>
          <w:sz w:val="24"/>
        </w:rPr>
        <w:tab/>
      </w:r>
    </w:p>
    <w:p w14:paraId="51B245A2" w14:textId="29237042" w:rsidR="00007C00" w:rsidRPr="00254BB1" w:rsidRDefault="00531DCA" w:rsidP="00007C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Pr>
          <w:sz w:val="24"/>
        </w:rPr>
        <w:t>Item Number:</w:t>
      </w:r>
      <w:r>
        <w:rPr>
          <w:sz w:val="24"/>
        </w:rPr>
        <w:tab/>
      </w:r>
      <w:r>
        <w:rPr>
          <w:sz w:val="24"/>
        </w:rPr>
        <w:tab/>
      </w:r>
      <w:r w:rsidR="00D1216A">
        <w:rPr>
          <w:sz w:val="24"/>
        </w:rPr>
        <w:t>B3</w:t>
      </w:r>
    </w:p>
    <w:p w14:paraId="51B245A3" w14:textId="77777777"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51B245A4" w14:textId="61EA3BF6"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254BB1">
        <w:rPr>
          <w:b/>
          <w:bCs/>
          <w:sz w:val="24"/>
        </w:rPr>
        <w:t xml:space="preserve">Docket: </w:t>
      </w:r>
      <w:r w:rsidRPr="00254BB1">
        <w:rPr>
          <w:b/>
          <w:bCs/>
          <w:sz w:val="24"/>
        </w:rPr>
        <w:tab/>
      </w:r>
      <w:r w:rsidRPr="00254BB1">
        <w:rPr>
          <w:b/>
          <w:bCs/>
          <w:sz w:val="24"/>
        </w:rPr>
        <w:tab/>
        <w:t>TG-</w:t>
      </w:r>
      <w:r w:rsidR="00D90AEC" w:rsidRPr="00254BB1">
        <w:rPr>
          <w:b/>
          <w:bCs/>
          <w:sz w:val="24"/>
        </w:rPr>
        <w:t>13</w:t>
      </w:r>
      <w:r w:rsidR="00531DCA">
        <w:rPr>
          <w:b/>
          <w:bCs/>
          <w:sz w:val="24"/>
        </w:rPr>
        <w:t>2101</w:t>
      </w:r>
    </w:p>
    <w:p w14:paraId="692401F5" w14:textId="77777777" w:rsidR="00D077ED" w:rsidRDefault="00D077ED"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p>
    <w:p w14:paraId="51B245A5" w14:textId="35D036DC"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254BB1">
        <w:rPr>
          <w:sz w:val="24"/>
        </w:rPr>
        <w:t>Company Name:</w:t>
      </w:r>
      <w:r w:rsidRPr="00254BB1">
        <w:rPr>
          <w:sz w:val="24"/>
        </w:rPr>
        <w:tab/>
      </w:r>
      <w:r w:rsidR="00D8463A" w:rsidRPr="00254BB1">
        <w:rPr>
          <w:sz w:val="24"/>
        </w:rPr>
        <w:t>Torre Refuse and Recycling, LLC</w:t>
      </w:r>
      <w:r w:rsidRPr="00254BB1">
        <w:rPr>
          <w:sz w:val="24"/>
        </w:rPr>
        <w:t xml:space="preserve">, </w:t>
      </w:r>
      <w:r w:rsidR="00531DCA">
        <w:rPr>
          <w:sz w:val="24"/>
        </w:rPr>
        <w:t>G-260</w:t>
      </w:r>
    </w:p>
    <w:p w14:paraId="51B245A6" w14:textId="3F447133"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254BB1">
        <w:rPr>
          <w:sz w:val="24"/>
        </w:rPr>
        <w:tab/>
      </w:r>
      <w:r w:rsidRPr="00254BB1">
        <w:rPr>
          <w:sz w:val="24"/>
        </w:rPr>
        <w:tab/>
      </w:r>
      <w:r w:rsidRPr="00254BB1">
        <w:rPr>
          <w:sz w:val="24"/>
        </w:rPr>
        <w:tab/>
      </w:r>
      <w:r w:rsidR="00254D48" w:rsidRPr="00254BB1">
        <w:rPr>
          <w:sz w:val="24"/>
        </w:rPr>
        <w:t>dba</w:t>
      </w:r>
      <w:r w:rsidRPr="00254BB1">
        <w:rPr>
          <w:sz w:val="24"/>
        </w:rPr>
        <w:t xml:space="preserve"> </w:t>
      </w:r>
      <w:r w:rsidR="00D8463A" w:rsidRPr="00254BB1">
        <w:rPr>
          <w:sz w:val="24"/>
        </w:rPr>
        <w:t>Sunshine Disposal and Recycling</w:t>
      </w:r>
    </w:p>
    <w:p w14:paraId="51B245A8" w14:textId="471C0130"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4BB1">
        <w:rPr>
          <w:sz w:val="24"/>
        </w:rPr>
        <w:tab/>
      </w:r>
    </w:p>
    <w:p w14:paraId="51B245A9" w14:textId="4F7DA6A9" w:rsidR="00007C00"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4BB1">
        <w:rPr>
          <w:sz w:val="24"/>
          <w:u w:val="single"/>
        </w:rPr>
        <w:t>Staff:</w:t>
      </w:r>
      <w:r w:rsidRPr="00254BB1">
        <w:rPr>
          <w:sz w:val="24"/>
        </w:rPr>
        <w:tab/>
      </w:r>
      <w:r w:rsidRPr="00254BB1">
        <w:rPr>
          <w:sz w:val="24"/>
        </w:rPr>
        <w:tab/>
      </w:r>
      <w:r w:rsidRPr="00254BB1">
        <w:rPr>
          <w:sz w:val="24"/>
        </w:rPr>
        <w:tab/>
      </w:r>
      <w:r w:rsidR="00D8463A" w:rsidRPr="00254BB1">
        <w:rPr>
          <w:sz w:val="24"/>
        </w:rPr>
        <w:t>Mike Young</w:t>
      </w:r>
      <w:r w:rsidRPr="00254BB1">
        <w:rPr>
          <w:sz w:val="24"/>
        </w:rPr>
        <w:t>, Regulatory Analyst</w:t>
      </w:r>
    </w:p>
    <w:p w14:paraId="0FD56679" w14:textId="5983B024" w:rsidR="00531DCA" w:rsidRPr="00254BB1" w:rsidRDefault="00531DCA"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Brett Shearer, Regulatory Analyst</w:t>
      </w:r>
    </w:p>
    <w:p w14:paraId="51B245AA" w14:textId="1048A0AA"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4BB1">
        <w:rPr>
          <w:sz w:val="24"/>
        </w:rPr>
        <w:tab/>
      </w:r>
      <w:r w:rsidRPr="00254BB1">
        <w:rPr>
          <w:sz w:val="24"/>
        </w:rPr>
        <w:tab/>
      </w:r>
      <w:r w:rsidRPr="00254BB1">
        <w:rPr>
          <w:sz w:val="24"/>
        </w:rPr>
        <w:tab/>
      </w:r>
      <w:r w:rsidR="00531DCA">
        <w:rPr>
          <w:color w:val="000000"/>
          <w:sz w:val="24"/>
        </w:rPr>
        <w:t>Sheri Hoyt</w:t>
      </w:r>
      <w:r w:rsidRPr="00254BB1">
        <w:rPr>
          <w:sz w:val="24"/>
        </w:rPr>
        <w:t>, Consumer Protection Staff</w:t>
      </w:r>
    </w:p>
    <w:p w14:paraId="51B245AB" w14:textId="77777777"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1B245AC" w14:textId="77777777"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254BB1">
        <w:rPr>
          <w:b/>
          <w:sz w:val="24"/>
          <w:u w:val="single"/>
        </w:rPr>
        <w:t>Recommendation</w:t>
      </w:r>
    </w:p>
    <w:p w14:paraId="51B245AD" w14:textId="77777777"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1B245AE" w14:textId="3372D39E" w:rsidR="00F05DA1" w:rsidRPr="00254BB1" w:rsidRDefault="00F05DA1" w:rsidP="00F05DA1">
      <w:pPr>
        <w:rPr>
          <w:sz w:val="24"/>
        </w:rPr>
      </w:pPr>
      <w:r w:rsidRPr="00254BB1">
        <w:rPr>
          <w:sz w:val="24"/>
        </w:rPr>
        <w:t xml:space="preserve">Take no action, </w:t>
      </w:r>
      <w:r w:rsidR="00131685" w:rsidRPr="00254BB1">
        <w:rPr>
          <w:sz w:val="24"/>
        </w:rPr>
        <w:t xml:space="preserve">thereby </w:t>
      </w:r>
      <w:r w:rsidRPr="00254BB1">
        <w:rPr>
          <w:sz w:val="24"/>
        </w:rPr>
        <w:t xml:space="preserve">allowing the tariff </w:t>
      </w:r>
      <w:r w:rsidR="006A1E7D" w:rsidRPr="00254BB1">
        <w:rPr>
          <w:sz w:val="24"/>
        </w:rPr>
        <w:t>revisions</w:t>
      </w:r>
      <w:r w:rsidRPr="00254BB1">
        <w:rPr>
          <w:sz w:val="24"/>
        </w:rPr>
        <w:t xml:space="preserve"> filed on</w:t>
      </w:r>
      <w:r w:rsidR="00531DCA">
        <w:rPr>
          <w:sz w:val="24"/>
        </w:rPr>
        <w:t xml:space="preserve"> November 15, 2013</w:t>
      </w:r>
      <w:r w:rsidR="006A1E7D" w:rsidRPr="00254BB1">
        <w:rPr>
          <w:sz w:val="24"/>
        </w:rPr>
        <w:t xml:space="preserve">, as revised </w:t>
      </w:r>
      <w:r w:rsidR="00176234" w:rsidRPr="00254BB1">
        <w:rPr>
          <w:sz w:val="24"/>
        </w:rPr>
        <w:t>on</w:t>
      </w:r>
      <w:r w:rsidR="007A2DF5">
        <w:rPr>
          <w:sz w:val="24"/>
        </w:rPr>
        <w:t xml:space="preserve"> December 17</w:t>
      </w:r>
      <w:r w:rsidR="002C6D3D">
        <w:rPr>
          <w:sz w:val="24"/>
        </w:rPr>
        <w:t>, 2013</w:t>
      </w:r>
      <w:r w:rsidRPr="00254BB1">
        <w:rPr>
          <w:sz w:val="24"/>
        </w:rPr>
        <w:t xml:space="preserve">, by </w:t>
      </w:r>
      <w:r w:rsidR="00D8463A" w:rsidRPr="00254BB1">
        <w:rPr>
          <w:sz w:val="24"/>
        </w:rPr>
        <w:t>Torre Refuse and Recycling, LLC</w:t>
      </w:r>
      <w:r w:rsidR="00254D48" w:rsidRPr="00254BB1">
        <w:rPr>
          <w:sz w:val="24"/>
        </w:rPr>
        <w:t>, db</w:t>
      </w:r>
      <w:r w:rsidRPr="00254BB1">
        <w:rPr>
          <w:sz w:val="24"/>
        </w:rPr>
        <w:t xml:space="preserve">a </w:t>
      </w:r>
      <w:r w:rsidR="00D8463A" w:rsidRPr="00254BB1">
        <w:rPr>
          <w:sz w:val="24"/>
        </w:rPr>
        <w:t>Sunshine Disposal and Recycling</w:t>
      </w:r>
      <w:r w:rsidRPr="00254BB1">
        <w:rPr>
          <w:sz w:val="24"/>
        </w:rPr>
        <w:t xml:space="preserve">, to become effective on </w:t>
      </w:r>
      <w:r w:rsidR="00531DCA">
        <w:rPr>
          <w:sz w:val="24"/>
        </w:rPr>
        <w:t>January</w:t>
      </w:r>
      <w:r w:rsidRPr="00254BB1">
        <w:rPr>
          <w:sz w:val="24"/>
        </w:rPr>
        <w:t xml:space="preserve"> 1, 201</w:t>
      </w:r>
      <w:r w:rsidR="00293A82">
        <w:rPr>
          <w:sz w:val="24"/>
        </w:rPr>
        <w:t>4</w:t>
      </w:r>
      <w:r w:rsidRPr="00254BB1">
        <w:rPr>
          <w:sz w:val="24"/>
        </w:rPr>
        <w:t xml:space="preserve">, by operation of law. </w:t>
      </w:r>
    </w:p>
    <w:p w14:paraId="51B245AF" w14:textId="77777777"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1B245B1" w14:textId="77777777"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54BB1">
        <w:rPr>
          <w:b/>
          <w:bCs/>
          <w:sz w:val="24"/>
          <w:u w:val="single"/>
        </w:rPr>
        <w:t>Discussion</w:t>
      </w:r>
    </w:p>
    <w:p w14:paraId="51B245B2" w14:textId="77777777"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C6D1738" w14:textId="608C50AE" w:rsidR="004E20D2" w:rsidRPr="00254BB1" w:rsidRDefault="00007C00" w:rsidP="004E20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4BB1">
        <w:rPr>
          <w:sz w:val="24"/>
        </w:rPr>
        <w:t xml:space="preserve">On </w:t>
      </w:r>
      <w:r w:rsidR="00531DCA">
        <w:rPr>
          <w:sz w:val="24"/>
        </w:rPr>
        <w:t>November 15</w:t>
      </w:r>
      <w:r w:rsidRPr="00254BB1">
        <w:rPr>
          <w:sz w:val="24"/>
        </w:rPr>
        <w:t>, 201</w:t>
      </w:r>
      <w:r w:rsidR="00F05DA1" w:rsidRPr="00254BB1">
        <w:rPr>
          <w:sz w:val="24"/>
        </w:rPr>
        <w:t>3</w:t>
      </w:r>
      <w:r w:rsidRPr="00254BB1">
        <w:rPr>
          <w:sz w:val="24"/>
        </w:rPr>
        <w:t xml:space="preserve">, </w:t>
      </w:r>
      <w:r w:rsidR="00413A79" w:rsidRPr="00254BB1">
        <w:rPr>
          <w:sz w:val="24"/>
        </w:rPr>
        <w:t xml:space="preserve">Torre Refuse and Recycling, LLC, </w:t>
      </w:r>
      <w:r w:rsidR="00254D48" w:rsidRPr="00254BB1">
        <w:rPr>
          <w:sz w:val="24"/>
        </w:rPr>
        <w:t>dba</w:t>
      </w:r>
      <w:r w:rsidR="00F05DA1" w:rsidRPr="00254BB1">
        <w:rPr>
          <w:sz w:val="24"/>
        </w:rPr>
        <w:t xml:space="preserve"> </w:t>
      </w:r>
      <w:r w:rsidR="00413A79" w:rsidRPr="00254BB1">
        <w:rPr>
          <w:sz w:val="24"/>
        </w:rPr>
        <w:t xml:space="preserve">Sunshine Disposal and Recycling </w:t>
      </w:r>
      <w:r w:rsidR="00F05DA1" w:rsidRPr="00254BB1">
        <w:rPr>
          <w:sz w:val="24"/>
        </w:rPr>
        <w:t>(</w:t>
      </w:r>
      <w:r w:rsidR="00935C47">
        <w:rPr>
          <w:sz w:val="24"/>
        </w:rPr>
        <w:t>Torre</w:t>
      </w:r>
      <w:r w:rsidR="00F05DA1" w:rsidRPr="00254BB1">
        <w:rPr>
          <w:sz w:val="24"/>
        </w:rPr>
        <w:t xml:space="preserve"> or company) filed tariff revisions with the Utilities and Transportation Commission (commission</w:t>
      </w:r>
      <w:r w:rsidR="00366B6D" w:rsidRPr="00254BB1">
        <w:rPr>
          <w:sz w:val="24"/>
        </w:rPr>
        <w:t>) that</w:t>
      </w:r>
      <w:r w:rsidR="00DA49C0" w:rsidRPr="00254BB1">
        <w:rPr>
          <w:sz w:val="24"/>
        </w:rPr>
        <w:t xml:space="preserve"> </w:t>
      </w:r>
      <w:r w:rsidR="00D90AEC" w:rsidRPr="00254BB1">
        <w:rPr>
          <w:sz w:val="24"/>
        </w:rPr>
        <w:t>would generate approximately $</w:t>
      </w:r>
      <w:r w:rsidR="00531DCA">
        <w:rPr>
          <w:sz w:val="24"/>
        </w:rPr>
        <w:t>77,5</w:t>
      </w:r>
      <w:r w:rsidR="00413A79" w:rsidRPr="00254BB1">
        <w:rPr>
          <w:sz w:val="24"/>
        </w:rPr>
        <w:t>00</w:t>
      </w:r>
      <w:r w:rsidR="00D90AEC" w:rsidRPr="00254BB1">
        <w:rPr>
          <w:sz w:val="24"/>
        </w:rPr>
        <w:t xml:space="preserve"> (</w:t>
      </w:r>
      <w:r w:rsidR="00531DCA">
        <w:rPr>
          <w:sz w:val="24"/>
        </w:rPr>
        <w:t>3.4</w:t>
      </w:r>
      <w:r w:rsidR="00D90AEC" w:rsidRPr="00254BB1">
        <w:rPr>
          <w:sz w:val="24"/>
        </w:rPr>
        <w:t xml:space="preserve"> percent) additional </w:t>
      </w:r>
      <w:r w:rsidR="00131685" w:rsidRPr="00254BB1">
        <w:rPr>
          <w:sz w:val="24"/>
        </w:rPr>
        <w:t xml:space="preserve">annual </w:t>
      </w:r>
      <w:r w:rsidR="00D90AEC" w:rsidRPr="00254BB1">
        <w:rPr>
          <w:sz w:val="24"/>
        </w:rPr>
        <w:t>revenue</w:t>
      </w:r>
      <w:r w:rsidR="00DA49C0" w:rsidRPr="00254BB1">
        <w:rPr>
          <w:sz w:val="24"/>
        </w:rPr>
        <w:t>.</w:t>
      </w:r>
      <w:r w:rsidR="00254D48" w:rsidRPr="00254BB1">
        <w:rPr>
          <w:sz w:val="24"/>
        </w:rPr>
        <w:t xml:space="preserve"> </w:t>
      </w:r>
      <w:r w:rsidR="004E20D2">
        <w:rPr>
          <w:sz w:val="24"/>
        </w:rPr>
        <w:t>The proposed increases</w:t>
      </w:r>
      <w:r w:rsidR="004E20D2" w:rsidRPr="00254BB1">
        <w:rPr>
          <w:sz w:val="24"/>
        </w:rPr>
        <w:t xml:space="preserve"> </w:t>
      </w:r>
      <w:r w:rsidR="004E20D2">
        <w:rPr>
          <w:sz w:val="24"/>
        </w:rPr>
        <w:t>are</w:t>
      </w:r>
      <w:r w:rsidR="004E20D2" w:rsidRPr="00254BB1">
        <w:rPr>
          <w:sz w:val="24"/>
        </w:rPr>
        <w:t xml:space="preserve"> </w:t>
      </w:r>
      <w:r w:rsidR="004E20D2">
        <w:rPr>
          <w:sz w:val="24"/>
        </w:rPr>
        <w:t xml:space="preserve">driven primarily by increases in labor, fuel, disposal fees, </w:t>
      </w:r>
      <w:r w:rsidR="004E20D2" w:rsidRPr="00254BB1">
        <w:rPr>
          <w:sz w:val="24"/>
        </w:rPr>
        <w:t xml:space="preserve">and other operating expenses. Torre provides regulated service to approximately </w:t>
      </w:r>
      <w:r w:rsidR="004E20D2">
        <w:rPr>
          <w:sz w:val="24"/>
        </w:rPr>
        <w:t>4</w:t>
      </w:r>
      <w:r w:rsidR="004E20D2" w:rsidRPr="00254BB1">
        <w:rPr>
          <w:sz w:val="24"/>
        </w:rPr>
        <w:t>,500 residential and commercial customers in S</w:t>
      </w:r>
      <w:r w:rsidR="004E20D2">
        <w:rPr>
          <w:sz w:val="24"/>
        </w:rPr>
        <w:t>tevens and Spokane Counties</w:t>
      </w:r>
      <w:r w:rsidR="004E20D2" w:rsidRPr="00254BB1">
        <w:rPr>
          <w:sz w:val="24"/>
        </w:rPr>
        <w:t>. The company’s last general rate increase became effective on</w:t>
      </w:r>
      <w:r w:rsidR="004E20D2">
        <w:rPr>
          <w:sz w:val="24"/>
        </w:rPr>
        <w:t xml:space="preserve"> August 1, 2009</w:t>
      </w:r>
      <w:r w:rsidR="004E20D2" w:rsidRPr="00254BB1">
        <w:rPr>
          <w:sz w:val="24"/>
        </w:rPr>
        <w:t xml:space="preserve">. </w:t>
      </w:r>
    </w:p>
    <w:p w14:paraId="640AF74F" w14:textId="77777777" w:rsidR="004E20D2" w:rsidRDefault="004E20D2"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C472FEA" w14:textId="18CCD17C" w:rsidR="00270B72" w:rsidRDefault="00270B72" w:rsidP="00270B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On September 10, 2013, the Stevens County Board of County Commissioners voted to increase tipping fees at county facilities from $61.00 per ton to $64.50 per ton effective January 1, 2014. Stevens County Department of Public Works </w:t>
      </w:r>
      <w:r w:rsidR="00C56E50">
        <w:rPr>
          <w:sz w:val="24"/>
        </w:rPr>
        <w:t xml:space="preserve">notified </w:t>
      </w:r>
      <w:r>
        <w:rPr>
          <w:sz w:val="24"/>
        </w:rPr>
        <w:t>haulers on October 21, 2013</w:t>
      </w:r>
      <w:r w:rsidR="004037BD">
        <w:rPr>
          <w:sz w:val="24"/>
        </w:rPr>
        <w:t xml:space="preserve">, </w:t>
      </w:r>
      <w:r>
        <w:rPr>
          <w:sz w:val="24"/>
        </w:rPr>
        <w:t xml:space="preserve">that the </w:t>
      </w:r>
      <w:r w:rsidR="00C56E50">
        <w:rPr>
          <w:sz w:val="24"/>
        </w:rPr>
        <w:t xml:space="preserve">$64.50 per ton </w:t>
      </w:r>
      <w:r>
        <w:rPr>
          <w:sz w:val="24"/>
        </w:rPr>
        <w:t>disposal fee rate included the refuse collection tax</w:t>
      </w:r>
      <w:r w:rsidR="00C56E50">
        <w:rPr>
          <w:sz w:val="24"/>
        </w:rPr>
        <w:t xml:space="preserve">, so </w:t>
      </w:r>
      <w:r>
        <w:rPr>
          <w:sz w:val="24"/>
        </w:rPr>
        <w:t xml:space="preserve">the actual tip fee would be $62.18 per ton without the refuse tax. The company initially filed tariff pages increasing disposal fees to $62.18 per ton. On December 12, 2013, Stevens County notified the company that the county’s previously-issued notification letter had misstated the disposal fee increase and that </w:t>
      </w:r>
      <w:r w:rsidR="00C56E50">
        <w:rPr>
          <w:sz w:val="24"/>
        </w:rPr>
        <w:t xml:space="preserve">the </w:t>
      </w:r>
      <w:r>
        <w:rPr>
          <w:sz w:val="24"/>
        </w:rPr>
        <w:t xml:space="preserve">actual disposal fee </w:t>
      </w:r>
      <w:r w:rsidR="00C56E50">
        <w:rPr>
          <w:sz w:val="24"/>
        </w:rPr>
        <w:t xml:space="preserve">rate </w:t>
      </w:r>
      <w:r>
        <w:rPr>
          <w:sz w:val="24"/>
        </w:rPr>
        <w:t xml:space="preserve">would be $64.50 per ton, without the refuse tax. </w:t>
      </w:r>
      <w:r w:rsidR="00C56E50">
        <w:rPr>
          <w:sz w:val="24"/>
        </w:rPr>
        <w:t xml:space="preserve">The company filed revised work papers reflecting the </w:t>
      </w:r>
      <w:r>
        <w:rPr>
          <w:sz w:val="24"/>
        </w:rPr>
        <w:t>correct disposal fee</w:t>
      </w:r>
      <w:r w:rsidR="00C56E50">
        <w:rPr>
          <w:sz w:val="24"/>
        </w:rPr>
        <w:t>, which added $</w:t>
      </w:r>
      <w:r w:rsidR="00B84A6C">
        <w:rPr>
          <w:sz w:val="24"/>
        </w:rPr>
        <w:t>31,615</w:t>
      </w:r>
      <w:r w:rsidR="00CC3975">
        <w:rPr>
          <w:sz w:val="24"/>
        </w:rPr>
        <w:t xml:space="preserve"> disposal </w:t>
      </w:r>
      <w:r w:rsidR="00C56E50">
        <w:rPr>
          <w:sz w:val="24"/>
        </w:rPr>
        <w:t>expense</w:t>
      </w:r>
      <w:r w:rsidR="008C2568">
        <w:rPr>
          <w:sz w:val="24"/>
        </w:rPr>
        <w:t>,</w:t>
      </w:r>
      <w:r w:rsidR="00C56E50">
        <w:rPr>
          <w:sz w:val="24"/>
        </w:rPr>
        <w:t xml:space="preserve"> and </w:t>
      </w:r>
      <w:r w:rsidR="008C2568">
        <w:rPr>
          <w:sz w:val="24"/>
        </w:rPr>
        <w:t xml:space="preserve">resulted in a </w:t>
      </w:r>
      <w:r w:rsidR="00C56E50">
        <w:rPr>
          <w:sz w:val="24"/>
        </w:rPr>
        <w:t>$</w:t>
      </w:r>
      <w:r w:rsidR="00B84A6C">
        <w:rPr>
          <w:sz w:val="24"/>
        </w:rPr>
        <w:t>79,142 total</w:t>
      </w:r>
      <w:r w:rsidR="00CC3975">
        <w:rPr>
          <w:sz w:val="24"/>
        </w:rPr>
        <w:t xml:space="preserve"> </w:t>
      </w:r>
      <w:r w:rsidR="00C56E50">
        <w:rPr>
          <w:sz w:val="24"/>
        </w:rPr>
        <w:t>revenue requirement</w:t>
      </w:r>
      <w:r>
        <w:rPr>
          <w:sz w:val="24"/>
        </w:rPr>
        <w:t>.</w:t>
      </w:r>
    </w:p>
    <w:p w14:paraId="3A9891BC" w14:textId="77777777" w:rsidR="00D077ED" w:rsidRDefault="00D077ED" w:rsidP="00270B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8360936" w14:textId="5DF19CA4" w:rsidR="00E35818" w:rsidRDefault="008C2568" w:rsidP="00D077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8C2568">
        <w:rPr>
          <w:b/>
          <w:sz w:val="24"/>
        </w:rPr>
        <w:t>Increased Revenue Requirement</w:t>
      </w:r>
    </w:p>
    <w:p w14:paraId="0A1BA1AE" w14:textId="77777777" w:rsidR="00D077ED" w:rsidRDefault="00D077ED" w:rsidP="00D077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bl>
      <w:tblPr>
        <w:tblStyle w:val="TableGrid"/>
        <w:tblW w:w="0" w:type="auto"/>
        <w:tblInd w:w="828" w:type="dxa"/>
        <w:tblLook w:val="04A0" w:firstRow="1" w:lastRow="0" w:firstColumn="1" w:lastColumn="0" w:noHBand="0" w:noVBand="1"/>
      </w:tblPr>
      <w:tblGrid>
        <w:gridCol w:w="3420"/>
        <w:gridCol w:w="2430"/>
        <w:gridCol w:w="2160"/>
      </w:tblGrid>
      <w:tr w:rsidR="00C82425" w:rsidRPr="00D077ED" w14:paraId="2F9D5A0E" w14:textId="77777777" w:rsidTr="008C2568">
        <w:tc>
          <w:tcPr>
            <w:tcW w:w="3420" w:type="dxa"/>
          </w:tcPr>
          <w:p w14:paraId="3C4B82CF" w14:textId="5217FBE0" w:rsidR="00C82425" w:rsidRPr="00D077ED" w:rsidRDefault="008C2568" w:rsidP="00D077ED">
            <w:pPr>
              <w:widowControl/>
              <w:autoSpaceDE/>
              <w:autoSpaceDN/>
              <w:adjustRightInd/>
              <w:jc w:val="center"/>
              <w:rPr>
                <w:rFonts w:eastAsiaTheme="minorHAnsi"/>
                <w:b/>
                <w:sz w:val="24"/>
              </w:rPr>
            </w:pPr>
            <w:r w:rsidRPr="00D077ED">
              <w:rPr>
                <w:rFonts w:eastAsiaTheme="minorHAnsi"/>
                <w:b/>
                <w:sz w:val="24"/>
              </w:rPr>
              <w:t>Expense</w:t>
            </w:r>
          </w:p>
        </w:tc>
        <w:tc>
          <w:tcPr>
            <w:tcW w:w="2430" w:type="dxa"/>
            <w:vAlign w:val="center"/>
          </w:tcPr>
          <w:p w14:paraId="37E618D0" w14:textId="2FA17824" w:rsidR="008C2568" w:rsidRPr="00D077ED" w:rsidRDefault="00C82425" w:rsidP="00D077ED">
            <w:pPr>
              <w:widowControl/>
              <w:autoSpaceDE/>
              <w:autoSpaceDN/>
              <w:adjustRightInd/>
              <w:jc w:val="center"/>
              <w:rPr>
                <w:rFonts w:eastAsiaTheme="minorHAnsi"/>
                <w:b/>
                <w:sz w:val="24"/>
              </w:rPr>
            </w:pPr>
            <w:r w:rsidRPr="00D077ED">
              <w:rPr>
                <w:rFonts w:eastAsiaTheme="minorHAnsi"/>
                <w:b/>
                <w:sz w:val="24"/>
              </w:rPr>
              <w:t>Proposed</w:t>
            </w:r>
          </w:p>
        </w:tc>
        <w:tc>
          <w:tcPr>
            <w:tcW w:w="2160" w:type="dxa"/>
            <w:vAlign w:val="center"/>
          </w:tcPr>
          <w:p w14:paraId="1152C6B2" w14:textId="608ADB69" w:rsidR="008C2568" w:rsidRPr="00D077ED" w:rsidRDefault="00C82425" w:rsidP="00D077ED">
            <w:pPr>
              <w:widowControl/>
              <w:autoSpaceDE/>
              <w:autoSpaceDN/>
              <w:adjustRightInd/>
              <w:jc w:val="center"/>
              <w:rPr>
                <w:rFonts w:eastAsiaTheme="minorHAnsi"/>
                <w:b/>
                <w:sz w:val="24"/>
              </w:rPr>
            </w:pPr>
            <w:r w:rsidRPr="00D077ED">
              <w:rPr>
                <w:rFonts w:eastAsiaTheme="minorHAnsi"/>
                <w:b/>
                <w:sz w:val="24"/>
              </w:rPr>
              <w:t>Revised</w:t>
            </w:r>
          </w:p>
        </w:tc>
      </w:tr>
      <w:tr w:rsidR="00C82425" w:rsidRPr="00D077ED" w14:paraId="1E9759C3" w14:textId="77777777" w:rsidTr="00D077ED">
        <w:trPr>
          <w:trHeight w:val="305"/>
        </w:trPr>
        <w:tc>
          <w:tcPr>
            <w:tcW w:w="3420" w:type="dxa"/>
            <w:vAlign w:val="center"/>
          </w:tcPr>
          <w:p w14:paraId="42949830" w14:textId="0BAC396F" w:rsidR="00C82425" w:rsidRPr="008C2568" w:rsidRDefault="00C82425" w:rsidP="00D077ED">
            <w:pPr>
              <w:widowControl/>
              <w:autoSpaceDE/>
              <w:autoSpaceDN/>
              <w:adjustRightInd/>
              <w:jc w:val="center"/>
              <w:rPr>
                <w:rFonts w:eastAsiaTheme="minorHAnsi"/>
                <w:sz w:val="24"/>
              </w:rPr>
            </w:pPr>
            <w:r w:rsidRPr="008C2568">
              <w:rPr>
                <w:rFonts w:eastAsiaTheme="minorHAnsi"/>
                <w:sz w:val="24"/>
              </w:rPr>
              <w:t>Disposal</w:t>
            </w:r>
          </w:p>
        </w:tc>
        <w:tc>
          <w:tcPr>
            <w:tcW w:w="2430" w:type="dxa"/>
            <w:vAlign w:val="center"/>
          </w:tcPr>
          <w:p w14:paraId="599F3FC1" w14:textId="3EF95C34" w:rsidR="00C82425" w:rsidRPr="00D077ED" w:rsidRDefault="00C82425" w:rsidP="00D077ED">
            <w:pPr>
              <w:widowControl/>
              <w:autoSpaceDE/>
              <w:autoSpaceDN/>
              <w:adjustRightInd/>
              <w:jc w:val="center"/>
              <w:rPr>
                <w:rFonts w:eastAsiaTheme="minorHAnsi"/>
                <w:sz w:val="24"/>
              </w:rPr>
            </w:pPr>
            <w:r w:rsidRPr="00D077ED">
              <w:rPr>
                <w:rFonts w:eastAsiaTheme="minorHAnsi"/>
                <w:sz w:val="24"/>
              </w:rPr>
              <w:t>$10,659</w:t>
            </w:r>
          </w:p>
        </w:tc>
        <w:tc>
          <w:tcPr>
            <w:tcW w:w="2160" w:type="dxa"/>
            <w:vAlign w:val="center"/>
          </w:tcPr>
          <w:p w14:paraId="4D5DB28B" w14:textId="39B8CFD7" w:rsidR="00C82425" w:rsidRPr="00D077ED" w:rsidRDefault="00C82425" w:rsidP="00D077ED">
            <w:pPr>
              <w:widowControl/>
              <w:autoSpaceDE/>
              <w:autoSpaceDN/>
              <w:adjustRightInd/>
              <w:jc w:val="center"/>
              <w:rPr>
                <w:rFonts w:eastAsiaTheme="minorHAnsi"/>
                <w:sz w:val="24"/>
              </w:rPr>
            </w:pPr>
            <w:r w:rsidRPr="00D077ED">
              <w:rPr>
                <w:rFonts w:eastAsiaTheme="minorHAnsi"/>
                <w:sz w:val="24"/>
              </w:rPr>
              <w:t>$</w:t>
            </w:r>
            <w:r w:rsidR="00B84A6C" w:rsidRPr="00D077ED">
              <w:rPr>
                <w:rFonts w:eastAsiaTheme="minorHAnsi"/>
                <w:sz w:val="24"/>
              </w:rPr>
              <w:t>31,615</w:t>
            </w:r>
          </w:p>
        </w:tc>
      </w:tr>
      <w:tr w:rsidR="00C82425" w:rsidRPr="00D077ED" w14:paraId="421E02EB" w14:textId="77777777" w:rsidTr="008C2568">
        <w:tc>
          <w:tcPr>
            <w:tcW w:w="3420" w:type="dxa"/>
          </w:tcPr>
          <w:p w14:paraId="2F5B4A75" w14:textId="40A41559" w:rsidR="00C82425" w:rsidRPr="008C2568" w:rsidRDefault="00C82425" w:rsidP="00D077ED">
            <w:pPr>
              <w:widowControl/>
              <w:autoSpaceDE/>
              <w:autoSpaceDN/>
              <w:adjustRightInd/>
              <w:jc w:val="center"/>
              <w:rPr>
                <w:rFonts w:eastAsiaTheme="minorHAnsi"/>
                <w:sz w:val="24"/>
              </w:rPr>
            </w:pPr>
            <w:r w:rsidRPr="008C2568">
              <w:rPr>
                <w:rFonts w:eastAsiaTheme="minorHAnsi"/>
                <w:sz w:val="24"/>
              </w:rPr>
              <w:t>Non-Disposal</w:t>
            </w:r>
          </w:p>
        </w:tc>
        <w:tc>
          <w:tcPr>
            <w:tcW w:w="2430" w:type="dxa"/>
          </w:tcPr>
          <w:p w14:paraId="5C444252" w14:textId="59B15739" w:rsidR="00C82425" w:rsidRPr="008C2568" w:rsidRDefault="00C82425" w:rsidP="00D077ED">
            <w:pPr>
              <w:widowControl/>
              <w:autoSpaceDE/>
              <w:autoSpaceDN/>
              <w:adjustRightInd/>
              <w:jc w:val="center"/>
              <w:rPr>
                <w:rFonts w:eastAsiaTheme="minorHAnsi"/>
                <w:sz w:val="24"/>
              </w:rPr>
            </w:pPr>
            <w:r w:rsidRPr="008C2568">
              <w:rPr>
                <w:rFonts w:eastAsiaTheme="minorHAnsi"/>
                <w:sz w:val="24"/>
              </w:rPr>
              <w:t>$66,841</w:t>
            </w:r>
          </w:p>
        </w:tc>
        <w:tc>
          <w:tcPr>
            <w:tcW w:w="2160" w:type="dxa"/>
          </w:tcPr>
          <w:p w14:paraId="41B11922" w14:textId="7FF5BA7F" w:rsidR="00C82425" w:rsidRPr="008C2568" w:rsidRDefault="00C82425" w:rsidP="00D077ED">
            <w:pPr>
              <w:widowControl/>
              <w:autoSpaceDE/>
              <w:autoSpaceDN/>
              <w:adjustRightInd/>
              <w:jc w:val="center"/>
              <w:rPr>
                <w:rFonts w:eastAsiaTheme="minorHAnsi"/>
                <w:sz w:val="24"/>
              </w:rPr>
            </w:pPr>
            <w:r w:rsidRPr="008C2568">
              <w:rPr>
                <w:rFonts w:eastAsiaTheme="minorHAnsi"/>
                <w:sz w:val="24"/>
              </w:rPr>
              <w:t>$</w:t>
            </w:r>
            <w:r w:rsidR="00B84A6C" w:rsidRPr="008C2568">
              <w:rPr>
                <w:rFonts w:eastAsiaTheme="minorHAnsi"/>
                <w:sz w:val="24"/>
              </w:rPr>
              <w:t>47,527</w:t>
            </w:r>
          </w:p>
        </w:tc>
      </w:tr>
      <w:tr w:rsidR="00C82425" w:rsidRPr="00D077ED" w14:paraId="4C8CF0AB" w14:textId="77777777" w:rsidTr="008C2568">
        <w:tc>
          <w:tcPr>
            <w:tcW w:w="3420" w:type="dxa"/>
          </w:tcPr>
          <w:p w14:paraId="1462DBD9" w14:textId="71D3D896" w:rsidR="00C82425" w:rsidRPr="008C2568" w:rsidRDefault="00C82425" w:rsidP="00D077ED">
            <w:pPr>
              <w:widowControl/>
              <w:autoSpaceDE/>
              <w:autoSpaceDN/>
              <w:adjustRightInd/>
              <w:jc w:val="center"/>
              <w:rPr>
                <w:rFonts w:eastAsiaTheme="minorHAnsi"/>
                <w:sz w:val="24"/>
              </w:rPr>
            </w:pPr>
            <w:r w:rsidRPr="008C2568">
              <w:rPr>
                <w:rFonts w:eastAsiaTheme="minorHAnsi"/>
                <w:sz w:val="24"/>
              </w:rPr>
              <w:t>Total</w:t>
            </w:r>
          </w:p>
        </w:tc>
        <w:tc>
          <w:tcPr>
            <w:tcW w:w="2430" w:type="dxa"/>
          </w:tcPr>
          <w:p w14:paraId="2F98CB94" w14:textId="6B60AAD9" w:rsidR="00C82425" w:rsidRPr="008C2568" w:rsidRDefault="00C82425" w:rsidP="00D077ED">
            <w:pPr>
              <w:widowControl/>
              <w:autoSpaceDE/>
              <w:autoSpaceDN/>
              <w:adjustRightInd/>
              <w:jc w:val="center"/>
              <w:rPr>
                <w:rFonts w:eastAsiaTheme="minorHAnsi"/>
                <w:sz w:val="24"/>
              </w:rPr>
            </w:pPr>
            <w:r w:rsidRPr="008C2568">
              <w:rPr>
                <w:rFonts w:eastAsiaTheme="minorHAnsi"/>
                <w:sz w:val="24"/>
              </w:rPr>
              <w:t>$77,500</w:t>
            </w:r>
          </w:p>
        </w:tc>
        <w:tc>
          <w:tcPr>
            <w:tcW w:w="2160" w:type="dxa"/>
          </w:tcPr>
          <w:p w14:paraId="13C6CC01" w14:textId="6D5F252D" w:rsidR="00C82425" w:rsidRPr="008C2568" w:rsidRDefault="00C82425" w:rsidP="00D077ED">
            <w:pPr>
              <w:widowControl/>
              <w:autoSpaceDE/>
              <w:autoSpaceDN/>
              <w:adjustRightInd/>
              <w:jc w:val="center"/>
              <w:rPr>
                <w:rFonts w:eastAsiaTheme="minorHAnsi"/>
                <w:sz w:val="24"/>
              </w:rPr>
            </w:pPr>
            <w:r w:rsidRPr="008C2568">
              <w:rPr>
                <w:rFonts w:eastAsiaTheme="minorHAnsi"/>
                <w:sz w:val="24"/>
              </w:rPr>
              <w:t>$</w:t>
            </w:r>
            <w:r w:rsidR="00B84A6C" w:rsidRPr="008C2568">
              <w:rPr>
                <w:rFonts w:eastAsiaTheme="minorHAnsi"/>
                <w:sz w:val="24"/>
              </w:rPr>
              <w:t>79,142</w:t>
            </w:r>
          </w:p>
        </w:tc>
      </w:tr>
    </w:tbl>
    <w:p w14:paraId="4E2F0246" w14:textId="77777777" w:rsidR="00C82425" w:rsidRPr="00D077ED" w:rsidRDefault="00C82425" w:rsidP="00D077ED">
      <w:pPr>
        <w:widowControl/>
        <w:autoSpaceDE/>
        <w:autoSpaceDN/>
        <w:adjustRightInd/>
        <w:rPr>
          <w:rFonts w:eastAsiaTheme="minorHAnsi"/>
          <w:sz w:val="24"/>
        </w:rPr>
      </w:pPr>
    </w:p>
    <w:p w14:paraId="297A2D48" w14:textId="1A6BC5D4" w:rsidR="00B45E3A" w:rsidRDefault="00007C00" w:rsidP="00104F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sz w:val="24"/>
        </w:rPr>
      </w:pPr>
      <w:r w:rsidRPr="00254BB1">
        <w:rPr>
          <w:sz w:val="24"/>
        </w:rPr>
        <w:t xml:space="preserve">Staff has completed its review of the company’s supporting financial documents, books and records. </w:t>
      </w:r>
      <w:r w:rsidR="004E20D2" w:rsidRPr="00254BB1">
        <w:rPr>
          <w:sz w:val="24"/>
        </w:rPr>
        <w:t>Staff and the company agreed to a</w:t>
      </w:r>
      <w:r w:rsidR="003D459E">
        <w:rPr>
          <w:sz w:val="24"/>
        </w:rPr>
        <w:t xml:space="preserve"> final</w:t>
      </w:r>
      <w:r w:rsidR="004E20D2" w:rsidRPr="00254BB1">
        <w:rPr>
          <w:sz w:val="24"/>
        </w:rPr>
        <w:t xml:space="preserve"> revised revenue requirement</w:t>
      </w:r>
      <w:r w:rsidR="00C56E50">
        <w:rPr>
          <w:sz w:val="24"/>
        </w:rPr>
        <w:t xml:space="preserve">, including the </w:t>
      </w:r>
      <w:r w:rsidR="00C56E50">
        <w:rPr>
          <w:sz w:val="24"/>
        </w:rPr>
        <w:lastRenderedPageBreak/>
        <w:t>revised disposal fee,</w:t>
      </w:r>
      <w:r w:rsidR="004E20D2" w:rsidRPr="00254BB1">
        <w:rPr>
          <w:sz w:val="24"/>
        </w:rPr>
        <w:t xml:space="preserve"> of approximately $</w:t>
      </w:r>
      <w:r w:rsidR="004E20D2">
        <w:rPr>
          <w:sz w:val="24"/>
        </w:rPr>
        <w:t>78,8</w:t>
      </w:r>
      <w:r w:rsidR="004E20D2" w:rsidRPr="00254BB1">
        <w:rPr>
          <w:sz w:val="24"/>
        </w:rPr>
        <w:t>00 (</w:t>
      </w:r>
      <w:r w:rsidR="00AD34C8">
        <w:rPr>
          <w:sz w:val="24"/>
        </w:rPr>
        <w:t>3.5</w:t>
      </w:r>
      <w:r w:rsidR="004E20D2" w:rsidRPr="00254BB1">
        <w:rPr>
          <w:sz w:val="24"/>
        </w:rPr>
        <w:t xml:space="preserve"> perc</w:t>
      </w:r>
      <w:r w:rsidR="004037BD">
        <w:rPr>
          <w:sz w:val="24"/>
        </w:rPr>
        <w:t xml:space="preserve">ent). </w:t>
      </w:r>
      <w:r w:rsidR="004E20D2">
        <w:rPr>
          <w:sz w:val="24"/>
        </w:rPr>
        <w:t>O</w:t>
      </w:r>
      <w:r w:rsidR="004E20D2" w:rsidRPr="00254BB1">
        <w:rPr>
          <w:sz w:val="24"/>
        </w:rPr>
        <w:t>n</w:t>
      </w:r>
      <w:r w:rsidR="004E20D2">
        <w:rPr>
          <w:sz w:val="24"/>
        </w:rPr>
        <w:t xml:space="preserve"> </w:t>
      </w:r>
      <w:r w:rsidR="007A2DF5">
        <w:rPr>
          <w:sz w:val="24"/>
        </w:rPr>
        <w:t>December 17</w:t>
      </w:r>
      <w:r w:rsidR="002C6D3D">
        <w:rPr>
          <w:sz w:val="24"/>
        </w:rPr>
        <w:t>, 2013</w:t>
      </w:r>
      <w:r w:rsidR="004E20D2">
        <w:rPr>
          <w:sz w:val="24"/>
        </w:rPr>
        <w:t xml:space="preserve">, the company filed </w:t>
      </w:r>
      <w:r w:rsidR="004E20D2" w:rsidRPr="00254BB1">
        <w:rPr>
          <w:sz w:val="24"/>
        </w:rPr>
        <w:t>revised rates at staff recommended levels.</w:t>
      </w:r>
      <w:r w:rsidR="004E20D2">
        <w:rPr>
          <w:rFonts w:eastAsiaTheme="minorHAnsi"/>
          <w:sz w:val="24"/>
        </w:rPr>
        <w:t xml:space="preserve"> </w:t>
      </w:r>
    </w:p>
    <w:p w14:paraId="256BFB68" w14:textId="77777777" w:rsidR="00D077ED" w:rsidRDefault="00D077ED" w:rsidP="00104F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sz w:val="24"/>
        </w:rPr>
      </w:pPr>
    </w:p>
    <w:p w14:paraId="51B245BD" w14:textId="3C0C1BB5" w:rsidR="00007C00" w:rsidRDefault="00007C00" w:rsidP="00D077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heme="minorHAnsi"/>
          <w:b/>
          <w:sz w:val="24"/>
          <w:u w:val="single"/>
        </w:rPr>
      </w:pPr>
      <w:r w:rsidRPr="00254BB1">
        <w:rPr>
          <w:rFonts w:eastAsiaTheme="minorHAnsi"/>
          <w:b/>
          <w:sz w:val="24"/>
          <w:u w:val="single"/>
        </w:rPr>
        <w:t>Rate Comparison</w:t>
      </w:r>
    </w:p>
    <w:p w14:paraId="516B5AA7" w14:textId="77777777" w:rsidR="007B37A2" w:rsidRDefault="007B37A2" w:rsidP="00007C00">
      <w:pPr>
        <w:widowControl/>
        <w:autoSpaceDE/>
        <w:autoSpaceDN/>
        <w:adjustRightInd/>
        <w:jc w:val="center"/>
        <w:rPr>
          <w:rFonts w:eastAsiaTheme="minorHAnsi"/>
          <w:b/>
          <w:sz w:val="24"/>
          <w:u w:val="single"/>
        </w:rPr>
      </w:pPr>
    </w:p>
    <w:tbl>
      <w:tblPr>
        <w:tblStyle w:val="TableGrid"/>
        <w:tblW w:w="0" w:type="auto"/>
        <w:jc w:val="center"/>
        <w:tblLayout w:type="fixed"/>
        <w:tblLook w:val="04A0" w:firstRow="1" w:lastRow="0" w:firstColumn="1" w:lastColumn="0" w:noHBand="0" w:noVBand="1"/>
      </w:tblPr>
      <w:tblGrid>
        <w:gridCol w:w="2970"/>
        <w:gridCol w:w="1350"/>
        <w:gridCol w:w="1440"/>
        <w:gridCol w:w="1800"/>
      </w:tblGrid>
      <w:tr w:rsidR="00240C79" w:rsidRPr="008732DD" w14:paraId="69724581" w14:textId="77777777" w:rsidTr="00240C79">
        <w:trPr>
          <w:jc w:val="center"/>
        </w:trPr>
        <w:tc>
          <w:tcPr>
            <w:tcW w:w="2970" w:type="dxa"/>
            <w:tcBorders>
              <w:bottom w:val="single" w:sz="18" w:space="0" w:color="auto"/>
            </w:tcBorders>
          </w:tcPr>
          <w:p w14:paraId="42B0034A" w14:textId="77777777" w:rsidR="00240C79" w:rsidRPr="008732DD" w:rsidRDefault="00240C79" w:rsidP="00240C79">
            <w:pPr>
              <w:widowControl/>
              <w:autoSpaceDE/>
              <w:autoSpaceDN/>
              <w:adjustRightInd/>
              <w:rPr>
                <w:rFonts w:eastAsiaTheme="minorHAnsi"/>
                <w:sz w:val="24"/>
              </w:rPr>
            </w:pPr>
          </w:p>
        </w:tc>
        <w:tc>
          <w:tcPr>
            <w:tcW w:w="1350" w:type="dxa"/>
            <w:tcBorders>
              <w:bottom w:val="single" w:sz="18" w:space="0" w:color="auto"/>
            </w:tcBorders>
          </w:tcPr>
          <w:p w14:paraId="757B1415" w14:textId="229636C1" w:rsidR="00240C79" w:rsidRPr="00B42C89" w:rsidRDefault="00240C79" w:rsidP="00007C00">
            <w:pPr>
              <w:widowControl/>
              <w:autoSpaceDE/>
              <w:autoSpaceDN/>
              <w:adjustRightInd/>
              <w:jc w:val="center"/>
              <w:rPr>
                <w:rFonts w:eastAsiaTheme="minorHAnsi"/>
                <w:b/>
                <w:sz w:val="24"/>
              </w:rPr>
            </w:pPr>
            <w:r w:rsidRPr="00B42C89">
              <w:rPr>
                <w:rFonts w:eastAsiaTheme="minorHAnsi"/>
                <w:b/>
                <w:sz w:val="24"/>
              </w:rPr>
              <w:t>Current Rate</w:t>
            </w:r>
          </w:p>
        </w:tc>
        <w:tc>
          <w:tcPr>
            <w:tcW w:w="1440" w:type="dxa"/>
            <w:tcBorders>
              <w:bottom w:val="single" w:sz="18" w:space="0" w:color="auto"/>
            </w:tcBorders>
          </w:tcPr>
          <w:p w14:paraId="5B8A7229" w14:textId="0264F098" w:rsidR="00240C79" w:rsidRPr="00B42C89" w:rsidRDefault="00240C79" w:rsidP="00007C00">
            <w:pPr>
              <w:widowControl/>
              <w:autoSpaceDE/>
              <w:autoSpaceDN/>
              <w:adjustRightInd/>
              <w:jc w:val="center"/>
              <w:rPr>
                <w:rFonts w:eastAsiaTheme="minorHAnsi"/>
                <w:b/>
                <w:sz w:val="24"/>
              </w:rPr>
            </w:pPr>
            <w:r w:rsidRPr="00B42C89">
              <w:rPr>
                <w:rFonts w:eastAsiaTheme="minorHAnsi"/>
                <w:b/>
                <w:sz w:val="24"/>
              </w:rPr>
              <w:t>Revised Rate</w:t>
            </w:r>
          </w:p>
        </w:tc>
        <w:tc>
          <w:tcPr>
            <w:tcW w:w="1800" w:type="dxa"/>
            <w:tcBorders>
              <w:bottom w:val="single" w:sz="18" w:space="0" w:color="auto"/>
            </w:tcBorders>
          </w:tcPr>
          <w:p w14:paraId="694A7B8A" w14:textId="756EB748" w:rsidR="00240C79" w:rsidRPr="00B42C89" w:rsidRDefault="00240C79" w:rsidP="00007C00">
            <w:pPr>
              <w:widowControl/>
              <w:autoSpaceDE/>
              <w:autoSpaceDN/>
              <w:adjustRightInd/>
              <w:jc w:val="center"/>
              <w:rPr>
                <w:rFonts w:eastAsiaTheme="minorHAnsi"/>
                <w:b/>
                <w:sz w:val="24"/>
              </w:rPr>
            </w:pPr>
            <w:r w:rsidRPr="00B42C89">
              <w:rPr>
                <w:rFonts w:eastAsiaTheme="minorHAnsi"/>
                <w:b/>
                <w:sz w:val="24"/>
              </w:rPr>
              <w:t>Percentage Increase</w:t>
            </w:r>
          </w:p>
        </w:tc>
      </w:tr>
      <w:tr w:rsidR="00240C79" w:rsidRPr="008732DD" w14:paraId="05BB5488" w14:textId="77777777" w:rsidTr="00240C79">
        <w:trPr>
          <w:jc w:val="center"/>
        </w:trPr>
        <w:tc>
          <w:tcPr>
            <w:tcW w:w="2970" w:type="dxa"/>
            <w:tcBorders>
              <w:top w:val="single" w:sz="18" w:space="0" w:color="auto"/>
              <w:right w:val="nil"/>
            </w:tcBorders>
          </w:tcPr>
          <w:p w14:paraId="5FE1670A" w14:textId="197C20D8" w:rsidR="00240C79" w:rsidRPr="00B42C89" w:rsidRDefault="00240C79" w:rsidP="008732DD">
            <w:pPr>
              <w:widowControl/>
              <w:autoSpaceDE/>
              <w:autoSpaceDN/>
              <w:adjustRightInd/>
              <w:jc w:val="center"/>
              <w:rPr>
                <w:rFonts w:eastAsiaTheme="minorHAnsi"/>
                <w:b/>
                <w:sz w:val="24"/>
              </w:rPr>
            </w:pPr>
            <w:r w:rsidRPr="00B42C89">
              <w:rPr>
                <w:rFonts w:eastAsiaTheme="minorHAnsi"/>
                <w:b/>
                <w:sz w:val="24"/>
              </w:rPr>
              <w:t>Residential Monthly Rates</w:t>
            </w:r>
          </w:p>
        </w:tc>
        <w:tc>
          <w:tcPr>
            <w:tcW w:w="1350" w:type="dxa"/>
            <w:tcBorders>
              <w:top w:val="single" w:sz="18" w:space="0" w:color="auto"/>
              <w:left w:val="nil"/>
              <w:right w:val="nil"/>
            </w:tcBorders>
          </w:tcPr>
          <w:p w14:paraId="653ACA2A" w14:textId="77777777" w:rsidR="00240C79" w:rsidRPr="008732DD" w:rsidRDefault="00240C79" w:rsidP="00007C00">
            <w:pPr>
              <w:widowControl/>
              <w:autoSpaceDE/>
              <w:autoSpaceDN/>
              <w:adjustRightInd/>
              <w:jc w:val="center"/>
              <w:rPr>
                <w:rFonts w:eastAsiaTheme="minorHAnsi"/>
                <w:sz w:val="24"/>
              </w:rPr>
            </w:pPr>
          </w:p>
        </w:tc>
        <w:tc>
          <w:tcPr>
            <w:tcW w:w="1440" w:type="dxa"/>
            <w:tcBorders>
              <w:top w:val="single" w:sz="18" w:space="0" w:color="auto"/>
              <w:left w:val="nil"/>
              <w:right w:val="nil"/>
            </w:tcBorders>
          </w:tcPr>
          <w:p w14:paraId="64349491" w14:textId="77777777" w:rsidR="00240C79" w:rsidRPr="008732DD" w:rsidRDefault="00240C79" w:rsidP="00007C00">
            <w:pPr>
              <w:widowControl/>
              <w:autoSpaceDE/>
              <w:autoSpaceDN/>
              <w:adjustRightInd/>
              <w:jc w:val="center"/>
              <w:rPr>
                <w:rFonts w:eastAsiaTheme="minorHAnsi"/>
                <w:sz w:val="24"/>
              </w:rPr>
            </w:pPr>
          </w:p>
        </w:tc>
        <w:tc>
          <w:tcPr>
            <w:tcW w:w="1800" w:type="dxa"/>
            <w:tcBorders>
              <w:top w:val="single" w:sz="18" w:space="0" w:color="auto"/>
              <w:left w:val="nil"/>
            </w:tcBorders>
          </w:tcPr>
          <w:p w14:paraId="5034695F" w14:textId="77777777" w:rsidR="00240C79" w:rsidRPr="008732DD" w:rsidRDefault="00240C79" w:rsidP="00007C00">
            <w:pPr>
              <w:widowControl/>
              <w:autoSpaceDE/>
              <w:autoSpaceDN/>
              <w:adjustRightInd/>
              <w:jc w:val="center"/>
              <w:rPr>
                <w:rFonts w:eastAsiaTheme="minorHAnsi"/>
                <w:sz w:val="24"/>
              </w:rPr>
            </w:pPr>
          </w:p>
        </w:tc>
      </w:tr>
      <w:tr w:rsidR="00240C79" w:rsidRPr="008732DD" w14:paraId="779F7822" w14:textId="77777777" w:rsidTr="00240C79">
        <w:trPr>
          <w:jc w:val="center"/>
        </w:trPr>
        <w:tc>
          <w:tcPr>
            <w:tcW w:w="2970" w:type="dxa"/>
          </w:tcPr>
          <w:p w14:paraId="7EA691E9" w14:textId="7060B473" w:rsidR="00240C79" w:rsidRPr="008732DD" w:rsidRDefault="00240C79" w:rsidP="00007C00">
            <w:pPr>
              <w:widowControl/>
              <w:autoSpaceDE/>
              <w:autoSpaceDN/>
              <w:adjustRightInd/>
              <w:jc w:val="center"/>
              <w:rPr>
                <w:rFonts w:eastAsiaTheme="minorHAnsi"/>
                <w:sz w:val="24"/>
              </w:rPr>
            </w:pPr>
            <w:r w:rsidRPr="008732DD">
              <w:rPr>
                <w:rFonts w:eastAsiaTheme="minorHAnsi"/>
                <w:sz w:val="24"/>
              </w:rPr>
              <w:t>32</w:t>
            </w:r>
            <w:r w:rsidR="008C2568">
              <w:rPr>
                <w:rFonts w:eastAsiaTheme="minorHAnsi"/>
                <w:sz w:val="24"/>
              </w:rPr>
              <w:t>-G</w:t>
            </w:r>
            <w:r w:rsidRPr="008732DD">
              <w:rPr>
                <w:rFonts w:eastAsiaTheme="minorHAnsi"/>
                <w:sz w:val="24"/>
              </w:rPr>
              <w:t>allon Toter</w:t>
            </w:r>
          </w:p>
        </w:tc>
        <w:tc>
          <w:tcPr>
            <w:tcW w:w="1350" w:type="dxa"/>
          </w:tcPr>
          <w:p w14:paraId="573893CD" w14:textId="2BB484BD" w:rsidR="00240C79" w:rsidRPr="008732DD" w:rsidRDefault="00CC3975" w:rsidP="008732DD">
            <w:pPr>
              <w:widowControl/>
              <w:autoSpaceDE/>
              <w:autoSpaceDN/>
              <w:adjustRightInd/>
              <w:jc w:val="center"/>
              <w:rPr>
                <w:rFonts w:eastAsiaTheme="minorHAnsi"/>
                <w:sz w:val="24"/>
              </w:rPr>
            </w:pPr>
            <w:r>
              <w:rPr>
                <w:rFonts w:eastAsiaTheme="minorHAnsi"/>
                <w:sz w:val="24"/>
              </w:rPr>
              <w:t>$</w:t>
            </w:r>
            <w:r w:rsidR="00240C79" w:rsidRPr="008732DD">
              <w:rPr>
                <w:rFonts w:eastAsiaTheme="minorHAnsi"/>
                <w:sz w:val="24"/>
              </w:rPr>
              <w:t>20.50</w:t>
            </w:r>
          </w:p>
        </w:tc>
        <w:tc>
          <w:tcPr>
            <w:tcW w:w="1440" w:type="dxa"/>
          </w:tcPr>
          <w:p w14:paraId="5E6E8507" w14:textId="7DF6423F" w:rsidR="00240C79" w:rsidRPr="008732DD" w:rsidRDefault="00CC3975" w:rsidP="00007C00">
            <w:pPr>
              <w:widowControl/>
              <w:autoSpaceDE/>
              <w:autoSpaceDN/>
              <w:adjustRightInd/>
              <w:jc w:val="center"/>
              <w:rPr>
                <w:rFonts w:eastAsiaTheme="minorHAnsi"/>
                <w:sz w:val="24"/>
              </w:rPr>
            </w:pPr>
            <w:r>
              <w:rPr>
                <w:rFonts w:eastAsiaTheme="minorHAnsi"/>
                <w:sz w:val="24"/>
              </w:rPr>
              <w:t>$</w:t>
            </w:r>
            <w:r w:rsidR="00AD34C8">
              <w:rPr>
                <w:rFonts w:eastAsiaTheme="minorHAnsi"/>
                <w:sz w:val="24"/>
              </w:rPr>
              <w:t>21.25</w:t>
            </w:r>
          </w:p>
        </w:tc>
        <w:tc>
          <w:tcPr>
            <w:tcW w:w="1800" w:type="dxa"/>
          </w:tcPr>
          <w:p w14:paraId="50F239C7" w14:textId="6FB507A7" w:rsidR="00240C79" w:rsidRPr="008732DD" w:rsidRDefault="00AD34C8" w:rsidP="00007C00">
            <w:pPr>
              <w:widowControl/>
              <w:autoSpaceDE/>
              <w:autoSpaceDN/>
              <w:adjustRightInd/>
              <w:jc w:val="center"/>
              <w:rPr>
                <w:rFonts w:eastAsiaTheme="minorHAnsi"/>
                <w:sz w:val="24"/>
              </w:rPr>
            </w:pPr>
            <w:r>
              <w:rPr>
                <w:rFonts w:eastAsiaTheme="minorHAnsi"/>
                <w:sz w:val="24"/>
              </w:rPr>
              <w:t>3.7%</w:t>
            </w:r>
          </w:p>
        </w:tc>
      </w:tr>
      <w:tr w:rsidR="00240C79" w:rsidRPr="008732DD" w14:paraId="087C6B5B" w14:textId="77777777" w:rsidTr="00240C79">
        <w:trPr>
          <w:jc w:val="center"/>
        </w:trPr>
        <w:tc>
          <w:tcPr>
            <w:tcW w:w="2970" w:type="dxa"/>
          </w:tcPr>
          <w:p w14:paraId="3BD09F52" w14:textId="48F78442" w:rsidR="00240C79" w:rsidRPr="008732DD" w:rsidRDefault="00240C79" w:rsidP="00007C00">
            <w:pPr>
              <w:widowControl/>
              <w:autoSpaceDE/>
              <w:autoSpaceDN/>
              <w:adjustRightInd/>
              <w:jc w:val="center"/>
              <w:rPr>
                <w:rFonts w:eastAsiaTheme="minorHAnsi"/>
                <w:sz w:val="24"/>
              </w:rPr>
            </w:pPr>
            <w:r w:rsidRPr="008732DD">
              <w:rPr>
                <w:rFonts w:eastAsiaTheme="minorHAnsi"/>
                <w:sz w:val="24"/>
              </w:rPr>
              <w:t>64</w:t>
            </w:r>
            <w:r w:rsidR="008C2568">
              <w:rPr>
                <w:rFonts w:eastAsiaTheme="minorHAnsi"/>
                <w:sz w:val="24"/>
              </w:rPr>
              <w:t>-G</w:t>
            </w:r>
            <w:r w:rsidRPr="008732DD">
              <w:rPr>
                <w:rFonts w:eastAsiaTheme="minorHAnsi"/>
                <w:sz w:val="24"/>
              </w:rPr>
              <w:t>allon Toter</w:t>
            </w:r>
          </w:p>
        </w:tc>
        <w:tc>
          <w:tcPr>
            <w:tcW w:w="1350" w:type="dxa"/>
          </w:tcPr>
          <w:p w14:paraId="4D7CE714" w14:textId="47551FE6" w:rsidR="00240C79" w:rsidRPr="008732DD" w:rsidRDefault="00CC3975" w:rsidP="008732DD">
            <w:pPr>
              <w:widowControl/>
              <w:autoSpaceDE/>
              <w:autoSpaceDN/>
              <w:adjustRightInd/>
              <w:jc w:val="center"/>
              <w:rPr>
                <w:rFonts w:eastAsiaTheme="minorHAnsi"/>
                <w:sz w:val="24"/>
              </w:rPr>
            </w:pPr>
            <w:r>
              <w:rPr>
                <w:rFonts w:eastAsiaTheme="minorHAnsi"/>
                <w:sz w:val="24"/>
              </w:rPr>
              <w:t>$</w:t>
            </w:r>
            <w:r w:rsidR="00240C79" w:rsidRPr="008732DD">
              <w:rPr>
                <w:rFonts w:eastAsiaTheme="minorHAnsi"/>
                <w:sz w:val="24"/>
              </w:rPr>
              <w:t>25.00</w:t>
            </w:r>
          </w:p>
        </w:tc>
        <w:tc>
          <w:tcPr>
            <w:tcW w:w="1440" w:type="dxa"/>
          </w:tcPr>
          <w:p w14:paraId="2FEFF9A1" w14:textId="6B585C7A" w:rsidR="00240C79" w:rsidRPr="008732DD" w:rsidRDefault="00CC3975" w:rsidP="00007C00">
            <w:pPr>
              <w:widowControl/>
              <w:autoSpaceDE/>
              <w:autoSpaceDN/>
              <w:adjustRightInd/>
              <w:jc w:val="center"/>
              <w:rPr>
                <w:rFonts w:eastAsiaTheme="minorHAnsi"/>
                <w:sz w:val="24"/>
              </w:rPr>
            </w:pPr>
            <w:r>
              <w:rPr>
                <w:rFonts w:eastAsiaTheme="minorHAnsi"/>
                <w:sz w:val="24"/>
              </w:rPr>
              <w:t>$</w:t>
            </w:r>
            <w:r w:rsidR="00AD34C8">
              <w:rPr>
                <w:rFonts w:eastAsiaTheme="minorHAnsi"/>
                <w:sz w:val="24"/>
              </w:rPr>
              <w:t>25.95</w:t>
            </w:r>
          </w:p>
        </w:tc>
        <w:tc>
          <w:tcPr>
            <w:tcW w:w="1800" w:type="dxa"/>
          </w:tcPr>
          <w:p w14:paraId="244865F7" w14:textId="1194B97F" w:rsidR="00240C79" w:rsidRPr="008732DD" w:rsidRDefault="00AD34C8" w:rsidP="00007C00">
            <w:pPr>
              <w:widowControl/>
              <w:autoSpaceDE/>
              <w:autoSpaceDN/>
              <w:adjustRightInd/>
              <w:jc w:val="center"/>
              <w:rPr>
                <w:rFonts w:eastAsiaTheme="minorHAnsi"/>
                <w:sz w:val="24"/>
              </w:rPr>
            </w:pPr>
            <w:r>
              <w:rPr>
                <w:rFonts w:eastAsiaTheme="minorHAnsi"/>
                <w:sz w:val="24"/>
              </w:rPr>
              <w:t>3.8%</w:t>
            </w:r>
          </w:p>
        </w:tc>
      </w:tr>
      <w:tr w:rsidR="00240C79" w:rsidRPr="008732DD" w14:paraId="2594CBE9" w14:textId="77777777" w:rsidTr="00B42C89">
        <w:trPr>
          <w:jc w:val="center"/>
        </w:trPr>
        <w:tc>
          <w:tcPr>
            <w:tcW w:w="2970" w:type="dxa"/>
            <w:tcBorders>
              <w:bottom w:val="single" w:sz="4" w:space="0" w:color="auto"/>
            </w:tcBorders>
          </w:tcPr>
          <w:p w14:paraId="282F457F" w14:textId="5A99A1C8" w:rsidR="00240C79" w:rsidRPr="008732DD" w:rsidRDefault="00240C79" w:rsidP="00007C00">
            <w:pPr>
              <w:widowControl/>
              <w:autoSpaceDE/>
              <w:autoSpaceDN/>
              <w:adjustRightInd/>
              <w:jc w:val="center"/>
              <w:rPr>
                <w:rFonts w:eastAsiaTheme="minorHAnsi"/>
                <w:sz w:val="24"/>
              </w:rPr>
            </w:pPr>
            <w:r w:rsidRPr="008732DD">
              <w:rPr>
                <w:rFonts w:eastAsiaTheme="minorHAnsi"/>
                <w:sz w:val="24"/>
              </w:rPr>
              <w:t>96</w:t>
            </w:r>
            <w:r w:rsidR="008C2568">
              <w:rPr>
                <w:rFonts w:eastAsiaTheme="minorHAnsi"/>
                <w:sz w:val="24"/>
              </w:rPr>
              <w:t>-G</w:t>
            </w:r>
            <w:r w:rsidRPr="008732DD">
              <w:rPr>
                <w:rFonts w:eastAsiaTheme="minorHAnsi"/>
                <w:sz w:val="24"/>
              </w:rPr>
              <w:t>allon Toter</w:t>
            </w:r>
          </w:p>
        </w:tc>
        <w:tc>
          <w:tcPr>
            <w:tcW w:w="1350" w:type="dxa"/>
            <w:tcBorders>
              <w:bottom w:val="single" w:sz="4" w:space="0" w:color="auto"/>
            </w:tcBorders>
          </w:tcPr>
          <w:p w14:paraId="3889DEE5" w14:textId="27B5A135" w:rsidR="00240C79" w:rsidRPr="008732DD" w:rsidRDefault="00CC3975" w:rsidP="008732DD">
            <w:pPr>
              <w:widowControl/>
              <w:autoSpaceDE/>
              <w:autoSpaceDN/>
              <w:adjustRightInd/>
              <w:jc w:val="center"/>
              <w:rPr>
                <w:rFonts w:eastAsiaTheme="minorHAnsi"/>
                <w:sz w:val="24"/>
              </w:rPr>
            </w:pPr>
            <w:r>
              <w:rPr>
                <w:rFonts w:eastAsiaTheme="minorHAnsi"/>
                <w:sz w:val="24"/>
              </w:rPr>
              <w:t>$</w:t>
            </w:r>
            <w:r w:rsidR="00240C79" w:rsidRPr="008732DD">
              <w:rPr>
                <w:rFonts w:eastAsiaTheme="minorHAnsi"/>
                <w:sz w:val="24"/>
              </w:rPr>
              <w:t>30.00</w:t>
            </w:r>
          </w:p>
        </w:tc>
        <w:tc>
          <w:tcPr>
            <w:tcW w:w="1440" w:type="dxa"/>
            <w:tcBorders>
              <w:bottom w:val="single" w:sz="4" w:space="0" w:color="auto"/>
            </w:tcBorders>
          </w:tcPr>
          <w:p w14:paraId="4B560A77" w14:textId="37E09C3F" w:rsidR="00240C79" w:rsidRPr="008732DD" w:rsidRDefault="00CC3975" w:rsidP="00007C00">
            <w:pPr>
              <w:widowControl/>
              <w:autoSpaceDE/>
              <w:autoSpaceDN/>
              <w:adjustRightInd/>
              <w:jc w:val="center"/>
              <w:rPr>
                <w:rFonts w:eastAsiaTheme="minorHAnsi"/>
                <w:sz w:val="24"/>
              </w:rPr>
            </w:pPr>
            <w:r>
              <w:rPr>
                <w:rFonts w:eastAsiaTheme="minorHAnsi"/>
                <w:sz w:val="24"/>
              </w:rPr>
              <w:t>$</w:t>
            </w:r>
            <w:r w:rsidR="00AD34C8">
              <w:rPr>
                <w:rFonts w:eastAsiaTheme="minorHAnsi"/>
                <w:sz w:val="24"/>
              </w:rPr>
              <w:t>31.15</w:t>
            </w:r>
          </w:p>
        </w:tc>
        <w:tc>
          <w:tcPr>
            <w:tcW w:w="1800" w:type="dxa"/>
            <w:tcBorders>
              <w:bottom w:val="single" w:sz="4" w:space="0" w:color="auto"/>
            </w:tcBorders>
          </w:tcPr>
          <w:p w14:paraId="3EDC5424" w14:textId="119CE7A0" w:rsidR="00240C79" w:rsidRPr="008732DD" w:rsidRDefault="00AD34C8" w:rsidP="00007C00">
            <w:pPr>
              <w:widowControl/>
              <w:autoSpaceDE/>
              <w:autoSpaceDN/>
              <w:adjustRightInd/>
              <w:jc w:val="center"/>
              <w:rPr>
                <w:rFonts w:eastAsiaTheme="minorHAnsi"/>
                <w:sz w:val="24"/>
              </w:rPr>
            </w:pPr>
            <w:r>
              <w:rPr>
                <w:rFonts w:eastAsiaTheme="minorHAnsi"/>
                <w:sz w:val="24"/>
              </w:rPr>
              <w:t>3.8%</w:t>
            </w:r>
          </w:p>
        </w:tc>
      </w:tr>
      <w:tr w:rsidR="00B42C89" w:rsidRPr="008732DD" w14:paraId="228853BC" w14:textId="77777777" w:rsidTr="00B42C89">
        <w:trPr>
          <w:jc w:val="center"/>
        </w:trPr>
        <w:tc>
          <w:tcPr>
            <w:tcW w:w="2970" w:type="dxa"/>
            <w:tcBorders>
              <w:top w:val="single" w:sz="4" w:space="0" w:color="auto"/>
              <w:left w:val="single" w:sz="4" w:space="0" w:color="auto"/>
              <w:bottom w:val="single" w:sz="4" w:space="0" w:color="auto"/>
              <w:right w:val="nil"/>
            </w:tcBorders>
          </w:tcPr>
          <w:p w14:paraId="186EE4B0" w14:textId="77777777" w:rsidR="00B42C89" w:rsidRPr="008732DD" w:rsidRDefault="00B42C89" w:rsidP="00007C00">
            <w:pPr>
              <w:widowControl/>
              <w:autoSpaceDE/>
              <w:autoSpaceDN/>
              <w:adjustRightInd/>
              <w:jc w:val="center"/>
              <w:rPr>
                <w:rFonts w:eastAsiaTheme="minorHAnsi"/>
                <w:sz w:val="24"/>
              </w:rPr>
            </w:pPr>
          </w:p>
        </w:tc>
        <w:tc>
          <w:tcPr>
            <w:tcW w:w="1350" w:type="dxa"/>
            <w:tcBorders>
              <w:top w:val="single" w:sz="4" w:space="0" w:color="auto"/>
              <w:left w:val="nil"/>
              <w:bottom w:val="single" w:sz="4" w:space="0" w:color="auto"/>
              <w:right w:val="nil"/>
            </w:tcBorders>
          </w:tcPr>
          <w:p w14:paraId="7147E89C" w14:textId="77777777" w:rsidR="00B42C89" w:rsidRPr="008732DD" w:rsidRDefault="00B42C89" w:rsidP="008732DD">
            <w:pPr>
              <w:widowControl/>
              <w:autoSpaceDE/>
              <w:autoSpaceDN/>
              <w:adjustRightInd/>
              <w:jc w:val="center"/>
              <w:rPr>
                <w:rFonts w:eastAsiaTheme="minorHAnsi"/>
                <w:sz w:val="24"/>
              </w:rPr>
            </w:pPr>
          </w:p>
        </w:tc>
        <w:tc>
          <w:tcPr>
            <w:tcW w:w="1440" w:type="dxa"/>
            <w:tcBorders>
              <w:top w:val="single" w:sz="4" w:space="0" w:color="auto"/>
              <w:left w:val="nil"/>
              <w:bottom w:val="single" w:sz="4" w:space="0" w:color="auto"/>
              <w:right w:val="nil"/>
            </w:tcBorders>
          </w:tcPr>
          <w:p w14:paraId="6EB39D1C" w14:textId="77777777" w:rsidR="00B42C89" w:rsidRPr="008732DD" w:rsidRDefault="00B42C89" w:rsidP="00007C00">
            <w:pPr>
              <w:widowControl/>
              <w:autoSpaceDE/>
              <w:autoSpaceDN/>
              <w:adjustRightInd/>
              <w:jc w:val="center"/>
              <w:rPr>
                <w:rFonts w:eastAsiaTheme="minorHAnsi"/>
                <w:sz w:val="24"/>
              </w:rPr>
            </w:pPr>
          </w:p>
        </w:tc>
        <w:tc>
          <w:tcPr>
            <w:tcW w:w="1800" w:type="dxa"/>
            <w:tcBorders>
              <w:top w:val="single" w:sz="4" w:space="0" w:color="auto"/>
              <w:left w:val="nil"/>
              <w:bottom w:val="single" w:sz="4" w:space="0" w:color="auto"/>
              <w:right w:val="single" w:sz="4" w:space="0" w:color="auto"/>
            </w:tcBorders>
          </w:tcPr>
          <w:p w14:paraId="7B9F1F7F" w14:textId="77777777" w:rsidR="00B42C89" w:rsidRPr="008732DD" w:rsidRDefault="00B42C89" w:rsidP="00007C00">
            <w:pPr>
              <w:widowControl/>
              <w:autoSpaceDE/>
              <w:autoSpaceDN/>
              <w:adjustRightInd/>
              <w:jc w:val="center"/>
              <w:rPr>
                <w:rFonts w:eastAsiaTheme="minorHAnsi"/>
                <w:sz w:val="24"/>
              </w:rPr>
            </w:pPr>
          </w:p>
        </w:tc>
      </w:tr>
      <w:tr w:rsidR="00B42C89" w:rsidRPr="008732DD" w14:paraId="6F8A2ABB" w14:textId="77777777" w:rsidTr="00B42C89">
        <w:trPr>
          <w:jc w:val="center"/>
        </w:trPr>
        <w:tc>
          <w:tcPr>
            <w:tcW w:w="7560" w:type="dxa"/>
            <w:gridSpan w:val="4"/>
            <w:tcBorders>
              <w:top w:val="single" w:sz="4" w:space="0" w:color="auto"/>
            </w:tcBorders>
          </w:tcPr>
          <w:p w14:paraId="7DE25956" w14:textId="2250D506" w:rsidR="00B42C89" w:rsidRPr="00B42C89" w:rsidRDefault="00B42C89" w:rsidP="00B42C89">
            <w:pPr>
              <w:widowControl/>
              <w:autoSpaceDE/>
              <w:autoSpaceDN/>
              <w:adjustRightInd/>
              <w:rPr>
                <w:rFonts w:eastAsiaTheme="minorHAnsi"/>
                <w:b/>
                <w:sz w:val="24"/>
              </w:rPr>
            </w:pPr>
            <w:r w:rsidRPr="00B42C89">
              <w:rPr>
                <w:rFonts w:eastAsiaTheme="minorHAnsi"/>
                <w:b/>
                <w:sz w:val="24"/>
              </w:rPr>
              <w:t>Commercial Monthly Rates</w:t>
            </w:r>
          </w:p>
        </w:tc>
      </w:tr>
      <w:tr w:rsidR="00240C79" w:rsidRPr="008732DD" w14:paraId="37FD6A64" w14:textId="77777777" w:rsidTr="00240C79">
        <w:trPr>
          <w:jc w:val="center"/>
        </w:trPr>
        <w:tc>
          <w:tcPr>
            <w:tcW w:w="2970" w:type="dxa"/>
          </w:tcPr>
          <w:p w14:paraId="481F88EC" w14:textId="3A3122CF" w:rsidR="00240C79" w:rsidRPr="008732DD" w:rsidRDefault="00240C79" w:rsidP="00007C00">
            <w:pPr>
              <w:widowControl/>
              <w:autoSpaceDE/>
              <w:autoSpaceDN/>
              <w:adjustRightInd/>
              <w:jc w:val="center"/>
              <w:rPr>
                <w:rFonts w:eastAsiaTheme="minorHAnsi"/>
                <w:sz w:val="24"/>
              </w:rPr>
            </w:pPr>
            <w:r w:rsidRPr="008732DD">
              <w:rPr>
                <w:rFonts w:eastAsiaTheme="minorHAnsi"/>
                <w:sz w:val="24"/>
              </w:rPr>
              <w:t>1</w:t>
            </w:r>
            <w:r w:rsidR="00B42C89">
              <w:rPr>
                <w:rFonts w:eastAsiaTheme="minorHAnsi"/>
                <w:sz w:val="24"/>
              </w:rPr>
              <w:t>-Yard</w:t>
            </w:r>
          </w:p>
        </w:tc>
        <w:tc>
          <w:tcPr>
            <w:tcW w:w="1350" w:type="dxa"/>
          </w:tcPr>
          <w:p w14:paraId="7CD4AD22" w14:textId="3ED6F454" w:rsidR="00240C79" w:rsidRPr="008732DD" w:rsidRDefault="00CC3975" w:rsidP="008732DD">
            <w:pPr>
              <w:widowControl/>
              <w:autoSpaceDE/>
              <w:autoSpaceDN/>
              <w:adjustRightInd/>
              <w:jc w:val="center"/>
              <w:rPr>
                <w:rFonts w:eastAsiaTheme="minorHAnsi"/>
                <w:sz w:val="24"/>
              </w:rPr>
            </w:pPr>
            <w:r>
              <w:rPr>
                <w:rFonts w:eastAsiaTheme="minorHAnsi"/>
                <w:sz w:val="24"/>
              </w:rPr>
              <w:t xml:space="preserve">$ </w:t>
            </w:r>
            <w:r w:rsidR="00240C79" w:rsidRPr="008732DD">
              <w:rPr>
                <w:rFonts w:eastAsiaTheme="minorHAnsi"/>
                <w:sz w:val="24"/>
              </w:rPr>
              <w:t>86.60</w:t>
            </w:r>
          </w:p>
        </w:tc>
        <w:tc>
          <w:tcPr>
            <w:tcW w:w="1440" w:type="dxa"/>
          </w:tcPr>
          <w:p w14:paraId="380B3C94" w14:textId="47329A32" w:rsidR="00240C79" w:rsidRPr="008732DD" w:rsidRDefault="00CC3975" w:rsidP="00007C00">
            <w:pPr>
              <w:widowControl/>
              <w:autoSpaceDE/>
              <w:autoSpaceDN/>
              <w:adjustRightInd/>
              <w:jc w:val="center"/>
              <w:rPr>
                <w:rFonts w:eastAsiaTheme="minorHAnsi"/>
                <w:sz w:val="24"/>
              </w:rPr>
            </w:pPr>
            <w:r>
              <w:rPr>
                <w:rFonts w:eastAsiaTheme="minorHAnsi"/>
                <w:sz w:val="24"/>
              </w:rPr>
              <w:t xml:space="preserve">$ </w:t>
            </w:r>
            <w:r w:rsidR="00AD34C8">
              <w:rPr>
                <w:rFonts w:eastAsiaTheme="minorHAnsi"/>
                <w:sz w:val="24"/>
              </w:rPr>
              <w:t>89.85</w:t>
            </w:r>
          </w:p>
        </w:tc>
        <w:tc>
          <w:tcPr>
            <w:tcW w:w="1800" w:type="dxa"/>
          </w:tcPr>
          <w:p w14:paraId="221FC60B" w14:textId="0AFA553B" w:rsidR="00240C79" w:rsidRPr="008732DD" w:rsidRDefault="00AD34C8" w:rsidP="00007C00">
            <w:pPr>
              <w:widowControl/>
              <w:autoSpaceDE/>
              <w:autoSpaceDN/>
              <w:adjustRightInd/>
              <w:jc w:val="center"/>
              <w:rPr>
                <w:rFonts w:eastAsiaTheme="minorHAnsi"/>
                <w:sz w:val="24"/>
              </w:rPr>
            </w:pPr>
            <w:r>
              <w:rPr>
                <w:rFonts w:eastAsiaTheme="minorHAnsi"/>
                <w:sz w:val="24"/>
              </w:rPr>
              <w:t>3.8%</w:t>
            </w:r>
          </w:p>
        </w:tc>
      </w:tr>
      <w:tr w:rsidR="00240C79" w:rsidRPr="008732DD" w14:paraId="69E3030E" w14:textId="77777777" w:rsidTr="00240C79">
        <w:trPr>
          <w:jc w:val="center"/>
        </w:trPr>
        <w:tc>
          <w:tcPr>
            <w:tcW w:w="2970" w:type="dxa"/>
          </w:tcPr>
          <w:p w14:paraId="5FE94D8D" w14:textId="4FF45B41" w:rsidR="00240C79" w:rsidRPr="008732DD" w:rsidRDefault="00240C79" w:rsidP="00007C00">
            <w:pPr>
              <w:widowControl/>
              <w:autoSpaceDE/>
              <w:autoSpaceDN/>
              <w:adjustRightInd/>
              <w:jc w:val="center"/>
              <w:rPr>
                <w:rFonts w:eastAsiaTheme="minorHAnsi"/>
                <w:sz w:val="24"/>
              </w:rPr>
            </w:pPr>
            <w:r w:rsidRPr="008732DD">
              <w:rPr>
                <w:rFonts w:eastAsiaTheme="minorHAnsi"/>
                <w:sz w:val="24"/>
              </w:rPr>
              <w:t>2</w:t>
            </w:r>
            <w:r w:rsidR="00B42C89">
              <w:rPr>
                <w:rFonts w:eastAsiaTheme="minorHAnsi"/>
                <w:sz w:val="24"/>
              </w:rPr>
              <w:t>-Yard</w:t>
            </w:r>
          </w:p>
        </w:tc>
        <w:tc>
          <w:tcPr>
            <w:tcW w:w="1350" w:type="dxa"/>
          </w:tcPr>
          <w:p w14:paraId="1450FFE7" w14:textId="57681361" w:rsidR="00240C79" w:rsidRPr="008732DD" w:rsidRDefault="00CC3975" w:rsidP="008732DD">
            <w:pPr>
              <w:widowControl/>
              <w:autoSpaceDE/>
              <w:autoSpaceDN/>
              <w:adjustRightInd/>
              <w:jc w:val="center"/>
              <w:rPr>
                <w:rFonts w:eastAsiaTheme="minorHAnsi"/>
                <w:sz w:val="24"/>
              </w:rPr>
            </w:pPr>
            <w:r>
              <w:rPr>
                <w:rFonts w:eastAsiaTheme="minorHAnsi"/>
                <w:sz w:val="24"/>
              </w:rPr>
              <w:t>$</w:t>
            </w:r>
            <w:r w:rsidR="00240C79" w:rsidRPr="008732DD">
              <w:rPr>
                <w:rFonts w:eastAsiaTheme="minorHAnsi"/>
                <w:sz w:val="24"/>
              </w:rPr>
              <w:t>134.23</w:t>
            </w:r>
          </w:p>
        </w:tc>
        <w:tc>
          <w:tcPr>
            <w:tcW w:w="1440" w:type="dxa"/>
          </w:tcPr>
          <w:p w14:paraId="04F9582A" w14:textId="7B523B77" w:rsidR="00240C79" w:rsidRPr="008732DD" w:rsidRDefault="00CC3975" w:rsidP="00007C00">
            <w:pPr>
              <w:widowControl/>
              <w:autoSpaceDE/>
              <w:autoSpaceDN/>
              <w:adjustRightInd/>
              <w:jc w:val="center"/>
              <w:rPr>
                <w:rFonts w:eastAsiaTheme="minorHAnsi"/>
                <w:sz w:val="24"/>
              </w:rPr>
            </w:pPr>
            <w:r>
              <w:rPr>
                <w:rFonts w:eastAsiaTheme="minorHAnsi"/>
                <w:sz w:val="24"/>
              </w:rPr>
              <w:t>$</w:t>
            </w:r>
            <w:r w:rsidR="00AD34C8">
              <w:rPr>
                <w:rFonts w:eastAsiaTheme="minorHAnsi"/>
                <w:sz w:val="24"/>
              </w:rPr>
              <w:t>139.40</w:t>
            </w:r>
          </w:p>
        </w:tc>
        <w:tc>
          <w:tcPr>
            <w:tcW w:w="1800" w:type="dxa"/>
          </w:tcPr>
          <w:p w14:paraId="6CB7FFF3" w14:textId="40A45F06" w:rsidR="00240C79" w:rsidRPr="008732DD" w:rsidRDefault="00AD34C8" w:rsidP="00007C00">
            <w:pPr>
              <w:widowControl/>
              <w:autoSpaceDE/>
              <w:autoSpaceDN/>
              <w:adjustRightInd/>
              <w:jc w:val="center"/>
              <w:rPr>
                <w:rFonts w:eastAsiaTheme="minorHAnsi"/>
                <w:sz w:val="24"/>
              </w:rPr>
            </w:pPr>
            <w:r>
              <w:rPr>
                <w:rFonts w:eastAsiaTheme="minorHAnsi"/>
                <w:sz w:val="24"/>
              </w:rPr>
              <w:t>3.8%</w:t>
            </w:r>
          </w:p>
        </w:tc>
      </w:tr>
      <w:tr w:rsidR="00240C79" w:rsidRPr="008732DD" w14:paraId="026118B1" w14:textId="77777777" w:rsidTr="00240C79">
        <w:trPr>
          <w:jc w:val="center"/>
        </w:trPr>
        <w:tc>
          <w:tcPr>
            <w:tcW w:w="2970" w:type="dxa"/>
          </w:tcPr>
          <w:p w14:paraId="07441B0B" w14:textId="620667F2" w:rsidR="00240C79" w:rsidRPr="008732DD" w:rsidRDefault="00240C79" w:rsidP="00007C00">
            <w:pPr>
              <w:widowControl/>
              <w:autoSpaceDE/>
              <w:autoSpaceDN/>
              <w:adjustRightInd/>
              <w:jc w:val="center"/>
              <w:rPr>
                <w:rFonts w:eastAsiaTheme="minorHAnsi"/>
                <w:sz w:val="24"/>
              </w:rPr>
            </w:pPr>
            <w:r w:rsidRPr="008732DD">
              <w:rPr>
                <w:rFonts w:eastAsiaTheme="minorHAnsi"/>
                <w:sz w:val="24"/>
              </w:rPr>
              <w:t>4</w:t>
            </w:r>
            <w:r w:rsidR="00B42C89">
              <w:rPr>
                <w:rFonts w:eastAsiaTheme="minorHAnsi"/>
                <w:sz w:val="24"/>
              </w:rPr>
              <w:t>-Yard</w:t>
            </w:r>
          </w:p>
        </w:tc>
        <w:tc>
          <w:tcPr>
            <w:tcW w:w="1350" w:type="dxa"/>
          </w:tcPr>
          <w:p w14:paraId="5ACE277F" w14:textId="4EBC5A69" w:rsidR="00240C79" w:rsidRPr="008732DD" w:rsidRDefault="00CC3975" w:rsidP="008732DD">
            <w:pPr>
              <w:widowControl/>
              <w:autoSpaceDE/>
              <w:autoSpaceDN/>
              <w:adjustRightInd/>
              <w:jc w:val="center"/>
              <w:rPr>
                <w:rFonts w:eastAsiaTheme="minorHAnsi"/>
                <w:sz w:val="24"/>
              </w:rPr>
            </w:pPr>
            <w:r>
              <w:rPr>
                <w:rFonts w:eastAsiaTheme="minorHAnsi"/>
                <w:sz w:val="24"/>
              </w:rPr>
              <w:t>$</w:t>
            </w:r>
            <w:r w:rsidR="00240C79" w:rsidRPr="008732DD">
              <w:rPr>
                <w:rFonts w:eastAsiaTheme="minorHAnsi"/>
                <w:sz w:val="24"/>
              </w:rPr>
              <w:t>207.84</w:t>
            </w:r>
          </w:p>
        </w:tc>
        <w:tc>
          <w:tcPr>
            <w:tcW w:w="1440" w:type="dxa"/>
          </w:tcPr>
          <w:p w14:paraId="4B47484C" w14:textId="1CC03320" w:rsidR="00240C79" w:rsidRPr="008732DD" w:rsidRDefault="00CC3975" w:rsidP="00007C00">
            <w:pPr>
              <w:widowControl/>
              <w:autoSpaceDE/>
              <w:autoSpaceDN/>
              <w:adjustRightInd/>
              <w:jc w:val="center"/>
              <w:rPr>
                <w:rFonts w:eastAsiaTheme="minorHAnsi"/>
                <w:sz w:val="24"/>
              </w:rPr>
            </w:pPr>
            <w:r>
              <w:rPr>
                <w:rFonts w:eastAsiaTheme="minorHAnsi"/>
                <w:sz w:val="24"/>
              </w:rPr>
              <w:t>$</w:t>
            </w:r>
            <w:r w:rsidR="00AD34C8">
              <w:rPr>
                <w:rFonts w:eastAsiaTheme="minorHAnsi"/>
                <w:sz w:val="24"/>
              </w:rPr>
              <w:t>216.20</w:t>
            </w:r>
          </w:p>
        </w:tc>
        <w:tc>
          <w:tcPr>
            <w:tcW w:w="1800" w:type="dxa"/>
          </w:tcPr>
          <w:p w14:paraId="08AD7B55" w14:textId="7320269E" w:rsidR="00240C79" w:rsidRPr="008732DD" w:rsidRDefault="00AD34C8" w:rsidP="00007C00">
            <w:pPr>
              <w:widowControl/>
              <w:autoSpaceDE/>
              <w:autoSpaceDN/>
              <w:adjustRightInd/>
              <w:jc w:val="center"/>
              <w:rPr>
                <w:rFonts w:eastAsiaTheme="minorHAnsi"/>
                <w:sz w:val="24"/>
              </w:rPr>
            </w:pPr>
            <w:r>
              <w:rPr>
                <w:rFonts w:eastAsiaTheme="minorHAnsi"/>
                <w:sz w:val="24"/>
              </w:rPr>
              <w:t>4.0%</w:t>
            </w:r>
          </w:p>
        </w:tc>
      </w:tr>
      <w:tr w:rsidR="00240C79" w:rsidRPr="008732DD" w14:paraId="495D68A2" w14:textId="77777777" w:rsidTr="00240C79">
        <w:trPr>
          <w:jc w:val="center"/>
        </w:trPr>
        <w:tc>
          <w:tcPr>
            <w:tcW w:w="2970" w:type="dxa"/>
          </w:tcPr>
          <w:p w14:paraId="61FCE33D" w14:textId="534C8429" w:rsidR="00240C79" w:rsidRPr="008732DD" w:rsidRDefault="00240C79" w:rsidP="00007C00">
            <w:pPr>
              <w:widowControl/>
              <w:autoSpaceDE/>
              <w:autoSpaceDN/>
              <w:adjustRightInd/>
              <w:jc w:val="center"/>
              <w:rPr>
                <w:rFonts w:eastAsiaTheme="minorHAnsi"/>
                <w:sz w:val="24"/>
              </w:rPr>
            </w:pPr>
            <w:r w:rsidRPr="008732DD">
              <w:rPr>
                <w:rFonts w:eastAsiaTheme="minorHAnsi"/>
                <w:sz w:val="24"/>
              </w:rPr>
              <w:t>6</w:t>
            </w:r>
            <w:r w:rsidR="00B42C89">
              <w:rPr>
                <w:rFonts w:eastAsiaTheme="minorHAnsi"/>
                <w:sz w:val="24"/>
              </w:rPr>
              <w:t>-Yard</w:t>
            </w:r>
          </w:p>
        </w:tc>
        <w:tc>
          <w:tcPr>
            <w:tcW w:w="1350" w:type="dxa"/>
          </w:tcPr>
          <w:p w14:paraId="3DA68A0F" w14:textId="2AE556BF" w:rsidR="00240C79" w:rsidRPr="008732DD" w:rsidRDefault="00CC3975" w:rsidP="008732DD">
            <w:pPr>
              <w:widowControl/>
              <w:autoSpaceDE/>
              <w:autoSpaceDN/>
              <w:adjustRightInd/>
              <w:jc w:val="center"/>
              <w:rPr>
                <w:rFonts w:eastAsiaTheme="minorHAnsi"/>
                <w:sz w:val="24"/>
              </w:rPr>
            </w:pPr>
            <w:r>
              <w:rPr>
                <w:rFonts w:eastAsiaTheme="minorHAnsi"/>
                <w:sz w:val="24"/>
              </w:rPr>
              <w:t>$</w:t>
            </w:r>
            <w:r w:rsidR="00240C79" w:rsidRPr="008732DD">
              <w:rPr>
                <w:rFonts w:eastAsiaTheme="minorHAnsi"/>
                <w:sz w:val="24"/>
              </w:rPr>
              <w:t>255.47</w:t>
            </w:r>
          </w:p>
        </w:tc>
        <w:tc>
          <w:tcPr>
            <w:tcW w:w="1440" w:type="dxa"/>
          </w:tcPr>
          <w:p w14:paraId="7BA41D72" w14:textId="147625E0" w:rsidR="00240C79" w:rsidRPr="008732DD" w:rsidRDefault="00CC3975" w:rsidP="00007C00">
            <w:pPr>
              <w:widowControl/>
              <w:autoSpaceDE/>
              <w:autoSpaceDN/>
              <w:adjustRightInd/>
              <w:jc w:val="center"/>
              <w:rPr>
                <w:rFonts w:eastAsiaTheme="minorHAnsi"/>
                <w:sz w:val="24"/>
              </w:rPr>
            </w:pPr>
            <w:r>
              <w:rPr>
                <w:rFonts w:eastAsiaTheme="minorHAnsi"/>
                <w:sz w:val="24"/>
              </w:rPr>
              <w:t>$</w:t>
            </w:r>
            <w:r w:rsidR="00AD34C8">
              <w:rPr>
                <w:rFonts w:eastAsiaTheme="minorHAnsi"/>
                <w:sz w:val="24"/>
              </w:rPr>
              <w:t>265.95</w:t>
            </w:r>
          </w:p>
        </w:tc>
        <w:tc>
          <w:tcPr>
            <w:tcW w:w="1800" w:type="dxa"/>
          </w:tcPr>
          <w:p w14:paraId="620A8A02" w14:textId="33767C5A" w:rsidR="00240C79" w:rsidRPr="008732DD" w:rsidRDefault="00AD34C8" w:rsidP="00007C00">
            <w:pPr>
              <w:widowControl/>
              <w:autoSpaceDE/>
              <w:autoSpaceDN/>
              <w:adjustRightInd/>
              <w:jc w:val="center"/>
              <w:rPr>
                <w:rFonts w:eastAsiaTheme="minorHAnsi"/>
                <w:sz w:val="24"/>
              </w:rPr>
            </w:pPr>
            <w:r>
              <w:rPr>
                <w:rFonts w:eastAsiaTheme="minorHAnsi"/>
                <w:sz w:val="24"/>
              </w:rPr>
              <w:t>4.1%</w:t>
            </w:r>
          </w:p>
        </w:tc>
      </w:tr>
      <w:tr w:rsidR="00240C79" w:rsidRPr="008732DD" w14:paraId="26EB3084" w14:textId="77777777" w:rsidTr="00240C79">
        <w:trPr>
          <w:jc w:val="center"/>
        </w:trPr>
        <w:tc>
          <w:tcPr>
            <w:tcW w:w="2970" w:type="dxa"/>
          </w:tcPr>
          <w:p w14:paraId="1F83FD00" w14:textId="23A12417" w:rsidR="00240C79" w:rsidRPr="008732DD" w:rsidRDefault="00240C79" w:rsidP="00007C00">
            <w:pPr>
              <w:widowControl/>
              <w:autoSpaceDE/>
              <w:autoSpaceDN/>
              <w:adjustRightInd/>
              <w:jc w:val="center"/>
              <w:rPr>
                <w:rFonts w:eastAsiaTheme="minorHAnsi"/>
                <w:sz w:val="24"/>
              </w:rPr>
            </w:pPr>
            <w:r w:rsidRPr="008732DD">
              <w:rPr>
                <w:rFonts w:eastAsiaTheme="minorHAnsi"/>
                <w:sz w:val="24"/>
              </w:rPr>
              <w:t>8</w:t>
            </w:r>
            <w:r w:rsidR="00B42C89">
              <w:rPr>
                <w:rFonts w:eastAsiaTheme="minorHAnsi"/>
                <w:sz w:val="24"/>
              </w:rPr>
              <w:t>-Yard</w:t>
            </w:r>
          </w:p>
        </w:tc>
        <w:tc>
          <w:tcPr>
            <w:tcW w:w="1350" w:type="dxa"/>
          </w:tcPr>
          <w:p w14:paraId="258D9CED" w14:textId="3B3DA6BE" w:rsidR="00240C79" w:rsidRPr="008732DD" w:rsidRDefault="00CC3975" w:rsidP="008732DD">
            <w:pPr>
              <w:widowControl/>
              <w:autoSpaceDE/>
              <w:autoSpaceDN/>
              <w:adjustRightInd/>
              <w:jc w:val="center"/>
              <w:rPr>
                <w:rFonts w:eastAsiaTheme="minorHAnsi"/>
                <w:sz w:val="24"/>
              </w:rPr>
            </w:pPr>
            <w:r>
              <w:rPr>
                <w:rFonts w:eastAsiaTheme="minorHAnsi"/>
                <w:sz w:val="24"/>
              </w:rPr>
              <w:t>$</w:t>
            </w:r>
            <w:r w:rsidR="00240C79" w:rsidRPr="008732DD">
              <w:rPr>
                <w:rFonts w:eastAsiaTheme="minorHAnsi"/>
                <w:sz w:val="24"/>
              </w:rPr>
              <w:t>303.10</w:t>
            </w:r>
          </w:p>
        </w:tc>
        <w:tc>
          <w:tcPr>
            <w:tcW w:w="1440" w:type="dxa"/>
          </w:tcPr>
          <w:p w14:paraId="1536F603" w14:textId="1397AE49" w:rsidR="00240C79" w:rsidRPr="008732DD" w:rsidRDefault="00CC3975" w:rsidP="00007C00">
            <w:pPr>
              <w:widowControl/>
              <w:autoSpaceDE/>
              <w:autoSpaceDN/>
              <w:adjustRightInd/>
              <w:jc w:val="center"/>
              <w:rPr>
                <w:rFonts w:eastAsiaTheme="minorHAnsi"/>
                <w:sz w:val="24"/>
              </w:rPr>
            </w:pPr>
            <w:r>
              <w:rPr>
                <w:rFonts w:eastAsiaTheme="minorHAnsi"/>
                <w:sz w:val="24"/>
              </w:rPr>
              <w:t>$</w:t>
            </w:r>
            <w:r w:rsidR="00AD34C8">
              <w:rPr>
                <w:rFonts w:eastAsiaTheme="minorHAnsi"/>
                <w:sz w:val="24"/>
              </w:rPr>
              <w:t>315.50</w:t>
            </w:r>
          </w:p>
        </w:tc>
        <w:tc>
          <w:tcPr>
            <w:tcW w:w="1800" w:type="dxa"/>
          </w:tcPr>
          <w:p w14:paraId="78887B32" w14:textId="638D5366" w:rsidR="00240C79" w:rsidRPr="008732DD" w:rsidRDefault="00AD34C8" w:rsidP="00007C00">
            <w:pPr>
              <w:widowControl/>
              <w:autoSpaceDE/>
              <w:autoSpaceDN/>
              <w:adjustRightInd/>
              <w:jc w:val="center"/>
              <w:rPr>
                <w:rFonts w:eastAsiaTheme="minorHAnsi"/>
                <w:sz w:val="24"/>
              </w:rPr>
            </w:pPr>
            <w:r>
              <w:rPr>
                <w:rFonts w:eastAsiaTheme="minorHAnsi"/>
                <w:sz w:val="24"/>
              </w:rPr>
              <w:t>4.1%</w:t>
            </w:r>
          </w:p>
        </w:tc>
      </w:tr>
    </w:tbl>
    <w:p w14:paraId="1EBD2BB3" w14:textId="77777777" w:rsidR="008732DD" w:rsidRPr="00254BB1" w:rsidRDefault="008732DD" w:rsidP="00007C00">
      <w:pPr>
        <w:widowControl/>
        <w:autoSpaceDE/>
        <w:autoSpaceDN/>
        <w:adjustRightInd/>
        <w:jc w:val="center"/>
        <w:rPr>
          <w:rFonts w:eastAsiaTheme="minorHAnsi"/>
          <w:b/>
          <w:sz w:val="24"/>
          <w:u w:val="single"/>
        </w:rPr>
      </w:pPr>
    </w:p>
    <w:p w14:paraId="51B245C2" w14:textId="77777777" w:rsidR="00C858AA" w:rsidRPr="00254BB1" w:rsidRDefault="00C858AA" w:rsidP="002C6D3D">
      <w:pPr>
        <w:widowControl/>
        <w:autoSpaceDE/>
        <w:autoSpaceDN/>
        <w:adjustRightInd/>
        <w:rPr>
          <w:rFonts w:eastAsiaTheme="minorHAnsi"/>
          <w:color w:val="1F497D" w:themeColor="text2"/>
          <w:sz w:val="24"/>
        </w:rPr>
      </w:pPr>
    </w:p>
    <w:p w14:paraId="51B245C4" w14:textId="77777777" w:rsidR="00007C00" w:rsidRPr="00254BB1" w:rsidRDefault="00007C00" w:rsidP="00007C00">
      <w:pPr>
        <w:rPr>
          <w:b/>
          <w:sz w:val="24"/>
          <w:u w:val="single"/>
        </w:rPr>
      </w:pPr>
      <w:r w:rsidRPr="00254BB1">
        <w:rPr>
          <w:b/>
          <w:sz w:val="24"/>
          <w:u w:val="single"/>
        </w:rPr>
        <w:t>Customer Comments</w:t>
      </w:r>
    </w:p>
    <w:p w14:paraId="51B245C5" w14:textId="77777777" w:rsidR="00007C00" w:rsidRPr="00254BB1" w:rsidRDefault="00007C00" w:rsidP="00007C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2F742A4B" w14:textId="77777777" w:rsidR="00270B72" w:rsidRPr="00551EAD" w:rsidRDefault="00270B72" w:rsidP="00270B72">
      <w:r>
        <w:rPr>
          <w:color w:val="000000"/>
          <w:sz w:val="24"/>
        </w:rPr>
        <w:t xml:space="preserve">On November 27, 2013, the company notified its customers of the proposed rate increase by mail. Staff received one consumer comment in favor of the proposed rate increase. The customer requested no further contact beyond providing her comment. </w:t>
      </w:r>
    </w:p>
    <w:p w14:paraId="16875198" w14:textId="77777777" w:rsidR="00270B72" w:rsidRDefault="00270B72" w:rsidP="00270B72"/>
    <w:p w14:paraId="6051FF98" w14:textId="77777777" w:rsidR="00270B72" w:rsidRDefault="00270B72" w:rsidP="00270B72">
      <w:r>
        <w:rPr>
          <w:b/>
          <w:color w:val="000000"/>
          <w:sz w:val="24"/>
        </w:rPr>
        <w:t>General Comments</w:t>
      </w:r>
    </w:p>
    <w:p w14:paraId="44C76015" w14:textId="77777777" w:rsidR="00270B72" w:rsidRDefault="00270B72" w:rsidP="00270B72">
      <w:pPr>
        <w:widowControl/>
        <w:numPr>
          <w:ilvl w:val="0"/>
          <w:numId w:val="4"/>
        </w:numPr>
        <w:autoSpaceDE/>
        <w:autoSpaceDN/>
        <w:adjustRightInd/>
        <w:ind w:left="720" w:hanging="360"/>
      </w:pPr>
      <w:r w:rsidRPr="0024178F">
        <w:rPr>
          <w:color w:val="000000"/>
          <w:sz w:val="24"/>
        </w:rPr>
        <w:t>The customer is in favor of the proposed rate increase. She stated it</w:t>
      </w:r>
      <w:r>
        <w:rPr>
          <w:color w:val="000000"/>
          <w:sz w:val="24"/>
        </w:rPr>
        <w:t xml:space="preserve"> i</w:t>
      </w:r>
      <w:r w:rsidRPr="0024178F">
        <w:rPr>
          <w:color w:val="000000"/>
          <w:sz w:val="24"/>
        </w:rPr>
        <w:t>s approximately 40 miles round trip to the nearest disposal facilities</w:t>
      </w:r>
      <w:r>
        <w:rPr>
          <w:color w:val="000000"/>
          <w:sz w:val="24"/>
        </w:rPr>
        <w:t xml:space="preserve">; </w:t>
      </w:r>
      <w:r w:rsidRPr="0024178F">
        <w:rPr>
          <w:color w:val="000000"/>
          <w:sz w:val="24"/>
        </w:rPr>
        <w:t xml:space="preserve">the company </w:t>
      </w:r>
      <w:r>
        <w:rPr>
          <w:color w:val="000000"/>
          <w:sz w:val="24"/>
        </w:rPr>
        <w:t>provides</w:t>
      </w:r>
      <w:r w:rsidRPr="0024178F">
        <w:rPr>
          <w:color w:val="000000"/>
          <w:sz w:val="24"/>
        </w:rPr>
        <w:t xml:space="preserve"> good service</w:t>
      </w:r>
      <w:r>
        <w:rPr>
          <w:color w:val="000000"/>
          <w:sz w:val="24"/>
        </w:rPr>
        <w:t xml:space="preserve"> and </w:t>
      </w:r>
      <w:r w:rsidRPr="0024178F">
        <w:rPr>
          <w:color w:val="000000"/>
          <w:sz w:val="24"/>
        </w:rPr>
        <w:t>only want</w:t>
      </w:r>
      <w:r>
        <w:rPr>
          <w:color w:val="000000"/>
          <w:sz w:val="24"/>
        </w:rPr>
        <w:t>s</w:t>
      </w:r>
      <w:r w:rsidRPr="0024178F">
        <w:rPr>
          <w:color w:val="000000"/>
          <w:sz w:val="24"/>
        </w:rPr>
        <w:t xml:space="preserve"> another 90 cents per month</w:t>
      </w:r>
      <w:r>
        <w:rPr>
          <w:color w:val="000000"/>
          <w:sz w:val="24"/>
        </w:rPr>
        <w:t xml:space="preserve"> when it has not</w:t>
      </w:r>
      <w:r w:rsidRPr="0024178F">
        <w:rPr>
          <w:color w:val="000000"/>
          <w:sz w:val="24"/>
        </w:rPr>
        <w:t xml:space="preserve"> had an increase for a few years.</w:t>
      </w:r>
      <w:r>
        <w:rPr>
          <w:color w:val="000000"/>
          <w:sz w:val="24"/>
        </w:rPr>
        <w:t xml:space="preserve"> </w:t>
      </w:r>
      <w:r w:rsidRPr="0093771D">
        <w:rPr>
          <w:color w:val="000000"/>
          <w:sz w:val="24"/>
        </w:rPr>
        <w:t xml:space="preserve">The customer states that she is a senior citizen and is pleased that she just has to wheel the can out to the curb. </w:t>
      </w:r>
    </w:p>
    <w:p w14:paraId="40701694" w14:textId="77777777" w:rsidR="0021409A" w:rsidRPr="007A543B" w:rsidRDefault="0021409A" w:rsidP="00270B72">
      <w:pPr>
        <w:rPr>
          <w:sz w:val="24"/>
        </w:rPr>
      </w:pPr>
    </w:p>
    <w:p w14:paraId="51B245E1" w14:textId="77777777" w:rsidR="00007C00" w:rsidRPr="00254BB1" w:rsidRDefault="00007C00" w:rsidP="00007C00">
      <w:pPr>
        <w:rPr>
          <w:sz w:val="24"/>
        </w:rPr>
      </w:pPr>
      <w:r w:rsidRPr="00254BB1">
        <w:rPr>
          <w:b/>
          <w:bCs/>
          <w:sz w:val="24"/>
          <w:u w:val="single"/>
        </w:rPr>
        <w:t>Recommendation</w:t>
      </w:r>
    </w:p>
    <w:p w14:paraId="51B245E2" w14:textId="77777777" w:rsidR="00007C00" w:rsidRPr="00254BB1" w:rsidRDefault="00007C00" w:rsidP="00007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51B245E3" w14:textId="5B3451C9" w:rsidR="00007C00" w:rsidRPr="00254BB1" w:rsidRDefault="002E38E5" w:rsidP="00007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4BB1">
        <w:rPr>
          <w:sz w:val="24"/>
        </w:rPr>
        <w:t>Staff has completed its review of the company’s supporting financial documents, books and records. Staff’s review shows that the expenses are reasonable and required as part of the company’s operations. The customers’ comments do not change staff’s opinion that the company’s financial information supports the staff’s revised revenue requirement</w:t>
      </w:r>
      <w:r w:rsidR="000944AC">
        <w:rPr>
          <w:sz w:val="24"/>
        </w:rPr>
        <w:t>. Therefore, the</w:t>
      </w:r>
      <w:r w:rsidRPr="00254BB1">
        <w:rPr>
          <w:sz w:val="24"/>
        </w:rPr>
        <w:t xml:space="preserve"> revised rates </w:t>
      </w:r>
      <w:r w:rsidR="004679DA" w:rsidRPr="00254BB1">
        <w:rPr>
          <w:sz w:val="24"/>
        </w:rPr>
        <w:t xml:space="preserve">and charges </w:t>
      </w:r>
      <w:r w:rsidRPr="00254BB1">
        <w:rPr>
          <w:sz w:val="24"/>
        </w:rPr>
        <w:t>are fair, just, reasonable, and sufficient.</w:t>
      </w:r>
    </w:p>
    <w:p w14:paraId="6A44FFC7" w14:textId="77777777" w:rsidR="006A1E7D" w:rsidRPr="00254BB1" w:rsidRDefault="006A1E7D" w:rsidP="002E38E5">
      <w:pPr>
        <w:rPr>
          <w:sz w:val="24"/>
        </w:rPr>
      </w:pPr>
    </w:p>
    <w:p w14:paraId="51B245E4" w14:textId="14DCD090" w:rsidR="00F05DA1" w:rsidRPr="00254BB1" w:rsidRDefault="006A1E7D" w:rsidP="002E38E5">
      <w:pPr>
        <w:rPr>
          <w:sz w:val="24"/>
        </w:rPr>
      </w:pPr>
      <w:r w:rsidRPr="00254BB1">
        <w:rPr>
          <w:sz w:val="24"/>
        </w:rPr>
        <w:t xml:space="preserve">Take no action, thereby allowing the tariff revisions filed on </w:t>
      </w:r>
      <w:r w:rsidR="00C221DE">
        <w:rPr>
          <w:sz w:val="24"/>
        </w:rPr>
        <w:t>November 15, 2013</w:t>
      </w:r>
      <w:r w:rsidRPr="00254BB1">
        <w:rPr>
          <w:sz w:val="24"/>
        </w:rPr>
        <w:t>, as revised on</w:t>
      </w:r>
      <w:r w:rsidR="007A2DF5">
        <w:rPr>
          <w:sz w:val="24"/>
        </w:rPr>
        <w:t xml:space="preserve"> December 17</w:t>
      </w:r>
      <w:r w:rsidR="001B7D09">
        <w:rPr>
          <w:sz w:val="24"/>
        </w:rPr>
        <w:t>, 2013</w:t>
      </w:r>
      <w:r w:rsidRPr="00254BB1">
        <w:rPr>
          <w:sz w:val="24"/>
        </w:rPr>
        <w:t xml:space="preserve">, by </w:t>
      </w:r>
      <w:r w:rsidR="0000269C" w:rsidRPr="00254BB1">
        <w:rPr>
          <w:sz w:val="24"/>
        </w:rPr>
        <w:t>Torre Refuse and Recycling, LLC,</w:t>
      </w:r>
      <w:r w:rsidR="00254D48" w:rsidRPr="00254BB1">
        <w:rPr>
          <w:sz w:val="24"/>
        </w:rPr>
        <w:t xml:space="preserve"> db</w:t>
      </w:r>
      <w:r w:rsidRPr="00254BB1">
        <w:rPr>
          <w:sz w:val="24"/>
        </w:rPr>
        <w:t xml:space="preserve">a </w:t>
      </w:r>
      <w:r w:rsidR="0000269C" w:rsidRPr="00254BB1">
        <w:rPr>
          <w:sz w:val="24"/>
        </w:rPr>
        <w:t>Sunshine Disposal and Recycling</w:t>
      </w:r>
      <w:r w:rsidRPr="00254BB1">
        <w:rPr>
          <w:sz w:val="24"/>
        </w:rPr>
        <w:t xml:space="preserve">, to become effective on </w:t>
      </w:r>
      <w:r w:rsidR="00C221DE">
        <w:rPr>
          <w:sz w:val="24"/>
        </w:rPr>
        <w:t>January 1, 2014</w:t>
      </w:r>
      <w:r w:rsidRPr="00254BB1">
        <w:rPr>
          <w:sz w:val="24"/>
        </w:rPr>
        <w:t xml:space="preserve">, by operation of law. </w:t>
      </w:r>
    </w:p>
    <w:sectPr w:rsidR="00F05DA1" w:rsidRPr="00254BB1" w:rsidSect="001C032D">
      <w:headerReference w:type="default" r:id="rId11"/>
      <w:headerReference w:type="first" r:id="rId12"/>
      <w:footnotePr>
        <w:numRestart w:val="eachSect"/>
      </w:footnotePr>
      <w:endnotePr>
        <w:numFmt w:val="decimal"/>
        <w:numRestart w:val="eachSect"/>
      </w:endnotePr>
      <w:type w:val="continuous"/>
      <w:pgSz w:w="12240" w:h="15840" w:code="1"/>
      <w:pgMar w:top="1440" w:right="1440" w:bottom="126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245EA" w14:textId="77777777" w:rsidR="008C2568" w:rsidRDefault="008C2568">
      <w:r>
        <w:separator/>
      </w:r>
    </w:p>
  </w:endnote>
  <w:endnote w:type="continuationSeparator" w:id="0">
    <w:p w14:paraId="51B245EC" w14:textId="77777777" w:rsidR="008C2568" w:rsidRDefault="008C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245E6" w14:textId="77777777" w:rsidR="008C2568" w:rsidRDefault="008C2568">
      <w:r>
        <w:separator/>
      </w:r>
    </w:p>
  </w:footnote>
  <w:footnote w:type="continuationSeparator" w:id="0">
    <w:p w14:paraId="51B245E8" w14:textId="77777777" w:rsidR="008C2568" w:rsidRDefault="008C2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6FDA8" w14:textId="20324DD7" w:rsidR="008C2568" w:rsidRPr="00AB2E51" w:rsidRDefault="008C2568" w:rsidP="00AB2E51">
    <w:pPr>
      <w:tabs>
        <w:tab w:val="center" w:pos="4320"/>
        <w:tab w:val="right" w:pos="8640"/>
      </w:tabs>
      <w:rPr>
        <w:szCs w:val="20"/>
      </w:rPr>
    </w:pPr>
    <w:r w:rsidRPr="00AB2E51">
      <w:rPr>
        <w:szCs w:val="20"/>
      </w:rPr>
      <w:t xml:space="preserve">Docket </w:t>
    </w:r>
    <w:r w:rsidRPr="00366B6D">
      <w:rPr>
        <w:szCs w:val="20"/>
      </w:rPr>
      <w:t>TG-13</w:t>
    </w:r>
    <w:r>
      <w:rPr>
        <w:szCs w:val="20"/>
      </w:rPr>
      <w:t>2101</w:t>
    </w:r>
    <w:r>
      <w:rPr>
        <w:szCs w:val="20"/>
      </w:rPr>
      <w:tab/>
    </w:r>
  </w:p>
  <w:p w14:paraId="4B5DE348" w14:textId="064E7008" w:rsidR="008C2568" w:rsidRPr="00AB2E51" w:rsidRDefault="008C2568" w:rsidP="00AB2E51">
    <w:pPr>
      <w:tabs>
        <w:tab w:val="center" w:pos="4320"/>
        <w:tab w:val="right" w:pos="8640"/>
      </w:tabs>
      <w:rPr>
        <w:szCs w:val="20"/>
      </w:rPr>
    </w:pPr>
    <w:r>
      <w:rPr>
        <w:szCs w:val="20"/>
      </w:rPr>
      <w:t>December 27, 2013</w:t>
    </w:r>
  </w:p>
  <w:p w14:paraId="6BE52568" w14:textId="77777777" w:rsidR="008C2568" w:rsidRPr="00AB2E51" w:rsidRDefault="008C2568" w:rsidP="00AB2E51">
    <w:pPr>
      <w:tabs>
        <w:tab w:val="center" w:pos="4320"/>
        <w:tab w:val="right" w:pos="8640"/>
      </w:tabs>
      <w:rPr>
        <w:szCs w:val="20"/>
      </w:rPr>
    </w:pPr>
    <w:r w:rsidRPr="00AB2E51">
      <w:rPr>
        <w:szCs w:val="20"/>
      </w:rPr>
      <w:t xml:space="preserve">Page </w:t>
    </w:r>
    <w:r w:rsidRPr="00AB2E51">
      <w:rPr>
        <w:szCs w:val="20"/>
      </w:rPr>
      <w:fldChar w:fldCharType="begin"/>
    </w:r>
    <w:r w:rsidRPr="00AB2E51">
      <w:rPr>
        <w:szCs w:val="20"/>
      </w:rPr>
      <w:instrText xml:space="preserve"> PAGE </w:instrText>
    </w:r>
    <w:r w:rsidRPr="00AB2E51">
      <w:rPr>
        <w:szCs w:val="20"/>
      </w:rPr>
      <w:fldChar w:fldCharType="separate"/>
    </w:r>
    <w:r w:rsidR="004309C7">
      <w:rPr>
        <w:noProof/>
        <w:szCs w:val="20"/>
      </w:rPr>
      <w:t>2</w:t>
    </w:r>
    <w:r w:rsidRPr="00AB2E51">
      <w:rPr>
        <w:szCs w:val="20"/>
      </w:rPr>
      <w:fldChar w:fldCharType="end"/>
    </w:r>
  </w:p>
  <w:p w14:paraId="167B1173" w14:textId="77777777" w:rsidR="008C2568" w:rsidRDefault="008C2568">
    <w:pPr>
      <w:pStyle w:val="Header"/>
    </w:pPr>
  </w:p>
  <w:p w14:paraId="6F123FB1" w14:textId="77777777" w:rsidR="008C2568" w:rsidRDefault="008C25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245E5" w14:textId="77777777" w:rsidR="008C2568" w:rsidRPr="00D84B7C" w:rsidRDefault="008C2568" w:rsidP="00131685">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2">
    <w:nsid w:val="05C8058E"/>
    <w:multiLevelType w:val="multilevel"/>
    <w:tmpl w:val="9EC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D847C9"/>
    <w:multiLevelType w:val="hybridMultilevel"/>
    <w:tmpl w:val="42DC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DB1E6C"/>
    <w:multiLevelType w:val="multilevel"/>
    <w:tmpl w:val="73A6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D700D1"/>
    <w:multiLevelType w:val="hybridMultilevel"/>
    <w:tmpl w:val="613CD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E2EF5"/>
    <w:multiLevelType w:val="hybridMultilevel"/>
    <w:tmpl w:val="613CD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AC5673"/>
    <w:multiLevelType w:val="hybridMultilevel"/>
    <w:tmpl w:val="947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4"/>
  </w:num>
  <w:num w:numId="6">
    <w:abstractNumId w:val="2"/>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00"/>
    <w:rsid w:val="0000269C"/>
    <w:rsid w:val="00007C00"/>
    <w:rsid w:val="000944AC"/>
    <w:rsid w:val="000A1E51"/>
    <w:rsid w:val="000E640C"/>
    <w:rsid w:val="00104F06"/>
    <w:rsid w:val="00131685"/>
    <w:rsid w:val="00176234"/>
    <w:rsid w:val="001B2F4F"/>
    <w:rsid w:val="001B7D09"/>
    <w:rsid w:val="001C032D"/>
    <w:rsid w:val="001C5AB1"/>
    <w:rsid w:val="001E1D7A"/>
    <w:rsid w:val="0021409A"/>
    <w:rsid w:val="00240C79"/>
    <w:rsid w:val="00254BB1"/>
    <w:rsid w:val="00254D48"/>
    <w:rsid w:val="00270B72"/>
    <w:rsid w:val="00293A82"/>
    <w:rsid w:val="00296CD3"/>
    <w:rsid w:val="002A5F7C"/>
    <w:rsid w:val="002C039A"/>
    <w:rsid w:val="002C6D3D"/>
    <w:rsid w:val="002E38E5"/>
    <w:rsid w:val="00343D9B"/>
    <w:rsid w:val="00366B6D"/>
    <w:rsid w:val="003B1274"/>
    <w:rsid w:val="003D459E"/>
    <w:rsid w:val="004037BD"/>
    <w:rsid w:val="00413A79"/>
    <w:rsid w:val="004309C7"/>
    <w:rsid w:val="004679DA"/>
    <w:rsid w:val="004E20D2"/>
    <w:rsid w:val="00531DCA"/>
    <w:rsid w:val="00552600"/>
    <w:rsid w:val="005A6C74"/>
    <w:rsid w:val="00672F7B"/>
    <w:rsid w:val="006A1E7D"/>
    <w:rsid w:val="006A41EE"/>
    <w:rsid w:val="006B3A55"/>
    <w:rsid w:val="006E347B"/>
    <w:rsid w:val="0070585E"/>
    <w:rsid w:val="007A2DF5"/>
    <w:rsid w:val="007A5DD5"/>
    <w:rsid w:val="007B31A5"/>
    <w:rsid w:val="007B37A2"/>
    <w:rsid w:val="007E65E2"/>
    <w:rsid w:val="008732DD"/>
    <w:rsid w:val="00881939"/>
    <w:rsid w:val="008A7CA8"/>
    <w:rsid w:val="008C2568"/>
    <w:rsid w:val="00935C47"/>
    <w:rsid w:val="00940089"/>
    <w:rsid w:val="00950996"/>
    <w:rsid w:val="009620BC"/>
    <w:rsid w:val="00A84C2A"/>
    <w:rsid w:val="00AB2E51"/>
    <w:rsid w:val="00AC3AB3"/>
    <w:rsid w:val="00AD3312"/>
    <w:rsid w:val="00AD34C8"/>
    <w:rsid w:val="00AE273E"/>
    <w:rsid w:val="00B05A8D"/>
    <w:rsid w:val="00B13041"/>
    <w:rsid w:val="00B42C89"/>
    <w:rsid w:val="00B45E3A"/>
    <w:rsid w:val="00B84A6C"/>
    <w:rsid w:val="00BB752C"/>
    <w:rsid w:val="00BC52D4"/>
    <w:rsid w:val="00C221DE"/>
    <w:rsid w:val="00C37BAA"/>
    <w:rsid w:val="00C47371"/>
    <w:rsid w:val="00C50C12"/>
    <w:rsid w:val="00C56E50"/>
    <w:rsid w:val="00C70F90"/>
    <w:rsid w:val="00C82425"/>
    <w:rsid w:val="00C858AA"/>
    <w:rsid w:val="00CC3975"/>
    <w:rsid w:val="00CF26DE"/>
    <w:rsid w:val="00D059C0"/>
    <w:rsid w:val="00D077ED"/>
    <w:rsid w:val="00D1216A"/>
    <w:rsid w:val="00D8463A"/>
    <w:rsid w:val="00D90AEC"/>
    <w:rsid w:val="00DA1B86"/>
    <w:rsid w:val="00DA49C0"/>
    <w:rsid w:val="00DB4CB7"/>
    <w:rsid w:val="00DD2A47"/>
    <w:rsid w:val="00DF4695"/>
    <w:rsid w:val="00E32465"/>
    <w:rsid w:val="00E35818"/>
    <w:rsid w:val="00E71588"/>
    <w:rsid w:val="00F03BD3"/>
    <w:rsid w:val="00F05DA1"/>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00"/>
    <w:pPr>
      <w:widowControl w:val="0"/>
      <w:autoSpaceDE w:val="0"/>
      <w:autoSpaceDN w:val="0"/>
      <w:adjustRightInd w:val="0"/>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007C00"/>
    <w:pPr>
      <w:tabs>
        <w:tab w:val="center" w:pos="4320"/>
        <w:tab w:val="right" w:pos="8640"/>
      </w:tabs>
    </w:pPr>
  </w:style>
  <w:style w:type="character" w:customStyle="1" w:styleId="HeaderChar">
    <w:name w:val="Header Char"/>
    <w:basedOn w:val="DefaultParagraphFont"/>
    <w:link w:val="Header"/>
    <w:rsid w:val="00007C00"/>
    <w:rPr>
      <w:rFonts w:ascii="Times New Roman" w:eastAsia="Times New Roman" w:hAnsi="Times New Roman" w:cs="Times New Roman"/>
      <w:sz w:val="20"/>
      <w:szCs w:val="24"/>
    </w:rPr>
  </w:style>
  <w:style w:type="character" w:styleId="PageNumber">
    <w:name w:val="page number"/>
    <w:basedOn w:val="DefaultParagraphFont"/>
    <w:rsid w:val="00007C00"/>
  </w:style>
  <w:style w:type="paragraph" w:styleId="ListParagraph">
    <w:name w:val="List Paragraph"/>
    <w:basedOn w:val="Normal"/>
    <w:uiPriority w:val="34"/>
    <w:qFormat/>
    <w:rsid w:val="00007C00"/>
    <w:pPr>
      <w:ind w:left="720"/>
      <w:contextualSpacing/>
    </w:pPr>
  </w:style>
  <w:style w:type="table" w:customStyle="1" w:styleId="TableGrid1">
    <w:name w:val="Table Grid1"/>
    <w:basedOn w:val="TableNormal"/>
    <w:next w:val="TableGrid"/>
    <w:uiPriority w:val="59"/>
    <w:rsid w:val="0000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0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685"/>
    <w:rPr>
      <w:rFonts w:ascii="Tahoma" w:hAnsi="Tahoma" w:cs="Tahoma"/>
      <w:sz w:val="16"/>
      <w:szCs w:val="16"/>
    </w:rPr>
  </w:style>
  <w:style w:type="character" w:customStyle="1" w:styleId="BalloonTextChar">
    <w:name w:val="Balloon Text Char"/>
    <w:basedOn w:val="DefaultParagraphFont"/>
    <w:link w:val="BalloonText"/>
    <w:uiPriority w:val="99"/>
    <w:semiHidden/>
    <w:rsid w:val="00131685"/>
    <w:rPr>
      <w:rFonts w:ascii="Tahoma" w:eastAsia="Times New Roman" w:hAnsi="Tahoma" w:cs="Tahoma"/>
      <w:sz w:val="16"/>
      <w:szCs w:val="16"/>
    </w:rPr>
  </w:style>
  <w:style w:type="paragraph" w:styleId="Footer">
    <w:name w:val="footer"/>
    <w:basedOn w:val="Normal"/>
    <w:link w:val="FooterChar"/>
    <w:uiPriority w:val="99"/>
    <w:unhideWhenUsed/>
    <w:rsid w:val="00AB2E51"/>
    <w:pPr>
      <w:tabs>
        <w:tab w:val="center" w:pos="4680"/>
        <w:tab w:val="right" w:pos="9360"/>
      </w:tabs>
    </w:pPr>
  </w:style>
  <w:style w:type="character" w:customStyle="1" w:styleId="FooterChar">
    <w:name w:val="Footer Char"/>
    <w:basedOn w:val="DefaultParagraphFont"/>
    <w:link w:val="Footer"/>
    <w:uiPriority w:val="99"/>
    <w:rsid w:val="00AB2E5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881939"/>
    <w:rPr>
      <w:sz w:val="16"/>
      <w:szCs w:val="16"/>
    </w:rPr>
  </w:style>
  <w:style w:type="paragraph" w:styleId="CommentText">
    <w:name w:val="annotation text"/>
    <w:basedOn w:val="Normal"/>
    <w:link w:val="CommentTextChar"/>
    <w:uiPriority w:val="99"/>
    <w:semiHidden/>
    <w:unhideWhenUsed/>
    <w:rsid w:val="00881939"/>
    <w:rPr>
      <w:szCs w:val="20"/>
    </w:rPr>
  </w:style>
  <w:style w:type="character" w:customStyle="1" w:styleId="CommentTextChar">
    <w:name w:val="Comment Text Char"/>
    <w:basedOn w:val="DefaultParagraphFont"/>
    <w:link w:val="CommentText"/>
    <w:uiPriority w:val="99"/>
    <w:semiHidden/>
    <w:rsid w:val="008819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1939"/>
    <w:rPr>
      <w:b/>
      <w:bCs/>
    </w:rPr>
  </w:style>
  <w:style w:type="character" w:customStyle="1" w:styleId="CommentSubjectChar">
    <w:name w:val="Comment Subject Char"/>
    <w:basedOn w:val="CommentTextChar"/>
    <w:link w:val="CommentSubject"/>
    <w:uiPriority w:val="99"/>
    <w:semiHidden/>
    <w:rsid w:val="00881939"/>
    <w:rPr>
      <w:rFonts w:ascii="Times New Roman" w:eastAsia="Times New Roman" w:hAnsi="Times New Roman" w:cs="Times New Roman"/>
      <w:b/>
      <w:bCs/>
      <w:sz w:val="20"/>
      <w:szCs w:val="20"/>
    </w:rPr>
  </w:style>
  <w:style w:type="paragraph" w:styleId="Revision">
    <w:name w:val="Revision"/>
    <w:hidden/>
    <w:uiPriority w:val="99"/>
    <w:semiHidden/>
    <w:rsid w:val="00C56E50"/>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00"/>
    <w:pPr>
      <w:widowControl w:val="0"/>
      <w:autoSpaceDE w:val="0"/>
      <w:autoSpaceDN w:val="0"/>
      <w:adjustRightInd w:val="0"/>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007C00"/>
    <w:pPr>
      <w:tabs>
        <w:tab w:val="center" w:pos="4320"/>
        <w:tab w:val="right" w:pos="8640"/>
      </w:tabs>
    </w:pPr>
  </w:style>
  <w:style w:type="character" w:customStyle="1" w:styleId="HeaderChar">
    <w:name w:val="Header Char"/>
    <w:basedOn w:val="DefaultParagraphFont"/>
    <w:link w:val="Header"/>
    <w:rsid w:val="00007C00"/>
    <w:rPr>
      <w:rFonts w:ascii="Times New Roman" w:eastAsia="Times New Roman" w:hAnsi="Times New Roman" w:cs="Times New Roman"/>
      <w:sz w:val="20"/>
      <w:szCs w:val="24"/>
    </w:rPr>
  </w:style>
  <w:style w:type="character" w:styleId="PageNumber">
    <w:name w:val="page number"/>
    <w:basedOn w:val="DefaultParagraphFont"/>
    <w:rsid w:val="00007C00"/>
  </w:style>
  <w:style w:type="paragraph" w:styleId="ListParagraph">
    <w:name w:val="List Paragraph"/>
    <w:basedOn w:val="Normal"/>
    <w:uiPriority w:val="34"/>
    <w:qFormat/>
    <w:rsid w:val="00007C00"/>
    <w:pPr>
      <w:ind w:left="720"/>
      <w:contextualSpacing/>
    </w:pPr>
  </w:style>
  <w:style w:type="table" w:customStyle="1" w:styleId="TableGrid1">
    <w:name w:val="Table Grid1"/>
    <w:basedOn w:val="TableNormal"/>
    <w:next w:val="TableGrid"/>
    <w:uiPriority w:val="59"/>
    <w:rsid w:val="0000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0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685"/>
    <w:rPr>
      <w:rFonts w:ascii="Tahoma" w:hAnsi="Tahoma" w:cs="Tahoma"/>
      <w:sz w:val="16"/>
      <w:szCs w:val="16"/>
    </w:rPr>
  </w:style>
  <w:style w:type="character" w:customStyle="1" w:styleId="BalloonTextChar">
    <w:name w:val="Balloon Text Char"/>
    <w:basedOn w:val="DefaultParagraphFont"/>
    <w:link w:val="BalloonText"/>
    <w:uiPriority w:val="99"/>
    <w:semiHidden/>
    <w:rsid w:val="00131685"/>
    <w:rPr>
      <w:rFonts w:ascii="Tahoma" w:eastAsia="Times New Roman" w:hAnsi="Tahoma" w:cs="Tahoma"/>
      <w:sz w:val="16"/>
      <w:szCs w:val="16"/>
    </w:rPr>
  </w:style>
  <w:style w:type="paragraph" w:styleId="Footer">
    <w:name w:val="footer"/>
    <w:basedOn w:val="Normal"/>
    <w:link w:val="FooterChar"/>
    <w:uiPriority w:val="99"/>
    <w:unhideWhenUsed/>
    <w:rsid w:val="00AB2E51"/>
    <w:pPr>
      <w:tabs>
        <w:tab w:val="center" w:pos="4680"/>
        <w:tab w:val="right" w:pos="9360"/>
      </w:tabs>
    </w:pPr>
  </w:style>
  <w:style w:type="character" w:customStyle="1" w:styleId="FooterChar">
    <w:name w:val="Footer Char"/>
    <w:basedOn w:val="DefaultParagraphFont"/>
    <w:link w:val="Footer"/>
    <w:uiPriority w:val="99"/>
    <w:rsid w:val="00AB2E5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881939"/>
    <w:rPr>
      <w:sz w:val="16"/>
      <w:szCs w:val="16"/>
    </w:rPr>
  </w:style>
  <w:style w:type="paragraph" w:styleId="CommentText">
    <w:name w:val="annotation text"/>
    <w:basedOn w:val="Normal"/>
    <w:link w:val="CommentTextChar"/>
    <w:uiPriority w:val="99"/>
    <w:semiHidden/>
    <w:unhideWhenUsed/>
    <w:rsid w:val="00881939"/>
    <w:rPr>
      <w:szCs w:val="20"/>
    </w:rPr>
  </w:style>
  <w:style w:type="character" w:customStyle="1" w:styleId="CommentTextChar">
    <w:name w:val="Comment Text Char"/>
    <w:basedOn w:val="DefaultParagraphFont"/>
    <w:link w:val="CommentText"/>
    <w:uiPriority w:val="99"/>
    <w:semiHidden/>
    <w:rsid w:val="008819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1939"/>
    <w:rPr>
      <w:b/>
      <w:bCs/>
    </w:rPr>
  </w:style>
  <w:style w:type="character" w:customStyle="1" w:styleId="CommentSubjectChar">
    <w:name w:val="Comment Subject Char"/>
    <w:basedOn w:val="CommentTextChar"/>
    <w:link w:val="CommentSubject"/>
    <w:uiPriority w:val="99"/>
    <w:semiHidden/>
    <w:rsid w:val="00881939"/>
    <w:rPr>
      <w:rFonts w:ascii="Times New Roman" w:eastAsia="Times New Roman" w:hAnsi="Times New Roman" w:cs="Times New Roman"/>
      <w:b/>
      <w:bCs/>
      <w:sz w:val="20"/>
      <w:szCs w:val="20"/>
    </w:rPr>
  </w:style>
  <w:style w:type="paragraph" w:styleId="Revision">
    <w:name w:val="Revision"/>
    <w:hidden/>
    <w:uiPriority w:val="99"/>
    <w:semiHidden/>
    <w:rsid w:val="00C56E50"/>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290225">
      <w:bodyDiv w:val="1"/>
      <w:marLeft w:val="0"/>
      <w:marRight w:val="0"/>
      <w:marTop w:val="0"/>
      <w:marBottom w:val="0"/>
      <w:divBdr>
        <w:top w:val="none" w:sz="0" w:space="0" w:color="auto"/>
        <w:left w:val="none" w:sz="0" w:space="0" w:color="auto"/>
        <w:bottom w:val="none" w:sz="0" w:space="0" w:color="auto"/>
        <w:right w:val="none" w:sz="0" w:space="0" w:color="auto"/>
      </w:divBdr>
    </w:div>
    <w:div w:id="1940216991">
      <w:bodyDiv w:val="1"/>
      <w:marLeft w:val="0"/>
      <w:marRight w:val="0"/>
      <w:marTop w:val="0"/>
      <w:marBottom w:val="0"/>
      <w:divBdr>
        <w:top w:val="none" w:sz="0" w:space="0" w:color="auto"/>
        <w:left w:val="none" w:sz="0" w:space="0" w:color="auto"/>
        <w:bottom w:val="none" w:sz="0" w:space="0" w:color="auto"/>
        <w:right w:val="none" w:sz="0" w:space="0" w:color="auto"/>
      </w:divBdr>
      <w:divsChild>
        <w:div w:id="383989896">
          <w:marLeft w:val="0"/>
          <w:marRight w:val="0"/>
          <w:marTop w:val="0"/>
          <w:marBottom w:val="0"/>
          <w:divBdr>
            <w:top w:val="none" w:sz="0" w:space="0" w:color="auto"/>
            <w:left w:val="none" w:sz="0" w:space="0" w:color="auto"/>
            <w:bottom w:val="none" w:sz="0" w:space="0" w:color="auto"/>
            <w:right w:val="none" w:sz="0" w:space="0" w:color="auto"/>
          </w:divBdr>
          <w:divsChild>
            <w:div w:id="3940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9B01CBB3E82E42868F0615E1F540C1" ma:contentTypeVersion="135" ma:contentTypeDescription="" ma:contentTypeScope="" ma:versionID="f4c2900b487248a53711a0f5028675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2013-11-15T08:00:00+00:00</OpenedDate>
    <Date1 xmlns="dc463f71-b30c-4ab2-9473-d307f9d35888">2013-12-27T08:00:00+00:00</Date1>
    <IsDocumentOrder xmlns="dc463f71-b30c-4ab2-9473-d307f9d35888" xsi:nil="true"/>
    <IsHighlyConfidential xmlns="dc463f71-b30c-4ab2-9473-d307f9d35888">false</IsHighlyConfidential>
    <CaseCompanyNames xmlns="dc463f71-b30c-4ab2-9473-d307f9d35888">Torre Refuse and Recycling LLC</CaseCompanyNames>
    <DocketNumber xmlns="dc463f71-b30c-4ab2-9473-d307f9d35888">132101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174B892-53D5-4ADB-ADBB-F21510FD7FA7}"/>
</file>

<file path=customXml/itemProps2.xml><?xml version="1.0" encoding="utf-8"?>
<ds:datastoreItem xmlns:ds="http://schemas.openxmlformats.org/officeDocument/2006/customXml" ds:itemID="{B74E3101-2AC6-4734-A5C8-686F07DC25E2}"/>
</file>

<file path=customXml/itemProps3.xml><?xml version="1.0" encoding="utf-8"?>
<ds:datastoreItem xmlns:ds="http://schemas.openxmlformats.org/officeDocument/2006/customXml" ds:itemID="{CED3B654-2707-4087-8598-1B2E45B8BE35}"/>
</file>

<file path=customXml/itemProps4.xml><?xml version="1.0" encoding="utf-8"?>
<ds:datastoreItem xmlns:ds="http://schemas.openxmlformats.org/officeDocument/2006/customXml" ds:itemID="{0BED0B09-466C-42B7-A2E6-E9BEFD029791}"/>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TG-132101</vt:lpstr>
    </vt:vector>
  </TitlesOfParts>
  <Company>Washington Utilities and Transportation Commission</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TG-132101</dc:title>
  <dc:creator>Breda, Kathryn (UTC)</dc:creator>
  <cp:lastModifiedBy>Lisa Wyse</cp:lastModifiedBy>
  <cp:revision>2</cp:revision>
  <cp:lastPrinted>2013-12-19T01:38:00Z</cp:lastPrinted>
  <dcterms:created xsi:type="dcterms:W3CDTF">2013-12-24T01:14:00Z</dcterms:created>
  <dcterms:modified xsi:type="dcterms:W3CDTF">2013-12-24T01:14:00Z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0x0101006E56B4D1795A2E4DB2F0B01679ED314A00BC9B01CBB3E82E42868F0615E1F540C1</vt:lpwstr>
  </property>
  <property fmtid="{D5CDD505-2E9C-101B-9397-08002B2CF9AE}" pid="3" name="_docset_NoMedatataSyncRequired">
    <vt:lpwstr>False</vt:lpwstr>
  </property>
</Properties>
</file>