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BAEDA" w14:textId="6471C57C" w:rsidR="00702FA4" w:rsidRPr="00702FA4" w:rsidRDefault="00702FA4" w:rsidP="00702FA4">
      <w:pPr>
        <w:rPr>
          <w:rFonts w:eastAsia="Calibri"/>
          <w:lang w:bidi="en-US"/>
        </w:rPr>
      </w:pPr>
      <w:bookmarkStart w:id="0" w:name="_GoBack"/>
      <w:bookmarkEnd w:id="0"/>
      <w:r w:rsidRPr="00702FA4">
        <w:rPr>
          <w:rFonts w:eastAsia="Calibri"/>
          <w:lang w:bidi="en-US"/>
        </w:rPr>
        <w:t xml:space="preserve">Agenda Date: </w:t>
      </w:r>
      <w:r w:rsidRPr="00702FA4">
        <w:rPr>
          <w:rFonts w:eastAsia="Calibri"/>
          <w:lang w:bidi="en-US"/>
        </w:rPr>
        <w:tab/>
      </w:r>
      <w:r w:rsidRPr="00702FA4">
        <w:rPr>
          <w:rFonts w:eastAsia="Calibri"/>
          <w:lang w:bidi="en-US"/>
        </w:rPr>
        <w:tab/>
      </w:r>
      <w:r w:rsidR="00C90611">
        <w:rPr>
          <w:rFonts w:eastAsia="Calibri"/>
          <w:lang w:bidi="en-US"/>
        </w:rPr>
        <w:t>May 30</w:t>
      </w:r>
      <w:r w:rsidR="004464BF">
        <w:rPr>
          <w:rFonts w:eastAsia="Calibri"/>
          <w:lang w:bidi="en-US"/>
        </w:rPr>
        <w:t>, 201</w:t>
      </w:r>
      <w:r w:rsidR="00C90611">
        <w:rPr>
          <w:rFonts w:eastAsia="Calibri"/>
          <w:lang w:bidi="en-US"/>
        </w:rPr>
        <w:t>3</w:t>
      </w:r>
      <w:r w:rsidRPr="00702FA4">
        <w:rPr>
          <w:rFonts w:eastAsia="Calibri"/>
          <w:lang w:bidi="en-US"/>
        </w:rPr>
        <w:tab/>
      </w:r>
      <w:r w:rsidRPr="00702FA4">
        <w:rPr>
          <w:rFonts w:eastAsia="Calibri"/>
          <w:lang w:bidi="en-US"/>
        </w:rPr>
        <w:tab/>
      </w:r>
    </w:p>
    <w:p w14:paraId="0C3BAEDB" w14:textId="175A32EF" w:rsidR="00702FA4" w:rsidRPr="00702FA4" w:rsidRDefault="004464BF" w:rsidP="00702FA4">
      <w:pPr>
        <w:rPr>
          <w:rFonts w:eastAsia="Calibri"/>
          <w:lang w:bidi="en-US"/>
        </w:rPr>
      </w:pPr>
      <w:r>
        <w:rPr>
          <w:rFonts w:eastAsia="Calibri"/>
          <w:lang w:bidi="en-US"/>
        </w:rPr>
        <w:t>Item Number:</w:t>
      </w:r>
      <w:r>
        <w:rPr>
          <w:rFonts w:eastAsia="Calibri"/>
          <w:lang w:bidi="en-US"/>
        </w:rPr>
        <w:tab/>
      </w:r>
      <w:r>
        <w:rPr>
          <w:rFonts w:eastAsia="Calibri"/>
          <w:lang w:bidi="en-US"/>
        </w:rPr>
        <w:tab/>
      </w:r>
      <w:r w:rsidR="00741C4C">
        <w:rPr>
          <w:rFonts w:eastAsia="Calibri"/>
          <w:lang w:bidi="en-US"/>
        </w:rPr>
        <w:t>A</w:t>
      </w:r>
      <w:r w:rsidR="00E47AED">
        <w:rPr>
          <w:rFonts w:eastAsia="Calibri"/>
          <w:lang w:bidi="en-US"/>
        </w:rPr>
        <w:t>1</w:t>
      </w:r>
    </w:p>
    <w:p w14:paraId="0C3BAEDC" w14:textId="77777777" w:rsidR="00702FA4" w:rsidRPr="00702FA4" w:rsidRDefault="00702FA4" w:rsidP="00702FA4">
      <w:pPr>
        <w:rPr>
          <w:rFonts w:eastAsia="Calibri"/>
          <w:lang w:bidi="en-US"/>
        </w:rPr>
      </w:pPr>
    </w:p>
    <w:p w14:paraId="0C3BAEDD" w14:textId="3707934D" w:rsidR="00702FA4" w:rsidRPr="00AF3FDF" w:rsidRDefault="004464BF" w:rsidP="00702FA4">
      <w:pPr>
        <w:rPr>
          <w:rFonts w:eastAsia="Calibri"/>
          <w:b/>
          <w:lang w:bidi="en-US"/>
        </w:rPr>
      </w:pPr>
      <w:r w:rsidRPr="00AF3FDF">
        <w:rPr>
          <w:rFonts w:eastAsia="Calibri"/>
          <w:b/>
          <w:lang w:bidi="en-US"/>
        </w:rPr>
        <w:t xml:space="preserve">Docket: </w:t>
      </w:r>
      <w:r w:rsidRPr="00AF3FDF">
        <w:rPr>
          <w:rFonts w:eastAsia="Calibri"/>
          <w:b/>
          <w:lang w:bidi="en-US"/>
        </w:rPr>
        <w:tab/>
      </w:r>
      <w:r w:rsidRPr="00AF3FDF">
        <w:rPr>
          <w:rFonts w:eastAsia="Calibri"/>
          <w:b/>
          <w:lang w:bidi="en-US"/>
        </w:rPr>
        <w:tab/>
        <w:t>UW-13</w:t>
      </w:r>
      <w:r w:rsidR="002501DD">
        <w:rPr>
          <w:rFonts w:eastAsia="Calibri"/>
          <w:b/>
          <w:lang w:bidi="en-US"/>
        </w:rPr>
        <w:t>0522</w:t>
      </w:r>
    </w:p>
    <w:p w14:paraId="0C3BAEDE" w14:textId="77777777" w:rsidR="00702FA4" w:rsidRPr="00702FA4" w:rsidRDefault="00702FA4" w:rsidP="00702FA4">
      <w:pPr>
        <w:rPr>
          <w:rFonts w:eastAsia="Calibri"/>
          <w:lang w:bidi="en-US"/>
        </w:rPr>
      </w:pPr>
      <w:r w:rsidRPr="00702FA4">
        <w:rPr>
          <w:rFonts w:eastAsia="Calibri"/>
          <w:lang w:bidi="en-US"/>
        </w:rPr>
        <w:t>Company Name:</w:t>
      </w:r>
      <w:r w:rsidRPr="00702FA4">
        <w:rPr>
          <w:rFonts w:eastAsia="Calibri"/>
          <w:lang w:bidi="en-US"/>
        </w:rPr>
        <w:tab/>
        <w:t>Rainier View Water Company, Inc.</w:t>
      </w:r>
    </w:p>
    <w:p w14:paraId="0C3BAEDF" w14:textId="77777777" w:rsidR="00702FA4" w:rsidRPr="00702FA4" w:rsidRDefault="00702FA4" w:rsidP="00702FA4">
      <w:pPr>
        <w:rPr>
          <w:rFonts w:eastAsia="Calibri"/>
          <w:lang w:bidi="en-US"/>
        </w:rPr>
      </w:pPr>
    </w:p>
    <w:p w14:paraId="0C3BAEE1" w14:textId="7CE829B4" w:rsidR="00702FA4" w:rsidRPr="00702FA4" w:rsidRDefault="00702FA4" w:rsidP="00345F03">
      <w:pPr>
        <w:rPr>
          <w:rFonts w:eastAsia="Calibri"/>
          <w:lang w:bidi="en-US"/>
        </w:rPr>
      </w:pPr>
      <w:r w:rsidRPr="00702FA4">
        <w:rPr>
          <w:rFonts w:eastAsia="Calibri"/>
          <w:lang w:bidi="en-US"/>
        </w:rPr>
        <w:t xml:space="preserve">Staff: </w:t>
      </w:r>
      <w:r w:rsidRPr="00702FA4">
        <w:rPr>
          <w:rFonts w:eastAsia="Calibri"/>
          <w:lang w:bidi="en-US"/>
        </w:rPr>
        <w:tab/>
      </w:r>
      <w:r w:rsidRPr="00702FA4">
        <w:rPr>
          <w:rFonts w:eastAsia="Calibri"/>
          <w:lang w:bidi="en-US"/>
        </w:rPr>
        <w:tab/>
      </w:r>
      <w:r w:rsidRPr="00702FA4">
        <w:rPr>
          <w:rFonts w:eastAsia="Calibri"/>
          <w:lang w:bidi="en-US"/>
        </w:rPr>
        <w:tab/>
      </w:r>
      <w:r w:rsidR="006C4F97">
        <w:rPr>
          <w:rFonts w:eastAsia="Calibri"/>
          <w:lang w:bidi="en-US"/>
        </w:rPr>
        <w:t>Jim Ward</w:t>
      </w:r>
      <w:r w:rsidRPr="00702FA4">
        <w:rPr>
          <w:rFonts w:eastAsia="Calibri"/>
          <w:lang w:bidi="en-US"/>
        </w:rPr>
        <w:t>, Regulatory Analyst</w:t>
      </w:r>
    </w:p>
    <w:p w14:paraId="0C3BAEE2" w14:textId="1994E216" w:rsidR="00702FA4" w:rsidRDefault="00702FA4" w:rsidP="00702FA4">
      <w:pPr>
        <w:rPr>
          <w:rFonts w:eastAsia="Calibri"/>
          <w:lang w:bidi="en-US"/>
        </w:rPr>
      </w:pPr>
      <w:r w:rsidRPr="00702FA4">
        <w:rPr>
          <w:rFonts w:eastAsia="Calibri"/>
          <w:lang w:bidi="en-US"/>
        </w:rPr>
        <w:tab/>
      </w:r>
      <w:r w:rsidRPr="00702FA4">
        <w:rPr>
          <w:rFonts w:eastAsia="Calibri"/>
          <w:lang w:bidi="en-US"/>
        </w:rPr>
        <w:tab/>
      </w:r>
      <w:r w:rsidRPr="00702FA4">
        <w:rPr>
          <w:rFonts w:eastAsia="Calibri"/>
          <w:lang w:bidi="en-US"/>
        </w:rPr>
        <w:tab/>
      </w:r>
      <w:r w:rsidR="00C90611">
        <w:rPr>
          <w:rFonts w:eastAsia="Calibri"/>
          <w:lang w:bidi="en-US"/>
        </w:rPr>
        <w:t>John Cupp</w:t>
      </w:r>
      <w:r w:rsidRPr="00702FA4">
        <w:rPr>
          <w:rFonts w:eastAsia="Calibri"/>
          <w:lang w:bidi="en-US"/>
        </w:rPr>
        <w:t>, Consumer Protection Staff</w:t>
      </w:r>
    </w:p>
    <w:p w14:paraId="0C3BAEE3" w14:textId="5586BC36" w:rsidR="00E835A8" w:rsidRPr="00702FA4" w:rsidRDefault="00E835A8" w:rsidP="00702FA4">
      <w:pPr>
        <w:rPr>
          <w:rFonts w:eastAsia="Calibri"/>
          <w:lang w:bidi="en-US"/>
        </w:rPr>
      </w:pPr>
      <w:r>
        <w:rPr>
          <w:rFonts w:eastAsia="Calibri"/>
          <w:lang w:bidi="en-US"/>
        </w:rPr>
        <w:tab/>
      </w:r>
      <w:r>
        <w:rPr>
          <w:rFonts w:eastAsia="Calibri"/>
          <w:lang w:bidi="en-US"/>
        </w:rPr>
        <w:tab/>
      </w:r>
      <w:r>
        <w:rPr>
          <w:rFonts w:eastAsia="Calibri"/>
          <w:lang w:bidi="en-US"/>
        </w:rPr>
        <w:tab/>
        <w:t xml:space="preserve"> </w:t>
      </w:r>
    </w:p>
    <w:p w14:paraId="0C3BAEE5" w14:textId="77777777" w:rsidR="00702FA4" w:rsidRPr="00702FA4" w:rsidRDefault="00702FA4" w:rsidP="00702FA4">
      <w:pPr>
        <w:rPr>
          <w:rFonts w:eastAsia="Calibri"/>
          <w:b/>
          <w:u w:val="single"/>
          <w:lang w:bidi="en-US"/>
        </w:rPr>
      </w:pPr>
      <w:r w:rsidRPr="00702FA4">
        <w:rPr>
          <w:rFonts w:eastAsia="Calibri"/>
          <w:b/>
          <w:u w:val="single"/>
          <w:lang w:bidi="en-US"/>
        </w:rPr>
        <w:t>Recommendation</w:t>
      </w:r>
    </w:p>
    <w:p w14:paraId="0C3BAEE6" w14:textId="77777777" w:rsidR="00702FA4" w:rsidRPr="00702FA4" w:rsidRDefault="00702FA4" w:rsidP="00702F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rPr>
      </w:pPr>
    </w:p>
    <w:p w14:paraId="1CF7DFD1" w14:textId="4B514420" w:rsidR="00E970D2" w:rsidRDefault="00E970D2" w:rsidP="00E970D2">
      <w:r>
        <w:t xml:space="preserve">Take no action, thereby allowing </w:t>
      </w:r>
      <w:r w:rsidRPr="00AC3BE4">
        <w:t>the revised rates and tariff revision</w:t>
      </w:r>
      <w:r>
        <w:t>s</w:t>
      </w:r>
      <w:r w:rsidRPr="00AC3BE4">
        <w:t xml:space="preserve"> filed by </w:t>
      </w:r>
      <w:r w:rsidRPr="00702FA4">
        <w:rPr>
          <w:rFonts w:eastAsia="Calibri"/>
          <w:lang w:bidi="en-US"/>
        </w:rPr>
        <w:t>Rainier View Water Company</w:t>
      </w:r>
      <w:r>
        <w:t xml:space="preserve">, Inc., </w:t>
      </w:r>
      <w:r w:rsidRPr="00AC3BE4">
        <w:t xml:space="preserve">on </w:t>
      </w:r>
      <w:r w:rsidR="006C0733">
        <w:t>May 24</w:t>
      </w:r>
      <w:r w:rsidRPr="00AC3BE4">
        <w:t xml:space="preserve">, 2013, to become effective on </w:t>
      </w:r>
      <w:r>
        <w:t>June 1</w:t>
      </w:r>
      <w:r w:rsidRPr="00AC3BE4">
        <w:t>, 2013</w:t>
      </w:r>
      <w:r>
        <w:t>, by operation of law</w:t>
      </w:r>
      <w:r w:rsidRPr="00AC3BE4">
        <w:t xml:space="preserve">. </w:t>
      </w:r>
    </w:p>
    <w:p w14:paraId="0C3BAEF1" w14:textId="77777777" w:rsidR="00D25976" w:rsidRPr="00C90611" w:rsidRDefault="00D25976" w:rsidP="00C90611">
      <w:pPr>
        <w:widowControl w:val="0"/>
        <w:autoSpaceDE w:val="0"/>
        <w:autoSpaceDN w:val="0"/>
        <w:adjustRightInd w:val="0"/>
        <w:rPr>
          <w:rFonts w:eastAsia="Calibri"/>
          <w:color w:val="000000"/>
          <w:sz w:val="22"/>
          <w:szCs w:val="22"/>
        </w:rPr>
      </w:pPr>
    </w:p>
    <w:p w14:paraId="6F684CFF" w14:textId="77777777" w:rsidR="001A0DCB" w:rsidRDefault="001A0DCB" w:rsidP="001A0DCB">
      <w:pPr>
        <w:pStyle w:val="NoSpacing"/>
        <w:rPr>
          <w:rFonts w:eastAsia="Calibri"/>
          <w:b/>
          <w:u w:val="single"/>
          <w:lang w:bidi="en-US"/>
        </w:rPr>
      </w:pPr>
      <w:r w:rsidRPr="003537BF">
        <w:rPr>
          <w:rFonts w:eastAsia="Calibri"/>
          <w:b/>
          <w:u w:val="single"/>
          <w:lang w:bidi="en-US"/>
        </w:rPr>
        <w:t>Background</w:t>
      </w:r>
    </w:p>
    <w:p w14:paraId="0C3BAEF3" w14:textId="77777777" w:rsidR="00702FA4" w:rsidRPr="00702FA4" w:rsidRDefault="00702FA4" w:rsidP="00702FA4">
      <w:pPr>
        <w:rPr>
          <w:rFonts w:eastAsia="Calibri"/>
          <w:b/>
          <w:u w:val="single"/>
          <w:lang w:bidi="en-US"/>
        </w:rPr>
      </w:pPr>
    </w:p>
    <w:p w14:paraId="0512FCAF" w14:textId="6B6EDE7C" w:rsidR="00130E5E" w:rsidRDefault="00C24170" w:rsidP="000F453F">
      <w:pPr>
        <w:pStyle w:val="NoSpacing"/>
      </w:pPr>
      <w:r>
        <w:t>On A</w:t>
      </w:r>
      <w:r w:rsidR="00C90611">
        <w:t>pril 12</w:t>
      </w:r>
      <w:r>
        <w:t>, 201</w:t>
      </w:r>
      <w:r w:rsidR="00C90611">
        <w:t>3</w:t>
      </w:r>
      <w:r>
        <w:t xml:space="preserve">, </w:t>
      </w:r>
      <w:r w:rsidR="00AB37B4">
        <w:t>Rainier View Water Company, Inc. (Rainier View or company)</w:t>
      </w:r>
      <w:r w:rsidR="006C0733">
        <w:t>,</w:t>
      </w:r>
      <w:r w:rsidR="00AB37B4">
        <w:t xml:space="preserve"> filed tariff revisions </w:t>
      </w:r>
      <w:r w:rsidR="00970D99">
        <w:t xml:space="preserve">that would decrease residential rates by </w:t>
      </w:r>
      <w:r w:rsidR="00692AEE">
        <w:t>four</w:t>
      </w:r>
      <w:r w:rsidR="00970D99">
        <w:t xml:space="preserve"> percent and increase non-residential rates by </w:t>
      </w:r>
      <w:r w:rsidR="00692AEE">
        <w:t>37</w:t>
      </w:r>
      <w:r w:rsidR="00970D99">
        <w:t xml:space="preserve"> percent.</w:t>
      </w:r>
      <w:r w:rsidR="00C155BE">
        <w:t xml:space="preserve"> </w:t>
      </w:r>
      <w:r w:rsidR="00506D8B">
        <w:t xml:space="preserve">Rainier View </w:t>
      </w:r>
      <w:r w:rsidR="00140A64">
        <w:t xml:space="preserve">proposed </w:t>
      </w:r>
      <w:r w:rsidR="00506D8B">
        <w:t xml:space="preserve">that the filing </w:t>
      </w:r>
      <w:r w:rsidR="006C0733">
        <w:t>would</w:t>
      </w:r>
      <w:r w:rsidR="00506D8B">
        <w:t xml:space="preserve"> </w:t>
      </w:r>
      <w:r w:rsidR="00970D99">
        <w:t>be revenue neutral</w:t>
      </w:r>
      <w:r w:rsidR="00C155BE">
        <w:t>.</w:t>
      </w:r>
      <w:r w:rsidR="00130E5E">
        <w:t xml:space="preserve"> </w:t>
      </w:r>
      <w:r w:rsidR="00A41C31">
        <w:rPr>
          <w:rFonts w:eastAsia="Times New Roman"/>
        </w:rPr>
        <w:t xml:space="preserve">This filing is the final step to bring residential and non-residential </w:t>
      </w:r>
      <w:r w:rsidR="00546792">
        <w:rPr>
          <w:rFonts w:eastAsia="Times New Roman"/>
        </w:rPr>
        <w:t xml:space="preserve">charges </w:t>
      </w:r>
      <w:r w:rsidR="00A41C31">
        <w:rPr>
          <w:rFonts w:eastAsia="Times New Roman"/>
        </w:rPr>
        <w:t>to parity and normalize rates.</w:t>
      </w:r>
      <w:r w:rsidR="00A41C31">
        <w:t xml:space="preserve"> </w:t>
      </w:r>
      <w:r w:rsidR="00C155BE">
        <w:t>The company serves a</w:t>
      </w:r>
      <w:r w:rsidR="009F122B">
        <w:t>pproximately 1</w:t>
      </w:r>
      <w:r w:rsidR="00CC2A31">
        <w:t>7</w:t>
      </w:r>
      <w:r w:rsidR="009F122B">
        <w:t>,</w:t>
      </w:r>
      <w:r w:rsidR="00CC2A31">
        <w:t>20</w:t>
      </w:r>
      <w:r w:rsidR="009F122B">
        <w:t>0 residential</w:t>
      </w:r>
      <w:r w:rsidR="00C155BE">
        <w:t xml:space="preserve"> and non-residential customers</w:t>
      </w:r>
      <w:r w:rsidR="009F122B">
        <w:t xml:space="preserve"> on 26 </w:t>
      </w:r>
      <w:r w:rsidR="00140A64">
        <w:t xml:space="preserve">water </w:t>
      </w:r>
      <w:r w:rsidR="009F122B">
        <w:t>systems</w:t>
      </w:r>
      <w:r w:rsidR="00C155BE">
        <w:t xml:space="preserve"> in Pierce </w:t>
      </w:r>
      <w:r w:rsidR="009F122B">
        <w:t xml:space="preserve">County </w:t>
      </w:r>
      <w:r w:rsidR="00C155BE">
        <w:t>and</w:t>
      </w:r>
      <w:r w:rsidR="009F122B">
        <w:t xml:space="preserve"> on two </w:t>
      </w:r>
      <w:r w:rsidR="00C47A79">
        <w:t xml:space="preserve">water </w:t>
      </w:r>
      <w:r w:rsidR="009F122B">
        <w:t>systems in</w:t>
      </w:r>
      <w:r w:rsidR="00C155BE">
        <w:t xml:space="preserve"> Kitsap </w:t>
      </w:r>
      <w:r w:rsidR="009F122B">
        <w:t>County</w:t>
      </w:r>
      <w:r w:rsidR="00C155BE">
        <w:t>.</w:t>
      </w:r>
      <w:r w:rsidR="00F73F22">
        <w:t xml:space="preserve"> </w:t>
      </w:r>
      <w:r w:rsidR="00130E5E">
        <w:t xml:space="preserve">The proposed effective date is June 1, 2013. </w:t>
      </w:r>
      <w:r w:rsidR="00F73F22">
        <w:t xml:space="preserve">The </w:t>
      </w:r>
      <w:r w:rsidR="00981D3C">
        <w:t xml:space="preserve">company’s </w:t>
      </w:r>
      <w:r w:rsidR="00F73F22">
        <w:t xml:space="preserve">last general rate increase became effective </w:t>
      </w:r>
      <w:r w:rsidR="009A0D6F">
        <w:t>J</w:t>
      </w:r>
      <w:r w:rsidR="00C90611">
        <w:t>anuary</w:t>
      </w:r>
      <w:r w:rsidR="009A0D6F">
        <w:t xml:space="preserve"> 1, 201</w:t>
      </w:r>
      <w:r w:rsidR="00130E5E">
        <w:t>2.</w:t>
      </w:r>
    </w:p>
    <w:p w14:paraId="1174B98A" w14:textId="77777777" w:rsidR="00130E5E" w:rsidRDefault="00130E5E" w:rsidP="000F453F">
      <w:pPr>
        <w:pStyle w:val="NoSpacing"/>
      </w:pPr>
    </w:p>
    <w:p w14:paraId="67D8B931" w14:textId="77777777" w:rsidR="00130E5E" w:rsidRPr="000F453F" w:rsidRDefault="00130E5E" w:rsidP="00130E5E">
      <w:pPr>
        <w:pStyle w:val="NoSpacing"/>
        <w:rPr>
          <w:b/>
          <w:u w:val="single"/>
        </w:rPr>
      </w:pPr>
      <w:r w:rsidRPr="000F453F">
        <w:rPr>
          <w:b/>
          <w:u w:val="single"/>
        </w:rPr>
        <w:t>Discussion</w:t>
      </w:r>
    </w:p>
    <w:p w14:paraId="00457FE5" w14:textId="77777777" w:rsidR="00130E5E" w:rsidRDefault="00130E5E" w:rsidP="00130E5E">
      <w:pPr>
        <w:pStyle w:val="NoSpacing"/>
      </w:pPr>
    </w:p>
    <w:p w14:paraId="3F86C3A0" w14:textId="6CC61A35" w:rsidR="006B27F8" w:rsidRDefault="006B27F8">
      <w:pPr>
        <w:pStyle w:val="NoSpacing"/>
      </w:pPr>
      <w:r>
        <w:t>In September 2009 (Docket UW-091466)</w:t>
      </w:r>
      <w:r w:rsidR="006C0733">
        <w:t>,</w:t>
      </w:r>
      <w:r>
        <w:t xml:space="preserve"> the company filed its first rate case in over eight years.</w:t>
      </w:r>
      <w:r w:rsidR="006C0733">
        <w:t xml:space="preserve"> C</w:t>
      </w:r>
      <w:r w:rsidR="00F50FB5">
        <w:t xml:space="preserve">ommission </w:t>
      </w:r>
      <w:r w:rsidR="00506D8B">
        <w:t xml:space="preserve">staff </w:t>
      </w:r>
      <w:r w:rsidR="00F50FB5">
        <w:t xml:space="preserve">found that the company’s rate design resulted in residential customers subsidizing non-residential customers. </w:t>
      </w:r>
      <w:r w:rsidR="006C0733">
        <w:t>However, e</w:t>
      </w:r>
      <w:r w:rsidR="00F50FB5">
        <w:t xml:space="preserve">liminating the entire subsidy in one step would have resulted in significant increases to non-residential customers. </w:t>
      </w:r>
      <w:r w:rsidR="006C0733">
        <w:t>The company</w:t>
      </w:r>
      <w:r w:rsidR="00F50FB5">
        <w:t xml:space="preserve"> agreed</w:t>
      </w:r>
      <w:r w:rsidR="00970D99">
        <w:t>,</w:t>
      </w:r>
      <w:r w:rsidR="00F50FB5">
        <w:t xml:space="preserve"> </w:t>
      </w:r>
      <w:r w:rsidR="006C0733">
        <w:t>and the Commission ordered,</w:t>
      </w:r>
      <w:r w:rsidR="00F50FB5">
        <w:t xml:space="preserve"> that the non-residential and residential customers </w:t>
      </w:r>
      <w:r w:rsidR="006C0733">
        <w:t xml:space="preserve">would move </w:t>
      </w:r>
      <w:r w:rsidR="00F50FB5">
        <w:t xml:space="preserve">to parity over </w:t>
      </w:r>
      <w:r w:rsidR="006C0733">
        <w:t>three</w:t>
      </w:r>
      <w:r w:rsidR="00F50FB5">
        <w:t xml:space="preserve"> rate filings.</w:t>
      </w:r>
    </w:p>
    <w:p w14:paraId="78477368" w14:textId="77777777" w:rsidR="00F50FB5" w:rsidRDefault="00F50FB5" w:rsidP="00130E5E">
      <w:pPr>
        <w:pStyle w:val="NoSpacing"/>
      </w:pPr>
    </w:p>
    <w:p w14:paraId="1F09F6CD" w14:textId="06E84869" w:rsidR="00130E5E" w:rsidRDefault="00F50FB5" w:rsidP="00130E5E">
      <w:pPr>
        <w:pStyle w:val="NoSpacing"/>
      </w:pPr>
      <w:r>
        <w:t xml:space="preserve">On August 1, 2011, the company filed the second step in rate parity in </w:t>
      </w:r>
      <w:r w:rsidR="00130E5E">
        <w:t xml:space="preserve">Docket UW-111399. </w:t>
      </w:r>
    </w:p>
    <w:p w14:paraId="14EB7C77" w14:textId="7138EFFF" w:rsidR="00386F97" w:rsidRDefault="00440678" w:rsidP="00F50FB5">
      <w:pPr>
        <w:pStyle w:val="NoSpacing"/>
      </w:pPr>
      <w:r>
        <w:t xml:space="preserve">In </w:t>
      </w:r>
      <w:r w:rsidR="00546792">
        <w:t>that</w:t>
      </w:r>
      <w:r>
        <w:t xml:space="preserve"> filing, t</w:t>
      </w:r>
      <w:r w:rsidR="00130E5E">
        <w:t xml:space="preserve">he proposed </w:t>
      </w:r>
      <w:r>
        <w:t xml:space="preserve">rates </w:t>
      </w:r>
      <w:r w:rsidR="00130E5E">
        <w:t>increase</w:t>
      </w:r>
      <w:r>
        <w:t>d</w:t>
      </w:r>
      <w:r w:rsidR="00546792">
        <w:t xml:space="preserve"> </w:t>
      </w:r>
      <w:r w:rsidR="00EB0BEA">
        <w:t xml:space="preserve">base rates </w:t>
      </w:r>
      <w:r w:rsidR="00546792">
        <w:t xml:space="preserve">in order </w:t>
      </w:r>
      <w:r w:rsidR="00EB0BEA">
        <w:t xml:space="preserve">to </w:t>
      </w:r>
      <w:r w:rsidR="00130E5E">
        <w:t>up size meter</w:t>
      </w:r>
      <w:r w:rsidR="00EB0BEA">
        <w:t>s</w:t>
      </w:r>
      <w:r w:rsidR="00130E5E">
        <w:t xml:space="preserve"> and adjust</w:t>
      </w:r>
      <w:r w:rsidR="00EB0BEA">
        <w:t>ed</w:t>
      </w:r>
      <w:r w:rsidR="00130E5E">
        <w:t xml:space="preserve"> usage block</w:t>
      </w:r>
      <w:r w:rsidR="00F50FB5">
        <w:t>s</w:t>
      </w:r>
      <w:r w:rsidR="00130E5E">
        <w:t xml:space="preserve"> for both residential and non-residential customers.</w:t>
      </w:r>
      <w:r w:rsidR="00386F97">
        <w:t xml:space="preserve"> The commission issued </w:t>
      </w:r>
      <w:r w:rsidR="00546792">
        <w:t>an</w:t>
      </w:r>
      <w:r w:rsidR="00386F97">
        <w:t xml:space="preserve"> order that:</w:t>
      </w:r>
    </w:p>
    <w:p w14:paraId="6D2087DF" w14:textId="77777777" w:rsidR="00F17346" w:rsidRDefault="00F17346" w:rsidP="00F50FB5">
      <w:pPr>
        <w:pStyle w:val="NoSpacing"/>
      </w:pPr>
    </w:p>
    <w:p w14:paraId="18542971" w14:textId="305BFA41" w:rsidR="00386F97" w:rsidRDefault="00386F97" w:rsidP="002C5B71">
      <w:pPr>
        <w:pStyle w:val="NoSpacing"/>
        <w:numPr>
          <w:ilvl w:val="0"/>
          <w:numId w:val="19"/>
        </w:numPr>
      </w:pPr>
      <w:r>
        <w:t xml:space="preserve">Allowed rates to become effective January </w:t>
      </w:r>
      <w:r w:rsidR="009030B4">
        <w:t>1</w:t>
      </w:r>
      <w:r>
        <w:t>, 2012,</w:t>
      </w:r>
    </w:p>
    <w:p w14:paraId="4C01253F" w14:textId="77777777" w:rsidR="00440678" w:rsidRDefault="00440678" w:rsidP="002C5B71">
      <w:pPr>
        <w:pStyle w:val="NoSpacing"/>
        <w:ind w:left="720"/>
      </w:pPr>
    </w:p>
    <w:p w14:paraId="50E6DF1C" w14:textId="77777777" w:rsidR="00386F97" w:rsidRDefault="00386F97" w:rsidP="002C5B71">
      <w:pPr>
        <w:pStyle w:val="NoSpacing"/>
        <w:numPr>
          <w:ilvl w:val="0"/>
          <w:numId w:val="19"/>
        </w:numPr>
      </w:pPr>
      <w:r>
        <w:t xml:space="preserve">Required the company to file a rate case no later than April 15, 2013, to eliminate the remaining subsidy (an additional 33.3 percent of the original subsidy), and </w:t>
      </w:r>
    </w:p>
    <w:p w14:paraId="62FEB415" w14:textId="77777777" w:rsidR="00440678" w:rsidRDefault="00440678" w:rsidP="00440678">
      <w:pPr>
        <w:pStyle w:val="NoSpacing"/>
      </w:pPr>
    </w:p>
    <w:p w14:paraId="336E4533" w14:textId="300BE402" w:rsidR="00F50FB5" w:rsidRDefault="00440678" w:rsidP="002C5B71">
      <w:pPr>
        <w:pStyle w:val="NoSpacing"/>
        <w:numPr>
          <w:ilvl w:val="0"/>
          <w:numId w:val="19"/>
        </w:numPr>
      </w:pPr>
      <w:r>
        <w:t xml:space="preserve">Required the company to notify </w:t>
      </w:r>
      <w:r w:rsidRPr="00EB1647">
        <w:t>all non-residential customers,</w:t>
      </w:r>
      <w:r>
        <w:t xml:space="preserve"> </w:t>
      </w:r>
      <w:r w:rsidRPr="00EB1647">
        <w:t xml:space="preserve">no later than February 29, 2012, advising them of the </w:t>
      </w:r>
      <w:r w:rsidR="002C5B71">
        <w:t xml:space="preserve">upcoming </w:t>
      </w:r>
      <w:r w:rsidRPr="00EB1647">
        <w:t>2013 rate case and the expected impact to non-</w:t>
      </w:r>
      <w:r w:rsidRPr="00EB1647">
        <w:lastRenderedPageBreak/>
        <w:t>residential rates.</w:t>
      </w:r>
      <w:r>
        <w:t xml:space="preserve"> The purpose of this notice was to give non-residential customers sufficient time to plan and budget for the expected changes in 2013. </w:t>
      </w:r>
    </w:p>
    <w:p w14:paraId="748B7372" w14:textId="77777777" w:rsidR="00F50FB5" w:rsidRDefault="00F50FB5" w:rsidP="00F50FB5">
      <w:pPr>
        <w:pStyle w:val="NoSpacing"/>
        <w:rPr>
          <w:rFonts w:eastAsia="Times New Roman"/>
        </w:rPr>
      </w:pPr>
    </w:p>
    <w:p w14:paraId="52252086" w14:textId="26E2A22B" w:rsidR="00F17346" w:rsidDel="00F17346" w:rsidRDefault="00386F97" w:rsidP="00440678">
      <w:r>
        <w:t xml:space="preserve">On </w:t>
      </w:r>
      <w:r w:rsidR="00692AEE">
        <w:t>February 1</w:t>
      </w:r>
      <w:r w:rsidR="000F547D">
        <w:t>0</w:t>
      </w:r>
      <w:r w:rsidR="00692AEE">
        <w:t>, 2012</w:t>
      </w:r>
      <w:r>
        <w:t xml:space="preserve">, the company notified non-residential customers </w:t>
      </w:r>
      <w:r w:rsidR="00F17346" w:rsidRPr="00F17346">
        <w:t xml:space="preserve">of the </w:t>
      </w:r>
      <w:r w:rsidR="00546792">
        <w:t xml:space="preserve">upcoming </w:t>
      </w:r>
      <w:r w:rsidR="00F17346" w:rsidRPr="00F17346">
        <w:t>2013 rate case and the expected i</w:t>
      </w:r>
      <w:r w:rsidR="00F17346">
        <w:t>mpact to non-residential rates.</w:t>
      </w:r>
      <w:r w:rsidR="00692AEE">
        <w:t xml:space="preserve"> On April 1</w:t>
      </w:r>
      <w:r w:rsidR="000F547D">
        <w:t>0</w:t>
      </w:r>
      <w:r w:rsidR="00692AEE">
        <w:t>, 2013</w:t>
      </w:r>
      <w:r w:rsidR="00EB0BEA">
        <w:t>, t</w:t>
      </w:r>
      <w:r w:rsidR="00F17346">
        <w:t>he company also notified all residential and non-</w:t>
      </w:r>
      <w:r w:rsidR="00440678">
        <w:t>residential</w:t>
      </w:r>
      <w:r w:rsidR="00F17346">
        <w:t xml:space="preserve"> customers of the current rate case, as required by commission rule. </w:t>
      </w:r>
    </w:p>
    <w:p w14:paraId="11585C63" w14:textId="77777777" w:rsidR="00E970D2" w:rsidRDefault="00E970D2" w:rsidP="002C5B71"/>
    <w:p w14:paraId="186E44A7" w14:textId="5235EF4B" w:rsidR="00E970D2" w:rsidRDefault="00E970D2" w:rsidP="00E97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9030B4">
        <w:t xml:space="preserve">Staff’s review of the filing </w:t>
      </w:r>
      <w:r w:rsidR="00440678" w:rsidRPr="009030B4">
        <w:t xml:space="preserve">found the company’s proposed rates would result in a revenue increase of </w:t>
      </w:r>
      <w:r w:rsidR="00EB0BEA" w:rsidRPr="002C5B71">
        <w:t xml:space="preserve">approximately </w:t>
      </w:r>
      <w:r w:rsidR="00440678" w:rsidRPr="009030B4">
        <w:t>$</w:t>
      </w:r>
      <w:r w:rsidR="009C6500">
        <w:t>79,8</w:t>
      </w:r>
      <w:r w:rsidR="00692AEE" w:rsidRPr="002C5B71">
        <w:t>00</w:t>
      </w:r>
      <w:r w:rsidR="00440678" w:rsidRPr="009030B4">
        <w:t xml:space="preserve"> (</w:t>
      </w:r>
      <w:r w:rsidR="009C6500">
        <w:t>1.4</w:t>
      </w:r>
      <w:r w:rsidR="00440678" w:rsidRPr="009030B4">
        <w:t xml:space="preserve"> percent).</w:t>
      </w:r>
      <w:r w:rsidR="00440678">
        <w:t xml:space="preserve"> </w:t>
      </w:r>
      <w:r>
        <w:t xml:space="preserve">Staff </w:t>
      </w:r>
      <w:r w:rsidR="00A41C31">
        <w:t>lowered</w:t>
      </w:r>
      <w:r>
        <w:t xml:space="preserve"> </w:t>
      </w:r>
      <w:r w:rsidR="00DC08BA">
        <w:t xml:space="preserve">the rate of return the company filed based on the </w:t>
      </w:r>
      <w:r w:rsidR="00A41C31">
        <w:t xml:space="preserve">company’s </w:t>
      </w:r>
      <w:r w:rsidR="00DC08BA">
        <w:t>actual capital structure</w:t>
      </w:r>
      <w:r w:rsidR="00A41C31">
        <w:t>,</w:t>
      </w:r>
      <w:r w:rsidR="00DC08BA">
        <w:t xml:space="preserve"> </w:t>
      </w:r>
      <w:r w:rsidR="00F17346">
        <w:t xml:space="preserve">and </w:t>
      </w:r>
      <w:r w:rsidR="00027209">
        <w:t xml:space="preserve">lowered </w:t>
      </w:r>
      <w:r w:rsidR="00A41C31">
        <w:t>e</w:t>
      </w:r>
      <w:r>
        <w:t>xpense</w:t>
      </w:r>
      <w:r w:rsidR="00DC08BA">
        <w:t>s</w:t>
      </w:r>
      <w:r>
        <w:t xml:space="preserve"> for </w:t>
      </w:r>
      <w:r w:rsidR="00DC08BA">
        <w:t>compensation and rate case cost to known and measurable amounts.</w:t>
      </w:r>
      <w:r w:rsidR="00F17346" w:rsidRPr="00F17346">
        <w:t xml:space="preserve"> </w:t>
      </w:r>
      <w:r w:rsidR="00F17346">
        <w:t>Staff recommend</w:t>
      </w:r>
      <w:r w:rsidR="00440678">
        <w:t>ed</w:t>
      </w:r>
      <w:r w:rsidR="00F17346">
        <w:t xml:space="preserve"> revised rates that also reflect additional revenue </w:t>
      </w:r>
      <w:r w:rsidR="00440678">
        <w:t xml:space="preserve">the company </w:t>
      </w:r>
      <w:r w:rsidR="00F17346">
        <w:t>received due to customer growth and increased water usage.</w:t>
      </w:r>
    </w:p>
    <w:p w14:paraId="594C781C" w14:textId="77777777" w:rsidR="00E970D2" w:rsidRDefault="00E970D2" w:rsidP="00E97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65A8A1E9" w14:textId="1B3D5285" w:rsidR="00E970D2" w:rsidRDefault="00E970D2" w:rsidP="00E970D2">
      <w:r>
        <w:t>The company agreed with staff’s adjustments and o</w:t>
      </w:r>
      <w:r w:rsidRPr="00D328D2">
        <w:t xml:space="preserve">n </w:t>
      </w:r>
      <w:r w:rsidR="00DC08BA">
        <w:t>May</w:t>
      </w:r>
      <w:r>
        <w:t xml:space="preserve"> </w:t>
      </w:r>
      <w:r w:rsidR="00A41C31">
        <w:t>24</w:t>
      </w:r>
      <w:r>
        <w:t>,</w:t>
      </w:r>
      <w:r w:rsidRPr="00D319D6">
        <w:t xml:space="preserve"> 2013</w:t>
      </w:r>
      <w:r w:rsidR="00DB5F8A">
        <w:t>,</w:t>
      </w:r>
      <w:r w:rsidR="00BC0421">
        <w:t xml:space="preserve"> and</w:t>
      </w:r>
      <w:r w:rsidRPr="00AA4488">
        <w:t xml:space="preserve"> the company filed revised rates at staff-recommended levels</w:t>
      </w:r>
      <w:r>
        <w:t xml:space="preserve">. The revised </w:t>
      </w:r>
      <w:r w:rsidRPr="00947725">
        <w:t>tariff revision</w:t>
      </w:r>
      <w:r w:rsidR="00027209">
        <w:t>s</w:t>
      </w:r>
      <w:r w:rsidRPr="00947725">
        <w:t xml:space="preserve"> would </w:t>
      </w:r>
      <w:r w:rsidR="00A41C31">
        <w:t>lower proposed</w:t>
      </w:r>
      <w:r w:rsidRPr="00947725">
        <w:t xml:space="preserve"> rates and generate </w:t>
      </w:r>
      <w:r w:rsidR="00DC08BA">
        <w:t xml:space="preserve">about </w:t>
      </w:r>
      <w:r w:rsidRPr="0001006D">
        <w:t>$</w:t>
      </w:r>
      <w:r w:rsidR="00DC08BA">
        <w:t>19</w:t>
      </w:r>
      <w:r w:rsidR="00156779">
        <w:t>9</w:t>
      </w:r>
      <w:r w:rsidR="00DC08BA">
        <w:t>,000</w:t>
      </w:r>
      <w:r w:rsidRPr="0001006D">
        <w:t xml:space="preserve"> (</w:t>
      </w:r>
      <w:r w:rsidR="00156779">
        <w:t>3.8</w:t>
      </w:r>
      <w:r w:rsidRPr="00947725">
        <w:t xml:space="preserve"> percent) </w:t>
      </w:r>
      <w:r w:rsidR="00DC08BA">
        <w:t>less</w:t>
      </w:r>
      <w:r w:rsidRPr="00947725">
        <w:t xml:space="preserve"> annual revenue</w:t>
      </w:r>
      <w:r w:rsidR="00DC08BA">
        <w:t xml:space="preserve"> than the </w:t>
      </w:r>
      <w:r w:rsidR="00F17346">
        <w:t xml:space="preserve">company’s </w:t>
      </w:r>
      <w:r w:rsidR="00A41C31">
        <w:t>original filing</w:t>
      </w:r>
      <w:r w:rsidR="00EB0BEA">
        <w:t>, resulting in a</w:t>
      </w:r>
      <w:r w:rsidR="009C6500">
        <w:t>n</w:t>
      </w:r>
      <w:r w:rsidR="00EB0BEA">
        <w:t xml:space="preserve"> </w:t>
      </w:r>
      <w:r w:rsidR="009C6500">
        <w:t xml:space="preserve">overall </w:t>
      </w:r>
      <w:r w:rsidR="00EB0BEA">
        <w:t xml:space="preserve">revenue </w:t>
      </w:r>
      <w:r w:rsidR="009C6500">
        <w:t>decrease</w:t>
      </w:r>
      <w:r w:rsidRPr="00947725">
        <w:t>.</w:t>
      </w:r>
      <w:r>
        <w:t xml:space="preserve"> </w:t>
      </w:r>
    </w:p>
    <w:p w14:paraId="13BEDC2F" w14:textId="77777777" w:rsidR="004332A0" w:rsidRDefault="004332A0" w:rsidP="000F453F">
      <w:pPr>
        <w:pStyle w:val="NoSpacing"/>
        <w:rPr>
          <w:rFonts w:eastAsia="Times New Roman"/>
        </w:rPr>
      </w:pPr>
    </w:p>
    <w:p w14:paraId="0C3BAEFE" w14:textId="77777777" w:rsidR="00C155BE" w:rsidRDefault="00C155BE" w:rsidP="007F1BFD">
      <w:pPr>
        <w:pStyle w:val="NoSpacing"/>
        <w:rPr>
          <w:b/>
          <w:u w:val="single"/>
        </w:rPr>
      </w:pPr>
      <w:r>
        <w:rPr>
          <w:b/>
          <w:u w:val="single"/>
        </w:rPr>
        <w:t>Customer Comments</w:t>
      </w:r>
    </w:p>
    <w:p w14:paraId="6E84A078" w14:textId="77777777" w:rsidR="00C90611" w:rsidRDefault="00C90611" w:rsidP="007F1BFD">
      <w:pPr>
        <w:pStyle w:val="NoSpacing"/>
      </w:pPr>
    </w:p>
    <w:p w14:paraId="0C3BAEFF" w14:textId="38465740" w:rsidR="00C155BE" w:rsidRDefault="00C155BE" w:rsidP="007F1BFD">
      <w:pPr>
        <w:pStyle w:val="NoSpacing"/>
      </w:pPr>
      <w:r>
        <w:t>On A</w:t>
      </w:r>
      <w:r w:rsidR="00C90611">
        <w:t>pril</w:t>
      </w:r>
      <w:r>
        <w:t xml:space="preserve"> </w:t>
      </w:r>
      <w:r w:rsidR="00615D7B">
        <w:t>1</w:t>
      </w:r>
      <w:r w:rsidR="00206931">
        <w:t>0</w:t>
      </w:r>
      <w:r>
        <w:t>, 201</w:t>
      </w:r>
      <w:r w:rsidR="00C90611">
        <w:t>3</w:t>
      </w:r>
      <w:r>
        <w:t xml:space="preserve">, the company notified its customers of the proposed rate increase by mail. </w:t>
      </w:r>
      <w:r w:rsidR="00206931">
        <w:t>No comments were received.</w:t>
      </w:r>
    </w:p>
    <w:p w14:paraId="5EF006FA" w14:textId="77777777" w:rsidR="00B92231" w:rsidRDefault="00B92231" w:rsidP="00B92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rPr>
          <w:rFonts w:eastAsia="Times New Roman"/>
        </w:rPr>
      </w:pPr>
    </w:p>
    <w:p w14:paraId="0C3BAF1E" w14:textId="77777777" w:rsidR="00B92231" w:rsidRDefault="00B92231" w:rsidP="004B7F58">
      <w:pPr>
        <w:jc w:val="center"/>
        <w:rPr>
          <w:b/>
          <w:u w:val="single"/>
        </w:rPr>
      </w:pPr>
      <w:r w:rsidRPr="00450175">
        <w:rPr>
          <w:b/>
          <w:u w:val="single"/>
        </w:rPr>
        <w:t>Rate Comparison</w:t>
      </w:r>
    </w:p>
    <w:p w14:paraId="0C3BAF1F" w14:textId="77777777" w:rsidR="00B92231" w:rsidRDefault="00B92231" w:rsidP="00B92231">
      <w:pPr>
        <w:jc w:val="center"/>
        <w:rPr>
          <w:b/>
          <w:u w:val="single"/>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1772"/>
        <w:gridCol w:w="2006"/>
        <w:gridCol w:w="2006"/>
      </w:tblGrid>
      <w:tr w:rsidR="00212716" w:rsidRPr="009270B9" w14:paraId="0C3BAF23" w14:textId="33A89475" w:rsidTr="00212716">
        <w:trPr>
          <w:jc w:val="center"/>
        </w:trPr>
        <w:tc>
          <w:tcPr>
            <w:tcW w:w="1980" w:type="pct"/>
          </w:tcPr>
          <w:p w14:paraId="0C3BAF20" w14:textId="77777777" w:rsidR="00212716" w:rsidRPr="009270B9" w:rsidRDefault="00212716" w:rsidP="00B92231">
            <w:pPr>
              <w:keepNext/>
              <w:widowControl w:val="0"/>
              <w:autoSpaceDE w:val="0"/>
              <w:autoSpaceDN w:val="0"/>
              <w:adjustRightInd w:val="0"/>
              <w:jc w:val="center"/>
              <w:outlineLvl w:val="0"/>
              <w:rPr>
                <w:rFonts w:eastAsia="Times New Roman"/>
                <w:b/>
              </w:rPr>
            </w:pPr>
            <w:r w:rsidRPr="009270B9">
              <w:rPr>
                <w:rFonts w:eastAsia="Times New Roman"/>
                <w:b/>
              </w:rPr>
              <w:t>Monthly Rate</w:t>
            </w:r>
            <w:r>
              <w:rPr>
                <w:rFonts w:eastAsia="Times New Roman"/>
                <w:b/>
              </w:rPr>
              <w:t>*</w:t>
            </w:r>
          </w:p>
        </w:tc>
        <w:tc>
          <w:tcPr>
            <w:tcW w:w="925" w:type="pct"/>
            <w:vAlign w:val="center"/>
          </w:tcPr>
          <w:p w14:paraId="0C3BAF21" w14:textId="77777777" w:rsidR="00212716" w:rsidRPr="009270B9" w:rsidRDefault="00212716" w:rsidP="00B92231">
            <w:pPr>
              <w:widowControl w:val="0"/>
              <w:autoSpaceDE w:val="0"/>
              <w:autoSpaceDN w:val="0"/>
              <w:adjustRightInd w:val="0"/>
              <w:jc w:val="center"/>
              <w:rPr>
                <w:rFonts w:eastAsia="Times New Roman"/>
                <w:b/>
              </w:rPr>
            </w:pPr>
            <w:r w:rsidRPr="009270B9">
              <w:rPr>
                <w:rFonts w:eastAsia="Times New Roman"/>
                <w:b/>
              </w:rPr>
              <w:t>Current Rate</w:t>
            </w:r>
          </w:p>
        </w:tc>
        <w:tc>
          <w:tcPr>
            <w:tcW w:w="1047" w:type="pct"/>
          </w:tcPr>
          <w:p w14:paraId="0C3BAF22" w14:textId="77777777" w:rsidR="00212716" w:rsidRPr="009270B9" w:rsidRDefault="00212716">
            <w:pPr>
              <w:widowControl w:val="0"/>
              <w:autoSpaceDE w:val="0"/>
              <w:autoSpaceDN w:val="0"/>
              <w:adjustRightInd w:val="0"/>
              <w:jc w:val="center"/>
              <w:rPr>
                <w:rFonts w:eastAsia="Times New Roman"/>
                <w:b/>
              </w:rPr>
            </w:pPr>
            <w:r>
              <w:rPr>
                <w:rFonts w:eastAsia="Times New Roman"/>
                <w:b/>
              </w:rPr>
              <w:t xml:space="preserve"> </w:t>
            </w:r>
            <w:r w:rsidRPr="009270B9">
              <w:rPr>
                <w:rFonts w:eastAsia="Times New Roman"/>
                <w:b/>
              </w:rPr>
              <w:t>Proposed Rate</w:t>
            </w:r>
          </w:p>
        </w:tc>
        <w:tc>
          <w:tcPr>
            <w:tcW w:w="1047" w:type="pct"/>
          </w:tcPr>
          <w:p w14:paraId="65CE07AE" w14:textId="301B760A" w:rsidR="00212716" w:rsidRDefault="00212716">
            <w:pPr>
              <w:widowControl w:val="0"/>
              <w:autoSpaceDE w:val="0"/>
              <w:autoSpaceDN w:val="0"/>
              <w:adjustRightInd w:val="0"/>
              <w:jc w:val="center"/>
              <w:rPr>
                <w:rFonts w:eastAsia="Times New Roman"/>
                <w:b/>
              </w:rPr>
            </w:pPr>
            <w:r>
              <w:rPr>
                <w:rFonts w:eastAsia="Times New Roman"/>
                <w:b/>
              </w:rPr>
              <w:t>Revi</w:t>
            </w:r>
            <w:r w:rsidRPr="009270B9">
              <w:rPr>
                <w:rFonts w:eastAsia="Times New Roman"/>
                <w:b/>
              </w:rPr>
              <w:t>sed Rate</w:t>
            </w:r>
          </w:p>
        </w:tc>
      </w:tr>
      <w:tr w:rsidR="00212716" w:rsidRPr="009270B9" w14:paraId="0C3BAF27" w14:textId="67D43533" w:rsidTr="00212716">
        <w:trPr>
          <w:jc w:val="center"/>
        </w:trPr>
        <w:tc>
          <w:tcPr>
            <w:tcW w:w="1980" w:type="pct"/>
          </w:tcPr>
          <w:p w14:paraId="0C3BAF24" w14:textId="77777777" w:rsidR="00212716" w:rsidRPr="00BE627B" w:rsidRDefault="00212716" w:rsidP="00B92231">
            <w:pPr>
              <w:keepNext/>
              <w:widowControl w:val="0"/>
              <w:autoSpaceDE w:val="0"/>
              <w:autoSpaceDN w:val="0"/>
              <w:adjustRightInd w:val="0"/>
              <w:outlineLvl w:val="0"/>
              <w:rPr>
                <w:rFonts w:eastAsia="Times New Roman"/>
                <w:b/>
              </w:rPr>
            </w:pPr>
            <w:r w:rsidRPr="00BE627B">
              <w:rPr>
                <w:rFonts w:eastAsia="Times New Roman"/>
                <w:b/>
              </w:rPr>
              <w:t>Residential Metered Rate Service</w:t>
            </w:r>
          </w:p>
        </w:tc>
        <w:tc>
          <w:tcPr>
            <w:tcW w:w="925" w:type="pct"/>
          </w:tcPr>
          <w:p w14:paraId="0C3BAF25" w14:textId="77777777" w:rsidR="00212716" w:rsidRPr="009270B9" w:rsidRDefault="00212716" w:rsidP="00B92231">
            <w:pPr>
              <w:widowControl w:val="0"/>
              <w:autoSpaceDE w:val="0"/>
              <w:autoSpaceDN w:val="0"/>
              <w:adjustRightInd w:val="0"/>
              <w:jc w:val="center"/>
              <w:rPr>
                <w:rFonts w:eastAsia="Times New Roman"/>
              </w:rPr>
            </w:pPr>
          </w:p>
        </w:tc>
        <w:tc>
          <w:tcPr>
            <w:tcW w:w="1047" w:type="pct"/>
          </w:tcPr>
          <w:p w14:paraId="0C3BAF26" w14:textId="77777777" w:rsidR="00212716" w:rsidRPr="009270B9" w:rsidRDefault="00212716" w:rsidP="00B92231">
            <w:pPr>
              <w:widowControl w:val="0"/>
              <w:autoSpaceDE w:val="0"/>
              <w:autoSpaceDN w:val="0"/>
              <w:adjustRightInd w:val="0"/>
              <w:jc w:val="center"/>
              <w:rPr>
                <w:rFonts w:eastAsia="Times New Roman"/>
              </w:rPr>
            </w:pPr>
          </w:p>
        </w:tc>
        <w:tc>
          <w:tcPr>
            <w:tcW w:w="1047" w:type="pct"/>
          </w:tcPr>
          <w:p w14:paraId="05DE9367" w14:textId="77777777" w:rsidR="00212716" w:rsidRPr="009270B9" w:rsidRDefault="00212716" w:rsidP="00B92231">
            <w:pPr>
              <w:widowControl w:val="0"/>
              <w:autoSpaceDE w:val="0"/>
              <w:autoSpaceDN w:val="0"/>
              <w:adjustRightInd w:val="0"/>
              <w:jc w:val="center"/>
              <w:rPr>
                <w:rFonts w:eastAsia="Times New Roman"/>
              </w:rPr>
            </w:pPr>
          </w:p>
        </w:tc>
      </w:tr>
      <w:tr w:rsidR="00212716" w:rsidRPr="009270B9" w14:paraId="0C3BAF2B" w14:textId="3B7D429A" w:rsidTr="00212716">
        <w:trPr>
          <w:jc w:val="center"/>
        </w:trPr>
        <w:tc>
          <w:tcPr>
            <w:tcW w:w="1980" w:type="pct"/>
          </w:tcPr>
          <w:p w14:paraId="0C3BAF28" w14:textId="7ACA025B" w:rsidR="00212716" w:rsidRPr="009270B9" w:rsidRDefault="00212716" w:rsidP="00027209">
            <w:pPr>
              <w:keepNext/>
              <w:widowControl w:val="0"/>
              <w:autoSpaceDE w:val="0"/>
              <w:autoSpaceDN w:val="0"/>
              <w:adjustRightInd w:val="0"/>
              <w:outlineLvl w:val="0"/>
              <w:rPr>
                <w:rFonts w:eastAsia="Times New Roman"/>
              </w:rPr>
            </w:pPr>
            <w:r>
              <w:rPr>
                <w:rFonts w:eastAsia="Times New Roman"/>
              </w:rPr>
              <w:t>Base Rate (3/4-</w:t>
            </w:r>
            <w:r w:rsidR="00A41C31">
              <w:rPr>
                <w:rFonts w:eastAsia="Times New Roman"/>
              </w:rPr>
              <w:t>I</w:t>
            </w:r>
            <w:r w:rsidRPr="009270B9">
              <w:rPr>
                <w:rFonts w:eastAsia="Times New Roman"/>
              </w:rPr>
              <w:t xml:space="preserve">nch </w:t>
            </w:r>
            <w:r w:rsidR="00A41C31">
              <w:rPr>
                <w:rFonts w:eastAsia="Times New Roman"/>
              </w:rPr>
              <w:t>M</w:t>
            </w:r>
            <w:r w:rsidRPr="009270B9">
              <w:rPr>
                <w:rFonts w:eastAsia="Times New Roman"/>
              </w:rPr>
              <w:t>eter)</w:t>
            </w:r>
            <w:r>
              <w:rPr>
                <w:rFonts w:eastAsia="Times New Roman"/>
              </w:rPr>
              <w:t xml:space="preserve"> </w:t>
            </w:r>
          </w:p>
        </w:tc>
        <w:tc>
          <w:tcPr>
            <w:tcW w:w="925" w:type="pct"/>
          </w:tcPr>
          <w:p w14:paraId="0C3BAF29" w14:textId="67EAE790" w:rsidR="00212716" w:rsidRPr="009270B9" w:rsidRDefault="00212716" w:rsidP="00B92231">
            <w:pPr>
              <w:widowControl w:val="0"/>
              <w:autoSpaceDE w:val="0"/>
              <w:autoSpaceDN w:val="0"/>
              <w:adjustRightInd w:val="0"/>
              <w:jc w:val="center"/>
              <w:rPr>
                <w:rFonts w:eastAsia="Times New Roman"/>
              </w:rPr>
            </w:pPr>
            <w:r>
              <w:rPr>
                <w:rFonts w:eastAsia="Times New Roman"/>
              </w:rPr>
              <w:t>$13.90</w:t>
            </w:r>
          </w:p>
        </w:tc>
        <w:tc>
          <w:tcPr>
            <w:tcW w:w="1047" w:type="pct"/>
          </w:tcPr>
          <w:p w14:paraId="0C3BAF2A" w14:textId="77777777" w:rsidR="00212716" w:rsidRPr="009270B9" w:rsidRDefault="00212716" w:rsidP="00B92231">
            <w:pPr>
              <w:widowControl w:val="0"/>
              <w:autoSpaceDE w:val="0"/>
              <w:autoSpaceDN w:val="0"/>
              <w:adjustRightInd w:val="0"/>
              <w:jc w:val="center"/>
              <w:rPr>
                <w:rFonts w:eastAsia="Times New Roman"/>
              </w:rPr>
            </w:pPr>
            <w:r>
              <w:rPr>
                <w:rFonts w:eastAsia="Times New Roman"/>
              </w:rPr>
              <w:t>$13.90</w:t>
            </w:r>
          </w:p>
        </w:tc>
        <w:tc>
          <w:tcPr>
            <w:tcW w:w="1047" w:type="pct"/>
          </w:tcPr>
          <w:p w14:paraId="3C5D0C22" w14:textId="6102E390" w:rsidR="00212716" w:rsidRDefault="00212716" w:rsidP="00B92231">
            <w:pPr>
              <w:widowControl w:val="0"/>
              <w:autoSpaceDE w:val="0"/>
              <w:autoSpaceDN w:val="0"/>
              <w:adjustRightInd w:val="0"/>
              <w:jc w:val="center"/>
              <w:rPr>
                <w:rFonts w:eastAsia="Times New Roman"/>
              </w:rPr>
            </w:pPr>
            <w:r>
              <w:rPr>
                <w:rFonts w:eastAsia="Times New Roman"/>
              </w:rPr>
              <w:t>$13.90</w:t>
            </w:r>
          </w:p>
        </w:tc>
      </w:tr>
      <w:tr w:rsidR="00212716" w:rsidRPr="009270B9" w14:paraId="0C3BAF2F" w14:textId="370ED77F" w:rsidTr="00212716">
        <w:trPr>
          <w:jc w:val="center"/>
        </w:trPr>
        <w:tc>
          <w:tcPr>
            <w:tcW w:w="1980" w:type="pct"/>
          </w:tcPr>
          <w:p w14:paraId="0C3BAF2C" w14:textId="59E9EDEB" w:rsidR="00212716" w:rsidRPr="009270B9" w:rsidRDefault="00212716" w:rsidP="00B92231">
            <w:pPr>
              <w:widowControl w:val="0"/>
              <w:autoSpaceDE w:val="0"/>
              <w:autoSpaceDN w:val="0"/>
              <w:adjustRightInd w:val="0"/>
              <w:rPr>
                <w:rFonts w:eastAsia="Times New Roman"/>
              </w:rPr>
            </w:pPr>
            <w:r w:rsidRPr="009270B9">
              <w:rPr>
                <w:rFonts w:eastAsia="Times New Roman"/>
              </w:rPr>
              <w:t xml:space="preserve">0 – </w:t>
            </w:r>
            <w:r>
              <w:rPr>
                <w:rFonts w:eastAsia="Times New Roman"/>
              </w:rPr>
              <w:t>6</w:t>
            </w:r>
            <w:r w:rsidRPr="009270B9">
              <w:rPr>
                <w:rFonts w:eastAsia="Times New Roman"/>
              </w:rPr>
              <w:t>00 Cubic Feet</w:t>
            </w:r>
            <w:r>
              <w:rPr>
                <w:rFonts w:eastAsia="Times New Roman"/>
              </w:rPr>
              <w:t>**</w:t>
            </w:r>
          </w:p>
        </w:tc>
        <w:tc>
          <w:tcPr>
            <w:tcW w:w="925" w:type="pct"/>
          </w:tcPr>
          <w:p w14:paraId="0C3BAF2D" w14:textId="3C50C96B" w:rsidR="00212716" w:rsidRPr="009270B9" w:rsidRDefault="00212716" w:rsidP="00B92231">
            <w:pPr>
              <w:widowControl w:val="0"/>
              <w:autoSpaceDE w:val="0"/>
              <w:autoSpaceDN w:val="0"/>
              <w:adjustRightInd w:val="0"/>
              <w:jc w:val="center"/>
              <w:rPr>
                <w:rFonts w:eastAsia="Times New Roman"/>
              </w:rPr>
            </w:pPr>
            <w:r>
              <w:rPr>
                <w:rFonts w:eastAsia="Times New Roman"/>
              </w:rPr>
              <w:t>$.95</w:t>
            </w:r>
          </w:p>
        </w:tc>
        <w:tc>
          <w:tcPr>
            <w:tcW w:w="1047" w:type="pct"/>
          </w:tcPr>
          <w:p w14:paraId="0C3BAF2E" w14:textId="77777777" w:rsidR="00212716" w:rsidRPr="009270B9" w:rsidRDefault="00212716" w:rsidP="00B92231">
            <w:pPr>
              <w:widowControl w:val="0"/>
              <w:autoSpaceDE w:val="0"/>
              <w:autoSpaceDN w:val="0"/>
              <w:adjustRightInd w:val="0"/>
              <w:jc w:val="center"/>
              <w:rPr>
                <w:rFonts w:eastAsia="Times New Roman"/>
              </w:rPr>
            </w:pPr>
            <w:r>
              <w:rPr>
                <w:rFonts w:eastAsia="Times New Roman"/>
              </w:rPr>
              <w:t>$.95</w:t>
            </w:r>
          </w:p>
        </w:tc>
        <w:tc>
          <w:tcPr>
            <w:tcW w:w="1047" w:type="pct"/>
          </w:tcPr>
          <w:p w14:paraId="22C07E62" w14:textId="237024F6" w:rsidR="00212716" w:rsidRDefault="00212716" w:rsidP="00B92231">
            <w:pPr>
              <w:widowControl w:val="0"/>
              <w:autoSpaceDE w:val="0"/>
              <w:autoSpaceDN w:val="0"/>
              <w:adjustRightInd w:val="0"/>
              <w:jc w:val="center"/>
              <w:rPr>
                <w:rFonts w:eastAsia="Times New Roman"/>
              </w:rPr>
            </w:pPr>
            <w:r>
              <w:rPr>
                <w:rFonts w:eastAsia="Times New Roman"/>
              </w:rPr>
              <w:t>$.9</w:t>
            </w:r>
            <w:r w:rsidR="00156779">
              <w:rPr>
                <w:rFonts w:eastAsia="Times New Roman"/>
              </w:rPr>
              <w:t>4</w:t>
            </w:r>
          </w:p>
        </w:tc>
      </w:tr>
      <w:tr w:rsidR="00212716" w:rsidRPr="009270B9" w14:paraId="0C3BAF33" w14:textId="4A0A6EEE" w:rsidTr="00212716">
        <w:trPr>
          <w:jc w:val="center"/>
        </w:trPr>
        <w:tc>
          <w:tcPr>
            <w:tcW w:w="1980" w:type="pct"/>
          </w:tcPr>
          <w:p w14:paraId="0C3BAF30" w14:textId="7E592EDA" w:rsidR="00212716" w:rsidRPr="009270B9" w:rsidRDefault="00212716" w:rsidP="00B92231">
            <w:pPr>
              <w:widowControl w:val="0"/>
              <w:autoSpaceDE w:val="0"/>
              <w:autoSpaceDN w:val="0"/>
              <w:adjustRightInd w:val="0"/>
              <w:rPr>
                <w:rFonts w:eastAsia="Times New Roman"/>
              </w:rPr>
            </w:pPr>
            <w:r>
              <w:rPr>
                <w:rFonts w:eastAsia="Times New Roman"/>
              </w:rPr>
              <w:t>601</w:t>
            </w:r>
            <w:r w:rsidRPr="009270B9">
              <w:rPr>
                <w:rFonts w:eastAsia="Times New Roman"/>
              </w:rPr>
              <w:t xml:space="preserve"> – </w:t>
            </w:r>
            <w:r>
              <w:rPr>
                <w:rFonts w:eastAsia="Times New Roman"/>
              </w:rPr>
              <w:t>3,0</w:t>
            </w:r>
            <w:r w:rsidRPr="009270B9">
              <w:rPr>
                <w:rFonts w:eastAsia="Times New Roman"/>
              </w:rPr>
              <w:t>00 Cubic Feet</w:t>
            </w:r>
            <w:r>
              <w:rPr>
                <w:rFonts w:eastAsia="Times New Roman"/>
              </w:rPr>
              <w:t>**</w:t>
            </w:r>
          </w:p>
        </w:tc>
        <w:tc>
          <w:tcPr>
            <w:tcW w:w="925" w:type="pct"/>
          </w:tcPr>
          <w:p w14:paraId="0C3BAF31" w14:textId="53EC9B00" w:rsidR="00212716" w:rsidRPr="009270B9" w:rsidRDefault="00212716" w:rsidP="00E67B67">
            <w:pPr>
              <w:widowControl w:val="0"/>
              <w:autoSpaceDE w:val="0"/>
              <w:autoSpaceDN w:val="0"/>
              <w:adjustRightInd w:val="0"/>
              <w:jc w:val="center"/>
              <w:rPr>
                <w:rFonts w:eastAsia="Times New Roman"/>
              </w:rPr>
            </w:pPr>
            <w:r w:rsidRPr="009270B9">
              <w:rPr>
                <w:rFonts w:eastAsia="Times New Roman"/>
              </w:rPr>
              <w:t>$</w:t>
            </w:r>
            <w:r>
              <w:rPr>
                <w:rFonts w:eastAsia="Times New Roman"/>
              </w:rPr>
              <w:t>1</w:t>
            </w:r>
            <w:r w:rsidRPr="009270B9">
              <w:rPr>
                <w:rFonts w:eastAsia="Times New Roman"/>
              </w:rPr>
              <w:t>.</w:t>
            </w:r>
            <w:r>
              <w:rPr>
                <w:rFonts w:eastAsia="Times New Roman"/>
              </w:rPr>
              <w:t>00</w:t>
            </w:r>
          </w:p>
        </w:tc>
        <w:tc>
          <w:tcPr>
            <w:tcW w:w="1047" w:type="pct"/>
          </w:tcPr>
          <w:p w14:paraId="0C3BAF32" w14:textId="77777777" w:rsidR="00212716" w:rsidRPr="009270B9" w:rsidRDefault="00212716" w:rsidP="00B92231">
            <w:pPr>
              <w:widowControl w:val="0"/>
              <w:autoSpaceDE w:val="0"/>
              <w:autoSpaceDN w:val="0"/>
              <w:adjustRightInd w:val="0"/>
              <w:jc w:val="center"/>
              <w:rPr>
                <w:rFonts w:eastAsia="Times New Roman"/>
              </w:rPr>
            </w:pPr>
            <w:r>
              <w:rPr>
                <w:rFonts w:eastAsia="Times New Roman"/>
              </w:rPr>
              <w:t>$1.00</w:t>
            </w:r>
          </w:p>
        </w:tc>
        <w:tc>
          <w:tcPr>
            <w:tcW w:w="1047" w:type="pct"/>
          </w:tcPr>
          <w:p w14:paraId="70AC2A18" w14:textId="3D84722D" w:rsidR="00212716" w:rsidRDefault="00212716" w:rsidP="00B92231">
            <w:pPr>
              <w:widowControl w:val="0"/>
              <w:autoSpaceDE w:val="0"/>
              <w:autoSpaceDN w:val="0"/>
              <w:adjustRightInd w:val="0"/>
              <w:jc w:val="center"/>
              <w:rPr>
                <w:rFonts w:eastAsia="Times New Roman"/>
              </w:rPr>
            </w:pPr>
            <w:r>
              <w:rPr>
                <w:rFonts w:eastAsia="Times New Roman"/>
              </w:rPr>
              <w:t>$1.00</w:t>
            </w:r>
          </w:p>
        </w:tc>
      </w:tr>
      <w:tr w:rsidR="00212716" w:rsidRPr="009270B9" w14:paraId="0C3BAF37" w14:textId="18D5F534" w:rsidTr="00212716">
        <w:trPr>
          <w:jc w:val="center"/>
        </w:trPr>
        <w:tc>
          <w:tcPr>
            <w:tcW w:w="1980" w:type="pct"/>
          </w:tcPr>
          <w:p w14:paraId="0C3BAF34" w14:textId="3E676345" w:rsidR="00212716" w:rsidRPr="009270B9" w:rsidRDefault="00212716" w:rsidP="00B92231">
            <w:pPr>
              <w:widowControl w:val="0"/>
              <w:autoSpaceDE w:val="0"/>
              <w:autoSpaceDN w:val="0"/>
              <w:adjustRightInd w:val="0"/>
              <w:rPr>
                <w:rFonts w:eastAsia="Times New Roman"/>
              </w:rPr>
            </w:pPr>
            <w:r w:rsidRPr="009270B9">
              <w:rPr>
                <w:rFonts w:eastAsia="Times New Roman"/>
              </w:rPr>
              <w:t xml:space="preserve">Over </w:t>
            </w:r>
            <w:r>
              <w:rPr>
                <w:rFonts w:eastAsia="Times New Roman"/>
              </w:rPr>
              <w:t>3,</w:t>
            </w:r>
            <w:r w:rsidRPr="009270B9">
              <w:rPr>
                <w:rFonts w:eastAsia="Times New Roman"/>
              </w:rPr>
              <w:t>00</w:t>
            </w:r>
            <w:r>
              <w:rPr>
                <w:rFonts w:eastAsia="Times New Roman"/>
              </w:rPr>
              <w:t>0</w:t>
            </w:r>
            <w:r w:rsidRPr="009270B9">
              <w:rPr>
                <w:rFonts w:eastAsia="Times New Roman"/>
              </w:rPr>
              <w:t xml:space="preserve"> Cubic Feet</w:t>
            </w:r>
            <w:r>
              <w:rPr>
                <w:rFonts w:eastAsia="Times New Roman"/>
              </w:rPr>
              <w:t>**</w:t>
            </w:r>
          </w:p>
        </w:tc>
        <w:tc>
          <w:tcPr>
            <w:tcW w:w="925" w:type="pct"/>
          </w:tcPr>
          <w:p w14:paraId="0C3BAF35" w14:textId="77777777" w:rsidR="00212716" w:rsidRPr="009270B9" w:rsidRDefault="00212716" w:rsidP="00B92231">
            <w:pPr>
              <w:widowControl w:val="0"/>
              <w:autoSpaceDE w:val="0"/>
              <w:autoSpaceDN w:val="0"/>
              <w:adjustRightInd w:val="0"/>
              <w:jc w:val="center"/>
              <w:rPr>
                <w:rFonts w:eastAsia="Times New Roman"/>
              </w:rPr>
            </w:pPr>
            <w:r w:rsidRPr="009270B9">
              <w:rPr>
                <w:rFonts w:eastAsia="Times New Roman"/>
              </w:rPr>
              <w:t>$</w:t>
            </w:r>
            <w:r>
              <w:rPr>
                <w:rFonts w:eastAsia="Times New Roman"/>
              </w:rPr>
              <w:t>5.00</w:t>
            </w:r>
          </w:p>
        </w:tc>
        <w:tc>
          <w:tcPr>
            <w:tcW w:w="1047" w:type="pct"/>
          </w:tcPr>
          <w:p w14:paraId="0C3BAF36" w14:textId="70622CAF" w:rsidR="00212716" w:rsidRPr="009270B9" w:rsidRDefault="00212716" w:rsidP="00B437F0">
            <w:pPr>
              <w:widowControl w:val="0"/>
              <w:autoSpaceDE w:val="0"/>
              <w:autoSpaceDN w:val="0"/>
              <w:adjustRightInd w:val="0"/>
              <w:jc w:val="center"/>
              <w:rPr>
                <w:rFonts w:eastAsia="Times New Roman"/>
              </w:rPr>
            </w:pPr>
            <w:r>
              <w:rPr>
                <w:rFonts w:eastAsia="Times New Roman"/>
              </w:rPr>
              <w:t>$2.94</w:t>
            </w:r>
          </w:p>
        </w:tc>
        <w:tc>
          <w:tcPr>
            <w:tcW w:w="1047" w:type="pct"/>
          </w:tcPr>
          <w:p w14:paraId="4C80DDBA" w14:textId="62A843E8" w:rsidR="00212716" w:rsidRDefault="00212716" w:rsidP="00B437F0">
            <w:pPr>
              <w:widowControl w:val="0"/>
              <w:autoSpaceDE w:val="0"/>
              <w:autoSpaceDN w:val="0"/>
              <w:adjustRightInd w:val="0"/>
              <w:jc w:val="center"/>
              <w:rPr>
                <w:rFonts w:eastAsia="Times New Roman"/>
              </w:rPr>
            </w:pPr>
            <w:r>
              <w:rPr>
                <w:rFonts w:eastAsia="Times New Roman"/>
              </w:rPr>
              <w:t>$2.</w:t>
            </w:r>
            <w:r w:rsidR="00156779">
              <w:rPr>
                <w:rFonts w:eastAsia="Times New Roman"/>
              </w:rPr>
              <w:t>05</w:t>
            </w:r>
          </w:p>
        </w:tc>
      </w:tr>
      <w:tr w:rsidR="00212716" w:rsidRPr="009270B9" w14:paraId="0C3BAF3B" w14:textId="410FFD6D" w:rsidTr="00212716">
        <w:trPr>
          <w:jc w:val="center"/>
        </w:trPr>
        <w:tc>
          <w:tcPr>
            <w:tcW w:w="1980" w:type="pct"/>
          </w:tcPr>
          <w:p w14:paraId="0C3BAF38" w14:textId="77777777" w:rsidR="00212716" w:rsidRPr="009270B9" w:rsidRDefault="00212716" w:rsidP="00B92231">
            <w:pPr>
              <w:widowControl w:val="0"/>
              <w:autoSpaceDE w:val="0"/>
              <w:autoSpaceDN w:val="0"/>
              <w:adjustRightInd w:val="0"/>
              <w:rPr>
                <w:rFonts w:eastAsia="Times New Roman"/>
              </w:rPr>
            </w:pPr>
          </w:p>
        </w:tc>
        <w:tc>
          <w:tcPr>
            <w:tcW w:w="925" w:type="pct"/>
          </w:tcPr>
          <w:p w14:paraId="0C3BAF39" w14:textId="77777777" w:rsidR="00212716" w:rsidRPr="009270B9" w:rsidRDefault="00212716" w:rsidP="00B92231">
            <w:pPr>
              <w:widowControl w:val="0"/>
              <w:autoSpaceDE w:val="0"/>
              <w:autoSpaceDN w:val="0"/>
              <w:adjustRightInd w:val="0"/>
              <w:jc w:val="center"/>
              <w:rPr>
                <w:rFonts w:eastAsia="Times New Roman"/>
              </w:rPr>
            </w:pPr>
          </w:p>
        </w:tc>
        <w:tc>
          <w:tcPr>
            <w:tcW w:w="1047" w:type="pct"/>
          </w:tcPr>
          <w:p w14:paraId="0C3BAF3A" w14:textId="77777777" w:rsidR="00212716" w:rsidRPr="009270B9" w:rsidRDefault="00212716" w:rsidP="00B92231">
            <w:pPr>
              <w:widowControl w:val="0"/>
              <w:autoSpaceDE w:val="0"/>
              <w:autoSpaceDN w:val="0"/>
              <w:adjustRightInd w:val="0"/>
              <w:jc w:val="center"/>
              <w:rPr>
                <w:rFonts w:eastAsia="Times New Roman"/>
              </w:rPr>
            </w:pPr>
          </w:p>
        </w:tc>
        <w:tc>
          <w:tcPr>
            <w:tcW w:w="1047" w:type="pct"/>
          </w:tcPr>
          <w:p w14:paraId="1EA845CE" w14:textId="77777777" w:rsidR="00212716" w:rsidRPr="009270B9" w:rsidRDefault="00212716" w:rsidP="00B92231">
            <w:pPr>
              <w:widowControl w:val="0"/>
              <w:autoSpaceDE w:val="0"/>
              <w:autoSpaceDN w:val="0"/>
              <w:adjustRightInd w:val="0"/>
              <w:jc w:val="center"/>
              <w:rPr>
                <w:rFonts w:eastAsia="Times New Roman"/>
              </w:rPr>
            </w:pPr>
          </w:p>
        </w:tc>
      </w:tr>
      <w:tr w:rsidR="00212716" w:rsidRPr="009270B9" w14:paraId="0C3BAF53" w14:textId="71A91F9B" w:rsidTr="00212716">
        <w:trPr>
          <w:jc w:val="center"/>
        </w:trPr>
        <w:tc>
          <w:tcPr>
            <w:tcW w:w="1980" w:type="pct"/>
          </w:tcPr>
          <w:p w14:paraId="0C3BAF50" w14:textId="77777777" w:rsidR="00212716" w:rsidRPr="009270B9" w:rsidRDefault="00212716" w:rsidP="00B92231">
            <w:pPr>
              <w:widowControl w:val="0"/>
              <w:autoSpaceDE w:val="0"/>
              <w:autoSpaceDN w:val="0"/>
              <w:adjustRightInd w:val="0"/>
              <w:rPr>
                <w:rFonts w:eastAsia="Times New Roman"/>
              </w:rPr>
            </w:pPr>
            <w:r>
              <w:rPr>
                <w:rFonts w:eastAsia="Times New Roman"/>
                <w:b/>
              </w:rPr>
              <w:t>Non-</w:t>
            </w:r>
            <w:r w:rsidRPr="00BE627B">
              <w:rPr>
                <w:rFonts w:eastAsia="Times New Roman"/>
                <w:b/>
              </w:rPr>
              <w:t>Residential Metered Rate Service</w:t>
            </w:r>
          </w:p>
        </w:tc>
        <w:tc>
          <w:tcPr>
            <w:tcW w:w="925" w:type="pct"/>
          </w:tcPr>
          <w:p w14:paraId="0C3BAF51" w14:textId="77777777" w:rsidR="00212716" w:rsidRPr="009270B9" w:rsidRDefault="00212716" w:rsidP="00B92231">
            <w:pPr>
              <w:widowControl w:val="0"/>
              <w:autoSpaceDE w:val="0"/>
              <w:autoSpaceDN w:val="0"/>
              <w:adjustRightInd w:val="0"/>
              <w:jc w:val="center"/>
              <w:rPr>
                <w:rFonts w:eastAsia="Times New Roman"/>
              </w:rPr>
            </w:pPr>
          </w:p>
        </w:tc>
        <w:tc>
          <w:tcPr>
            <w:tcW w:w="1047" w:type="pct"/>
          </w:tcPr>
          <w:p w14:paraId="0C3BAF52" w14:textId="77777777" w:rsidR="00212716" w:rsidRPr="009270B9" w:rsidRDefault="00212716" w:rsidP="00B92231">
            <w:pPr>
              <w:widowControl w:val="0"/>
              <w:autoSpaceDE w:val="0"/>
              <w:autoSpaceDN w:val="0"/>
              <w:adjustRightInd w:val="0"/>
              <w:jc w:val="center"/>
              <w:rPr>
                <w:rFonts w:eastAsia="Times New Roman"/>
              </w:rPr>
            </w:pPr>
          </w:p>
        </w:tc>
        <w:tc>
          <w:tcPr>
            <w:tcW w:w="1047" w:type="pct"/>
          </w:tcPr>
          <w:p w14:paraId="3DE3B4FB" w14:textId="77777777" w:rsidR="00212716" w:rsidRPr="009270B9" w:rsidRDefault="00212716" w:rsidP="00B92231">
            <w:pPr>
              <w:widowControl w:val="0"/>
              <w:autoSpaceDE w:val="0"/>
              <w:autoSpaceDN w:val="0"/>
              <w:adjustRightInd w:val="0"/>
              <w:jc w:val="center"/>
              <w:rPr>
                <w:rFonts w:eastAsia="Times New Roman"/>
              </w:rPr>
            </w:pPr>
          </w:p>
        </w:tc>
      </w:tr>
      <w:tr w:rsidR="00212716" w:rsidRPr="009270B9" w14:paraId="0C3BAF57" w14:textId="0F30A358" w:rsidTr="00212716">
        <w:trPr>
          <w:jc w:val="center"/>
        </w:trPr>
        <w:tc>
          <w:tcPr>
            <w:tcW w:w="1980" w:type="pct"/>
          </w:tcPr>
          <w:p w14:paraId="0C3BAF54" w14:textId="719B8A0D" w:rsidR="00212716" w:rsidRPr="009270B9" w:rsidRDefault="00212716" w:rsidP="00027209">
            <w:pPr>
              <w:keepNext/>
              <w:widowControl w:val="0"/>
              <w:autoSpaceDE w:val="0"/>
              <w:autoSpaceDN w:val="0"/>
              <w:adjustRightInd w:val="0"/>
              <w:outlineLvl w:val="0"/>
              <w:rPr>
                <w:rFonts w:eastAsia="Times New Roman"/>
              </w:rPr>
            </w:pPr>
            <w:r w:rsidRPr="009270B9">
              <w:rPr>
                <w:rFonts w:eastAsia="Times New Roman"/>
              </w:rPr>
              <w:t>Base Rate (</w:t>
            </w:r>
            <w:r>
              <w:rPr>
                <w:rFonts w:eastAsia="Times New Roman"/>
              </w:rPr>
              <w:t>3/4</w:t>
            </w:r>
            <w:r w:rsidRPr="009270B9">
              <w:rPr>
                <w:rFonts w:eastAsia="Times New Roman"/>
              </w:rPr>
              <w:t>-</w:t>
            </w:r>
            <w:r w:rsidR="00A41C31">
              <w:rPr>
                <w:rFonts w:eastAsia="Times New Roman"/>
              </w:rPr>
              <w:t>I</w:t>
            </w:r>
            <w:r w:rsidRPr="009270B9">
              <w:rPr>
                <w:rFonts w:eastAsia="Times New Roman"/>
              </w:rPr>
              <w:t xml:space="preserve">nch </w:t>
            </w:r>
            <w:r w:rsidR="00A41C31">
              <w:rPr>
                <w:rFonts w:eastAsia="Times New Roman"/>
              </w:rPr>
              <w:t>M</w:t>
            </w:r>
            <w:r w:rsidRPr="009270B9">
              <w:rPr>
                <w:rFonts w:eastAsia="Times New Roman"/>
              </w:rPr>
              <w:t>eter)</w:t>
            </w:r>
            <w:r>
              <w:rPr>
                <w:rFonts w:eastAsia="Times New Roman"/>
              </w:rPr>
              <w:t xml:space="preserve"> </w:t>
            </w:r>
          </w:p>
        </w:tc>
        <w:tc>
          <w:tcPr>
            <w:tcW w:w="925" w:type="pct"/>
          </w:tcPr>
          <w:p w14:paraId="0C3BAF55" w14:textId="4061909D" w:rsidR="00212716" w:rsidRPr="009270B9" w:rsidRDefault="00212716" w:rsidP="00AA2D3D">
            <w:pPr>
              <w:widowControl w:val="0"/>
              <w:autoSpaceDE w:val="0"/>
              <w:autoSpaceDN w:val="0"/>
              <w:adjustRightInd w:val="0"/>
              <w:jc w:val="center"/>
              <w:rPr>
                <w:rFonts w:eastAsia="Times New Roman"/>
              </w:rPr>
            </w:pPr>
            <w:r w:rsidRPr="009270B9">
              <w:rPr>
                <w:rFonts w:eastAsia="Times New Roman"/>
              </w:rPr>
              <w:t>$</w:t>
            </w:r>
            <w:r>
              <w:rPr>
                <w:rFonts w:eastAsia="Times New Roman"/>
              </w:rPr>
              <w:t>13.90</w:t>
            </w:r>
          </w:p>
        </w:tc>
        <w:tc>
          <w:tcPr>
            <w:tcW w:w="1047" w:type="pct"/>
          </w:tcPr>
          <w:p w14:paraId="0C3BAF56" w14:textId="7359504F" w:rsidR="00212716" w:rsidRPr="009270B9" w:rsidRDefault="00212716" w:rsidP="00AA2D3D">
            <w:pPr>
              <w:widowControl w:val="0"/>
              <w:autoSpaceDE w:val="0"/>
              <w:autoSpaceDN w:val="0"/>
              <w:adjustRightInd w:val="0"/>
              <w:jc w:val="center"/>
              <w:rPr>
                <w:rFonts w:eastAsia="Times New Roman"/>
              </w:rPr>
            </w:pPr>
            <w:r>
              <w:rPr>
                <w:rFonts w:eastAsia="Times New Roman"/>
              </w:rPr>
              <w:t>$13.90</w:t>
            </w:r>
          </w:p>
        </w:tc>
        <w:tc>
          <w:tcPr>
            <w:tcW w:w="1047" w:type="pct"/>
          </w:tcPr>
          <w:p w14:paraId="76CB089A" w14:textId="7BB62AF2" w:rsidR="00212716" w:rsidRDefault="00212716" w:rsidP="00AA2D3D">
            <w:pPr>
              <w:widowControl w:val="0"/>
              <w:autoSpaceDE w:val="0"/>
              <w:autoSpaceDN w:val="0"/>
              <w:adjustRightInd w:val="0"/>
              <w:jc w:val="center"/>
              <w:rPr>
                <w:rFonts w:eastAsia="Times New Roman"/>
              </w:rPr>
            </w:pPr>
            <w:r>
              <w:rPr>
                <w:rFonts w:eastAsia="Times New Roman"/>
              </w:rPr>
              <w:t>$13.90</w:t>
            </w:r>
          </w:p>
        </w:tc>
      </w:tr>
      <w:tr w:rsidR="00212716" w:rsidRPr="009270B9" w14:paraId="0C3BAF5B" w14:textId="3BEF9C47" w:rsidTr="00212716">
        <w:trPr>
          <w:jc w:val="center"/>
        </w:trPr>
        <w:tc>
          <w:tcPr>
            <w:tcW w:w="1980" w:type="pct"/>
          </w:tcPr>
          <w:p w14:paraId="0C3BAF58" w14:textId="1F58347F" w:rsidR="00212716" w:rsidRPr="009270B9" w:rsidRDefault="00212716" w:rsidP="00AA2D3D">
            <w:pPr>
              <w:widowControl w:val="0"/>
              <w:autoSpaceDE w:val="0"/>
              <w:autoSpaceDN w:val="0"/>
              <w:adjustRightInd w:val="0"/>
              <w:rPr>
                <w:rFonts w:eastAsia="Times New Roman"/>
              </w:rPr>
            </w:pPr>
            <w:r w:rsidRPr="009270B9">
              <w:rPr>
                <w:rFonts w:eastAsia="Times New Roman"/>
              </w:rPr>
              <w:t xml:space="preserve">0 – </w:t>
            </w:r>
            <w:r>
              <w:rPr>
                <w:rFonts w:eastAsia="Times New Roman"/>
              </w:rPr>
              <w:t>6</w:t>
            </w:r>
            <w:r w:rsidRPr="009270B9">
              <w:rPr>
                <w:rFonts w:eastAsia="Times New Roman"/>
              </w:rPr>
              <w:t>00 Cubic Feet</w:t>
            </w:r>
            <w:r>
              <w:rPr>
                <w:rFonts w:eastAsia="Times New Roman"/>
              </w:rPr>
              <w:t>**</w:t>
            </w:r>
          </w:p>
        </w:tc>
        <w:tc>
          <w:tcPr>
            <w:tcW w:w="925" w:type="pct"/>
          </w:tcPr>
          <w:p w14:paraId="0C3BAF59" w14:textId="122AE30E" w:rsidR="00212716" w:rsidRPr="009270B9" w:rsidRDefault="00212716" w:rsidP="00B437F0">
            <w:pPr>
              <w:widowControl w:val="0"/>
              <w:autoSpaceDE w:val="0"/>
              <w:autoSpaceDN w:val="0"/>
              <w:adjustRightInd w:val="0"/>
              <w:jc w:val="center"/>
              <w:rPr>
                <w:rFonts w:eastAsia="Times New Roman"/>
              </w:rPr>
            </w:pPr>
            <w:r>
              <w:rPr>
                <w:rFonts w:eastAsia="Times New Roman"/>
              </w:rPr>
              <w:t>$.95</w:t>
            </w:r>
          </w:p>
        </w:tc>
        <w:tc>
          <w:tcPr>
            <w:tcW w:w="1047" w:type="pct"/>
          </w:tcPr>
          <w:p w14:paraId="0C3BAF5A" w14:textId="77777777" w:rsidR="00212716" w:rsidRPr="009270B9" w:rsidRDefault="00212716" w:rsidP="00B92231">
            <w:pPr>
              <w:widowControl w:val="0"/>
              <w:autoSpaceDE w:val="0"/>
              <w:autoSpaceDN w:val="0"/>
              <w:adjustRightInd w:val="0"/>
              <w:jc w:val="center"/>
              <w:rPr>
                <w:rFonts w:eastAsia="Times New Roman"/>
              </w:rPr>
            </w:pPr>
            <w:r w:rsidRPr="009270B9">
              <w:rPr>
                <w:rFonts w:eastAsia="Times New Roman"/>
              </w:rPr>
              <w:t>$</w:t>
            </w:r>
            <w:r>
              <w:rPr>
                <w:rFonts w:eastAsia="Times New Roman"/>
              </w:rPr>
              <w:t>.95</w:t>
            </w:r>
          </w:p>
        </w:tc>
        <w:tc>
          <w:tcPr>
            <w:tcW w:w="1047" w:type="pct"/>
          </w:tcPr>
          <w:p w14:paraId="749C6DCB" w14:textId="3B06452F" w:rsidR="00212716" w:rsidRPr="009270B9" w:rsidRDefault="00212716" w:rsidP="00B92231">
            <w:pPr>
              <w:widowControl w:val="0"/>
              <w:autoSpaceDE w:val="0"/>
              <w:autoSpaceDN w:val="0"/>
              <w:adjustRightInd w:val="0"/>
              <w:jc w:val="center"/>
              <w:rPr>
                <w:rFonts w:eastAsia="Times New Roman"/>
              </w:rPr>
            </w:pPr>
            <w:r w:rsidRPr="009270B9">
              <w:rPr>
                <w:rFonts w:eastAsia="Times New Roman"/>
              </w:rPr>
              <w:t>$</w:t>
            </w:r>
            <w:r>
              <w:rPr>
                <w:rFonts w:eastAsia="Times New Roman"/>
              </w:rPr>
              <w:t>.9</w:t>
            </w:r>
            <w:r w:rsidR="00156779">
              <w:rPr>
                <w:rFonts w:eastAsia="Times New Roman"/>
              </w:rPr>
              <w:t>4</w:t>
            </w:r>
          </w:p>
        </w:tc>
      </w:tr>
      <w:tr w:rsidR="00212716" w:rsidRPr="009270B9" w14:paraId="0C3BAF5F" w14:textId="44DFE7AF" w:rsidTr="00212716">
        <w:trPr>
          <w:jc w:val="center"/>
        </w:trPr>
        <w:tc>
          <w:tcPr>
            <w:tcW w:w="1980" w:type="pct"/>
          </w:tcPr>
          <w:p w14:paraId="0C3BAF5C" w14:textId="15E2AB3B" w:rsidR="00212716" w:rsidRPr="009270B9" w:rsidRDefault="00212716" w:rsidP="00AA2D3D">
            <w:pPr>
              <w:widowControl w:val="0"/>
              <w:autoSpaceDE w:val="0"/>
              <w:autoSpaceDN w:val="0"/>
              <w:adjustRightInd w:val="0"/>
              <w:rPr>
                <w:rFonts w:eastAsia="Times New Roman"/>
              </w:rPr>
            </w:pPr>
            <w:r>
              <w:rPr>
                <w:rFonts w:eastAsia="Times New Roman"/>
              </w:rPr>
              <w:t>601</w:t>
            </w:r>
            <w:r w:rsidRPr="009270B9">
              <w:rPr>
                <w:rFonts w:eastAsia="Times New Roman"/>
              </w:rPr>
              <w:t xml:space="preserve"> – </w:t>
            </w:r>
            <w:r>
              <w:rPr>
                <w:rFonts w:eastAsia="Times New Roman"/>
              </w:rPr>
              <w:t>3,0</w:t>
            </w:r>
            <w:r w:rsidRPr="009270B9">
              <w:rPr>
                <w:rFonts w:eastAsia="Times New Roman"/>
              </w:rPr>
              <w:t>0</w:t>
            </w:r>
            <w:r>
              <w:rPr>
                <w:rFonts w:eastAsia="Times New Roman"/>
              </w:rPr>
              <w:t>0</w:t>
            </w:r>
            <w:r w:rsidRPr="009270B9">
              <w:rPr>
                <w:rFonts w:eastAsia="Times New Roman"/>
              </w:rPr>
              <w:t xml:space="preserve"> Cubic Feet</w:t>
            </w:r>
            <w:r>
              <w:rPr>
                <w:rFonts w:eastAsia="Times New Roman"/>
              </w:rPr>
              <w:t>**</w:t>
            </w:r>
          </w:p>
        </w:tc>
        <w:tc>
          <w:tcPr>
            <w:tcW w:w="925" w:type="pct"/>
          </w:tcPr>
          <w:p w14:paraId="0C3BAF5D" w14:textId="1ED4392E" w:rsidR="00212716" w:rsidRPr="009270B9" w:rsidRDefault="00212716" w:rsidP="00B437F0">
            <w:pPr>
              <w:widowControl w:val="0"/>
              <w:autoSpaceDE w:val="0"/>
              <w:autoSpaceDN w:val="0"/>
              <w:adjustRightInd w:val="0"/>
              <w:jc w:val="center"/>
              <w:rPr>
                <w:rFonts w:eastAsia="Times New Roman"/>
              </w:rPr>
            </w:pPr>
            <w:r>
              <w:rPr>
                <w:rFonts w:eastAsia="Times New Roman"/>
              </w:rPr>
              <w:t>$1.25</w:t>
            </w:r>
          </w:p>
        </w:tc>
        <w:tc>
          <w:tcPr>
            <w:tcW w:w="1047" w:type="pct"/>
          </w:tcPr>
          <w:p w14:paraId="0C3BAF5E" w14:textId="374743B3" w:rsidR="00212716" w:rsidRPr="009270B9" w:rsidRDefault="00212716" w:rsidP="00B437F0">
            <w:pPr>
              <w:widowControl w:val="0"/>
              <w:autoSpaceDE w:val="0"/>
              <w:autoSpaceDN w:val="0"/>
              <w:adjustRightInd w:val="0"/>
              <w:jc w:val="center"/>
              <w:rPr>
                <w:rFonts w:eastAsia="Times New Roman"/>
              </w:rPr>
            </w:pPr>
            <w:r w:rsidRPr="009270B9">
              <w:rPr>
                <w:rFonts w:eastAsia="Times New Roman"/>
              </w:rPr>
              <w:t>$</w:t>
            </w:r>
            <w:r>
              <w:rPr>
                <w:rFonts w:eastAsia="Times New Roman"/>
              </w:rPr>
              <w:t>1.00</w:t>
            </w:r>
          </w:p>
        </w:tc>
        <w:tc>
          <w:tcPr>
            <w:tcW w:w="1047" w:type="pct"/>
          </w:tcPr>
          <w:p w14:paraId="47CAEB21" w14:textId="3E1E40FE" w:rsidR="00212716" w:rsidRPr="009270B9" w:rsidRDefault="00212716" w:rsidP="00B437F0">
            <w:pPr>
              <w:widowControl w:val="0"/>
              <w:autoSpaceDE w:val="0"/>
              <w:autoSpaceDN w:val="0"/>
              <w:adjustRightInd w:val="0"/>
              <w:jc w:val="center"/>
              <w:rPr>
                <w:rFonts w:eastAsia="Times New Roman"/>
              </w:rPr>
            </w:pPr>
            <w:r w:rsidRPr="009270B9">
              <w:rPr>
                <w:rFonts w:eastAsia="Times New Roman"/>
              </w:rPr>
              <w:t>$</w:t>
            </w:r>
            <w:r>
              <w:rPr>
                <w:rFonts w:eastAsia="Times New Roman"/>
              </w:rPr>
              <w:t>1.00</w:t>
            </w:r>
          </w:p>
        </w:tc>
      </w:tr>
      <w:tr w:rsidR="00212716" w:rsidRPr="009270B9" w14:paraId="0C3BAF63" w14:textId="7F8379A9" w:rsidTr="00212716">
        <w:trPr>
          <w:jc w:val="center"/>
        </w:trPr>
        <w:tc>
          <w:tcPr>
            <w:tcW w:w="1980" w:type="pct"/>
          </w:tcPr>
          <w:p w14:paraId="0C3BAF60" w14:textId="33CFA7AA" w:rsidR="00212716" w:rsidRPr="009270B9" w:rsidRDefault="00212716" w:rsidP="00AA2D3D">
            <w:pPr>
              <w:widowControl w:val="0"/>
              <w:autoSpaceDE w:val="0"/>
              <w:autoSpaceDN w:val="0"/>
              <w:adjustRightInd w:val="0"/>
              <w:rPr>
                <w:rFonts w:eastAsia="Times New Roman"/>
              </w:rPr>
            </w:pPr>
            <w:r w:rsidRPr="009270B9">
              <w:rPr>
                <w:rFonts w:eastAsia="Times New Roman"/>
              </w:rPr>
              <w:t xml:space="preserve">Over </w:t>
            </w:r>
            <w:r>
              <w:rPr>
                <w:rFonts w:eastAsia="Times New Roman"/>
              </w:rPr>
              <w:t>3,0</w:t>
            </w:r>
            <w:r w:rsidRPr="009270B9">
              <w:rPr>
                <w:rFonts w:eastAsia="Times New Roman"/>
              </w:rPr>
              <w:t>0</w:t>
            </w:r>
            <w:r>
              <w:rPr>
                <w:rFonts w:eastAsia="Times New Roman"/>
              </w:rPr>
              <w:t>0</w:t>
            </w:r>
            <w:r w:rsidRPr="009270B9">
              <w:rPr>
                <w:rFonts w:eastAsia="Times New Roman"/>
              </w:rPr>
              <w:t xml:space="preserve"> Cubic Feet</w:t>
            </w:r>
            <w:r>
              <w:rPr>
                <w:rFonts w:eastAsia="Times New Roman"/>
              </w:rPr>
              <w:t>**</w:t>
            </w:r>
          </w:p>
        </w:tc>
        <w:tc>
          <w:tcPr>
            <w:tcW w:w="925" w:type="pct"/>
          </w:tcPr>
          <w:p w14:paraId="0C3BAF61" w14:textId="43F263C1" w:rsidR="00212716" w:rsidRPr="009270B9" w:rsidRDefault="00212716" w:rsidP="00B437F0">
            <w:pPr>
              <w:widowControl w:val="0"/>
              <w:autoSpaceDE w:val="0"/>
              <w:autoSpaceDN w:val="0"/>
              <w:adjustRightInd w:val="0"/>
              <w:jc w:val="center"/>
              <w:rPr>
                <w:rFonts w:eastAsia="Times New Roman"/>
              </w:rPr>
            </w:pPr>
            <w:r w:rsidRPr="009270B9">
              <w:rPr>
                <w:rFonts w:eastAsia="Times New Roman"/>
              </w:rPr>
              <w:t>$</w:t>
            </w:r>
            <w:r>
              <w:rPr>
                <w:rFonts w:eastAsia="Times New Roman"/>
              </w:rPr>
              <w:t>1.50</w:t>
            </w:r>
          </w:p>
        </w:tc>
        <w:tc>
          <w:tcPr>
            <w:tcW w:w="1047" w:type="pct"/>
          </w:tcPr>
          <w:p w14:paraId="0C3BAF62" w14:textId="0AC38D8B" w:rsidR="00212716" w:rsidRPr="009270B9" w:rsidRDefault="00212716" w:rsidP="00B437F0">
            <w:pPr>
              <w:widowControl w:val="0"/>
              <w:autoSpaceDE w:val="0"/>
              <w:autoSpaceDN w:val="0"/>
              <w:adjustRightInd w:val="0"/>
              <w:jc w:val="center"/>
              <w:rPr>
                <w:rFonts w:eastAsia="Times New Roman"/>
              </w:rPr>
            </w:pPr>
            <w:r>
              <w:rPr>
                <w:rFonts w:eastAsia="Times New Roman"/>
              </w:rPr>
              <w:t>$2.94</w:t>
            </w:r>
          </w:p>
        </w:tc>
        <w:tc>
          <w:tcPr>
            <w:tcW w:w="1047" w:type="pct"/>
          </w:tcPr>
          <w:p w14:paraId="167485C1" w14:textId="568D4C8D" w:rsidR="00212716" w:rsidRDefault="00212716" w:rsidP="00B437F0">
            <w:pPr>
              <w:widowControl w:val="0"/>
              <w:autoSpaceDE w:val="0"/>
              <w:autoSpaceDN w:val="0"/>
              <w:adjustRightInd w:val="0"/>
              <w:jc w:val="center"/>
              <w:rPr>
                <w:rFonts w:eastAsia="Times New Roman"/>
              </w:rPr>
            </w:pPr>
            <w:r>
              <w:rPr>
                <w:rFonts w:eastAsia="Times New Roman"/>
              </w:rPr>
              <w:t>$2.</w:t>
            </w:r>
            <w:r w:rsidR="00156779">
              <w:rPr>
                <w:rFonts w:eastAsia="Times New Roman"/>
              </w:rPr>
              <w:t>05</w:t>
            </w:r>
          </w:p>
        </w:tc>
      </w:tr>
    </w:tbl>
    <w:p w14:paraId="0C3BAF64" w14:textId="77777777" w:rsidR="00B92231" w:rsidRDefault="00B92231" w:rsidP="00B922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rPr>
      </w:pPr>
    </w:p>
    <w:p w14:paraId="0C3BAF65" w14:textId="77777777" w:rsidR="00B92231" w:rsidRPr="00034BFC" w:rsidRDefault="00B92231" w:rsidP="00034B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sz w:val="20"/>
          <w:szCs w:val="20"/>
        </w:rPr>
      </w:pPr>
      <w:r w:rsidRPr="00034BFC">
        <w:rPr>
          <w:rFonts w:eastAsia="Times New Roman"/>
          <w:sz w:val="20"/>
          <w:szCs w:val="20"/>
        </w:rPr>
        <w:t>* Other upsize meter rates are also changed and available in the proposed tariff.</w:t>
      </w:r>
    </w:p>
    <w:p w14:paraId="74E266BF" w14:textId="6291A095" w:rsidR="00034BFC" w:rsidRPr="00034BFC" w:rsidRDefault="00034BFC" w:rsidP="00034B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sz w:val="20"/>
          <w:szCs w:val="20"/>
        </w:rPr>
      </w:pPr>
      <w:r w:rsidRPr="00034BFC">
        <w:rPr>
          <w:sz w:val="20"/>
          <w:szCs w:val="20"/>
        </w:rPr>
        <w:t>**</w:t>
      </w:r>
      <w:r>
        <w:rPr>
          <w:sz w:val="20"/>
          <w:szCs w:val="20"/>
        </w:rPr>
        <w:t xml:space="preserve"> </w:t>
      </w:r>
      <w:r w:rsidRPr="00034BFC">
        <w:rPr>
          <w:sz w:val="20"/>
          <w:szCs w:val="20"/>
        </w:rPr>
        <w:t xml:space="preserve">Usage rates(s) are </w:t>
      </w:r>
      <w:r w:rsidR="00A41C31">
        <w:rPr>
          <w:sz w:val="20"/>
          <w:szCs w:val="20"/>
        </w:rPr>
        <w:t>stated</w:t>
      </w:r>
      <w:r>
        <w:rPr>
          <w:sz w:val="20"/>
          <w:szCs w:val="20"/>
        </w:rPr>
        <w:t xml:space="preserve"> per 100 cubic feet</w:t>
      </w:r>
      <w:r w:rsidR="00F17346">
        <w:rPr>
          <w:sz w:val="20"/>
          <w:szCs w:val="20"/>
        </w:rPr>
        <w:t xml:space="preserve">. The company </w:t>
      </w:r>
      <w:r w:rsidR="00A41C31">
        <w:rPr>
          <w:sz w:val="20"/>
          <w:szCs w:val="20"/>
        </w:rPr>
        <w:t>charge</w:t>
      </w:r>
      <w:r w:rsidR="00F17346">
        <w:rPr>
          <w:sz w:val="20"/>
          <w:szCs w:val="20"/>
        </w:rPr>
        <w:t>s</w:t>
      </w:r>
      <w:r w:rsidR="00A41C31">
        <w:rPr>
          <w:sz w:val="20"/>
          <w:szCs w:val="20"/>
        </w:rPr>
        <w:t xml:space="preserve"> </w:t>
      </w:r>
      <w:r w:rsidR="00F17346">
        <w:rPr>
          <w:sz w:val="20"/>
          <w:szCs w:val="20"/>
        </w:rPr>
        <w:t>customers by the</w:t>
      </w:r>
      <w:r w:rsidRPr="00034BFC">
        <w:rPr>
          <w:sz w:val="20"/>
          <w:szCs w:val="20"/>
        </w:rPr>
        <w:t xml:space="preserve"> cubic foot</w:t>
      </w:r>
      <w:r w:rsidR="00F17346">
        <w:rPr>
          <w:sz w:val="20"/>
          <w:szCs w:val="20"/>
        </w:rPr>
        <w:t xml:space="preserve"> (.01 x 100 cubic foot rate)</w:t>
      </w:r>
      <w:r w:rsidR="00440678">
        <w:rPr>
          <w:sz w:val="20"/>
          <w:szCs w:val="20"/>
        </w:rPr>
        <w:t>.</w:t>
      </w:r>
    </w:p>
    <w:p w14:paraId="0C3BAF67" w14:textId="07CA6067" w:rsidR="00911031" w:rsidRDefault="00911031">
      <w:pPr>
        <w:rPr>
          <w:rFonts w:eastAsia="Times New Roman"/>
          <w:b/>
          <w:u w:val="single"/>
        </w:rPr>
      </w:pPr>
    </w:p>
    <w:p w14:paraId="75CCD5E8" w14:textId="77777777" w:rsidR="00B92231" w:rsidRDefault="00B92231" w:rsidP="00B92231">
      <w:pPr>
        <w:jc w:val="center"/>
        <w:rPr>
          <w:rFonts w:eastAsia="Times New Roman"/>
          <w:b/>
          <w:u w:val="single"/>
        </w:rPr>
      </w:pPr>
    </w:p>
    <w:p w14:paraId="6489B04F" w14:textId="77777777" w:rsidR="009C6500" w:rsidRDefault="009C6500" w:rsidP="00B92231">
      <w:pPr>
        <w:jc w:val="center"/>
        <w:rPr>
          <w:rFonts w:eastAsia="Times New Roman"/>
          <w:b/>
          <w:u w:val="single"/>
        </w:rPr>
      </w:pPr>
    </w:p>
    <w:p w14:paraId="0C3BAF69" w14:textId="0EEF6606" w:rsidR="00B92231" w:rsidRPr="009270B9" w:rsidRDefault="00B92231" w:rsidP="00DC1692">
      <w:pPr>
        <w:jc w:val="center"/>
        <w:rPr>
          <w:rFonts w:eastAsia="Times New Roman"/>
          <w:b/>
          <w:u w:val="single"/>
        </w:rPr>
      </w:pPr>
      <w:r w:rsidRPr="009270B9">
        <w:rPr>
          <w:rFonts w:eastAsia="Times New Roman"/>
          <w:b/>
          <w:u w:val="single"/>
        </w:rPr>
        <w:lastRenderedPageBreak/>
        <w:t>Average Bill Comparison</w:t>
      </w:r>
      <w:r w:rsidR="006F3DD7">
        <w:rPr>
          <w:rFonts w:eastAsia="Times New Roman"/>
          <w:b/>
          <w:u w:val="single"/>
        </w:rPr>
        <w:t>--Residential</w:t>
      </w:r>
    </w:p>
    <w:p w14:paraId="0C3BAF6A" w14:textId="77777777" w:rsidR="00B92231" w:rsidRPr="009270B9" w:rsidRDefault="00B92231" w:rsidP="00B922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8"/>
        <w:gridCol w:w="1956"/>
        <w:gridCol w:w="2203"/>
        <w:gridCol w:w="2201"/>
      </w:tblGrid>
      <w:tr w:rsidR="00212716" w:rsidRPr="009270B9" w14:paraId="0C3BAF70" w14:textId="13069D5E" w:rsidTr="00212716">
        <w:trPr>
          <w:trHeight w:val="620"/>
          <w:jc w:val="center"/>
        </w:trPr>
        <w:tc>
          <w:tcPr>
            <w:tcW w:w="1680" w:type="pct"/>
          </w:tcPr>
          <w:p w14:paraId="0C3BAF6C" w14:textId="197F299B" w:rsidR="00212716" w:rsidRPr="009270B9" w:rsidRDefault="00212716" w:rsidP="00206931">
            <w:pPr>
              <w:keepNext/>
              <w:widowControl w:val="0"/>
              <w:autoSpaceDE w:val="0"/>
              <w:autoSpaceDN w:val="0"/>
              <w:adjustRightInd w:val="0"/>
              <w:jc w:val="center"/>
              <w:outlineLvl w:val="0"/>
              <w:rPr>
                <w:rFonts w:eastAsia="Times New Roman"/>
                <w:b/>
              </w:rPr>
            </w:pPr>
            <w:r w:rsidRPr="009270B9">
              <w:rPr>
                <w:rFonts w:eastAsia="Times New Roman"/>
                <w:b/>
              </w:rPr>
              <w:t xml:space="preserve">Average </w:t>
            </w:r>
            <w:r>
              <w:rPr>
                <w:rFonts w:eastAsia="Times New Roman"/>
                <w:b/>
              </w:rPr>
              <w:t>of Residential Customers</w:t>
            </w:r>
          </w:p>
        </w:tc>
        <w:tc>
          <w:tcPr>
            <w:tcW w:w="1021" w:type="pct"/>
            <w:vAlign w:val="center"/>
          </w:tcPr>
          <w:p w14:paraId="0C3BAF6D" w14:textId="77777777" w:rsidR="00212716" w:rsidRPr="009270B9" w:rsidRDefault="00212716" w:rsidP="00B92231">
            <w:pPr>
              <w:widowControl w:val="0"/>
              <w:autoSpaceDE w:val="0"/>
              <w:autoSpaceDN w:val="0"/>
              <w:adjustRightInd w:val="0"/>
              <w:jc w:val="center"/>
              <w:rPr>
                <w:rFonts w:eastAsia="Times New Roman"/>
                <w:b/>
              </w:rPr>
            </w:pPr>
            <w:r w:rsidRPr="009270B9">
              <w:rPr>
                <w:rFonts w:eastAsia="Times New Roman"/>
                <w:b/>
              </w:rPr>
              <w:t>Current Rate</w:t>
            </w:r>
          </w:p>
        </w:tc>
        <w:tc>
          <w:tcPr>
            <w:tcW w:w="1150" w:type="pct"/>
            <w:vAlign w:val="center"/>
          </w:tcPr>
          <w:p w14:paraId="0C3BAF6F" w14:textId="77777777" w:rsidR="00212716" w:rsidRPr="009270B9" w:rsidRDefault="00212716">
            <w:pPr>
              <w:widowControl w:val="0"/>
              <w:autoSpaceDE w:val="0"/>
              <w:autoSpaceDN w:val="0"/>
              <w:adjustRightInd w:val="0"/>
              <w:jc w:val="center"/>
              <w:rPr>
                <w:rFonts w:eastAsia="Times New Roman"/>
                <w:b/>
              </w:rPr>
            </w:pPr>
            <w:r w:rsidRPr="009270B9">
              <w:rPr>
                <w:rFonts w:eastAsia="Times New Roman"/>
                <w:b/>
              </w:rPr>
              <w:t>Proposed Rate</w:t>
            </w:r>
          </w:p>
        </w:tc>
        <w:tc>
          <w:tcPr>
            <w:tcW w:w="1149" w:type="pct"/>
            <w:vAlign w:val="center"/>
          </w:tcPr>
          <w:p w14:paraId="6C1CD7C0" w14:textId="16E7B3D0" w:rsidR="00212716" w:rsidRPr="009270B9" w:rsidRDefault="00212716" w:rsidP="00212716">
            <w:pPr>
              <w:widowControl w:val="0"/>
              <w:autoSpaceDE w:val="0"/>
              <w:autoSpaceDN w:val="0"/>
              <w:adjustRightInd w:val="0"/>
              <w:jc w:val="center"/>
              <w:rPr>
                <w:rFonts w:eastAsia="Times New Roman"/>
                <w:b/>
              </w:rPr>
            </w:pPr>
            <w:r>
              <w:rPr>
                <w:rFonts w:eastAsia="Times New Roman"/>
                <w:b/>
              </w:rPr>
              <w:t>Revi</w:t>
            </w:r>
            <w:r w:rsidRPr="009270B9">
              <w:rPr>
                <w:rFonts w:eastAsia="Times New Roman"/>
                <w:b/>
              </w:rPr>
              <w:t>sed Rate</w:t>
            </w:r>
          </w:p>
        </w:tc>
      </w:tr>
      <w:tr w:rsidR="00212716" w:rsidRPr="009270B9" w14:paraId="0C3BAF80" w14:textId="65CCB365" w:rsidTr="00212716">
        <w:trPr>
          <w:jc w:val="center"/>
        </w:trPr>
        <w:tc>
          <w:tcPr>
            <w:tcW w:w="1680" w:type="pct"/>
          </w:tcPr>
          <w:p w14:paraId="0C3BAF7D" w14:textId="77777777" w:rsidR="00212716" w:rsidRPr="009270B9" w:rsidRDefault="00212716" w:rsidP="00B92231">
            <w:pPr>
              <w:widowControl w:val="0"/>
              <w:autoSpaceDE w:val="0"/>
              <w:autoSpaceDN w:val="0"/>
              <w:adjustRightInd w:val="0"/>
              <w:rPr>
                <w:rFonts w:eastAsia="Times New Roman"/>
              </w:rPr>
            </w:pPr>
            <w:r w:rsidRPr="009270B9">
              <w:rPr>
                <w:rFonts w:eastAsia="Times New Roman"/>
              </w:rPr>
              <w:t>Average Monthly Bill</w:t>
            </w:r>
          </w:p>
        </w:tc>
        <w:tc>
          <w:tcPr>
            <w:tcW w:w="1021" w:type="pct"/>
          </w:tcPr>
          <w:p w14:paraId="0C3BAF7E" w14:textId="676B3E58" w:rsidR="00212716" w:rsidRDefault="00212716" w:rsidP="00206931">
            <w:pPr>
              <w:widowControl w:val="0"/>
              <w:autoSpaceDE w:val="0"/>
              <w:autoSpaceDN w:val="0"/>
              <w:adjustRightInd w:val="0"/>
              <w:jc w:val="center"/>
              <w:rPr>
                <w:rFonts w:eastAsia="Times New Roman"/>
              </w:rPr>
            </w:pPr>
            <w:r>
              <w:rPr>
                <w:rFonts w:eastAsia="Times New Roman"/>
              </w:rPr>
              <w:t>$2</w:t>
            </w:r>
            <w:r w:rsidR="00206931">
              <w:rPr>
                <w:rFonts w:eastAsia="Times New Roman"/>
              </w:rPr>
              <w:t>3.95</w:t>
            </w:r>
          </w:p>
        </w:tc>
        <w:tc>
          <w:tcPr>
            <w:tcW w:w="1150" w:type="pct"/>
          </w:tcPr>
          <w:p w14:paraId="0C3BAF7F" w14:textId="0345664D" w:rsidR="00212716" w:rsidRPr="009553EB" w:rsidRDefault="00212716" w:rsidP="00C66492">
            <w:pPr>
              <w:widowControl w:val="0"/>
              <w:autoSpaceDE w:val="0"/>
              <w:autoSpaceDN w:val="0"/>
              <w:adjustRightInd w:val="0"/>
              <w:jc w:val="center"/>
              <w:rPr>
                <w:rFonts w:eastAsia="Times New Roman"/>
              </w:rPr>
            </w:pPr>
            <w:r>
              <w:rPr>
                <w:rFonts w:eastAsia="Times New Roman"/>
              </w:rPr>
              <w:t>$23.</w:t>
            </w:r>
            <w:r w:rsidR="00C66492">
              <w:rPr>
                <w:rFonts w:eastAsia="Times New Roman"/>
              </w:rPr>
              <w:t>10</w:t>
            </w:r>
          </w:p>
        </w:tc>
        <w:tc>
          <w:tcPr>
            <w:tcW w:w="1149" w:type="pct"/>
          </w:tcPr>
          <w:p w14:paraId="42F602A5" w14:textId="25CD708F" w:rsidR="00212716" w:rsidRDefault="00212716" w:rsidP="000432E3">
            <w:pPr>
              <w:widowControl w:val="0"/>
              <w:autoSpaceDE w:val="0"/>
              <w:autoSpaceDN w:val="0"/>
              <w:adjustRightInd w:val="0"/>
              <w:jc w:val="center"/>
              <w:rPr>
                <w:rFonts w:eastAsia="Times New Roman"/>
              </w:rPr>
            </w:pPr>
            <w:r>
              <w:rPr>
                <w:rFonts w:eastAsia="Times New Roman"/>
              </w:rPr>
              <w:t>$2</w:t>
            </w:r>
            <w:r w:rsidR="00156779">
              <w:rPr>
                <w:rFonts w:eastAsia="Times New Roman"/>
              </w:rPr>
              <w:t>2.68</w:t>
            </w:r>
          </w:p>
        </w:tc>
      </w:tr>
      <w:tr w:rsidR="00212716" w:rsidRPr="009270B9" w14:paraId="0C3BAF84" w14:textId="38F4AEA9" w:rsidTr="00212716">
        <w:trPr>
          <w:jc w:val="center"/>
        </w:trPr>
        <w:tc>
          <w:tcPr>
            <w:tcW w:w="1680" w:type="pct"/>
          </w:tcPr>
          <w:p w14:paraId="0C3BAF81" w14:textId="77777777" w:rsidR="00212716" w:rsidRPr="009270B9" w:rsidRDefault="00212716" w:rsidP="00B92231">
            <w:pPr>
              <w:widowControl w:val="0"/>
              <w:autoSpaceDE w:val="0"/>
              <w:autoSpaceDN w:val="0"/>
              <w:adjustRightInd w:val="0"/>
              <w:rPr>
                <w:rFonts w:eastAsia="Times New Roman"/>
              </w:rPr>
            </w:pPr>
            <w:r w:rsidRPr="007C07AE">
              <w:t>Increase From Current Rates</w:t>
            </w:r>
          </w:p>
        </w:tc>
        <w:tc>
          <w:tcPr>
            <w:tcW w:w="1021" w:type="pct"/>
          </w:tcPr>
          <w:p w14:paraId="0C3BAF82" w14:textId="77777777" w:rsidR="00212716" w:rsidRDefault="00212716" w:rsidP="00B92231">
            <w:pPr>
              <w:widowControl w:val="0"/>
              <w:autoSpaceDE w:val="0"/>
              <w:autoSpaceDN w:val="0"/>
              <w:adjustRightInd w:val="0"/>
              <w:jc w:val="center"/>
              <w:rPr>
                <w:rFonts w:eastAsia="Times New Roman"/>
              </w:rPr>
            </w:pPr>
          </w:p>
        </w:tc>
        <w:tc>
          <w:tcPr>
            <w:tcW w:w="1150" w:type="pct"/>
          </w:tcPr>
          <w:p w14:paraId="0C3BAF83" w14:textId="71DF824E" w:rsidR="00212716" w:rsidRPr="009553EB" w:rsidRDefault="00212716" w:rsidP="00C66492">
            <w:pPr>
              <w:widowControl w:val="0"/>
              <w:autoSpaceDE w:val="0"/>
              <w:autoSpaceDN w:val="0"/>
              <w:adjustRightInd w:val="0"/>
              <w:jc w:val="center"/>
              <w:rPr>
                <w:rFonts w:eastAsia="Times New Roman"/>
              </w:rPr>
            </w:pPr>
            <w:r>
              <w:rPr>
                <w:rFonts w:eastAsia="Times New Roman"/>
              </w:rPr>
              <w:t>($0.8</w:t>
            </w:r>
            <w:r w:rsidR="00C66492">
              <w:rPr>
                <w:rFonts w:eastAsia="Times New Roman"/>
              </w:rPr>
              <w:t>5</w:t>
            </w:r>
            <w:r>
              <w:rPr>
                <w:rFonts w:eastAsia="Times New Roman"/>
              </w:rPr>
              <w:t>)</w:t>
            </w:r>
          </w:p>
        </w:tc>
        <w:tc>
          <w:tcPr>
            <w:tcW w:w="1149" w:type="pct"/>
          </w:tcPr>
          <w:p w14:paraId="3E7B09DA" w14:textId="3120157D" w:rsidR="00212716" w:rsidRDefault="00212716" w:rsidP="00156779">
            <w:pPr>
              <w:widowControl w:val="0"/>
              <w:autoSpaceDE w:val="0"/>
              <w:autoSpaceDN w:val="0"/>
              <w:adjustRightInd w:val="0"/>
              <w:jc w:val="center"/>
              <w:rPr>
                <w:rFonts w:eastAsia="Times New Roman"/>
              </w:rPr>
            </w:pPr>
            <w:r>
              <w:rPr>
                <w:rFonts w:eastAsia="Times New Roman"/>
              </w:rPr>
              <w:t>($</w:t>
            </w:r>
            <w:r w:rsidR="00156779">
              <w:rPr>
                <w:rFonts w:eastAsia="Times New Roman"/>
              </w:rPr>
              <w:t>1.27</w:t>
            </w:r>
            <w:r>
              <w:rPr>
                <w:rFonts w:eastAsia="Times New Roman"/>
              </w:rPr>
              <w:t>)</w:t>
            </w:r>
          </w:p>
        </w:tc>
      </w:tr>
      <w:tr w:rsidR="00212716" w:rsidRPr="009270B9" w14:paraId="1D629EBE" w14:textId="5276B7FC" w:rsidTr="00212716">
        <w:trPr>
          <w:jc w:val="center"/>
        </w:trPr>
        <w:tc>
          <w:tcPr>
            <w:tcW w:w="1680" w:type="pct"/>
          </w:tcPr>
          <w:p w14:paraId="2FA9298A" w14:textId="77777777" w:rsidR="00212716" w:rsidRPr="007C07AE" w:rsidRDefault="00212716" w:rsidP="00B92231">
            <w:pPr>
              <w:widowControl w:val="0"/>
              <w:autoSpaceDE w:val="0"/>
              <w:autoSpaceDN w:val="0"/>
              <w:adjustRightInd w:val="0"/>
            </w:pPr>
          </w:p>
        </w:tc>
        <w:tc>
          <w:tcPr>
            <w:tcW w:w="1021" w:type="pct"/>
          </w:tcPr>
          <w:p w14:paraId="07AB72E5" w14:textId="77777777" w:rsidR="00212716" w:rsidRDefault="00212716" w:rsidP="00B92231">
            <w:pPr>
              <w:widowControl w:val="0"/>
              <w:autoSpaceDE w:val="0"/>
              <w:autoSpaceDN w:val="0"/>
              <w:adjustRightInd w:val="0"/>
              <w:jc w:val="center"/>
              <w:rPr>
                <w:rFonts w:eastAsia="Times New Roman"/>
              </w:rPr>
            </w:pPr>
          </w:p>
        </w:tc>
        <w:tc>
          <w:tcPr>
            <w:tcW w:w="1150" w:type="pct"/>
          </w:tcPr>
          <w:p w14:paraId="576373E9" w14:textId="053512F4" w:rsidR="00212716" w:rsidRDefault="00212716" w:rsidP="00C66492">
            <w:pPr>
              <w:widowControl w:val="0"/>
              <w:autoSpaceDE w:val="0"/>
              <w:autoSpaceDN w:val="0"/>
              <w:adjustRightInd w:val="0"/>
              <w:jc w:val="center"/>
              <w:rPr>
                <w:rFonts w:eastAsia="Times New Roman"/>
              </w:rPr>
            </w:pPr>
            <w:r>
              <w:rPr>
                <w:rFonts w:eastAsia="Times New Roman"/>
              </w:rPr>
              <w:t>(3.</w:t>
            </w:r>
            <w:r w:rsidR="00C66492">
              <w:rPr>
                <w:rFonts w:eastAsia="Times New Roman"/>
              </w:rPr>
              <w:t>6</w:t>
            </w:r>
            <w:r>
              <w:rPr>
                <w:rFonts w:eastAsia="Times New Roman"/>
              </w:rPr>
              <w:t>%)</w:t>
            </w:r>
          </w:p>
        </w:tc>
        <w:tc>
          <w:tcPr>
            <w:tcW w:w="1149" w:type="pct"/>
          </w:tcPr>
          <w:p w14:paraId="56979852" w14:textId="5916F0CE" w:rsidR="00212716" w:rsidRDefault="00212716" w:rsidP="00156779">
            <w:pPr>
              <w:widowControl w:val="0"/>
              <w:autoSpaceDE w:val="0"/>
              <w:autoSpaceDN w:val="0"/>
              <w:adjustRightInd w:val="0"/>
              <w:jc w:val="center"/>
              <w:rPr>
                <w:rFonts w:eastAsia="Times New Roman"/>
              </w:rPr>
            </w:pPr>
            <w:r>
              <w:rPr>
                <w:rFonts w:eastAsia="Times New Roman"/>
              </w:rPr>
              <w:t>(5</w:t>
            </w:r>
            <w:r w:rsidR="00156779">
              <w:rPr>
                <w:rFonts w:eastAsia="Times New Roman"/>
              </w:rPr>
              <w:t>.3</w:t>
            </w:r>
            <w:r>
              <w:rPr>
                <w:rFonts w:eastAsia="Times New Roman"/>
              </w:rPr>
              <w:t>%)</w:t>
            </w:r>
          </w:p>
        </w:tc>
      </w:tr>
    </w:tbl>
    <w:p w14:paraId="0C3BAF87" w14:textId="77777777" w:rsidR="000C737B" w:rsidRDefault="000C737B" w:rsidP="007F1BFD">
      <w:pPr>
        <w:pStyle w:val="NoSpacing"/>
      </w:pPr>
    </w:p>
    <w:p w14:paraId="0C3BAF88" w14:textId="71474E5E" w:rsidR="006F3DD7" w:rsidRPr="009270B9" w:rsidRDefault="006F3DD7" w:rsidP="006F3DD7">
      <w:pPr>
        <w:jc w:val="center"/>
        <w:rPr>
          <w:rFonts w:eastAsia="Times New Roman"/>
          <w:b/>
          <w:u w:val="single"/>
        </w:rPr>
      </w:pPr>
      <w:r w:rsidRPr="009270B9">
        <w:rPr>
          <w:rFonts w:eastAsia="Times New Roman"/>
          <w:b/>
          <w:u w:val="single"/>
        </w:rPr>
        <w:t>Average Bill Comparison</w:t>
      </w:r>
      <w:r>
        <w:rPr>
          <w:rFonts w:eastAsia="Times New Roman"/>
          <w:b/>
          <w:u w:val="single"/>
        </w:rPr>
        <w:t>—Non-Residential</w:t>
      </w:r>
    </w:p>
    <w:p w14:paraId="0C3BAF89" w14:textId="77777777" w:rsidR="006F3DD7" w:rsidRPr="009270B9" w:rsidRDefault="006F3DD7" w:rsidP="006F3D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8"/>
        <w:gridCol w:w="1956"/>
        <w:gridCol w:w="2203"/>
        <w:gridCol w:w="2201"/>
      </w:tblGrid>
      <w:tr w:rsidR="00212716" w:rsidRPr="009270B9" w14:paraId="0C3BAF8F" w14:textId="1DDAE6C2" w:rsidTr="00212716">
        <w:trPr>
          <w:trHeight w:val="620"/>
          <w:jc w:val="center"/>
        </w:trPr>
        <w:tc>
          <w:tcPr>
            <w:tcW w:w="1680" w:type="pct"/>
          </w:tcPr>
          <w:p w14:paraId="0C3BAF8B" w14:textId="71B48974" w:rsidR="00212716" w:rsidRPr="009270B9" w:rsidRDefault="00212716" w:rsidP="00206931">
            <w:pPr>
              <w:keepNext/>
              <w:widowControl w:val="0"/>
              <w:autoSpaceDE w:val="0"/>
              <w:autoSpaceDN w:val="0"/>
              <w:adjustRightInd w:val="0"/>
              <w:jc w:val="center"/>
              <w:outlineLvl w:val="0"/>
              <w:rPr>
                <w:rFonts w:eastAsia="Times New Roman"/>
                <w:b/>
              </w:rPr>
            </w:pPr>
            <w:r w:rsidRPr="009270B9">
              <w:rPr>
                <w:rFonts w:eastAsia="Times New Roman"/>
                <w:b/>
              </w:rPr>
              <w:t xml:space="preserve">Average </w:t>
            </w:r>
            <w:r>
              <w:rPr>
                <w:rFonts w:eastAsia="Times New Roman"/>
                <w:b/>
              </w:rPr>
              <w:t>of Non-Residential Customers</w:t>
            </w:r>
          </w:p>
        </w:tc>
        <w:tc>
          <w:tcPr>
            <w:tcW w:w="1021" w:type="pct"/>
            <w:vAlign w:val="center"/>
          </w:tcPr>
          <w:p w14:paraId="0C3BAF8C" w14:textId="77777777" w:rsidR="00212716" w:rsidRPr="009270B9" w:rsidRDefault="00212716" w:rsidP="001836CB">
            <w:pPr>
              <w:widowControl w:val="0"/>
              <w:autoSpaceDE w:val="0"/>
              <w:autoSpaceDN w:val="0"/>
              <w:adjustRightInd w:val="0"/>
              <w:jc w:val="center"/>
              <w:rPr>
                <w:rFonts w:eastAsia="Times New Roman"/>
                <w:b/>
              </w:rPr>
            </w:pPr>
            <w:r w:rsidRPr="009270B9">
              <w:rPr>
                <w:rFonts w:eastAsia="Times New Roman"/>
                <w:b/>
              </w:rPr>
              <w:t>Current Rate</w:t>
            </w:r>
          </w:p>
        </w:tc>
        <w:tc>
          <w:tcPr>
            <w:tcW w:w="1150" w:type="pct"/>
            <w:vAlign w:val="center"/>
          </w:tcPr>
          <w:p w14:paraId="0C3BAF8E" w14:textId="77777777" w:rsidR="00212716" w:rsidRPr="009270B9" w:rsidRDefault="00212716">
            <w:pPr>
              <w:widowControl w:val="0"/>
              <w:autoSpaceDE w:val="0"/>
              <w:autoSpaceDN w:val="0"/>
              <w:adjustRightInd w:val="0"/>
              <w:jc w:val="center"/>
              <w:rPr>
                <w:rFonts w:eastAsia="Times New Roman"/>
                <w:b/>
              </w:rPr>
            </w:pPr>
            <w:r w:rsidRPr="009270B9">
              <w:rPr>
                <w:rFonts w:eastAsia="Times New Roman"/>
                <w:b/>
              </w:rPr>
              <w:t>Proposed Rate</w:t>
            </w:r>
          </w:p>
        </w:tc>
        <w:tc>
          <w:tcPr>
            <w:tcW w:w="1149" w:type="pct"/>
            <w:vAlign w:val="center"/>
          </w:tcPr>
          <w:p w14:paraId="081F47EC" w14:textId="55A0E340" w:rsidR="00212716" w:rsidRPr="009270B9" w:rsidRDefault="00212716">
            <w:pPr>
              <w:widowControl w:val="0"/>
              <w:autoSpaceDE w:val="0"/>
              <w:autoSpaceDN w:val="0"/>
              <w:adjustRightInd w:val="0"/>
              <w:jc w:val="center"/>
              <w:rPr>
                <w:rFonts w:eastAsia="Times New Roman"/>
                <w:b/>
              </w:rPr>
            </w:pPr>
            <w:r>
              <w:rPr>
                <w:rFonts w:eastAsia="Times New Roman"/>
                <w:b/>
              </w:rPr>
              <w:t>Revi</w:t>
            </w:r>
            <w:r w:rsidRPr="009270B9">
              <w:rPr>
                <w:rFonts w:eastAsia="Times New Roman"/>
                <w:b/>
              </w:rPr>
              <w:t>sed Rate</w:t>
            </w:r>
          </w:p>
        </w:tc>
      </w:tr>
      <w:tr w:rsidR="00212716" w:rsidRPr="009270B9" w14:paraId="0C3BAF9F" w14:textId="560E895E" w:rsidTr="00212716">
        <w:trPr>
          <w:jc w:val="center"/>
        </w:trPr>
        <w:tc>
          <w:tcPr>
            <w:tcW w:w="1680" w:type="pct"/>
          </w:tcPr>
          <w:p w14:paraId="0C3BAF9C" w14:textId="77777777" w:rsidR="00212716" w:rsidRPr="009270B9" w:rsidRDefault="00212716" w:rsidP="001836CB">
            <w:pPr>
              <w:widowControl w:val="0"/>
              <w:autoSpaceDE w:val="0"/>
              <w:autoSpaceDN w:val="0"/>
              <w:adjustRightInd w:val="0"/>
              <w:rPr>
                <w:rFonts w:eastAsia="Times New Roman"/>
              </w:rPr>
            </w:pPr>
            <w:r w:rsidRPr="009270B9">
              <w:rPr>
                <w:rFonts w:eastAsia="Times New Roman"/>
              </w:rPr>
              <w:t>Average Monthly Bill</w:t>
            </w:r>
          </w:p>
        </w:tc>
        <w:tc>
          <w:tcPr>
            <w:tcW w:w="1021" w:type="pct"/>
          </w:tcPr>
          <w:p w14:paraId="0C3BAF9D" w14:textId="3AE5D99E" w:rsidR="00212716" w:rsidRDefault="00212716" w:rsidP="00206931">
            <w:pPr>
              <w:widowControl w:val="0"/>
              <w:autoSpaceDE w:val="0"/>
              <w:autoSpaceDN w:val="0"/>
              <w:adjustRightInd w:val="0"/>
              <w:jc w:val="center"/>
              <w:rPr>
                <w:rFonts w:eastAsia="Times New Roman"/>
              </w:rPr>
            </w:pPr>
            <w:r>
              <w:rPr>
                <w:rFonts w:eastAsia="Times New Roman"/>
              </w:rPr>
              <w:t>$</w:t>
            </w:r>
            <w:r w:rsidR="00206931">
              <w:rPr>
                <w:rFonts w:eastAsia="Times New Roman"/>
              </w:rPr>
              <w:t>73.07</w:t>
            </w:r>
          </w:p>
        </w:tc>
        <w:tc>
          <w:tcPr>
            <w:tcW w:w="1150" w:type="pct"/>
          </w:tcPr>
          <w:p w14:paraId="0C3BAF9E" w14:textId="4E14C83D" w:rsidR="00212716" w:rsidRPr="009553EB" w:rsidRDefault="00212716" w:rsidP="00206931">
            <w:pPr>
              <w:widowControl w:val="0"/>
              <w:autoSpaceDE w:val="0"/>
              <w:autoSpaceDN w:val="0"/>
              <w:adjustRightInd w:val="0"/>
              <w:jc w:val="center"/>
              <w:rPr>
                <w:rFonts w:eastAsia="Times New Roman"/>
              </w:rPr>
            </w:pPr>
            <w:r>
              <w:rPr>
                <w:rFonts w:eastAsia="Times New Roman"/>
              </w:rPr>
              <w:t>$</w:t>
            </w:r>
            <w:r w:rsidR="00206931">
              <w:rPr>
                <w:rFonts w:eastAsia="Times New Roman"/>
              </w:rPr>
              <w:t>100.23</w:t>
            </w:r>
          </w:p>
        </w:tc>
        <w:tc>
          <w:tcPr>
            <w:tcW w:w="1149" w:type="pct"/>
          </w:tcPr>
          <w:p w14:paraId="0E94FA98" w14:textId="3070A8FA" w:rsidR="00212716" w:rsidRDefault="00212716" w:rsidP="00C66492">
            <w:pPr>
              <w:widowControl w:val="0"/>
              <w:autoSpaceDE w:val="0"/>
              <w:autoSpaceDN w:val="0"/>
              <w:adjustRightInd w:val="0"/>
              <w:jc w:val="center"/>
              <w:rPr>
                <w:rFonts w:eastAsia="Times New Roman"/>
              </w:rPr>
            </w:pPr>
            <w:r>
              <w:rPr>
                <w:rFonts w:eastAsia="Times New Roman"/>
              </w:rPr>
              <w:t>$</w:t>
            </w:r>
            <w:r w:rsidR="00C66492">
              <w:rPr>
                <w:rFonts w:eastAsia="Times New Roman"/>
              </w:rPr>
              <w:t>84.89</w:t>
            </w:r>
          </w:p>
        </w:tc>
      </w:tr>
      <w:tr w:rsidR="00212716" w:rsidRPr="009270B9" w14:paraId="0C3BAFA3" w14:textId="79A4C151" w:rsidTr="00212716">
        <w:trPr>
          <w:jc w:val="center"/>
        </w:trPr>
        <w:tc>
          <w:tcPr>
            <w:tcW w:w="1680" w:type="pct"/>
          </w:tcPr>
          <w:p w14:paraId="0C3BAFA0" w14:textId="3A720F68" w:rsidR="00212716" w:rsidRPr="009270B9" w:rsidRDefault="00212716" w:rsidP="001836CB">
            <w:pPr>
              <w:widowControl w:val="0"/>
              <w:autoSpaceDE w:val="0"/>
              <w:autoSpaceDN w:val="0"/>
              <w:adjustRightInd w:val="0"/>
              <w:rPr>
                <w:rFonts w:eastAsia="Times New Roman"/>
              </w:rPr>
            </w:pPr>
            <w:r w:rsidRPr="007C07AE">
              <w:t>Increase From Current Rates</w:t>
            </w:r>
          </w:p>
        </w:tc>
        <w:tc>
          <w:tcPr>
            <w:tcW w:w="1021" w:type="pct"/>
          </w:tcPr>
          <w:p w14:paraId="0C3BAFA1" w14:textId="77777777" w:rsidR="00212716" w:rsidRDefault="00212716" w:rsidP="001836CB">
            <w:pPr>
              <w:widowControl w:val="0"/>
              <w:autoSpaceDE w:val="0"/>
              <w:autoSpaceDN w:val="0"/>
              <w:adjustRightInd w:val="0"/>
              <w:jc w:val="center"/>
              <w:rPr>
                <w:rFonts w:eastAsia="Times New Roman"/>
              </w:rPr>
            </w:pPr>
          </w:p>
        </w:tc>
        <w:tc>
          <w:tcPr>
            <w:tcW w:w="1150" w:type="pct"/>
          </w:tcPr>
          <w:p w14:paraId="0C3BAFA2" w14:textId="328549DB" w:rsidR="00212716" w:rsidRPr="009553EB" w:rsidRDefault="00C66492" w:rsidP="00C66492">
            <w:pPr>
              <w:widowControl w:val="0"/>
              <w:autoSpaceDE w:val="0"/>
              <w:autoSpaceDN w:val="0"/>
              <w:adjustRightInd w:val="0"/>
              <w:jc w:val="center"/>
              <w:rPr>
                <w:rFonts w:eastAsia="Times New Roman"/>
              </w:rPr>
            </w:pPr>
            <w:r>
              <w:rPr>
                <w:rFonts w:eastAsia="Times New Roman"/>
              </w:rPr>
              <w:t>$27.1</w:t>
            </w:r>
            <w:r w:rsidR="00212716">
              <w:rPr>
                <w:rFonts w:eastAsia="Times New Roman"/>
              </w:rPr>
              <w:t>6</w:t>
            </w:r>
          </w:p>
        </w:tc>
        <w:tc>
          <w:tcPr>
            <w:tcW w:w="1149" w:type="pct"/>
          </w:tcPr>
          <w:p w14:paraId="32F2E058" w14:textId="1407B332" w:rsidR="00212716" w:rsidRDefault="00212716" w:rsidP="00C66492">
            <w:pPr>
              <w:widowControl w:val="0"/>
              <w:autoSpaceDE w:val="0"/>
              <w:autoSpaceDN w:val="0"/>
              <w:adjustRightInd w:val="0"/>
              <w:jc w:val="center"/>
              <w:rPr>
                <w:rFonts w:eastAsia="Times New Roman"/>
              </w:rPr>
            </w:pPr>
            <w:r>
              <w:rPr>
                <w:rFonts w:eastAsia="Times New Roman"/>
              </w:rPr>
              <w:t>$</w:t>
            </w:r>
            <w:r w:rsidR="00C66492">
              <w:rPr>
                <w:rFonts w:eastAsia="Times New Roman"/>
              </w:rPr>
              <w:t>11.82</w:t>
            </w:r>
          </w:p>
        </w:tc>
      </w:tr>
      <w:tr w:rsidR="00212716" w:rsidRPr="009270B9" w14:paraId="6EB50DB6" w14:textId="5176BC10" w:rsidTr="00212716">
        <w:trPr>
          <w:jc w:val="center"/>
        </w:trPr>
        <w:tc>
          <w:tcPr>
            <w:tcW w:w="1680" w:type="pct"/>
          </w:tcPr>
          <w:p w14:paraId="312DCC38" w14:textId="77777777" w:rsidR="00212716" w:rsidRPr="007C07AE" w:rsidRDefault="00212716" w:rsidP="001836CB">
            <w:pPr>
              <w:widowControl w:val="0"/>
              <w:autoSpaceDE w:val="0"/>
              <w:autoSpaceDN w:val="0"/>
              <w:adjustRightInd w:val="0"/>
            </w:pPr>
          </w:p>
        </w:tc>
        <w:tc>
          <w:tcPr>
            <w:tcW w:w="1021" w:type="pct"/>
          </w:tcPr>
          <w:p w14:paraId="45003B63" w14:textId="77777777" w:rsidR="00212716" w:rsidRDefault="00212716" w:rsidP="001836CB">
            <w:pPr>
              <w:widowControl w:val="0"/>
              <w:autoSpaceDE w:val="0"/>
              <w:autoSpaceDN w:val="0"/>
              <w:adjustRightInd w:val="0"/>
              <w:jc w:val="center"/>
              <w:rPr>
                <w:rFonts w:eastAsia="Times New Roman"/>
              </w:rPr>
            </w:pPr>
          </w:p>
        </w:tc>
        <w:tc>
          <w:tcPr>
            <w:tcW w:w="1150" w:type="pct"/>
          </w:tcPr>
          <w:p w14:paraId="34F323E6" w14:textId="02DD4500" w:rsidR="00212716" w:rsidRDefault="00C66492" w:rsidP="00C66492">
            <w:pPr>
              <w:widowControl w:val="0"/>
              <w:autoSpaceDE w:val="0"/>
              <w:autoSpaceDN w:val="0"/>
              <w:adjustRightInd w:val="0"/>
              <w:jc w:val="center"/>
              <w:rPr>
                <w:rFonts w:eastAsia="Times New Roman"/>
              </w:rPr>
            </w:pPr>
            <w:r>
              <w:rPr>
                <w:rFonts w:eastAsia="Times New Roman"/>
              </w:rPr>
              <w:t>37</w:t>
            </w:r>
            <w:r w:rsidR="00212716">
              <w:rPr>
                <w:rFonts w:eastAsia="Times New Roman"/>
              </w:rPr>
              <w:t>.</w:t>
            </w:r>
            <w:r>
              <w:rPr>
                <w:rFonts w:eastAsia="Times New Roman"/>
              </w:rPr>
              <w:t>2</w:t>
            </w:r>
            <w:r w:rsidR="00212716">
              <w:rPr>
                <w:rFonts w:eastAsia="Times New Roman"/>
              </w:rPr>
              <w:t>%</w:t>
            </w:r>
          </w:p>
        </w:tc>
        <w:tc>
          <w:tcPr>
            <w:tcW w:w="1149" w:type="pct"/>
          </w:tcPr>
          <w:p w14:paraId="3D90C3D5" w14:textId="1D6ED679" w:rsidR="00212716" w:rsidRDefault="00212716" w:rsidP="00C66492">
            <w:pPr>
              <w:widowControl w:val="0"/>
              <w:autoSpaceDE w:val="0"/>
              <w:autoSpaceDN w:val="0"/>
              <w:adjustRightInd w:val="0"/>
              <w:jc w:val="center"/>
              <w:rPr>
                <w:rFonts w:eastAsia="Times New Roman"/>
              </w:rPr>
            </w:pPr>
            <w:r>
              <w:rPr>
                <w:rFonts w:eastAsia="Times New Roman"/>
              </w:rPr>
              <w:t>1</w:t>
            </w:r>
            <w:r w:rsidR="00C66492">
              <w:rPr>
                <w:rFonts w:eastAsia="Times New Roman"/>
              </w:rPr>
              <w:t>6</w:t>
            </w:r>
            <w:r>
              <w:rPr>
                <w:rFonts w:eastAsia="Times New Roman"/>
              </w:rPr>
              <w:t>.</w:t>
            </w:r>
            <w:r w:rsidR="00C66492">
              <w:rPr>
                <w:rFonts w:eastAsia="Times New Roman"/>
              </w:rPr>
              <w:t>2</w:t>
            </w:r>
            <w:r>
              <w:rPr>
                <w:rFonts w:eastAsia="Times New Roman"/>
              </w:rPr>
              <w:t>%</w:t>
            </w:r>
          </w:p>
        </w:tc>
      </w:tr>
    </w:tbl>
    <w:p w14:paraId="0C3BAFA4" w14:textId="5151F3AD" w:rsidR="006F3DD7" w:rsidRDefault="006F3DD7" w:rsidP="006F3D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C3BAFA6" w14:textId="77777777" w:rsidR="00C155BE" w:rsidRDefault="00D56F7E" w:rsidP="007F1BFD">
      <w:pPr>
        <w:pStyle w:val="NoSpacing"/>
        <w:rPr>
          <w:b/>
          <w:u w:val="single"/>
        </w:rPr>
      </w:pPr>
      <w:r>
        <w:rPr>
          <w:b/>
          <w:u w:val="single"/>
        </w:rPr>
        <w:t>Conclusion</w:t>
      </w:r>
    </w:p>
    <w:p w14:paraId="0C3BAFA7" w14:textId="77777777" w:rsidR="006F3DD7" w:rsidRDefault="006F3DD7" w:rsidP="007F1BFD">
      <w:pPr>
        <w:pStyle w:val="NoSpacing"/>
        <w:rPr>
          <w:b/>
          <w:u w:val="single"/>
        </w:rPr>
      </w:pPr>
    </w:p>
    <w:p w14:paraId="37466777" w14:textId="79E114F3" w:rsidR="00C66492" w:rsidRPr="00AA4488" w:rsidRDefault="00B738E8" w:rsidP="00C66492">
      <w:r w:rsidRPr="00AE389D">
        <w:rPr>
          <w:rFonts w:eastAsia="Times New Roman"/>
        </w:rPr>
        <w:t xml:space="preserve">Commission staff has </w:t>
      </w:r>
      <w:r w:rsidR="00C66492" w:rsidRPr="00AA4488">
        <w:t xml:space="preserve">completed its review of the company’s supporting financial documents, books and records. Staff’s review </w:t>
      </w:r>
      <w:r w:rsidR="00C66492">
        <w:t xml:space="preserve">of the filing </w:t>
      </w:r>
      <w:r w:rsidR="00C66492" w:rsidRPr="00AA4488">
        <w:t xml:space="preserve">shows that the </w:t>
      </w:r>
      <w:r w:rsidR="00C66492">
        <w:t>revised expenses are reasonable and required as part of the company’s operation. The company’s financial information supports the revised revenue requirement, and the revised rates and charges are fair, just, reasonable and sufficient.</w:t>
      </w:r>
    </w:p>
    <w:p w14:paraId="22FC0AF0" w14:textId="77777777" w:rsidR="00C66492" w:rsidRDefault="00C66492" w:rsidP="00C66492">
      <w:pPr>
        <w:tabs>
          <w:tab w:val="left" w:pos="0"/>
          <w:tab w:val="left" w:pos="3185"/>
        </w:tabs>
      </w:pPr>
      <w:r>
        <w:tab/>
      </w:r>
    </w:p>
    <w:p w14:paraId="36E2C118" w14:textId="4AED9DB2" w:rsidR="00C66492" w:rsidRPr="005C6590" w:rsidRDefault="00C66492" w:rsidP="00C66492">
      <w:pPr>
        <w:widowControl w:val="0"/>
        <w:autoSpaceDE w:val="0"/>
        <w:autoSpaceDN w:val="0"/>
        <w:adjustRightInd w:val="0"/>
      </w:pPr>
      <w:r>
        <w:rPr>
          <w:color w:val="000000"/>
        </w:rPr>
        <w:t>Staff recommends that the commission take no action, thereby a</w:t>
      </w:r>
      <w:r w:rsidRPr="00AC3BE4">
        <w:t>llow</w:t>
      </w:r>
      <w:r>
        <w:t>ing</w:t>
      </w:r>
      <w:r w:rsidRPr="00AC3BE4">
        <w:t xml:space="preserve"> the revised rates and tariff revision</w:t>
      </w:r>
      <w:r>
        <w:t>s</w:t>
      </w:r>
      <w:r w:rsidRPr="00AC3BE4">
        <w:t xml:space="preserve"> filed by </w:t>
      </w:r>
      <w:r w:rsidRPr="00702FA4">
        <w:rPr>
          <w:rFonts w:eastAsia="Calibri"/>
          <w:lang w:bidi="en-US"/>
        </w:rPr>
        <w:t>Rainier View Water Company</w:t>
      </w:r>
      <w:r>
        <w:t xml:space="preserve">, Inc., </w:t>
      </w:r>
      <w:r w:rsidRPr="00AC3BE4">
        <w:t xml:space="preserve">on </w:t>
      </w:r>
      <w:r w:rsidR="00A41C31">
        <w:t>May 24</w:t>
      </w:r>
      <w:r w:rsidRPr="00AC3BE4">
        <w:t xml:space="preserve">, 2013, to become effective on </w:t>
      </w:r>
      <w:r>
        <w:t>June 1</w:t>
      </w:r>
      <w:r w:rsidRPr="00AC3BE4">
        <w:t>, 2013</w:t>
      </w:r>
      <w:r>
        <w:t>, by operation of law</w:t>
      </w:r>
      <w:r w:rsidRPr="00AC3BE4">
        <w:t>.</w:t>
      </w:r>
    </w:p>
    <w:p w14:paraId="30AC64C5" w14:textId="45BB234F" w:rsidR="00B738E8" w:rsidRPr="008A1F2E" w:rsidRDefault="00B738E8" w:rsidP="00C664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Calibri"/>
          <w:lang w:bidi="en-US"/>
        </w:rPr>
      </w:pPr>
    </w:p>
    <w:p w14:paraId="3C9BAEAB" w14:textId="01FBB71C" w:rsidR="006D2E1E" w:rsidRPr="00D25976" w:rsidRDefault="006D2E1E" w:rsidP="00B73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Calibri"/>
          <w:color w:val="000000"/>
          <w:sz w:val="22"/>
          <w:szCs w:val="22"/>
        </w:rPr>
      </w:pPr>
    </w:p>
    <w:sectPr w:rsidR="006D2E1E" w:rsidRPr="00D25976" w:rsidSect="00264389">
      <w:headerReference w:type="default" r:id="rId12"/>
      <w:pgSz w:w="12240" w:h="15840" w:code="1"/>
      <w:pgMar w:top="1440" w:right="1440" w:bottom="1440" w:left="1440" w:header="18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BAFB8" w14:textId="77777777" w:rsidR="00546792" w:rsidRDefault="00546792" w:rsidP="00245254">
      <w:r>
        <w:separator/>
      </w:r>
    </w:p>
  </w:endnote>
  <w:endnote w:type="continuationSeparator" w:id="0">
    <w:p w14:paraId="0C3BAFB9" w14:textId="77777777" w:rsidR="00546792" w:rsidRDefault="00546792" w:rsidP="0024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BAFB6" w14:textId="77777777" w:rsidR="00546792" w:rsidRDefault="00546792" w:rsidP="00245254">
      <w:r>
        <w:separator/>
      </w:r>
    </w:p>
  </w:footnote>
  <w:footnote w:type="continuationSeparator" w:id="0">
    <w:p w14:paraId="0C3BAFB7" w14:textId="77777777" w:rsidR="00546792" w:rsidRDefault="00546792" w:rsidP="00245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BAFBA" w14:textId="77777777" w:rsidR="00546792" w:rsidRDefault="00546792" w:rsidP="00245254">
    <w:pPr>
      <w:tabs>
        <w:tab w:val="center" w:pos="4680"/>
        <w:tab w:val="right" w:pos="9360"/>
      </w:tabs>
      <w:rPr>
        <w:rFonts w:eastAsia="Calibri"/>
        <w:sz w:val="20"/>
        <w:szCs w:val="20"/>
        <w:lang w:bidi="en-US"/>
      </w:rPr>
    </w:pPr>
  </w:p>
  <w:p w14:paraId="0C3BAFBB" w14:textId="7FBDFFB4" w:rsidR="00546792" w:rsidRPr="00BA28F5" w:rsidRDefault="00546792" w:rsidP="00245254">
    <w:pPr>
      <w:tabs>
        <w:tab w:val="center" w:pos="4680"/>
        <w:tab w:val="right" w:pos="9360"/>
      </w:tabs>
      <w:rPr>
        <w:rFonts w:eastAsia="Calibri"/>
        <w:sz w:val="20"/>
        <w:szCs w:val="20"/>
        <w:lang w:bidi="en-US"/>
      </w:rPr>
    </w:pPr>
    <w:r w:rsidRPr="00245254">
      <w:rPr>
        <w:rFonts w:eastAsia="Calibri"/>
        <w:sz w:val="20"/>
        <w:szCs w:val="20"/>
        <w:lang w:bidi="en-US"/>
      </w:rPr>
      <w:t>Docket UW-</w:t>
    </w:r>
    <w:r w:rsidRPr="00BA28F5">
      <w:rPr>
        <w:rFonts w:eastAsia="Calibri"/>
        <w:sz w:val="20"/>
        <w:szCs w:val="20"/>
        <w:lang w:bidi="en-US"/>
      </w:rPr>
      <w:t>13</w:t>
    </w:r>
    <w:r>
      <w:rPr>
        <w:rFonts w:eastAsia="Calibri"/>
        <w:sz w:val="20"/>
        <w:szCs w:val="20"/>
        <w:lang w:bidi="en-US"/>
      </w:rPr>
      <w:t>0522</w:t>
    </w:r>
  </w:p>
  <w:p w14:paraId="0C3BAFBC" w14:textId="791FE15F" w:rsidR="00546792" w:rsidRPr="00245254" w:rsidRDefault="00546792" w:rsidP="00245254">
    <w:pPr>
      <w:tabs>
        <w:tab w:val="center" w:pos="4680"/>
        <w:tab w:val="right" w:pos="9360"/>
      </w:tabs>
      <w:rPr>
        <w:rFonts w:eastAsia="Calibri"/>
        <w:sz w:val="20"/>
        <w:szCs w:val="20"/>
        <w:lang w:bidi="en-US"/>
      </w:rPr>
    </w:pPr>
    <w:r>
      <w:rPr>
        <w:rFonts w:eastAsia="Calibri"/>
        <w:sz w:val="20"/>
        <w:szCs w:val="20"/>
        <w:lang w:bidi="en-US"/>
      </w:rPr>
      <w:t>May 30</w:t>
    </w:r>
    <w:r w:rsidRPr="00BA28F5">
      <w:rPr>
        <w:rFonts w:eastAsia="Calibri"/>
        <w:sz w:val="20"/>
        <w:szCs w:val="20"/>
        <w:lang w:bidi="en-US"/>
      </w:rPr>
      <w:t>, 201</w:t>
    </w:r>
    <w:r>
      <w:rPr>
        <w:rFonts w:eastAsia="Calibri"/>
        <w:sz w:val="20"/>
        <w:szCs w:val="20"/>
        <w:lang w:bidi="en-US"/>
      </w:rPr>
      <w:t>3</w:t>
    </w:r>
  </w:p>
  <w:p w14:paraId="0C3BAFBD" w14:textId="77777777" w:rsidR="00546792" w:rsidRPr="00245254" w:rsidRDefault="00546792" w:rsidP="00245254">
    <w:pPr>
      <w:tabs>
        <w:tab w:val="center" w:pos="4680"/>
        <w:tab w:val="right" w:pos="9360"/>
      </w:tabs>
      <w:rPr>
        <w:rFonts w:eastAsia="Calibri"/>
        <w:sz w:val="20"/>
        <w:szCs w:val="20"/>
        <w:lang w:bidi="en-US"/>
      </w:rPr>
    </w:pPr>
    <w:r w:rsidRPr="00245254">
      <w:rPr>
        <w:rFonts w:eastAsia="Calibri"/>
        <w:sz w:val="20"/>
        <w:szCs w:val="20"/>
        <w:lang w:bidi="en-US"/>
      </w:rPr>
      <w:t xml:space="preserve">Page </w:t>
    </w:r>
    <w:r w:rsidRPr="00245254">
      <w:rPr>
        <w:rFonts w:eastAsia="Calibri"/>
        <w:sz w:val="20"/>
        <w:szCs w:val="20"/>
        <w:lang w:bidi="en-US"/>
      </w:rPr>
      <w:fldChar w:fldCharType="begin"/>
    </w:r>
    <w:r w:rsidRPr="00245254">
      <w:rPr>
        <w:rFonts w:eastAsia="Calibri"/>
        <w:sz w:val="20"/>
        <w:szCs w:val="20"/>
        <w:lang w:bidi="en-US"/>
      </w:rPr>
      <w:instrText xml:space="preserve"> PAGE   \* MERGEFORMAT </w:instrText>
    </w:r>
    <w:r w:rsidRPr="00245254">
      <w:rPr>
        <w:rFonts w:eastAsia="Calibri"/>
        <w:sz w:val="20"/>
        <w:szCs w:val="20"/>
        <w:lang w:bidi="en-US"/>
      </w:rPr>
      <w:fldChar w:fldCharType="separate"/>
    </w:r>
    <w:r w:rsidR="006252CC">
      <w:rPr>
        <w:rFonts w:eastAsia="Calibri"/>
        <w:noProof/>
        <w:sz w:val="20"/>
        <w:szCs w:val="20"/>
        <w:lang w:bidi="en-US"/>
      </w:rPr>
      <w:t>3</w:t>
    </w:r>
    <w:r w:rsidRPr="00245254">
      <w:rPr>
        <w:rFonts w:eastAsia="Calibri"/>
        <w:sz w:val="20"/>
        <w:szCs w:val="20"/>
        <w:lang w:bidi="en-US"/>
      </w:rPr>
      <w:fldChar w:fldCharType="end"/>
    </w:r>
  </w:p>
  <w:p w14:paraId="0C3BAFBE" w14:textId="77777777" w:rsidR="00546792" w:rsidRDefault="00546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A61E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C462589"/>
    <w:multiLevelType w:val="hybridMultilevel"/>
    <w:tmpl w:val="61429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C26897"/>
    <w:multiLevelType w:val="hybridMultilevel"/>
    <w:tmpl w:val="317E3506"/>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EC1907"/>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4CF8793E"/>
    <w:multiLevelType w:val="hybridMultilevel"/>
    <w:tmpl w:val="BCD6E82C"/>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32F70F3"/>
    <w:multiLevelType w:val="hybridMultilevel"/>
    <w:tmpl w:val="22069DB8"/>
    <w:lvl w:ilvl="0" w:tplc="04184588">
      <w:start w:val="1"/>
      <w:numFmt w:val="decimal"/>
      <w:pStyle w:val="FindingsConclusions"/>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54C0052"/>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A6C1845"/>
    <w:multiLevelType w:val="multilevel"/>
    <w:tmpl w:val="59E4E85A"/>
    <w:lvl w:ilvl="0">
      <w:start w:val="1"/>
      <w:numFmt w:val="decimal"/>
      <w:pStyle w:val="Jim1"/>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5A98537B"/>
    <w:multiLevelType w:val="hybridMultilevel"/>
    <w:tmpl w:val="04D82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DA6AB5"/>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C0D00AD"/>
    <w:multiLevelType w:val="hybridMultilevel"/>
    <w:tmpl w:val="6978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6A767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DDC6B07"/>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F3B66E1"/>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CA9252B"/>
    <w:multiLevelType w:val="hybridMultilevel"/>
    <w:tmpl w:val="BCD6E82C"/>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4"/>
  </w:num>
  <w:num w:numId="2">
    <w:abstractNumId w:val="9"/>
  </w:num>
  <w:num w:numId="3">
    <w:abstractNumId w:val="4"/>
  </w:num>
  <w:num w:numId="4">
    <w:abstractNumId w:val="9"/>
  </w:num>
  <w:num w:numId="5">
    <w:abstractNumId w:val="1"/>
  </w:num>
  <w:num w:numId="6">
    <w:abstractNumId w:val="0"/>
  </w:num>
  <w:num w:numId="7">
    <w:abstractNumId w:val="6"/>
  </w:num>
  <w:num w:numId="8">
    <w:abstractNumId w:val="14"/>
  </w:num>
  <w:num w:numId="9">
    <w:abstractNumId w:val="15"/>
  </w:num>
  <w:num w:numId="10">
    <w:abstractNumId w:val="13"/>
  </w:num>
  <w:num w:numId="11">
    <w:abstractNumId w:val="3"/>
  </w:num>
  <w:num w:numId="12">
    <w:abstractNumId w:val="12"/>
  </w:num>
  <w:num w:numId="13">
    <w:abstractNumId w:val="11"/>
  </w:num>
  <w:num w:numId="14">
    <w:abstractNumId w:val="7"/>
  </w:num>
  <w:num w:numId="15">
    <w:abstractNumId w:val="16"/>
  </w:num>
  <w:num w:numId="16">
    <w:abstractNumId w:val="2"/>
  </w:num>
  <w:num w:numId="17">
    <w:abstractNumId w:val="8"/>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E6F"/>
    <w:rsid w:val="00003847"/>
    <w:rsid w:val="0001570A"/>
    <w:rsid w:val="00024460"/>
    <w:rsid w:val="00027209"/>
    <w:rsid w:val="00030398"/>
    <w:rsid w:val="00033E2D"/>
    <w:rsid w:val="00034BFC"/>
    <w:rsid w:val="000432E3"/>
    <w:rsid w:val="00061941"/>
    <w:rsid w:val="00062FAD"/>
    <w:rsid w:val="000652A3"/>
    <w:rsid w:val="00083FB2"/>
    <w:rsid w:val="00084BF7"/>
    <w:rsid w:val="000855B6"/>
    <w:rsid w:val="00087518"/>
    <w:rsid w:val="000A048C"/>
    <w:rsid w:val="000C2D22"/>
    <w:rsid w:val="000C70F4"/>
    <w:rsid w:val="000C737B"/>
    <w:rsid w:val="000F453F"/>
    <w:rsid w:val="000F547D"/>
    <w:rsid w:val="000F665E"/>
    <w:rsid w:val="001033D4"/>
    <w:rsid w:val="00124C4D"/>
    <w:rsid w:val="00130E5E"/>
    <w:rsid w:val="00134BD1"/>
    <w:rsid w:val="001358B9"/>
    <w:rsid w:val="00140A64"/>
    <w:rsid w:val="001548D9"/>
    <w:rsid w:val="00155281"/>
    <w:rsid w:val="00156779"/>
    <w:rsid w:val="00156783"/>
    <w:rsid w:val="0017695C"/>
    <w:rsid w:val="00181D58"/>
    <w:rsid w:val="001836CB"/>
    <w:rsid w:val="0018516A"/>
    <w:rsid w:val="0019157B"/>
    <w:rsid w:val="001A0DCB"/>
    <w:rsid w:val="001B22B6"/>
    <w:rsid w:val="001B4066"/>
    <w:rsid w:val="001C5AB1"/>
    <w:rsid w:val="001C7342"/>
    <w:rsid w:val="001D0DFF"/>
    <w:rsid w:val="001F1FEF"/>
    <w:rsid w:val="001F4371"/>
    <w:rsid w:val="00201453"/>
    <w:rsid w:val="00206931"/>
    <w:rsid w:val="00212716"/>
    <w:rsid w:val="00217E6F"/>
    <w:rsid w:val="002200C7"/>
    <w:rsid w:val="0022425A"/>
    <w:rsid w:val="002407A1"/>
    <w:rsid w:val="00245254"/>
    <w:rsid w:val="002501DD"/>
    <w:rsid w:val="00251A5F"/>
    <w:rsid w:val="002547DD"/>
    <w:rsid w:val="00256E98"/>
    <w:rsid w:val="00264389"/>
    <w:rsid w:val="002675D5"/>
    <w:rsid w:val="00271CBF"/>
    <w:rsid w:val="00275752"/>
    <w:rsid w:val="00275D58"/>
    <w:rsid w:val="00282042"/>
    <w:rsid w:val="002A0205"/>
    <w:rsid w:val="002B5769"/>
    <w:rsid w:val="002C039A"/>
    <w:rsid w:val="002C27C2"/>
    <w:rsid w:val="002C5B30"/>
    <w:rsid w:val="002C5B71"/>
    <w:rsid w:val="00302238"/>
    <w:rsid w:val="00325DE9"/>
    <w:rsid w:val="00326983"/>
    <w:rsid w:val="003351DF"/>
    <w:rsid w:val="003356FA"/>
    <w:rsid w:val="00340706"/>
    <w:rsid w:val="00345F03"/>
    <w:rsid w:val="0035055F"/>
    <w:rsid w:val="00355537"/>
    <w:rsid w:val="00356571"/>
    <w:rsid w:val="00360292"/>
    <w:rsid w:val="00370C13"/>
    <w:rsid w:val="00374143"/>
    <w:rsid w:val="00377931"/>
    <w:rsid w:val="00382875"/>
    <w:rsid w:val="00386F97"/>
    <w:rsid w:val="00396AF9"/>
    <w:rsid w:val="003B19D4"/>
    <w:rsid w:val="003B73BB"/>
    <w:rsid w:val="003E1936"/>
    <w:rsid w:val="003F0251"/>
    <w:rsid w:val="00404403"/>
    <w:rsid w:val="00410E5B"/>
    <w:rsid w:val="00423AD5"/>
    <w:rsid w:val="00431CA4"/>
    <w:rsid w:val="004332A0"/>
    <w:rsid w:val="00437FED"/>
    <w:rsid w:val="00440678"/>
    <w:rsid w:val="004464BF"/>
    <w:rsid w:val="004514E4"/>
    <w:rsid w:val="00461495"/>
    <w:rsid w:val="00477D84"/>
    <w:rsid w:val="0048133C"/>
    <w:rsid w:val="004866BE"/>
    <w:rsid w:val="00491EC4"/>
    <w:rsid w:val="00494E35"/>
    <w:rsid w:val="004A21E5"/>
    <w:rsid w:val="004A5FBB"/>
    <w:rsid w:val="004B7AF1"/>
    <w:rsid w:val="004B7F58"/>
    <w:rsid w:val="004D0B8A"/>
    <w:rsid w:val="00506D8B"/>
    <w:rsid w:val="00511D49"/>
    <w:rsid w:val="00515531"/>
    <w:rsid w:val="00523CC1"/>
    <w:rsid w:val="005268CA"/>
    <w:rsid w:val="00532EA7"/>
    <w:rsid w:val="00546792"/>
    <w:rsid w:val="00562039"/>
    <w:rsid w:val="00564F76"/>
    <w:rsid w:val="005748AE"/>
    <w:rsid w:val="00586133"/>
    <w:rsid w:val="00590850"/>
    <w:rsid w:val="005A121A"/>
    <w:rsid w:val="005B3869"/>
    <w:rsid w:val="005B5276"/>
    <w:rsid w:val="005B6C93"/>
    <w:rsid w:val="005C7273"/>
    <w:rsid w:val="005E0B68"/>
    <w:rsid w:val="005E4FB6"/>
    <w:rsid w:val="005F2F34"/>
    <w:rsid w:val="0061181E"/>
    <w:rsid w:val="00615D7B"/>
    <w:rsid w:val="006252CC"/>
    <w:rsid w:val="00642AF1"/>
    <w:rsid w:val="006432DB"/>
    <w:rsid w:val="00647B19"/>
    <w:rsid w:val="00654AB5"/>
    <w:rsid w:val="00661CF7"/>
    <w:rsid w:val="00661EF4"/>
    <w:rsid w:val="00683F4F"/>
    <w:rsid w:val="00692AEE"/>
    <w:rsid w:val="006A20F0"/>
    <w:rsid w:val="006A2BC6"/>
    <w:rsid w:val="006A7C5C"/>
    <w:rsid w:val="006B27F8"/>
    <w:rsid w:val="006B3B21"/>
    <w:rsid w:val="006B551B"/>
    <w:rsid w:val="006C0733"/>
    <w:rsid w:val="006C2657"/>
    <w:rsid w:val="006C3829"/>
    <w:rsid w:val="006C3F0D"/>
    <w:rsid w:val="006C4F97"/>
    <w:rsid w:val="006D2E1E"/>
    <w:rsid w:val="006D621D"/>
    <w:rsid w:val="006E1966"/>
    <w:rsid w:val="006F3DD7"/>
    <w:rsid w:val="006F747B"/>
    <w:rsid w:val="006F7629"/>
    <w:rsid w:val="00702FA4"/>
    <w:rsid w:val="00704570"/>
    <w:rsid w:val="00720DBD"/>
    <w:rsid w:val="00731486"/>
    <w:rsid w:val="00741C4C"/>
    <w:rsid w:val="0076183D"/>
    <w:rsid w:val="007753EE"/>
    <w:rsid w:val="00787112"/>
    <w:rsid w:val="00792FC6"/>
    <w:rsid w:val="00797135"/>
    <w:rsid w:val="007A6F0C"/>
    <w:rsid w:val="007A72F0"/>
    <w:rsid w:val="007B15C5"/>
    <w:rsid w:val="007B3723"/>
    <w:rsid w:val="007C2096"/>
    <w:rsid w:val="007D1024"/>
    <w:rsid w:val="007D7522"/>
    <w:rsid w:val="007E0E74"/>
    <w:rsid w:val="007F1BFD"/>
    <w:rsid w:val="008152CC"/>
    <w:rsid w:val="00822DF8"/>
    <w:rsid w:val="00835B02"/>
    <w:rsid w:val="00842A35"/>
    <w:rsid w:val="008515A2"/>
    <w:rsid w:val="008554C1"/>
    <w:rsid w:val="008627F6"/>
    <w:rsid w:val="00876CF3"/>
    <w:rsid w:val="00885DA8"/>
    <w:rsid w:val="008A1F2E"/>
    <w:rsid w:val="008A3C1F"/>
    <w:rsid w:val="008B21E5"/>
    <w:rsid w:val="008B3B98"/>
    <w:rsid w:val="008F0904"/>
    <w:rsid w:val="008F53D4"/>
    <w:rsid w:val="008F57BB"/>
    <w:rsid w:val="009030B4"/>
    <w:rsid w:val="00907648"/>
    <w:rsid w:val="00911031"/>
    <w:rsid w:val="00914BFF"/>
    <w:rsid w:val="00927207"/>
    <w:rsid w:val="00930C8A"/>
    <w:rsid w:val="00931721"/>
    <w:rsid w:val="009322EC"/>
    <w:rsid w:val="009440F0"/>
    <w:rsid w:val="0095606C"/>
    <w:rsid w:val="00970D99"/>
    <w:rsid w:val="00972D40"/>
    <w:rsid w:val="0097762E"/>
    <w:rsid w:val="00981D3C"/>
    <w:rsid w:val="0099016E"/>
    <w:rsid w:val="0099065C"/>
    <w:rsid w:val="00995378"/>
    <w:rsid w:val="009A0D6F"/>
    <w:rsid w:val="009A3131"/>
    <w:rsid w:val="009C3A05"/>
    <w:rsid w:val="009C6500"/>
    <w:rsid w:val="009D5F02"/>
    <w:rsid w:val="009E3882"/>
    <w:rsid w:val="009E7811"/>
    <w:rsid w:val="009F122B"/>
    <w:rsid w:val="009F6D56"/>
    <w:rsid w:val="00A05A98"/>
    <w:rsid w:val="00A06FAF"/>
    <w:rsid w:val="00A146BF"/>
    <w:rsid w:val="00A152CB"/>
    <w:rsid w:val="00A32D04"/>
    <w:rsid w:val="00A40987"/>
    <w:rsid w:val="00A41C31"/>
    <w:rsid w:val="00A54D16"/>
    <w:rsid w:val="00A72F1A"/>
    <w:rsid w:val="00A84C2A"/>
    <w:rsid w:val="00A91BB7"/>
    <w:rsid w:val="00A957E4"/>
    <w:rsid w:val="00AA2D3D"/>
    <w:rsid w:val="00AA77B8"/>
    <w:rsid w:val="00AA7D87"/>
    <w:rsid w:val="00AB37B4"/>
    <w:rsid w:val="00AD0B61"/>
    <w:rsid w:val="00AD5659"/>
    <w:rsid w:val="00AE035C"/>
    <w:rsid w:val="00AF3FDF"/>
    <w:rsid w:val="00B03A38"/>
    <w:rsid w:val="00B14A40"/>
    <w:rsid w:val="00B2322A"/>
    <w:rsid w:val="00B262AB"/>
    <w:rsid w:val="00B4058E"/>
    <w:rsid w:val="00B437F0"/>
    <w:rsid w:val="00B545DE"/>
    <w:rsid w:val="00B62640"/>
    <w:rsid w:val="00B71CEC"/>
    <w:rsid w:val="00B738E8"/>
    <w:rsid w:val="00B828A1"/>
    <w:rsid w:val="00B84E7C"/>
    <w:rsid w:val="00B92231"/>
    <w:rsid w:val="00BA28F5"/>
    <w:rsid w:val="00BC0421"/>
    <w:rsid w:val="00BC3762"/>
    <w:rsid w:val="00BC4D70"/>
    <w:rsid w:val="00BD1678"/>
    <w:rsid w:val="00BD3F74"/>
    <w:rsid w:val="00BD6728"/>
    <w:rsid w:val="00BE36F9"/>
    <w:rsid w:val="00BF4B8A"/>
    <w:rsid w:val="00C155BE"/>
    <w:rsid w:val="00C24170"/>
    <w:rsid w:val="00C463F2"/>
    <w:rsid w:val="00C47A79"/>
    <w:rsid w:val="00C66492"/>
    <w:rsid w:val="00C819B2"/>
    <w:rsid w:val="00C84B98"/>
    <w:rsid w:val="00C90611"/>
    <w:rsid w:val="00CA5BD7"/>
    <w:rsid w:val="00CC0135"/>
    <w:rsid w:val="00CC2A31"/>
    <w:rsid w:val="00CD1FEE"/>
    <w:rsid w:val="00CD4E7C"/>
    <w:rsid w:val="00CE0CEF"/>
    <w:rsid w:val="00D05480"/>
    <w:rsid w:val="00D12D1E"/>
    <w:rsid w:val="00D15351"/>
    <w:rsid w:val="00D24937"/>
    <w:rsid w:val="00D24C81"/>
    <w:rsid w:val="00D25976"/>
    <w:rsid w:val="00D26F2D"/>
    <w:rsid w:val="00D40E26"/>
    <w:rsid w:val="00D43798"/>
    <w:rsid w:val="00D5526F"/>
    <w:rsid w:val="00D56F7E"/>
    <w:rsid w:val="00D64EC1"/>
    <w:rsid w:val="00D73363"/>
    <w:rsid w:val="00D84A11"/>
    <w:rsid w:val="00D84B75"/>
    <w:rsid w:val="00D92A6E"/>
    <w:rsid w:val="00D95A1A"/>
    <w:rsid w:val="00D96760"/>
    <w:rsid w:val="00DA6082"/>
    <w:rsid w:val="00DB2128"/>
    <w:rsid w:val="00DB5F8A"/>
    <w:rsid w:val="00DC08BA"/>
    <w:rsid w:val="00DC1692"/>
    <w:rsid w:val="00DD2A47"/>
    <w:rsid w:val="00DD63B1"/>
    <w:rsid w:val="00DF51F4"/>
    <w:rsid w:val="00DF5B4E"/>
    <w:rsid w:val="00E0366B"/>
    <w:rsid w:val="00E05B70"/>
    <w:rsid w:val="00E303CB"/>
    <w:rsid w:val="00E367E3"/>
    <w:rsid w:val="00E43815"/>
    <w:rsid w:val="00E47AED"/>
    <w:rsid w:val="00E64A8A"/>
    <w:rsid w:val="00E67B67"/>
    <w:rsid w:val="00E758E6"/>
    <w:rsid w:val="00E778D7"/>
    <w:rsid w:val="00E835A8"/>
    <w:rsid w:val="00E8517B"/>
    <w:rsid w:val="00E87217"/>
    <w:rsid w:val="00E970D2"/>
    <w:rsid w:val="00EA60BF"/>
    <w:rsid w:val="00EA6663"/>
    <w:rsid w:val="00EB023C"/>
    <w:rsid w:val="00EB0BEA"/>
    <w:rsid w:val="00EB1647"/>
    <w:rsid w:val="00EB4282"/>
    <w:rsid w:val="00EB729E"/>
    <w:rsid w:val="00F17346"/>
    <w:rsid w:val="00F43A08"/>
    <w:rsid w:val="00F468E2"/>
    <w:rsid w:val="00F50642"/>
    <w:rsid w:val="00F50FB5"/>
    <w:rsid w:val="00F705F6"/>
    <w:rsid w:val="00F73F22"/>
    <w:rsid w:val="00F74CE9"/>
    <w:rsid w:val="00F75D3B"/>
    <w:rsid w:val="00F82DD4"/>
    <w:rsid w:val="00F86B42"/>
    <w:rsid w:val="00FA4D64"/>
    <w:rsid w:val="00FA680D"/>
    <w:rsid w:val="00FB5793"/>
    <w:rsid w:val="00FD7D34"/>
    <w:rsid w:val="00FE594D"/>
    <w:rsid w:val="00FE66E6"/>
    <w:rsid w:val="00FF5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B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page number" w:semiHidden="1" w:unhideWhenUsed="1"/>
    <w:lsdException w:name="Title" w:qFormat="1"/>
    <w:lsdException w:name="Default Paragraph Font" w:semiHidden="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3D4"/>
  </w:style>
  <w:style w:type="paragraph" w:styleId="Heading1">
    <w:name w:val="heading 1"/>
    <w:basedOn w:val="Normal"/>
    <w:next w:val="Normal"/>
    <w:link w:val="Heading1Char"/>
    <w:qFormat/>
    <w:rsid w:val="008F53D4"/>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3D4"/>
  </w:style>
  <w:style w:type="character" w:customStyle="1" w:styleId="Heading1Char">
    <w:name w:val="Heading 1 Char"/>
    <w:basedOn w:val="DefaultParagraphFont"/>
    <w:link w:val="Heading1"/>
    <w:rsid w:val="008F53D4"/>
    <w:rPr>
      <w:rFonts w:asciiTheme="majorHAnsi" w:eastAsiaTheme="majorEastAsia" w:hAnsiTheme="majorHAnsi" w:cstheme="majorBidi"/>
      <w:b/>
      <w:bCs/>
      <w:kern w:val="32"/>
      <w:sz w:val="32"/>
      <w:szCs w:val="32"/>
    </w:rPr>
  </w:style>
  <w:style w:type="paragraph" w:styleId="Header">
    <w:name w:val="header"/>
    <w:basedOn w:val="Normal"/>
    <w:link w:val="HeaderChar"/>
    <w:rsid w:val="008F53D4"/>
    <w:pPr>
      <w:tabs>
        <w:tab w:val="center" w:pos="4320"/>
        <w:tab w:val="right" w:pos="8640"/>
      </w:tabs>
    </w:pPr>
    <w:rPr>
      <w:rFonts w:eastAsia="Times New Roman"/>
    </w:rPr>
  </w:style>
  <w:style w:type="character" w:customStyle="1" w:styleId="HeaderChar">
    <w:name w:val="Header Char"/>
    <w:basedOn w:val="DefaultParagraphFont"/>
    <w:link w:val="Header"/>
    <w:rsid w:val="008F53D4"/>
    <w:rPr>
      <w:rFonts w:eastAsia="Times New Roman"/>
      <w:sz w:val="24"/>
      <w:szCs w:val="24"/>
    </w:rPr>
  </w:style>
  <w:style w:type="paragraph" w:styleId="Footer">
    <w:name w:val="footer"/>
    <w:basedOn w:val="Normal"/>
    <w:link w:val="FooterChar"/>
    <w:rsid w:val="008F53D4"/>
    <w:pPr>
      <w:tabs>
        <w:tab w:val="center" w:pos="4320"/>
        <w:tab w:val="right" w:pos="8640"/>
      </w:tabs>
    </w:pPr>
    <w:rPr>
      <w:rFonts w:eastAsia="Times New Roman"/>
    </w:rPr>
  </w:style>
  <w:style w:type="character" w:customStyle="1" w:styleId="FooterChar">
    <w:name w:val="Footer Char"/>
    <w:basedOn w:val="DefaultParagraphFont"/>
    <w:link w:val="Footer"/>
    <w:rsid w:val="008F53D4"/>
    <w:rPr>
      <w:rFonts w:eastAsia="Times New Roman"/>
      <w:sz w:val="24"/>
      <w:szCs w:val="24"/>
    </w:rPr>
  </w:style>
  <w:style w:type="character" w:styleId="PageNumber">
    <w:name w:val="page number"/>
    <w:basedOn w:val="DefaultParagraphFont"/>
    <w:rsid w:val="008F53D4"/>
  </w:style>
  <w:style w:type="character" w:styleId="Hyperlink">
    <w:name w:val="Hyperlink"/>
    <w:basedOn w:val="DefaultParagraphFont"/>
    <w:rsid w:val="008F53D4"/>
    <w:rPr>
      <w:color w:val="0000FF"/>
      <w:u w:val="single"/>
    </w:rPr>
  </w:style>
  <w:style w:type="character" w:styleId="FollowedHyperlink">
    <w:name w:val="FollowedHyperlink"/>
    <w:basedOn w:val="DefaultParagraphFont"/>
    <w:rsid w:val="008F53D4"/>
    <w:rPr>
      <w:color w:val="800080"/>
      <w:u w:val="single"/>
    </w:rPr>
  </w:style>
  <w:style w:type="paragraph" w:styleId="NormalWeb">
    <w:name w:val="Normal (Web)"/>
    <w:basedOn w:val="Normal"/>
    <w:rsid w:val="008F53D4"/>
    <w:pPr>
      <w:spacing w:before="100" w:beforeAutospacing="1" w:after="100" w:afterAutospacing="1"/>
    </w:pPr>
    <w:rPr>
      <w:rFonts w:eastAsia="Times New Roman"/>
    </w:rPr>
  </w:style>
  <w:style w:type="paragraph" w:styleId="BalloonText">
    <w:name w:val="Balloon Text"/>
    <w:basedOn w:val="Normal"/>
    <w:link w:val="BalloonTextChar"/>
    <w:rsid w:val="002C27C2"/>
    <w:rPr>
      <w:rFonts w:ascii="Tahoma" w:hAnsi="Tahoma" w:cs="Tahoma"/>
      <w:sz w:val="16"/>
      <w:szCs w:val="16"/>
    </w:rPr>
  </w:style>
  <w:style w:type="numbering" w:customStyle="1" w:styleId="Style1">
    <w:name w:val="Style1"/>
    <w:basedOn w:val="NoList"/>
    <w:rsid w:val="008F53D4"/>
    <w:pPr>
      <w:numPr>
        <w:numId w:val="1"/>
      </w:numPr>
    </w:pPr>
  </w:style>
  <w:style w:type="paragraph" w:customStyle="1" w:styleId="Jim1">
    <w:name w:val="Jim 1"/>
    <w:basedOn w:val="Normal"/>
    <w:qFormat/>
    <w:rsid w:val="008F53D4"/>
    <w:pPr>
      <w:numPr>
        <w:numId w:val="4"/>
      </w:numPr>
    </w:pPr>
    <w:rPr>
      <w:rFonts w:eastAsia="Times New Roman"/>
      <w:b/>
    </w:rPr>
  </w:style>
  <w:style w:type="character" w:customStyle="1" w:styleId="BalloonTextChar">
    <w:name w:val="Balloon Text Char"/>
    <w:basedOn w:val="DefaultParagraphFont"/>
    <w:link w:val="BalloonText"/>
    <w:rsid w:val="002C27C2"/>
    <w:rPr>
      <w:rFonts w:ascii="Tahoma" w:hAnsi="Tahoma" w:cs="Tahoma"/>
      <w:sz w:val="16"/>
      <w:szCs w:val="16"/>
    </w:rPr>
  </w:style>
  <w:style w:type="paragraph" w:styleId="ListParagraph">
    <w:name w:val="List Paragraph"/>
    <w:basedOn w:val="Normal"/>
    <w:uiPriority w:val="34"/>
    <w:qFormat/>
    <w:rsid w:val="00702FA4"/>
    <w:pPr>
      <w:ind w:left="720"/>
      <w:contextualSpacing/>
    </w:pPr>
  </w:style>
  <w:style w:type="character" w:styleId="CommentReference">
    <w:name w:val="annotation reference"/>
    <w:basedOn w:val="DefaultParagraphFont"/>
    <w:rsid w:val="00B14A40"/>
    <w:rPr>
      <w:sz w:val="16"/>
      <w:szCs w:val="16"/>
    </w:rPr>
  </w:style>
  <w:style w:type="paragraph" w:styleId="CommentText">
    <w:name w:val="annotation text"/>
    <w:basedOn w:val="Normal"/>
    <w:link w:val="CommentTextChar"/>
    <w:rsid w:val="00B14A40"/>
    <w:rPr>
      <w:sz w:val="20"/>
      <w:szCs w:val="20"/>
    </w:rPr>
  </w:style>
  <w:style w:type="character" w:customStyle="1" w:styleId="CommentTextChar">
    <w:name w:val="Comment Text Char"/>
    <w:basedOn w:val="DefaultParagraphFont"/>
    <w:link w:val="CommentText"/>
    <w:rsid w:val="00B14A40"/>
    <w:rPr>
      <w:sz w:val="20"/>
      <w:szCs w:val="20"/>
    </w:rPr>
  </w:style>
  <w:style w:type="paragraph" w:styleId="CommentSubject">
    <w:name w:val="annotation subject"/>
    <w:basedOn w:val="CommentText"/>
    <w:next w:val="CommentText"/>
    <w:link w:val="CommentSubjectChar"/>
    <w:rsid w:val="00B14A40"/>
    <w:rPr>
      <w:b/>
      <w:bCs/>
    </w:rPr>
  </w:style>
  <w:style w:type="character" w:customStyle="1" w:styleId="CommentSubjectChar">
    <w:name w:val="Comment Subject Char"/>
    <w:basedOn w:val="CommentTextChar"/>
    <w:link w:val="CommentSubject"/>
    <w:rsid w:val="00B14A40"/>
    <w:rPr>
      <w:b/>
      <w:bCs/>
      <w:sz w:val="20"/>
      <w:szCs w:val="20"/>
    </w:rPr>
  </w:style>
  <w:style w:type="paragraph" w:customStyle="1" w:styleId="FindingsConclusions">
    <w:name w:val="Findings &amp; Conclusions"/>
    <w:basedOn w:val="Normal"/>
    <w:autoRedefine/>
    <w:rsid w:val="00DF5B4E"/>
    <w:pPr>
      <w:numPr>
        <w:numId w:val="14"/>
      </w:numPr>
      <w:spacing w:line="288" w:lineRule="auto"/>
    </w:pPr>
    <w:rPr>
      <w:rFonts w:eastAsia="Times New Roman"/>
    </w:rPr>
  </w:style>
  <w:style w:type="paragraph" w:styleId="Revision">
    <w:name w:val="Revision"/>
    <w:hidden/>
    <w:uiPriority w:val="99"/>
    <w:semiHidden/>
    <w:rsid w:val="00256E98"/>
  </w:style>
  <w:style w:type="paragraph" w:styleId="FootnoteText">
    <w:name w:val="footnote text"/>
    <w:basedOn w:val="Normal"/>
    <w:link w:val="FootnoteTextChar"/>
    <w:rsid w:val="006C0733"/>
    <w:rPr>
      <w:sz w:val="20"/>
      <w:szCs w:val="20"/>
    </w:rPr>
  </w:style>
  <w:style w:type="character" w:customStyle="1" w:styleId="FootnoteTextChar">
    <w:name w:val="Footnote Text Char"/>
    <w:basedOn w:val="DefaultParagraphFont"/>
    <w:link w:val="FootnoteText"/>
    <w:rsid w:val="006C0733"/>
    <w:rPr>
      <w:sz w:val="20"/>
      <w:szCs w:val="20"/>
    </w:rPr>
  </w:style>
  <w:style w:type="character" w:styleId="FootnoteReference">
    <w:name w:val="footnote reference"/>
    <w:basedOn w:val="DefaultParagraphFont"/>
    <w:rsid w:val="006C07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page number" w:semiHidden="1" w:unhideWhenUsed="1"/>
    <w:lsdException w:name="Title" w:qFormat="1"/>
    <w:lsdException w:name="Default Paragraph Font" w:semiHidden="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3D4"/>
  </w:style>
  <w:style w:type="paragraph" w:styleId="Heading1">
    <w:name w:val="heading 1"/>
    <w:basedOn w:val="Normal"/>
    <w:next w:val="Normal"/>
    <w:link w:val="Heading1Char"/>
    <w:qFormat/>
    <w:rsid w:val="008F53D4"/>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3D4"/>
  </w:style>
  <w:style w:type="character" w:customStyle="1" w:styleId="Heading1Char">
    <w:name w:val="Heading 1 Char"/>
    <w:basedOn w:val="DefaultParagraphFont"/>
    <w:link w:val="Heading1"/>
    <w:rsid w:val="008F53D4"/>
    <w:rPr>
      <w:rFonts w:asciiTheme="majorHAnsi" w:eastAsiaTheme="majorEastAsia" w:hAnsiTheme="majorHAnsi" w:cstheme="majorBidi"/>
      <w:b/>
      <w:bCs/>
      <w:kern w:val="32"/>
      <w:sz w:val="32"/>
      <w:szCs w:val="32"/>
    </w:rPr>
  </w:style>
  <w:style w:type="paragraph" w:styleId="Header">
    <w:name w:val="header"/>
    <w:basedOn w:val="Normal"/>
    <w:link w:val="HeaderChar"/>
    <w:rsid w:val="008F53D4"/>
    <w:pPr>
      <w:tabs>
        <w:tab w:val="center" w:pos="4320"/>
        <w:tab w:val="right" w:pos="8640"/>
      </w:tabs>
    </w:pPr>
    <w:rPr>
      <w:rFonts w:eastAsia="Times New Roman"/>
    </w:rPr>
  </w:style>
  <w:style w:type="character" w:customStyle="1" w:styleId="HeaderChar">
    <w:name w:val="Header Char"/>
    <w:basedOn w:val="DefaultParagraphFont"/>
    <w:link w:val="Header"/>
    <w:rsid w:val="008F53D4"/>
    <w:rPr>
      <w:rFonts w:eastAsia="Times New Roman"/>
      <w:sz w:val="24"/>
      <w:szCs w:val="24"/>
    </w:rPr>
  </w:style>
  <w:style w:type="paragraph" w:styleId="Footer">
    <w:name w:val="footer"/>
    <w:basedOn w:val="Normal"/>
    <w:link w:val="FooterChar"/>
    <w:rsid w:val="008F53D4"/>
    <w:pPr>
      <w:tabs>
        <w:tab w:val="center" w:pos="4320"/>
        <w:tab w:val="right" w:pos="8640"/>
      </w:tabs>
    </w:pPr>
    <w:rPr>
      <w:rFonts w:eastAsia="Times New Roman"/>
    </w:rPr>
  </w:style>
  <w:style w:type="character" w:customStyle="1" w:styleId="FooterChar">
    <w:name w:val="Footer Char"/>
    <w:basedOn w:val="DefaultParagraphFont"/>
    <w:link w:val="Footer"/>
    <w:rsid w:val="008F53D4"/>
    <w:rPr>
      <w:rFonts w:eastAsia="Times New Roman"/>
      <w:sz w:val="24"/>
      <w:szCs w:val="24"/>
    </w:rPr>
  </w:style>
  <w:style w:type="character" w:styleId="PageNumber">
    <w:name w:val="page number"/>
    <w:basedOn w:val="DefaultParagraphFont"/>
    <w:rsid w:val="008F53D4"/>
  </w:style>
  <w:style w:type="character" w:styleId="Hyperlink">
    <w:name w:val="Hyperlink"/>
    <w:basedOn w:val="DefaultParagraphFont"/>
    <w:rsid w:val="008F53D4"/>
    <w:rPr>
      <w:color w:val="0000FF"/>
      <w:u w:val="single"/>
    </w:rPr>
  </w:style>
  <w:style w:type="character" w:styleId="FollowedHyperlink">
    <w:name w:val="FollowedHyperlink"/>
    <w:basedOn w:val="DefaultParagraphFont"/>
    <w:rsid w:val="008F53D4"/>
    <w:rPr>
      <w:color w:val="800080"/>
      <w:u w:val="single"/>
    </w:rPr>
  </w:style>
  <w:style w:type="paragraph" w:styleId="NormalWeb">
    <w:name w:val="Normal (Web)"/>
    <w:basedOn w:val="Normal"/>
    <w:rsid w:val="008F53D4"/>
    <w:pPr>
      <w:spacing w:before="100" w:beforeAutospacing="1" w:after="100" w:afterAutospacing="1"/>
    </w:pPr>
    <w:rPr>
      <w:rFonts w:eastAsia="Times New Roman"/>
    </w:rPr>
  </w:style>
  <w:style w:type="paragraph" w:styleId="BalloonText">
    <w:name w:val="Balloon Text"/>
    <w:basedOn w:val="Normal"/>
    <w:link w:val="BalloonTextChar"/>
    <w:rsid w:val="002C27C2"/>
    <w:rPr>
      <w:rFonts w:ascii="Tahoma" w:hAnsi="Tahoma" w:cs="Tahoma"/>
      <w:sz w:val="16"/>
      <w:szCs w:val="16"/>
    </w:rPr>
  </w:style>
  <w:style w:type="numbering" w:customStyle="1" w:styleId="Style1">
    <w:name w:val="Style1"/>
    <w:basedOn w:val="NoList"/>
    <w:rsid w:val="008F53D4"/>
    <w:pPr>
      <w:numPr>
        <w:numId w:val="1"/>
      </w:numPr>
    </w:pPr>
  </w:style>
  <w:style w:type="paragraph" w:customStyle="1" w:styleId="Jim1">
    <w:name w:val="Jim 1"/>
    <w:basedOn w:val="Normal"/>
    <w:qFormat/>
    <w:rsid w:val="008F53D4"/>
    <w:pPr>
      <w:numPr>
        <w:numId w:val="4"/>
      </w:numPr>
    </w:pPr>
    <w:rPr>
      <w:rFonts w:eastAsia="Times New Roman"/>
      <w:b/>
    </w:rPr>
  </w:style>
  <w:style w:type="character" w:customStyle="1" w:styleId="BalloonTextChar">
    <w:name w:val="Balloon Text Char"/>
    <w:basedOn w:val="DefaultParagraphFont"/>
    <w:link w:val="BalloonText"/>
    <w:rsid w:val="002C27C2"/>
    <w:rPr>
      <w:rFonts w:ascii="Tahoma" w:hAnsi="Tahoma" w:cs="Tahoma"/>
      <w:sz w:val="16"/>
      <w:szCs w:val="16"/>
    </w:rPr>
  </w:style>
  <w:style w:type="paragraph" w:styleId="ListParagraph">
    <w:name w:val="List Paragraph"/>
    <w:basedOn w:val="Normal"/>
    <w:uiPriority w:val="34"/>
    <w:qFormat/>
    <w:rsid w:val="00702FA4"/>
    <w:pPr>
      <w:ind w:left="720"/>
      <w:contextualSpacing/>
    </w:pPr>
  </w:style>
  <w:style w:type="character" w:styleId="CommentReference">
    <w:name w:val="annotation reference"/>
    <w:basedOn w:val="DefaultParagraphFont"/>
    <w:rsid w:val="00B14A40"/>
    <w:rPr>
      <w:sz w:val="16"/>
      <w:szCs w:val="16"/>
    </w:rPr>
  </w:style>
  <w:style w:type="paragraph" w:styleId="CommentText">
    <w:name w:val="annotation text"/>
    <w:basedOn w:val="Normal"/>
    <w:link w:val="CommentTextChar"/>
    <w:rsid w:val="00B14A40"/>
    <w:rPr>
      <w:sz w:val="20"/>
      <w:szCs w:val="20"/>
    </w:rPr>
  </w:style>
  <w:style w:type="character" w:customStyle="1" w:styleId="CommentTextChar">
    <w:name w:val="Comment Text Char"/>
    <w:basedOn w:val="DefaultParagraphFont"/>
    <w:link w:val="CommentText"/>
    <w:rsid w:val="00B14A40"/>
    <w:rPr>
      <w:sz w:val="20"/>
      <w:szCs w:val="20"/>
    </w:rPr>
  </w:style>
  <w:style w:type="paragraph" w:styleId="CommentSubject">
    <w:name w:val="annotation subject"/>
    <w:basedOn w:val="CommentText"/>
    <w:next w:val="CommentText"/>
    <w:link w:val="CommentSubjectChar"/>
    <w:rsid w:val="00B14A40"/>
    <w:rPr>
      <w:b/>
      <w:bCs/>
    </w:rPr>
  </w:style>
  <w:style w:type="character" w:customStyle="1" w:styleId="CommentSubjectChar">
    <w:name w:val="Comment Subject Char"/>
    <w:basedOn w:val="CommentTextChar"/>
    <w:link w:val="CommentSubject"/>
    <w:rsid w:val="00B14A40"/>
    <w:rPr>
      <w:b/>
      <w:bCs/>
      <w:sz w:val="20"/>
      <w:szCs w:val="20"/>
    </w:rPr>
  </w:style>
  <w:style w:type="paragraph" w:customStyle="1" w:styleId="FindingsConclusions">
    <w:name w:val="Findings &amp; Conclusions"/>
    <w:basedOn w:val="Normal"/>
    <w:autoRedefine/>
    <w:rsid w:val="00DF5B4E"/>
    <w:pPr>
      <w:numPr>
        <w:numId w:val="14"/>
      </w:numPr>
      <w:spacing w:line="288" w:lineRule="auto"/>
    </w:pPr>
    <w:rPr>
      <w:rFonts w:eastAsia="Times New Roman"/>
    </w:rPr>
  </w:style>
  <w:style w:type="paragraph" w:styleId="Revision">
    <w:name w:val="Revision"/>
    <w:hidden/>
    <w:uiPriority w:val="99"/>
    <w:semiHidden/>
    <w:rsid w:val="00256E98"/>
  </w:style>
  <w:style w:type="paragraph" w:styleId="FootnoteText">
    <w:name w:val="footnote text"/>
    <w:basedOn w:val="Normal"/>
    <w:link w:val="FootnoteTextChar"/>
    <w:rsid w:val="006C0733"/>
    <w:rPr>
      <w:sz w:val="20"/>
      <w:szCs w:val="20"/>
    </w:rPr>
  </w:style>
  <w:style w:type="character" w:customStyle="1" w:styleId="FootnoteTextChar">
    <w:name w:val="Footnote Text Char"/>
    <w:basedOn w:val="DefaultParagraphFont"/>
    <w:link w:val="FootnoteText"/>
    <w:rsid w:val="006C0733"/>
    <w:rPr>
      <w:sz w:val="20"/>
      <w:szCs w:val="20"/>
    </w:rPr>
  </w:style>
  <w:style w:type="character" w:styleId="FootnoteReference">
    <w:name w:val="footnote reference"/>
    <w:basedOn w:val="DefaultParagraphFont"/>
    <w:rsid w:val="006C07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7869">
      <w:bodyDiv w:val="1"/>
      <w:marLeft w:val="0"/>
      <w:marRight w:val="0"/>
      <w:marTop w:val="0"/>
      <w:marBottom w:val="0"/>
      <w:divBdr>
        <w:top w:val="none" w:sz="0" w:space="0" w:color="auto"/>
        <w:left w:val="none" w:sz="0" w:space="0" w:color="auto"/>
        <w:bottom w:val="none" w:sz="0" w:space="0" w:color="auto"/>
        <w:right w:val="none" w:sz="0" w:space="0" w:color="auto"/>
      </w:divBdr>
    </w:div>
    <w:div w:id="143840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2013-04-12T07:00:00+00:00</OpenedDate>
    <Date1 xmlns="dc463f71-b30c-4ab2-9473-d307f9d35888">2013-05-30T07:00:00+00:00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130522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20A002DBF0A67448399F9166C84F8F1" ma:contentTypeVersion="135" ma:contentTypeDescription="" ma:contentTypeScope="" ma:versionID="2c7f39d3987ef12a5c641636019550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080837-DEBC-4B17-BE62-921B199C6DFD}"/>
</file>

<file path=customXml/itemProps2.xml><?xml version="1.0" encoding="utf-8"?>
<ds:datastoreItem xmlns:ds="http://schemas.openxmlformats.org/officeDocument/2006/customXml" ds:itemID="{9B0F7564-D3BE-483F-8B80-89E25726F6ED}"/>
</file>

<file path=customXml/itemProps3.xml><?xml version="1.0" encoding="utf-8"?>
<ds:datastoreItem xmlns:ds="http://schemas.openxmlformats.org/officeDocument/2006/customXml" ds:itemID="{EB592543-236F-4BC0-ACC1-9E4D49EC36D5}"/>
</file>

<file path=customXml/itemProps4.xml><?xml version="1.0" encoding="utf-8"?>
<ds:datastoreItem xmlns:ds="http://schemas.openxmlformats.org/officeDocument/2006/customXml" ds:itemID="{4DE88854-87A1-433A-A451-4AC35773F8D8}"/>
</file>

<file path=customXml/itemProps5.xml><?xml version="1.0" encoding="utf-8"?>
<ds:datastoreItem xmlns:ds="http://schemas.openxmlformats.org/officeDocument/2006/customXml" ds:itemID="{9A4AB2D9-BBDB-477C-B0C4-16A784734C33}"/>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UW-130522 Memo 01 Revised General rates</vt:lpstr>
    </vt:vector>
  </TitlesOfParts>
  <Company>Washington Utilities and Transportation Commission</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UW-130522 Memo 01 Revised General rates</dc:title>
  <dc:creator>JWard</dc:creator>
  <cp:lastModifiedBy>Joni Higgins</cp:lastModifiedBy>
  <cp:revision>2</cp:revision>
  <cp:lastPrinted>2013-05-16T18:38:00Z</cp:lastPrinted>
  <dcterms:created xsi:type="dcterms:W3CDTF">2013-05-24T22:36:00Z</dcterms:created>
  <dcterms:modified xsi:type="dcterms:W3CDTF">2013-05-24T22:36:00Z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0x0101006E56B4D1795A2E4DB2F0B01679ED314A00020A002DBF0A67448399F9166C84F8F1</vt:lpwstr>
  </property>
  <property fmtid="{D5CDD505-2E9C-101B-9397-08002B2CF9AE}" pid="3" name="_docset_NoMedatataSyncRequired">
    <vt:lpwstr>False</vt:lpwstr>
  </property>
</Properties>
</file>