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82481" w14:textId="77777777" w:rsidR="002C705E" w:rsidRPr="002D45DD" w:rsidRDefault="00CD302C">
      <w:pPr>
        <w:pStyle w:val="Heading4"/>
      </w:pPr>
      <w:bookmarkStart w:id="0" w:name="_GoBack"/>
      <w:bookmarkEnd w:id="0"/>
      <w:r w:rsidRPr="002D45DD">
        <w:t>Agenda Date:</w:t>
      </w:r>
      <w:r w:rsidRPr="002D45DD">
        <w:tab/>
      </w:r>
      <w:r w:rsidRPr="002D45DD">
        <w:tab/>
      </w:r>
      <w:r w:rsidR="004B0CDD">
        <w:t>October 2</w:t>
      </w:r>
      <w:r w:rsidR="00882F39">
        <w:t>7</w:t>
      </w:r>
      <w:r w:rsidRPr="002D45DD">
        <w:t>, 20</w:t>
      </w:r>
      <w:r w:rsidR="00DF4366">
        <w:t>1</w:t>
      </w:r>
      <w:r w:rsidR="00882F39">
        <w:t>1</w:t>
      </w:r>
    </w:p>
    <w:p w14:paraId="30282482" w14:textId="77777777" w:rsidR="002C705E" w:rsidRPr="002D45DD" w:rsidRDefault="002C705E">
      <w:pPr>
        <w:pStyle w:val="Heading4"/>
        <w:rPr>
          <w:b/>
        </w:rPr>
      </w:pPr>
      <w:r w:rsidRPr="002D45DD">
        <w:t>Item Number:</w:t>
      </w:r>
      <w:r w:rsidRPr="002D45DD">
        <w:tab/>
      </w:r>
      <w:r w:rsidRPr="002D45DD">
        <w:tab/>
      </w:r>
      <w:r w:rsidR="00553DAB">
        <w:t>A</w:t>
      </w:r>
      <w:r w:rsidR="00F36293">
        <w:t>2</w:t>
      </w:r>
    </w:p>
    <w:p w14:paraId="30282483" w14:textId="77777777" w:rsidR="002C705E" w:rsidRPr="002D45DD" w:rsidRDefault="002C705E">
      <w:pPr>
        <w:rPr>
          <w:sz w:val="24"/>
        </w:rPr>
      </w:pPr>
    </w:p>
    <w:p w14:paraId="30282484" w14:textId="77777777" w:rsidR="00CD302C" w:rsidRPr="002D45DD" w:rsidRDefault="00B22FF4">
      <w:pPr>
        <w:tabs>
          <w:tab w:val="left" w:pos="-1440"/>
        </w:tabs>
        <w:ind w:left="1440" w:hanging="1440"/>
        <w:rPr>
          <w:b/>
          <w:sz w:val="24"/>
        </w:rPr>
      </w:pPr>
      <w:r>
        <w:rPr>
          <w:b/>
          <w:sz w:val="24"/>
        </w:rPr>
        <w:t>Docket: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2C705E" w:rsidRPr="002D45DD">
        <w:rPr>
          <w:b/>
          <w:sz w:val="24"/>
        </w:rPr>
        <w:t>UG-</w:t>
      </w:r>
      <w:r w:rsidR="00DF4366">
        <w:rPr>
          <w:b/>
          <w:sz w:val="24"/>
        </w:rPr>
        <w:t>1</w:t>
      </w:r>
      <w:r w:rsidR="002C57FF">
        <w:rPr>
          <w:b/>
          <w:sz w:val="24"/>
        </w:rPr>
        <w:t>115</w:t>
      </w:r>
      <w:r w:rsidR="00DF4366">
        <w:rPr>
          <w:b/>
          <w:sz w:val="24"/>
        </w:rPr>
        <w:t>87</w:t>
      </w:r>
    </w:p>
    <w:p w14:paraId="30282485" w14:textId="77777777" w:rsidR="002C705E" w:rsidRDefault="002C705E" w:rsidP="002D45DD">
      <w:pPr>
        <w:tabs>
          <w:tab w:val="left" w:pos="-1440"/>
        </w:tabs>
        <w:rPr>
          <w:sz w:val="24"/>
        </w:rPr>
      </w:pPr>
      <w:r w:rsidRPr="002D45DD">
        <w:rPr>
          <w:sz w:val="24"/>
        </w:rPr>
        <w:t>Company:</w:t>
      </w:r>
      <w:r w:rsidRPr="002D45DD">
        <w:rPr>
          <w:sz w:val="24"/>
        </w:rPr>
        <w:tab/>
      </w:r>
      <w:r w:rsidRPr="002D45DD">
        <w:rPr>
          <w:sz w:val="24"/>
        </w:rPr>
        <w:tab/>
        <w:t>Northwest Natural Gas Company</w:t>
      </w:r>
    </w:p>
    <w:p w14:paraId="30282486" w14:textId="77777777" w:rsidR="00B34F76" w:rsidRPr="002D45DD" w:rsidRDefault="00B34F76" w:rsidP="002D45DD">
      <w:pPr>
        <w:tabs>
          <w:tab w:val="left" w:pos="-1440"/>
        </w:tabs>
        <w:rPr>
          <w:sz w:val="24"/>
        </w:rPr>
      </w:pPr>
    </w:p>
    <w:p w14:paraId="30282487" w14:textId="77777777" w:rsidR="00882F39" w:rsidRDefault="00882F39">
      <w:pPr>
        <w:tabs>
          <w:tab w:val="left" w:pos="-1440"/>
        </w:tabs>
        <w:ind w:left="1440" w:hanging="1440"/>
        <w:rPr>
          <w:sz w:val="24"/>
        </w:rPr>
      </w:pPr>
      <w:r w:rsidRPr="002C57FF">
        <w:rPr>
          <w:sz w:val="24"/>
          <w:u w:val="single"/>
        </w:rPr>
        <w:t>Staff:</w:t>
      </w:r>
      <w:r>
        <w:rPr>
          <w:sz w:val="24"/>
        </w:rPr>
        <w:tab/>
      </w:r>
      <w:r>
        <w:rPr>
          <w:sz w:val="24"/>
        </w:rPr>
        <w:tab/>
        <w:t>Christopher Mickelson, Regulatory Analyst</w:t>
      </w:r>
    </w:p>
    <w:p w14:paraId="30282488" w14:textId="77777777" w:rsidR="002C705E" w:rsidRDefault="00882F39">
      <w:pPr>
        <w:tabs>
          <w:tab w:val="left" w:pos="-1440"/>
        </w:tabs>
        <w:ind w:left="1440" w:hanging="14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2C705E" w:rsidRPr="002D45DD">
        <w:rPr>
          <w:sz w:val="24"/>
        </w:rPr>
        <w:t>Joanna Huang, Regulatory Analyst</w:t>
      </w:r>
    </w:p>
    <w:p w14:paraId="30282489" w14:textId="77777777" w:rsidR="00E23DC3" w:rsidRPr="002D45DD" w:rsidRDefault="00E23DC3">
      <w:pPr>
        <w:tabs>
          <w:tab w:val="left" w:pos="-1440"/>
        </w:tabs>
        <w:ind w:left="1440" w:hanging="14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E23DC3">
        <w:rPr>
          <w:sz w:val="24"/>
        </w:rPr>
        <w:t xml:space="preserve">Roger Kouchi, </w:t>
      </w:r>
      <w:r>
        <w:rPr>
          <w:sz w:val="24"/>
        </w:rPr>
        <w:t>Consumer Protection</w:t>
      </w:r>
    </w:p>
    <w:p w14:paraId="3028248A" w14:textId="77777777" w:rsidR="002C705E" w:rsidRPr="002D45DD" w:rsidRDefault="002C705E">
      <w:pPr>
        <w:pStyle w:val="Heading4"/>
      </w:pPr>
      <w:r w:rsidRPr="002D45DD">
        <w:tab/>
      </w:r>
      <w:r w:rsidRPr="002D45DD">
        <w:tab/>
      </w:r>
      <w:r w:rsidRPr="002D45DD">
        <w:tab/>
      </w:r>
      <w:r w:rsidRPr="002D45DD">
        <w:tab/>
      </w:r>
    </w:p>
    <w:p w14:paraId="3028248B" w14:textId="77777777" w:rsidR="002C705E" w:rsidRPr="002D45DD" w:rsidRDefault="002C705E">
      <w:pPr>
        <w:pStyle w:val="Heading1"/>
        <w:ind w:left="0" w:firstLine="0"/>
      </w:pPr>
      <w:r w:rsidRPr="002D45DD">
        <w:rPr>
          <w:b/>
          <w:u w:val="single"/>
        </w:rPr>
        <w:t>Recommendation</w:t>
      </w:r>
    </w:p>
    <w:p w14:paraId="3028248C" w14:textId="77777777" w:rsidR="002C705E" w:rsidRPr="002D45DD" w:rsidRDefault="002C705E">
      <w:pPr>
        <w:rPr>
          <w:sz w:val="24"/>
        </w:rPr>
      </w:pPr>
    </w:p>
    <w:p w14:paraId="0FBDE6CA" w14:textId="77777777" w:rsidR="00B140DC" w:rsidRDefault="00EF0B07">
      <w:pPr>
        <w:pStyle w:val="BodyText"/>
      </w:pPr>
      <w:r>
        <w:t>Take no action, a</w:t>
      </w:r>
      <w:r w:rsidR="00B12E05" w:rsidRPr="002D45DD">
        <w:t>llow</w:t>
      </w:r>
      <w:r>
        <w:t>ing</w:t>
      </w:r>
      <w:r w:rsidR="00B12E05" w:rsidRPr="002D45DD">
        <w:t xml:space="preserve"> the </w:t>
      </w:r>
      <w:r w:rsidR="00146B0C">
        <w:t xml:space="preserve">revised </w:t>
      </w:r>
      <w:r w:rsidR="002C57FF">
        <w:t>rates</w:t>
      </w:r>
      <w:r w:rsidR="00B12E05" w:rsidRPr="002D45DD">
        <w:t xml:space="preserve"> fil</w:t>
      </w:r>
      <w:r w:rsidR="00DD711D">
        <w:t>ed</w:t>
      </w:r>
      <w:r w:rsidR="00AF398D">
        <w:t xml:space="preserve"> </w:t>
      </w:r>
      <w:r w:rsidR="002D45DD">
        <w:t>by N</w:t>
      </w:r>
      <w:r w:rsidR="00253DDD">
        <w:t>orthwest</w:t>
      </w:r>
      <w:r w:rsidR="002D45DD">
        <w:t xml:space="preserve"> Natural</w:t>
      </w:r>
      <w:r w:rsidR="00B12E05" w:rsidRPr="002D45DD">
        <w:t xml:space="preserve"> </w:t>
      </w:r>
      <w:r w:rsidR="00781BA2">
        <w:t xml:space="preserve">Gas Company </w:t>
      </w:r>
      <w:r w:rsidR="00146B0C">
        <w:t xml:space="preserve">on </w:t>
      </w:r>
    </w:p>
    <w:p w14:paraId="3028248D" w14:textId="232DE27A" w:rsidR="002C705E" w:rsidRPr="002D45DD" w:rsidRDefault="00146B0C">
      <w:pPr>
        <w:pStyle w:val="BodyText"/>
      </w:pPr>
      <w:r>
        <w:t>October 1</w:t>
      </w:r>
      <w:r w:rsidR="0034649A">
        <w:t>7</w:t>
      </w:r>
      <w:r>
        <w:t>, 201</w:t>
      </w:r>
      <w:r w:rsidR="002C57FF">
        <w:t>1</w:t>
      </w:r>
      <w:r w:rsidR="008E54F1">
        <w:t>, and October 19, 2011</w:t>
      </w:r>
      <w:r>
        <w:t xml:space="preserve">, </w:t>
      </w:r>
      <w:r w:rsidR="00B12E05" w:rsidRPr="002D45DD">
        <w:t>to become effective November 1, 20</w:t>
      </w:r>
      <w:r w:rsidR="00DF4366">
        <w:t>1</w:t>
      </w:r>
      <w:r w:rsidR="002C57FF">
        <w:t>1</w:t>
      </w:r>
      <w:r w:rsidR="0068606E">
        <w:t>,</w:t>
      </w:r>
      <w:r w:rsidR="00DD711D">
        <w:t xml:space="preserve"> by operation of law.</w:t>
      </w:r>
    </w:p>
    <w:p w14:paraId="3028248E" w14:textId="77777777" w:rsidR="002C705E" w:rsidRPr="002D45DD" w:rsidRDefault="002C705E">
      <w:pPr>
        <w:pStyle w:val="BodyText"/>
      </w:pPr>
    </w:p>
    <w:p w14:paraId="3028248F" w14:textId="77777777" w:rsidR="002C705E" w:rsidRPr="002D45DD" w:rsidRDefault="002C57FF">
      <w:pPr>
        <w:rPr>
          <w:b/>
          <w:sz w:val="24"/>
        </w:rPr>
      </w:pPr>
      <w:r>
        <w:rPr>
          <w:b/>
          <w:sz w:val="24"/>
          <w:u w:val="single"/>
        </w:rPr>
        <w:t>Discussion</w:t>
      </w:r>
    </w:p>
    <w:p w14:paraId="30282490" w14:textId="77777777" w:rsidR="002C705E" w:rsidRPr="002D45DD" w:rsidRDefault="002C705E">
      <w:pPr>
        <w:rPr>
          <w:sz w:val="24"/>
        </w:rPr>
      </w:pPr>
    </w:p>
    <w:p w14:paraId="30282491" w14:textId="52336F2E" w:rsidR="006026F0" w:rsidRDefault="00CD302C" w:rsidP="006026F0">
      <w:pPr>
        <w:rPr>
          <w:sz w:val="24"/>
        </w:rPr>
      </w:pPr>
      <w:r w:rsidRPr="00206318">
        <w:rPr>
          <w:sz w:val="24"/>
        </w:rPr>
        <w:t xml:space="preserve">On </w:t>
      </w:r>
      <w:r w:rsidR="002C59D9">
        <w:rPr>
          <w:sz w:val="24"/>
        </w:rPr>
        <w:t>September 1</w:t>
      </w:r>
      <w:r w:rsidRPr="00206318">
        <w:rPr>
          <w:sz w:val="24"/>
        </w:rPr>
        <w:t>, 20</w:t>
      </w:r>
      <w:r w:rsidR="00DF4366">
        <w:rPr>
          <w:sz w:val="24"/>
        </w:rPr>
        <w:t>1</w:t>
      </w:r>
      <w:r w:rsidR="002C59D9">
        <w:rPr>
          <w:sz w:val="24"/>
        </w:rPr>
        <w:t>1</w:t>
      </w:r>
      <w:r w:rsidR="002C705E" w:rsidRPr="00206318">
        <w:rPr>
          <w:sz w:val="24"/>
        </w:rPr>
        <w:t xml:space="preserve">, </w:t>
      </w:r>
      <w:r w:rsidR="001A0B56">
        <w:rPr>
          <w:sz w:val="24"/>
        </w:rPr>
        <w:t>Northwest Natural Gas Company (</w:t>
      </w:r>
      <w:r w:rsidR="002C705E" w:rsidRPr="00206318">
        <w:rPr>
          <w:sz w:val="24"/>
        </w:rPr>
        <w:t>N</w:t>
      </w:r>
      <w:r w:rsidR="002D45DD" w:rsidRPr="00206318">
        <w:rPr>
          <w:sz w:val="24"/>
        </w:rPr>
        <w:t>W</w:t>
      </w:r>
      <w:r w:rsidR="002C705E" w:rsidRPr="00206318">
        <w:rPr>
          <w:sz w:val="24"/>
        </w:rPr>
        <w:t xml:space="preserve"> Natural </w:t>
      </w:r>
      <w:r w:rsidR="001A0B56">
        <w:rPr>
          <w:sz w:val="24"/>
        </w:rPr>
        <w:t>or</w:t>
      </w:r>
      <w:r w:rsidR="00AF398D">
        <w:rPr>
          <w:sz w:val="24"/>
        </w:rPr>
        <w:t xml:space="preserve"> </w:t>
      </w:r>
      <w:r w:rsidR="001A0B56">
        <w:rPr>
          <w:sz w:val="24"/>
        </w:rPr>
        <w:t>c</w:t>
      </w:r>
      <w:r w:rsidR="002C705E" w:rsidRPr="00206318">
        <w:rPr>
          <w:sz w:val="24"/>
        </w:rPr>
        <w:t xml:space="preserve">ompany) </w:t>
      </w:r>
      <w:r w:rsidR="00074D93" w:rsidRPr="00206318">
        <w:rPr>
          <w:sz w:val="24"/>
        </w:rPr>
        <w:t>filed</w:t>
      </w:r>
      <w:r w:rsidR="002C705E" w:rsidRPr="00206318">
        <w:rPr>
          <w:sz w:val="24"/>
        </w:rPr>
        <w:t xml:space="preserve"> </w:t>
      </w:r>
      <w:r w:rsidR="002C59D9" w:rsidRPr="00B34AE0">
        <w:rPr>
          <w:sz w:val="24"/>
        </w:rPr>
        <w:t>with the Utilities and Transportation Commission (</w:t>
      </w:r>
      <w:r w:rsidR="002C59D9">
        <w:rPr>
          <w:sz w:val="24"/>
        </w:rPr>
        <w:t>c</w:t>
      </w:r>
      <w:r w:rsidR="002C59D9" w:rsidRPr="00B34AE0">
        <w:rPr>
          <w:sz w:val="24"/>
        </w:rPr>
        <w:t xml:space="preserve">ommission) </w:t>
      </w:r>
      <w:r w:rsidR="0082227B">
        <w:rPr>
          <w:sz w:val="24"/>
        </w:rPr>
        <w:t>tariff revisions</w:t>
      </w:r>
      <w:r w:rsidR="00F85EB2">
        <w:rPr>
          <w:sz w:val="24"/>
        </w:rPr>
        <w:t xml:space="preserve"> for both the company’s </w:t>
      </w:r>
      <w:r w:rsidR="00F85EB2" w:rsidRPr="00206318">
        <w:rPr>
          <w:sz w:val="24"/>
        </w:rPr>
        <w:t xml:space="preserve">Purchased Gas Adjustment (PGA) and Deferred Gas Cost Amortization (Deferral) </w:t>
      </w:r>
      <w:r w:rsidR="00F85EB2">
        <w:rPr>
          <w:sz w:val="24"/>
        </w:rPr>
        <w:t>mechanisms</w:t>
      </w:r>
      <w:r w:rsidR="00963497">
        <w:rPr>
          <w:sz w:val="24"/>
        </w:rPr>
        <w:t xml:space="preserve"> that would decrease </w:t>
      </w:r>
      <w:r w:rsidR="00862A84">
        <w:rPr>
          <w:sz w:val="24"/>
        </w:rPr>
        <w:t xml:space="preserve">annual revenue by </w:t>
      </w:r>
      <w:r w:rsidR="00963497">
        <w:rPr>
          <w:sz w:val="24"/>
        </w:rPr>
        <w:t>approximately $1.3</w:t>
      </w:r>
      <w:r w:rsidR="00C4155A">
        <w:rPr>
          <w:sz w:val="24"/>
        </w:rPr>
        <w:t>1</w:t>
      </w:r>
      <w:r w:rsidR="00963497">
        <w:rPr>
          <w:sz w:val="24"/>
        </w:rPr>
        <w:t xml:space="preserve"> million (1.6 percent).</w:t>
      </w:r>
      <w:r w:rsidR="006026F0">
        <w:rPr>
          <w:sz w:val="24"/>
        </w:rPr>
        <w:t xml:space="preserve"> </w:t>
      </w:r>
      <w:r w:rsidR="00963497" w:rsidRPr="00E23DC3">
        <w:rPr>
          <w:rFonts w:cs="Palatino Linotype"/>
          <w:sz w:val="24"/>
        </w:rPr>
        <w:t>NW Natural serves</w:t>
      </w:r>
      <w:r w:rsidR="00963497">
        <w:rPr>
          <w:rFonts w:cs="Palatino Linotype"/>
          <w:sz w:val="24"/>
        </w:rPr>
        <w:t xml:space="preserve"> approximately </w:t>
      </w:r>
      <w:r w:rsidR="00963497" w:rsidRPr="001271DD">
        <w:rPr>
          <w:sz w:val="24"/>
        </w:rPr>
        <w:t>6</w:t>
      </w:r>
      <w:r w:rsidR="00C54B41">
        <w:rPr>
          <w:sz w:val="24"/>
        </w:rPr>
        <w:t>9</w:t>
      </w:r>
      <w:r w:rsidR="00963497" w:rsidRPr="001271DD">
        <w:rPr>
          <w:sz w:val="24"/>
        </w:rPr>
        <w:t>,</w:t>
      </w:r>
      <w:r w:rsidR="00C54B41">
        <w:rPr>
          <w:sz w:val="24"/>
        </w:rPr>
        <w:t>45</w:t>
      </w:r>
      <w:r w:rsidR="00963497">
        <w:rPr>
          <w:sz w:val="24"/>
        </w:rPr>
        <w:t>0</w:t>
      </w:r>
      <w:r w:rsidR="00963497" w:rsidRPr="001271DD">
        <w:rPr>
          <w:sz w:val="24"/>
        </w:rPr>
        <w:t xml:space="preserve"> residential</w:t>
      </w:r>
      <w:r w:rsidR="00963497">
        <w:rPr>
          <w:sz w:val="24"/>
        </w:rPr>
        <w:t xml:space="preserve"> and </w:t>
      </w:r>
      <w:r w:rsidR="00963497" w:rsidRPr="00E23DC3">
        <w:rPr>
          <w:rFonts w:cs="Palatino Linotype"/>
          <w:sz w:val="24"/>
        </w:rPr>
        <w:t xml:space="preserve">commercial customers in </w:t>
      </w:r>
      <w:r w:rsidR="00963497">
        <w:rPr>
          <w:rFonts w:cs="Palatino Linotype"/>
          <w:sz w:val="24"/>
        </w:rPr>
        <w:t>portions of three counties in Southwest Washington – Clark, Skamania and Klickitat.</w:t>
      </w:r>
      <w:r w:rsidR="00F85EB2">
        <w:rPr>
          <w:rFonts w:cs="Palatino Linotype"/>
          <w:sz w:val="24"/>
        </w:rPr>
        <w:t xml:space="preserve"> </w:t>
      </w:r>
      <w:r w:rsidR="00742A7C">
        <w:rPr>
          <w:sz w:val="24"/>
        </w:rPr>
        <w:t>Operations in Washington equal about 9.9 percent of the com</w:t>
      </w:r>
      <w:r w:rsidR="006026F0">
        <w:rPr>
          <w:sz w:val="24"/>
        </w:rPr>
        <w:t xml:space="preserve">pany’s total </w:t>
      </w:r>
      <w:r w:rsidR="00CC5BED">
        <w:rPr>
          <w:sz w:val="24"/>
        </w:rPr>
        <w:t>system</w:t>
      </w:r>
      <w:r w:rsidR="006026F0">
        <w:rPr>
          <w:sz w:val="24"/>
        </w:rPr>
        <w:t xml:space="preserve"> operations. </w:t>
      </w:r>
      <w:r w:rsidR="00CC5BED">
        <w:rPr>
          <w:sz w:val="24"/>
        </w:rPr>
        <w:t>The proposed</w:t>
      </w:r>
      <w:r w:rsidR="006026F0">
        <w:rPr>
          <w:sz w:val="24"/>
        </w:rPr>
        <w:t xml:space="preserve"> effective date is November 1, 201</w:t>
      </w:r>
      <w:r w:rsidR="000631FB">
        <w:rPr>
          <w:sz w:val="24"/>
        </w:rPr>
        <w:t>1</w:t>
      </w:r>
      <w:r w:rsidR="006026F0">
        <w:rPr>
          <w:sz w:val="24"/>
        </w:rPr>
        <w:t>.</w:t>
      </w:r>
    </w:p>
    <w:p w14:paraId="30282492" w14:textId="77777777" w:rsidR="00955E02" w:rsidRDefault="00955E02" w:rsidP="004271A8">
      <w:pPr>
        <w:pStyle w:val="BodyText"/>
      </w:pPr>
    </w:p>
    <w:p w14:paraId="3304DF37" w14:textId="0BCF9C33" w:rsidR="00AC3610" w:rsidRPr="00893E92" w:rsidRDefault="00FA4FD8" w:rsidP="00AC3610">
      <w:pPr>
        <w:rPr>
          <w:sz w:val="24"/>
          <w:u w:val="single"/>
        </w:rPr>
      </w:pPr>
      <w:r>
        <w:rPr>
          <w:sz w:val="24"/>
        </w:rPr>
        <w:t>On October 1</w:t>
      </w:r>
      <w:r w:rsidR="0034649A">
        <w:rPr>
          <w:sz w:val="24"/>
        </w:rPr>
        <w:t>7</w:t>
      </w:r>
      <w:r w:rsidRPr="00C4155A">
        <w:rPr>
          <w:sz w:val="24"/>
        </w:rPr>
        <w:t>, 2011</w:t>
      </w:r>
      <w:r w:rsidR="008E54F1">
        <w:rPr>
          <w:sz w:val="24"/>
        </w:rPr>
        <w:t>, and October 19, 2011</w:t>
      </w:r>
      <w:r w:rsidRPr="00C4155A">
        <w:rPr>
          <w:sz w:val="24"/>
        </w:rPr>
        <w:t xml:space="preserve">, the company filed </w:t>
      </w:r>
      <w:r w:rsidR="00EA4CFA" w:rsidRPr="00C4155A">
        <w:rPr>
          <w:sz w:val="24"/>
        </w:rPr>
        <w:t xml:space="preserve">revised revenue requirement of </w:t>
      </w:r>
      <w:r w:rsidR="00AB5C6F" w:rsidRPr="00C4155A">
        <w:rPr>
          <w:sz w:val="24"/>
        </w:rPr>
        <w:t xml:space="preserve">approximately </w:t>
      </w:r>
      <w:r w:rsidR="00EA4CFA" w:rsidRPr="00C4155A">
        <w:rPr>
          <w:sz w:val="24"/>
        </w:rPr>
        <w:t>$</w:t>
      </w:r>
      <w:r w:rsidR="00C4155A" w:rsidRPr="00C4155A">
        <w:rPr>
          <w:sz w:val="24"/>
        </w:rPr>
        <w:t>1.8</w:t>
      </w:r>
      <w:r w:rsidR="00C4155A">
        <w:rPr>
          <w:sz w:val="24"/>
        </w:rPr>
        <w:t>3</w:t>
      </w:r>
      <w:r w:rsidR="00EA4CFA" w:rsidRPr="00C4155A">
        <w:rPr>
          <w:sz w:val="24"/>
        </w:rPr>
        <w:t xml:space="preserve"> million (</w:t>
      </w:r>
      <w:r w:rsidR="00C4155A" w:rsidRPr="00C4155A">
        <w:rPr>
          <w:sz w:val="24"/>
        </w:rPr>
        <w:t>2</w:t>
      </w:r>
      <w:r w:rsidR="00AB5C6F" w:rsidRPr="00C4155A">
        <w:rPr>
          <w:sz w:val="24"/>
        </w:rPr>
        <w:t>.</w:t>
      </w:r>
      <w:r w:rsidR="00C4155A" w:rsidRPr="00C4155A">
        <w:rPr>
          <w:sz w:val="24"/>
        </w:rPr>
        <w:t>3</w:t>
      </w:r>
      <w:r w:rsidR="00EA4CFA" w:rsidRPr="00C4155A">
        <w:rPr>
          <w:sz w:val="24"/>
        </w:rPr>
        <w:t xml:space="preserve"> percent) </w:t>
      </w:r>
      <w:r w:rsidR="00EA4CFA">
        <w:rPr>
          <w:sz w:val="24"/>
        </w:rPr>
        <w:t xml:space="preserve">in </w:t>
      </w:r>
      <w:r w:rsidR="002153C4">
        <w:rPr>
          <w:sz w:val="24"/>
        </w:rPr>
        <w:t xml:space="preserve">lower </w:t>
      </w:r>
      <w:r w:rsidR="00EA4CFA">
        <w:rPr>
          <w:sz w:val="24"/>
        </w:rPr>
        <w:t>annual revenue and revised rates</w:t>
      </w:r>
      <w:r>
        <w:rPr>
          <w:sz w:val="24"/>
        </w:rPr>
        <w:t>. NW Natural</w:t>
      </w:r>
      <w:r w:rsidR="00955E02" w:rsidRPr="003C26A9">
        <w:rPr>
          <w:sz w:val="24"/>
        </w:rPr>
        <w:t xml:space="preserve"> filed replacement pages to </w:t>
      </w:r>
      <w:r w:rsidR="00955E02">
        <w:rPr>
          <w:sz w:val="24"/>
        </w:rPr>
        <w:t>update</w:t>
      </w:r>
      <w:r w:rsidR="00955E02" w:rsidRPr="003C26A9">
        <w:rPr>
          <w:sz w:val="24"/>
        </w:rPr>
        <w:t xml:space="preserve"> natural gas prices</w:t>
      </w:r>
      <w:r w:rsidR="00C22C60">
        <w:rPr>
          <w:sz w:val="24"/>
        </w:rPr>
        <w:t xml:space="preserve"> and </w:t>
      </w:r>
      <w:r w:rsidR="00E23DC3">
        <w:rPr>
          <w:sz w:val="24"/>
        </w:rPr>
        <w:t xml:space="preserve">actual </w:t>
      </w:r>
      <w:r w:rsidR="00C22C60">
        <w:rPr>
          <w:sz w:val="24"/>
        </w:rPr>
        <w:t>deferral balances</w:t>
      </w:r>
      <w:r w:rsidR="00E23DC3">
        <w:rPr>
          <w:sz w:val="24"/>
        </w:rPr>
        <w:t xml:space="preserve"> as of September 30, 201</w:t>
      </w:r>
      <w:r>
        <w:rPr>
          <w:sz w:val="24"/>
        </w:rPr>
        <w:t>1</w:t>
      </w:r>
      <w:r w:rsidR="0026559B">
        <w:rPr>
          <w:sz w:val="24"/>
        </w:rPr>
        <w:t>.</w:t>
      </w:r>
      <w:r w:rsidR="002153C4">
        <w:rPr>
          <w:sz w:val="24"/>
        </w:rPr>
        <w:t xml:space="preserve"> </w:t>
      </w:r>
      <w:r w:rsidR="00E75394">
        <w:rPr>
          <w:sz w:val="24"/>
        </w:rPr>
        <w:t>For simplicity reasons, the company submits two filings</w:t>
      </w:r>
      <w:r w:rsidR="002153C4">
        <w:rPr>
          <w:sz w:val="24"/>
        </w:rPr>
        <w:t xml:space="preserve"> (proposed and revised)</w:t>
      </w:r>
      <w:r w:rsidR="00E75394">
        <w:rPr>
          <w:sz w:val="24"/>
        </w:rPr>
        <w:t xml:space="preserve"> </w:t>
      </w:r>
      <w:r w:rsidR="00862A84">
        <w:rPr>
          <w:sz w:val="24"/>
        </w:rPr>
        <w:t>as</w:t>
      </w:r>
      <w:r w:rsidR="002153C4">
        <w:rPr>
          <w:sz w:val="24"/>
        </w:rPr>
        <w:t xml:space="preserve"> </w:t>
      </w:r>
      <w:r w:rsidR="00955E02">
        <w:rPr>
          <w:sz w:val="24"/>
        </w:rPr>
        <w:t>required pursuant to Oregon Public Utilities Commission</w:t>
      </w:r>
      <w:r w:rsidR="00862A84">
        <w:rPr>
          <w:sz w:val="24"/>
        </w:rPr>
        <w:t>.</w:t>
      </w:r>
      <w:r w:rsidR="00F8285A">
        <w:rPr>
          <w:sz w:val="24"/>
        </w:rPr>
        <w:t xml:space="preserve"> </w:t>
      </w:r>
      <w:r w:rsidR="00862A84">
        <w:rPr>
          <w:sz w:val="24"/>
        </w:rPr>
        <w:t>T</w:t>
      </w:r>
      <w:r w:rsidR="002153C4">
        <w:rPr>
          <w:sz w:val="24"/>
        </w:rPr>
        <w:t xml:space="preserve">he filings </w:t>
      </w:r>
      <w:r w:rsidR="00955E02">
        <w:rPr>
          <w:sz w:val="24"/>
        </w:rPr>
        <w:t xml:space="preserve">use </w:t>
      </w:r>
      <w:r w:rsidR="0083154E">
        <w:rPr>
          <w:sz w:val="24"/>
        </w:rPr>
        <w:t>similar</w:t>
      </w:r>
      <w:r w:rsidR="00955E02">
        <w:rPr>
          <w:sz w:val="24"/>
        </w:rPr>
        <w:t xml:space="preserve"> </w:t>
      </w:r>
      <w:r w:rsidR="00862A84">
        <w:rPr>
          <w:sz w:val="24"/>
        </w:rPr>
        <w:t xml:space="preserve">methodologies </w:t>
      </w:r>
      <w:r w:rsidR="00955E02">
        <w:rPr>
          <w:sz w:val="24"/>
        </w:rPr>
        <w:t>for setting</w:t>
      </w:r>
      <w:r w:rsidR="008864FD">
        <w:rPr>
          <w:sz w:val="24"/>
        </w:rPr>
        <w:t xml:space="preserve"> the Annual Sales </w:t>
      </w:r>
      <w:r w:rsidR="00955E02">
        <w:rPr>
          <w:sz w:val="24"/>
        </w:rPr>
        <w:t>Weighted Average Cost of Gas (WACOG)</w:t>
      </w:r>
      <w:r w:rsidR="0083154E">
        <w:rPr>
          <w:sz w:val="24"/>
        </w:rPr>
        <w:t xml:space="preserve"> with </w:t>
      </w:r>
      <w:r w:rsidR="00862A84">
        <w:rPr>
          <w:sz w:val="24"/>
        </w:rPr>
        <w:t xml:space="preserve">one </w:t>
      </w:r>
      <w:r w:rsidR="0083154E">
        <w:rPr>
          <w:sz w:val="24"/>
        </w:rPr>
        <w:t>except</w:t>
      </w:r>
      <w:r w:rsidR="00835C44">
        <w:rPr>
          <w:sz w:val="24"/>
        </w:rPr>
        <w:t>ion</w:t>
      </w:r>
      <w:r w:rsidR="00270A6E">
        <w:rPr>
          <w:sz w:val="24"/>
        </w:rPr>
        <w:t>; i</w:t>
      </w:r>
      <w:r w:rsidR="00862A84">
        <w:rPr>
          <w:sz w:val="24"/>
        </w:rPr>
        <w:t>n Oregon, the company includes the operating costs and the return on and return of its investment in a natural gas production field, a</w:t>
      </w:r>
      <w:r w:rsidR="006964EC" w:rsidRPr="006964EC">
        <w:rPr>
          <w:sz w:val="24"/>
        </w:rPr>
        <w:t xml:space="preserve"> </w:t>
      </w:r>
      <w:r w:rsidR="006964EC">
        <w:rPr>
          <w:sz w:val="24"/>
        </w:rPr>
        <w:t xml:space="preserve">joint venture with Encana Oil and Gas Inc. The inclusion of this investment in Washington rates is the subject of </w:t>
      </w:r>
      <w:r w:rsidR="00AC3610">
        <w:rPr>
          <w:sz w:val="24"/>
        </w:rPr>
        <w:t>Docket UG-111233</w:t>
      </w:r>
      <w:r w:rsidR="006964EC">
        <w:rPr>
          <w:sz w:val="24"/>
        </w:rPr>
        <w:t>, and it is not included in the costs to be recovered in the Washington PGA filing.</w:t>
      </w:r>
    </w:p>
    <w:p w14:paraId="30282494" w14:textId="77777777" w:rsidR="008C0B0D" w:rsidRDefault="008C0B0D" w:rsidP="00955E02">
      <w:pPr>
        <w:rPr>
          <w:sz w:val="24"/>
        </w:rPr>
      </w:pPr>
    </w:p>
    <w:p w14:paraId="30282495" w14:textId="379D2039" w:rsidR="008864FD" w:rsidRDefault="008C0B0D" w:rsidP="008C0B0D">
      <w:pPr>
        <w:pStyle w:val="BodyText"/>
      </w:pPr>
      <w:r w:rsidRPr="00607B91">
        <w:t xml:space="preserve">The </w:t>
      </w:r>
      <w:r>
        <w:t>PGA</w:t>
      </w:r>
      <w:r w:rsidRPr="00607B91">
        <w:t xml:space="preserve"> and </w:t>
      </w:r>
      <w:r>
        <w:t>D</w:t>
      </w:r>
      <w:r w:rsidRPr="00607B91">
        <w:t>eferr</w:t>
      </w:r>
      <w:r>
        <w:t>al</w:t>
      </w:r>
      <w:r w:rsidRPr="00607B91">
        <w:t xml:space="preserve"> mechanisms are designed to pass through the utility’s actual cost of natural gas</w:t>
      </w:r>
      <w:r>
        <w:t xml:space="preserve"> to customers</w:t>
      </w:r>
      <w:r w:rsidR="00FD2C6C">
        <w:t xml:space="preserve"> on an annual basis</w:t>
      </w:r>
      <w:r w:rsidRPr="00607B91">
        <w:t xml:space="preserve">. </w:t>
      </w:r>
      <w:r w:rsidR="006964EC">
        <w:t>P</w:t>
      </w:r>
      <w:r w:rsidR="008864FD">
        <w:t xml:space="preserve">eriodic technical adjustments to rates </w:t>
      </w:r>
      <w:r w:rsidR="006964EC">
        <w:t xml:space="preserve">are necessary </w:t>
      </w:r>
      <w:r w:rsidR="008864FD">
        <w:t xml:space="preserve">under the terms of the Company’s tariffs in order to </w:t>
      </w:r>
      <w:r w:rsidR="006964EC">
        <w:t xml:space="preserve">return </w:t>
      </w:r>
      <w:r w:rsidR="006964EC" w:rsidRPr="00607B91">
        <w:t>to customers</w:t>
      </w:r>
      <w:r w:rsidR="006964EC">
        <w:t xml:space="preserve"> </w:t>
      </w:r>
      <w:r w:rsidR="008864FD">
        <w:t>credit or debit balances with interest</w:t>
      </w:r>
      <w:r w:rsidR="008864FD" w:rsidRPr="00607B91">
        <w:t xml:space="preserve"> </w:t>
      </w:r>
      <w:r w:rsidR="008864FD">
        <w:t>in its deferred gas cost accounts (Account 191) and other non-gas cost accounts (Account 186)</w:t>
      </w:r>
      <w:r w:rsidR="008864FD" w:rsidRPr="00607B91">
        <w:t>.</w:t>
      </w:r>
    </w:p>
    <w:p w14:paraId="30282496" w14:textId="77777777" w:rsidR="00E23DC3" w:rsidRDefault="00E23DC3" w:rsidP="00955E02">
      <w:pPr>
        <w:rPr>
          <w:sz w:val="24"/>
        </w:rPr>
      </w:pPr>
    </w:p>
    <w:p w14:paraId="23A66BBF" w14:textId="77777777" w:rsidR="00112D18" w:rsidRDefault="00112D18" w:rsidP="004271A8">
      <w:pPr>
        <w:rPr>
          <w:sz w:val="24"/>
          <w:u w:val="single"/>
        </w:rPr>
      </w:pPr>
    </w:p>
    <w:p w14:paraId="42804C2A" w14:textId="77777777" w:rsidR="00112D18" w:rsidRDefault="00112D18" w:rsidP="004271A8">
      <w:pPr>
        <w:rPr>
          <w:sz w:val="24"/>
          <w:u w:val="single"/>
        </w:rPr>
      </w:pPr>
    </w:p>
    <w:p w14:paraId="30282497" w14:textId="77777777" w:rsidR="004271A8" w:rsidRPr="00893E92" w:rsidRDefault="004271A8" w:rsidP="004271A8">
      <w:pPr>
        <w:rPr>
          <w:sz w:val="24"/>
          <w:u w:val="single"/>
        </w:rPr>
      </w:pPr>
      <w:r w:rsidRPr="00893E92">
        <w:rPr>
          <w:sz w:val="24"/>
          <w:u w:val="single"/>
        </w:rPr>
        <w:lastRenderedPageBreak/>
        <w:t xml:space="preserve">Purchased Gas Adjustment </w:t>
      </w:r>
    </w:p>
    <w:p w14:paraId="30282498" w14:textId="77777777" w:rsidR="0059382A" w:rsidRPr="0034649A" w:rsidRDefault="002C705E" w:rsidP="0059382A">
      <w:pPr>
        <w:rPr>
          <w:sz w:val="24"/>
        </w:rPr>
      </w:pPr>
      <w:r w:rsidRPr="002D45DD">
        <w:rPr>
          <w:sz w:val="24"/>
        </w:rPr>
        <w:t xml:space="preserve">The </w:t>
      </w:r>
      <w:r w:rsidR="00640EE6">
        <w:rPr>
          <w:sz w:val="24"/>
        </w:rPr>
        <w:t>PGA</w:t>
      </w:r>
      <w:r w:rsidRPr="002D45DD">
        <w:rPr>
          <w:sz w:val="24"/>
        </w:rPr>
        <w:t xml:space="preserve"> reflects </w:t>
      </w:r>
      <w:r w:rsidR="00E15D08" w:rsidRPr="00562427">
        <w:rPr>
          <w:sz w:val="24"/>
        </w:rPr>
        <w:t>a projection of gas</w:t>
      </w:r>
      <w:r w:rsidR="00E15D08">
        <w:t xml:space="preserve"> </w:t>
      </w:r>
      <w:r w:rsidRPr="002D45DD">
        <w:rPr>
          <w:sz w:val="24"/>
        </w:rPr>
        <w:t xml:space="preserve">cost for the coming </w:t>
      </w:r>
      <w:r w:rsidR="00A40610">
        <w:rPr>
          <w:sz w:val="24"/>
        </w:rPr>
        <w:t>20</w:t>
      </w:r>
      <w:r w:rsidR="00147D58">
        <w:rPr>
          <w:sz w:val="24"/>
        </w:rPr>
        <w:t>11</w:t>
      </w:r>
      <w:r w:rsidR="00A40610">
        <w:rPr>
          <w:sz w:val="24"/>
        </w:rPr>
        <w:t>-201</w:t>
      </w:r>
      <w:r w:rsidR="00147D58">
        <w:rPr>
          <w:sz w:val="24"/>
        </w:rPr>
        <w:t xml:space="preserve">2 </w:t>
      </w:r>
      <w:r w:rsidR="00A40610">
        <w:rPr>
          <w:sz w:val="24"/>
        </w:rPr>
        <w:t>winter season</w:t>
      </w:r>
      <w:r w:rsidRPr="002D45DD">
        <w:rPr>
          <w:sz w:val="24"/>
        </w:rPr>
        <w:t>.</w:t>
      </w:r>
      <w:r w:rsidR="00A50BDE">
        <w:t xml:space="preserve"> </w:t>
      </w:r>
      <w:r w:rsidR="001B5101">
        <w:rPr>
          <w:sz w:val="24"/>
        </w:rPr>
        <w:t>Th</w:t>
      </w:r>
      <w:r w:rsidR="00AB5C6F">
        <w:rPr>
          <w:sz w:val="24"/>
        </w:rPr>
        <w:t xml:space="preserve">e PGA </w:t>
      </w:r>
      <w:r w:rsidR="001B5101">
        <w:rPr>
          <w:sz w:val="24"/>
        </w:rPr>
        <w:t>consists of two part</w:t>
      </w:r>
      <w:r w:rsidR="00BC0A4F">
        <w:rPr>
          <w:sz w:val="24"/>
        </w:rPr>
        <w:t>s</w:t>
      </w:r>
      <w:r w:rsidR="00B150F5">
        <w:rPr>
          <w:sz w:val="24"/>
        </w:rPr>
        <w:t>:</w:t>
      </w:r>
      <w:r w:rsidR="001B5101">
        <w:rPr>
          <w:sz w:val="24"/>
        </w:rPr>
        <w:t xml:space="preserve"> the cost of gas purchased </w:t>
      </w:r>
      <w:r w:rsidR="006B423D">
        <w:rPr>
          <w:sz w:val="24"/>
        </w:rPr>
        <w:t>(</w:t>
      </w:r>
      <w:r w:rsidR="00B150F5">
        <w:rPr>
          <w:sz w:val="24"/>
        </w:rPr>
        <w:t>c</w:t>
      </w:r>
      <w:r w:rsidR="006B423D">
        <w:rPr>
          <w:sz w:val="24"/>
        </w:rPr>
        <w:t xml:space="preserve">ommodity) </w:t>
      </w:r>
      <w:r w:rsidR="001B5101">
        <w:rPr>
          <w:sz w:val="24"/>
        </w:rPr>
        <w:t xml:space="preserve">by the </w:t>
      </w:r>
      <w:r w:rsidR="0054455B">
        <w:rPr>
          <w:sz w:val="24"/>
        </w:rPr>
        <w:t>c</w:t>
      </w:r>
      <w:r w:rsidR="001B5101">
        <w:rPr>
          <w:sz w:val="24"/>
        </w:rPr>
        <w:t>ompany f</w:t>
      </w:r>
      <w:r w:rsidR="00BC0A4F">
        <w:rPr>
          <w:sz w:val="24"/>
        </w:rPr>
        <w:t>ro</w:t>
      </w:r>
      <w:r w:rsidR="001B5101">
        <w:rPr>
          <w:sz w:val="24"/>
        </w:rPr>
        <w:t>m its gas suppliers</w:t>
      </w:r>
      <w:r w:rsidR="00B150F5">
        <w:rPr>
          <w:sz w:val="24"/>
        </w:rPr>
        <w:t>,</w:t>
      </w:r>
      <w:r w:rsidR="001B5101">
        <w:rPr>
          <w:sz w:val="24"/>
        </w:rPr>
        <w:t xml:space="preserve"> and the cost of pipeline and storage capacity </w:t>
      </w:r>
      <w:r w:rsidR="00BC0A4F">
        <w:rPr>
          <w:sz w:val="24"/>
        </w:rPr>
        <w:t>(</w:t>
      </w:r>
      <w:r w:rsidR="00B150F5">
        <w:rPr>
          <w:sz w:val="24"/>
        </w:rPr>
        <w:t>d</w:t>
      </w:r>
      <w:r w:rsidR="00FB569E">
        <w:rPr>
          <w:sz w:val="24"/>
        </w:rPr>
        <w:t xml:space="preserve">emand) </w:t>
      </w:r>
      <w:r w:rsidR="00C22C60">
        <w:rPr>
          <w:sz w:val="24"/>
        </w:rPr>
        <w:t>under contracts</w:t>
      </w:r>
      <w:r w:rsidR="004D62C3">
        <w:rPr>
          <w:sz w:val="24"/>
        </w:rPr>
        <w:t xml:space="preserve"> with pipeline transporters</w:t>
      </w:r>
      <w:r w:rsidR="00C22C60">
        <w:rPr>
          <w:sz w:val="24"/>
        </w:rPr>
        <w:t xml:space="preserve">. </w:t>
      </w:r>
      <w:r w:rsidR="00CA6823">
        <w:rPr>
          <w:sz w:val="24"/>
        </w:rPr>
        <w:t>Due to lower commodity gas cost, t</w:t>
      </w:r>
      <w:r w:rsidRPr="002D45DD">
        <w:rPr>
          <w:sz w:val="24"/>
        </w:rPr>
        <w:t xml:space="preserve">he </w:t>
      </w:r>
      <w:r w:rsidR="0054455B">
        <w:rPr>
          <w:sz w:val="24"/>
        </w:rPr>
        <w:t>c</w:t>
      </w:r>
      <w:r w:rsidRPr="002D45DD">
        <w:rPr>
          <w:sz w:val="24"/>
        </w:rPr>
        <w:t xml:space="preserve">ompany is </w:t>
      </w:r>
      <w:r w:rsidRPr="00C4155A">
        <w:rPr>
          <w:sz w:val="24"/>
        </w:rPr>
        <w:t xml:space="preserve">proposing a </w:t>
      </w:r>
      <w:r w:rsidR="0059382A" w:rsidRPr="00C4155A">
        <w:rPr>
          <w:sz w:val="24"/>
        </w:rPr>
        <w:t>de</w:t>
      </w:r>
      <w:r w:rsidRPr="00C4155A">
        <w:rPr>
          <w:sz w:val="24"/>
        </w:rPr>
        <w:t xml:space="preserve">crease of </w:t>
      </w:r>
      <w:r w:rsidR="000D670E" w:rsidRPr="00C4155A">
        <w:rPr>
          <w:sz w:val="24"/>
        </w:rPr>
        <w:t>approximately</w:t>
      </w:r>
      <w:r w:rsidRPr="00C4155A">
        <w:rPr>
          <w:sz w:val="24"/>
        </w:rPr>
        <w:t xml:space="preserve"> $</w:t>
      </w:r>
      <w:r w:rsidR="00F8285A" w:rsidRPr="00C4155A">
        <w:rPr>
          <w:sz w:val="24"/>
        </w:rPr>
        <w:t>2.27</w:t>
      </w:r>
      <w:r w:rsidR="00C34D32" w:rsidRPr="00C4155A">
        <w:rPr>
          <w:sz w:val="24"/>
        </w:rPr>
        <w:t xml:space="preserve"> </w:t>
      </w:r>
      <w:r w:rsidRPr="00C4155A">
        <w:rPr>
          <w:sz w:val="24"/>
        </w:rPr>
        <w:t>million (</w:t>
      </w:r>
      <w:r w:rsidR="00C4155A" w:rsidRPr="00C4155A">
        <w:rPr>
          <w:sz w:val="24"/>
        </w:rPr>
        <w:t>2</w:t>
      </w:r>
      <w:r w:rsidR="001B5101" w:rsidRPr="00C4155A">
        <w:rPr>
          <w:sz w:val="24"/>
        </w:rPr>
        <w:t>.</w:t>
      </w:r>
      <w:r w:rsidR="00C4155A" w:rsidRPr="00C4155A">
        <w:rPr>
          <w:sz w:val="24"/>
        </w:rPr>
        <w:t>9</w:t>
      </w:r>
      <w:r w:rsidR="004B0CDD" w:rsidRPr="00C4155A">
        <w:rPr>
          <w:sz w:val="24"/>
        </w:rPr>
        <w:t xml:space="preserve"> </w:t>
      </w:r>
      <w:r w:rsidR="00640EE6" w:rsidRPr="00C4155A">
        <w:rPr>
          <w:sz w:val="24"/>
        </w:rPr>
        <w:t>percent</w:t>
      </w:r>
      <w:r w:rsidRPr="00C4155A">
        <w:rPr>
          <w:sz w:val="24"/>
        </w:rPr>
        <w:t>) in annual revenue</w:t>
      </w:r>
      <w:r w:rsidR="00CA6823" w:rsidRPr="00C4155A">
        <w:rPr>
          <w:sz w:val="24"/>
        </w:rPr>
        <w:t xml:space="preserve"> </w:t>
      </w:r>
      <w:r w:rsidRPr="00C4155A">
        <w:rPr>
          <w:sz w:val="24"/>
        </w:rPr>
        <w:t>for this portion</w:t>
      </w:r>
      <w:r w:rsidR="005A6437">
        <w:rPr>
          <w:sz w:val="24"/>
        </w:rPr>
        <w:t xml:space="preserve">. </w:t>
      </w:r>
      <w:r w:rsidR="00B14579">
        <w:rPr>
          <w:sz w:val="24"/>
        </w:rPr>
        <w:t>T</w:t>
      </w:r>
      <w:r w:rsidR="0060442E">
        <w:rPr>
          <w:sz w:val="24"/>
        </w:rPr>
        <w:t>he lowe</w:t>
      </w:r>
      <w:r w:rsidR="00852E05">
        <w:rPr>
          <w:sz w:val="24"/>
        </w:rPr>
        <w:t>r</w:t>
      </w:r>
      <w:r w:rsidR="0060442E">
        <w:rPr>
          <w:sz w:val="24"/>
        </w:rPr>
        <w:t xml:space="preserve"> gas pric</w:t>
      </w:r>
      <w:r w:rsidR="00507A75">
        <w:rPr>
          <w:sz w:val="24"/>
        </w:rPr>
        <w:t xml:space="preserve">es are </w:t>
      </w:r>
      <w:r w:rsidR="00B14579">
        <w:rPr>
          <w:sz w:val="24"/>
        </w:rPr>
        <w:t xml:space="preserve">the result of </w:t>
      </w:r>
      <w:r w:rsidR="00507A75">
        <w:rPr>
          <w:sz w:val="24"/>
        </w:rPr>
        <w:t>ample supply and declining</w:t>
      </w:r>
      <w:r w:rsidR="00B14579">
        <w:rPr>
          <w:sz w:val="24"/>
        </w:rPr>
        <w:t xml:space="preserve"> </w:t>
      </w:r>
      <w:r w:rsidR="0077019A">
        <w:rPr>
          <w:sz w:val="24"/>
        </w:rPr>
        <w:t>demand in</w:t>
      </w:r>
      <w:r w:rsidR="0059382A">
        <w:rPr>
          <w:sz w:val="24"/>
        </w:rPr>
        <w:t xml:space="preserve"> domestic natural gas </w:t>
      </w:r>
      <w:r w:rsidR="0077019A">
        <w:rPr>
          <w:sz w:val="24"/>
        </w:rPr>
        <w:t>consumption because</w:t>
      </w:r>
      <w:r w:rsidR="00B14579">
        <w:rPr>
          <w:sz w:val="24"/>
        </w:rPr>
        <w:t xml:space="preserve"> </w:t>
      </w:r>
      <w:r w:rsidR="0077019A">
        <w:rPr>
          <w:sz w:val="24"/>
        </w:rPr>
        <w:t>of the</w:t>
      </w:r>
      <w:r w:rsidR="00507A75">
        <w:rPr>
          <w:sz w:val="24"/>
        </w:rPr>
        <w:t xml:space="preserve"> </w:t>
      </w:r>
      <w:r w:rsidR="0060442E">
        <w:rPr>
          <w:sz w:val="24"/>
        </w:rPr>
        <w:t>economic downturn</w:t>
      </w:r>
      <w:r w:rsidR="00FB569E" w:rsidRPr="003A0C2D">
        <w:rPr>
          <w:sz w:val="24"/>
        </w:rPr>
        <w:t>.</w:t>
      </w:r>
      <w:r w:rsidR="00094D39">
        <w:t xml:space="preserve"> </w:t>
      </w:r>
      <w:r w:rsidR="0098417C">
        <w:rPr>
          <w:sz w:val="24"/>
        </w:rPr>
        <w:t>NW Natural’s</w:t>
      </w:r>
      <w:r w:rsidRPr="002D45DD">
        <w:rPr>
          <w:sz w:val="24"/>
        </w:rPr>
        <w:t xml:space="preserve"> embedded </w:t>
      </w:r>
      <w:r w:rsidR="00FB569E" w:rsidRPr="0034649A">
        <w:rPr>
          <w:sz w:val="24"/>
        </w:rPr>
        <w:t>WACOG is $0.6</w:t>
      </w:r>
      <w:r w:rsidR="00CA6823" w:rsidRPr="0034649A">
        <w:rPr>
          <w:sz w:val="24"/>
        </w:rPr>
        <w:t>6242</w:t>
      </w:r>
      <w:r w:rsidR="00FB569E" w:rsidRPr="0034649A">
        <w:rPr>
          <w:sz w:val="24"/>
        </w:rPr>
        <w:t xml:space="preserve"> per therm ($0.5</w:t>
      </w:r>
      <w:r w:rsidR="00CA6823" w:rsidRPr="0034649A">
        <w:rPr>
          <w:sz w:val="24"/>
        </w:rPr>
        <w:t>3365</w:t>
      </w:r>
      <w:r w:rsidR="00FB569E" w:rsidRPr="0034649A">
        <w:rPr>
          <w:sz w:val="24"/>
        </w:rPr>
        <w:t xml:space="preserve"> commodity and $0.1</w:t>
      </w:r>
      <w:r w:rsidR="00CA6823" w:rsidRPr="0034649A">
        <w:rPr>
          <w:sz w:val="24"/>
        </w:rPr>
        <w:t>2877</w:t>
      </w:r>
      <w:r w:rsidR="00FB569E" w:rsidRPr="0034649A">
        <w:rPr>
          <w:sz w:val="24"/>
        </w:rPr>
        <w:t xml:space="preserve"> firm demand)</w:t>
      </w:r>
      <w:r w:rsidR="00094D39" w:rsidRPr="0034649A">
        <w:rPr>
          <w:sz w:val="24"/>
        </w:rPr>
        <w:t xml:space="preserve"> and t</w:t>
      </w:r>
      <w:r w:rsidR="00CA6823" w:rsidRPr="0034649A">
        <w:rPr>
          <w:sz w:val="24"/>
        </w:rPr>
        <w:t>he proposed WACOG is $</w:t>
      </w:r>
      <w:r w:rsidR="0059382A" w:rsidRPr="0034649A">
        <w:rPr>
          <w:sz w:val="24"/>
        </w:rPr>
        <w:t>0.6</w:t>
      </w:r>
      <w:r w:rsidR="00CD30B0" w:rsidRPr="0034649A">
        <w:rPr>
          <w:sz w:val="24"/>
        </w:rPr>
        <w:t>3157</w:t>
      </w:r>
      <w:r w:rsidR="0059382A" w:rsidRPr="0034649A">
        <w:rPr>
          <w:sz w:val="24"/>
        </w:rPr>
        <w:t xml:space="preserve"> per therm ($0.</w:t>
      </w:r>
      <w:r w:rsidR="00CD30B0" w:rsidRPr="0034649A">
        <w:rPr>
          <w:sz w:val="24"/>
        </w:rPr>
        <w:t>49539</w:t>
      </w:r>
      <w:r w:rsidR="0059382A" w:rsidRPr="0034649A">
        <w:rPr>
          <w:sz w:val="24"/>
        </w:rPr>
        <w:t xml:space="preserve"> commodity and $0.</w:t>
      </w:r>
      <w:r w:rsidR="00FB569E" w:rsidRPr="0034649A">
        <w:rPr>
          <w:sz w:val="24"/>
        </w:rPr>
        <w:t>1</w:t>
      </w:r>
      <w:r w:rsidR="00145CBD" w:rsidRPr="0034649A">
        <w:rPr>
          <w:sz w:val="24"/>
        </w:rPr>
        <w:t>3</w:t>
      </w:r>
      <w:r w:rsidR="00CD30B0" w:rsidRPr="0034649A">
        <w:rPr>
          <w:sz w:val="24"/>
        </w:rPr>
        <w:t>618</w:t>
      </w:r>
      <w:r w:rsidR="00145CBD" w:rsidRPr="0034649A">
        <w:rPr>
          <w:sz w:val="24"/>
        </w:rPr>
        <w:t xml:space="preserve"> firm demand).</w:t>
      </w:r>
    </w:p>
    <w:p w14:paraId="30282499" w14:textId="77777777" w:rsidR="00494682" w:rsidRDefault="00494682">
      <w:pPr>
        <w:rPr>
          <w:sz w:val="24"/>
        </w:rPr>
      </w:pPr>
    </w:p>
    <w:p w14:paraId="3028249A" w14:textId="77777777" w:rsidR="00997226" w:rsidRPr="00893E92" w:rsidRDefault="002C705E" w:rsidP="00997226">
      <w:pPr>
        <w:pStyle w:val="Heading2"/>
      </w:pPr>
      <w:r w:rsidRPr="00893E92">
        <w:t>Deferred Gas Cost Amortization</w:t>
      </w:r>
    </w:p>
    <w:p w14:paraId="3028249B" w14:textId="44CF7C47" w:rsidR="00507A75" w:rsidRPr="00C4155A" w:rsidRDefault="00640EE6">
      <w:pPr>
        <w:pStyle w:val="BodyText"/>
      </w:pPr>
      <w:r>
        <w:t xml:space="preserve">The Deferral </w:t>
      </w:r>
      <w:r w:rsidR="00803971">
        <w:t xml:space="preserve">reflects </w:t>
      </w:r>
      <w:r w:rsidR="002C705E" w:rsidRPr="002D45DD">
        <w:t xml:space="preserve">balances in </w:t>
      </w:r>
      <w:r w:rsidR="00803971">
        <w:t xml:space="preserve">Accounts 191 for the period of November 2010 to October 2011, </w:t>
      </w:r>
      <w:r w:rsidR="002C705E" w:rsidRPr="002D45DD">
        <w:t xml:space="preserve">resulting from the difference between actual gas costs </w:t>
      </w:r>
      <w:r w:rsidR="005B7946">
        <w:t xml:space="preserve">incurred </w:t>
      </w:r>
      <w:r w:rsidR="002C705E" w:rsidRPr="002D45DD">
        <w:t>and gas c</w:t>
      </w:r>
      <w:r w:rsidR="0068606E">
        <w:t xml:space="preserve">osts </w:t>
      </w:r>
      <w:r w:rsidR="00857F2B">
        <w:t xml:space="preserve">projected </w:t>
      </w:r>
      <w:r w:rsidR="0068606E">
        <w:t>in rates</w:t>
      </w:r>
      <w:r w:rsidR="00857F2B">
        <w:t xml:space="preserve"> last year</w:t>
      </w:r>
      <w:r w:rsidR="0068606E">
        <w:t xml:space="preserve">. </w:t>
      </w:r>
      <w:r w:rsidR="002435BD">
        <w:t xml:space="preserve">The </w:t>
      </w:r>
      <w:r w:rsidR="0054455B">
        <w:t>c</w:t>
      </w:r>
      <w:r w:rsidR="00D253DB">
        <w:t>ompany</w:t>
      </w:r>
      <w:r w:rsidR="00803971">
        <w:t xml:space="preserve"> updated the deferred monthly balances for August and September, while</w:t>
      </w:r>
      <w:r w:rsidR="00D253DB">
        <w:t xml:space="preserve"> </w:t>
      </w:r>
      <w:r w:rsidR="002435BD">
        <w:t>us</w:t>
      </w:r>
      <w:r w:rsidR="00803971">
        <w:t xml:space="preserve">ing an </w:t>
      </w:r>
      <w:r w:rsidR="002435BD">
        <w:t>estimate</w:t>
      </w:r>
      <w:r w:rsidR="007521E7">
        <w:t>d</w:t>
      </w:r>
      <w:r w:rsidR="002435BD">
        <w:t xml:space="preserve"> deferred monthly balance for </w:t>
      </w:r>
      <w:r w:rsidR="00D253DB">
        <w:t xml:space="preserve">October in its </w:t>
      </w:r>
      <w:r w:rsidR="00803971">
        <w:t xml:space="preserve">revised </w:t>
      </w:r>
      <w:r w:rsidR="00D253DB">
        <w:t>filing.</w:t>
      </w:r>
      <w:r w:rsidR="005A6437">
        <w:t xml:space="preserve"> </w:t>
      </w:r>
      <w:r w:rsidR="00857F2B">
        <w:t xml:space="preserve">Actual gas costs were higher than projected by </w:t>
      </w:r>
      <w:r w:rsidR="00857F2B" w:rsidRPr="00C4155A">
        <w:t xml:space="preserve">approximately $425,400 </w:t>
      </w:r>
      <w:r w:rsidR="00857F2B">
        <w:t xml:space="preserve">requiring </w:t>
      </w:r>
      <w:r w:rsidR="00CC5BED" w:rsidRPr="00C4155A">
        <w:t>an</w:t>
      </w:r>
      <w:r w:rsidR="002C705E" w:rsidRPr="00C4155A">
        <w:t xml:space="preserve"> </w:t>
      </w:r>
      <w:r w:rsidR="00FB569E" w:rsidRPr="00C4155A">
        <w:t>in</w:t>
      </w:r>
      <w:r w:rsidR="002C705E" w:rsidRPr="00C4155A">
        <w:t xml:space="preserve">crease </w:t>
      </w:r>
      <w:r w:rsidR="00857F2B" w:rsidRPr="00C4155A">
        <w:t xml:space="preserve">in annual revenue </w:t>
      </w:r>
      <w:r w:rsidR="002C705E" w:rsidRPr="00C4155A">
        <w:t xml:space="preserve">of approximately </w:t>
      </w:r>
      <w:r w:rsidR="00C4155A" w:rsidRPr="00C4155A">
        <w:t>0</w:t>
      </w:r>
      <w:r w:rsidR="004D62C3" w:rsidRPr="00C4155A">
        <w:t>.</w:t>
      </w:r>
      <w:r w:rsidR="00C4155A" w:rsidRPr="00C4155A">
        <w:t>5</w:t>
      </w:r>
      <w:r w:rsidR="004D62C3" w:rsidRPr="00C4155A">
        <w:t xml:space="preserve"> percent.</w:t>
      </w:r>
    </w:p>
    <w:p w14:paraId="3028249C" w14:textId="77777777" w:rsidR="00AE292F" w:rsidRDefault="00AE292F">
      <w:pPr>
        <w:pStyle w:val="BodyText"/>
        <w:rPr>
          <w:color w:val="000000"/>
        </w:rPr>
      </w:pPr>
    </w:p>
    <w:p w14:paraId="3028249D" w14:textId="70AEDB61" w:rsidR="002C705E" w:rsidRPr="00E30F8F" w:rsidRDefault="00147D58" w:rsidP="00507A75">
      <w:pPr>
        <w:pStyle w:val="BodyText"/>
      </w:pPr>
      <w:r>
        <w:t>A</w:t>
      </w:r>
      <w:r w:rsidR="002C705E" w:rsidRPr="002D45DD">
        <w:t xml:space="preserve"> residential customer </w:t>
      </w:r>
      <w:r w:rsidR="0067560B">
        <w:t xml:space="preserve">using </w:t>
      </w:r>
      <w:r w:rsidR="00DF4366" w:rsidRPr="009003ED">
        <w:t>5</w:t>
      </w:r>
      <w:r w:rsidR="00CD30B0">
        <w:t>8</w:t>
      </w:r>
      <w:r w:rsidR="0088274F">
        <w:t xml:space="preserve"> </w:t>
      </w:r>
      <w:r w:rsidR="0088274F" w:rsidRPr="0034649A">
        <w:t>therms</w:t>
      </w:r>
      <w:r w:rsidR="0067560B" w:rsidRPr="0034649A">
        <w:t xml:space="preserve"> (the calculated </w:t>
      </w:r>
      <w:r w:rsidR="00FF07A1">
        <w:t>monthly</w:t>
      </w:r>
      <w:r w:rsidR="00FF07A1" w:rsidRPr="0034649A">
        <w:t xml:space="preserve"> </w:t>
      </w:r>
      <w:r w:rsidR="0067560B" w:rsidRPr="0034649A">
        <w:t>average gas consumption</w:t>
      </w:r>
      <w:r w:rsidR="00556BC6" w:rsidRPr="0034649A">
        <w:t xml:space="preserve"> for Washington</w:t>
      </w:r>
      <w:r w:rsidR="0067560B" w:rsidRPr="0034649A">
        <w:t xml:space="preserve">) </w:t>
      </w:r>
      <w:r w:rsidR="002C705E" w:rsidRPr="0034649A">
        <w:t>w</w:t>
      </w:r>
      <w:r w:rsidR="00213C5B" w:rsidRPr="0034649A">
        <w:t xml:space="preserve">ould pay </w:t>
      </w:r>
      <w:r w:rsidR="00082DC3" w:rsidRPr="0034649A">
        <w:t>$</w:t>
      </w:r>
      <w:r w:rsidR="0088274F" w:rsidRPr="0034649A">
        <w:t>1</w:t>
      </w:r>
      <w:r w:rsidR="00DF4366" w:rsidRPr="0034649A">
        <w:t>.</w:t>
      </w:r>
      <w:r w:rsidR="00CD30B0" w:rsidRPr="0034649A">
        <w:t>5</w:t>
      </w:r>
      <w:r w:rsidR="006C5020">
        <w:t>1</w:t>
      </w:r>
      <w:r w:rsidR="00893E92" w:rsidRPr="0034649A">
        <w:t xml:space="preserve"> </w:t>
      </w:r>
      <w:r w:rsidR="00213C5B" w:rsidRPr="0034649A">
        <w:t xml:space="preserve">less </w:t>
      </w:r>
      <w:r w:rsidR="002C705E" w:rsidRPr="0034649A">
        <w:t xml:space="preserve">per month </w:t>
      </w:r>
      <w:r w:rsidR="00950062" w:rsidRPr="0034649A">
        <w:t>from $</w:t>
      </w:r>
      <w:r w:rsidR="00DF4366" w:rsidRPr="0034649A">
        <w:t>6</w:t>
      </w:r>
      <w:r w:rsidR="00AC3610">
        <w:t xml:space="preserve">7.54 </w:t>
      </w:r>
      <w:r w:rsidR="00950062" w:rsidRPr="0034649A">
        <w:t>to $</w:t>
      </w:r>
      <w:r w:rsidR="00DF4366" w:rsidRPr="0034649A">
        <w:t>6</w:t>
      </w:r>
      <w:r w:rsidR="00AC3610">
        <w:t>6.03</w:t>
      </w:r>
      <w:r w:rsidR="0088274F" w:rsidRPr="0034649A">
        <w:t xml:space="preserve">. </w:t>
      </w:r>
      <w:r w:rsidR="002C705E" w:rsidRPr="0034649A">
        <w:t>The c</w:t>
      </w:r>
      <w:r w:rsidR="00556BC6" w:rsidRPr="0034649A">
        <w:t xml:space="preserve">ombined effects of the PGA </w:t>
      </w:r>
      <w:r w:rsidR="00556BC6" w:rsidRPr="00E30F8F">
        <w:t>and D</w:t>
      </w:r>
      <w:r w:rsidR="002C705E" w:rsidRPr="00E30F8F">
        <w:t xml:space="preserve">eferral </w:t>
      </w:r>
      <w:r w:rsidR="00556BC6" w:rsidRPr="00E30F8F">
        <w:t xml:space="preserve">mechanisms </w:t>
      </w:r>
      <w:r w:rsidR="002C705E" w:rsidRPr="00E30F8F">
        <w:t xml:space="preserve">on the </w:t>
      </w:r>
      <w:r w:rsidR="00556BC6" w:rsidRPr="00E30F8F">
        <w:t>NW Natural</w:t>
      </w:r>
      <w:r w:rsidR="002C705E" w:rsidRPr="00E30F8F">
        <w:t xml:space="preserve">’s rates ($/therm) and </w:t>
      </w:r>
      <w:r w:rsidR="00B50A41" w:rsidRPr="00E30F8F">
        <w:t xml:space="preserve">annual </w:t>
      </w:r>
      <w:smartTag w:uri="urn:schemas-microsoft-com:office:smarttags" w:element="place">
        <w:smartTag w:uri="urn:schemas-microsoft-com:office:smarttags" w:element="State">
          <w:r w:rsidR="00B50A41" w:rsidRPr="00E30F8F">
            <w:t>Washington</w:t>
          </w:r>
        </w:smartTag>
      </w:smartTag>
      <w:r w:rsidR="00B50A41" w:rsidRPr="00E30F8F">
        <w:t xml:space="preserve"> revenues are</w:t>
      </w:r>
      <w:r w:rsidR="00556BC6" w:rsidRPr="00E30F8F">
        <w:t xml:space="preserve"> as follow</w:t>
      </w:r>
      <w:r w:rsidR="002C705E" w:rsidRPr="00E30F8F">
        <w:t>:</w:t>
      </w:r>
    </w:p>
    <w:p w14:paraId="3028249E" w14:textId="77777777" w:rsidR="00174219" w:rsidRPr="00E30F8F" w:rsidRDefault="00174219" w:rsidP="001E1CDD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1532"/>
        <w:gridCol w:w="1710"/>
        <w:gridCol w:w="1620"/>
        <w:gridCol w:w="1636"/>
      </w:tblGrid>
      <w:tr w:rsidR="00E30F8F" w:rsidRPr="00E30F8F" w14:paraId="302824A4" w14:textId="77777777" w:rsidTr="0010256E">
        <w:tc>
          <w:tcPr>
            <w:tcW w:w="1607" w:type="pct"/>
            <w:vAlign w:val="bottom"/>
          </w:tcPr>
          <w:p w14:paraId="3028249F" w14:textId="77777777" w:rsidR="00AE292F" w:rsidRPr="00E30F8F" w:rsidRDefault="0010256E" w:rsidP="001025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E30F8F">
              <w:rPr>
                <w:b/>
                <w:sz w:val="24"/>
              </w:rPr>
              <w:t>Schedule Classes</w:t>
            </w:r>
          </w:p>
        </w:tc>
        <w:tc>
          <w:tcPr>
            <w:tcW w:w="800" w:type="pct"/>
            <w:vAlign w:val="bottom"/>
          </w:tcPr>
          <w:p w14:paraId="302824A0" w14:textId="77777777" w:rsidR="00AE292F" w:rsidRPr="00E30F8F" w:rsidRDefault="00AE292F" w:rsidP="001025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E30F8F">
              <w:rPr>
                <w:b/>
                <w:sz w:val="24"/>
              </w:rPr>
              <w:t>PGA Change</w:t>
            </w:r>
          </w:p>
        </w:tc>
        <w:tc>
          <w:tcPr>
            <w:tcW w:w="893" w:type="pct"/>
            <w:vAlign w:val="bottom"/>
          </w:tcPr>
          <w:p w14:paraId="302824A1" w14:textId="77777777" w:rsidR="00AE292F" w:rsidRPr="00E30F8F" w:rsidRDefault="00AE292F" w:rsidP="001025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E30F8F">
              <w:rPr>
                <w:b/>
                <w:sz w:val="24"/>
              </w:rPr>
              <w:t>Deferral Change</w:t>
            </w:r>
          </w:p>
        </w:tc>
        <w:tc>
          <w:tcPr>
            <w:tcW w:w="846" w:type="pct"/>
            <w:vAlign w:val="bottom"/>
          </w:tcPr>
          <w:p w14:paraId="302824A2" w14:textId="77777777" w:rsidR="00AE292F" w:rsidRPr="00E30F8F" w:rsidRDefault="00AE292F" w:rsidP="001025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E30F8F">
              <w:rPr>
                <w:b/>
                <w:sz w:val="24"/>
              </w:rPr>
              <w:t>Revenue Impact</w:t>
            </w:r>
          </w:p>
        </w:tc>
        <w:tc>
          <w:tcPr>
            <w:tcW w:w="854" w:type="pct"/>
            <w:vAlign w:val="bottom"/>
          </w:tcPr>
          <w:p w14:paraId="302824A3" w14:textId="77777777" w:rsidR="00AE292F" w:rsidRPr="00E30F8F" w:rsidRDefault="00AE292F" w:rsidP="001025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E30F8F">
              <w:rPr>
                <w:b/>
                <w:sz w:val="24"/>
              </w:rPr>
              <w:t>Percent Change</w:t>
            </w:r>
          </w:p>
        </w:tc>
      </w:tr>
      <w:tr w:rsidR="00E30F8F" w:rsidRPr="00E30F8F" w14:paraId="302824AA" w14:textId="77777777" w:rsidTr="00AE292F">
        <w:tc>
          <w:tcPr>
            <w:tcW w:w="1607" w:type="pct"/>
          </w:tcPr>
          <w:p w14:paraId="302824A5" w14:textId="77777777" w:rsidR="00AE292F" w:rsidRPr="00E30F8F" w:rsidRDefault="00AE292F" w:rsidP="00FA4F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  <w:vertAlign w:val="superscript"/>
              </w:rPr>
            </w:pPr>
            <w:r w:rsidRPr="00E30F8F">
              <w:rPr>
                <w:sz w:val="24"/>
              </w:rPr>
              <w:t>Residential</w:t>
            </w:r>
          </w:p>
        </w:tc>
        <w:tc>
          <w:tcPr>
            <w:tcW w:w="800" w:type="pct"/>
            <w:vAlign w:val="center"/>
          </w:tcPr>
          <w:p w14:paraId="302824A6" w14:textId="00F6A764" w:rsidR="00AE292F" w:rsidRPr="00E30F8F" w:rsidRDefault="009C5876" w:rsidP="00E30F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E30F8F">
              <w:rPr>
                <w:sz w:val="24"/>
              </w:rPr>
              <w:t>(</w:t>
            </w:r>
            <w:r w:rsidR="00AE292F" w:rsidRPr="00E30F8F">
              <w:rPr>
                <w:sz w:val="24"/>
              </w:rPr>
              <w:t>$</w:t>
            </w:r>
            <w:r w:rsidRPr="00E30F8F">
              <w:rPr>
                <w:sz w:val="24"/>
              </w:rPr>
              <w:t>0.0</w:t>
            </w:r>
            <w:r w:rsidR="00E30F8F" w:rsidRPr="00E30F8F">
              <w:rPr>
                <w:sz w:val="24"/>
              </w:rPr>
              <w:t>3085</w:t>
            </w:r>
            <w:r w:rsidRPr="00E30F8F">
              <w:rPr>
                <w:sz w:val="24"/>
              </w:rPr>
              <w:t>)</w:t>
            </w:r>
          </w:p>
        </w:tc>
        <w:tc>
          <w:tcPr>
            <w:tcW w:w="893" w:type="pct"/>
          </w:tcPr>
          <w:p w14:paraId="302824A7" w14:textId="5C2DEDE0" w:rsidR="00AE292F" w:rsidRPr="00E30F8F" w:rsidRDefault="00AE292F" w:rsidP="00E30F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E30F8F">
              <w:rPr>
                <w:sz w:val="24"/>
              </w:rPr>
              <w:t>$</w:t>
            </w:r>
            <w:r w:rsidR="009C5876" w:rsidRPr="00E30F8F">
              <w:rPr>
                <w:sz w:val="24"/>
              </w:rPr>
              <w:t>0.00</w:t>
            </w:r>
            <w:r w:rsidR="00E30F8F" w:rsidRPr="00E30F8F">
              <w:rPr>
                <w:sz w:val="24"/>
              </w:rPr>
              <w:t>459</w:t>
            </w:r>
          </w:p>
        </w:tc>
        <w:tc>
          <w:tcPr>
            <w:tcW w:w="846" w:type="pct"/>
          </w:tcPr>
          <w:p w14:paraId="302824A8" w14:textId="32B27DB4" w:rsidR="00AE292F" w:rsidRPr="00E30F8F" w:rsidRDefault="009C5876" w:rsidP="00E30F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E30F8F">
              <w:rPr>
                <w:sz w:val="24"/>
              </w:rPr>
              <w:t>(</w:t>
            </w:r>
            <w:r w:rsidR="00AE292F" w:rsidRPr="00E30F8F">
              <w:rPr>
                <w:sz w:val="24"/>
              </w:rPr>
              <w:t>$</w:t>
            </w:r>
            <w:r w:rsidR="00E30F8F" w:rsidRPr="00E30F8F">
              <w:rPr>
                <w:sz w:val="24"/>
              </w:rPr>
              <w:t>1,012,310</w:t>
            </w:r>
            <w:r w:rsidRPr="00E30F8F">
              <w:rPr>
                <w:sz w:val="24"/>
              </w:rPr>
              <w:t>)</w:t>
            </w:r>
          </w:p>
        </w:tc>
        <w:tc>
          <w:tcPr>
            <w:tcW w:w="854" w:type="pct"/>
          </w:tcPr>
          <w:p w14:paraId="302824A9" w14:textId="4B6D439E" w:rsidR="00AE292F" w:rsidRPr="00E30F8F" w:rsidRDefault="009C5876" w:rsidP="00E30F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E30F8F">
              <w:rPr>
                <w:sz w:val="24"/>
              </w:rPr>
              <w:t>-</w:t>
            </w:r>
            <w:r w:rsidR="00E30F8F" w:rsidRPr="00E30F8F">
              <w:rPr>
                <w:sz w:val="24"/>
              </w:rPr>
              <w:t>2.2</w:t>
            </w:r>
            <w:r w:rsidR="00AE292F" w:rsidRPr="00E30F8F">
              <w:rPr>
                <w:sz w:val="24"/>
              </w:rPr>
              <w:t>%</w:t>
            </w:r>
          </w:p>
        </w:tc>
      </w:tr>
      <w:tr w:rsidR="00E30F8F" w:rsidRPr="00E30F8F" w14:paraId="302824B0" w14:textId="77777777" w:rsidTr="00AE292F">
        <w:tc>
          <w:tcPr>
            <w:tcW w:w="1607" w:type="pct"/>
          </w:tcPr>
          <w:p w14:paraId="302824AB" w14:textId="77777777" w:rsidR="00AE292F" w:rsidRPr="00E30F8F" w:rsidRDefault="00AE292F" w:rsidP="00FA4F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  <w:vertAlign w:val="superscript"/>
              </w:rPr>
            </w:pPr>
            <w:r w:rsidRPr="00E30F8F">
              <w:rPr>
                <w:sz w:val="24"/>
              </w:rPr>
              <w:t>Commercial</w:t>
            </w:r>
          </w:p>
        </w:tc>
        <w:tc>
          <w:tcPr>
            <w:tcW w:w="800" w:type="pct"/>
            <w:vAlign w:val="center"/>
          </w:tcPr>
          <w:p w14:paraId="302824AC" w14:textId="30C3471C" w:rsidR="00AE292F" w:rsidRPr="00E30F8F" w:rsidRDefault="00E30F8F" w:rsidP="009C58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E30F8F">
              <w:rPr>
                <w:sz w:val="24"/>
              </w:rPr>
              <w:t>($0.03085</w:t>
            </w:r>
            <w:r w:rsidR="009C5876" w:rsidRPr="00E30F8F">
              <w:rPr>
                <w:sz w:val="24"/>
              </w:rPr>
              <w:t>)</w:t>
            </w:r>
          </w:p>
        </w:tc>
        <w:tc>
          <w:tcPr>
            <w:tcW w:w="893" w:type="pct"/>
          </w:tcPr>
          <w:p w14:paraId="302824AD" w14:textId="34D080D4" w:rsidR="00AE292F" w:rsidRPr="00E30F8F" w:rsidRDefault="00E30F8F" w:rsidP="00E30F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E30F8F">
              <w:rPr>
                <w:sz w:val="24"/>
              </w:rPr>
              <w:t>$</w:t>
            </w:r>
            <w:r w:rsidR="009C5876" w:rsidRPr="00E30F8F">
              <w:rPr>
                <w:sz w:val="24"/>
              </w:rPr>
              <w:t>0.005</w:t>
            </w:r>
            <w:r w:rsidRPr="00E30F8F">
              <w:rPr>
                <w:sz w:val="24"/>
              </w:rPr>
              <w:t>92</w:t>
            </w:r>
          </w:p>
        </w:tc>
        <w:tc>
          <w:tcPr>
            <w:tcW w:w="846" w:type="pct"/>
          </w:tcPr>
          <w:p w14:paraId="302824AE" w14:textId="23B0B33E" w:rsidR="00AE292F" w:rsidRPr="00E30F8F" w:rsidRDefault="009C5876" w:rsidP="00E30F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E30F8F">
              <w:rPr>
                <w:sz w:val="24"/>
              </w:rPr>
              <w:t>(</w:t>
            </w:r>
            <w:r w:rsidR="00AE292F" w:rsidRPr="00E30F8F">
              <w:rPr>
                <w:sz w:val="24"/>
              </w:rPr>
              <w:t>$</w:t>
            </w:r>
            <w:r w:rsidR="00E30F8F" w:rsidRPr="00E30F8F">
              <w:rPr>
                <w:sz w:val="24"/>
              </w:rPr>
              <w:t>453,777</w:t>
            </w:r>
            <w:r w:rsidRPr="00E30F8F">
              <w:rPr>
                <w:sz w:val="24"/>
              </w:rPr>
              <w:t>)</w:t>
            </w:r>
          </w:p>
        </w:tc>
        <w:tc>
          <w:tcPr>
            <w:tcW w:w="854" w:type="pct"/>
          </w:tcPr>
          <w:p w14:paraId="302824AF" w14:textId="0261E677" w:rsidR="00AE292F" w:rsidRPr="00E30F8F" w:rsidRDefault="009C5876" w:rsidP="00E30F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E30F8F">
              <w:rPr>
                <w:sz w:val="24"/>
              </w:rPr>
              <w:t>-</w:t>
            </w:r>
            <w:r w:rsidR="00E30F8F" w:rsidRPr="00E30F8F">
              <w:rPr>
                <w:sz w:val="24"/>
              </w:rPr>
              <w:t>2.2</w:t>
            </w:r>
            <w:r w:rsidR="00AE292F" w:rsidRPr="00E30F8F">
              <w:rPr>
                <w:sz w:val="24"/>
              </w:rPr>
              <w:t>%</w:t>
            </w:r>
          </w:p>
        </w:tc>
      </w:tr>
      <w:tr w:rsidR="00E30F8F" w:rsidRPr="00E30F8F" w14:paraId="302824B6" w14:textId="77777777" w:rsidTr="00AE292F">
        <w:tc>
          <w:tcPr>
            <w:tcW w:w="1607" w:type="pct"/>
          </w:tcPr>
          <w:p w14:paraId="302824B1" w14:textId="77777777" w:rsidR="00AE292F" w:rsidRPr="00E30F8F" w:rsidRDefault="00AE292F" w:rsidP="00FA4F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E30F8F">
              <w:rPr>
                <w:sz w:val="24"/>
              </w:rPr>
              <w:t>Industrial</w:t>
            </w:r>
          </w:p>
        </w:tc>
        <w:tc>
          <w:tcPr>
            <w:tcW w:w="800" w:type="pct"/>
          </w:tcPr>
          <w:p w14:paraId="302824B2" w14:textId="6DB038D1" w:rsidR="00AE292F" w:rsidRPr="00E30F8F" w:rsidRDefault="00E30F8F" w:rsidP="009C58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E30F8F">
              <w:rPr>
                <w:sz w:val="24"/>
              </w:rPr>
              <w:t>($0.03085</w:t>
            </w:r>
            <w:r w:rsidR="009C5876" w:rsidRPr="00E30F8F">
              <w:rPr>
                <w:sz w:val="24"/>
              </w:rPr>
              <w:t>)</w:t>
            </w:r>
          </w:p>
        </w:tc>
        <w:tc>
          <w:tcPr>
            <w:tcW w:w="893" w:type="pct"/>
          </w:tcPr>
          <w:p w14:paraId="302824B3" w14:textId="3FE6748F" w:rsidR="00AE292F" w:rsidRPr="00E30F8F" w:rsidRDefault="00AE292F" w:rsidP="00FA4F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E30F8F">
              <w:rPr>
                <w:sz w:val="24"/>
              </w:rPr>
              <w:t>$</w:t>
            </w:r>
            <w:r w:rsidR="00E30F8F" w:rsidRPr="00E30F8F">
              <w:rPr>
                <w:sz w:val="24"/>
              </w:rPr>
              <w:t>0.01628</w:t>
            </w:r>
          </w:p>
        </w:tc>
        <w:tc>
          <w:tcPr>
            <w:tcW w:w="846" w:type="pct"/>
          </w:tcPr>
          <w:p w14:paraId="302824B4" w14:textId="3F46542D" w:rsidR="00AE292F" w:rsidRPr="00E30F8F" w:rsidRDefault="009C5876" w:rsidP="00FA4F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E30F8F">
              <w:rPr>
                <w:sz w:val="24"/>
              </w:rPr>
              <w:t>(</w:t>
            </w:r>
            <w:r w:rsidR="00AE292F" w:rsidRPr="00E30F8F">
              <w:rPr>
                <w:sz w:val="24"/>
              </w:rPr>
              <w:t>$</w:t>
            </w:r>
            <w:r w:rsidR="00E30F8F" w:rsidRPr="00E30F8F">
              <w:rPr>
                <w:sz w:val="24"/>
              </w:rPr>
              <w:t>65,981</w:t>
            </w:r>
            <w:r w:rsidRPr="00E30F8F">
              <w:rPr>
                <w:sz w:val="24"/>
              </w:rPr>
              <w:t>)</w:t>
            </w:r>
          </w:p>
        </w:tc>
        <w:tc>
          <w:tcPr>
            <w:tcW w:w="854" w:type="pct"/>
          </w:tcPr>
          <w:p w14:paraId="302824B5" w14:textId="7E467D8D" w:rsidR="00AE292F" w:rsidRPr="00E30F8F" w:rsidRDefault="009C5876" w:rsidP="00E30F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E30F8F">
              <w:rPr>
                <w:sz w:val="24"/>
              </w:rPr>
              <w:t>-</w:t>
            </w:r>
            <w:r w:rsidR="00E30F8F" w:rsidRPr="00E30F8F">
              <w:rPr>
                <w:sz w:val="24"/>
              </w:rPr>
              <w:t>3.2</w:t>
            </w:r>
            <w:r w:rsidR="00AE292F" w:rsidRPr="00E30F8F">
              <w:rPr>
                <w:sz w:val="24"/>
              </w:rPr>
              <w:t>%</w:t>
            </w:r>
          </w:p>
        </w:tc>
      </w:tr>
      <w:tr w:rsidR="00E30F8F" w:rsidRPr="00E30F8F" w14:paraId="302824BC" w14:textId="77777777" w:rsidTr="00AE292F">
        <w:tc>
          <w:tcPr>
            <w:tcW w:w="1607" w:type="pct"/>
          </w:tcPr>
          <w:p w14:paraId="302824B7" w14:textId="77777777" w:rsidR="00AE292F" w:rsidRPr="00E30F8F" w:rsidRDefault="00AE292F" w:rsidP="00FA4F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E30F8F">
              <w:rPr>
                <w:sz w:val="24"/>
              </w:rPr>
              <w:t>Interruptible</w:t>
            </w:r>
          </w:p>
        </w:tc>
        <w:tc>
          <w:tcPr>
            <w:tcW w:w="800" w:type="pct"/>
            <w:tcBorders>
              <w:bottom w:val="single" w:sz="6" w:space="0" w:color="auto"/>
            </w:tcBorders>
          </w:tcPr>
          <w:p w14:paraId="302824B8" w14:textId="354B4E18" w:rsidR="00AE292F" w:rsidRPr="00E30F8F" w:rsidRDefault="00E30F8F" w:rsidP="009C5876">
            <w:pPr>
              <w:jc w:val="center"/>
            </w:pPr>
            <w:r w:rsidRPr="00E30F8F">
              <w:rPr>
                <w:sz w:val="24"/>
              </w:rPr>
              <w:t>($0.03567</w:t>
            </w:r>
            <w:r w:rsidR="009C5876" w:rsidRPr="00E30F8F">
              <w:rPr>
                <w:sz w:val="24"/>
              </w:rPr>
              <w:t>)</w:t>
            </w:r>
          </w:p>
        </w:tc>
        <w:tc>
          <w:tcPr>
            <w:tcW w:w="893" w:type="pct"/>
            <w:tcBorders>
              <w:bottom w:val="single" w:sz="6" w:space="0" w:color="auto"/>
            </w:tcBorders>
          </w:tcPr>
          <w:p w14:paraId="302824B9" w14:textId="0E181167" w:rsidR="00AE292F" w:rsidRPr="00E30F8F" w:rsidRDefault="00AE292F" w:rsidP="00E30F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E30F8F">
              <w:rPr>
                <w:sz w:val="24"/>
              </w:rPr>
              <w:t>$</w:t>
            </w:r>
            <w:r w:rsidR="009C5876" w:rsidRPr="00E30F8F">
              <w:rPr>
                <w:sz w:val="24"/>
              </w:rPr>
              <w:t>0.01</w:t>
            </w:r>
            <w:r w:rsidR="00E30F8F" w:rsidRPr="00E30F8F">
              <w:rPr>
                <w:sz w:val="24"/>
              </w:rPr>
              <w:t>410</w:t>
            </w:r>
          </w:p>
        </w:tc>
        <w:tc>
          <w:tcPr>
            <w:tcW w:w="846" w:type="pct"/>
            <w:tcBorders>
              <w:bottom w:val="single" w:sz="18" w:space="0" w:color="auto"/>
            </w:tcBorders>
          </w:tcPr>
          <w:p w14:paraId="302824BA" w14:textId="1CA0F093" w:rsidR="00AE292F" w:rsidRPr="00E30F8F" w:rsidRDefault="009C5876" w:rsidP="00E30F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noProof/>
                <w:sz w:val="24"/>
              </w:rPr>
            </w:pPr>
            <w:r w:rsidRPr="00E30F8F">
              <w:rPr>
                <w:noProof/>
                <w:sz w:val="24"/>
              </w:rPr>
              <w:t>(</w:t>
            </w:r>
            <w:r w:rsidR="00AE292F" w:rsidRPr="00E30F8F">
              <w:rPr>
                <w:noProof/>
                <w:sz w:val="24"/>
              </w:rPr>
              <w:t>$</w:t>
            </w:r>
            <w:r w:rsidR="00E30F8F" w:rsidRPr="00E30F8F">
              <w:rPr>
                <w:noProof/>
                <w:sz w:val="24"/>
              </w:rPr>
              <w:t>296,793</w:t>
            </w:r>
            <w:r w:rsidRPr="00E30F8F">
              <w:rPr>
                <w:noProof/>
                <w:sz w:val="24"/>
              </w:rPr>
              <w:t>)</w:t>
            </w:r>
          </w:p>
        </w:tc>
        <w:tc>
          <w:tcPr>
            <w:tcW w:w="854" w:type="pct"/>
            <w:tcBorders>
              <w:bottom w:val="single" w:sz="18" w:space="0" w:color="auto"/>
            </w:tcBorders>
          </w:tcPr>
          <w:p w14:paraId="302824BB" w14:textId="3456572E" w:rsidR="00AE292F" w:rsidRPr="00E30F8F" w:rsidRDefault="009C5876" w:rsidP="00E30F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noProof/>
                <w:sz w:val="24"/>
              </w:rPr>
            </w:pPr>
            <w:r w:rsidRPr="00E30F8F">
              <w:rPr>
                <w:noProof/>
                <w:sz w:val="24"/>
              </w:rPr>
              <w:t>-</w:t>
            </w:r>
            <w:r w:rsidR="00E30F8F" w:rsidRPr="00E30F8F">
              <w:rPr>
                <w:noProof/>
                <w:sz w:val="24"/>
              </w:rPr>
              <w:t>3.9</w:t>
            </w:r>
            <w:r w:rsidR="00AE292F" w:rsidRPr="00E30F8F">
              <w:rPr>
                <w:noProof/>
                <w:sz w:val="24"/>
              </w:rPr>
              <w:t>%</w:t>
            </w:r>
          </w:p>
        </w:tc>
      </w:tr>
      <w:tr w:rsidR="00E30F8F" w:rsidRPr="00E30F8F" w14:paraId="302824C0" w14:textId="77777777" w:rsidTr="00AE292F">
        <w:tc>
          <w:tcPr>
            <w:tcW w:w="3300" w:type="pct"/>
            <w:gridSpan w:val="3"/>
            <w:vAlign w:val="center"/>
          </w:tcPr>
          <w:p w14:paraId="302824BD" w14:textId="77777777" w:rsidR="00AE292F" w:rsidRPr="00E30F8F" w:rsidRDefault="00AE292F" w:rsidP="00AE29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E30F8F">
              <w:rPr>
                <w:sz w:val="24"/>
              </w:rPr>
              <w:t>Total</w:t>
            </w:r>
          </w:p>
        </w:tc>
        <w:tc>
          <w:tcPr>
            <w:tcW w:w="846" w:type="pct"/>
            <w:tcBorders>
              <w:top w:val="single" w:sz="18" w:space="0" w:color="auto"/>
              <w:bottom w:val="single" w:sz="18" w:space="0" w:color="auto"/>
            </w:tcBorders>
          </w:tcPr>
          <w:p w14:paraId="302824BE" w14:textId="2FF36D1A" w:rsidR="00AE292F" w:rsidRPr="00E30F8F" w:rsidRDefault="009C5876" w:rsidP="00E30F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noProof/>
                <w:sz w:val="24"/>
              </w:rPr>
            </w:pPr>
            <w:r w:rsidRPr="00E30F8F">
              <w:rPr>
                <w:noProof/>
                <w:sz w:val="24"/>
              </w:rPr>
              <w:t>(</w:t>
            </w:r>
            <w:r w:rsidR="00213C5B" w:rsidRPr="00E30F8F">
              <w:rPr>
                <w:noProof/>
                <w:sz w:val="24"/>
              </w:rPr>
              <w:t>$1,</w:t>
            </w:r>
            <w:r w:rsidR="00E30F8F" w:rsidRPr="00E30F8F">
              <w:rPr>
                <w:noProof/>
                <w:sz w:val="24"/>
              </w:rPr>
              <w:t>828,861</w:t>
            </w:r>
            <w:r w:rsidRPr="00E30F8F">
              <w:rPr>
                <w:noProof/>
                <w:sz w:val="24"/>
              </w:rPr>
              <w:t>)</w:t>
            </w:r>
          </w:p>
        </w:tc>
        <w:tc>
          <w:tcPr>
            <w:tcW w:w="854" w:type="pct"/>
            <w:tcBorders>
              <w:top w:val="single" w:sz="18" w:space="0" w:color="auto"/>
              <w:bottom w:val="single" w:sz="18" w:space="0" w:color="auto"/>
            </w:tcBorders>
          </w:tcPr>
          <w:p w14:paraId="302824BF" w14:textId="395C2E3D" w:rsidR="00AE292F" w:rsidRPr="00E30F8F" w:rsidRDefault="009C5876" w:rsidP="00E30F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noProof/>
                <w:sz w:val="24"/>
              </w:rPr>
            </w:pPr>
            <w:r w:rsidRPr="00E30F8F">
              <w:rPr>
                <w:noProof/>
                <w:sz w:val="24"/>
              </w:rPr>
              <w:t>-</w:t>
            </w:r>
            <w:r w:rsidR="00E30F8F" w:rsidRPr="00E30F8F">
              <w:rPr>
                <w:noProof/>
                <w:sz w:val="24"/>
              </w:rPr>
              <w:t>2.3</w:t>
            </w:r>
            <w:r w:rsidR="00AE292F" w:rsidRPr="00E30F8F">
              <w:rPr>
                <w:noProof/>
                <w:sz w:val="24"/>
              </w:rPr>
              <w:t>%</w:t>
            </w:r>
          </w:p>
        </w:tc>
      </w:tr>
    </w:tbl>
    <w:p w14:paraId="302824C1" w14:textId="77777777" w:rsidR="00174219" w:rsidRPr="00E30F8F" w:rsidRDefault="00174219" w:rsidP="001E1CDD">
      <w:pPr>
        <w:rPr>
          <w:sz w:val="24"/>
        </w:rPr>
      </w:pPr>
    </w:p>
    <w:p w14:paraId="39B83251" w14:textId="77777777" w:rsidR="00112D18" w:rsidRDefault="00112D18" w:rsidP="00E23DC3">
      <w:pPr>
        <w:rPr>
          <w:b/>
          <w:sz w:val="24"/>
          <w:u w:val="single"/>
        </w:rPr>
      </w:pPr>
    </w:p>
    <w:p w14:paraId="6A6F265D" w14:textId="77777777" w:rsidR="00112D18" w:rsidRDefault="00112D18" w:rsidP="00E23DC3">
      <w:pPr>
        <w:rPr>
          <w:b/>
          <w:sz w:val="24"/>
          <w:u w:val="single"/>
        </w:rPr>
      </w:pPr>
    </w:p>
    <w:p w14:paraId="302824C2" w14:textId="77777777" w:rsidR="00E23DC3" w:rsidRDefault="00E23DC3" w:rsidP="00E23DC3">
      <w:pPr>
        <w:rPr>
          <w:b/>
          <w:sz w:val="24"/>
          <w:u w:val="single"/>
        </w:rPr>
      </w:pPr>
      <w:r w:rsidRPr="00494940">
        <w:rPr>
          <w:b/>
          <w:sz w:val="24"/>
          <w:u w:val="single"/>
        </w:rPr>
        <w:t>Customer Comments</w:t>
      </w:r>
    </w:p>
    <w:p w14:paraId="302824C3" w14:textId="77777777" w:rsidR="0041322B" w:rsidRDefault="0041322B" w:rsidP="00E23DC3">
      <w:pPr>
        <w:rPr>
          <w:sz w:val="24"/>
        </w:rPr>
      </w:pPr>
    </w:p>
    <w:p w14:paraId="302824C4" w14:textId="0FA17D13" w:rsidR="00E23DC3" w:rsidRPr="00494940" w:rsidRDefault="00D15259" w:rsidP="00E23DC3">
      <w:pPr>
        <w:rPr>
          <w:sz w:val="24"/>
        </w:rPr>
      </w:pPr>
      <w:r>
        <w:rPr>
          <w:sz w:val="24"/>
        </w:rPr>
        <w:t xml:space="preserve">Northwest Natural Gas Company notified its customers of the anticipated rate decrease by bill insert with the </w:t>
      </w:r>
      <w:r w:rsidR="00F85EB2">
        <w:rPr>
          <w:sz w:val="24"/>
        </w:rPr>
        <w:t>September</w:t>
      </w:r>
      <w:r>
        <w:rPr>
          <w:sz w:val="24"/>
        </w:rPr>
        <w:t xml:space="preserve"> billing</w:t>
      </w:r>
      <w:r w:rsidR="00F85EB2">
        <w:rPr>
          <w:sz w:val="24"/>
        </w:rPr>
        <w:t xml:space="preserve"> . </w:t>
      </w:r>
      <w:r>
        <w:rPr>
          <w:sz w:val="24"/>
        </w:rPr>
        <w:t xml:space="preserve">The company informed staff that it intends to inform its customers of the rate decrease with a bill message on the first bill following the effective date of the tariff revision. </w:t>
      </w:r>
      <w:r w:rsidR="00F85EB2" w:rsidRPr="00F85EB2">
        <w:rPr>
          <w:sz w:val="24"/>
        </w:rPr>
        <w:t>The commission received no c</w:t>
      </w:r>
      <w:r w:rsidR="00F85EB2">
        <w:rPr>
          <w:sz w:val="24"/>
        </w:rPr>
        <w:t>ustomer comments on this filing</w:t>
      </w:r>
      <w:r w:rsidR="00E23DC3">
        <w:rPr>
          <w:sz w:val="24"/>
        </w:rPr>
        <w:t>.</w:t>
      </w:r>
    </w:p>
    <w:p w14:paraId="302824C5" w14:textId="77777777" w:rsidR="00553DAB" w:rsidRDefault="00553DAB" w:rsidP="00D83682">
      <w:pPr>
        <w:rPr>
          <w:b/>
          <w:sz w:val="24"/>
          <w:u w:val="single"/>
        </w:rPr>
      </w:pPr>
    </w:p>
    <w:p w14:paraId="451FAEED" w14:textId="77777777" w:rsidR="00112D18" w:rsidRDefault="00112D18" w:rsidP="00D83682">
      <w:pPr>
        <w:rPr>
          <w:b/>
          <w:sz w:val="24"/>
          <w:u w:val="single"/>
        </w:rPr>
      </w:pPr>
    </w:p>
    <w:p w14:paraId="302824C6" w14:textId="77777777" w:rsidR="002C705E" w:rsidRDefault="002C705E" w:rsidP="00D83682">
      <w:pPr>
        <w:rPr>
          <w:b/>
          <w:sz w:val="24"/>
          <w:u w:val="single"/>
        </w:rPr>
      </w:pPr>
      <w:r w:rsidRPr="0098417C">
        <w:rPr>
          <w:b/>
          <w:sz w:val="24"/>
          <w:u w:val="single"/>
        </w:rPr>
        <w:lastRenderedPageBreak/>
        <w:t>Conclusion</w:t>
      </w:r>
    </w:p>
    <w:p w14:paraId="302824C7" w14:textId="77777777" w:rsidR="00D83682" w:rsidRPr="002D45DD" w:rsidRDefault="00D83682" w:rsidP="00D83682">
      <w:pPr>
        <w:rPr>
          <w:sz w:val="24"/>
        </w:rPr>
      </w:pPr>
    </w:p>
    <w:p w14:paraId="302824C8" w14:textId="77777777" w:rsidR="002C57FF" w:rsidRDefault="002C57FF">
      <w:pPr>
        <w:pStyle w:val="BodyText"/>
      </w:pPr>
      <w:r w:rsidRPr="00D76CE3">
        <w:t xml:space="preserve">Commission staff has completed its review of the company’s supporting financial documents, </w:t>
      </w:r>
      <w:r w:rsidRPr="002D45DD">
        <w:t>prospective gas cost and deferral a</w:t>
      </w:r>
      <w:r>
        <w:t>mortization filing</w:t>
      </w:r>
      <w:r w:rsidRPr="00D76CE3">
        <w:t>. Staff’s review shows that the expenses are reasonable and required as part of the compan</w:t>
      </w:r>
      <w:r>
        <w:t>y</w:t>
      </w:r>
      <w:r w:rsidRPr="00D76CE3">
        <w:t>’</w:t>
      </w:r>
      <w:r>
        <w:t>s</w:t>
      </w:r>
      <w:r w:rsidRPr="00D76CE3">
        <w:t xml:space="preserve"> operation. The compan</w:t>
      </w:r>
      <w:r>
        <w:t>y</w:t>
      </w:r>
      <w:r w:rsidRPr="00D76CE3">
        <w:t>’</w:t>
      </w:r>
      <w:r>
        <w:t>s</w:t>
      </w:r>
      <w:r w:rsidRPr="00D76CE3">
        <w:t xml:space="preserve"> financial information support</w:t>
      </w:r>
      <w:r>
        <w:t>s</w:t>
      </w:r>
      <w:r w:rsidRPr="00D76CE3">
        <w:t xml:space="preserve"> the revised rates and charges are fair, just, reasonable, and sufficient.</w:t>
      </w:r>
    </w:p>
    <w:p w14:paraId="302824C9" w14:textId="77777777" w:rsidR="002C57FF" w:rsidRDefault="002C57FF">
      <w:pPr>
        <w:pStyle w:val="BodyText"/>
      </w:pPr>
    </w:p>
    <w:sectPr w:rsidR="002C57FF" w:rsidSect="00112D18">
      <w:headerReference w:type="default" r:id="rId12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824CD" w14:textId="77777777" w:rsidR="006964EC" w:rsidRDefault="006964EC">
      <w:r>
        <w:separator/>
      </w:r>
    </w:p>
  </w:endnote>
  <w:endnote w:type="continuationSeparator" w:id="0">
    <w:p w14:paraId="302824CE" w14:textId="77777777" w:rsidR="006964EC" w:rsidRDefault="0069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824CB" w14:textId="77777777" w:rsidR="006964EC" w:rsidRDefault="006964EC">
      <w:r>
        <w:separator/>
      </w:r>
    </w:p>
  </w:footnote>
  <w:footnote w:type="continuationSeparator" w:id="0">
    <w:p w14:paraId="302824CC" w14:textId="77777777" w:rsidR="006964EC" w:rsidRDefault="00696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6E2DE" w14:textId="430B2B9A" w:rsidR="00112D18" w:rsidRDefault="00112D18">
    <w:pPr>
      <w:pStyle w:val="Header"/>
    </w:pPr>
    <w:r>
      <w:t>Docket UG-111587</w:t>
    </w:r>
  </w:p>
  <w:p w14:paraId="37012C3F" w14:textId="441AAA7E" w:rsidR="00112D18" w:rsidRDefault="00112D18">
    <w:pPr>
      <w:pStyle w:val="Header"/>
    </w:pPr>
    <w:r>
      <w:t>October 27, 2011</w:t>
    </w:r>
  </w:p>
  <w:p w14:paraId="1E948E0F" w14:textId="57336374" w:rsidR="00112D18" w:rsidRDefault="00112D18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22B2C">
      <w:rPr>
        <w:noProof/>
      </w:rPr>
      <w:t>3</w:t>
    </w:r>
    <w:r>
      <w:rPr>
        <w:noProof/>
      </w:rPr>
      <w:fldChar w:fldCharType="end"/>
    </w:r>
  </w:p>
  <w:p w14:paraId="697B494E" w14:textId="77777777" w:rsidR="00112D18" w:rsidRDefault="00112D18">
    <w:pPr>
      <w:pStyle w:val="Header"/>
    </w:pPr>
  </w:p>
  <w:p w14:paraId="302824D2" w14:textId="77777777" w:rsidR="006964EC" w:rsidRPr="009C3E35" w:rsidRDefault="006964EC">
    <w:pPr>
      <w:spacing w:line="240" w:lineRule="exact"/>
      <w:rPr>
        <w:rFonts w:ascii="Palatino Linotype" w:hAnsi="Palatino Linotype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D2CDE"/>
    <w:multiLevelType w:val="hybridMultilevel"/>
    <w:tmpl w:val="F0C8D820"/>
    <w:lvl w:ilvl="0" w:tplc="9E000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880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CEE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680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603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26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32A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AD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DA7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2C"/>
    <w:rsid w:val="00013A19"/>
    <w:rsid w:val="00022D0E"/>
    <w:rsid w:val="00036B1B"/>
    <w:rsid w:val="00036DB4"/>
    <w:rsid w:val="00043D92"/>
    <w:rsid w:val="00050666"/>
    <w:rsid w:val="000631FB"/>
    <w:rsid w:val="00074D93"/>
    <w:rsid w:val="00082DC3"/>
    <w:rsid w:val="00090A2A"/>
    <w:rsid w:val="00091FE1"/>
    <w:rsid w:val="00094D39"/>
    <w:rsid w:val="00095391"/>
    <w:rsid w:val="000A5740"/>
    <w:rsid w:val="000A7E95"/>
    <w:rsid w:val="000C647B"/>
    <w:rsid w:val="000D28CF"/>
    <w:rsid w:val="000D32C5"/>
    <w:rsid w:val="000D670E"/>
    <w:rsid w:val="000D7C36"/>
    <w:rsid w:val="000F219D"/>
    <w:rsid w:val="000F394A"/>
    <w:rsid w:val="000F610D"/>
    <w:rsid w:val="000F75FA"/>
    <w:rsid w:val="0010256E"/>
    <w:rsid w:val="00112D18"/>
    <w:rsid w:val="001208A1"/>
    <w:rsid w:val="001247BE"/>
    <w:rsid w:val="001271DD"/>
    <w:rsid w:val="00133653"/>
    <w:rsid w:val="00140DF6"/>
    <w:rsid w:val="00145CBD"/>
    <w:rsid w:val="00146B0C"/>
    <w:rsid w:val="00147D58"/>
    <w:rsid w:val="00174219"/>
    <w:rsid w:val="0018252A"/>
    <w:rsid w:val="001830B9"/>
    <w:rsid w:val="001976CF"/>
    <w:rsid w:val="001A0B56"/>
    <w:rsid w:val="001B31DB"/>
    <w:rsid w:val="001B3ECA"/>
    <w:rsid w:val="001B5101"/>
    <w:rsid w:val="001C4080"/>
    <w:rsid w:val="001D66CD"/>
    <w:rsid w:val="001E0FAD"/>
    <w:rsid w:val="001E1CDD"/>
    <w:rsid w:val="001E41EB"/>
    <w:rsid w:val="0020018D"/>
    <w:rsid w:val="00201F49"/>
    <w:rsid w:val="00206318"/>
    <w:rsid w:val="00206C52"/>
    <w:rsid w:val="00212F26"/>
    <w:rsid w:val="00213C5B"/>
    <w:rsid w:val="002153C4"/>
    <w:rsid w:val="00222B2C"/>
    <w:rsid w:val="002435BD"/>
    <w:rsid w:val="00252301"/>
    <w:rsid w:val="00253DDD"/>
    <w:rsid w:val="0026559B"/>
    <w:rsid w:val="00270A6E"/>
    <w:rsid w:val="0027484E"/>
    <w:rsid w:val="00292332"/>
    <w:rsid w:val="002A3613"/>
    <w:rsid w:val="002B05B8"/>
    <w:rsid w:val="002B3898"/>
    <w:rsid w:val="002B3CA4"/>
    <w:rsid w:val="002C57FF"/>
    <w:rsid w:val="002C59D9"/>
    <w:rsid w:val="002C5CC8"/>
    <w:rsid w:val="002C705E"/>
    <w:rsid w:val="002C7A12"/>
    <w:rsid w:val="002D105E"/>
    <w:rsid w:val="002D45DD"/>
    <w:rsid w:val="002F454B"/>
    <w:rsid w:val="0030053B"/>
    <w:rsid w:val="003018AA"/>
    <w:rsid w:val="00305707"/>
    <w:rsid w:val="00310FCE"/>
    <w:rsid w:val="00311439"/>
    <w:rsid w:val="00324EA1"/>
    <w:rsid w:val="0034649A"/>
    <w:rsid w:val="00352F08"/>
    <w:rsid w:val="00357190"/>
    <w:rsid w:val="00360D62"/>
    <w:rsid w:val="00361993"/>
    <w:rsid w:val="00364F16"/>
    <w:rsid w:val="00375367"/>
    <w:rsid w:val="0038200F"/>
    <w:rsid w:val="0038313E"/>
    <w:rsid w:val="003914D3"/>
    <w:rsid w:val="003A0C2D"/>
    <w:rsid w:val="003A2E67"/>
    <w:rsid w:val="003A7738"/>
    <w:rsid w:val="003B168B"/>
    <w:rsid w:val="003B2268"/>
    <w:rsid w:val="003C26A9"/>
    <w:rsid w:val="003C368E"/>
    <w:rsid w:val="003E173D"/>
    <w:rsid w:val="003E6316"/>
    <w:rsid w:val="003F2724"/>
    <w:rsid w:val="0040190A"/>
    <w:rsid w:val="004120DB"/>
    <w:rsid w:val="0041322B"/>
    <w:rsid w:val="004216DE"/>
    <w:rsid w:val="004271A8"/>
    <w:rsid w:val="00434ABD"/>
    <w:rsid w:val="00455A78"/>
    <w:rsid w:val="00463027"/>
    <w:rsid w:val="004763B4"/>
    <w:rsid w:val="004849AE"/>
    <w:rsid w:val="00493E6B"/>
    <w:rsid w:val="00494682"/>
    <w:rsid w:val="004B0CDD"/>
    <w:rsid w:val="004B1E1D"/>
    <w:rsid w:val="004B4F04"/>
    <w:rsid w:val="004B5ED8"/>
    <w:rsid w:val="004C1AA4"/>
    <w:rsid w:val="004C2C5A"/>
    <w:rsid w:val="004C77C3"/>
    <w:rsid w:val="004D05A0"/>
    <w:rsid w:val="004D62C3"/>
    <w:rsid w:val="004D6C3C"/>
    <w:rsid w:val="004D77B8"/>
    <w:rsid w:val="004F0265"/>
    <w:rsid w:val="004F29CE"/>
    <w:rsid w:val="00507A75"/>
    <w:rsid w:val="0051022A"/>
    <w:rsid w:val="005130EB"/>
    <w:rsid w:val="005135AB"/>
    <w:rsid w:val="00515D3E"/>
    <w:rsid w:val="00522FAF"/>
    <w:rsid w:val="00523D24"/>
    <w:rsid w:val="0052581E"/>
    <w:rsid w:val="00537D1D"/>
    <w:rsid w:val="005411F4"/>
    <w:rsid w:val="0054362A"/>
    <w:rsid w:val="0054455B"/>
    <w:rsid w:val="005479F1"/>
    <w:rsid w:val="0055085C"/>
    <w:rsid w:val="00553DAB"/>
    <w:rsid w:val="00556BC6"/>
    <w:rsid w:val="00562427"/>
    <w:rsid w:val="00562D16"/>
    <w:rsid w:val="005763E6"/>
    <w:rsid w:val="00581D42"/>
    <w:rsid w:val="005874F7"/>
    <w:rsid w:val="0059382A"/>
    <w:rsid w:val="00597B8C"/>
    <w:rsid w:val="005A6437"/>
    <w:rsid w:val="005B22C3"/>
    <w:rsid w:val="005B6D34"/>
    <w:rsid w:val="005B7276"/>
    <w:rsid w:val="005B7946"/>
    <w:rsid w:val="005C4AA7"/>
    <w:rsid w:val="005C670E"/>
    <w:rsid w:val="005D2217"/>
    <w:rsid w:val="005E0D92"/>
    <w:rsid w:val="005E1E13"/>
    <w:rsid w:val="005F2B52"/>
    <w:rsid w:val="006026F0"/>
    <w:rsid w:val="0060442E"/>
    <w:rsid w:val="00615C2F"/>
    <w:rsid w:val="0062668A"/>
    <w:rsid w:val="00626832"/>
    <w:rsid w:val="00627B67"/>
    <w:rsid w:val="00640EE6"/>
    <w:rsid w:val="00647760"/>
    <w:rsid w:val="00655961"/>
    <w:rsid w:val="00670EBD"/>
    <w:rsid w:val="0067472C"/>
    <w:rsid w:val="0067560B"/>
    <w:rsid w:val="006831B8"/>
    <w:rsid w:val="00684BE3"/>
    <w:rsid w:val="0068606E"/>
    <w:rsid w:val="006964EC"/>
    <w:rsid w:val="00697817"/>
    <w:rsid w:val="006B423D"/>
    <w:rsid w:val="006C3D15"/>
    <w:rsid w:val="006C431B"/>
    <w:rsid w:val="006C5020"/>
    <w:rsid w:val="006D1D41"/>
    <w:rsid w:val="006D34DC"/>
    <w:rsid w:val="006E33E2"/>
    <w:rsid w:val="006E5777"/>
    <w:rsid w:val="006F3BA3"/>
    <w:rsid w:val="00701731"/>
    <w:rsid w:val="007051D4"/>
    <w:rsid w:val="00706E38"/>
    <w:rsid w:val="00742A7C"/>
    <w:rsid w:val="007472D2"/>
    <w:rsid w:val="007521E7"/>
    <w:rsid w:val="00754B4C"/>
    <w:rsid w:val="00762AC1"/>
    <w:rsid w:val="0076508A"/>
    <w:rsid w:val="0077019A"/>
    <w:rsid w:val="00772B63"/>
    <w:rsid w:val="00775D23"/>
    <w:rsid w:val="0077628D"/>
    <w:rsid w:val="00776738"/>
    <w:rsid w:val="00781BA2"/>
    <w:rsid w:val="007948AC"/>
    <w:rsid w:val="007A32D7"/>
    <w:rsid w:val="007B030A"/>
    <w:rsid w:val="007C252E"/>
    <w:rsid w:val="007C3631"/>
    <w:rsid w:val="007C40CF"/>
    <w:rsid w:val="007F6CA6"/>
    <w:rsid w:val="00803971"/>
    <w:rsid w:val="00803F75"/>
    <w:rsid w:val="00814700"/>
    <w:rsid w:val="0082227B"/>
    <w:rsid w:val="0083154E"/>
    <w:rsid w:val="008330F2"/>
    <w:rsid w:val="00835C44"/>
    <w:rsid w:val="00846563"/>
    <w:rsid w:val="00850475"/>
    <w:rsid w:val="00852E05"/>
    <w:rsid w:val="008541DC"/>
    <w:rsid w:val="00857F2B"/>
    <w:rsid w:val="00860451"/>
    <w:rsid w:val="00860C12"/>
    <w:rsid w:val="00862A84"/>
    <w:rsid w:val="008675F0"/>
    <w:rsid w:val="008749FD"/>
    <w:rsid w:val="00876899"/>
    <w:rsid w:val="0088274F"/>
    <w:rsid w:val="00882F39"/>
    <w:rsid w:val="008864FD"/>
    <w:rsid w:val="008935E6"/>
    <w:rsid w:val="00893E92"/>
    <w:rsid w:val="008A22B1"/>
    <w:rsid w:val="008B3C0A"/>
    <w:rsid w:val="008C0B0D"/>
    <w:rsid w:val="008C24A3"/>
    <w:rsid w:val="008C50D0"/>
    <w:rsid w:val="008E54F1"/>
    <w:rsid w:val="008E6E4F"/>
    <w:rsid w:val="009003ED"/>
    <w:rsid w:val="00900B8C"/>
    <w:rsid w:val="009022AB"/>
    <w:rsid w:val="00916158"/>
    <w:rsid w:val="00930926"/>
    <w:rsid w:val="00935165"/>
    <w:rsid w:val="0094075E"/>
    <w:rsid w:val="00950062"/>
    <w:rsid w:val="00955E02"/>
    <w:rsid w:val="00957ADB"/>
    <w:rsid w:val="00963497"/>
    <w:rsid w:val="00965E2B"/>
    <w:rsid w:val="009665B9"/>
    <w:rsid w:val="00972E4A"/>
    <w:rsid w:val="0098417C"/>
    <w:rsid w:val="00997226"/>
    <w:rsid w:val="009A0CB1"/>
    <w:rsid w:val="009A3E23"/>
    <w:rsid w:val="009A523B"/>
    <w:rsid w:val="009A6698"/>
    <w:rsid w:val="009C3E35"/>
    <w:rsid w:val="009C402F"/>
    <w:rsid w:val="009C5876"/>
    <w:rsid w:val="009D54F0"/>
    <w:rsid w:val="009D7A6C"/>
    <w:rsid w:val="009E2C3C"/>
    <w:rsid w:val="009F211D"/>
    <w:rsid w:val="00A047B3"/>
    <w:rsid w:val="00A114FC"/>
    <w:rsid w:val="00A2537B"/>
    <w:rsid w:val="00A40610"/>
    <w:rsid w:val="00A44CFF"/>
    <w:rsid w:val="00A50BDE"/>
    <w:rsid w:val="00A61555"/>
    <w:rsid w:val="00A6275F"/>
    <w:rsid w:val="00A64966"/>
    <w:rsid w:val="00A66959"/>
    <w:rsid w:val="00A712F7"/>
    <w:rsid w:val="00A73AC4"/>
    <w:rsid w:val="00A871B1"/>
    <w:rsid w:val="00AA5D39"/>
    <w:rsid w:val="00AB5C6F"/>
    <w:rsid w:val="00AC0FCE"/>
    <w:rsid w:val="00AC3610"/>
    <w:rsid w:val="00AE292F"/>
    <w:rsid w:val="00AE6CF3"/>
    <w:rsid w:val="00AF398D"/>
    <w:rsid w:val="00AF74E1"/>
    <w:rsid w:val="00B12E05"/>
    <w:rsid w:val="00B140DC"/>
    <w:rsid w:val="00B14579"/>
    <w:rsid w:val="00B150F5"/>
    <w:rsid w:val="00B15E55"/>
    <w:rsid w:val="00B22FF4"/>
    <w:rsid w:val="00B251C1"/>
    <w:rsid w:val="00B26DDB"/>
    <w:rsid w:val="00B317BB"/>
    <w:rsid w:val="00B34F76"/>
    <w:rsid w:val="00B36A9B"/>
    <w:rsid w:val="00B415EF"/>
    <w:rsid w:val="00B448BB"/>
    <w:rsid w:val="00B4502A"/>
    <w:rsid w:val="00B4640B"/>
    <w:rsid w:val="00B50A41"/>
    <w:rsid w:val="00B50CC4"/>
    <w:rsid w:val="00B77A94"/>
    <w:rsid w:val="00B86E73"/>
    <w:rsid w:val="00B934E8"/>
    <w:rsid w:val="00BB23F9"/>
    <w:rsid w:val="00BC0A4F"/>
    <w:rsid w:val="00BC2AFD"/>
    <w:rsid w:val="00BC3CE4"/>
    <w:rsid w:val="00BD1BC8"/>
    <w:rsid w:val="00BE115C"/>
    <w:rsid w:val="00BE4AA7"/>
    <w:rsid w:val="00BE6FA7"/>
    <w:rsid w:val="00C07CB0"/>
    <w:rsid w:val="00C17B19"/>
    <w:rsid w:val="00C20B8F"/>
    <w:rsid w:val="00C22C60"/>
    <w:rsid w:val="00C264FF"/>
    <w:rsid w:val="00C34D32"/>
    <w:rsid w:val="00C37BE9"/>
    <w:rsid w:val="00C4155A"/>
    <w:rsid w:val="00C54B41"/>
    <w:rsid w:val="00C57F33"/>
    <w:rsid w:val="00C6723A"/>
    <w:rsid w:val="00C70056"/>
    <w:rsid w:val="00C702D6"/>
    <w:rsid w:val="00C71B4E"/>
    <w:rsid w:val="00C75B49"/>
    <w:rsid w:val="00C954DC"/>
    <w:rsid w:val="00CA6823"/>
    <w:rsid w:val="00CB36A8"/>
    <w:rsid w:val="00CB43F5"/>
    <w:rsid w:val="00CB4B07"/>
    <w:rsid w:val="00CB74F0"/>
    <w:rsid w:val="00CC08CE"/>
    <w:rsid w:val="00CC51DA"/>
    <w:rsid w:val="00CC5718"/>
    <w:rsid w:val="00CC5BED"/>
    <w:rsid w:val="00CD302C"/>
    <w:rsid w:val="00CD30B0"/>
    <w:rsid w:val="00CD6484"/>
    <w:rsid w:val="00CE01CC"/>
    <w:rsid w:val="00CF1CD1"/>
    <w:rsid w:val="00CF453C"/>
    <w:rsid w:val="00D04C37"/>
    <w:rsid w:val="00D149F1"/>
    <w:rsid w:val="00D15259"/>
    <w:rsid w:val="00D24448"/>
    <w:rsid w:val="00D253DB"/>
    <w:rsid w:val="00D339F7"/>
    <w:rsid w:val="00D36DA8"/>
    <w:rsid w:val="00D56133"/>
    <w:rsid w:val="00D56730"/>
    <w:rsid w:val="00D64BA1"/>
    <w:rsid w:val="00D67C26"/>
    <w:rsid w:val="00D778B9"/>
    <w:rsid w:val="00D77C30"/>
    <w:rsid w:val="00D82C1B"/>
    <w:rsid w:val="00D83682"/>
    <w:rsid w:val="00D936EE"/>
    <w:rsid w:val="00D93BD4"/>
    <w:rsid w:val="00D9403E"/>
    <w:rsid w:val="00D95FBE"/>
    <w:rsid w:val="00D97778"/>
    <w:rsid w:val="00DB3E6E"/>
    <w:rsid w:val="00DB6FAB"/>
    <w:rsid w:val="00DB708E"/>
    <w:rsid w:val="00DB742E"/>
    <w:rsid w:val="00DD48B7"/>
    <w:rsid w:val="00DD711D"/>
    <w:rsid w:val="00DE31A6"/>
    <w:rsid w:val="00DE4997"/>
    <w:rsid w:val="00DE5EFA"/>
    <w:rsid w:val="00DE67B7"/>
    <w:rsid w:val="00DF4366"/>
    <w:rsid w:val="00DF4EC9"/>
    <w:rsid w:val="00DF7F6A"/>
    <w:rsid w:val="00E017C9"/>
    <w:rsid w:val="00E15D08"/>
    <w:rsid w:val="00E2129B"/>
    <w:rsid w:val="00E23DC3"/>
    <w:rsid w:val="00E30F8F"/>
    <w:rsid w:val="00E33A32"/>
    <w:rsid w:val="00E34164"/>
    <w:rsid w:val="00E45E04"/>
    <w:rsid w:val="00E52EE0"/>
    <w:rsid w:val="00E578A7"/>
    <w:rsid w:val="00E61430"/>
    <w:rsid w:val="00E75394"/>
    <w:rsid w:val="00E84BE7"/>
    <w:rsid w:val="00E87A97"/>
    <w:rsid w:val="00E9515D"/>
    <w:rsid w:val="00E95E86"/>
    <w:rsid w:val="00EA38D7"/>
    <w:rsid w:val="00EA4CFA"/>
    <w:rsid w:val="00EB04BB"/>
    <w:rsid w:val="00EB0FE6"/>
    <w:rsid w:val="00EB278D"/>
    <w:rsid w:val="00ED082F"/>
    <w:rsid w:val="00EE1406"/>
    <w:rsid w:val="00EE2813"/>
    <w:rsid w:val="00EE5614"/>
    <w:rsid w:val="00EF0B07"/>
    <w:rsid w:val="00EF6412"/>
    <w:rsid w:val="00F04A8A"/>
    <w:rsid w:val="00F16D90"/>
    <w:rsid w:val="00F2617F"/>
    <w:rsid w:val="00F26509"/>
    <w:rsid w:val="00F36293"/>
    <w:rsid w:val="00F42BC2"/>
    <w:rsid w:val="00F56F75"/>
    <w:rsid w:val="00F62EEA"/>
    <w:rsid w:val="00F70E42"/>
    <w:rsid w:val="00F74F36"/>
    <w:rsid w:val="00F8285A"/>
    <w:rsid w:val="00F85EB2"/>
    <w:rsid w:val="00F94920"/>
    <w:rsid w:val="00FA097A"/>
    <w:rsid w:val="00FA2F37"/>
    <w:rsid w:val="00FA3D0D"/>
    <w:rsid w:val="00FA4696"/>
    <w:rsid w:val="00FA4FD8"/>
    <w:rsid w:val="00FA6964"/>
    <w:rsid w:val="00FB569E"/>
    <w:rsid w:val="00FC2698"/>
    <w:rsid w:val="00FC50F4"/>
    <w:rsid w:val="00FD14ED"/>
    <w:rsid w:val="00FD2C6C"/>
    <w:rsid w:val="00FE1FCE"/>
    <w:rsid w:val="00FE3305"/>
    <w:rsid w:val="00FE3337"/>
    <w:rsid w:val="00FE3580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7105"/>
    <o:shapelayout v:ext="edit">
      <o:idmap v:ext="edit" data="1"/>
    </o:shapelayout>
  </w:shapeDefaults>
  <w:decimalSymbol w:val="."/>
  <w:listSeparator w:val=","/>
  <w14:docId w14:val="30282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ind w:left="1440" w:firstLine="144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left="4320" w:hanging="43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ind w:left="1440" w:hanging="144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</w:tabs>
      <w:ind w:left="5760" w:hanging="288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spacing w:line="240" w:lineRule="atLeast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widowControl/>
      <w:spacing w:line="240" w:lineRule="atLeast"/>
      <w:ind w:right="-90"/>
      <w:outlineLvl w:val="6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CD302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E5614"/>
    <w:pPr>
      <w:shd w:val="clear" w:color="auto" w:fill="000080"/>
    </w:pPr>
    <w:rPr>
      <w:rFonts w:ascii="Tahoma" w:hAnsi="Tahoma" w:cs="Tahoma"/>
      <w:szCs w:val="20"/>
    </w:rPr>
  </w:style>
  <w:style w:type="paragraph" w:styleId="FootnoteText">
    <w:name w:val="footnote text"/>
    <w:basedOn w:val="Normal"/>
    <w:link w:val="FootnoteTextChar"/>
    <w:rsid w:val="00AE292F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E292F"/>
  </w:style>
  <w:style w:type="character" w:styleId="CommentReference">
    <w:name w:val="annotation reference"/>
    <w:basedOn w:val="DefaultParagraphFont"/>
    <w:rsid w:val="00857F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7F2B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57F2B"/>
  </w:style>
  <w:style w:type="paragraph" w:styleId="CommentSubject">
    <w:name w:val="annotation subject"/>
    <w:basedOn w:val="CommentText"/>
    <w:next w:val="CommentText"/>
    <w:link w:val="CommentSubjectChar"/>
    <w:rsid w:val="00857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7F2B"/>
    <w:rPr>
      <w:b/>
      <w:bCs/>
    </w:rPr>
  </w:style>
  <w:style w:type="paragraph" w:styleId="Revision">
    <w:name w:val="Revision"/>
    <w:hidden/>
    <w:uiPriority w:val="99"/>
    <w:semiHidden/>
    <w:rsid w:val="008675F0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12D18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ind w:left="1440" w:firstLine="144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left="4320" w:hanging="43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ind w:left="1440" w:hanging="144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</w:tabs>
      <w:ind w:left="5760" w:hanging="288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spacing w:line="240" w:lineRule="atLeast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widowControl/>
      <w:spacing w:line="240" w:lineRule="atLeast"/>
      <w:ind w:right="-90"/>
      <w:outlineLvl w:val="6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CD302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E5614"/>
    <w:pPr>
      <w:shd w:val="clear" w:color="auto" w:fill="000080"/>
    </w:pPr>
    <w:rPr>
      <w:rFonts w:ascii="Tahoma" w:hAnsi="Tahoma" w:cs="Tahoma"/>
      <w:szCs w:val="20"/>
    </w:rPr>
  </w:style>
  <w:style w:type="paragraph" w:styleId="FootnoteText">
    <w:name w:val="footnote text"/>
    <w:basedOn w:val="Normal"/>
    <w:link w:val="FootnoteTextChar"/>
    <w:rsid w:val="00AE292F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E292F"/>
  </w:style>
  <w:style w:type="character" w:styleId="CommentReference">
    <w:name w:val="annotation reference"/>
    <w:basedOn w:val="DefaultParagraphFont"/>
    <w:rsid w:val="00857F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7F2B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57F2B"/>
  </w:style>
  <w:style w:type="paragraph" w:styleId="CommentSubject">
    <w:name w:val="annotation subject"/>
    <w:basedOn w:val="CommentText"/>
    <w:next w:val="CommentText"/>
    <w:link w:val="CommentSubjectChar"/>
    <w:rsid w:val="00857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7F2B"/>
    <w:rPr>
      <w:b/>
      <w:bCs/>
    </w:rPr>
  </w:style>
  <w:style w:type="paragraph" w:styleId="Revision">
    <w:name w:val="Revision"/>
    <w:hidden/>
    <w:uiPriority w:val="99"/>
    <w:semiHidden/>
    <w:rsid w:val="008675F0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12D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2011-09-01T07:00:00+00:00</OpenedDate>
    <Date1 xmlns="dc463f71-b30c-4ab2-9473-d307f9d35888">2011-10-27T07:00:00+00:00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111587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180143F3FEA2458409ABEA1FDD13E6" ma:contentTypeVersion="143" ma:contentTypeDescription="" ma:contentTypeScope="" ma:versionID="055a049318470922442833704e71c2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B0298-A265-4153-9DF4-00BB0907CB29}"/>
</file>

<file path=customXml/itemProps2.xml><?xml version="1.0" encoding="utf-8"?>
<ds:datastoreItem xmlns:ds="http://schemas.openxmlformats.org/officeDocument/2006/customXml" ds:itemID="{295EC5FA-FE55-41BD-A7F6-AE23AE584A61}"/>
</file>

<file path=customXml/itemProps3.xml><?xml version="1.0" encoding="utf-8"?>
<ds:datastoreItem xmlns:ds="http://schemas.openxmlformats.org/officeDocument/2006/customXml" ds:itemID="{605302F3-7D18-464E-BB2E-5E654157DD6F}"/>
</file>

<file path=customXml/itemProps4.xml><?xml version="1.0" encoding="utf-8"?>
<ds:datastoreItem xmlns:ds="http://schemas.openxmlformats.org/officeDocument/2006/customXml" ds:itemID="{B64BAFD8-B9F1-4EE0-A01D-CBBA73D13275}"/>
</file>

<file path=customXml/itemProps5.xml><?xml version="1.0" encoding="utf-8"?>
<ds:datastoreItem xmlns:ds="http://schemas.openxmlformats.org/officeDocument/2006/customXml" ds:itemID="{14060CA0-0EB9-47CE-9CB2-C0D12E904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2011-10-24T23:22:00Z</dcterms:created>
  <dcterms:modified xsi:type="dcterms:W3CDTF">2011-10-24T23:22:00Z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0x0101006E56B4D1795A2E4DB2F0B01679ED314A00FB180143F3FEA2458409ABEA1FDD13E6</vt:lpwstr>
  </property>
  <property fmtid="{D5CDD505-2E9C-101B-9397-08002B2CF9AE}" pid="3" name="_docset_NoMedatataSyncRequired">
    <vt:lpwstr>False</vt:lpwstr>
  </property>
</Properties>
</file>