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26" w:rsidRDefault="00850D26">
      <w:pPr>
        <w:pStyle w:val="plain"/>
        <w:tabs>
          <w:tab w:val="right" w:pos="8820"/>
        </w:tabs>
      </w:pPr>
    </w:p>
    <w:p w:rsidR="00850D26" w:rsidRDefault="00850D26">
      <w:pPr>
        <w:pStyle w:val="plain"/>
      </w:pPr>
    </w:p>
    <w:p w:rsidR="00850D26" w:rsidRDefault="00850D26">
      <w:pPr>
        <w:pStyle w:val="plain"/>
      </w:pPr>
    </w:p>
    <w:p w:rsidR="00850D26" w:rsidRDefault="00850D26">
      <w:pPr>
        <w:pStyle w:val="plain"/>
      </w:pPr>
    </w:p>
    <w:p w:rsidR="00850D26" w:rsidRDefault="00850D26">
      <w:pPr>
        <w:pStyle w:val="plain"/>
      </w:pPr>
    </w:p>
    <w:p w:rsidR="00850D26" w:rsidRDefault="00850D26">
      <w:pPr>
        <w:pStyle w:val="CaptionTitle"/>
      </w:pPr>
      <w:r>
        <w:t>BEFORE THE</w:t>
      </w:r>
      <w:r>
        <w:br/>
        <w:t>WASHINGTON UTILITIES AND TRANSPORTATION COMMISSION</w:t>
      </w:r>
    </w:p>
    <w:tbl>
      <w:tblPr>
        <w:tblW w:w="0" w:type="auto"/>
        <w:tblLayout w:type="fixed"/>
        <w:tblCellMar>
          <w:left w:w="0" w:type="dxa"/>
          <w:right w:w="0" w:type="dxa"/>
        </w:tblCellMar>
        <w:tblLook w:val="0000"/>
      </w:tblPr>
      <w:tblGrid>
        <w:gridCol w:w="4320"/>
        <w:gridCol w:w="4680"/>
      </w:tblGrid>
      <w:tr w:rsidR="00850D26" w:rsidTr="00064D37">
        <w:tblPrEx>
          <w:tblCellMar>
            <w:top w:w="0" w:type="dxa"/>
            <w:left w:w="0" w:type="dxa"/>
            <w:bottom w:w="0" w:type="dxa"/>
            <w:right w:w="0" w:type="dxa"/>
          </w:tblCellMar>
        </w:tblPrEx>
        <w:trPr>
          <w:cantSplit/>
        </w:trPr>
        <w:tc>
          <w:tcPr>
            <w:tcW w:w="4320" w:type="dxa"/>
            <w:tcBorders>
              <w:bottom w:val="single" w:sz="6" w:space="0" w:color="auto"/>
              <w:right w:val="single" w:sz="6" w:space="0" w:color="auto"/>
            </w:tcBorders>
          </w:tcPr>
          <w:p w:rsidR="00850D26" w:rsidRDefault="00850D26">
            <w:pPr>
              <w:pStyle w:val="plain"/>
              <w:tabs>
                <w:tab w:val="left" w:pos="720"/>
                <w:tab w:val="left" w:pos="2160"/>
              </w:tabs>
              <w:spacing w:before="240" w:after="240"/>
            </w:pPr>
            <w:r>
              <w:t>In the Matter of the Petition of</w:t>
            </w:r>
            <w:r>
              <w:br/>
            </w:r>
            <w:r>
              <w:br/>
              <w:t>PUGET SOUND ENERGY, INC.</w:t>
            </w:r>
            <w:r>
              <w:br/>
            </w:r>
            <w:r>
              <w:br/>
            </w:r>
            <w:r w:rsidR="00226F8B">
              <w:t>For</w:t>
            </w:r>
            <w:r>
              <w:t xml:space="preserve"> a Declaratory Order </w:t>
            </w:r>
            <w:r w:rsidR="00800EC5">
              <w:t>Regarding the Transfer of Assets to Jefferson County Public Utility District</w:t>
            </w:r>
            <w:r w:rsidR="00DB70C7">
              <w:t>.</w:t>
            </w:r>
          </w:p>
        </w:tc>
        <w:tc>
          <w:tcPr>
            <w:tcW w:w="4680" w:type="dxa"/>
          </w:tcPr>
          <w:p w:rsidR="00850D26" w:rsidRDefault="00850D26">
            <w:pPr>
              <w:pStyle w:val="plain"/>
              <w:spacing w:before="240"/>
              <w:ind w:left="360"/>
            </w:pPr>
            <w:r>
              <w:t>NO. ______________</w:t>
            </w:r>
          </w:p>
          <w:p w:rsidR="00850D26" w:rsidRDefault="006548C5">
            <w:pPr>
              <w:pStyle w:val="plain"/>
              <w:spacing w:before="240"/>
              <w:ind w:left="360"/>
            </w:pPr>
            <w:r>
              <w:t xml:space="preserve">[PROPOSED] ORDER GRANTING PUGET SOUND ENERGY, INC.'S </w:t>
            </w:r>
            <w:r w:rsidR="00850D26">
              <w:t>PETITION FOR</w:t>
            </w:r>
            <w:r>
              <w:t xml:space="preserve"> </w:t>
            </w:r>
            <w:r w:rsidR="00850D26">
              <w:t>DECLARATORY ORDER</w:t>
            </w:r>
          </w:p>
          <w:p w:rsidR="00850D26" w:rsidRDefault="00850D26">
            <w:pPr>
              <w:pStyle w:val="plain"/>
              <w:spacing w:before="240"/>
              <w:ind w:left="360"/>
            </w:pPr>
          </w:p>
        </w:tc>
      </w:tr>
    </w:tbl>
    <w:p w:rsidR="00850D26" w:rsidRDefault="00850D26">
      <w:pPr>
        <w:pStyle w:val="plain"/>
      </w:pPr>
    </w:p>
    <w:p w:rsidR="0087519E" w:rsidRDefault="0087519E">
      <w:pPr>
        <w:pStyle w:val="plain"/>
      </w:pPr>
    </w:p>
    <w:p w:rsidR="0087519E" w:rsidRDefault="0087519E">
      <w:pPr>
        <w:pStyle w:val="plain"/>
      </w:pPr>
    </w:p>
    <w:p w:rsidR="00850D26" w:rsidRDefault="006548C5" w:rsidP="009C3773">
      <w:pPr>
        <w:pStyle w:val="PleadingsL1"/>
        <w:tabs>
          <w:tab w:val="clear" w:pos="3600"/>
          <w:tab w:val="num" w:pos="720"/>
        </w:tabs>
        <w:spacing w:before="240" w:after="0"/>
        <w:ind w:left="0"/>
      </w:pPr>
      <w:r>
        <w:t>MEMORANDUM</w:t>
      </w:r>
    </w:p>
    <w:p w:rsidR="00226F8B" w:rsidRDefault="00850D26" w:rsidP="00CB5CA7">
      <w:r>
        <w:t>1.</w:t>
      </w:r>
      <w:r>
        <w:tab/>
      </w:r>
      <w:r w:rsidR="006548C5">
        <w:t>On July 15, 2010,</w:t>
      </w:r>
      <w:r>
        <w:t xml:space="preserve"> Puget Sound Energy, Inc. ("PSE</w:t>
      </w:r>
      <w:r w:rsidR="006548C5">
        <w:t>") petitioned</w:t>
      </w:r>
      <w:r>
        <w:t xml:space="preserve"> the Washington Utilities and Transportation Commission ("Commission"</w:t>
      </w:r>
      <w:r w:rsidR="00D054CA">
        <w:t xml:space="preserve"> or "WUTC"</w:t>
      </w:r>
      <w:r w:rsidR="006548C5">
        <w:t>)</w:t>
      </w:r>
      <w:r>
        <w:t xml:space="preserve"> for a declaratory order</w:t>
      </w:r>
      <w:r w:rsidR="005F1091">
        <w:t xml:space="preserve"> related to the transfer of </w:t>
      </w:r>
      <w:r w:rsidR="00E12F0C">
        <w:t xml:space="preserve">certain </w:t>
      </w:r>
      <w:r w:rsidR="005F1091">
        <w:t xml:space="preserve">assets </w:t>
      </w:r>
      <w:r w:rsidR="009C3773">
        <w:t xml:space="preserve">from PSE </w:t>
      </w:r>
      <w:r w:rsidR="005F1091">
        <w:t xml:space="preserve">to </w:t>
      </w:r>
      <w:r w:rsidR="007C1C4B">
        <w:t xml:space="preserve">Public Utility District #1 of Jefferson County </w:t>
      </w:r>
      <w:r w:rsidR="009C3773">
        <w:t>("JPUD")</w:t>
      </w:r>
      <w:r>
        <w:t>.</w:t>
      </w:r>
      <w:r w:rsidR="005F1091">
        <w:t xml:space="preserve">  </w:t>
      </w:r>
    </w:p>
    <w:p w:rsidR="009B0206" w:rsidRPr="00465E58" w:rsidRDefault="003570CB" w:rsidP="009B0206">
      <w:pPr>
        <w:pStyle w:val="BodyText"/>
      </w:pPr>
      <w:r>
        <w:t>2</w:t>
      </w:r>
      <w:r w:rsidR="009B0206" w:rsidRPr="00465E58">
        <w:t>.</w:t>
      </w:r>
      <w:r w:rsidR="009B0206" w:rsidRPr="00465E58">
        <w:tab/>
        <w:t>PSE is currently providing electric service to customers located in Jefferson County</w:t>
      </w:r>
      <w:r w:rsidR="009B0206">
        <w:t>,</w:t>
      </w:r>
      <w:r w:rsidR="009B0206" w:rsidRPr="00465E58">
        <w:t xml:space="preserve"> Washington in accordance with the rules and regulations of the </w:t>
      </w:r>
      <w:r w:rsidR="009B0206" w:rsidRPr="000B6D20">
        <w:t>WUTC</w:t>
      </w:r>
      <w:r w:rsidR="009B0206" w:rsidRPr="00465E58">
        <w:t>, including, but not limited to, PSE rates and tariff</w:t>
      </w:r>
      <w:r w:rsidR="009B0206">
        <w:t>s</w:t>
      </w:r>
      <w:r w:rsidR="009B0206" w:rsidRPr="00465E58">
        <w:t xml:space="preserve"> on file therewith.</w:t>
      </w:r>
      <w:r w:rsidR="00F60480">
        <w:t xml:space="preserve">  </w:t>
      </w:r>
    </w:p>
    <w:p w:rsidR="000B6D20" w:rsidRDefault="003570CB" w:rsidP="000B6D20">
      <w:pPr>
        <w:pStyle w:val="BodyText"/>
      </w:pPr>
      <w:r>
        <w:t>3</w:t>
      </w:r>
      <w:r w:rsidR="00E12F0C">
        <w:t>.</w:t>
      </w:r>
      <w:r w:rsidR="00E12F0C">
        <w:tab/>
      </w:r>
      <w:r w:rsidR="006548C5">
        <w:t>PSE states in its Petition that i</w:t>
      </w:r>
      <w:r w:rsidR="000B6D20" w:rsidRPr="00465E58">
        <w:t xml:space="preserve">n November 2008, the citizens of Jefferson County voted to approve Proposition 1, authorizing JPUD to </w:t>
      </w:r>
      <w:r w:rsidR="000B6D20">
        <w:t xml:space="preserve">construct or acquire electrical </w:t>
      </w:r>
      <w:r w:rsidR="000B6D20">
        <w:lastRenderedPageBreak/>
        <w:t xml:space="preserve">facilities for the generation, transmission or distribution of </w:t>
      </w:r>
      <w:r w:rsidR="000B6D20" w:rsidRPr="00465E58">
        <w:t xml:space="preserve">electric </w:t>
      </w:r>
      <w:r w:rsidR="000B6D20">
        <w:t>power</w:t>
      </w:r>
      <w:r w:rsidR="000B6D20" w:rsidRPr="00465E58" w:rsidDel="00BA03D9">
        <w:t xml:space="preserve"> </w:t>
      </w:r>
      <w:r w:rsidR="000B6D20" w:rsidRPr="00465E58">
        <w:t xml:space="preserve">in Jefferson County. </w:t>
      </w:r>
      <w:r w:rsidR="009B0206">
        <w:t xml:space="preserve"> JPUD is so authorized pursuant to RCW 54.16.040</w:t>
      </w:r>
      <w:r w:rsidR="00EA1D3A">
        <w:t>.</w:t>
      </w:r>
    </w:p>
    <w:p w:rsidR="000B6D20" w:rsidRPr="00465E58" w:rsidRDefault="003570CB" w:rsidP="000B6D20">
      <w:pPr>
        <w:pStyle w:val="BodyText"/>
      </w:pPr>
      <w:r>
        <w:t>4</w:t>
      </w:r>
      <w:r w:rsidR="006D4D76">
        <w:t>.</w:t>
      </w:r>
      <w:r w:rsidR="006D4D76">
        <w:tab/>
      </w:r>
      <w:r w:rsidR="006548C5">
        <w:t>PSE states that Washington</w:t>
      </w:r>
      <w:r w:rsidR="009B0206">
        <w:t xml:space="preserve"> law also provides JPUD with authority to acquire PSE's assets by eminent domain.  </w:t>
      </w:r>
      <w:r w:rsidR="006548C5">
        <w:t xml:space="preserve">PSE states that </w:t>
      </w:r>
      <w:r w:rsidR="006D4D76">
        <w:t>JPUD</w:t>
      </w:r>
      <w:r w:rsidR="009B0206">
        <w:t xml:space="preserve"> </w:t>
      </w:r>
      <w:r w:rsidR="006548C5">
        <w:t xml:space="preserve">then </w:t>
      </w:r>
      <w:r w:rsidR="009B0206">
        <w:t>initiate</w:t>
      </w:r>
      <w:r w:rsidR="009C3773">
        <w:t>d</w:t>
      </w:r>
      <w:r w:rsidR="009B0206">
        <w:t xml:space="preserve"> </w:t>
      </w:r>
      <w:r w:rsidR="000364FE">
        <w:t xml:space="preserve">settlement </w:t>
      </w:r>
      <w:r w:rsidR="009B0206">
        <w:t xml:space="preserve">negotiations with PSE </w:t>
      </w:r>
      <w:r w:rsidR="000364FE">
        <w:t xml:space="preserve">in July of 2009 </w:t>
      </w:r>
      <w:r w:rsidR="000E1689">
        <w:t xml:space="preserve">to acquire </w:t>
      </w:r>
      <w:r w:rsidR="000364FE">
        <w:t>PSE's</w:t>
      </w:r>
      <w:r w:rsidR="000E1689">
        <w:t xml:space="preserve"> transmission and distribution </w:t>
      </w:r>
      <w:r w:rsidR="00C50DD2">
        <w:t>assets</w:t>
      </w:r>
      <w:r w:rsidR="000E1689">
        <w:t xml:space="preserve"> within Jefferson County under threat of </w:t>
      </w:r>
      <w:r w:rsidR="009B0206">
        <w:t>"exercising the authority to condemn the PSE facilities."</w:t>
      </w:r>
      <w:r w:rsidR="006D4D76">
        <w:rPr>
          <w:rStyle w:val="FootnoteReference"/>
        </w:rPr>
        <w:footnoteReference w:id="1"/>
      </w:r>
      <w:r w:rsidR="009B0206">
        <w:t xml:space="preserve">  </w:t>
      </w:r>
      <w:r w:rsidR="006548C5">
        <w:t>PSE states that the</w:t>
      </w:r>
      <w:r w:rsidR="009B0206">
        <w:t xml:space="preserve"> </w:t>
      </w:r>
      <w:r w:rsidR="000364FE">
        <w:t xml:space="preserve">settlement </w:t>
      </w:r>
      <w:r w:rsidR="009B0206">
        <w:t xml:space="preserve">negotiations </w:t>
      </w:r>
      <w:r w:rsidR="0087519E">
        <w:t xml:space="preserve">led </w:t>
      </w:r>
      <w:r w:rsidR="009B0206">
        <w:t xml:space="preserve">to </w:t>
      </w:r>
      <w:r w:rsidR="000E1689">
        <w:t xml:space="preserve">a tentative </w:t>
      </w:r>
      <w:r w:rsidR="000364FE">
        <w:t xml:space="preserve">settlement </w:t>
      </w:r>
      <w:r w:rsidR="000E1689">
        <w:t>agreement</w:t>
      </w:r>
      <w:r w:rsidR="009B0206">
        <w:t xml:space="preserve"> that was memorialized in a Letter of Intent </w:t>
      </w:r>
      <w:r w:rsidR="000E1689">
        <w:t xml:space="preserve">("LOI") </w:t>
      </w:r>
      <w:r w:rsidR="009B0206">
        <w:t>dated April 30, 20</w:t>
      </w:r>
      <w:r w:rsidR="00D054CA">
        <w:t>10</w:t>
      </w:r>
      <w:r w:rsidR="009B0206">
        <w:t>.</w:t>
      </w:r>
    </w:p>
    <w:p w:rsidR="000B6D20" w:rsidRDefault="003570CB" w:rsidP="000B6D20">
      <w:pPr>
        <w:pStyle w:val="BodyText"/>
      </w:pPr>
      <w:r>
        <w:t>5</w:t>
      </w:r>
      <w:r w:rsidR="000B6D20" w:rsidRPr="00465E58">
        <w:t>.</w:t>
      </w:r>
      <w:r w:rsidR="000B6D20" w:rsidRPr="00465E58">
        <w:tab/>
      </w:r>
      <w:r w:rsidR="00050E2E">
        <w:t>PSE states that o</w:t>
      </w:r>
      <w:r w:rsidR="00B45FAC">
        <w:t>n</w:t>
      </w:r>
      <w:r w:rsidR="009C3773">
        <w:t xml:space="preserve"> June 11, 2010, PSE and JPUD en</w:t>
      </w:r>
      <w:r w:rsidR="00B45FAC">
        <w:t xml:space="preserve">tered into an Asset Purchase Agreement ("APA") </w:t>
      </w:r>
      <w:r w:rsidR="000B6D20" w:rsidRPr="00465E58">
        <w:t xml:space="preserve">as the definitive </w:t>
      </w:r>
      <w:r w:rsidR="000364FE">
        <w:t xml:space="preserve">settlement </w:t>
      </w:r>
      <w:r w:rsidR="000B6D20" w:rsidRPr="00465E58">
        <w:t xml:space="preserve">agreement contemplated under the </w:t>
      </w:r>
      <w:r w:rsidR="000364FE">
        <w:t>LOI</w:t>
      </w:r>
      <w:r w:rsidR="006D4D76">
        <w:t xml:space="preserve">.  </w:t>
      </w:r>
      <w:r w:rsidR="00050E2E">
        <w:t>PSE states that t</w:t>
      </w:r>
      <w:r w:rsidR="006D4D76">
        <w:t>he</w:t>
      </w:r>
      <w:r w:rsidR="000B6D20" w:rsidRPr="00465E58">
        <w:t xml:space="preserve"> transactions described </w:t>
      </w:r>
      <w:r w:rsidR="00B45FAC">
        <w:t>t</w:t>
      </w:r>
      <w:r w:rsidR="000B6D20" w:rsidRPr="00465E58">
        <w:t>herein are proceeding under JPUD’s threat of condemnation</w:t>
      </w:r>
      <w:r w:rsidR="00B45FAC">
        <w:t>.</w:t>
      </w:r>
      <w:r w:rsidR="006D4D76">
        <w:rPr>
          <w:rStyle w:val="FootnoteReference"/>
        </w:rPr>
        <w:footnoteReference w:id="2"/>
      </w:r>
      <w:r w:rsidR="00B45FAC">
        <w:t xml:space="preserve">  If </w:t>
      </w:r>
      <w:r w:rsidR="000B6D20" w:rsidRPr="00465E58">
        <w:t xml:space="preserve">consummated, </w:t>
      </w:r>
      <w:r w:rsidR="00050E2E">
        <w:t xml:space="preserve">PSE adds, </w:t>
      </w:r>
      <w:r w:rsidR="00B45FAC">
        <w:t xml:space="preserve">the APA </w:t>
      </w:r>
      <w:r w:rsidR="000B6D20" w:rsidRPr="00465E58">
        <w:t xml:space="preserve">will constitute a settlement between the Parties and a disposal of property to a special purpose district pursuant to RCW 80.12.020(2).  </w:t>
      </w:r>
    </w:p>
    <w:p w:rsidR="008F6532" w:rsidRDefault="003570CB" w:rsidP="000B6D20">
      <w:pPr>
        <w:pStyle w:val="BodyText"/>
      </w:pPr>
      <w:r>
        <w:t>6</w:t>
      </w:r>
      <w:r w:rsidR="00F24874">
        <w:t>.</w:t>
      </w:r>
      <w:r w:rsidR="00F24874">
        <w:tab/>
        <w:t>Th</w:t>
      </w:r>
      <w:r w:rsidR="00D90B15">
        <w:t xml:space="preserve">e APA </w:t>
      </w:r>
      <w:r w:rsidR="0090181A">
        <w:t>identifies certain</w:t>
      </w:r>
      <w:r w:rsidR="00D90B15">
        <w:t xml:space="preserve"> </w:t>
      </w:r>
      <w:r w:rsidR="0090181A">
        <w:t>regulatory</w:t>
      </w:r>
      <w:r w:rsidR="00D90B15">
        <w:t xml:space="preserve"> approvals </w:t>
      </w:r>
      <w:r w:rsidR="00584452">
        <w:t xml:space="preserve">that must be </w:t>
      </w:r>
      <w:r w:rsidR="00E3334E">
        <w:t>satisfied</w:t>
      </w:r>
      <w:r w:rsidR="00584452">
        <w:t xml:space="preserve"> </w:t>
      </w:r>
      <w:r w:rsidR="00D90B15">
        <w:t xml:space="preserve">as a </w:t>
      </w:r>
      <w:r w:rsidR="0090181A">
        <w:t>condition</w:t>
      </w:r>
      <w:r w:rsidR="00D90B15">
        <w:t xml:space="preserve"> precedent to closing</w:t>
      </w:r>
      <w:r w:rsidR="00584452">
        <w:t xml:space="preserve"> the transactions contemplated by the APA</w:t>
      </w:r>
      <w:r w:rsidR="00D90B15">
        <w:t>.  Th</w:t>
      </w:r>
      <w:r w:rsidR="0090181A">
        <w:t>ese approvals include</w:t>
      </w:r>
      <w:r w:rsidR="00D90B15">
        <w:t xml:space="preserve">, but </w:t>
      </w:r>
      <w:r w:rsidR="0090181A">
        <w:t xml:space="preserve">are </w:t>
      </w:r>
      <w:r w:rsidR="00D90B15">
        <w:t>not limited to</w:t>
      </w:r>
      <w:r w:rsidR="0090181A">
        <w:t>,</w:t>
      </w:r>
      <w:r w:rsidR="00D90B15">
        <w:t xml:space="preserve"> an order from the Commission confirming (a) the purchase </w:t>
      </w:r>
      <w:r w:rsidR="00884BE7">
        <w:t>price is an amount that is sufficient to fully compensate PSE for the sale of the Assets</w:t>
      </w:r>
      <w:r w:rsidR="00D90B15">
        <w:t xml:space="preserve">, </w:t>
      </w:r>
      <w:r w:rsidR="00D90B15" w:rsidRPr="00465E58">
        <w:t>(</w:t>
      </w:r>
      <w:r w:rsidR="00884BE7">
        <w:t>b</w:t>
      </w:r>
      <w:r w:rsidR="00D90B15" w:rsidRPr="00465E58">
        <w:t>) th</w:t>
      </w:r>
      <w:r w:rsidR="00D90B15">
        <w:t>at</w:t>
      </w:r>
      <w:r w:rsidR="0090181A">
        <w:t xml:space="preserve"> </w:t>
      </w:r>
      <w:r w:rsidR="00D90B15" w:rsidRPr="00465E58">
        <w:t>the provisions of this A</w:t>
      </w:r>
      <w:r w:rsidR="0090181A">
        <w:t>PA</w:t>
      </w:r>
      <w:r w:rsidR="00D90B15" w:rsidRPr="00465E58">
        <w:t xml:space="preserve"> pertaining to PSE’s transition of its responsibilities to provide electrical service to its customers in </w:t>
      </w:r>
      <w:r w:rsidR="00584452">
        <w:t>the Service Territory</w:t>
      </w:r>
      <w:r w:rsidR="0090181A">
        <w:t xml:space="preserve"> </w:t>
      </w:r>
      <w:r w:rsidR="00D90B15" w:rsidRPr="00465E58">
        <w:t>are consistent with PSE’s public service obligations</w:t>
      </w:r>
      <w:r w:rsidR="00D90B15">
        <w:t>;</w:t>
      </w:r>
      <w:r w:rsidR="00D90B15" w:rsidRPr="00465E58">
        <w:t xml:space="preserve"> and (</w:t>
      </w:r>
      <w:r w:rsidR="00D90B15">
        <w:t>c</w:t>
      </w:r>
      <w:r w:rsidR="00D90B15" w:rsidRPr="00465E58">
        <w:t>) </w:t>
      </w:r>
      <w:r w:rsidR="0090181A">
        <w:t>th</w:t>
      </w:r>
      <w:r w:rsidR="00663D9F">
        <w:t>at the</w:t>
      </w:r>
      <w:r w:rsidR="0090181A">
        <w:t xml:space="preserve"> transfer of the assets is authorized by</w:t>
      </w:r>
      <w:r w:rsidR="00D90B15" w:rsidRPr="00465E58">
        <w:t xml:space="preserve"> RCW </w:t>
      </w:r>
      <w:r w:rsidR="00D90B15" w:rsidRPr="00465E58">
        <w:lastRenderedPageBreak/>
        <w:t>80.12.020(2)</w:t>
      </w:r>
      <w:r w:rsidR="00D90B15" w:rsidRPr="00465E58">
        <w:rPr>
          <w:color w:val="000000"/>
        </w:rPr>
        <w:t>.</w:t>
      </w:r>
      <w:r w:rsidR="00D90B15" w:rsidRPr="00465E58">
        <w:t xml:space="preserve"> </w:t>
      </w:r>
      <w:r w:rsidR="0090181A">
        <w:t xml:space="preserve"> </w:t>
      </w:r>
      <w:r w:rsidR="003E4974">
        <w:t xml:space="preserve">The </w:t>
      </w:r>
      <w:r w:rsidR="00F24874">
        <w:t>APA</w:t>
      </w:r>
      <w:r w:rsidR="006D4D76">
        <w:t xml:space="preserve"> </w:t>
      </w:r>
      <w:r w:rsidR="00050E2E">
        <w:t xml:space="preserve">states that </w:t>
      </w:r>
      <w:r w:rsidR="00F24874">
        <w:t xml:space="preserve">PSE </w:t>
      </w:r>
      <w:r w:rsidR="00050E2E">
        <w:t>must apply for an order requesting resolution of these regulatory uncertainties</w:t>
      </w:r>
      <w:r w:rsidR="0012547A">
        <w:t xml:space="preserve"> on or before July 15, 2010.</w:t>
      </w:r>
      <w:r w:rsidR="0087519E">
        <w:rPr>
          <w:rStyle w:val="FootnoteReference"/>
        </w:rPr>
        <w:footnoteReference w:id="3"/>
      </w:r>
    </w:p>
    <w:p w:rsidR="00F24874" w:rsidRDefault="003570CB" w:rsidP="000B6D20">
      <w:pPr>
        <w:pStyle w:val="BodyText"/>
      </w:pPr>
      <w:r>
        <w:t>7</w:t>
      </w:r>
      <w:r w:rsidR="00F24874">
        <w:t>.</w:t>
      </w:r>
      <w:r w:rsidR="00F24874">
        <w:tab/>
      </w:r>
      <w:r w:rsidR="00050E2E">
        <w:t>PSE</w:t>
      </w:r>
      <w:r w:rsidR="00BA79CE">
        <w:t xml:space="preserve"> believes </w:t>
      </w:r>
      <w:r w:rsidR="00F24874">
        <w:t xml:space="preserve">the </w:t>
      </w:r>
      <w:r w:rsidR="006245B8">
        <w:t>transfer of the assets described in Exhibit A of the APA (the "Assets")</w:t>
      </w:r>
      <w:r w:rsidR="00E81A78">
        <w:t xml:space="preserve"> is authorized by RCW 80.12.020</w:t>
      </w:r>
      <w:r w:rsidR="006245B8">
        <w:t xml:space="preserve">(2).  </w:t>
      </w:r>
      <w:r w:rsidR="006670AA">
        <w:t xml:space="preserve">PSE requests an order declaring that the </w:t>
      </w:r>
      <w:r w:rsidR="006245B8">
        <w:t>transfer of the Assets is so authorized and</w:t>
      </w:r>
      <w:r w:rsidR="00884BE7">
        <w:t xml:space="preserve"> that</w:t>
      </w:r>
      <w:r w:rsidR="006245B8">
        <w:t xml:space="preserve"> the </w:t>
      </w:r>
      <w:r w:rsidR="009C3773">
        <w:t xml:space="preserve">Commission </w:t>
      </w:r>
      <w:r w:rsidR="00F24874">
        <w:t xml:space="preserve">need not </w:t>
      </w:r>
      <w:r w:rsidR="006245B8">
        <w:t xml:space="preserve">undertake any further </w:t>
      </w:r>
      <w:r w:rsidR="00F24874">
        <w:t xml:space="preserve">review the proposed transaction </w:t>
      </w:r>
      <w:r w:rsidR="00C3332C">
        <w:t>for purposes of</w:t>
      </w:r>
      <w:r w:rsidR="00F24874">
        <w:t xml:space="preserve"> RCW 80.12</w:t>
      </w:r>
      <w:r w:rsidR="00C3332C">
        <w:t>.020</w:t>
      </w:r>
      <w:r w:rsidR="00F24874">
        <w:t>.</w:t>
      </w:r>
      <w:r w:rsidR="006670AA">
        <w:t xml:space="preserve"> </w:t>
      </w:r>
      <w:r w:rsidR="006670AA" w:rsidRPr="006670AA">
        <w:t xml:space="preserve"> </w:t>
      </w:r>
      <w:r w:rsidR="006670AA">
        <w:t xml:space="preserve">However, if the Commission </w:t>
      </w:r>
      <w:r w:rsidR="00050E2E">
        <w:t xml:space="preserve">were to </w:t>
      </w:r>
      <w:r w:rsidR="006670AA">
        <w:t>reach a contrary conclusion with respect to its stat</w:t>
      </w:r>
      <w:r w:rsidR="00050E2E">
        <w:t>utory jurisdiction, PSE requested</w:t>
      </w:r>
      <w:r w:rsidR="006670AA">
        <w:t xml:space="preserve"> approval of the proposed transaction</w:t>
      </w:r>
      <w:r w:rsidR="00C50DD2">
        <w:t xml:space="preserve"> and the transfer of the Assets</w:t>
      </w:r>
      <w:r w:rsidR="00C3332C">
        <w:t xml:space="preserve"> for purposes of RCW 80.12.020</w:t>
      </w:r>
      <w:r w:rsidR="006670AA">
        <w:t xml:space="preserve">.  </w:t>
      </w:r>
    </w:p>
    <w:p w:rsidR="006670AA" w:rsidRDefault="003570CB" w:rsidP="000B6D20">
      <w:pPr>
        <w:pStyle w:val="BodyText"/>
      </w:pPr>
      <w:r>
        <w:t>8</w:t>
      </w:r>
      <w:r w:rsidR="006670AA">
        <w:t>.</w:t>
      </w:r>
      <w:r w:rsidR="006670AA">
        <w:tab/>
        <w:t xml:space="preserve">PSE </w:t>
      </w:r>
      <w:r w:rsidR="00050E2E">
        <w:t xml:space="preserve">also </w:t>
      </w:r>
      <w:r w:rsidR="006670AA">
        <w:t>request</w:t>
      </w:r>
      <w:r w:rsidR="00050E2E">
        <w:t>ed</w:t>
      </w:r>
      <w:r w:rsidR="006670AA">
        <w:t xml:space="preserve"> an order declaring that </w:t>
      </w:r>
      <w:r w:rsidR="006670AA" w:rsidRPr="006670AA">
        <w:t xml:space="preserve">the amount of the </w:t>
      </w:r>
      <w:r w:rsidR="0012547A">
        <w:t xml:space="preserve">$103 million </w:t>
      </w:r>
      <w:r w:rsidR="008B37BD" w:rsidRPr="006670AA">
        <w:t xml:space="preserve">purchase price </w:t>
      </w:r>
      <w:r w:rsidR="00140C8D">
        <w:t>described</w:t>
      </w:r>
      <w:r w:rsidR="006670AA">
        <w:t xml:space="preserve"> in the APA </w:t>
      </w:r>
      <w:r w:rsidR="006670AA" w:rsidRPr="006670AA">
        <w:t xml:space="preserve">is an amount that is sufficient to fully compensate PSE for the sale of the </w:t>
      </w:r>
      <w:r w:rsidR="00C50DD2">
        <w:t>A</w:t>
      </w:r>
      <w:r w:rsidR="00C50DD2" w:rsidRPr="006670AA">
        <w:t>ssets</w:t>
      </w:r>
      <w:r w:rsidR="006670AA">
        <w:t>.</w:t>
      </w:r>
    </w:p>
    <w:p w:rsidR="00456496" w:rsidRPr="006670AA" w:rsidRDefault="003570CB" w:rsidP="000B6D20">
      <w:pPr>
        <w:pStyle w:val="BodyText"/>
      </w:pPr>
      <w:r>
        <w:t>9</w:t>
      </w:r>
      <w:r w:rsidR="00456496">
        <w:t>.</w:t>
      </w:r>
      <w:r w:rsidR="00456496">
        <w:tab/>
      </w:r>
      <w:r w:rsidR="00050E2E">
        <w:t xml:space="preserve">Finally, </w:t>
      </w:r>
      <w:r w:rsidR="00456496">
        <w:t>PSE request</w:t>
      </w:r>
      <w:r w:rsidR="00050E2E">
        <w:t>ed</w:t>
      </w:r>
      <w:r w:rsidR="00456496">
        <w:t xml:space="preserve"> an order declaring that </w:t>
      </w:r>
      <w:r w:rsidR="00456496" w:rsidRPr="00465E58">
        <w:t xml:space="preserve">the provisions of </w:t>
      </w:r>
      <w:r w:rsidR="00456496">
        <w:t>the APA</w:t>
      </w:r>
      <w:r w:rsidR="00456496" w:rsidRPr="00465E58">
        <w:t xml:space="preserve"> pertaining to PSE’s transition of its responsibilities to provide electrical service to its customers in the </w:t>
      </w:r>
      <w:r w:rsidR="0043750D" w:rsidRPr="00465E58">
        <w:t xml:space="preserve">service territory </w:t>
      </w:r>
      <w:r w:rsidR="00456496" w:rsidRPr="00465E58">
        <w:t>are sufficient and consistent with PSE’s public service obligations</w:t>
      </w:r>
      <w:r w:rsidR="00456496">
        <w:t>.</w:t>
      </w:r>
    </w:p>
    <w:p w:rsidR="00850D26" w:rsidRDefault="00850D26" w:rsidP="00CB5CA7">
      <w:pPr>
        <w:pStyle w:val="Heading1"/>
        <w:spacing w:line="240" w:lineRule="auto"/>
        <w:ind w:left="0" w:right="0"/>
      </w:pPr>
      <w:r>
        <w:t>II.</w:t>
      </w:r>
      <w:r>
        <w:tab/>
      </w:r>
      <w:r w:rsidR="005F75D4">
        <w:t>DISCUSSION</w:t>
      </w:r>
    </w:p>
    <w:p w:rsidR="004B7AE4" w:rsidRDefault="004B7AE4" w:rsidP="004B7AE4">
      <w:pPr>
        <w:pStyle w:val="Heading2"/>
      </w:pPr>
      <w:r>
        <w:t>A.</w:t>
      </w:r>
      <w:r>
        <w:tab/>
        <w:t xml:space="preserve">Commission Approval of the Asset Transfer </w:t>
      </w:r>
    </w:p>
    <w:p w:rsidR="002C784C" w:rsidRDefault="00150078" w:rsidP="00762BC5">
      <w:pPr>
        <w:pStyle w:val="BodyText"/>
      </w:pPr>
      <w:r>
        <w:t>1</w:t>
      </w:r>
      <w:r w:rsidR="003570CB">
        <w:t>0</w:t>
      </w:r>
      <w:r>
        <w:t>.</w:t>
      </w:r>
      <w:r>
        <w:tab/>
      </w:r>
      <w:r w:rsidR="00762BC5" w:rsidRPr="00762BC5">
        <w:t xml:space="preserve">No public service company </w:t>
      </w:r>
      <w:r w:rsidR="00762BC5">
        <w:t xml:space="preserve">may </w:t>
      </w:r>
      <w:r w:rsidR="00762BC5" w:rsidRPr="00762BC5">
        <w:t xml:space="preserve">sell, lease, assign or otherwise dispose of </w:t>
      </w:r>
      <w:r w:rsidR="00762BC5">
        <w:t xml:space="preserve">property that is </w:t>
      </w:r>
      <w:r w:rsidR="00762BC5" w:rsidRPr="00762BC5">
        <w:t>necessary or useful in the performance of its duties to the public</w:t>
      </w:r>
      <w:r w:rsidR="00762BC5">
        <w:t xml:space="preserve"> </w:t>
      </w:r>
      <w:r w:rsidR="00762BC5" w:rsidRPr="00762BC5">
        <w:t xml:space="preserve">without having secured from the </w:t>
      </w:r>
      <w:r w:rsidR="00762BC5">
        <w:t>C</w:t>
      </w:r>
      <w:r w:rsidR="00762BC5" w:rsidRPr="00762BC5">
        <w:t>ommission an order authorizing it to do so</w:t>
      </w:r>
      <w:r w:rsidR="00762BC5">
        <w:t xml:space="preserve">.  RCW 80.12.020.  </w:t>
      </w:r>
      <w:r w:rsidR="002C784C">
        <w:t>Similarly, WAC 480-1</w:t>
      </w:r>
      <w:r w:rsidR="00D054CA">
        <w:t>4</w:t>
      </w:r>
      <w:r w:rsidR="002C784C">
        <w:t xml:space="preserve">3-120 states, </w:t>
      </w:r>
    </w:p>
    <w:p w:rsidR="002C784C" w:rsidRDefault="002C784C" w:rsidP="002C784C">
      <w:pPr>
        <w:pStyle w:val="BodyText"/>
        <w:spacing w:line="240" w:lineRule="auto"/>
        <w:ind w:left="720" w:right="1080" w:firstLine="0"/>
      </w:pPr>
    </w:p>
    <w:p w:rsidR="002C784C" w:rsidRDefault="002C784C" w:rsidP="006D4D76">
      <w:pPr>
        <w:pStyle w:val="BodyText"/>
        <w:spacing w:line="240" w:lineRule="auto"/>
        <w:ind w:left="1440" w:right="1080" w:firstLine="0"/>
      </w:pPr>
      <w:r w:rsidRPr="002C784C">
        <w:t>A public service company may not complete a transfer of property necessary or useful to perform its public duties unless the company first applies for, and obtains, commission approval.</w:t>
      </w:r>
      <w:r>
        <w:t xml:space="preserve">  </w:t>
      </w:r>
    </w:p>
    <w:p w:rsidR="00762BC5" w:rsidRDefault="00762BC5" w:rsidP="00150078">
      <w:pPr>
        <w:pStyle w:val="BodyText"/>
        <w:ind w:firstLine="0"/>
      </w:pPr>
      <w:r>
        <w:t>One</w:t>
      </w:r>
      <w:r w:rsidR="006D4D76">
        <w:t xml:space="preserve"> exception to</w:t>
      </w:r>
      <w:r w:rsidR="00891BED">
        <w:t xml:space="preserve"> </w:t>
      </w:r>
      <w:r w:rsidR="002C784C">
        <w:t xml:space="preserve">these provisions, however, </w:t>
      </w:r>
      <w:r>
        <w:t>is a transfer of assets to a</w:t>
      </w:r>
      <w:r w:rsidRPr="00762BC5">
        <w:t xml:space="preserve"> special purpose district</w:t>
      </w:r>
      <w:r>
        <w:t>,</w:t>
      </w:r>
      <w:r w:rsidRPr="00762BC5">
        <w:t xml:space="preserve"> defined in RCW 36.96.010</w:t>
      </w:r>
      <w:r>
        <w:t xml:space="preserve"> to </w:t>
      </w:r>
      <w:r w:rsidR="00BA79CE">
        <w:t xml:space="preserve">specifically </w:t>
      </w:r>
      <w:r>
        <w:t>include public utility districts.</w:t>
      </w:r>
      <w:r w:rsidR="006D4D76">
        <w:rPr>
          <w:rStyle w:val="FootnoteReference"/>
        </w:rPr>
        <w:footnoteReference w:id="4"/>
      </w:r>
      <w:r>
        <w:t xml:space="preserve">  JPUD is a public util</w:t>
      </w:r>
      <w:r w:rsidR="00050E2E">
        <w:t>ity district;</w:t>
      </w:r>
      <w:r>
        <w:t xml:space="preserve"> </w:t>
      </w:r>
      <w:r w:rsidR="00050E2E">
        <w:t xml:space="preserve">therefore, </w:t>
      </w:r>
      <w:r w:rsidR="00C3332C">
        <w:t>the transfer</w:t>
      </w:r>
      <w:r>
        <w:t xml:space="preserve"> of </w:t>
      </w:r>
      <w:r w:rsidR="00C3332C">
        <w:t xml:space="preserve">Assets </w:t>
      </w:r>
      <w:r>
        <w:t xml:space="preserve">to JPUD </w:t>
      </w:r>
      <w:r w:rsidR="001431DD">
        <w:t>is authorized by RCW 80.12.020</w:t>
      </w:r>
      <w:r w:rsidR="00C3332C">
        <w:t>(2) and the Commission need not undertake any further review</w:t>
      </w:r>
      <w:r w:rsidR="00884BE7">
        <w:t xml:space="preserve"> of</w:t>
      </w:r>
      <w:r w:rsidR="00C3332C">
        <w:t xml:space="preserve"> the proposed transaction for purposes of RCW 80.12.020.</w:t>
      </w:r>
    </w:p>
    <w:p w:rsidR="00891BED" w:rsidRDefault="00891BED" w:rsidP="00891BED">
      <w:pPr>
        <w:pStyle w:val="Heading2"/>
      </w:pPr>
      <w:r>
        <w:t>B.</w:t>
      </w:r>
      <w:r>
        <w:tab/>
        <w:t xml:space="preserve">The Amount of the Purchase Price </w:t>
      </w:r>
    </w:p>
    <w:p w:rsidR="0085364C" w:rsidRDefault="00150078" w:rsidP="00891BED">
      <w:pPr>
        <w:pStyle w:val="BodyText"/>
      </w:pPr>
      <w:r>
        <w:t>1</w:t>
      </w:r>
      <w:r w:rsidR="003570CB">
        <w:t>1</w:t>
      </w:r>
      <w:r>
        <w:t>.</w:t>
      </w:r>
      <w:r>
        <w:tab/>
      </w:r>
      <w:r w:rsidR="00050E2E">
        <w:t>PSE's</w:t>
      </w:r>
      <w:r w:rsidR="00891BED">
        <w:t xml:space="preserve"> Petition </w:t>
      </w:r>
      <w:r w:rsidR="00D3706E">
        <w:t xml:space="preserve">also </w:t>
      </w:r>
      <w:r w:rsidR="007835C5">
        <w:t xml:space="preserve">seeks to determine </w:t>
      </w:r>
      <w:r w:rsidR="00891BED">
        <w:t xml:space="preserve">whether the </w:t>
      </w:r>
      <w:r w:rsidR="00B64158">
        <w:t xml:space="preserve">$103 million </w:t>
      </w:r>
      <w:r w:rsidR="00F60480">
        <w:t xml:space="preserve">purchase price for the </w:t>
      </w:r>
      <w:r w:rsidR="00C3332C">
        <w:t xml:space="preserve">Assets </w:t>
      </w:r>
      <w:r w:rsidR="00891BED">
        <w:t xml:space="preserve">is </w:t>
      </w:r>
      <w:r w:rsidR="007835C5">
        <w:t xml:space="preserve">sufficient </w:t>
      </w:r>
      <w:r w:rsidR="00891BED">
        <w:t>to fully compensate PSE</w:t>
      </w:r>
      <w:r w:rsidR="003570CB">
        <w:t>.</w:t>
      </w:r>
      <w:r w:rsidR="000E68C3">
        <w:rPr>
          <w:rStyle w:val="FootnoteReference"/>
        </w:rPr>
        <w:footnoteReference w:id="5"/>
      </w:r>
      <w:r w:rsidR="00891BED">
        <w:t xml:space="preserve">  </w:t>
      </w:r>
      <w:r w:rsidR="00050E2E">
        <w:t xml:space="preserve">PSE states that its </w:t>
      </w:r>
      <w:r w:rsidR="00B858A0">
        <w:t>proposed</w:t>
      </w:r>
      <w:r w:rsidR="007835C5">
        <w:t xml:space="preserve"> </w:t>
      </w:r>
      <w:r w:rsidR="00B858A0">
        <w:t>transition</w:t>
      </w:r>
      <w:r w:rsidR="007835C5">
        <w:t xml:space="preserve"> </w:t>
      </w:r>
      <w:r w:rsidR="00B858A0">
        <w:t>is a settlement entered into</w:t>
      </w:r>
      <w:r w:rsidR="00E43B60">
        <w:t xml:space="preserve"> under threat of condemnation</w:t>
      </w:r>
      <w:r w:rsidR="00B858A0">
        <w:t xml:space="preserve">.  </w:t>
      </w:r>
      <w:r w:rsidR="00050E2E">
        <w:t>PSE states that t</w:t>
      </w:r>
      <w:r w:rsidR="00383636">
        <w:t xml:space="preserve">he </w:t>
      </w:r>
      <w:r w:rsidR="00E3334E">
        <w:t>proposed</w:t>
      </w:r>
      <w:r w:rsidR="00383636">
        <w:t xml:space="preserve"> purchase price </w:t>
      </w:r>
      <w:r w:rsidR="00E3334E">
        <w:t>constitutes</w:t>
      </w:r>
      <w:r w:rsidR="00383636">
        <w:t xml:space="preserve"> JPUD's last and best offer of settlement.</w:t>
      </w:r>
      <w:r w:rsidR="00D3706E">
        <w:rPr>
          <w:rStyle w:val="FootnoteReference"/>
        </w:rPr>
        <w:footnoteReference w:id="6"/>
      </w:r>
      <w:r w:rsidR="00383636">
        <w:t xml:space="preserve">  </w:t>
      </w:r>
      <w:r w:rsidR="000364FE">
        <w:t>PSE</w:t>
      </w:r>
      <w:r w:rsidR="00E43074">
        <w:t xml:space="preserve"> states that its</w:t>
      </w:r>
      <w:r w:rsidR="0085364C">
        <w:t xml:space="preserve"> only other </w:t>
      </w:r>
      <w:r w:rsidR="007835C5">
        <w:t xml:space="preserve">"option" </w:t>
      </w:r>
      <w:r w:rsidR="0085364C">
        <w:t xml:space="preserve">is to reject </w:t>
      </w:r>
      <w:r w:rsidR="007835C5">
        <w:t xml:space="preserve">JPUD's offer </w:t>
      </w:r>
      <w:r w:rsidR="0085364C">
        <w:t xml:space="preserve">of settlement </w:t>
      </w:r>
      <w:r w:rsidR="00383636">
        <w:t xml:space="preserve">and </w:t>
      </w:r>
      <w:r w:rsidR="00B858A0">
        <w:t>plac</w:t>
      </w:r>
      <w:r w:rsidR="0085364C">
        <w:t>e</w:t>
      </w:r>
      <w:r w:rsidR="007835C5">
        <w:t xml:space="preserve"> PSE at substantial litigation risk</w:t>
      </w:r>
      <w:r w:rsidR="0085364C">
        <w:t xml:space="preserve"> in the context of defending a hostile acquisition in condemnation proceedings.  </w:t>
      </w:r>
      <w:r w:rsidR="00E43074">
        <w:t>PSE</w:t>
      </w:r>
      <w:r w:rsidR="00ED6759">
        <w:t xml:space="preserve"> </w:t>
      </w:r>
      <w:r w:rsidR="00E43074">
        <w:t>does</w:t>
      </w:r>
      <w:r w:rsidR="0085364C">
        <w:t xml:space="preserve"> not think that</w:t>
      </w:r>
      <w:r w:rsidR="00E43074">
        <w:t xml:space="preserve"> this would ultimately be in the public interest</w:t>
      </w:r>
      <w:r w:rsidR="00B858A0">
        <w:t xml:space="preserve">.  </w:t>
      </w:r>
    </w:p>
    <w:p w:rsidR="00E43B60" w:rsidRDefault="008A7325" w:rsidP="00891BED">
      <w:pPr>
        <w:pStyle w:val="BodyText"/>
      </w:pPr>
      <w:r>
        <w:t>1</w:t>
      </w:r>
      <w:r w:rsidR="003570CB">
        <w:t>2</w:t>
      </w:r>
      <w:r>
        <w:t>.</w:t>
      </w:r>
      <w:r>
        <w:tab/>
      </w:r>
      <w:r w:rsidR="00E43074">
        <w:t xml:space="preserve">PSE goes on to state that </w:t>
      </w:r>
      <w:r w:rsidR="00C743AF">
        <w:t>a f</w:t>
      </w:r>
      <w:r w:rsidR="00E43074">
        <w:t>ailure to consummate the</w:t>
      </w:r>
      <w:r w:rsidR="00C743AF">
        <w:t xml:space="preserve"> settlement would potentially harm JPUD's ability to execute its desired </w:t>
      </w:r>
      <w:r w:rsidR="007835C5">
        <w:t xml:space="preserve">transition </w:t>
      </w:r>
      <w:r w:rsidR="00B858A0">
        <w:t>plan</w:t>
      </w:r>
      <w:r w:rsidR="00C743AF">
        <w:t xml:space="preserve">.  </w:t>
      </w:r>
      <w:r>
        <w:t>Therefore</w:t>
      </w:r>
      <w:r w:rsidR="00335C0B">
        <w:t xml:space="preserve">, </w:t>
      </w:r>
      <w:r w:rsidR="00E43074">
        <w:t xml:space="preserve">PSE states, </w:t>
      </w:r>
      <w:r w:rsidR="00335C0B">
        <w:lastRenderedPageBreak/>
        <w:t>JPUD has insisted that the APA include provisions that ensure prompt resolution of the</w:t>
      </w:r>
      <w:r>
        <w:t xml:space="preserve"> all regulatory contingencies</w:t>
      </w:r>
      <w:r w:rsidR="00816E2E">
        <w:t>.</w:t>
      </w:r>
    </w:p>
    <w:p w:rsidR="00891BED" w:rsidRDefault="008A7325" w:rsidP="00891BED">
      <w:pPr>
        <w:pStyle w:val="BodyText"/>
      </w:pPr>
      <w:r>
        <w:t>1</w:t>
      </w:r>
      <w:r w:rsidR="003570CB">
        <w:t>3</w:t>
      </w:r>
      <w:r>
        <w:t>.</w:t>
      </w:r>
      <w:r>
        <w:tab/>
      </w:r>
      <w:r w:rsidR="0043750D">
        <w:t>T</w:t>
      </w:r>
      <w:r>
        <w:t xml:space="preserve">he Assets </w:t>
      </w:r>
      <w:r w:rsidR="00626C26">
        <w:t xml:space="preserve">are </w:t>
      </w:r>
      <w:r>
        <w:t xml:space="preserve">generally defined </w:t>
      </w:r>
      <w:r w:rsidR="0043750D">
        <w:t xml:space="preserve">in the APA </w:t>
      </w:r>
      <w:r>
        <w:t xml:space="preserve">as </w:t>
      </w:r>
      <w:r w:rsidR="00626C26">
        <w:t xml:space="preserve">an </w:t>
      </w:r>
      <w:r w:rsidR="00626C26" w:rsidRPr="00465E58">
        <w:t xml:space="preserve">asset, facility or property </w:t>
      </w:r>
      <w:r w:rsidR="00626C26">
        <w:t>that "</w:t>
      </w:r>
      <w:r w:rsidR="00626C26" w:rsidRPr="00465E58">
        <w:t>constitutes a real property interest located in the Service Territory or an improvement or fixture located thereon that is used by and useful to PSE to provide retail electric service to customers located in the Service Territory in accordance with the rules, regulations of, and the rates and tariffs on file with the WUTC</w:t>
      </w:r>
      <w:r w:rsidR="004E593C">
        <w:t>".</w:t>
      </w:r>
      <w:r w:rsidR="00FD3CF2">
        <w:rPr>
          <w:rStyle w:val="FootnoteReference"/>
        </w:rPr>
        <w:footnoteReference w:id="7"/>
      </w:r>
      <w:r w:rsidR="00FD3CF2">
        <w:t xml:space="preserve"> </w:t>
      </w:r>
      <w:r w:rsidR="008F0050">
        <w:t xml:space="preserve"> </w:t>
      </w:r>
      <w:r w:rsidR="00E43074">
        <w:t>PSE notes that n</w:t>
      </w:r>
      <w:r w:rsidR="00E43B60">
        <w:t xml:space="preserve">o generation facilities are involved in this transaction, nor are any generation facilities affected by this transaction. </w:t>
      </w:r>
      <w:r w:rsidR="00626C26">
        <w:t xml:space="preserve"> </w:t>
      </w:r>
      <w:r w:rsidR="00E43074">
        <w:t xml:space="preserve">PSE points out, however, that </w:t>
      </w:r>
      <w:r w:rsidR="00E43B60">
        <w:t xml:space="preserve">the </w:t>
      </w:r>
      <w:r w:rsidR="007B0245">
        <w:t>APA provides for</w:t>
      </w:r>
      <w:r w:rsidR="00E43B60">
        <w:t xml:space="preserve"> </w:t>
      </w:r>
      <w:r w:rsidR="00F21CA8">
        <w:t xml:space="preserve">due diligence activities (i.e., confirmation that the asset list is complete and accurate) and for </w:t>
      </w:r>
      <w:r w:rsidR="00E43B60">
        <w:t>improvements to the existing transmission and distribution system</w:t>
      </w:r>
      <w:r w:rsidR="00E43B60">
        <w:rPr>
          <w:rStyle w:val="FootnoteReference"/>
        </w:rPr>
        <w:footnoteReference w:id="8"/>
      </w:r>
      <w:r w:rsidR="00E43B60">
        <w:t xml:space="preserve"> that are likely </w:t>
      </w:r>
      <w:r w:rsidR="00884BE7">
        <w:t xml:space="preserve">to </w:t>
      </w:r>
      <w:r w:rsidR="00E43B60">
        <w:t>occur during the 18 to 36 month transition period.</w:t>
      </w:r>
      <w:r w:rsidR="00E43B60">
        <w:rPr>
          <w:rStyle w:val="FootnoteReference"/>
        </w:rPr>
        <w:footnoteReference w:id="9"/>
      </w:r>
      <w:r w:rsidR="00E43B60">
        <w:t xml:space="preserve">  </w:t>
      </w:r>
      <w:r w:rsidR="00E43074">
        <w:t>PSE states that t</w:t>
      </w:r>
      <w:r w:rsidR="00A87DD7">
        <w:t>hese adjustments will be overseen by a Transition Advisory Committee</w:t>
      </w:r>
      <w:r w:rsidR="00F70B29">
        <w:t xml:space="preserve"> ("TAC")</w:t>
      </w:r>
      <w:r w:rsidR="00E43074">
        <w:t>,</w:t>
      </w:r>
      <w:r w:rsidR="00A87DD7">
        <w:t xml:space="preserve"> and corresponding </w:t>
      </w:r>
      <w:r w:rsidR="000364FE">
        <w:t>adjustments</w:t>
      </w:r>
      <w:r w:rsidR="00A87DD7">
        <w:t xml:space="preserve"> to the purchase price will be </w:t>
      </w:r>
      <w:r w:rsidR="00F70B29">
        <w:t>made</w:t>
      </w:r>
      <w:r w:rsidR="00A87DD7">
        <w:t xml:space="preserve"> </w:t>
      </w:r>
      <w:r w:rsidR="00F70B29">
        <w:t xml:space="preserve">by the TAC </w:t>
      </w:r>
      <w:r w:rsidR="00A87DD7">
        <w:t>to reflect the net book value of any improvement</w:t>
      </w:r>
      <w:r w:rsidR="00F70B29">
        <w:t xml:space="preserve">s </w:t>
      </w:r>
      <w:r w:rsidR="00626C26">
        <w:t xml:space="preserve">made </w:t>
      </w:r>
      <w:r w:rsidR="00F70B29">
        <w:t xml:space="preserve">to the </w:t>
      </w:r>
      <w:r w:rsidR="00F21CA8">
        <w:t>A</w:t>
      </w:r>
      <w:r w:rsidR="00F70B29">
        <w:t>ssets (a</w:t>
      </w:r>
      <w:r w:rsidR="00F21CA8">
        <w:t xml:space="preserve"> price </w:t>
      </w:r>
      <w:r w:rsidR="000364FE">
        <w:t>increase</w:t>
      </w:r>
      <w:r w:rsidR="00F21CA8">
        <w:t>)</w:t>
      </w:r>
      <w:r w:rsidR="00F70B29">
        <w:t xml:space="preserve"> and the </w:t>
      </w:r>
      <w:r w:rsidR="00A87DD7">
        <w:t xml:space="preserve">value of any </w:t>
      </w:r>
      <w:r w:rsidR="00F21CA8">
        <w:t>A</w:t>
      </w:r>
      <w:r w:rsidR="00A87DD7">
        <w:t>sset</w:t>
      </w:r>
      <w:r w:rsidR="00F70B29">
        <w:t>s</w:t>
      </w:r>
      <w:r w:rsidR="00A87DD7">
        <w:t xml:space="preserve"> removed from service</w:t>
      </w:r>
      <w:r w:rsidR="00F70B29">
        <w:t xml:space="preserve"> (a price decrease)</w:t>
      </w:r>
      <w:r w:rsidR="00626C26">
        <w:t xml:space="preserve"> during the transition period</w:t>
      </w:r>
      <w:r w:rsidR="00A87DD7">
        <w:t>.</w:t>
      </w:r>
      <w:r w:rsidR="00F21CA8">
        <w:t xml:space="preserve">  </w:t>
      </w:r>
      <w:r w:rsidR="00AF513D">
        <w:t>T</w:t>
      </w:r>
      <w:r w:rsidR="009939F2">
        <w:t>h</w:t>
      </w:r>
      <w:r w:rsidR="00E43074">
        <w:t xml:space="preserve">is mechanism, PSE states, </w:t>
      </w:r>
      <w:r w:rsidR="00AF513D">
        <w:t>ensures that th</w:t>
      </w:r>
      <w:r w:rsidR="009939F2">
        <w:t xml:space="preserve">ere is no financial disincentive </w:t>
      </w:r>
      <w:r w:rsidR="00AF513D">
        <w:t xml:space="preserve">during the transition period </w:t>
      </w:r>
      <w:r w:rsidR="009939F2">
        <w:t xml:space="preserve">to make </w:t>
      </w:r>
      <w:r w:rsidR="00A87DD7">
        <w:t>investments necessary to mai</w:t>
      </w:r>
      <w:r w:rsidR="007B0245">
        <w:t>n</w:t>
      </w:r>
      <w:r w:rsidR="00A87DD7">
        <w:t>t</w:t>
      </w:r>
      <w:r w:rsidR="007B0245">
        <w:t>a</w:t>
      </w:r>
      <w:r w:rsidR="00A87DD7">
        <w:t>in safe and reliable service to PSE's customers.</w:t>
      </w:r>
    </w:p>
    <w:p w:rsidR="00666111" w:rsidRDefault="007B0245" w:rsidP="00666111">
      <w:pPr>
        <w:pStyle w:val="BodyText"/>
      </w:pPr>
      <w:r w:rsidRPr="002270B6">
        <w:lastRenderedPageBreak/>
        <w:t>1</w:t>
      </w:r>
      <w:r w:rsidR="003570CB">
        <w:t>4</w:t>
      </w:r>
      <w:r w:rsidR="00150078" w:rsidRPr="002270B6">
        <w:t>.</w:t>
      </w:r>
      <w:r w:rsidR="00150078" w:rsidRPr="002270B6">
        <w:tab/>
      </w:r>
      <w:r w:rsidR="007051A9" w:rsidRPr="002270B6">
        <w:t xml:space="preserve">In his prefiled direct testimony, Exhibit No. KRK-1CT, PSE witness Karl R. Karzmar describes </w:t>
      </w:r>
      <w:r w:rsidR="00C2094B" w:rsidRPr="002270B6">
        <w:t xml:space="preserve">in detail the methodology the </w:t>
      </w:r>
      <w:r w:rsidRPr="002270B6">
        <w:t xml:space="preserve">parties </w:t>
      </w:r>
      <w:r w:rsidR="00C2094B" w:rsidRPr="002270B6">
        <w:t xml:space="preserve">used to </w:t>
      </w:r>
      <w:r w:rsidR="007051A9" w:rsidRPr="002270B6">
        <w:t>determin</w:t>
      </w:r>
      <w:r w:rsidR="00C2094B" w:rsidRPr="002270B6">
        <w:t xml:space="preserve">e </w:t>
      </w:r>
      <w:r w:rsidR="007051A9" w:rsidRPr="002270B6">
        <w:t xml:space="preserve">the </w:t>
      </w:r>
      <w:r w:rsidRPr="002270B6">
        <w:t>fair market value of</w:t>
      </w:r>
      <w:r w:rsidR="007051A9" w:rsidRPr="002270B6">
        <w:t xml:space="preserve"> the </w:t>
      </w:r>
      <w:r w:rsidRPr="002270B6">
        <w:t>Assets</w:t>
      </w:r>
      <w:r w:rsidR="00702BA2" w:rsidRPr="002270B6">
        <w:t xml:space="preserve"> as well as alternatives to the sale and risks associated with such</w:t>
      </w:r>
      <w:r w:rsidR="00702BA2">
        <w:t xml:space="preserve"> alternatives</w:t>
      </w:r>
      <w:r w:rsidR="00C2094B">
        <w:t xml:space="preserve">.  </w:t>
      </w:r>
      <w:r w:rsidR="00852D7D">
        <w:t>JPUD and PSE both used</w:t>
      </w:r>
      <w:r w:rsidR="0014560F">
        <w:t xml:space="preserve"> and primarily relied upon </w:t>
      </w:r>
      <w:r w:rsidR="00852D7D">
        <w:t xml:space="preserve">the Replacement Cost New Less Depreciation ("RCNLD") and </w:t>
      </w:r>
      <w:r w:rsidR="00852D7D" w:rsidRPr="00C52590">
        <w:t>Reproduction Cost Less Depreciation (</w:t>
      </w:r>
      <w:r w:rsidR="00D054CA">
        <w:t>"</w:t>
      </w:r>
      <w:r w:rsidR="00852D7D" w:rsidRPr="00C52590">
        <w:t>RCLD</w:t>
      </w:r>
      <w:r w:rsidR="00D054CA">
        <w:t>"</w:t>
      </w:r>
      <w:r w:rsidR="00852D7D" w:rsidRPr="00C52590">
        <w:t>)</w:t>
      </w:r>
      <w:r w:rsidR="00852D7D">
        <w:t xml:space="preserve"> methodologies to establish a price range for purposes of settlement negotiations</w:t>
      </w:r>
      <w:r w:rsidR="00666111">
        <w:t xml:space="preserve">.  </w:t>
      </w:r>
      <w:r w:rsidR="002270B6">
        <w:t>PSE states that t</w:t>
      </w:r>
      <w:r w:rsidR="00CF2509">
        <w:t xml:space="preserve">he primary contingency </w:t>
      </w:r>
      <w:r w:rsidR="00D55B92">
        <w:t>influencing</w:t>
      </w:r>
      <w:r w:rsidR="002A2339">
        <w:t xml:space="preserve"> </w:t>
      </w:r>
      <w:r w:rsidR="00D55B92">
        <w:t>PSE's</w:t>
      </w:r>
      <w:r w:rsidR="002A2339">
        <w:t xml:space="preserve"> </w:t>
      </w:r>
      <w:r w:rsidR="00D55B92">
        <w:t xml:space="preserve">price range was </w:t>
      </w:r>
      <w:r w:rsidR="00CF2509">
        <w:t>real estate value</w:t>
      </w:r>
      <w:r w:rsidR="002A2339">
        <w:t>s</w:t>
      </w:r>
      <w:r w:rsidR="00666111">
        <w:t xml:space="preserve">.  </w:t>
      </w:r>
      <w:r w:rsidR="00681A62">
        <w:t xml:space="preserve">  </w:t>
      </w:r>
    </w:p>
    <w:p w:rsidR="008D60DD" w:rsidRDefault="00D55B92" w:rsidP="004E593C">
      <w:pPr>
        <w:pStyle w:val="BodyText"/>
        <w:spacing w:after="120"/>
      </w:pPr>
      <w:r>
        <w:t>1</w:t>
      </w:r>
      <w:r w:rsidR="003570CB">
        <w:t>5</w:t>
      </w:r>
      <w:r>
        <w:t>.</w:t>
      </w:r>
      <w:r>
        <w:tab/>
        <w:t xml:space="preserve">In view of uncertainty regarding real estate values, PSE included a contingency in the APA that afforded </w:t>
      </w:r>
      <w:r w:rsidR="00B46B16">
        <w:t>PSE</w:t>
      </w:r>
      <w:r>
        <w:t xml:space="preserve"> the </w:t>
      </w:r>
      <w:r w:rsidR="002A6076">
        <w:t>opportunity</w:t>
      </w:r>
      <w:r>
        <w:t xml:space="preserve"> to obtain </w:t>
      </w:r>
      <w:r w:rsidR="00B46B16">
        <w:t>the opinion of a third-</w:t>
      </w:r>
      <w:r w:rsidR="002A6076">
        <w:t>party</w:t>
      </w:r>
      <w:r w:rsidR="00B46B16">
        <w:t xml:space="preserve"> </w:t>
      </w:r>
      <w:r w:rsidR="002A6076">
        <w:t>appraiser</w:t>
      </w:r>
      <w:r w:rsidR="00B46B16">
        <w:t xml:space="preserve"> </w:t>
      </w:r>
      <w:r w:rsidR="002A6076">
        <w:t>in order to verify</w:t>
      </w:r>
      <w:r w:rsidR="00B46B16">
        <w:t xml:space="preserve"> </w:t>
      </w:r>
      <w:r w:rsidR="002A6076">
        <w:t>real-estate</w:t>
      </w:r>
      <w:r w:rsidR="00B46B16">
        <w:t xml:space="preserve"> values.  </w:t>
      </w:r>
      <w:r w:rsidR="002270B6">
        <w:t>PSE states that t</w:t>
      </w:r>
      <w:r w:rsidR="00B46B16">
        <w:t>his contingency was se</w:t>
      </w:r>
      <w:r w:rsidR="008D60DD">
        <w:t>t</w:t>
      </w:r>
      <w:r w:rsidR="002270B6">
        <w:t xml:space="preserve"> to expire on July 1, 2010, and o</w:t>
      </w:r>
      <w:r w:rsidR="00B46B16">
        <w:t xml:space="preserve">n June </w:t>
      </w:r>
      <w:r w:rsidR="004E593C">
        <w:t>29</w:t>
      </w:r>
      <w:r w:rsidR="008D60DD">
        <w:t>,</w:t>
      </w:r>
      <w:r w:rsidR="004E593C">
        <w:t xml:space="preserve"> 2010</w:t>
      </w:r>
      <w:r w:rsidR="008D60DD">
        <w:t xml:space="preserve"> PSE was advised by its appraiser</w:t>
      </w:r>
      <w:r w:rsidR="002A6076">
        <w:t>s</w:t>
      </w:r>
      <w:r w:rsidR="008D60DD">
        <w:t xml:space="preserve"> that their determination of </w:t>
      </w:r>
      <w:r w:rsidR="002A6076">
        <w:t>real estate</w:t>
      </w:r>
      <w:r w:rsidR="008D60DD">
        <w:t xml:space="preserve"> values was </w:t>
      </w:r>
      <w:r w:rsidR="008D60DD" w:rsidRPr="002A6076">
        <w:rPr>
          <w:i/>
        </w:rPr>
        <w:t>less than</w:t>
      </w:r>
      <w:r w:rsidR="008D60DD">
        <w:t xml:space="preserve"> the number that </w:t>
      </w:r>
      <w:r w:rsidR="002A6076">
        <w:t>PSE</w:t>
      </w:r>
      <w:r w:rsidR="008D60DD">
        <w:t xml:space="preserve"> had used for </w:t>
      </w:r>
      <w:r w:rsidR="002A6076">
        <w:t>purposes</w:t>
      </w:r>
      <w:r w:rsidR="008D60DD">
        <w:t xml:space="preserve"> of </w:t>
      </w:r>
      <w:r w:rsidR="002A6076">
        <w:t>negotiations.</w:t>
      </w:r>
      <w:r w:rsidR="008E411A">
        <w:rPr>
          <w:rStyle w:val="FootnoteReference"/>
        </w:rPr>
        <w:footnoteReference w:id="10"/>
      </w:r>
      <w:r w:rsidR="002A6076">
        <w:t xml:space="preserve">  </w:t>
      </w:r>
      <w:r w:rsidR="0014560F">
        <w:t xml:space="preserve">Having resolved this uncertainty, PSE states that the proposed purchase price of </w:t>
      </w:r>
      <w:r w:rsidR="0014560F" w:rsidRPr="00BA79CE">
        <w:t>$103 million</w:t>
      </w:r>
      <w:r w:rsidR="0014560F">
        <w:t xml:space="preserve"> reflects the fair market value of the Assets and provides a substantial premium over the net book value of these Assets.</w:t>
      </w:r>
      <w:r w:rsidR="00B63215">
        <w:t xml:space="preserve">  </w:t>
      </w:r>
      <w:r w:rsidR="002270B6">
        <w:t>PSE believes t</w:t>
      </w:r>
      <w:r w:rsidR="00B63215">
        <w:t xml:space="preserve">his amount is </w:t>
      </w:r>
      <w:r w:rsidR="00B63215" w:rsidRPr="00CA1D99">
        <w:t xml:space="preserve">sufficient to fully compensate </w:t>
      </w:r>
      <w:r w:rsidR="00B63215">
        <w:t>PSE</w:t>
      </w:r>
      <w:r w:rsidR="00B63215" w:rsidRPr="00CA1D99">
        <w:t xml:space="preserve"> for the sale of the </w:t>
      </w:r>
      <w:r w:rsidR="00B63215">
        <w:t>A</w:t>
      </w:r>
      <w:r w:rsidR="00B63215" w:rsidRPr="00CA1D99">
        <w:t>ssets</w:t>
      </w:r>
      <w:r w:rsidR="00E4354C">
        <w:t>.</w:t>
      </w:r>
    </w:p>
    <w:p w:rsidR="00A2423D" w:rsidRPr="00CA1D99" w:rsidRDefault="00867443" w:rsidP="00CA1D99">
      <w:pPr>
        <w:pStyle w:val="answer"/>
      </w:pPr>
      <w:r>
        <w:t>1</w:t>
      </w:r>
      <w:r w:rsidR="003570CB">
        <w:t>6</w:t>
      </w:r>
      <w:r w:rsidR="00CA1D99">
        <w:t>.</w:t>
      </w:r>
      <w:r w:rsidR="00CA1D99">
        <w:tab/>
      </w:r>
      <w:r w:rsidR="002270B6">
        <w:t>PSE adds that t</w:t>
      </w:r>
      <w:r w:rsidR="00A2423D">
        <w:t xml:space="preserve">he Purchase Price is </w:t>
      </w:r>
      <w:r w:rsidR="00C50DD2">
        <w:t>particularly</w:t>
      </w:r>
      <w:r w:rsidR="00A2423D">
        <w:t xml:space="preserve"> favorable when considered in light of the</w:t>
      </w:r>
      <w:r w:rsidR="00CA1D99">
        <w:t xml:space="preserve"> risk</w:t>
      </w:r>
      <w:r w:rsidR="00DB284F">
        <w:t>s associated with the alternative</w:t>
      </w:r>
      <w:r w:rsidR="00CA1D99">
        <w:t xml:space="preserve"> of condemnation</w:t>
      </w:r>
      <w:r w:rsidR="00A2423D">
        <w:t xml:space="preserve">.  </w:t>
      </w:r>
      <w:r w:rsidR="002270B6">
        <w:t>PSE states that the transaction at hand is</w:t>
      </w:r>
      <w:r w:rsidR="00CA1D99">
        <w:t xml:space="preserve"> complex</w:t>
      </w:r>
      <w:r w:rsidR="002270B6">
        <w:t>,</w:t>
      </w:r>
      <w:r w:rsidR="00CA1D99">
        <w:t xml:space="preserve"> and it is possible that a</w:t>
      </w:r>
      <w:r w:rsidR="002270B6">
        <w:t xml:space="preserve"> </w:t>
      </w:r>
      <w:r w:rsidR="00CA1D99">
        <w:t xml:space="preserve">jury could be persuaded to return an award for an amount substantially less than the proposed purchase price.  Therefore, </w:t>
      </w:r>
      <w:r w:rsidR="002270B6">
        <w:t xml:space="preserve">PSE believes that </w:t>
      </w:r>
      <w:r w:rsidR="00CA1D99">
        <w:t xml:space="preserve">due to the elimination of the risk of an unfavorable award, and the avoidance of </w:t>
      </w:r>
      <w:r w:rsidR="00CA1D99">
        <w:lastRenderedPageBreak/>
        <w:t xml:space="preserve">substantial litigation costs, delay, and uncertainty, the purchase price of $103 million is </w:t>
      </w:r>
      <w:r w:rsidR="00CA1D99" w:rsidRPr="00CA1D99">
        <w:t xml:space="preserve">sufficient to fully compensate </w:t>
      </w:r>
      <w:r w:rsidR="00CA1D99">
        <w:t>PSE</w:t>
      </w:r>
      <w:r w:rsidR="00CA1D99" w:rsidRPr="00CA1D99">
        <w:t xml:space="preserve"> for the sale of the </w:t>
      </w:r>
      <w:r w:rsidR="00B63215">
        <w:t>A</w:t>
      </w:r>
      <w:r w:rsidR="00B63215" w:rsidRPr="00CA1D99">
        <w:t>ssets</w:t>
      </w:r>
      <w:r w:rsidR="00CA1D99">
        <w:t>.</w:t>
      </w:r>
    </w:p>
    <w:p w:rsidR="00D07F99" w:rsidRDefault="00D07F99" w:rsidP="00D07F99">
      <w:pPr>
        <w:pStyle w:val="Heading2"/>
      </w:pPr>
      <w:bookmarkStart w:id="0" w:name="OLE_LINK7"/>
      <w:bookmarkStart w:id="1" w:name="OLE_LINK8"/>
      <w:r w:rsidRPr="00D07F99">
        <w:t>C.</w:t>
      </w:r>
      <w:r w:rsidRPr="00D07F99">
        <w:tab/>
        <w:t>The APA Provisions Regarding PSE's Transition of its Responsibilities to Provide Electrical Service to its Customers in the Service Territory.</w:t>
      </w:r>
    </w:p>
    <w:p w:rsidR="00B63215" w:rsidRDefault="003570CB" w:rsidP="00884BE7">
      <w:pPr>
        <w:spacing w:after="120"/>
      </w:pPr>
      <w:r>
        <w:t>17</w:t>
      </w:r>
      <w:r w:rsidR="002270B6">
        <w:t>.</w:t>
      </w:r>
      <w:r w:rsidR="002270B6">
        <w:tab/>
        <w:t xml:space="preserve">At closing of the transaction, PSE states that </w:t>
      </w:r>
      <w:r w:rsidR="00150078" w:rsidRPr="00465E58">
        <w:t xml:space="preserve">JPUD </w:t>
      </w:r>
      <w:r w:rsidR="002270B6">
        <w:t>will a</w:t>
      </w:r>
      <w:r w:rsidR="00150078" w:rsidRPr="00465E58">
        <w:t xml:space="preserve">ssume full and complete responsibility for providing electric service to </w:t>
      </w:r>
      <w:r w:rsidR="00B63215">
        <w:t xml:space="preserve">PSE's existing </w:t>
      </w:r>
      <w:r w:rsidR="00150078" w:rsidRPr="00465E58">
        <w:t xml:space="preserve">customers </w:t>
      </w:r>
      <w:r w:rsidR="00B63215">
        <w:t>in the Service Territory</w:t>
      </w:r>
      <w:r w:rsidR="00150078" w:rsidRPr="00465E58">
        <w:t>.</w:t>
      </w:r>
      <w:r w:rsidR="00D81CB7">
        <w:rPr>
          <w:rStyle w:val="FootnoteReference"/>
        </w:rPr>
        <w:footnoteReference w:id="11"/>
      </w:r>
      <w:r w:rsidR="00150078">
        <w:t xml:space="preserve">  </w:t>
      </w:r>
      <w:r w:rsidR="00B63215">
        <w:t>During the transition period the APA provide</w:t>
      </w:r>
      <w:r w:rsidR="004D19EC">
        <w:t>s</w:t>
      </w:r>
      <w:r w:rsidR="00B63215">
        <w:t>:</w:t>
      </w:r>
    </w:p>
    <w:p w:rsidR="004D19EC" w:rsidRDefault="004D19EC" w:rsidP="00884BE7">
      <w:pPr>
        <w:spacing w:line="240" w:lineRule="auto"/>
        <w:ind w:left="1440" w:right="720" w:firstLine="0"/>
      </w:pPr>
      <w:r w:rsidRPr="004D19EC">
        <w:t>PSE will, during the Transition Period, construct, operate and maintain the Assets, and provide electric service to its customers in the Service Territory, at substantially the same quality and level of service that PSE provides to its other customers, and to so construct, operate, maintain and serve in accordance with the rules and regulations of the WUTC (including, but not limited to, PSE rates and tariffs on file therewith)</w:t>
      </w:r>
      <w:r>
        <w:t>.</w:t>
      </w:r>
      <w:r w:rsidR="0059071D">
        <w:rPr>
          <w:rStyle w:val="FootnoteReference"/>
          <w:color w:val="000000"/>
        </w:rPr>
        <w:footnoteReference w:id="12"/>
      </w:r>
    </w:p>
    <w:p w:rsidR="004D19EC" w:rsidRPr="004D19EC" w:rsidRDefault="004D19EC" w:rsidP="004D19EC">
      <w:pPr>
        <w:ind w:firstLine="0"/>
      </w:pPr>
      <w:r>
        <w:t xml:space="preserve">However, </w:t>
      </w:r>
      <w:r w:rsidR="002270B6">
        <w:t xml:space="preserve">PSE states that </w:t>
      </w:r>
      <w:r>
        <w:t xml:space="preserve">it is within JPUD's discretion to determine when it is ready to close and displace PSE as the service provider.  </w:t>
      </w:r>
    </w:p>
    <w:p w:rsidR="00DA600C" w:rsidRDefault="003570CB" w:rsidP="00E4354C">
      <w:pPr>
        <w:pStyle w:val="BodyText"/>
      </w:pPr>
      <w:r>
        <w:t>18</w:t>
      </w:r>
      <w:r w:rsidR="0059071D">
        <w:t>.</w:t>
      </w:r>
      <w:r w:rsidR="0059071D">
        <w:tab/>
        <w:t xml:space="preserve">The APA </w:t>
      </w:r>
      <w:r w:rsidR="002270B6">
        <w:t>c</w:t>
      </w:r>
      <w:r w:rsidR="0059071D">
        <w:t>ontain</w:t>
      </w:r>
      <w:r w:rsidR="002270B6">
        <w:t>s</w:t>
      </w:r>
      <w:r w:rsidR="0059071D">
        <w:t xml:space="preserve"> </w:t>
      </w:r>
      <w:r w:rsidR="000364FE">
        <w:t>provisions</w:t>
      </w:r>
      <w:r w:rsidR="0059071D">
        <w:t xml:space="preserve"> that are</w:t>
      </w:r>
      <w:r w:rsidR="002270B6">
        <w:t xml:space="preserve"> </w:t>
      </w:r>
      <w:r w:rsidR="0059071D">
        <w:t xml:space="preserve">intended to reflect a smooth transition.  As noted above, the APA contains provisions that ensure that PSE has no disincentive to </w:t>
      </w:r>
      <w:r w:rsidR="00522700">
        <w:t xml:space="preserve">continue to make investments that are necessary to maintain safe and reliable service to PSE's customers. </w:t>
      </w:r>
      <w:r w:rsidR="00E81A78">
        <w:t xml:space="preserve"> PSE states that t</w:t>
      </w:r>
      <w:r w:rsidR="00522700">
        <w:t xml:space="preserve">he APA also provides a structure pursuant to which </w:t>
      </w:r>
      <w:r w:rsidR="000364FE">
        <w:t>the</w:t>
      </w:r>
      <w:r w:rsidR="00522700">
        <w:t xml:space="preserve"> parties will </w:t>
      </w:r>
      <w:r w:rsidR="00522700" w:rsidRPr="00465E58">
        <w:t>facili</w:t>
      </w:r>
      <w:r w:rsidR="00E81A78">
        <w:t xml:space="preserve">tate an </w:t>
      </w:r>
      <w:r w:rsidR="00522700" w:rsidRPr="00465E58">
        <w:t>efficient transition</w:t>
      </w:r>
      <w:r w:rsidR="00522700">
        <w:t xml:space="preserve"> with agreed upon </w:t>
      </w:r>
      <w:r w:rsidR="000364FE">
        <w:t>measures</w:t>
      </w:r>
      <w:r w:rsidR="00522700">
        <w:t xml:space="preserve"> for </w:t>
      </w:r>
      <w:r w:rsidR="00522700" w:rsidRPr="00465E58">
        <w:t xml:space="preserve">transition of customer data, maps and any materials related to the location </w:t>
      </w:r>
      <w:r w:rsidR="00522700">
        <w:t xml:space="preserve">and configuration </w:t>
      </w:r>
      <w:r w:rsidR="00522700" w:rsidRPr="00465E58">
        <w:t xml:space="preserve">of the Assets, </w:t>
      </w:r>
      <w:r w:rsidR="00522700">
        <w:t>arrangements regarding requests for transmission interconnections and transmission services,</w:t>
      </w:r>
      <w:r w:rsidR="00522700" w:rsidRPr="00465E58">
        <w:t xml:space="preserve"> </w:t>
      </w:r>
      <w:r w:rsidR="00522700" w:rsidRPr="00465E58">
        <w:lastRenderedPageBreak/>
        <w:t>billing records, electric service cut-over planning and procedures, and security and communication protocols.</w:t>
      </w:r>
      <w:r w:rsidR="00522700">
        <w:rPr>
          <w:rStyle w:val="FootnoteReference"/>
        </w:rPr>
        <w:footnoteReference w:id="13"/>
      </w:r>
      <w:r w:rsidR="0059071D">
        <w:t xml:space="preserve"> </w:t>
      </w:r>
      <w:r w:rsidR="00522700">
        <w:t xml:space="preserve"> </w:t>
      </w:r>
      <w:bookmarkEnd w:id="0"/>
      <w:bookmarkEnd w:id="1"/>
    </w:p>
    <w:p w:rsidR="008F0050" w:rsidRPr="00465E58" w:rsidRDefault="003570CB" w:rsidP="00D941EA">
      <w:pPr>
        <w:pStyle w:val="BodyText"/>
        <w:spacing w:after="240"/>
      </w:pPr>
      <w:r>
        <w:t>19</w:t>
      </w:r>
      <w:r w:rsidR="00884BE7">
        <w:t>.</w:t>
      </w:r>
      <w:r w:rsidR="00884BE7">
        <w:tab/>
      </w:r>
      <w:r w:rsidR="00DA600C">
        <w:t xml:space="preserve">PSE </w:t>
      </w:r>
      <w:r w:rsidR="00E81A78">
        <w:t xml:space="preserve">states that it </w:t>
      </w:r>
      <w:r w:rsidR="00DA600C">
        <w:t xml:space="preserve">has both the means and the obligation to continue to serve its customers consistent with the </w:t>
      </w:r>
      <w:r w:rsidR="00DA600C" w:rsidRPr="004D19EC">
        <w:t xml:space="preserve">rules and regulations of the WUTC </w:t>
      </w:r>
      <w:r w:rsidR="00DA600C">
        <w:t xml:space="preserve">and PSE rates and tariffs until such time as JPUD closes and takes title to the Assets.  </w:t>
      </w:r>
      <w:r w:rsidR="00EE1CD6">
        <w:t xml:space="preserve">At closing, </w:t>
      </w:r>
      <w:r w:rsidR="00E81A78">
        <w:t xml:space="preserve">PSE continues, </w:t>
      </w:r>
      <w:r w:rsidR="00EE1CD6">
        <w:t xml:space="preserve">JPUD will take title to these Assets and will have both the means and the responsibility under state law to serves these customers.  At closing, PSE </w:t>
      </w:r>
      <w:r w:rsidR="00884BE7">
        <w:t xml:space="preserve">will </w:t>
      </w:r>
      <w:r w:rsidR="00EE1CD6">
        <w:t xml:space="preserve">be unable to serve and will have no responsibility to do so.  </w:t>
      </w:r>
      <w:r w:rsidR="00DA600C" w:rsidRPr="0059071D">
        <w:rPr>
          <w:rStyle w:val="FootnoteReference"/>
          <w:color w:val="000000"/>
        </w:rPr>
        <w:t xml:space="preserve"> </w:t>
      </w:r>
      <w:r w:rsidR="00E81A78">
        <w:t>Therefore</w:t>
      </w:r>
      <w:r w:rsidR="00150078">
        <w:t xml:space="preserve">, PSE </w:t>
      </w:r>
      <w:r w:rsidR="00E81A78">
        <w:t xml:space="preserve">has </w:t>
      </w:r>
      <w:r w:rsidR="00150078">
        <w:t>request</w:t>
      </w:r>
      <w:r w:rsidR="00E81A78">
        <w:t>ed</w:t>
      </w:r>
      <w:r w:rsidR="00150078">
        <w:t xml:space="preserve"> an order declaring that the t</w:t>
      </w:r>
      <w:r w:rsidR="00150078" w:rsidRPr="00D07F99">
        <w:t xml:space="preserve">ransition of its responsibilities to provide electrical service to its customers in the Service Territory </w:t>
      </w:r>
      <w:r w:rsidR="00925249">
        <w:t>is</w:t>
      </w:r>
      <w:r w:rsidR="00150078" w:rsidRPr="00D07F99">
        <w:t xml:space="preserve"> sufficient and consistent with PSE's service obligations</w:t>
      </w:r>
      <w:r w:rsidR="00150078">
        <w:t>.</w:t>
      </w:r>
    </w:p>
    <w:p w:rsidR="00850D26" w:rsidRDefault="00D941EA" w:rsidP="00D941EA">
      <w:pPr>
        <w:pStyle w:val="Heading1"/>
        <w:spacing w:after="240"/>
      </w:pPr>
      <w:r>
        <w:t>I</w:t>
      </w:r>
      <w:r w:rsidR="008310EB">
        <w:t>II</w:t>
      </w:r>
      <w:r w:rsidR="00850D26">
        <w:t>.</w:t>
      </w:r>
      <w:r w:rsidR="00850D26">
        <w:tab/>
      </w:r>
      <w:r>
        <w:t>APPROPRIATENESS OF DECLARATORY ORDER</w:t>
      </w:r>
    </w:p>
    <w:p w:rsidR="00850D26" w:rsidRDefault="00E4354C">
      <w:r>
        <w:t>2</w:t>
      </w:r>
      <w:r w:rsidR="00E04716">
        <w:t>0</w:t>
      </w:r>
      <w:r w:rsidR="00226F8B">
        <w:t>.</w:t>
      </w:r>
      <w:r w:rsidR="00226F8B">
        <w:tab/>
      </w:r>
      <w:r w:rsidR="000A544B">
        <w:t xml:space="preserve">PSE references </w:t>
      </w:r>
      <w:r w:rsidR="00850D26">
        <w:t>WAC 480-</w:t>
      </w:r>
      <w:r w:rsidR="00A353B4">
        <w:t>07</w:t>
      </w:r>
      <w:r w:rsidR="00850D26">
        <w:t xml:space="preserve"> and RCW 34.05.240(1), </w:t>
      </w:r>
      <w:r w:rsidR="000A544B">
        <w:t xml:space="preserve">in its request for a </w:t>
      </w:r>
      <w:r w:rsidR="00850D26">
        <w:t>declaratory order</w:t>
      </w:r>
      <w:r w:rsidR="000A544B">
        <w:t>.  A declaratory order requires</w:t>
      </w:r>
      <w:r w:rsidR="00850D26">
        <w:t xml:space="preserve"> a showing:</w:t>
      </w:r>
    </w:p>
    <w:p w:rsidR="00850D26" w:rsidRDefault="00850D26">
      <w:pPr>
        <w:pStyle w:val="NormalIndent"/>
      </w:pPr>
      <w:r>
        <w:t>(a)</w:t>
      </w:r>
      <w:r>
        <w:tab/>
        <w:t>That uncertainty necessitating resolution exists;</w:t>
      </w:r>
    </w:p>
    <w:p w:rsidR="00850D26" w:rsidRDefault="00850D26">
      <w:pPr>
        <w:pStyle w:val="NormalIndent"/>
      </w:pPr>
      <w:r>
        <w:t>(b)</w:t>
      </w:r>
      <w:r>
        <w:tab/>
        <w:t>That there is actual controversy arising from the uncertainty such that a declaratory order will not be merely an advisory opinion;</w:t>
      </w:r>
    </w:p>
    <w:p w:rsidR="00850D26" w:rsidRDefault="00850D26">
      <w:pPr>
        <w:pStyle w:val="NormalIndent"/>
      </w:pPr>
      <w:r>
        <w:t>(c)</w:t>
      </w:r>
      <w:r>
        <w:tab/>
        <w:t>That the uncertainty adversely affects the petitioner;</w:t>
      </w:r>
    </w:p>
    <w:p w:rsidR="00850D26" w:rsidRDefault="00850D26">
      <w:pPr>
        <w:pStyle w:val="NormalIndent"/>
      </w:pPr>
      <w:r>
        <w:t>(d)</w:t>
      </w:r>
      <w:r>
        <w:tab/>
        <w:t xml:space="preserve">That the adverse effect of uncertainty on the petitioner outweighs any adverse effects on others or on the general public that may likely arise from the order requested; and </w:t>
      </w:r>
    </w:p>
    <w:p w:rsidR="00850D26" w:rsidRDefault="00850D26">
      <w:pPr>
        <w:pStyle w:val="NormalIndent"/>
      </w:pPr>
      <w:r>
        <w:t>(e)</w:t>
      </w:r>
      <w:r>
        <w:tab/>
        <w:t>That the petition complies with any additional requirements established by the agency under subsection (2) of this section.</w:t>
      </w:r>
    </w:p>
    <w:p w:rsidR="00850D26" w:rsidRDefault="00150078">
      <w:r>
        <w:lastRenderedPageBreak/>
        <w:t>2</w:t>
      </w:r>
      <w:r w:rsidR="00E04716">
        <w:t>1</w:t>
      </w:r>
      <w:r w:rsidR="00226F8B">
        <w:t>.</w:t>
      </w:r>
      <w:r w:rsidR="00226F8B">
        <w:tab/>
      </w:r>
      <w:r w:rsidR="003748FA">
        <w:t xml:space="preserve">PSE states that the </w:t>
      </w:r>
      <w:r w:rsidR="00850D26">
        <w:t>un</w:t>
      </w:r>
      <w:r w:rsidR="003748FA">
        <w:t>certainty to be resolved by PSE's</w:t>
      </w:r>
      <w:r w:rsidR="00850D26">
        <w:t xml:space="preserve"> Petition </w:t>
      </w:r>
      <w:r w:rsidR="00CF3241">
        <w:t xml:space="preserve">is threefold:  1) whether </w:t>
      </w:r>
      <w:r w:rsidR="001A50B3">
        <w:t xml:space="preserve">RCW 80.12.020(2) authorizes </w:t>
      </w:r>
      <w:r w:rsidR="00CF3241">
        <w:t xml:space="preserve">PSE to transfer the </w:t>
      </w:r>
      <w:r w:rsidR="001A50B3">
        <w:t xml:space="preserve">Assets </w:t>
      </w:r>
      <w:r w:rsidR="00CF3241">
        <w:t xml:space="preserve">without </w:t>
      </w:r>
      <w:r w:rsidR="001A50B3">
        <w:t xml:space="preserve">further review or approval by the </w:t>
      </w:r>
      <w:r w:rsidR="00CF3241">
        <w:t xml:space="preserve">Commission, 2) whether the price PSE will receive for </w:t>
      </w:r>
      <w:r w:rsidR="001A50B3">
        <w:t xml:space="preserve">the Assets </w:t>
      </w:r>
      <w:r w:rsidR="00CF3241">
        <w:t xml:space="preserve">is sufficient to fully compensate PSE for the sale of </w:t>
      </w:r>
      <w:r w:rsidR="001A50B3">
        <w:t>Assets</w:t>
      </w:r>
      <w:r w:rsidR="00CF3241">
        <w:t xml:space="preserve">, and 3) </w:t>
      </w:r>
      <w:r w:rsidR="001A50B3">
        <w:t xml:space="preserve">whether </w:t>
      </w:r>
      <w:r w:rsidR="001A50B3" w:rsidRPr="00465E58">
        <w:t>the provisions of this A</w:t>
      </w:r>
      <w:r w:rsidR="001A50B3">
        <w:t>PA</w:t>
      </w:r>
      <w:r w:rsidR="001A50B3" w:rsidRPr="00465E58">
        <w:t xml:space="preserve"> pertaining to PSE’s transition of its responsibilities to provide electrical service to its customers in </w:t>
      </w:r>
      <w:r w:rsidR="001A50B3">
        <w:t xml:space="preserve">the Service Territory </w:t>
      </w:r>
      <w:r w:rsidR="001A50B3" w:rsidRPr="00465E58">
        <w:t>are sufficient and consistent with PSE’s public service obligations</w:t>
      </w:r>
      <w:r w:rsidR="00CF3241">
        <w:t xml:space="preserve">.  </w:t>
      </w:r>
      <w:r w:rsidR="003748FA">
        <w:t>PSE states that t</w:t>
      </w:r>
      <w:r w:rsidR="00CF3241">
        <w:t xml:space="preserve">hese </w:t>
      </w:r>
      <w:r w:rsidR="009A4529">
        <w:t xml:space="preserve">questions </w:t>
      </w:r>
      <w:r w:rsidR="00226F8B">
        <w:t>require interpretation and application of</w:t>
      </w:r>
      <w:r w:rsidR="009A4529">
        <w:t xml:space="preserve"> Washington law and the</w:t>
      </w:r>
      <w:r w:rsidR="00226F8B">
        <w:t xml:space="preserve"> </w:t>
      </w:r>
      <w:r w:rsidR="009A4529">
        <w:t xml:space="preserve">Commission's rules.  </w:t>
      </w:r>
    </w:p>
    <w:p w:rsidR="00850D26" w:rsidRDefault="00150078">
      <w:r>
        <w:t>2</w:t>
      </w:r>
      <w:r w:rsidR="00E04716">
        <w:t>2</w:t>
      </w:r>
      <w:r w:rsidR="00226F8B">
        <w:t>.</w:t>
      </w:r>
      <w:r w:rsidR="00226F8B">
        <w:tab/>
      </w:r>
      <w:r w:rsidR="003748FA">
        <w:t xml:space="preserve">PSE states that there </w:t>
      </w:r>
      <w:r w:rsidR="003748FA" w:rsidRPr="003748FA">
        <w:t>is a</w:t>
      </w:r>
      <w:r w:rsidR="00850D26" w:rsidRPr="003748FA">
        <w:t xml:space="preserve">ctual </w:t>
      </w:r>
      <w:r w:rsidR="00237EF0" w:rsidRPr="003748FA">
        <w:t>controversy arising from the uncertainty such that a declaratory order will not be merely an advisory opinion</w:t>
      </w:r>
      <w:r w:rsidR="00237EF0">
        <w:t>.  T</w:t>
      </w:r>
      <w:r w:rsidR="003748FA" w:rsidRPr="003748FA">
        <w:t xml:space="preserve">he APA was </w:t>
      </w:r>
      <w:r w:rsidR="00237EF0" w:rsidRPr="003748FA">
        <w:t>entere</w:t>
      </w:r>
      <w:r w:rsidR="00237EF0">
        <w:t>d</w:t>
      </w:r>
      <w:r w:rsidR="00237EF0" w:rsidRPr="003748FA">
        <w:t xml:space="preserve"> </w:t>
      </w:r>
      <w:r w:rsidR="003748FA" w:rsidRPr="003748FA">
        <w:t xml:space="preserve">into under </w:t>
      </w:r>
      <w:r w:rsidR="00D25AE6" w:rsidRPr="003748FA">
        <w:t>threat</w:t>
      </w:r>
      <w:r w:rsidR="001A50B3" w:rsidRPr="003748FA">
        <w:t xml:space="preserve"> of condemnation</w:t>
      </w:r>
      <w:r w:rsidR="003748FA" w:rsidRPr="003748FA">
        <w:t xml:space="preserve"> and as an offer of settlement.  PSE adds that </w:t>
      </w:r>
      <w:r w:rsidR="001A50B3" w:rsidRPr="003748FA">
        <w:t>if the p</w:t>
      </w:r>
      <w:r w:rsidR="00285C68" w:rsidRPr="003748FA">
        <w:t>arties do not consummate</w:t>
      </w:r>
      <w:r w:rsidR="00285C68">
        <w:t xml:space="preserve"> </w:t>
      </w:r>
      <w:r w:rsidR="00CE180C">
        <w:t>the</w:t>
      </w:r>
      <w:r w:rsidR="00285C68">
        <w:t xml:space="preserve"> </w:t>
      </w:r>
      <w:r w:rsidR="00CE180C">
        <w:t>APA</w:t>
      </w:r>
      <w:r w:rsidR="001A50B3">
        <w:t>, JPUD will proceed with condemnation proceedings</w:t>
      </w:r>
      <w:r w:rsidR="003748FA">
        <w:t>.  PSE states that the</w:t>
      </w:r>
      <w:r w:rsidR="00285C68">
        <w:t xml:space="preserve"> controversy</w:t>
      </w:r>
      <w:r w:rsidR="00850D26">
        <w:t xml:space="preserve"> </w:t>
      </w:r>
      <w:r w:rsidR="00D25AE6">
        <w:t xml:space="preserve">bearing on this settlement and the subject matter of this Petition </w:t>
      </w:r>
      <w:r w:rsidR="00850D26">
        <w:t xml:space="preserve">involves </w:t>
      </w:r>
      <w:r w:rsidR="00285C68">
        <w:t>uncertainty surrounding the legal authority</w:t>
      </w:r>
      <w:r w:rsidR="00CE180C">
        <w:t xml:space="preserve"> for,</w:t>
      </w:r>
      <w:r w:rsidR="00285C68">
        <w:t xml:space="preserve"> and implications of, the transfer of </w:t>
      </w:r>
      <w:r w:rsidR="00D25AE6">
        <w:t xml:space="preserve">Assets </w:t>
      </w:r>
      <w:r w:rsidR="00285C68">
        <w:t xml:space="preserve">to JPUD.  </w:t>
      </w:r>
      <w:r w:rsidR="003748FA">
        <w:t>PSE believes a</w:t>
      </w:r>
      <w:r w:rsidR="00850D26">
        <w:t xml:space="preserve"> declaratory ord</w:t>
      </w:r>
      <w:r w:rsidR="00CE180C">
        <w:t>er addressing the outstanding issues</w:t>
      </w:r>
      <w:r w:rsidR="00850D26">
        <w:t xml:space="preserve"> </w:t>
      </w:r>
      <w:r w:rsidR="00285C68">
        <w:t>would conclusively resolve these uncertainties</w:t>
      </w:r>
      <w:r w:rsidR="00CE180C">
        <w:t>, would satisfy a condition precedent in the APA,</w:t>
      </w:r>
      <w:r w:rsidR="00285C68">
        <w:t xml:space="preserve"> and </w:t>
      </w:r>
      <w:r w:rsidR="00850D26">
        <w:t xml:space="preserve">would </w:t>
      </w:r>
      <w:r w:rsidR="00285C68">
        <w:t xml:space="preserve">therefore </w:t>
      </w:r>
      <w:r w:rsidR="00850D26">
        <w:t>not be merely an advisory opinion.</w:t>
      </w:r>
    </w:p>
    <w:p w:rsidR="003748FA" w:rsidRDefault="004C3573">
      <w:r>
        <w:t>2</w:t>
      </w:r>
      <w:r w:rsidR="00E04716">
        <w:t>3</w:t>
      </w:r>
      <w:r w:rsidR="00226F8B">
        <w:t>.</w:t>
      </w:r>
      <w:r w:rsidR="00226F8B">
        <w:tab/>
      </w:r>
      <w:r w:rsidR="003748FA" w:rsidRPr="003748FA">
        <w:t>PSE states that d</w:t>
      </w:r>
      <w:r w:rsidR="00CE180C" w:rsidRPr="003748FA">
        <w:t>oubt</w:t>
      </w:r>
      <w:r w:rsidR="00FD5135" w:rsidRPr="003748FA">
        <w:t>s</w:t>
      </w:r>
      <w:r w:rsidR="00CE180C" w:rsidRPr="003748FA">
        <w:t xml:space="preserve"> surrounding</w:t>
      </w:r>
      <w:r w:rsidR="00CF3241" w:rsidRPr="003748FA">
        <w:t xml:space="preserve"> </w:t>
      </w:r>
      <w:r w:rsidR="00B96A11" w:rsidRPr="003748FA">
        <w:t>t</w:t>
      </w:r>
      <w:r w:rsidR="00CE180C" w:rsidRPr="003748FA">
        <w:t xml:space="preserve">he rights </w:t>
      </w:r>
      <w:r w:rsidR="00B96A11" w:rsidRPr="003748FA">
        <w:t>and</w:t>
      </w:r>
      <w:r w:rsidR="00B96A11">
        <w:t xml:space="preserve"> obligations of</w:t>
      </w:r>
      <w:r w:rsidR="00CE180C">
        <w:t xml:space="preserve"> PSE </w:t>
      </w:r>
      <w:r w:rsidR="00B96A11">
        <w:t>in transferring</w:t>
      </w:r>
      <w:r w:rsidR="00CE180C">
        <w:t xml:space="preserve"> </w:t>
      </w:r>
      <w:r w:rsidR="00E660BD">
        <w:t xml:space="preserve">Assets </w:t>
      </w:r>
      <w:r w:rsidR="00FD5135">
        <w:t xml:space="preserve">and the amount of the purchase price </w:t>
      </w:r>
      <w:r w:rsidR="00CE180C">
        <w:t>expose PSE to the uncertainty and delay of litigation</w:t>
      </w:r>
      <w:r w:rsidR="003748FA">
        <w:t xml:space="preserve"> such that a declaratory order is required</w:t>
      </w:r>
      <w:r w:rsidR="00CE180C">
        <w:t xml:space="preserve">. </w:t>
      </w:r>
      <w:r w:rsidR="00FD5135">
        <w:t xml:space="preserve"> </w:t>
      </w:r>
      <w:r w:rsidR="003748FA">
        <w:t>PSE states that if it</w:t>
      </w:r>
      <w:r w:rsidR="00FD5135">
        <w:t xml:space="preserve"> </w:t>
      </w:r>
      <w:r w:rsidR="003748FA">
        <w:t>had</w:t>
      </w:r>
      <w:r w:rsidR="00FD5135">
        <w:t xml:space="preserve"> not pursue</w:t>
      </w:r>
      <w:r w:rsidR="003748FA">
        <w:t>d</w:t>
      </w:r>
      <w:r w:rsidR="00FD5135">
        <w:t xml:space="preserve"> resolution of these uncertainties, a condition </w:t>
      </w:r>
      <w:r w:rsidR="00140C8D">
        <w:t>precedent</w:t>
      </w:r>
      <w:r w:rsidR="00FD5135">
        <w:t xml:space="preserve"> to closing </w:t>
      </w:r>
      <w:r w:rsidR="003748FA">
        <w:t>would</w:t>
      </w:r>
      <w:r w:rsidR="00FD5135">
        <w:t xml:space="preserve"> not occur and JPUD </w:t>
      </w:r>
      <w:r w:rsidR="003748FA">
        <w:t>would</w:t>
      </w:r>
      <w:r w:rsidR="00B96A11">
        <w:t xml:space="preserve"> likely</w:t>
      </w:r>
      <w:r w:rsidR="00AA1CB3">
        <w:t xml:space="preserve"> pursue condemnation.  </w:t>
      </w:r>
      <w:r w:rsidR="003748FA">
        <w:t>PSE adds that d</w:t>
      </w:r>
      <w:r w:rsidR="00AA1CB3">
        <w:t>ue to the uncertainties associated with a determination of damages in a complex condemnation proceeding, there is signif</w:t>
      </w:r>
      <w:r w:rsidR="00140C8D">
        <w:t>ican</w:t>
      </w:r>
      <w:r w:rsidR="00AA1CB3">
        <w:t>t litigation risk that adversely affects PSE.</w:t>
      </w:r>
      <w:r w:rsidR="00B96A11">
        <w:t xml:space="preserve">  </w:t>
      </w:r>
    </w:p>
    <w:p w:rsidR="00850D26" w:rsidRDefault="004C3573">
      <w:r>
        <w:lastRenderedPageBreak/>
        <w:t>2</w:t>
      </w:r>
      <w:r w:rsidR="00E04716">
        <w:t>4</w:t>
      </w:r>
      <w:r w:rsidR="00850D26">
        <w:t>.</w:t>
      </w:r>
      <w:r w:rsidR="00850D26">
        <w:tab/>
      </w:r>
      <w:r w:rsidR="003748FA">
        <w:t xml:space="preserve">PSE states that </w:t>
      </w:r>
      <w:r w:rsidR="003748FA" w:rsidRPr="007F5F2F">
        <w:t>t</w:t>
      </w:r>
      <w:r w:rsidR="00850D26" w:rsidRPr="007F5F2F">
        <w:t xml:space="preserve">he </w:t>
      </w:r>
      <w:r w:rsidR="00501543" w:rsidRPr="007F5F2F">
        <w:t>adverse effect of uncertainty on the petitioner outweighs any adverse effects on others or on the general public that may likely arise from the order requested</w:t>
      </w:r>
      <w:r w:rsidR="00501543">
        <w:t>.</w:t>
      </w:r>
      <w:r w:rsidR="007F5F2F">
        <w:t xml:space="preserve">  PSE adds that r</w:t>
      </w:r>
      <w:r w:rsidR="00850D26" w:rsidRPr="007F5F2F">
        <w:t>esolution</w:t>
      </w:r>
      <w:r w:rsidR="007F5F2F">
        <w:t xml:space="preserve"> of the questions raised in its</w:t>
      </w:r>
      <w:r w:rsidR="00850D26">
        <w:t xml:space="preserve"> petition will not result in any adverse effect to others or the general public.  </w:t>
      </w:r>
    </w:p>
    <w:p w:rsidR="00E81A78" w:rsidRPr="001914F1" w:rsidRDefault="008310EB" w:rsidP="00E81A78">
      <w:pPr>
        <w:pStyle w:val="Heading1"/>
        <w:spacing w:after="240" w:line="240" w:lineRule="auto"/>
        <w:rPr>
          <w:szCs w:val="24"/>
        </w:rPr>
      </w:pPr>
      <w:r>
        <w:rPr>
          <w:szCs w:val="24"/>
        </w:rPr>
        <w:t>IV.</w:t>
      </w:r>
      <w:r>
        <w:rPr>
          <w:szCs w:val="24"/>
        </w:rPr>
        <w:tab/>
      </w:r>
      <w:r w:rsidR="00E81A78" w:rsidRPr="001914F1">
        <w:rPr>
          <w:szCs w:val="24"/>
        </w:rPr>
        <w:t>FINDINGS AND CONCLUSIONS</w:t>
      </w:r>
    </w:p>
    <w:p w:rsidR="00E81A78" w:rsidRDefault="00E04716" w:rsidP="00E81A78">
      <w:pPr>
        <w:spacing w:line="480" w:lineRule="auto"/>
        <w:rPr>
          <w:szCs w:val="24"/>
        </w:rPr>
      </w:pPr>
      <w:r>
        <w:rPr>
          <w:szCs w:val="24"/>
        </w:rPr>
        <w:t>25</w:t>
      </w:r>
      <w:r w:rsidR="00E81A78" w:rsidRPr="001914F1">
        <w:rPr>
          <w:szCs w:val="24"/>
        </w:rPr>
        <w:t>.</w:t>
      </w:r>
      <w:r w:rsidR="00E81A78" w:rsidRPr="001914F1">
        <w:rPr>
          <w:szCs w:val="24"/>
        </w:rPr>
        <w:tab/>
        <w:t>PSE is engaged in the business of furnishing electric and gas service within the state of Washington as a public service company and is subject to the jurisdiction of this Commission.</w:t>
      </w:r>
    </w:p>
    <w:p w:rsidR="00E81A78" w:rsidRDefault="00E04716" w:rsidP="00E81A78">
      <w:pPr>
        <w:spacing w:line="480" w:lineRule="auto"/>
      </w:pPr>
      <w:r>
        <w:rPr>
          <w:szCs w:val="24"/>
        </w:rPr>
        <w:t>26</w:t>
      </w:r>
      <w:r w:rsidR="00E81A78">
        <w:rPr>
          <w:szCs w:val="24"/>
        </w:rPr>
        <w:t>.</w:t>
      </w:r>
      <w:r w:rsidR="00E81A78">
        <w:rPr>
          <w:szCs w:val="24"/>
        </w:rPr>
        <w:tab/>
        <w:t xml:space="preserve">Jefferson County Public Utility District #1 </w:t>
      </w:r>
      <w:r w:rsidR="001431DD">
        <w:rPr>
          <w:szCs w:val="24"/>
        </w:rPr>
        <w:t xml:space="preserve">("JPUD") </w:t>
      </w:r>
      <w:r w:rsidR="00E81A78">
        <w:rPr>
          <w:szCs w:val="24"/>
        </w:rPr>
        <w:t>is a</w:t>
      </w:r>
      <w:r w:rsidR="00E81A78" w:rsidRPr="00465E58">
        <w:t xml:space="preserve"> special purpose district</w:t>
      </w:r>
      <w:r w:rsidR="00E81A78">
        <w:t xml:space="preserve"> </w:t>
      </w:r>
      <w:r w:rsidR="00E81A78" w:rsidRPr="00E81A78">
        <w:t>as defined in RCW 36.96.010</w:t>
      </w:r>
      <w:r w:rsidR="00E81A78">
        <w:t>.</w:t>
      </w:r>
    </w:p>
    <w:p w:rsidR="001431DD" w:rsidRDefault="00E81A78" w:rsidP="00E81A78">
      <w:pPr>
        <w:spacing w:line="480" w:lineRule="auto"/>
        <w:rPr>
          <w:szCs w:val="24"/>
        </w:rPr>
      </w:pPr>
      <w:r>
        <w:t>2</w:t>
      </w:r>
      <w:r w:rsidR="00E04716">
        <w:t>7</w:t>
      </w:r>
      <w:r>
        <w:t>.</w:t>
      </w:r>
      <w:r>
        <w:tab/>
      </w:r>
      <w:r w:rsidR="001431DD">
        <w:t>T</w:t>
      </w:r>
      <w:r w:rsidR="001431DD" w:rsidRPr="00465E58">
        <w:t xml:space="preserve">he citizens of Jefferson County voted to approve Proposition 1, authorizing JPUD to </w:t>
      </w:r>
      <w:r w:rsidR="001431DD">
        <w:t xml:space="preserve">construct or acquire electrical facilities for the generation, transmission or distribution of </w:t>
      </w:r>
      <w:r w:rsidR="001431DD" w:rsidRPr="00465E58">
        <w:t xml:space="preserve">electric </w:t>
      </w:r>
      <w:r w:rsidR="001431DD">
        <w:t>power</w:t>
      </w:r>
      <w:r w:rsidR="001431DD" w:rsidRPr="00465E58" w:rsidDel="00BA03D9">
        <w:t xml:space="preserve"> </w:t>
      </w:r>
      <w:r w:rsidR="001431DD" w:rsidRPr="00465E58">
        <w:t xml:space="preserve">in Jefferson County. </w:t>
      </w:r>
      <w:r w:rsidR="001431DD">
        <w:t xml:space="preserve"> JPUD is so authorized pursuant to RCW 54.16.040</w:t>
      </w:r>
      <w:r w:rsidR="001431DD">
        <w:rPr>
          <w:szCs w:val="24"/>
        </w:rPr>
        <w:t xml:space="preserve">.  Jefferson County is also authorized </w:t>
      </w:r>
      <w:r w:rsidR="001431DD">
        <w:t>to acquire PSE's assets by eminent domain</w:t>
      </w:r>
      <w:r w:rsidR="001431DD" w:rsidRPr="001914F1">
        <w:rPr>
          <w:szCs w:val="24"/>
        </w:rPr>
        <w:t xml:space="preserve"> </w:t>
      </w:r>
    </w:p>
    <w:p w:rsidR="00E81A78" w:rsidRPr="001914F1" w:rsidRDefault="00E04716" w:rsidP="00E81A78">
      <w:pPr>
        <w:spacing w:line="480" w:lineRule="auto"/>
        <w:rPr>
          <w:szCs w:val="24"/>
        </w:rPr>
      </w:pPr>
      <w:r>
        <w:rPr>
          <w:szCs w:val="24"/>
        </w:rPr>
        <w:t>28.</w:t>
      </w:r>
      <w:r>
        <w:rPr>
          <w:szCs w:val="24"/>
        </w:rPr>
        <w:tab/>
      </w:r>
      <w:r w:rsidR="00E81A78" w:rsidRPr="001914F1">
        <w:rPr>
          <w:szCs w:val="24"/>
        </w:rPr>
        <w:t xml:space="preserve">On </w:t>
      </w:r>
      <w:r w:rsidR="00E81A78">
        <w:rPr>
          <w:szCs w:val="24"/>
        </w:rPr>
        <w:t>July 15, 2010</w:t>
      </w:r>
      <w:r w:rsidR="00E81A78" w:rsidRPr="001914F1">
        <w:rPr>
          <w:szCs w:val="24"/>
        </w:rPr>
        <w:t xml:space="preserve">, PSE filed </w:t>
      </w:r>
      <w:r w:rsidR="00E81A78">
        <w:rPr>
          <w:szCs w:val="24"/>
        </w:rPr>
        <w:t xml:space="preserve">a Petition for Declaratory Order </w:t>
      </w:r>
      <w:r w:rsidR="00E81A78" w:rsidRPr="001914F1">
        <w:rPr>
          <w:szCs w:val="24"/>
        </w:rPr>
        <w:t>with the Commission</w:t>
      </w:r>
      <w:r w:rsidR="001431DD">
        <w:t>.</w:t>
      </w:r>
    </w:p>
    <w:p w:rsidR="00E81A78" w:rsidRDefault="00E81A78" w:rsidP="00E81A78">
      <w:pPr>
        <w:spacing w:line="480" w:lineRule="auto"/>
        <w:rPr>
          <w:szCs w:val="24"/>
        </w:rPr>
      </w:pPr>
      <w:r w:rsidRPr="001914F1">
        <w:rPr>
          <w:szCs w:val="24"/>
        </w:rPr>
        <w:t>2</w:t>
      </w:r>
      <w:r w:rsidR="00E04716">
        <w:rPr>
          <w:szCs w:val="24"/>
        </w:rPr>
        <w:t>9</w:t>
      </w:r>
      <w:r w:rsidRPr="001914F1">
        <w:rPr>
          <w:szCs w:val="24"/>
        </w:rPr>
        <w:t>.</w:t>
      </w:r>
      <w:r w:rsidRPr="001914F1">
        <w:rPr>
          <w:szCs w:val="24"/>
        </w:rPr>
        <w:tab/>
      </w:r>
      <w:r w:rsidR="007F5F2F">
        <w:rPr>
          <w:szCs w:val="24"/>
        </w:rPr>
        <w:t xml:space="preserve">A declaratory order </w:t>
      </w:r>
      <w:r w:rsidR="001431DD">
        <w:rPr>
          <w:szCs w:val="24"/>
        </w:rPr>
        <w:t xml:space="preserve">is </w:t>
      </w:r>
      <w:r w:rsidR="007F5F2F">
        <w:rPr>
          <w:szCs w:val="24"/>
        </w:rPr>
        <w:t xml:space="preserve">this proceeding is </w:t>
      </w:r>
      <w:r w:rsidR="001431DD">
        <w:rPr>
          <w:szCs w:val="24"/>
        </w:rPr>
        <w:t xml:space="preserve">in the public interest.  </w:t>
      </w:r>
    </w:p>
    <w:p w:rsidR="00925249" w:rsidRDefault="00E04716" w:rsidP="00E81A78">
      <w:pPr>
        <w:spacing w:line="480" w:lineRule="auto"/>
      </w:pPr>
      <w:r>
        <w:rPr>
          <w:szCs w:val="24"/>
        </w:rPr>
        <w:t>30.</w:t>
      </w:r>
      <w:r>
        <w:rPr>
          <w:szCs w:val="24"/>
        </w:rPr>
        <w:tab/>
      </w:r>
      <w:r w:rsidR="00925249">
        <w:rPr>
          <w:szCs w:val="24"/>
        </w:rPr>
        <w:t>The</w:t>
      </w:r>
      <w:r w:rsidR="00925249">
        <w:t xml:space="preserve"> purchase price of $103,000,000 is sufficient to fully compensate PSE for the sale of its assets.</w:t>
      </w:r>
    </w:p>
    <w:p w:rsidR="00925249" w:rsidRPr="001914F1" w:rsidRDefault="00E04716" w:rsidP="00E81A78">
      <w:pPr>
        <w:spacing w:line="480" w:lineRule="auto"/>
        <w:rPr>
          <w:szCs w:val="24"/>
        </w:rPr>
      </w:pPr>
      <w:r>
        <w:lastRenderedPageBreak/>
        <w:t>31.</w:t>
      </w:r>
      <w:r>
        <w:tab/>
      </w:r>
      <w:r w:rsidR="00925249" w:rsidRPr="00D07F99">
        <w:t xml:space="preserve">The </w:t>
      </w:r>
      <w:r w:rsidR="00925249">
        <w:t>provisions of the asset purchase agreement at issue in this proceeding</w:t>
      </w:r>
      <w:r w:rsidR="00925249" w:rsidRPr="00D07F99">
        <w:t xml:space="preserve"> </w:t>
      </w:r>
      <w:r w:rsidR="00925249">
        <w:t>r</w:t>
      </w:r>
      <w:r w:rsidR="00925249" w:rsidRPr="00D07F99">
        <w:t xml:space="preserve">egarding PSE's </w:t>
      </w:r>
      <w:r w:rsidR="00925249">
        <w:t>t</w:t>
      </w:r>
      <w:r w:rsidR="00925249" w:rsidRPr="00D07F99">
        <w:t xml:space="preserve">ransition of its </w:t>
      </w:r>
      <w:r w:rsidR="00925249">
        <w:t>r</w:t>
      </w:r>
      <w:r w:rsidR="00925249" w:rsidRPr="00D07F99">
        <w:t xml:space="preserve">esponsibilities to </w:t>
      </w:r>
      <w:r w:rsidR="00925249">
        <w:t>p</w:t>
      </w:r>
      <w:r w:rsidR="00925249" w:rsidRPr="00D07F99">
        <w:t>rovide</w:t>
      </w:r>
      <w:r w:rsidR="00925249">
        <w:t xml:space="preserve"> electrical service to its c</w:t>
      </w:r>
      <w:r w:rsidR="00925249" w:rsidRPr="00D07F99">
        <w:t>ustomers in the service territory</w:t>
      </w:r>
      <w:r w:rsidR="00925249">
        <w:t xml:space="preserve"> is</w:t>
      </w:r>
      <w:r w:rsidR="00925249" w:rsidRPr="00D07F99">
        <w:t xml:space="preserve"> sufficient and consistent with PSE's service obligations</w:t>
      </w:r>
      <w:r w:rsidR="00925249">
        <w:t>.</w:t>
      </w:r>
    </w:p>
    <w:p w:rsidR="00E81A78" w:rsidRPr="001914F1" w:rsidRDefault="008310EB" w:rsidP="00E81A78">
      <w:pPr>
        <w:pStyle w:val="Heading1"/>
        <w:spacing w:after="240" w:line="480" w:lineRule="auto"/>
        <w:rPr>
          <w:bCs/>
          <w:szCs w:val="24"/>
        </w:rPr>
      </w:pPr>
      <w:r>
        <w:rPr>
          <w:bCs/>
          <w:szCs w:val="24"/>
        </w:rPr>
        <w:t>V.</w:t>
      </w:r>
      <w:r>
        <w:rPr>
          <w:bCs/>
          <w:szCs w:val="24"/>
        </w:rPr>
        <w:tab/>
      </w:r>
      <w:r w:rsidR="00E81A78" w:rsidRPr="001914F1">
        <w:rPr>
          <w:bCs/>
          <w:szCs w:val="24"/>
        </w:rPr>
        <w:t>DETERMINATION AND ORDER</w:t>
      </w:r>
    </w:p>
    <w:p w:rsidR="00E81A78" w:rsidRPr="001914F1" w:rsidRDefault="003570CB" w:rsidP="00E81A78">
      <w:pPr>
        <w:spacing w:line="480" w:lineRule="auto"/>
        <w:rPr>
          <w:szCs w:val="24"/>
        </w:rPr>
      </w:pPr>
      <w:r>
        <w:rPr>
          <w:szCs w:val="24"/>
        </w:rPr>
        <w:t>WHEREFORE, THE COMMISSION HEREBY DETERMINES</w:t>
      </w:r>
      <w:r w:rsidR="00E81A78" w:rsidRPr="001914F1">
        <w:rPr>
          <w:szCs w:val="24"/>
        </w:rPr>
        <w:t>:</w:t>
      </w:r>
    </w:p>
    <w:p w:rsidR="001431DD" w:rsidRDefault="00E04716" w:rsidP="00E81A78">
      <w:pPr>
        <w:spacing w:line="480" w:lineRule="auto"/>
      </w:pPr>
      <w:r>
        <w:rPr>
          <w:szCs w:val="24"/>
        </w:rPr>
        <w:t>32</w:t>
      </w:r>
      <w:r w:rsidR="00E81A78" w:rsidRPr="001914F1">
        <w:rPr>
          <w:szCs w:val="24"/>
        </w:rPr>
        <w:t>.</w:t>
      </w:r>
      <w:r w:rsidR="00E81A78" w:rsidRPr="001914F1">
        <w:rPr>
          <w:szCs w:val="24"/>
        </w:rPr>
        <w:tab/>
      </w:r>
      <w:r w:rsidR="003570CB">
        <w:rPr>
          <w:szCs w:val="24"/>
        </w:rPr>
        <w:t>the t</w:t>
      </w:r>
      <w:r w:rsidR="001431DD">
        <w:t>ransfer of Assets from Puget Sound Energy, Inc. to Jefferson County Public Utility District is authorized by RCW 80.12.020(2)</w:t>
      </w:r>
      <w:r w:rsidR="008E411A">
        <w:t>;</w:t>
      </w:r>
      <w:r w:rsidR="001431DD">
        <w:t xml:space="preserve">  </w:t>
      </w:r>
    </w:p>
    <w:p w:rsidR="003570CB" w:rsidRDefault="00E04716" w:rsidP="00E81A78">
      <w:pPr>
        <w:spacing w:line="480" w:lineRule="auto"/>
      </w:pPr>
      <w:r>
        <w:rPr>
          <w:szCs w:val="24"/>
        </w:rPr>
        <w:t>33.</w:t>
      </w:r>
      <w:r>
        <w:rPr>
          <w:szCs w:val="24"/>
        </w:rPr>
        <w:tab/>
      </w:r>
      <w:r w:rsidR="008E411A">
        <w:rPr>
          <w:szCs w:val="24"/>
        </w:rPr>
        <w:t>t</w:t>
      </w:r>
      <w:r w:rsidR="003570CB">
        <w:rPr>
          <w:szCs w:val="24"/>
        </w:rPr>
        <w:t>he</w:t>
      </w:r>
      <w:r w:rsidR="003570CB">
        <w:t xml:space="preserve"> purchase price of $103,000,000 is sufficient to fully compensate PSE for the sale of its assets</w:t>
      </w:r>
      <w:r w:rsidR="008E411A">
        <w:t>, and</w:t>
      </w:r>
    </w:p>
    <w:p w:rsidR="003570CB" w:rsidRDefault="00E04716" w:rsidP="00E81A78">
      <w:pPr>
        <w:spacing w:line="480" w:lineRule="auto"/>
      </w:pPr>
      <w:r>
        <w:t>34.</w:t>
      </w:r>
      <w:r>
        <w:tab/>
      </w:r>
      <w:r w:rsidR="008E411A">
        <w:t>p</w:t>
      </w:r>
      <w:r w:rsidR="003570CB">
        <w:t>rovisions of the Asset Purchase Agreement</w:t>
      </w:r>
      <w:r w:rsidR="003570CB" w:rsidRPr="00D07F99">
        <w:t xml:space="preserve"> </w:t>
      </w:r>
      <w:r w:rsidR="003570CB">
        <w:t>regarding</w:t>
      </w:r>
      <w:r w:rsidR="003570CB" w:rsidRPr="00D07F99">
        <w:t xml:space="preserve"> </w:t>
      </w:r>
      <w:r w:rsidR="003570CB">
        <w:t>transition of PSE's</w:t>
      </w:r>
      <w:r w:rsidR="003570CB" w:rsidRPr="00D07F99">
        <w:t xml:space="preserve"> </w:t>
      </w:r>
      <w:r w:rsidR="003570CB">
        <w:t>r</w:t>
      </w:r>
      <w:r w:rsidR="003570CB" w:rsidRPr="00D07F99">
        <w:t xml:space="preserve">esponsibilities to </w:t>
      </w:r>
      <w:r w:rsidR="003570CB">
        <w:t>p</w:t>
      </w:r>
      <w:r w:rsidR="003570CB" w:rsidRPr="00D07F99">
        <w:t>rovide</w:t>
      </w:r>
      <w:r w:rsidR="003570CB">
        <w:t xml:space="preserve"> electrical service to its c</w:t>
      </w:r>
      <w:r w:rsidR="003570CB" w:rsidRPr="00D07F99">
        <w:t>ustomers in the service territory</w:t>
      </w:r>
      <w:r w:rsidR="003570CB">
        <w:t xml:space="preserve"> are</w:t>
      </w:r>
      <w:r w:rsidR="003570CB" w:rsidRPr="00D07F99">
        <w:t xml:space="preserve"> sufficient and consistent with PSE's service obligations</w:t>
      </w:r>
      <w:r w:rsidR="008E411A">
        <w:t>.</w:t>
      </w:r>
    </w:p>
    <w:p w:rsidR="00E81A78" w:rsidRPr="001914F1" w:rsidRDefault="00E04716" w:rsidP="00E81A78">
      <w:pPr>
        <w:spacing w:line="480" w:lineRule="auto"/>
        <w:rPr>
          <w:szCs w:val="24"/>
        </w:rPr>
      </w:pPr>
      <w:r>
        <w:rPr>
          <w:szCs w:val="24"/>
        </w:rPr>
        <w:t>35</w:t>
      </w:r>
      <w:r w:rsidR="00E81A78" w:rsidRPr="001914F1">
        <w:rPr>
          <w:szCs w:val="24"/>
        </w:rPr>
        <w:t>.</w:t>
      </w:r>
      <w:r w:rsidR="00E81A78" w:rsidRPr="001914F1">
        <w:rPr>
          <w:szCs w:val="24"/>
        </w:rPr>
        <w:tab/>
        <w:t>This order shall in no way affect the authority of this Commission over rates, services, accounts, evaluations, estimates, or determination of cost or any matters whatsoever that may come before it, nor shall anything herein be construed as an acquiescence in any estimate or determination of costs claimed or asserted.</w:t>
      </w:r>
    </w:p>
    <w:p w:rsidR="00E81A78" w:rsidRPr="001914F1" w:rsidRDefault="00E04716" w:rsidP="00E81A78">
      <w:pPr>
        <w:spacing w:line="480" w:lineRule="auto"/>
        <w:rPr>
          <w:szCs w:val="24"/>
        </w:rPr>
      </w:pPr>
      <w:r>
        <w:rPr>
          <w:szCs w:val="24"/>
        </w:rPr>
        <w:t>36</w:t>
      </w:r>
      <w:r w:rsidR="00E81A78" w:rsidRPr="001914F1">
        <w:rPr>
          <w:szCs w:val="24"/>
        </w:rPr>
        <w:t>.</w:t>
      </w:r>
      <w:r w:rsidR="00E81A78" w:rsidRPr="001914F1">
        <w:rPr>
          <w:szCs w:val="24"/>
        </w:rPr>
        <w:tab/>
        <w:t>The Commission retains jurisdiction over the subject matter of the Petition and PSE to effect the provisions of this order.</w:t>
      </w:r>
    </w:p>
    <w:p w:rsidR="00E81A78" w:rsidRDefault="00E81A78" w:rsidP="00E81A78">
      <w:pPr>
        <w:keepNext/>
        <w:keepLines/>
        <w:spacing w:line="480" w:lineRule="auto"/>
        <w:ind w:firstLine="0"/>
        <w:rPr>
          <w:szCs w:val="24"/>
        </w:rPr>
      </w:pPr>
    </w:p>
    <w:p w:rsidR="00E81A78" w:rsidRPr="001914F1" w:rsidRDefault="00E81A78" w:rsidP="00E81A78">
      <w:pPr>
        <w:keepNext/>
        <w:keepLines/>
        <w:spacing w:line="480" w:lineRule="auto"/>
        <w:ind w:firstLine="0"/>
        <w:rPr>
          <w:szCs w:val="24"/>
        </w:rPr>
      </w:pPr>
      <w:r w:rsidRPr="001914F1">
        <w:rPr>
          <w:szCs w:val="24"/>
        </w:rPr>
        <w:t>DATED at Olympia, Washington, and effective this _____ day of ___________</w:t>
      </w:r>
      <w:r w:rsidR="004E593C" w:rsidRPr="001914F1">
        <w:rPr>
          <w:szCs w:val="24"/>
        </w:rPr>
        <w:t>, _</w:t>
      </w:r>
      <w:r w:rsidRPr="001914F1">
        <w:rPr>
          <w:szCs w:val="24"/>
        </w:rPr>
        <w:t>____.</w:t>
      </w:r>
    </w:p>
    <w:p w:rsidR="00E81A78" w:rsidRPr="001914F1" w:rsidRDefault="00E81A78" w:rsidP="00E81A78">
      <w:pPr>
        <w:pStyle w:val="righthalf"/>
        <w:tabs>
          <w:tab w:val="right" w:pos="8820"/>
        </w:tabs>
        <w:rPr>
          <w:szCs w:val="24"/>
        </w:rPr>
      </w:pPr>
      <w:r w:rsidRPr="001914F1">
        <w:rPr>
          <w:szCs w:val="24"/>
          <w:u w:val="single"/>
        </w:rPr>
        <w:tab/>
      </w:r>
      <w:r w:rsidRPr="001914F1">
        <w:rPr>
          <w:szCs w:val="24"/>
          <w:u w:val="single"/>
        </w:rPr>
        <w:tab/>
      </w:r>
      <w:r w:rsidRPr="001914F1">
        <w:rPr>
          <w:szCs w:val="24"/>
        </w:rPr>
        <w:br/>
        <w:t>JEFFREY D. GOLTZ, Chairman</w:t>
      </w:r>
      <w:r w:rsidRPr="001914F1">
        <w:rPr>
          <w:szCs w:val="24"/>
        </w:rPr>
        <w:br/>
      </w:r>
    </w:p>
    <w:p w:rsidR="00E81A78" w:rsidRPr="001914F1" w:rsidRDefault="00E81A78" w:rsidP="00E81A78">
      <w:pPr>
        <w:pStyle w:val="righthalf"/>
        <w:tabs>
          <w:tab w:val="right" w:pos="8820"/>
        </w:tabs>
        <w:rPr>
          <w:szCs w:val="24"/>
        </w:rPr>
      </w:pPr>
      <w:r w:rsidRPr="001914F1">
        <w:rPr>
          <w:szCs w:val="24"/>
          <w:u w:val="single"/>
        </w:rPr>
        <w:tab/>
      </w:r>
      <w:r w:rsidRPr="001914F1">
        <w:rPr>
          <w:szCs w:val="24"/>
          <w:u w:val="single"/>
        </w:rPr>
        <w:tab/>
      </w:r>
      <w:r w:rsidRPr="001914F1">
        <w:rPr>
          <w:szCs w:val="24"/>
        </w:rPr>
        <w:br/>
        <w:t>PATRICK J. OSHIE, Commissioner</w:t>
      </w:r>
      <w:r w:rsidRPr="001914F1">
        <w:rPr>
          <w:szCs w:val="24"/>
        </w:rPr>
        <w:br/>
      </w:r>
    </w:p>
    <w:p w:rsidR="00E81A78" w:rsidRPr="001914F1" w:rsidRDefault="00E81A78" w:rsidP="00E81A78">
      <w:pPr>
        <w:pStyle w:val="righthalf"/>
        <w:tabs>
          <w:tab w:val="left" w:pos="-90"/>
          <w:tab w:val="right" w:pos="8820"/>
        </w:tabs>
        <w:ind w:right="18"/>
        <w:rPr>
          <w:szCs w:val="24"/>
        </w:rPr>
      </w:pPr>
      <w:r w:rsidRPr="001914F1">
        <w:rPr>
          <w:szCs w:val="24"/>
          <w:u w:val="single"/>
        </w:rPr>
        <w:tab/>
      </w:r>
      <w:r w:rsidRPr="001914F1">
        <w:rPr>
          <w:szCs w:val="24"/>
          <w:u w:val="single"/>
        </w:rPr>
        <w:tab/>
      </w:r>
      <w:r w:rsidRPr="001914F1">
        <w:rPr>
          <w:szCs w:val="24"/>
          <w:u w:val="single"/>
        </w:rPr>
        <w:br/>
      </w:r>
      <w:r w:rsidRPr="001914F1">
        <w:rPr>
          <w:szCs w:val="24"/>
        </w:rPr>
        <w:t>PHILIP B. JONES, Commissioner</w:t>
      </w:r>
    </w:p>
    <w:p w:rsidR="00E81A78" w:rsidRDefault="00E81A78" w:rsidP="00E81A78">
      <w:pPr>
        <w:spacing w:line="480" w:lineRule="auto"/>
        <w:rPr>
          <w:szCs w:val="24"/>
        </w:rPr>
      </w:pPr>
    </w:p>
    <w:p w:rsidR="00E4354C" w:rsidRDefault="00E4354C">
      <w:pPr>
        <w:keepNext/>
        <w:keepLines/>
      </w:pPr>
    </w:p>
    <w:p w:rsidR="00850D26" w:rsidRDefault="00850D26">
      <w:pPr>
        <w:pStyle w:val="righthalf"/>
      </w:pPr>
      <w:bookmarkStart w:id="2" w:name="zZ_AuthorName"/>
      <w:bookmarkEnd w:id="2"/>
      <w:r>
        <w:br/>
      </w:r>
    </w:p>
    <w:sectPr w:rsidR="00850D26">
      <w:headerReference w:type="even" r:id="rId7"/>
      <w:headerReference w:type="default" r:id="rId8"/>
      <w:footerReference w:type="default" r:id="rId9"/>
      <w:headerReference w:type="first" r:id="rId10"/>
      <w:footerReference w:type="first" r:id="rId11"/>
      <w:pgSz w:w="12240" w:h="15840" w:code="1"/>
      <w:pgMar w:top="2160"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48" w:rsidRDefault="001A5248">
      <w:r>
        <w:separator/>
      </w:r>
    </w:p>
  </w:endnote>
  <w:endnote w:type="continuationSeparator" w:id="0">
    <w:p w:rsidR="001A5248" w:rsidRDefault="001A5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48" w:rsidRDefault="001A5248"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w:t>
    </w:r>
    <w:smartTag w:uri="urn:schemas-microsoft-com:office:smarttags" w:element="place">
      <w:smartTag w:uri="urn:schemas-microsoft-com:office:smarttags" w:element="PlaceName">
        <w:r>
          <w:t>PSE</w:t>
        </w:r>
      </w:smartTag>
      <w:r>
        <w:t xml:space="preserve"> </w:t>
      </w:r>
      <w:smartTag w:uri="urn:schemas-microsoft-com:office:smarttags" w:element="PlaceType">
        <w:r>
          <w:t>Building</w:t>
        </w:r>
      </w:smartTag>
    </w:smartTag>
    <w:r>
      <w:t xml:space="preserve"> </w:t>
    </w:r>
  </w:p>
  <w:p w:rsidR="001A5248" w:rsidRDefault="001A5248" w:rsidP="00A73F11">
    <w:pPr>
      <w:pStyle w:val="FirmAddress"/>
      <w:framePr w:w="3067" w:h="1625" w:hRule="exact" w:vSpace="360" w:wrap="around" w:vAnchor="page" w:hAnchor="page" w:x="8182" w:y="14045"/>
    </w:pP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p w:rsidR="001A5248" w:rsidRDefault="001A5248" w:rsidP="00A73F11">
    <w:pPr>
      <w:pStyle w:val="plead-firmname"/>
      <w:framePr w:w="3067" w:h="1625" w:hRule="exact" w:wrap="around" w:hAnchor="page" w:x="8182" w:y="14045"/>
    </w:pPr>
  </w:p>
  <w:p w:rsidR="001A5248" w:rsidRDefault="006548C5" w:rsidP="008A310E">
    <w:pPr>
      <w:pStyle w:val="plain"/>
      <w:spacing w:before="240"/>
      <w:rPr>
        <w:color w:val="000000"/>
      </w:rPr>
    </w:pPr>
    <w:r>
      <w:t xml:space="preserve">[PROPOSED] ORDER GRANTING PSE'S </w:t>
    </w:r>
    <w:r>
      <w:br/>
      <w:t>PETITION FOR DECLARATORY ORDER</w:t>
    </w:r>
    <w:r w:rsidR="001A5248">
      <w:rPr>
        <w:color w:val="000000"/>
      </w:rPr>
      <w:t> </w:t>
    </w:r>
    <w:r w:rsidR="001A5248">
      <w:rPr>
        <w:color w:val="000000"/>
      </w:rPr>
      <w:noBreakHyphen/>
      <w:t> </w:t>
    </w:r>
    <w:r w:rsidR="001A5248">
      <w:rPr>
        <w:color w:val="000000"/>
      </w:rPr>
      <w:fldChar w:fldCharType="begin"/>
    </w:r>
    <w:r w:rsidR="001A5248">
      <w:rPr>
        <w:color w:val="0000FF"/>
      </w:rPr>
      <w:instrText>page</w:instrText>
    </w:r>
    <w:r w:rsidR="001A5248">
      <w:rPr>
        <w:color w:val="000000"/>
      </w:rPr>
      <w:fldChar w:fldCharType="separate"/>
    </w:r>
    <w:r w:rsidR="00264A26">
      <w:rPr>
        <w:noProof/>
        <w:color w:val="0000FF"/>
      </w:rPr>
      <w:t>1</w:t>
    </w:r>
    <w:r w:rsidR="001A5248">
      <w:rPr>
        <w:color w:val="000000"/>
      </w:rPr>
      <w:fldChar w:fldCharType="end"/>
    </w:r>
    <w:r w:rsidR="001A5248">
      <w:rPr>
        <w:color w:val="000000"/>
      </w:rP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48" w:rsidRDefault="001A5248">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sidR="00064D37">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keywords</w:instrText>
    </w:r>
    <w:r>
      <w:rPr>
        <w:rFonts w:ascii="Univers (WN)" w:hAnsi="Univers (WN)"/>
        <w:color w:val="000000"/>
        <w:sz w:val="16"/>
      </w:rPr>
      <w:fldChar w:fldCharType="separate"/>
    </w:r>
    <w:r w:rsidR="00064D37">
      <w:rPr>
        <w:rFonts w:ascii="Univers (WN)" w:hAnsi="Univers (WN)"/>
        <w:color w:val="0000FF"/>
        <w:sz w:val="16"/>
      </w:rPr>
      <w:t>07771-0100</w:t>
    </w:r>
    <w:r>
      <w:rPr>
        <w:rFonts w:ascii="Univers (WN)" w:hAnsi="Univers (WN)"/>
        <w:color w:val="000000"/>
        <w:sz w:val="16"/>
      </w:rPr>
      <w:fldChar w:fldCharType="end"/>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filename</w:instrText>
    </w:r>
    <w:r>
      <w:rPr>
        <w:rFonts w:ascii="Univers (WN)" w:hAnsi="Univers (WN)"/>
        <w:color w:val="000000"/>
        <w:sz w:val="16"/>
      </w:rPr>
      <w:fldChar w:fldCharType="separate"/>
    </w:r>
    <w:r w:rsidR="00064D37">
      <w:rPr>
        <w:rFonts w:ascii="Univers (WN)" w:hAnsi="Univers (WN)"/>
        <w:noProof/>
        <w:color w:val="0000FF"/>
        <w:sz w:val="16"/>
      </w:rPr>
      <w:t>18719018_1.DOC</w:t>
    </w:r>
    <w:r>
      <w:rPr>
        <w:rFonts w:ascii="Univers (WN)" w:hAnsi="Univers (WN)"/>
        <w:color w:val="000000"/>
        <w:sz w:val="16"/>
      </w:rPr>
      <w:fldChar w:fldCharType="end"/>
    </w:r>
    <w:r>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48" w:rsidRDefault="001A5248" w:rsidP="000B1ADC">
      <w:pPr>
        <w:ind w:firstLine="0"/>
      </w:pPr>
      <w:r>
        <w:separator/>
      </w:r>
    </w:p>
  </w:footnote>
  <w:footnote w:type="continuationSeparator" w:id="0">
    <w:p w:rsidR="001A5248" w:rsidRDefault="001A5248">
      <w:r>
        <w:continuationSeparator/>
      </w:r>
    </w:p>
  </w:footnote>
  <w:footnote w:id="1">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00050E2E">
        <w:rPr>
          <w:i/>
          <w:szCs w:val="22"/>
        </w:rPr>
        <w:t xml:space="preserve">See </w:t>
      </w:r>
      <w:r w:rsidR="006548C5">
        <w:rPr>
          <w:szCs w:val="22"/>
        </w:rPr>
        <w:t xml:space="preserve">PSE's Petition at </w:t>
      </w:r>
      <w:r w:rsidR="008A310E">
        <w:rPr>
          <w:szCs w:val="22"/>
        </w:rPr>
        <w:t>¶</w:t>
      </w:r>
      <w:r w:rsidR="006548C5">
        <w:rPr>
          <w:szCs w:val="22"/>
        </w:rPr>
        <w:t>7</w:t>
      </w:r>
      <w:r w:rsidRPr="00884BE7">
        <w:rPr>
          <w:szCs w:val="22"/>
        </w:rPr>
        <w:t>.</w:t>
      </w:r>
    </w:p>
  </w:footnote>
  <w:footnote w:id="2">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00050E2E">
        <w:rPr>
          <w:i/>
          <w:szCs w:val="22"/>
        </w:rPr>
        <w:t xml:space="preserve">See </w:t>
      </w:r>
      <w:r w:rsidR="00050E2E">
        <w:rPr>
          <w:szCs w:val="22"/>
        </w:rPr>
        <w:t xml:space="preserve">PSE's Petition at </w:t>
      </w:r>
      <w:r w:rsidR="008A310E">
        <w:rPr>
          <w:szCs w:val="22"/>
        </w:rPr>
        <w:t>¶</w:t>
      </w:r>
      <w:r w:rsidR="00050E2E">
        <w:rPr>
          <w:szCs w:val="22"/>
        </w:rPr>
        <w:t>8.</w:t>
      </w:r>
    </w:p>
  </w:footnote>
  <w:footnote w:id="3">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See</w:t>
      </w:r>
      <w:r w:rsidRPr="00884BE7">
        <w:rPr>
          <w:szCs w:val="22"/>
        </w:rPr>
        <w:t xml:space="preserve"> </w:t>
      </w:r>
      <w:r w:rsidR="00050E2E">
        <w:rPr>
          <w:szCs w:val="22"/>
        </w:rPr>
        <w:t xml:space="preserve">Exhibit No. KRK-3 </w:t>
      </w:r>
      <w:r w:rsidR="008A310E">
        <w:rPr>
          <w:szCs w:val="22"/>
        </w:rPr>
        <w:t>at 20.</w:t>
      </w:r>
    </w:p>
  </w:footnote>
  <w:footnote w:id="4">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 xml:space="preserve"> See </w:t>
      </w:r>
      <w:r w:rsidRPr="00884BE7">
        <w:rPr>
          <w:szCs w:val="22"/>
        </w:rPr>
        <w:t>RCW 80.12.020(2).</w:t>
      </w:r>
    </w:p>
  </w:footnote>
  <w:footnote w:id="5">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002270B6" w:rsidRPr="00245401">
        <w:rPr>
          <w:szCs w:val="22"/>
        </w:rPr>
        <w:t xml:space="preserve">In seeking this determination, PSE is not seeking any determination as to the accounting treatment of the sale proceeds or allocation of the sale proceeds as between its customers and investors.  </w:t>
      </w:r>
      <w:r w:rsidR="008A310E">
        <w:rPr>
          <w:szCs w:val="22"/>
        </w:rPr>
        <w:t>PSE states that it</w:t>
      </w:r>
      <w:r w:rsidR="002270B6" w:rsidRPr="00245401">
        <w:rPr>
          <w:szCs w:val="22"/>
        </w:rPr>
        <w:t xml:space="preserve"> will file an accounting petition regarding the sale proceeds if and when the transaction is ultimately completed.  Rather, PSE seeks only to determine that the Commission is satisfied that the PSE's customers are not entitled to claim proceeds for the sale of these Assets in an amount </w:t>
      </w:r>
      <w:r w:rsidR="002270B6" w:rsidRPr="00245401">
        <w:rPr>
          <w:i/>
          <w:szCs w:val="22"/>
        </w:rPr>
        <w:t>in excess of</w:t>
      </w:r>
      <w:r w:rsidR="002270B6" w:rsidRPr="00245401">
        <w:rPr>
          <w:szCs w:val="22"/>
        </w:rPr>
        <w:t xml:space="preserve"> $103 million.  </w:t>
      </w:r>
      <w:r w:rsidR="008A310E">
        <w:rPr>
          <w:szCs w:val="22"/>
        </w:rPr>
        <w:t>PSE states that, w</w:t>
      </w:r>
      <w:r w:rsidR="002270B6" w:rsidRPr="00245401">
        <w:rPr>
          <w:szCs w:val="22"/>
        </w:rPr>
        <w:t>ere the Commission to so determine, PSE has the right to terminate the APA and proceed to seek such amount in condemnation proceedings.</w:t>
      </w:r>
      <w:r w:rsidR="002270B6" w:rsidRPr="00884BE7">
        <w:rPr>
          <w:szCs w:val="22"/>
        </w:rPr>
        <w:t xml:space="preserve">   </w:t>
      </w:r>
    </w:p>
  </w:footnote>
  <w:footnote w:id="6">
    <w:p w:rsidR="001A5248" w:rsidRPr="004E593C"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004E593C">
        <w:rPr>
          <w:i/>
          <w:szCs w:val="22"/>
        </w:rPr>
        <w:t xml:space="preserve">See </w:t>
      </w:r>
      <w:r w:rsidR="004E593C">
        <w:rPr>
          <w:szCs w:val="22"/>
        </w:rPr>
        <w:t>Exh. No. KRK-1CT at 5.</w:t>
      </w:r>
    </w:p>
  </w:footnote>
  <w:footnote w:id="7">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004E593C" w:rsidRPr="0027634E">
        <w:rPr>
          <w:szCs w:val="22"/>
        </w:rPr>
        <w:t>Exh. No. KRK-3 at 10</w:t>
      </w:r>
      <w:r w:rsidRPr="00884BE7">
        <w:rPr>
          <w:szCs w:val="22"/>
        </w:rPr>
        <w:t xml:space="preserve">.  </w:t>
      </w:r>
    </w:p>
  </w:footnote>
  <w:footnote w:id="8">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See</w:t>
      </w:r>
      <w:r w:rsidR="004E593C">
        <w:rPr>
          <w:szCs w:val="22"/>
        </w:rPr>
        <w:t xml:space="preserve"> PSE's Petition at ¶17</w:t>
      </w:r>
      <w:r w:rsidRPr="00884BE7">
        <w:rPr>
          <w:szCs w:val="22"/>
        </w:rPr>
        <w:t xml:space="preserve">.  </w:t>
      </w:r>
    </w:p>
  </w:footnote>
  <w:footnote w:id="9">
    <w:p w:rsidR="001A5248" w:rsidRPr="00884BE7" w:rsidRDefault="001A5248" w:rsidP="00884BE7">
      <w:pPr>
        <w:pStyle w:val="BodyText"/>
        <w:spacing w:line="240" w:lineRule="auto"/>
        <w:rPr>
          <w:sz w:val="22"/>
          <w:szCs w:val="22"/>
        </w:rPr>
      </w:pPr>
      <w:r w:rsidRPr="00884BE7">
        <w:rPr>
          <w:rStyle w:val="FootnoteReference"/>
          <w:sz w:val="22"/>
          <w:szCs w:val="22"/>
        </w:rPr>
        <w:footnoteRef/>
      </w:r>
      <w:r w:rsidRPr="00884BE7">
        <w:rPr>
          <w:sz w:val="22"/>
          <w:szCs w:val="22"/>
        </w:rPr>
        <w:t xml:space="preserve"> The closing of the transactions contemplated under the APA is to take place on a date that is no earlier than eighteen (18) months, and not later than thirty-six (36) months from the Effective Date of the APA.  </w:t>
      </w:r>
      <w:r w:rsidRPr="00884BE7">
        <w:rPr>
          <w:i/>
          <w:sz w:val="22"/>
          <w:szCs w:val="22"/>
        </w:rPr>
        <w:t xml:space="preserve">See </w:t>
      </w:r>
      <w:r w:rsidR="004E593C">
        <w:rPr>
          <w:sz w:val="22"/>
          <w:szCs w:val="22"/>
        </w:rPr>
        <w:t>Exh. No. KRK-3 at 25</w:t>
      </w:r>
      <w:r w:rsidRPr="00884BE7">
        <w:rPr>
          <w:sz w:val="22"/>
          <w:szCs w:val="22"/>
        </w:rPr>
        <w:t>.</w:t>
      </w:r>
    </w:p>
    <w:p w:rsidR="001A5248" w:rsidRPr="00884BE7" w:rsidRDefault="001A5248" w:rsidP="00884BE7">
      <w:pPr>
        <w:pStyle w:val="FootnoteText"/>
        <w:spacing w:before="0" w:line="240" w:lineRule="auto"/>
        <w:rPr>
          <w:szCs w:val="22"/>
        </w:rPr>
      </w:pPr>
    </w:p>
  </w:footnote>
  <w:footnote w:id="10">
    <w:p w:rsidR="008E411A" w:rsidRPr="004E593C" w:rsidRDefault="008E411A" w:rsidP="008E411A">
      <w:pPr>
        <w:pStyle w:val="FootnoteText"/>
      </w:pPr>
      <w:r>
        <w:rPr>
          <w:rStyle w:val="FootnoteReference"/>
        </w:rPr>
        <w:footnoteRef/>
      </w:r>
      <w:r>
        <w:t xml:space="preserve"> These actual values have been designated confidential by PSE and shall not be disclosed here, pursuant to a protective order in this proceeding. </w:t>
      </w:r>
    </w:p>
  </w:footnote>
  <w:footnote w:id="11">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See</w:t>
      </w:r>
      <w:r w:rsidRPr="00884BE7">
        <w:rPr>
          <w:szCs w:val="22"/>
        </w:rPr>
        <w:t xml:space="preserve"> </w:t>
      </w:r>
      <w:r w:rsidR="004E593C">
        <w:rPr>
          <w:i/>
          <w:szCs w:val="22"/>
        </w:rPr>
        <w:t>id</w:t>
      </w:r>
      <w:r w:rsidR="004E593C">
        <w:rPr>
          <w:szCs w:val="22"/>
        </w:rPr>
        <w:t>. at 25</w:t>
      </w:r>
      <w:r w:rsidRPr="00884BE7">
        <w:rPr>
          <w:szCs w:val="22"/>
        </w:rPr>
        <w:t xml:space="preserve">.  </w:t>
      </w:r>
    </w:p>
  </w:footnote>
  <w:footnote w:id="12">
    <w:p w:rsidR="001A5248" w:rsidRPr="00884BE7"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 xml:space="preserve">See </w:t>
      </w:r>
      <w:r w:rsidR="004E593C">
        <w:rPr>
          <w:i/>
          <w:szCs w:val="22"/>
        </w:rPr>
        <w:t>id.</w:t>
      </w:r>
      <w:r w:rsidR="004E593C">
        <w:rPr>
          <w:szCs w:val="22"/>
        </w:rPr>
        <w:t xml:space="preserve"> at 19</w:t>
      </w:r>
      <w:r w:rsidRPr="00884BE7">
        <w:rPr>
          <w:szCs w:val="22"/>
        </w:rPr>
        <w:t>.</w:t>
      </w:r>
    </w:p>
  </w:footnote>
  <w:footnote w:id="13">
    <w:p w:rsidR="001A5248" w:rsidRPr="004E593C" w:rsidRDefault="001A5248" w:rsidP="00884BE7">
      <w:pPr>
        <w:pStyle w:val="FootnoteText"/>
        <w:spacing w:before="0" w:line="240" w:lineRule="auto"/>
        <w:rPr>
          <w:szCs w:val="22"/>
        </w:rPr>
      </w:pPr>
      <w:r w:rsidRPr="00884BE7">
        <w:rPr>
          <w:rStyle w:val="FootnoteReference"/>
          <w:sz w:val="22"/>
          <w:szCs w:val="22"/>
        </w:rPr>
        <w:footnoteRef/>
      </w:r>
      <w:r w:rsidRPr="00884BE7">
        <w:rPr>
          <w:szCs w:val="22"/>
        </w:rPr>
        <w:t xml:space="preserve"> </w:t>
      </w:r>
      <w:r w:rsidRPr="00884BE7">
        <w:rPr>
          <w:i/>
          <w:szCs w:val="22"/>
        </w:rPr>
        <w:t xml:space="preserve">See </w:t>
      </w:r>
      <w:r w:rsidR="004E593C">
        <w:rPr>
          <w:i/>
          <w:szCs w:val="22"/>
        </w:rPr>
        <w:t>id.</w:t>
      </w:r>
      <w:r w:rsidR="004E593C">
        <w:rPr>
          <w:szCs w:val="22"/>
        </w:rPr>
        <w:t xml:space="preserve"> at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48" w:rsidRDefault="001A5248">
    <w:pPr>
      <w:pStyle w:val="plead-firmname"/>
      <w:framePr w:wrap="around"/>
    </w:pPr>
    <w:r>
      <w:rPr>
        <w:b/>
        <w:smallCaps/>
      </w:rPr>
      <w:t xml:space="preserve">Perkins Coie </w:t>
    </w:r>
    <w:r>
      <w:rPr>
        <w:b/>
        <w:smallCaps/>
        <w:sz w:val="14"/>
      </w:rPr>
      <w:t>LLP</w:t>
    </w:r>
    <w:r>
      <w:rPr>
        <w:b/>
        <w:smallCaps/>
      </w:rPr>
      <w:br/>
    </w:r>
    <w:r>
      <w:t>One Bellevue Center, Suite 1800</w:t>
    </w:r>
    <w:r>
      <w:br/>
      <w:t>411 - 108th Avenue Northeast</w:t>
    </w:r>
    <w:r>
      <w:br/>
      <w:t>Bellevue, WA  98004-5584</w:t>
    </w:r>
    <w:r>
      <w:br/>
      <w:t>(425) 453-6980</w:t>
    </w:r>
  </w:p>
  <w:p w:rsidR="001A5248" w:rsidRDefault="001A5248">
    <w:pPr>
      <w:pStyle w:val="plead-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r>
      <w:br/>
    </w:r>
  </w:p>
  <w:p w:rsidR="001A5248" w:rsidRDefault="001A5248">
    <w:pPr>
      <w:pStyle w:val="plead-leftrule"/>
      <w:framePr w:wrap="around"/>
    </w:pPr>
  </w:p>
  <w:p w:rsidR="001A5248" w:rsidRDefault="001A5248">
    <w:pPr>
      <w:pStyle w:val="plead-rightrule"/>
      <w:framePr w:wrap="around"/>
    </w:pPr>
  </w:p>
  <w:p w:rsidR="001A5248" w:rsidRDefault="001A52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48" w:rsidRDefault="001A5248">
    <w:pPr>
      <w:pStyle w:val="plead-leftrule"/>
      <w:framePr w:wrap="around"/>
    </w:pPr>
  </w:p>
  <w:p w:rsidR="001A5248" w:rsidRDefault="001A5248">
    <w:pPr>
      <w:pStyle w:val="plead-rightrule"/>
      <w:framePr w:wrap="around"/>
    </w:pPr>
  </w:p>
  <w:p w:rsidR="001A5248" w:rsidRDefault="001A5248">
    <w:pPr>
      <w:pStyle w:val="Header"/>
    </w:pPr>
    <w:r>
      <w:rPr>
        <w:noProof/>
        <w:sz w:val="20"/>
      </w:rPr>
      <w:pict>
        <v:shapetype id="_x0000_t202" coordsize="21600,21600" o:spt="202" path="m,l,21600r21600,l21600,xe">
          <v:stroke joinstyle="miter"/>
          <v:path gradientshapeok="t" o:connecttype="rect"/>
        </v:shapetype>
        <v:shape id="zzmpDocStamp_23" o:spid="_x0000_s2050" type="#_x0000_t202" style="position:absolute;margin-left:453.6pt;margin-top:36pt;width:90pt;height:46.8pt;z-index:-251658240;mso-wrap-edited:f;mso-position-horizontal-relative:page;mso-position-vertical-relative:page" wrapcoords="0 0 21600 0 21600 21600 0 21600 0 0" filled="f" stroked="f">
          <v:textbox>
            <w:txbxContent>
              <w:p w:rsidR="001A5248" w:rsidRPr="00D275F7" w:rsidRDefault="001A5248" w:rsidP="00D275F7"/>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48" w:rsidRDefault="001A5248">
    <w:pPr>
      <w:pStyle w:val="plead-firmname"/>
      <w:framePr w:wrap="around"/>
    </w:pPr>
    <w:r>
      <w:rPr>
        <w:b/>
        <w:smallCaps/>
      </w:rPr>
      <w:t xml:space="preserve">Perkins Coie </w:t>
    </w:r>
    <w:r>
      <w:rPr>
        <w:b/>
        <w:smallCaps/>
        <w:sz w:val="14"/>
      </w:rPr>
      <w:t>LLP</w:t>
    </w:r>
    <w:r>
      <w:rPr>
        <w:b/>
        <w:smallCaps/>
      </w:rPr>
      <w:br/>
    </w:r>
    <w:r>
      <w:t>One Bellevue Center, Suite 1800</w:t>
    </w:r>
    <w:r>
      <w:br/>
      <w:t>411 - 108th Avenue Northeast</w:t>
    </w:r>
    <w:r>
      <w:br/>
      <w:t>Bellevue, WA  98004-5584</w:t>
    </w:r>
    <w:r>
      <w:br/>
      <w:t>(425) 453-6980</w:t>
    </w:r>
  </w:p>
  <w:p w:rsidR="001A5248" w:rsidRDefault="001A5248">
    <w:pPr>
      <w:pStyle w:val="plead-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r>
      <w:br/>
    </w:r>
  </w:p>
  <w:p w:rsidR="001A5248" w:rsidRDefault="001A5248">
    <w:pPr>
      <w:pStyle w:val="plead-leftrule"/>
      <w:framePr w:wrap="around"/>
    </w:pPr>
  </w:p>
  <w:p w:rsidR="001A5248" w:rsidRDefault="001A5248">
    <w:pPr>
      <w:pStyle w:val="plead-rightrule"/>
      <w:framePr w:wrap="around"/>
    </w:pPr>
  </w:p>
  <w:p w:rsidR="001A5248" w:rsidRDefault="001A5248">
    <w:pPr>
      <w:pStyle w:val="Header"/>
    </w:pPr>
    <w:r>
      <w:rPr>
        <w:noProof/>
        <w:sz w:val="20"/>
      </w:rPr>
      <w:pict>
        <v:shapetype id="_x0000_t202" coordsize="21600,21600" o:spt="202" path="m,l,21600r21600,l21600,xe">
          <v:stroke joinstyle="miter"/>
          <v:path gradientshapeok="t" o:connecttype="rect"/>
        </v:shapetype>
        <v:shape id="zzmpDocStamp_21" o:spid="_x0000_s2049" type="#_x0000_t202" style="position:absolute;margin-left:453.6pt;margin-top:36pt;width:90pt;height:46.8pt;z-index:-251659264;mso-wrap-edited:f;mso-position-horizontal-relative:page;mso-position-vertical-relative:page" wrapcoords="0 0 21600 0 21600 21600 0 21600 0 0" filled="f" stroked="f">
          <v:textbox>
            <w:txbxContent>
              <w:p w:rsidR="001A5248" w:rsidRDefault="001A5248" w:rsidP="00BE6DF0">
                <w:pPr>
                  <w:pStyle w:val="DraftStamp"/>
                  <w:tabs>
                    <w:tab w:val="center" w:pos="0"/>
                  </w:tabs>
                </w:pPr>
                <w:r>
                  <w:t>DRAFT</w:t>
                </w:r>
              </w:p>
              <w:p w:rsidR="001A5248" w:rsidRDefault="001A5248" w:rsidP="00BE6DF0">
                <w:pPr>
                  <w:pStyle w:val="DraftStamp"/>
                  <w:tabs>
                    <w:tab w:val="center" w:pos="0"/>
                  </w:tabs>
                </w:pPr>
                <w:fldSimple w:instr=" DATE  \@ &quot;MM/dd/yy&quot;  \* MERGEFORMAT ">
                  <w:r w:rsidR="00264A26">
                    <w:rPr>
                      <w:noProof/>
                    </w:rPr>
                    <w:t>07/16/10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4A02"/>
    <w:lvl w:ilvl="0">
      <w:start w:val="1"/>
      <w:numFmt w:val="decimal"/>
      <w:lvlText w:val="%1."/>
      <w:lvlJc w:val="left"/>
      <w:pPr>
        <w:tabs>
          <w:tab w:val="num" w:pos="1800"/>
        </w:tabs>
        <w:ind w:left="1800" w:hanging="360"/>
      </w:pPr>
    </w:lvl>
  </w:abstractNum>
  <w:abstractNum w:abstractNumId="1">
    <w:nsid w:val="FFFFFF7D"/>
    <w:multiLevelType w:val="singleLevel"/>
    <w:tmpl w:val="21DA0D66"/>
    <w:lvl w:ilvl="0">
      <w:start w:val="1"/>
      <w:numFmt w:val="decimal"/>
      <w:lvlText w:val="%1."/>
      <w:lvlJc w:val="left"/>
      <w:pPr>
        <w:tabs>
          <w:tab w:val="num" w:pos="1440"/>
        </w:tabs>
        <w:ind w:left="1440" w:hanging="360"/>
      </w:pPr>
    </w:lvl>
  </w:abstractNum>
  <w:abstractNum w:abstractNumId="2">
    <w:nsid w:val="FFFFFF7E"/>
    <w:multiLevelType w:val="singleLevel"/>
    <w:tmpl w:val="D7EAC820"/>
    <w:lvl w:ilvl="0">
      <w:start w:val="1"/>
      <w:numFmt w:val="decimal"/>
      <w:lvlText w:val="%1."/>
      <w:lvlJc w:val="left"/>
      <w:pPr>
        <w:tabs>
          <w:tab w:val="num" w:pos="1080"/>
        </w:tabs>
        <w:ind w:left="1080" w:hanging="360"/>
      </w:pPr>
    </w:lvl>
  </w:abstractNum>
  <w:abstractNum w:abstractNumId="3">
    <w:nsid w:val="FFFFFF7F"/>
    <w:multiLevelType w:val="singleLevel"/>
    <w:tmpl w:val="1D20C28A"/>
    <w:lvl w:ilvl="0">
      <w:start w:val="1"/>
      <w:numFmt w:val="decimal"/>
      <w:lvlText w:val="%1."/>
      <w:lvlJc w:val="left"/>
      <w:pPr>
        <w:tabs>
          <w:tab w:val="num" w:pos="720"/>
        </w:tabs>
        <w:ind w:left="720" w:hanging="360"/>
      </w:pPr>
    </w:lvl>
  </w:abstractNum>
  <w:abstractNum w:abstractNumId="4">
    <w:nsid w:val="FFFFFF80"/>
    <w:multiLevelType w:val="singleLevel"/>
    <w:tmpl w:val="28FA89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68CB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7686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083C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C404B6"/>
    <w:lvl w:ilvl="0">
      <w:start w:val="1"/>
      <w:numFmt w:val="decimal"/>
      <w:lvlText w:val="%1."/>
      <w:lvlJc w:val="left"/>
      <w:pPr>
        <w:tabs>
          <w:tab w:val="num" w:pos="360"/>
        </w:tabs>
        <w:ind w:left="360" w:hanging="360"/>
      </w:pPr>
    </w:lvl>
  </w:abstractNum>
  <w:abstractNum w:abstractNumId="9">
    <w:nsid w:val="FFFFFF89"/>
    <w:multiLevelType w:val="singleLevel"/>
    <w:tmpl w:val="DC4AC5FA"/>
    <w:lvl w:ilvl="0">
      <w:start w:val="1"/>
      <w:numFmt w:val="bullet"/>
      <w:lvlText w:val=""/>
      <w:lvlJc w:val="left"/>
      <w:pPr>
        <w:tabs>
          <w:tab w:val="num" w:pos="360"/>
        </w:tabs>
        <w:ind w:left="360" w:hanging="360"/>
      </w:pPr>
      <w:rPr>
        <w:rFonts w:ascii="Symbol" w:hAnsi="Symbol" w:hint="default"/>
      </w:rPr>
    </w:lvl>
  </w:abstractNum>
  <w:abstractNum w:abstractNumId="10">
    <w:nsid w:val="31E25F73"/>
    <w:multiLevelType w:val="hybridMultilevel"/>
    <w:tmpl w:val="EE08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1F3C25"/>
    <w:multiLevelType w:val="multilevel"/>
    <w:tmpl w:val="EB14009E"/>
    <w:name w:val="zzmpPleadings||Pleadings |2|1|1|1|10|33||1|12|33||1|12|33||1|12|33||1|12|33||1|12|33||1|12|33||1|12|33||1|12|33||"/>
    <w:lvl w:ilvl="0">
      <w:start w:val="1"/>
      <w:numFmt w:val="upperRoman"/>
      <w:pStyle w:val="PleadingsL1"/>
      <w:lvlText w:val="%1."/>
      <w:lvlJc w:val="left"/>
      <w:pPr>
        <w:tabs>
          <w:tab w:val="num" w:pos="3600"/>
        </w:tabs>
        <w:ind w:left="288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5EE96479"/>
    <w:multiLevelType w:val="hybridMultilevel"/>
    <w:tmpl w:val="6142B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DocStamp_2_DocID" w:val="C:\NrPortbl\LEGAL\BARND\11205295_1.DOC"/>
    <w:docVar w:name="DocStamp_2_IncludeDate" w:val="False"/>
    <w:docVar w:name="DocStamp_2_IncludeDraftText" w:val="False"/>
    <w:docVar w:name="DocStamp_2_IncludeTime" w:val="False"/>
    <w:docVar w:name="DocStamp_2_InsertDateAsField" w:val="False"/>
    <w:docVar w:name="DocStamp_2_TypeID" w:val="14"/>
    <w:docVar w:name="MPDocID" w:val="18719018_1.DOC"/>
    <w:docVar w:name="NewDocStampType" w:val="1"/>
    <w:docVar w:name="zzmpFixedCurScheme" w:val="Pleadings"/>
    <w:docVar w:name="zzmpFixedCurScheme_9.0" w:val="2zzmpPleadings"/>
    <w:docVar w:name="zzmpLTFontsClean" w:val="True"/>
    <w:docVar w:name="zzmpnSession" w:val="0.9401361"/>
    <w:docVar w:name="zzmpPleadings" w:val="||Pleadings |2|1|1|1|10|33||1|12|33||1|12|33||1|12|33||1|12|33||1|12|33||1|12|33||1|12|33||1|12|33||"/>
  </w:docVars>
  <w:rsids>
    <w:rsidRoot w:val="00850D26"/>
    <w:rsid w:val="000136D4"/>
    <w:rsid w:val="000364FE"/>
    <w:rsid w:val="00050E2E"/>
    <w:rsid w:val="00064D37"/>
    <w:rsid w:val="00067FE2"/>
    <w:rsid w:val="000778D0"/>
    <w:rsid w:val="000A544B"/>
    <w:rsid w:val="000B1ADC"/>
    <w:rsid w:val="000B6D20"/>
    <w:rsid w:val="000D1948"/>
    <w:rsid w:val="000E1689"/>
    <w:rsid w:val="000E68C3"/>
    <w:rsid w:val="001159A2"/>
    <w:rsid w:val="0012547A"/>
    <w:rsid w:val="00140C8D"/>
    <w:rsid w:val="001431DD"/>
    <w:rsid w:val="0014560F"/>
    <w:rsid w:val="00150078"/>
    <w:rsid w:val="0015181E"/>
    <w:rsid w:val="00184B47"/>
    <w:rsid w:val="001A50B3"/>
    <w:rsid w:val="001A5248"/>
    <w:rsid w:val="00200B34"/>
    <w:rsid w:val="00225143"/>
    <w:rsid w:val="00226F8B"/>
    <w:rsid w:val="002270B6"/>
    <w:rsid w:val="00237EF0"/>
    <w:rsid w:val="00253F43"/>
    <w:rsid w:val="00264A26"/>
    <w:rsid w:val="00285C68"/>
    <w:rsid w:val="002A2339"/>
    <w:rsid w:val="002A6076"/>
    <w:rsid w:val="002C2793"/>
    <w:rsid w:val="002C784C"/>
    <w:rsid w:val="00320E69"/>
    <w:rsid w:val="003311B4"/>
    <w:rsid w:val="00335C0B"/>
    <w:rsid w:val="003570CB"/>
    <w:rsid w:val="00371BA1"/>
    <w:rsid w:val="003748FA"/>
    <w:rsid w:val="00383636"/>
    <w:rsid w:val="003C15C4"/>
    <w:rsid w:val="003D5051"/>
    <w:rsid w:val="003E4974"/>
    <w:rsid w:val="003F1A18"/>
    <w:rsid w:val="00414F8D"/>
    <w:rsid w:val="00421DA4"/>
    <w:rsid w:val="0043750D"/>
    <w:rsid w:val="00452CCD"/>
    <w:rsid w:val="00456496"/>
    <w:rsid w:val="004739DF"/>
    <w:rsid w:val="004B7AE4"/>
    <w:rsid w:val="004C3573"/>
    <w:rsid w:val="004C688B"/>
    <w:rsid w:val="004D19EC"/>
    <w:rsid w:val="004D5260"/>
    <w:rsid w:val="004E3D5E"/>
    <w:rsid w:val="004E593C"/>
    <w:rsid w:val="004F04F2"/>
    <w:rsid w:val="00501543"/>
    <w:rsid w:val="005107AC"/>
    <w:rsid w:val="00522700"/>
    <w:rsid w:val="00564BE7"/>
    <w:rsid w:val="00570B72"/>
    <w:rsid w:val="00584452"/>
    <w:rsid w:val="0059071D"/>
    <w:rsid w:val="00592307"/>
    <w:rsid w:val="005F1091"/>
    <w:rsid w:val="005F75D4"/>
    <w:rsid w:val="0062344C"/>
    <w:rsid w:val="006245B8"/>
    <w:rsid w:val="00626C26"/>
    <w:rsid w:val="006548C5"/>
    <w:rsid w:val="00663D9F"/>
    <w:rsid w:val="00666111"/>
    <w:rsid w:val="006670AA"/>
    <w:rsid w:val="00681A62"/>
    <w:rsid w:val="006A5E7C"/>
    <w:rsid w:val="006D4D76"/>
    <w:rsid w:val="006E7919"/>
    <w:rsid w:val="006F5BF2"/>
    <w:rsid w:val="00702BA2"/>
    <w:rsid w:val="007051A9"/>
    <w:rsid w:val="00746D5D"/>
    <w:rsid w:val="00762BC5"/>
    <w:rsid w:val="007835C5"/>
    <w:rsid w:val="007B0245"/>
    <w:rsid w:val="007C1C4B"/>
    <w:rsid w:val="007F04BD"/>
    <w:rsid w:val="007F5F2F"/>
    <w:rsid w:val="00800EC5"/>
    <w:rsid w:val="008065A2"/>
    <w:rsid w:val="00816E2E"/>
    <w:rsid w:val="008310EB"/>
    <w:rsid w:val="008440D2"/>
    <w:rsid w:val="00850D26"/>
    <w:rsid w:val="00852D7D"/>
    <w:rsid w:val="0085364C"/>
    <w:rsid w:val="0086165A"/>
    <w:rsid w:val="00867443"/>
    <w:rsid w:val="008745A2"/>
    <w:rsid w:val="0087519E"/>
    <w:rsid w:val="00875B50"/>
    <w:rsid w:val="00884BE7"/>
    <w:rsid w:val="00890098"/>
    <w:rsid w:val="00891BED"/>
    <w:rsid w:val="008A310E"/>
    <w:rsid w:val="008A7325"/>
    <w:rsid w:val="008B37BD"/>
    <w:rsid w:val="008C7A12"/>
    <w:rsid w:val="008D60DD"/>
    <w:rsid w:val="008E411A"/>
    <w:rsid w:val="008F0050"/>
    <w:rsid w:val="008F2B3C"/>
    <w:rsid w:val="008F6532"/>
    <w:rsid w:val="0090181A"/>
    <w:rsid w:val="00910D85"/>
    <w:rsid w:val="00925249"/>
    <w:rsid w:val="009939F2"/>
    <w:rsid w:val="009A4529"/>
    <w:rsid w:val="009B0206"/>
    <w:rsid w:val="009B510A"/>
    <w:rsid w:val="009C3773"/>
    <w:rsid w:val="009D7F31"/>
    <w:rsid w:val="00A02A67"/>
    <w:rsid w:val="00A21348"/>
    <w:rsid w:val="00A2423D"/>
    <w:rsid w:val="00A353B4"/>
    <w:rsid w:val="00A65B56"/>
    <w:rsid w:val="00A67618"/>
    <w:rsid w:val="00A73F11"/>
    <w:rsid w:val="00A87DD7"/>
    <w:rsid w:val="00AA1CB3"/>
    <w:rsid w:val="00AD335D"/>
    <w:rsid w:val="00AD7C95"/>
    <w:rsid w:val="00AE3061"/>
    <w:rsid w:val="00AF513D"/>
    <w:rsid w:val="00B03C13"/>
    <w:rsid w:val="00B1263D"/>
    <w:rsid w:val="00B342D1"/>
    <w:rsid w:val="00B45FAC"/>
    <w:rsid w:val="00B46B16"/>
    <w:rsid w:val="00B63215"/>
    <w:rsid w:val="00B64158"/>
    <w:rsid w:val="00B858A0"/>
    <w:rsid w:val="00B96A11"/>
    <w:rsid w:val="00BA79CE"/>
    <w:rsid w:val="00BE6DF0"/>
    <w:rsid w:val="00C17374"/>
    <w:rsid w:val="00C2094B"/>
    <w:rsid w:val="00C20EA4"/>
    <w:rsid w:val="00C3332C"/>
    <w:rsid w:val="00C50DD2"/>
    <w:rsid w:val="00C659BA"/>
    <w:rsid w:val="00C743AF"/>
    <w:rsid w:val="00C81C6B"/>
    <w:rsid w:val="00C94A19"/>
    <w:rsid w:val="00CA1D99"/>
    <w:rsid w:val="00CB5CA7"/>
    <w:rsid w:val="00CC4344"/>
    <w:rsid w:val="00CD0ABD"/>
    <w:rsid w:val="00CE180C"/>
    <w:rsid w:val="00CE4711"/>
    <w:rsid w:val="00CE55AE"/>
    <w:rsid w:val="00CF2509"/>
    <w:rsid w:val="00CF3241"/>
    <w:rsid w:val="00D01C7D"/>
    <w:rsid w:val="00D054CA"/>
    <w:rsid w:val="00D07F99"/>
    <w:rsid w:val="00D25AE6"/>
    <w:rsid w:val="00D275F7"/>
    <w:rsid w:val="00D35EF4"/>
    <w:rsid w:val="00D3706E"/>
    <w:rsid w:val="00D52BA7"/>
    <w:rsid w:val="00D55B92"/>
    <w:rsid w:val="00D81CB7"/>
    <w:rsid w:val="00D90B15"/>
    <w:rsid w:val="00D941EA"/>
    <w:rsid w:val="00DA600C"/>
    <w:rsid w:val="00DB284F"/>
    <w:rsid w:val="00DB70C7"/>
    <w:rsid w:val="00DD356E"/>
    <w:rsid w:val="00E04716"/>
    <w:rsid w:val="00E12F0C"/>
    <w:rsid w:val="00E2553F"/>
    <w:rsid w:val="00E3334E"/>
    <w:rsid w:val="00E43074"/>
    <w:rsid w:val="00E4354C"/>
    <w:rsid w:val="00E43B60"/>
    <w:rsid w:val="00E43DBA"/>
    <w:rsid w:val="00E44867"/>
    <w:rsid w:val="00E44B85"/>
    <w:rsid w:val="00E51C99"/>
    <w:rsid w:val="00E57473"/>
    <w:rsid w:val="00E660BD"/>
    <w:rsid w:val="00E81A78"/>
    <w:rsid w:val="00EA1D3A"/>
    <w:rsid w:val="00ED6759"/>
    <w:rsid w:val="00EE1CD6"/>
    <w:rsid w:val="00F139B1"/>
    <w:rsid w:val="00F16DDD"/>
    <w:rsid w:val="00F21CA8"/>
    <w:rsid w:val="00F24874"/>
    <w:rsid w:val="00F60480"/>
    <w:rsid w:val="00F613FB"/>
    <w:rsid w:val="00F70B29"/>
    <w:rsid w:val="00F71E09"/>
    <w:rsid w:val="00F87FDC"/>
    <w:rsid w:val="00FD3CF2"/>
    <w:rsid w:val="00FD5135"/>
    <w:rsid w:val="00FE7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ind w:left="720" w:hanging="720"/>
    </w:p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190"/>
        <w:tab w:val="right" w:pos="8640"/>
      </w:tabs>
      <w:spacing w:before="480"/>
      <w:ind w:left="3787"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rPr>
      <w:lang w:eastAsia="zh-CN"/>
    </w:r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lang w:eastAsia="zh-CN"/>
    </w:rPr>
  </w:style>
  <w:style w:type="paragraph" w:customStyle="1" w:styleId="plead-linenums">
    <w:name w:val="plead-line nums"/>
    <w:pPr>
      <w:framePr w:w="360" w:hSpace="144" w:vSpace="144" w:wrap="around" w:vAnchor="page" w:hAnchor="page" w:x="1081" w:y="2161"/>
      <w:spacing w:line="240" w:lineRule="exact"/>
      <w:jc w:val="right"/>
    </w:pPr>
    <w:rPr>
      <w:noProof/>
      <w:color w:val="0000FF"/>
      <w:lang w:eastAsia="zh-CN"/>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paragraph" w:customStyle="1" w:styleId="nest">
    <w:name w:val="nest"/>
    <w:basedOn w:val="Normal"/>
    <w:pPr>
      <w:ind w:left="720"/>
    </w:pPr>
  </w:style>
  <w:style w:type="character" w:customStyle="1" w:styleId="zzmpTrailerItem">
    <w:name w:val="zzmpTrailerItem"/>
    <w:basedOn w:val="DefaultParagraphFont"/>
    <w:rsid w:val="00D52BA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leadingsCont1">
    <w:name w:val="Pleadings Cont 1"/>
    <w:basedOn w:val="Normal"/>
    <w:rsid w:val="00320E69"/>
    <w:pPr>
      <w:widowControl w:val="0"/>
      <w:spacing w:after="240" w:line="240" w:lineRule="auto"/>
      <w:ind w:firstLine="0"/>
    </w:pPr>
    <w:rPr>
      <w:lang w:eastAsia="en-US"/>
    </w:rPr>
  </w:style>
  <w:style w:type="paragraph" w:customStyle="1" w:styleId="PleadingsCont2">
    <w:name w:val="Pleadings Cont 2"/>
    <w:basedOn w:val="PleadingsCont1"/>
    <w:rsid w:val="00320E69"/>
    <w:pPr>
      <w:widowControl/>
      <w:ind w:left="720"/>
    </w:pPr>
  </w:style>
  <w:style w:type="paragraph" w:customStyle="1" w:styleId="PleadingsCont3">
    <w:name w:val="Pleadings Cont 3"/>
    <w:basedOn w:val="PleadingsCont2"/>
    <w:rsid w:val="00320E69"/>
    <w:pPr>
      <w:ind w:left="1440"/>
    </w:pPr>
  </w:style>
  <w:style w:type="paragraph" w:customStyle="1" w:styleId="PleadingsCont4">
    <w:name w:val="Pleadings Cont 4"/>
    <w:basedOn w:val="PleadingsCont3"/>
    <w:rsid w:val="00320E69"/>
    <w:pPr>
      <w:ind w:left="2160"/>
    </w:pPr>
  </w:style>
  <w:style w:type="paragraph" w:customStyle="1" w:styleId="PleadingsCont5">
    <w:name w:val="Pleadings Cont 5"/>
    <w:basedOn w:val="PleadingsCont4"/>
    <w:rsid w:val="00320E69"/>
    <w:pPr>
      <w:ind w:left="2880"/>
    </w:pPr>
  </w:style>
  <w:style w:type="paragraph" w:customStyle="1" w:styleId="PleadingsCont6">
    <w:name w:val="Pleadings Cont 6"/>
    <w:basedOn w:val="PleadingsCont5"/>
    <w:rsid w:val="00320E69"/>
    <w:pPr>
      <w:ind w:left="3600"/>
    </w:pPr>
  </w:style>
  <w:style w:type="paragraph" w:customStyle="1" w:styleId="PleadingsCont7">
    <w:name w:val="Pleadings Cont 7"/>
    <w:basedOn w:val="PleadingsCont6"/>
    <w:rsid w:val="00320E69"/>
    <w:pPr>
      <w:ind w:left="4320"/>
    </w:pPr>
  </w:style>
  <w:style w:type="paragraph" w:customStyle="1" w:styleId="PleadingsCont8">
    <w:name w:val="Pleadings Cont 8"/>
    <w:basedOn w:val="PleadingsCont7"/>
    <w:rsid w:val="00320E69"/>
    <w:pPr>
      <w:ind w:left="5040"/>
    </w:pPr>
  </w:style>
  <w:style w:type="paragraph" w:customStyle="1" w:styleId="PleadingsCont9">
    <w:name w:val="Pleadings Cont 9"/>
    <w:basedOn w:val="PleadingsCont8"/>
    <w:rsid w:val="00320E69"/>
    <w:pPr>
      <w:ind w:left="5760"/>
    </w:pPr>
  </w:style>
  <w:style w:type="paragraph" w:customStyle="1" w:styleId="PleadingsL1">
    <w:name w:val="Pleadings_L1"/>
    <w:basedOn w:val="Normal"/>
    <w:next w:val="BodyText"/>
    <w:rsid w:val="00320E69"/>
    <w:pPr>
      <w:keepNext/>
      <w:keepLines/>
      <w:numPr>
        <w:numId w:val="11"/>
      </w:numPr>
      <w:spacing w:after="240" w:line="240" w:lineRule="auto"/>
      <w:jc w:val="center"/>
      <w:outlineLvl w:val="0"/>
    </w:pPr>
    <w:rPr>
      <w:b/>
      <w:lang w:eastAsia="en-US"/>
    </w:rPr>
  </w:style>
  <w:style w:type="paragraph" w:customStyle="1" w:styleId="PleadingsL2">
    <w:name w:val="Pleadings_L2"/>
    <w:basedOn w:val="PleadingsL1"/>
    <w:next w:val="BodyText"/>
    <w:rsid w:val="00320E69"/>
    <w:pPr>
      <w:numPr>
        <w:ilvl w:val="1"/>
      </w:numPr>
      <w:jc w:val="left"/>
      <w:outlineLvl w:val="1"/>
    </w:pPr>
  </w:style>
  <w:style w:type="paragraph" w:customStyle="1" w:styleId="PleadingsL3">
    <w:name w:val="Pleadings_L3"/>
    <w:basedOn w:val="PleadingsL2"/>
    <w:next w:val="BodyText"/>
    <w:rsid w:val="00320E69"/>
    <w:pPr>
      <w:numPr>
        <w:ilvl w:val="2"/>
      </w:numPr>
      <w:outlineLvl w:val="2"/>
    </w:pPr>
  </w:style>
  <w:style w:type="paragraph" w:customStyle="1" w:styleId="PleadingsL4">
    <w:name w:val="Pleadings_L4"/>
    <w:basedOn w:val="PleadingsL3"/>
    <w:next w:val="BodyText"/>
    <w:rsid w:val="00320E69"/>
    <w:pPr>
      <w:numPr>
        <w:ilvl w:val="3"/>
      </w:numPr>
      <w:outlineLvl w:val="3"/>
    </w:pPr>
  </w:style>
  <w:style w:type="paragraph" w:customStyle="1" w:styleId="PleadingsL5">
    <w:name w:val="Pleadings_L5"/>
    <w:basedOn w:val="PleadingsL4"/>
    <w:next w:val="BodyText"/>
    <w:rsid w:val="00320E69"/>
    <w:pPr>
      <w:numPr>
        <w:ilvl w:val="4"/>
      </w:numPr>
      <w:outlineLvl w:val="4"/>
    </w:pPr>
  </w:style>
  <w:style w:type="paragraph" w:customStyle="1" w:styleId="PleadingsL6">
    <w:name w:val="Pleadings_L6"/>
    <w:basedOn w:val="PleadingsL5"/>
    <w:next w:val="BodyText"/>
    <w:rsid w:val="00320E69"/>
    <w:pPr>
      <w:numPr>
        <w:ilvl w:val="5"/>
      </w:numPr>
      <w:outlineLvl w:val="5"/>
    </w:pPr>
  </w:style>
  <w:style w:type="paragraph" w:customStyle="1" w:styleId="PleadingsL7">
    <w:name w:val="Pleadings_L7"/>
    <w:basedOn w:val="PleadingsL6"/>
    <w:next w:val="BodyText"/>
    <w:rsid w:val="00320E69"/>
    <w:pPr>
      <w:numPr>
        <w:ilvl w:val="6"/>
      </w:numPr>
      <w:outlineLvl w:val="6"/>
    </w:pPr>
  </w:style>
  <w:style w:type="paragraph" w:customStyle="1" w:styleId="PleadingsL8">
    <w:name w:val="Pleadings_L8"/>
    <w:basedOn w:val="PleadingsL7"/>
    <w:next w:val="BodyText"/>
    <w:rsid w:val="00320E69"/>
    <w:pPr>
      <w:numPr>
        <w:ilvl w:val="7"/>
      </w:numPr>
      <w:outlineLvl w:val="7"/>
    </w:pPr>
  </w:style>
  <w:style w:type="paragraph" w:customStyle="1" w:styleId="PleadingsL9">
    <w:name w:val="Pleadings_L9"/>
    <w:basedOn w:val="PleadingsL8"/>
    <w:next w:val="BodyText"/>
    <w:rsid w:val="00320E69"/>
    <w:pPr>
      <w:numPr>
        <w:ilvl w:val="8"/>
      </w:numPr>
      <w:outlineLvl w:val="8"/>
    </w:pPr>
  </w:style>
  <w:style w:type="paragraph" w:styleId="BodyText">
    <w:name w:val="Body Text"/>
    <w:basedOn w:val="Normal"/>
    <w:rsid w:val="00CB5CA7"/>
  </w:style>
  <w:style w:type="paragraph" w:customStyle="1" w:styleId="FirmAddress">
    <w:name w:val="Firm Address"/>
    <w:basedOn w:val="Normal"/>
    <w:rsid w:val="00A73F11"/>
    <w:pPr>
      <w:spacing w:line="240" w:lineRule="auto"/>
      <w:ind w:firstLine="0"/>
      <w:jc w:val="center"/>
    </w:pPr>
    <w:rPr>
      <w:sz w:val="20"/>
      <w:lang w:eastAsia="en-US"/>
    </w:rPr>
  </w:style>
  <w:style w:type="paragraph" w:customStyle="1" w:styleId="DraftStamp">
    <w:name w:val="Draft Stamp"/>
    <w:basedOn w:val="Normal"/>
    <w:rsid w:val="00BE6DF0"/>
    <w:pPr>
      <w:spacing w:line="240" w:lineRule="auto"/>
      <w:ind w:firstLine="0"/>
    </w:pPr>
    <w:rPr>
      <w:rFonts w:ascii="Arial" w:hAnsi="Arial" w:cs="Arial"/>
      <w:b/>
      <w:bCs/>
      <w:sz w:val="28"/>
      <w:szCs w:val="24"/>
      <w:lang w:eastAsia="en-US"/>
    </w:rPr>
  </w:style>
  <w:style w:type="paragraph" w:styleId="BalloonText">
    <w:name w:val="Balloon Text"/>
    <w:basedOn w:val="Normal"/>
    <w:semiHidden/>
    <w:rsid w:val="004C3573"/>
    <w:rPr>
      <w:rFonts w:ascii="Tahoma" w:hAnsi="Tahoma" w:cs="Tahoma"/>
      <w:sz w:val="16"/>
      <w:szCs w:val="16"/>
    </w:rPr>
  </w:style>
  <w:style w:type="paragraph" w:customStyle="1" w:styleId="StyleBefore12pt">
    <w:name w:val="Style Before:  12 pt"/>
    <w:basedOn w:val="Normal"/>
    <w:rsid w:val="00CB5CA7"/>
  </w:style>
  <w:style w:type="character" w:styleId="Hyperlink">
    <w:name w:val="Hyperlink"/>
    <w:basedOn w:val="DefaultParagraphFont"/>
    <w:rsid w:val="000136D4"/>
    <w:rPr>
      <w:color w:val="0000FF"/>
      <w:u w:val="single"/>
    </w:rPr>
  </w:style>
  <w:style w:type="paragraph" w:customStyle="1" w:styleId="answer">
    <w:name w:val="answer"/>
    <w:basedOn w:val="BodyText"/>
    <w:rsid w:val="00CA1D99"/>
  </w:style>
  <w:style w:type="paragraph" w:styleId="BodyText3">
    <w:name w:val="Body Text 3"/>
    <w:basedOn w:val="Normal"/>
    <w:link w:val="BodyText3Char"/>
    <w:rsid w:val="00E81A78"/>
    <w:pPr>
      <w:spacing w:after="120"/>
    </w:pPr>
    <w:rPr>
      <w:sz w:val="16"/>
      <w:szCs w:val="16"/>
    </w:rPr>
  </w:style>
  <w:style w:type="character" w:customStyle="1" w:styleId="BodyText3Char">
    <w:name w:val="Body Text 3 Char"/>
    <w:basedOn w:val="DefaultParagraphFont"/>
    <w:link w:val="BodyText3"/>
    <w:rsid w:val="00E81A78"/>
    <w:rPr>
      <w:sz w:val="16"/>
      <w:szCs w:val="16"/>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59DB9C-3FF5-4674-8A39-0EDDD6BEE3F3}"/>
</file>

<file path=customXml/itemProps2.xml><?xml version="1.0" encoding="utf-8"?>
<ds:datastoreItem xmlns:ds="http://schemas.openxmlformats.org/officeDocument/2006/customXml" ds:itemID="{EDE36A53-D6F9-4C94-8CAA-6650315EB445}"/>
</file>

<file path=customXml/itemProps3.xml><?xml version="1.0" encoding="utf-8"?>
<ds:datastoreItem xmlns:ds="http://schemas.openxmlformats.org/officeDocument/2006/customXml" ds:itemID="{EFEF710A-89FA-4562-AD90-7400A25B6EAA}"/>
</file>

<file path=customXml/itemProps4.xml><?xml version="1.0" encoding="utf-8"?>
<ds:datastoreItem xmlns:ds="http://schemas.openxmlformats.org/officeDocument/2006/customXml" ds:itemID="{D3BEF6BC-78DD-462F-8D3A-4EC211A3A00D}"/>
</file>

<file path=docProps/app.xml><?xml version="1.0" encoding="utf-8"?>
<Properties xmlns="http://schemas.openxmlformats.org/officeDocument/2006/extended-properties" xmlns:vt="http://schemas.openxmlformats.org/officeDocument/2006/docPropsVTypes">
  <Template>PC-WA_T.DOT</Template>
  <TotalTime>1</TotalTime>
  <Pages>12</Pages>
  <Words>2548</Words>
  <Characters>14526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Petition for Declaratory Order</vt:lpstr>
    </vt:vector>
  </TitlesOfParts>
  <Manager/>
  <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Declaratory Order</dc:title>
  <dc:subject>27</dc:subject>
  <dc:creator>Quehrn, Markham A.</dc:creator>
  <cp:keywords>07771-0100</cp:keywords>
  <dc:description/>
  <cp:lastModifiedBy>Catherine Hudspeth</cp:lastModifiedBy>
  <cp:revision>2</cp:revision>
  <cp:lastPrinted>2010-07-14T00:16:00Z</cp:lastPrinted>
  <dcterms:created xsi:type="dcterms:W3CDTF">2010-07-16T16:46:00Z</dcterms:created>
  <dcterms:modified xsi:type="dcterms:W3CDTF">2010-07-16T16:46:00Z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Quehrn, Markham A.</vt:lpwstr>
  </property>
  <property fmtid="{D5CDD505-2E9C-101B-9397-08002B2CF9AE}" pid="4" name="Lauthor">
    <vt:lpwstr>No Name</vt:lpwstr>
  </property>
  <property fmtid="{D5CDD505-2E9C-101B-9397-08002B2CF9AE}" pid="5" name="archive">
    <vt:lpwstr>KEEP ON-LINE</vt:lpwstr>
  </property>
  <property fmtid="{D5CDD505-2E9C-101B-9397-08002B2CF9AE}" pid="6" name="encrypt">
    <vt:lpwstr>0</vt:lpwstr>
  </property>
  <property fmtid="{D5CDD505-2E9C-101B-9397-08002B2CF9AE}" pid="7" name="association">
    <vt:lpwstr>Environ/Energy</vt:lpwstr>
  </property>
  <property fmtid="{D5CDD505-2E9C-101B-9397-08002B2CF9AE}" pid="8" name="reference">
    <vt:lpwstr>07771-0100</vt:lpwstr>
  </property>
  <property fmtid="{D5CDD505-2E9C-101B-9397-08002B2CF9AE}" pid="9" name="doctype">
    <vt:lpwstr>Pc-wa_t.dot</vt:lpwstr>
  </property>
  <property fmtid="{D5CDD505-2E9C-101B-9397-08002B2CF9AE}" pid="10" name="title">
    <vt:lpwstr>Petition for Declaratory Order</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WUTC MATTERS MISC.</vt:lpwstr>
  </property>
  <property fmtid="{D5CDD505-2E9C-101B-9397-08002B2CF9AE}" pid="14" name="indextext">
    <vt:lpwstr>0</vt:lpwstr>
  </property>
  <property fmtid="{D5CDD505-2E9C-101B-9397-08002B2CF9AE}" pid="15" name="filecat">
    <vt:lpwstr>40 NONDEPARTMENTAL</vt:lpwstr>
  </property>
  <property fmtid="{D5CDD505-2E9C-101B-9397-08002B2CF9AE}" pid="16" name="ckogroup">
    <vt:lpwstr/>
  </property>
  <property fmtid="{D5CDD505-2E9C-101B-9397-08002B2CF9AE}" pid="17" name="version">
    <vt:lpwstr>27</vt:lpwstr>
  </property>
  <property fmtid="{D5CDD505-2E9C-101B-9397-08002B2CF9AE}" pid="18" name="typist">
    <vt:lpwstr>Moschetti, Joey</vt:lpwstr>
  </property>
  <property fmtid="{D5CDD505-2E9C-101B-9397-08002B2CF9AE}" pid="19" name="subdoc">
    <vt:lpwstr>0</vt:lpwstr>
  </property>
  <property fmtid="{D5CDD505-2E9C-101B-9397-08002B2CF9AE}" pid="20" name="routing">
    <vt:lpwstr>0</vt:lpwstr>
  </property>
  <property fmtid="{D5CDD505-2E9C-101B-9397-08002B2CF9AE}" pid="21" name="masterdoc">
    <vt:lpwstr>0</vt:lpwstr>
  </property>
  <property fmtid="{D5CDD505-2E9C-101B-9397-08002B2CF9AE}" pid="22" name="in use by">
    <vt:lpwstr>Moschetti, Joey</vt:lpwstr>
  </property>
  <property fmtid="{D5CDD505-2E9C-101B-9397-08002B2CF9AE}" pid="23" name="filename">
    <vt:lpwstr>BA003684.390</vt:lpwstr>
  </property>
  <property fmtid="{D5CDD505-2E9C-101B-9397-08002B2CF9AE}" pid="24" name="WPRS">
    <vt:lpwstr/>
  </property>
  <property fmtid="{D5CDD505-2E9C-101B-9397-08002B2CF9AE}" pid="25" name="MAIL_MSG_ID1">
    <vt:lpwstr>aCAAFtiNfm4Jus8yUWm55xD4vt8HQN14b52wOYtJBCvy92DlPdxrX48WmzEYCKDO2BgtmryDExjLHmOs_x000d_
Z0W1WHBHvhDFIOrzPS53UktpORnOrOYIdzn3Ucz36xPDMVQuHXuoWbo3+wM5rkHdnW2Z7yvLNw==</vt:lpwstr>
  </property>
  <property fmtid="{D5CDD505-2E9C-101B-9397-08002B2CF9AE}" pid="26" name="RESPONSE_SENDER_NAME">
    <vt:lpwstr>sAAAE34RQVAK31kXgYbgxiocaE51l/xR3Clwr3QxpGVhsv0=</vt:lpwstr>
  </property>
  <property fmtid="{D5CDD505-2E9C-101B-9397-08002B2CF9AE}" pid="27" name="EMAIL_OWNER_ADDRESS">
    <vt:lpwstr>4AAAv2pPQheLA5Wa09DrZjE0HtexgbfkXlEY2Sw5nDSFDCRARJ3Xgmwcaw==</vt:lpwstr>
  </property>
  <property fmtid="{D5CDD505-2E9C-101B-9397-08002B2CF9AE}" pid="28" name="ContentTypeId">
    <vt:lpwstr>0x0101006E56B4D1795A2E4DB2F0B01679ED314A001EF7EB4EA5E0CE4F94EA24C14D9EDF6A</vt:lpwstr>
  </property>
  <property fmtid="{D5CDD505-2E9C-101B-9397-08002B2CF9AE}" pid="29" name="_docset_NoMedatataSyncRequired">
    <vt:lpwstr>False</vt:lpwstr>
  </property>
</Properties>
</file>