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C9" w:rsidRPr="005B5A78" w:rsidRDefault="00DD02C9" w:rsidP="00DD02C9">
      <w:pPr>
        <w:rPr>
          <w:rFonts w:ascii="Times New Roman" w:hAnsi="Times New Roman"/>
        </w:rPr>
      </w:pPr>
      <w:r w:rsidRPr="005B5A78">
        <w:rPr>
          <w:rFonts w:ascii="Times New Roman" w:hAnsi="Times New Roman"/>
        </w:rPr>
        <w:t>Agenda Date:</w:t>
      </w:r>
      <w:r w:rsidRPr="005B5A78">
        <w:rPr>
          <w:rFonts w:ascii="Times New Roman" w:hAnsi="Times New Roman"/>
        </w:rPr>
        <w:tab/>
      </w:r>
      <w:r w:rsidRPr="005B5A78">
        <w:rPr>
          <w:rFonts w:ascii="Times New Roman" w:hAnsi="Times New Roman"/>
        </w:rPr>
        <w:tab/>
      </w:r>
      <w:r w:rsidR="00103619" w:rsidRPr="005B5A78">
        <w:rPr>
          <w:rFonts w:ascii="Times New Roman" w:hAnsi="Times New Roman"/>
        </w:rPr>
        <w:t xml:space="preserve">December </w:t>
      </w:r>
      <w:r w:rsidR="00654668" w:rsidRPr="005B5A78">
        <w:rPr>
          <w:rFonts w:ascii="Times New Roman" w:hAnsi="Times New Roman"/>
        </w:rPr>
        <w:t xml:space="preserve"> 2</w:t>
      </w:r>
      <w:r w:rsidR="00103619" w:rsidRPr="005B5A78">
        <w:rPr>
          <w:rFonts w:ascii="Times New Roman" w:hAnsi="Times New Roman"/>
        </w:rPr>
        <w:t>3</w:t>
      </w:r>
      <w:r w:rsidRPr="005B5A78">
        <w:rPr>
          <w:rFonts w:ascii="Times New Roman" w:hAnsi="Times New Roman"/>
        </w:rPr>
        <w:t>, 200</w:t>
      </w:r>
      <w:r w:rsidR="00654668" w:rsidRPr="005B5A78">
        <w:rPr>
          <w:rFonts w:ascii="Times New Roman" w:hAnsi="Times New Roman"/>
        </w:rPr>
        <w:t>9</w:t>
      </w:r>
    </w:p>
    <w:p w:rsidR="00DD02C9" w:rsidRPr="005B5A78" w:rsidRDefault="00DD02C9" w:rsidP="00DD02C9">
      <w:pPr>
        <w:ind w:left="2160" w:hanging="2160"/>
        <w:rPr>
          <w:rFonts w:ascii="Times New Roman" w:hAnsi="Times New Roman"/>
        </w:rPr>
      </w:pPr>
      <w:r w:rsidRPr="005B5A78">
        <w:rPr>
          <w:rFonts w:ascii="Times New Roman" w:hAnsi="Times New Roman"/>
        </w:rPr>
        <w:t>Item Number</w:t>
      </w:r>
      <w:r w:rsidR="00C80B2E">
        <w:rPr>
          <w:rFonts w:ascii="Times New Roman" w:hAnsi="Times New Roman"/>
        </w:rPr>
        <w:t>s</w:t>
      </w:r>
      <w:r w:rsidRPr="005B5A78">
        <w:rPr>
          <w:rFonts w:ascii="Times New Roman" w:hAnsi="Times New Roman"/>
        </w:rPr>
        <w:t>:</w:t>
      </w:r>
      <w:r w:rsidRPr="005B5A78">
        <w:rPr>
          <w:rFonts w:ascii="Times New Roman" w:hAnsi="Times New Roman"/>
        </w:rPr>
        <w:tab/>
      </w:r>
      <w:r w:rsidR="00C80B2E">
        <w:rPr>
          <w:rFonts w:ascii="Times New Roman" w:hAnsi="Times New Roman"/>
        </w:rPr>
        <w:t>A2 and A3</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b/>
          <w:bCs/>
        </w:rPr>
      </w:pPr>
      <w:r w:rsidRPr="005B5A78">
        <w:rPr>
          <w:rFonts w:ascii="Times New Roman" w:hAnsi="Times New Roman"/>
          <w:b/>
          <w:bCs/>
        </w:rPr>
        <w:t>Docket</w:t>
      </w:r>
      <w:r w:rsidR="00C80B2E">
        <w:rPr>
          <w:rFonts w:ascii="Times New Roman" w:hAnsi="Times New Roman"/>
          <w:b/>
          <w:bCs/>
        </w:rPr>
        <w:t>s</w:t>
      </w:r>
      <w:r w:rsidRPr="005B5A78">
        <w:rPr>
          <w:rFonts w:ascii="Times New Roman" w:hAnsi="Times New Roman"/>
          <w:b/>
          <w:bCs/>
        </w:rPr>
        <w:t>:</w:t>
      </w:r>
      <w:r w:rsidRPr="005B5A78">
        <w:rPr>
          <w:rFonts w:ascii="Times New Roman" w:hAnsi="Times New Roman"/>
          <w:b/>
          <w:bCs/>
        </w:rPr>
        <w:tab/>
      </w:r>
      <w:r w:rsidRPr="005B5A78">
        <w:rPr>
          <w:rFonts w:ascii="Times New Roman" w:hAnsi="Times New Roman"/>
          <w:b/>
          <w:bCs/>
        </w:rPr>
        <w:tab/>
        <w:t>UE-</w:t>
      </w:r>
      <w:r w:rsidR="00AF3F19" w:rsidRPr="005B5A78">
        <w:rPr>
          <w:rFonts w:ascii="Times New Roman" w:hAnsi="Times New Roman"/>
          <w:b/>
          <w:bCs/>
        </w:rPr>
        <w:t>091859</w:t>
      </w:r>
      <w:r w:rsidRPr="005B5A78">
        <w:rPr>
          <w:rFonts w:ascii="Times New Roman" w:hAnsi="Times New Roman"/>
          <w:b/>
          <w:bCs/>
        </w:rPr>
        <w:t xml:space="preserve"> </w:t>
      </w:r>
      <w:r w:rsidR="008C060F" w:rsidRPr="005B5A78">
        <w:rPr>
          <w:rFonts w:ascii="Times New Roman" w:hAnsi="Times New Roman"/>
          <w:b/>
          <w:bCs/>
        </w:rPr>
        <w:t>and UG-091860</w:t>
      </w:r>
    </w:p>
    <w:p w:rsidR="00DD02C9" w:rsidRPr="005B5A78" w:rsidRDefault="00DD02C9" w:rsidP="00DD02C9">
      <w:pPr>
        <w:rPr>
          <w:rFonts w:ascii="Times New Roman" w:hAnsi="Times New Roman"/>
        </w:rPr>
      </w:pPr>
      <w:r w:rsidRPr="005B5A78">
        <w:rPr>
          <w:rFonts w:ascii="Times New Roman" w:hAnsi="Times New Roman"/>
        </w:rPr>
        <w:t>Company:</w:t>
      </w:r>
      <w:r w:rsidRPr="005B5A78">
        <w:rPr>
          <w:rFonts w:ascii="Times New Roman" w:hAnsi="Times New Roman"/>
        </w:rPr>
        <w:tab/>
      </w:r>
      <w:r w:rsidRPr="005B5A78">
        <w:rPr>
          <w:rFonts w:ascii="Times New Roman" w:hAnsi="Times New Roman"/>
        </w:rPr>
        <w:tab/>
        <w:t>Puget Sound Energy</w:t>
      </w:r>
      <w:r w:rsidR="003C2BEA">
        <w:rPr>
          <w:rFonts w:ascii="Times New Roman" w:hAnsi="Times New Roman"/>
        </w:rPr>
        <w:t>, Inc.</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rPr>
      </w:pPr>
      <w:r w:rsidRPr="005B5A78">
        <w:rPr>
          <w:rFonts w:ascii="Times New Roman" w:hAnsi="Times New Roman"/>
        </w:rPr>
        <w:t>Staff:</w:t>
      </w:r>
      <w:r w:rsidRPr="005B5A78">
        <w:rPr>
          <w:rFonts w:ascii="Times New Roman" w:hAnsi="Times New Roman"/>
        </w:rPr>
        <w:tab/>
      </w:r>
      <w:r w:rsidRPr="005B5A78">
        <w:rPr>
          <w:rFonts w:ascii="Times New Roman" w:hAnsi="Times New Roman"/>
        </w:rPr>
        <w:tab/>
      </w:r>
      <w:r w:rsidRPr="005B5A78">
        <w:rPr>
          <w:rFonts w:ascii="Times New Roman" w:hAnsi="Times New Roman"/>
        </w:rPr>
        <w:tab/>
        <w:t>Deborah Reynolds, Regulatory Analyst</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b/>
          <w:bCs/>
          <w:u w:val="single"/>
        </w:rPr>
      </w:pPr>
      <w:r w:rsidRPr="005B5A78">
        <w:rPr>
          <w:rFonts w:ascii="Times New Roman" w:hAnsi="Times New Roman"/>
          <w:b/>
          <w:bCs/>
          <w:u w:val="single"/>
        </w:rPr>
        <w:t>Recommendation</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rPr>
      </w:pPr>
      <w:r w:rsidRPr="005B5A78">
        <w:rPr>
          <w:rFonts w:ascii="Times New Roman" w:hAnsi="Times New Roman"/>
        </w:rPr>
        <w:t xml:space="preserve">Take no action, thereby allowing Puget Sound Energy’s </w:t>
      </w:r>
      <w:r w:rsidR="00AF3F19" w:rsidRPr="005B5A78">
        <w:rPr>
          <w:rFonts w:ascii="Times New Roman" w:hAnsi="Times New Roman"/>
        </w:rPr>
        <w:t>conservation</w:t>
      </w:r>
      <w:r w:rsidRPr="005B5A78">
        <w:rPr>
          <w:rFonts w:ascii="Times New Roman" w:hAnsi="Times New Roman"/>
        </w:rPr>
        <w:t xml:space="preserve"> program tariff filings in Dockets UE-</w:t>
      </w:r>
      <w:r w:rsidR="00AF3F19" w:rsidRPr="005B5A78">
        <w:rPr>
          <w:rFonts w:ascii="Times New Roman" w:hAnsi="Times New Roman"/>
        </w:rPr>
        <w:t>091859</w:t>
      </w:r>
      <w:r w:rsidRPr="005B5A78">
        <w:rPr>
          <w:rFonts w:ascii="Times New Roman" w:hAnsi="Times New Roman"/>
        </w:rPr>
        <w:t xml:space="preserve"> and UG-</w:t>
      </w:r>
      <w:r w:rsidR="00AF3F19" w:rsidRPr="005B5A78">
        <w:rPr>
          <w:rFonts w:ascii="Times New Roman" w:hAnsi="Times New Roman"/>
        </w:rPr>
        <w:t>091860</w:t>
      </w:r>
      <w:r w:rsidRPr="005B5A78">
        <w:rPr>
          <w:rFonts w:ascii="Times New Roman" w:hAnsi="Times New Roman"/>
        </w:rPr>
        <w:t xml:space="preserve"> to become effective on </w:t>
      </w:r>
      <w:r w:rsidR="006A7AFA" w:rsidRPr="005B5A78">
        <w:rPr>
          <w:rFonts w:ascii="Times New Roman" w:hAnsi="Times New Roman"/>
        </w:rPr>
        <w:t>January</w:t>
      </w:r>
      <w:r w:rsidRPr="005B5A78">
        <w:rPr>
          <w:rFonts w:ascii="Times New Roman" w:hAnsi="Times New Roman"/>
        </w:rPr>
        <w:t xml:space="preserve"> 1, 20</w:t>
      </w:r>
      <w:r w:rsidR="006A7AFA" w:rsidRPr="005B5A78">
        <w:rPr>
          <w:rFonts w:ascii="Times New Roman" w:hAnsi="Times New Roman"/>
        </w:rPr>
        <w:t>10</w:t>
      </w:r>
      <w:r w:rsidRPr="005B5A78">
        <w:rPr>
          <w:rFonts w:ascii="Times New Roman" w:hAnsi="Times New Roman"/>
        </w:rPr>
        <w:t>, by operation of law</w:t>
      </w:r>
      <w:r w:rsidR="00894608" w:rsidRPr="005B5A78">
        <w:rPr>
          <w:rFonts w:ascii="Times New Roman" w:hAnsi="Times New Roman"/>
        </w:rPr>
        <w:t>, and direct staff to open an investigation into the program descriptions, budgets, cost-effectiveness, and evaluation as described in Appendices A, B, C, and D of the company’s tariffs</w:t>
      </w:r>
      <w:r w:rsidRPr="005B5A78">
        <w:rPr>
          <w:rFonts w:ascii="Times New Roman" w:hAnsi="Times New Roman"/>
        </w:rPr>
        <w:t>.</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b/>
          <w:u w:val="single"/>
        </w:rPr>
      </w:pPr>
      <w:r w:rsidRPr="005B5A78">
        <w:rPr>
          <w:rFonts w:ascii="Times New Roman" w:hAnsi="Times New Roman"/>
          <w:b/>
          <w:u w:val="single"/>
        </w:rPr>
        <w:t>Discussion</w:t>
      </w:r>
    </w:p>
    <w:p w:rsidR="00DD02C9" w:rsidRPr="005B5A78" w:rsidRDefault="00DD02C9" w:rsidP="00DD02C9">
      <w:pPr>
        <w:rPr>
          <w:rFonts w:ascii="Times New Roman" w:hAnsi="Times New Roman"/>
        </w:rPr>
      </w:pPr>
    </w:p>
    <w:p w:rsidR="00DD02C9" w:rsidRPr="005B5A78" w:rsidRDefault="00DD02C9" w:rsidP="00324295">
      <w:pPr>
        <w:pStyle w:val="NoSpacing"/>
        <w:rPr>
          <w:szCs w:val="24"/>
        </w:rPr>
      </w:pPr>
      <w:r w:rsidRPr="005B5A78">
        <w:rPr>
          <w:szCs w:val="24"/>
        </w:rPr>
        <w:t xml:space="preserve">On </w:t>
      </w:r>
      <w:r w:rsidR="00324295" w:rsidRPr="005B5A78">
        <w:rPr>
          <w:szCs w:val="24"/>
        </w:rPr>
        <w:t>November 30</w:t>
      </w:r>
      <w:r w:rsidR="0034185A" w:rsidRPr="005B5A78">
        <w:rPr>
          <w:szCs w:val="24"/>
        </w:rPr>
        <w:t>, 2009</w:t>
      </w:r>
      <w:r w:rsidRPr="005B5A78">
        <w:rPr>
          <w:szCs w:val="24"/>
        </w:rPr>
        <w:t>, Puget Sound Energy</w:t>
      </w:r>
      <w:r w:rsidR="003C2BEA">
        <w:rPr>
          <w:szCs w:val="24"/>
        </w:rPr>
        <w:t>, Inc.</w:t>
      </w:r>
      <w:r w:rsidRPr="005B5A78">
        <w:rPr>
          <w:szCs w:val="24"/>
        </w:rPr>
        <w:t xml:space="preserve"> (PSE</w:t>
      </w:r>
      <w:r w:rsidR="00333EB4" w:rsidRPr="005B5A78">
        <w:rPr>
          <w:szCs w:val="24"/>
        </w:rPr>
        <w:t xml:space="preserve"> or company</w:t>
      </w:r>
      <w:r w:rsidRPr="005B5A78">
        <w:rPr>
          <w:szCs w:val="24"/>
        </w:rPr>
        <w:t xml:space="preserve">) filed </w:t>
      </w:r>
      <w:r w:rsidR="00333EB4" w:rsidRPr="005B5A78">
        <w:rPr>
          <w:szCs w:val="24"/>
        </w:rPr>
        <w:t xml:space="preserve">with the Utilities and Transportation Commission (commission) </w:t>
      </w:r>
      <w:r w:rsidRPr="005B5A78">
        <w:rPr>
          <w:szCs w:val="24"/>
        </w:rPr>
        <w:t xml:space="preserve">revisions to its electric and natural gas </w:t>
      </w:r>
      <w:r w:rsidR="00AF3F19" w:rsidRPr="005B5A78">
        <w:rPr>
          <w:szCs w:val="24"/>
        </w:rPr>
        <w:t>conservation</w:t>
      </w:r>
      <w:r w:rsidRPr="005B5A78">
        <w:rPr>
          <w:szCs w:val="24"/>
        </w:rPr>
        <w:t xml:space="preserve"> program</w:t>
      </w:r>
      <w:r w:rsidR="002A185A" w:rsidRPr="005B5A78">
        <w:rPr>
          <w:szCs w:val="24"/>
        </w:rPr>
        <w:t xml:space="preserve"> tariffs</w:t>
      </w:r>
      <w:r w:rsidRPr="005B5A78">
        <w:rPr>
          <w:szCs w:val="24"/>
        </w:rPr>
        <w:t>.</w:t>
      </w:r>
      <w:r w:rsidR="002A185A" w:rsidRPr="005B5A78">
        <w:rPr>
          <w:szCs w:val="24"/>
        </w:rPr>
        <w:t xml:space="preserve"> Under separate cover, the company also submitted its proposed </w:t>
      </w:r>
      <w:r w:rsidR="00894608" w:rsidRPr="005B5A78">
        <w:t>program descriptions, budgets, cost-effectiveness, and evaluation as described in Appendices A, B, C, and D of the company’s tariffs</w:t>
      </w:r>
      <w:r w:rsidR="002A185A" w:rsidRPr="005B5A78">
        <w:rPr>
          <w:szCs w:val="24"/>
        </w:rPr>
        <w:t>.</w:t>
      </w:r>
      <w:r w:rsidR="002A185A" w:rsidRPr="005B5A78">
        <w:rPr>
          <w:rStyle w:val="FootnoteReference"/>
          <w:szCs w:val="24"/>
        </w:rPr>
        <w:footnoteReference w:id="1"/>
      </w:r>
      <w:r w:rsidRPr="005B5A78">
        <w:rPr>
          <w:szCs w:val="24"/>
        </w:rPr>
        <w:t xml:space="preserve"> The specifics of the </w:t>
      </w:r>
      <w:r w:rsidR="00AF3F19" w:rsidRPr="005B5A78">
        <w:rPr>
          <w:szCs w:val="24"/>
        </w:rPr>
        <w:t>conservation program</w:t>
      </w:r>
      <w:r w:rsidRPr="005B5A78">
        <w:rPr>
          <w:szCs w:val="24"/>
        </w:rPr>
        <w:t xml:space="preserve"> were agreed to in Exhibit </w:t>
      </w:r>
      <w:r w:rsidR="00AF3F19" w:rsidRPr="005B5A78">
        <w:rPr>
          <w:szCs w:val="24"/>
        </w:rPr>
        <w:t>F</w:t>
      </w:r>
      <w:r w:rsidRPr="005B5A78">
        <w:rPr>
          <w:szCs w:val="24"/>
        </w:rPr>
        <w:t xml:space="preserve"> to the Settlement Stipulation Agreement approved by the </w:t>
      </w:r>
      <w:r w:rsidR="00333EB4" w:rsidRPr="005B5A78">
        <w:rPr>
          <w:szCs w:val="24"/>
        </w:rPr>
        <w:t>c</w:t>
      </w:r>
      <w:r w:rsidRPr="005B5A78">
        <w:rPr>
          <w:szCs w:val="24"/>
        </w:rPr>
        <w:t>ommission on Augu</w:t>
      </w:r>
      <w:r w:rsidR="00333EB4" w:rsidRPr="005B5A78">
        <w:rPr>
          <w:szCs w:val="24"/>
        </w:rPr>
        <w:t>s</w:t>
      </w:r>
      <w:r w:rsidRPr="005B5A78">
        <w:rPr>
          <w:szCs w:val="24"/>
        </w:rPr>
        <w:t xml:space="preserve">t 28, 2002, in Dockets UE-011570 and UG-011571, and amended by the Partial Settlement Agreement approved by the </w:t>
      </w:r>
      <w:r w:rsidR="00333EB4" w:rsidRPr="005B5A78">
        <w:rPr>
          <w:szCs w:val="24"/>
        </w:rPr>
        <w:t>c</w:t>
      </w:r>
      <w:r w:rsidRPr="005B5A78">
        <w:rPr>
          <w:szCs w:val="24"/>
        </w:rPr>
        <w:t xml:space="preserve">ommission on January 5, 2007, in Dockets UE-060266 and UG-060267. </w:t>
      </w:r>
      <w:r w:rsidR="00324295" w:rsidRPr="005B5A78">
        <w:rPr>
          <w:szCs w:val="24"/>
        </w:rPr>
        <w:t xml:space="preserve">The </w:t>
      </w:r>
      <w:r w:rsidR="00333EB4" w:rsidRPr="005B5A78">
        <w:rPr>
          <w:szCs w:val="24"/>
        </w:rPr>
        <w:t>c</w:t>
      </w:r>
      <w:r w:rsidR="00324295" w:rsidRPr="005B5A78">
        <w:rPr>
          <w:szCs w:val="24"/>
        </w:rPr>
        <w:t>ompany has developed these filings in accordance with the settlement terms. The core programs in the portfolio serve all customer classes through information and financial incentives for customers to incorporate cost-effective energy-efficient measures and services.</w:t>
      </w:r>
    </w:p>
    <w:p w:rsidR="009F5BF2" w:rsidRPr="005B5A78" w:rsidRDefault="009F5BF2" w:rsidP="00DD02C9">
      <w:pPr>
        <w:rPr>
          <w:rFonts w:ascii="Times New Roman" w:hAnsi="Times New Roman"/>
        </w:rPr>
      </w:pPr>
    </w:p>
    <w:p w:rsidR="00DD02C9" w:rsidRPr="005B5A78" w:rsidRDefault="009F5BF2" w:rsidP="00DD02C9">
      <w:pPr>
        <w:rPr>
          <w:rFonts w:ascii="Times New Roman" w:hAnsi="Times New Roman"/>
        </w:rPr>
      </w:pPr>
      <w:r w:rsidRPr="005B5A78">
        <w:rPr>
          <w:rFonts w:ascii="Times New Roman" w:hAnsi="Times New Roman"/>
        </w:rPr>
        <w:t xml:space="preserve">Through these filings, PSE is proposing changes to its electric and gas conservation programs. The proposed changes seek to (1) </w:t>
      </w:r>
      <w:r w:rsidR="002A1F18" w:rsidRPr="005B5A78">
        <w:rPr>
          <w:rFonts w:ascii="Times New Roman" w:hAnsi="Times New Roman"/>
        </w:rPr>
        <w:t xml:space="preserve">increase the budgeted expenditures for </w:t>
      </w:r>
      <w:r w:rsidR="002A185A" w:rsidRPr="005B5A78">
        <w:rPr>
          <w:rFonts w:ascii="Times New Roman" w:hAnsi="Times New Roman"/>
        </w:rPr>
        <w:t xml:space="preserve">January 1, </w:t>
      </w:r>
      <w:r w:rsidR="002A1F18" w:rsidRPr="005B5A78">
        <w:rPr>
          <w:rFonts w:ascii="Times New Roman" w:hAnsi="Times New Roman"/>
        </w:rPr>
        <w:t>2010</w:t>
      </w:r>
      <w:r w:rsidR="00DF3F1E">
        <w:rPr>
          <w:rFonts w:ascii="Times New Roman" w:hAnsi="Times New Roman"/>
        </w:rPr>
        <w:t>,</w:t>
      </w:r>
      <w:r w:rsidR="002A185A" w:rsidRPr="005B5A78">
        <w:rPr>
          <w:rFonts w:ascii="Times New Roman" w:hAnsi="Times New Roman"/>
        </w:rPr>
        <w:t xml:space="preserve"> through December 31, </w:t>
      </w:r>
      <w:r w:rsidR="002A1F18" w:rsidRPr="005B5A78">
        <w:rPr>
          <w:rFonts w:ascii="Times New Roman" w:hAnsi="Times New Roman"/>
        </w:rPr>
        <w:t xml:space="preserve">2011, (2) </w:t>
      </w:r>
      <w:r w:rsidRPr="005B5A78">
        <w:rPr>
          <w:rFonts w:ascii="Times New Roman" w:hAnsi="Times New Roman"/>
        </w:rPr>
        <w:t>extend the effectiveness of pr</w:t>
      </w:r>
      <w:r w:rsidR="002A1F18" w:rsidRPr="005B5A78">
        <w:rPr>
          <w:rFonts w:ascii="Times New Roman" w:hAnsi="Times New Roman"/>
        </w:rPr>
        <w:t>ograms through December 31, 2011, (3) add new pilot programs, and (4</w:t>
      </w:r>
      <w:r w:rsidRPr="005B5A78">
        <w:rPr>
          <w:rFonts w:ascii="Times New Roman" w:hAnsi="Times New Roman"/>
        </w:rPr>
        <w:t xml:space="preserve">) make a number of minor tariff changes. The </w:t>
      </w:r>
      <w:r w:rsidR="00333EB4" w:rsidRPr="005B5A78">
        <w:rPr>
          <w:rFonts w:ascii="Times New Roman" w:hAnsi="Times New Roman"/>
        </w:rPr>
        <w:t>c</w:t>
      </w:r>
      <w:r w:rsidRPr="005B5A78">
        <w:rPr>
          <w:rFonts w:ascii="Times New Roman" w:hAnsi="Times New Roman"/>
        </w:rPr>
        <w:t xml:space="preserve">ompany has developed these filings and a course of action for their conservation programs in consultation with their Conservation Resources Advisory Group (CRAG). The conservation targets and program portfolio were guided by the results of PSE’s </w:t>
      </w:r>
      <w:r w:rsidR="008C060F" w:rsidRPr="005B5A78">
        <w:rPr>
          <w:rFonts w:ascii="Times New Roman" w:hAnsi="Times New Roman"/>
        </w:rPr>
        <w:t>July</w:t>
      </w:r>
      <w:r w:rsidRPr="005B5A78">
        <w:rPr>
          <w:rFonts w:ascii="Times New Roman" w:hAnsi="Times New Roman"/>
        </w:rPr>
        <w:t xml:space="preserve"> 2009 Integrated Resource</w:t>
      </w:r>
      <w:r w:rsidR="00894608" w:rsidRPr="005B5A78">
        <w:rPr>
          <w:rFonts w:ascii="Times New Roman" w:hAnsi="Times New Roman"/>
        </w:rPr>
        <w:t>s</w:t>
      </w:r>
      <w:r w:rsidRPr="005B5A78">
        <w:rPr>
          <w:rFonts w:ascii="Times New Roman" w:hAnsi="Times New Roman"/>
        </w:rPr>
        <w:t xml:space="preserve"> Plan,</w:t>
      </w:r>
      <w:r w:rsidR="00D80B11" w:rsidRPr="005B5A78">
        <w:rPr>
          <w:rStyle w:val="FootnoteReference"/>
          <w:rFonts w:ascii="Times New Roman" w:hAnsi="Times New Roman"/>
        </w:rPr>
        <w:footnoteReference w:id="2"/>
      </w:r>
      <w:r w:rsidRPr="005B5A78">
        <w:rPr>
          <w:rFonts w:ascii="Times New Roman" w:hAnsi="Times New Roman"/>
        </w:rPr>
        <w:t xml:space="preserve"> which included an assessment of the conservation potential in its service area.</w:t>
      </w:r>
    </w:p>
    <w:p w:rsidR="002A1F18" w:rsidRPr="005B5A78" w:rsidRDefault="002A1F18" w:rsidP="00DD02C9">
      <w:pPr>
        <w:rPr>
          <w:rFonts w:ascii="Times New Roman" w:hAnsi="Times New Roman"/>
        </w:rPr>
      </w:pPr>
    </w:p>
    <w:p w:rsidR="00DD02C9" w:rsidRPr="005B5A78" w:rsidRDefault="00DD02C9" w:rsidP="00DD02C9">
      <w:pPr>
        <w:rPr>
          <w:rFonts w:ascii="Times New Roman" w:hAnsi="Times New Roman"/>
        </w:rPr>
      </w:pPr>
      <w:r w:rsidRPr="005B5A78">
        <w:rPr>
          <w:rFonts w:ascii="Times New Roman" w:hAnsi="Times New Roman"/>
        </w:rPr>
        <w:t>PSE serves approximately 1,050,000 electric customers in Island, Jefferson, King, Kitsap, Kittitas, Pierce, Skagit, Thurston and Whatcom counties, and approximately 720,000 natural gas customers in King, Kittitas, Lewis, Pierce, Snohomish and Thurston counties. All customers are affected by these changes.</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b/>
          <w:u w:val="single"/>
        </w:rPr>
      </w:pPr>
      <w:r w:rsidRPr="005B5A78">
        <w:rPr>
          <w:rFonts w:ascii="Times New Roman" w:hAnsi="Times New Roman"/>
          <w:b/>
          <w:u w:val="single"/>
        </w:rPr>
        <w:lastRenderedPageBreak/>
        <w:t xml:space="preserve">Electric </w:t>
      </w:r>
      <w:r w:rsidR="00AF3F19" w:rsidRPr="005B5A78">
        <w:rPr>
          <w:rFonts w:ascii="Times New Roman" w:hAnsi="Times New Roman"/>
          <w:b/>
          <w:u w:val="single"/>
        </w:rPr>
        <w:t>Conservation</w:t>
      </w:r>
      <w:r w:rsidRPr="005B5A78">
        <w:rPr>
          <w:rFonts w:ascii="Times New Roman" w:hAnsi="Times New Roman"/>
          <w:b/>
          <w:u w:val="single"/>
        </w:rPr>
        <w:t xml:space="preserve"> Program Changes</w:t>
      </w:r>
    </w:p>
    <w:p w:rsidR="00DD02C9" w:rsidRPr="005B5A78" w:rsidRDefault="00DD02C9" w:rsidP="00DD02C9">
      <w:pPr>
        <w:rPr>
          <w:rFonts w:ascii="Times New Roman" w:hAnsi="Times New Roman"/>
        </w:rPr>
      </w:pPr>
    </w:p>
    <w:p w:rsidR="001F0A59" w:rsidRPr="005B5A78" w:rsidRDefault="00232623" w:rsidP="001F0A59">
      <w:pPr>
        <w:pStyle w:val="NoSpacing"/>
        <w:rPr>
          <w:szCs w:val="24"/>
        </w:rPr>
      </w:pPr>
      <w:r w:rsidRPr="005B5A78">
        <w:rPr>
          <w:szCs w:val="24"/>
        </w:rPr>
        <w:t>PSE is proposing a 29</w:t>
      </w:r>
      <w:r w:rsidR="00333EB4" w:rsidRPr="005B5A78">
        <w:rPr>
          <w:szCs w:val="24"/>
        </w:rPr>
        <w:t xml:space="preserve"> percent</w:t>
      </w:r>
      <w:r w:rsidRPr="005B5A78">
        <w:rPr>
          <w:szCs w:val="24"/>
        </w:rPr>
        <w:t xml:space="preserve"> increase in its two-year electric conservation budget, increasing from</w:t>
      </w:r>
      <w:r w:rsidR="008C060F" w:rsidRPr="005B5A78">
        <w:rPr>
          <w:szCs w:val="24"/>
        </w:rPr>
        <w:t xml:space="preserve"> $129 million to $166 million. </w:t>
      </w:r>
      <w:r w:rsidR="001F0A59" w:rsidRPr="005B5A78">
        <w:rPr>
          <w:szCs w:val="24"/>
        </w:rPr>
        <w:t xml:space="preserve">The </w:t>
      </w:r>
      <w:r w:rsidR="00333EB4" w:rsidRPr="005B5A78">
        <w:rPr>
          <w:szCs w:val="24"/>
        </w:rPr>
        <w:t>c</w:t>
      </w:r>
      <w:r w:rsidR="001F0A59" w:rsidRPr="005B5A78">
        <w:rPr>
          <w:szCs w:val="24"/>
        </w:rPr>
        <w:t xml:space="preserve">ompany is establishing an electric conservation acquisition target of 71.0 aMW </w:t>
      </w:r>
      <w:r w:rsidR="00333EB4" w:rsidRPr="005B5A78">
        <w:rPr>
          <w:szCs w:val="24"/>
        </w:rPr>
        <w:t xml:space="preserve">(average megawatts) </w:t>
      </w:r>
      <w:r w:rsidR="001F0A59" w:rsidRPr="005B5A78">
        <w:rPr>
          <w:szCs w:val="24"/>
        </w:rPr>
        <w:t>for the 2010-2011 time period.</w:t>
      </w:r>
      <w:r w:rsidR="008C060F" w:rsidRPr="005B5A78">
        <w:rPr>
          <w:szCs w:val="24"/>
        </w:rPr>
        <w:t xml:space="preserve"> </w:t>
      </w:r>
      <w:r w:rsidR="003B750B" w:rsidRPr="005B5A78">
        <w:rPr>
          <w:szCs w:val="24"/>
        </w:rPr>
        <w:t>The savings target has increased about 27 percent for commercial programs, while decreasing about 11 percent for residential programs.</w:t>
      </w:r>
      <w:r w:rsidR="001F0A59" w:rsidRPr="005B5A78">
        <w:rPr>
          <w:szCs w:val="24"/>
        </w:rPr>
        <w:t xml:space="preserve"> </w:t>
      </w:r>
      <w:r w:rsidR="003B750B" w:rsidRPr="005B5A78">
        <w:rPr>
          <w:szCs w:val="24"/>
        </w:rPr>
        <w:t>Company programs are expected to deliver 65.6 aMW</w:t>
      </w:r>
      <w:r w:rsidR="001F0A59" w:rsidRPr="005B5A78">
        <w:rPr>
          <w:szCs w:val="24"/>
        </w:rPr>
        <w:t xml:space="preserve">. The remaining 5.4 aMW </w:t>
      </w:r>
      <w:r w:rsidR="002A1F18" w:rsidRPr="005B5A78">
        <w:rPr>
          <w:szCs w:val="24"/>
        </w:rPr>
        <w:t>will come from</w:t>
      </w:r>
      <w:r w:rsidR="001F0A59" w:rsidRPr="005B5A78">
        <w:rPr>
          <w:szCs w:val="24"/>
        </w:rPr>
        <w:t xml:space="preserve"> market transformation programs through the Northwest Energy Efficiency Alliance.</w:t>
      </w:r>
      <w:r w:rsidR="003B750B" w:rsidRPr="005B5A78">
        <w:rPr>
          <w:szCs w:val="24"/>
        </w:rPr>
        <w:t xml:space="preserve">  </w:t>
      </w:r>
    </w:p>
    <w:p w:rsidR="00DD02C9" w:rsidRPr="005B5A78" w:rsidRDefault="00DD02C9" w:rsidP="00DD02C9">
      <w:pPr>
        <w:rPr>
          <w:rFonts w:ascii="Times New Roman" w:hAnsi="Times New Roman"/>
        </w:rPr>
      </w:pPr>
    </w:p>
    <w:tbl>
      <w:tblPr>
        <w:tblW w:w="9314" w:type="dxa"/>
        <w:tblBorders>
          <w:top w:val="single" w:sz="12" w:space="0" w:color="000000"/>
          <w:bottom w:val="single" w:sz="12" w:space="0" w:color="000000"/>
          <w:insideH w:val="single" w:sz="6" w:space="0" w:color="000000"/>
        </w:tblBorders>
        <w:tblLook w:val="04A0"/>
      </w:tblPr>
      <w:tblGrid>
        <w:gridCol w:w="3888"/>
        <w:gridCol w:w="1890"/>
        <w:gridCol w:w="1980"/>
        <w:gridCol w:w="1556"/>
      </w:tblGrid>
      <w:tr w:rsidR="005D3E85" w:rsidRPr="005B5A78" w:rsidTr="00EC1DE9">
        <w:trPr>
          <w:trHeight w:val="279"/>
        </w:trPr>
        <w:tc>
          <w:tcPr>
            <w:tcW w:w="3888" w:type="dxa"/>
            <w:tcBorders>
              <w:bottom w:val="single" w:sz="12" w:space="0" w:color="000000"/>
            </w:tcBorders>
            <w:shd w:val="clear" w:color="auto" w:fill="auto"/>
          </w:tcPr>
          <w:p w:rsidR="005D3E85" w:rsidRPr="005B5A78" w:rsidRDefault="005D3E85" w:rsidP="00F74184">
            <w:pPr>
              <w:rPr>
                <w:rFonts w:ascii="Times New Roman" w:hAnsi="Times New Roman"/>
                <w:b/>
                <w:bCs/>
                <w:color w:val="000080"/>
              </w:rPr>
            </w:pPr>
            <w:r w:rsidRPr="005B5A78">
              <w:rPr>
                <w:rFonts w:ascii="Times New Roman" w:hAnsi="Times New Roman"/>
                <w:b/>
                <w:bCs/>
                <w:color w:val="000080"/>
              </w:rPr>
              <w:t>Electric Efficiency Services</w:t>
            </w:r>
          </w:p>
        </w:tc>
        <w:tc>
          <w:tcPr>
            <w:tcW w:w="1890" w:type="dxa"/>
            <w:tcBorders>
              <w:bottom w:val="single" w:sz="12" w:space="0" w:color="000000"/>
            </w:tcBorders>
          </w:tcPr>
          <w:p w:rsidR="005D3E85" w:rsidRPr="005B5A78" w:rsidRDefault="005D3E85" w:rsidP="00232623">
            <w:pPr>
              <w:jc w:val="right"/>
              <w:rPr>
                <w:rFonts w:ascii="Times New Roman" w:hAnsi="Times New Roman"/>
                <w:b/>
                <w:bCs/>
                <w:color w:val="000080"/>
              </w:rPr>
            </w:pPr>
            <w:r w:rsidRPr="005B5A78">
              <w:rPr>
                <w:rFonts w:ascii="Times New Roman" w:hAnsi="Times New Roman"/>
                <w:b/>
                <w:bCs/>
                <w:color w:val="000080"/>
              </w:rPr>
              <w:t xml:space="preserve">2008-2009 </w:t>
            </w:r>
            <w:r w:rsidR="00232623" w:rsidRPr="005B5A78">
              <w:rPr>
                <w:rFonts w:ascii="Times New Roman" w:hAnsi="Times New Roman"/>
                <w:b/>
                <w:bCs/>
                <w:color w:val="000080"/>
              </w:rPr>
              <w:t>Expenses</w:t>
            </w:r>
          </w:p>
        </w:tc>
        <w:tc>
          <w:tcPr>
            <w:tcW w:w="1980" w:type="dxa"/>
            <w:tcBorders>
              <w:bottom w:val="single" w:sz="12" w:space="0" w:color="000000"/>
            </w:tcBorders>
          </w:tcPr>
          <w:p w:rsidR="005D3E85" w:rsidRPr="005B5A78" w:rsidRDefault="005D3E85" w:rsidP="00EC1DE9">
            <w:pPr>
              <w:jc w:val="right"/>
              <w:rPr>
                <w:rFonts w:ascii="Times New Roman" w:hAnsi="Times New Roman"/>
                <w:b/>
                <w:bCs/>
                <w:color w:val="000080"/>
              </w:rPr>
            </w:pPr>
            <w:r w:rsidRPr="005B5A78">
              <w:rPr>
                <w:rFonts w:ascii="Times New Roman" w:hAnsi="Times New Roman"/>
                <w:b/>
                <w:bCs/>
                <w:color w:val="000080"/>
              </w:rPr>
              <w:t>2010-2011 Budget</w:t>
            </w:r>
          </w:p>
        </w:tc>
        <w:tc>
          <w:tcPr>
            <w:tcW w:w="1556" w:type="dxa"/>
            <w:tcBorders>
              <w:bottom w:val="single" w:sz="12" w:space="0" w:color="000000"/>
            </w:tcBorders>
            <w:shd w:val="clear" w:color="auto" w:fill="auto"/>
          </w:tcPr>
          <w:p w:rsidR="005D3E85" w:rsidRPr="005B5A78" w:rsidRDefault="00EC1DE9" w:rsidP="00EC1DE9">
            <w:pPr>
              <w:jc w:val="right"/>
              <w:rPr>
                <w:rFonts w:ascii="Times New Roman" w:hAnsi="Times New Roman"/>
                <w:b/>
                <w:bCs/>
                <w:color w:val="000080"/>
              </w:rPr>
            </w:pPr>
            <w:r w:rsidRPr="005B5A78">
              <w:rPr>
                <w:rFonts w:ascii="Times New Roman" w:hAnsi="Times New Roman"/>
                <w:b/>
                <w:bCs/>
                <w:color w:val="000080"/>
              </w:rPr>
              <w:t>Percent Change</w:t>
            </w:r>
          </w:p>
        </w:tc>
      </w:tr>
      <w:tr w:rsidR="005D3E85" w:rsidRPr="005B5A78" w:rsidTr="00EC1DE9">
        <w:trPr>
          <w:trHeight w:val="291"/>
        </w:trPr>
        <w:tc>
          <w:tcPr>
            <w:tcW w:w="3888" w:type="dxa"/>
            <w:shd w:val="clear" w:color="auto" w:fill="auto"/>
          </w:tcPr>
          <w:p w:rsidR="005D3E85" w:rsidRPr="005B5A78" w:rsidRDefault="005D3E85" w:rsidP="00F81C4E">
            <w:pPr>
              <w:rPr>
                <w:rFonts w:ascii="Times New Roman" w:hAnsi="Times New Roman"/>
              </w:rPr>
            </w:pPr>
            <w:r w:rsidRPr="005B5A78">
              <w:rPr>
                <w:rFonts w:ascii="Times New Roman" w:hAnsi="Times New Roman"/>
              </w:rPr>
              <w:t xml:space="preserve">Residential </w:t>
            </w:r>
          </w:p>
        </w:tc>
        <w:tc>
          <w:tcPr>
            <w:tcW w:w="1890" w:type="dxa"/>
          </w:tcPr>
          <w:p w:rsidR="005D3E85" w:rsidRPr="005B5A78" w:rsidRDefault="005D3E85" w:rsidP="00EC1DE9">
            <w:pPr>
              <w:jc w:val="right"/>
              <w:rPr>
                <w:rFonts w:ascii="Times New Roman" w:hAnsi="Times New Roman"/>
              </w:rPr>
            </w:pPr>
            <w:r w:rsidRPr="005B5A78">
              <w:rPr>
                <w:rFonts w:ascii="Times New Roman" w:hAnsi="Times New Roman"/>
              </w:rPr>
              <w:t>$62,110,882</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$75,303,000</w:t>
            </w:r>
          </w:p>
        </w:tc>
        <w:tc>
          <w:tcPr>
            <w:tcW w:w="1556"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+21%</w:t>
            </w:r>
          </w:p>
        </w:tc>
      </w:tr>
      <w:tr w:rsidR="005D3E85" w:rsidRPr="005B5A78" w:rsidTr="00EC1DE9">
        <w:trPr>
          <w:trHeight w:val="304"/>
        </w:trPr>
        <w:tc>
          <w:tcPr>
            <w:tcW w:w="3888" w:type="dxa"/>
            <w:shd w:val="clear" w:color="auto" w:fill="auto"/>
          </w:tcPr>
          <w:p w:rsidR="005D3E85" w:rsidRPr="005B5A78" w:rsidRDefault="005D3E85" w:rsidP="00F81C4E">
            <w:pPr>
              <w:rPr>
                <w:rFonts w:ascii="Times New Roman" w:hAnsi="Times New Roman"/>
              </w:rPr>
            </w:pPr>
            <w:r w:rsidRPr="005B5A78">
              <w:rPr>
                <w:rFonts w:ascii="Times New Roman" w:hAnsi="Times New Roman"/>
              </w:rPr>
              <w:t xml:space="preserve">Business </w:t>
            </w:r>
          </w:p>
        </w:tc>
        <w:tc>
          <w:tcPr>
            <w:tcW w:w="1890" w:type="dxa"/>
          </w:tcPr>
          <w:p w:rsidR="005D3E85" w:rsidRPr="005B5A78" w:rsidRDefault="005D3E85" w:rsidP="00EC1DE9">
            <w:pPr>
              <w:jc w:val="right"/>
              <w:rPr>
                <w:rFonts w:ascii="Times New Roman" w:hAnsi="Times New Roman"/>
              </w:rPr>
            </w:pPr>
            <w:r w:rsidRPr="005B5A78">
              <w:rPr>
                <w:rFonts w:ascii="Times New Roman" w:hAnsi="Times New Roman"/>
              </w:rPr>
              <w:t>$54,356,657</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$72,375,000</w:t>
            </w:r>
          </w:p>
        </w:tc>
        <w:tc>
          <w:tcPr>
            <w:tcW w:w="1556"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+33%</w:t>
            </w:r>
          </w:p>
        </w:tc>
      </w:tr>
      <w:tr w:rsidR="005D3E85" w:rsidRPr="005B5A78" w:rsidTr="00EC1DE9">
        <w:trPr>
          <w:trHeight w:val="304"/>
        </w:trPr>
        <w:tc>
          <w:tcPr>
            <w:tcW w:w="3888" w:type="dxa"/>
            <w:shd w:val="clear" w:color="auto" w:fill="auto"/>
          </w:tcPr>
          <w:p w:rsidR="005D3E85" w:rsidRPr="005B5A78" w:rsidRDefault="005D3E85" w:rsidP="00F74184">
            <w:pPr>
              <w:rPr>
                <w:rFonts w:ascii="Times New Roman" w:hAnsi="Times New Roman"/>
              </w:rPr>
            </w:pPr>
            <w:r w:rsidRPr="005B5A78">
              <w:rPr>
                <w:rFonts w:ascii="Times New Roman" w:hAnsi="Times New Roman"/>
              </w:rPr>
              <w:t>Regional (NEEA)</w:t>
            </w:r>
          </w:p>
        </w:tc>
        <w:tc>
          <w:tcPr>
            <w:tcW w:w="1890" w:type="dxa"/>
          </w:tcPr>
          <w:p w:rsidR="005D3E85" w:rsidRPr="005B5A78" w:rsidRDefault="005D3E85" w:rsidP="00EC1DE9">
            <w:pPr>
              <w:jc w:val="right"/>
              <w:rPr>
                <w:rFonts w:ascii="Times New Roman" w:hAnsi="Times New Roman"/>
              </w:rPr>
            </w:pPr>
            <w:r w:rsidRPr="005B5A78">
              <w:rPr>
                <w:rFonts w:ascii="Times New Roman" w:hAnsi="Times New Roman"/>
              </w:rPr>
              <w:t>$4,369,347</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$9,250,000</w:t>
            </w:r>
          </w:p>
        </w:tc>
        <w:tc>
          <w:tcPr>
            <w:tcW w:w="1556"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+112%</w:t>
            </w:r>
          </w:p>
        </w:tc>
      </w:tr>
      <w:tr w:rsidR="005D3E85" w:rsidRPr="005B5A78" w:rsidTr="00EC1DE9">
        <w:trPr>
          <w:trHeight w:val="291"/>
        </w:trPr>
        <w:tc>
          <w:tcPr>
            <w:tcW w:w="3888" w:type="dxa"/>
            <w:shd w:val="clear" w:color="auto" w:fill="auto"/>
          </w:tcPr>
          <w:p w:rsidR="005D3E85" w:rsidRPr="005B5A78" w:rsidRDefault="005D3E85" w:rsidP="00F74184">
            <w:pPr>
              <w:rPr>
                <w:rFonts w:ascii="Times New Roman" w:hAnsi="Times New Roman"/>
              </w:rPr>
            </w:pPr>
            <w:r w:rsidRPr="005B5A78">
              <w:rPr>
                <w:rFonts w:ascii="Times New Roman" w:hAnsi="Times New Roman"/>
              </w:rPr>
              <w:t xml:space="preserve">Support </w:t>
            </w:r>
          </w:p>
        </w:tc>
        <w:tc>
          <w:tcPr>
            <w:tcW w:w="1890" w:type="dxa"/>
          </w:tcPr>
          <w:p w:rsidR="005D3E85" w:rsidRPr="005B5A78" w:rsidRDefault="005D3E85" w:rsidP="00EC1DE9">
            <w:pPr>
              <w:jc w:val="right"/>
              <w:rPr>
                <w:rFonts w:ascii="Times New Roman" w:hAnsi="Times New Roman"/>
              </w:rPr>
            </w:pPr>
            <w:r w:rsidRPr="005B5A78">
              <w:rPr>
                <w:rFonts w:ascii="Times New Roman" w:hAnsi="Times New Roman"/>
              </w:rPr>
              <w:t>$</w:t>
            </w:r>
            <w:r w:rsidR="00EC1DE9" w:rsidRPr="005B5A78">
              <w:rPr>
                <w:rFonts w:ascii="Times New Roman" w:hAnsi="Times New Roman"/>
              </w:rPr>
              <w:t>5,342,097</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$7,152,000</w:t>
            </w:r>
          </w:p>
        </w:tc>
        <w:tc>
          <w:tcPr>
            <w:tcW w:w="1556"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+34%</w:t>
            </w:r>
          </w:p>
        </w:tc>
      </w:tr>
      <w:tr w:rsidR="005D3E85" w:rsidRPr="005B5A78" w:rsidTr="00EC1DE9">
        <w:trPr>
          <w:trHeight w:val="291"/>
        </w:trPr>
        <w:tc>
          <w:tcPr>
            <w:tcW w:w="3888" w:type="dxa"/>
            <w:shd w:val="clear" w:color="auto" w:fill="auto"/>
          </w:tcPr>
          <w:p w:rsidR="005D3E85" w:rsidRPr="005B5A78" w:rsidRDefault="005D3E85" w:rsidP="00F74184">
            <w:pPr>
              <w:rPr>
                <w:rFonts w:ascii="Times New Roman" w:hAnsi="Times New Roman"/>
              </w:rPr>
            </w:pPr>
            <w:r w:rsidRPr="005B5A78">
              <w:rPr>
                <w:rFonts w:ascii="Times New Roman" w:hAnsi="Times New Roman"/>
              </w:rPr>
              <w:t>Other Programs</w:t>
            </w:r>
          </w:p>
        </w:tc>
        <w:tc>
          <w:tcPr>
            <w:tcW w:w="1890" w:type="dxa"/>
          </w:tcPr>
          <w:p w:rsidR="005D3E85" w:rsidRPr="005B5A78" w:rsidRDefault="005D3E85" w:rsidP="00EC1DE9">
            <w:pPr>
              <w:jc w:val="right"/>
              <w:rPr>
                <w:rFonts w:ascii="Times New Roman" w:hAnsi="Times New Roman"/>
              </w:rPr>
            </w:pPr>
            <w:r w:rsidRPr="005B5A78">
              <w:rPr>
                <w:rFonts w:ascii="Times New Roman" w:hAnsi="Times New Roman"/>
              </w:rPr>
              <w:t>$</w:t>
            </w:r>
            <w:r w:rsidR="00EC1DE9" w:rsidRPr="005B5A78">
              <w:rPr>
                <w:rFonts w:ascii="Times New Roman" w:hAnsi="Times New Roman"/>
              </w:rPr>
              <w:t>2,960,335</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$2,730,000</w:t>
            </w:r>
          </w:p>
        </w:tc>
        <w:tc>
          <w:tcPr>
            <w:tcW w:w="1556"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-8%</w:t>
            </w:r>
          </w:p>
        </w:tc>
      </w:tr>
      <w:tr w:rsidR="005D3E85" w:rsidRPr="005B5A78" w:rsidTr="00EC1DE9">
        <w:trPr>
          <w:trHeight w:val="291"/>
        </w:trPr>
        <w:tc>
          <w:tcPr>
            <w:tcW w:w="3888" w:type="dxa"/>
            <w:shd w:val="clear" w:color="auto" w:fill="auto"/>
          </w:tcPr>
          <w:p w:rsidR="005D3E85" w:rsidRPr="005B5A78" w:rsidRDefault="005D3E85" w:rsidP="00F74184">
            <w:pPr>
              <w:rPr>
                <w:rFonts w:ascii="Times New Roman" w:hAnsi="Times New Roman"/>
                <w:b/>
              </w:rPr>
            </w:pPr>
            <w:r w:rsidRPr="005B5A78">
              <w:rPr>
                <w:rFonts w:ascii="Times New Roman" w:hAnsi="Times New Roman"/>
                <w:b/>
              </w:rPr>
              <w:t>Total</w:t>
            </w:r>
          </w:p>
        </w:tc>
        <w:tc>
          <w:tcPr>
            <w:tcW w:w="1890" w:type="dxa"/>
          </w:tcPr>
          <w:p w:rsidR="005D3E85" w:rsidRPr="005B5A78" w:rsidRDefault="005D3E85" w:rsidP="00EC1DE9">
            <w:pPr>
              <w:jc w:val="right"/>
              <w:rPr>
                <w:rFonts w:ascii="Times New Roman" w:hAnsi="Times New Roman"/>
                <w:b/>
              </w:rPr>
            </w:pPr>
            <w:r w:rsidRPr="005B5A78">
              <w:rPr>
                <w:rFonts w:ascii="Times New Roman" w:hAnsi="Times New Roman"/>
                <w:b/>
              </w:rPr>
              <w:t>$</w:t>
            </w:r>
            <w:r w:rsidR="00EC1DE9" w:rsidRPr="005B5A78">
              <w:rPr>
                <w:rFonts w:ascii="Times New Roman" w:hAnsi="Times New Roman"/>
                <w:b/>
              </w:rPr>
              <w:t>129,139,318</w:t>
            </w:r>
          </w:p>
        </w:tc>
        <w:tc>
          <w:tcPr>
            <w:tcW w:w="1980" w:type="dxa"/>
          </w:tcPr>
          <w:p w:rsidR="005D3E85" w:rsidRPr="005B5A78" w:rsidRDefault="005D3E85" w:rsidP="00EC1DE9">
            <w:pPr>
              <w:jc w:val="right"/>
              <w:rPr>
                <w:rFonts w:ascii="Times New Roman" w:hAnsi="Times New Roman"/>
                <w:b/>
              </w:rPr>
            </w:pPr>
            <w:r w:rsidRPr="005B5A78">
              <w:rPr>
                <w:rFonts w:ascii="Times New Roman" w:hAnsi="Times New Roman"/>
                <w:b/>
              </w:rPr>
              <w:t>$166,810,000</w:t>
            </w:r>
          </w:p>
        </w:tc>
        <w:tc>
          <w:tcPr>
            <w:tcW w:w="1556" w:type="dxa"/>
            <w:shd w:val="clear" w:color="auto" w:fill="auto"/>
          </w:tcPr>
          <w:p w:rsidR="005D3E85" w:rsidRPr="005B5A78" w:rsidRDefault="00EC1DE9" w:rsidP="00EC1DE9">
            <w:pPr>
              <w:jc w:val="right"/>
              <w:rPr>
                <w:rFonts w:ascii="Times New Roman" w:hAnsi="Times New Roman"/>
                <w:b/>
              </w:rPr>
            </w:pPr>
            <w:r w:rsidRPr="005B5A78">
              <w:rPr>
                <w:rFonts w:ascii="Times New Roman" w:hAnsi="Times New Roman"/>
                <w:b/>
              </w:rPr>
              <w:t>+29%</w:t>
            </w:r>
          </w:p>
        </w:tc>
      </w:tr>
    </w:tbl>
    <w:p w:rsidR="00DD02C9" w:rsidRPr="005B5A78" w:rsidRDefault="00DD02C9" w:rsidP="00DD02C9">
      <w:pPr>
        <w:rPr>
          <w:rFonts w:ascii="Times New Roman" w:hAnsi="Times New Roman"/>
        </w:rPr>
      </w:pPr>
    </w:p>
    <w:p w:rsidR="00A8659E" w:rsidRPr="005B5A78" w:rsidRDefault="00A8659E" w:rsidP="00A8659E">
      <w:pPr>
        <w:pStyle w:val="NoSpacing"/>
        <w:rPr>
          <w:szCs w:val="24"/>
        </w:rPr>
      </w:pPr>
      <w:r w:rsidRPr="005B5A78">
        <w:rPr>
          <w:szCs w:val="24"/>
        </w:rPr>
        <w:t>The company’s analysis of its proposed electric portfolio cost-effectiveness results in a Utility Cost test ratio of 3.24, and a Total Resource cost test ratio of 2.</w:t>
      </w:r>
      <w:r w:rsidRPr="005B5A78">
        <w:rPr>
          <w:rStyle w:val="FootnoteReference"/>
          <w:szCs w:val="24"/>
        </w:rPr>
        <w:footnoteReference w:id="3"/>
      </w:r>
      <w:r w:rsidRPr="005B5A78">
        <w:rPr>
          <w:szCs w:val="24"/>
        </w:rPr>
        <w:t xml:space="preserve"> Although historically staff has evaluated programs at the</w:t>
      </w:r>
      <w:r w:rsidR="002A185A" w:rsidRPr="005B5A78">
        <w:rPr>
          <w:szCs w:val="24"/>
        </w:rPr>
        <w:t xml:space="preserve"> residential or business</w:t>
      </w:r>
      <w:r w:rsidRPr="005B5A78">
        <w:rPr>
          <w:szCs w:val="24"/>
        </w:rPr>
        <w:t xml:space="preserve"> sector level,</w:t>
      </w:r>
      <w:r w:rsidR="002A185A" w:rsidRPr="005B5A78">
        <w:rPr>
          <w:rStyle w:val="FootnoteReference"/>
          <w:szCs w:val="24"/>
        </w:rPr>
        <w:footnoteReference w:id="4"/>
      </w:r>
      <w:r w:rsidRPr="005B5A78">
        <w:rPr>
          <w:szCs w:val="24"/>
        </w:rPr>
        <w:t xml:space="preserve"> staff is concerned about the poor results projected for</w:t>
      </w:r>
      <w:r w:rsidR="008C060F" w:rsidRPr="005B5A78">
        <w:rPr>
          <w:szCs w:val="24"/>
        </w:rPr>
        <w:t xml:space="preserve"> the Home Energy Reports pilot.</w:t>
      </w:r>
      <w:r w:rsidRPr="005B5A78">
        <w:rPr>
          <w:szCs w:val="24"/>
        </w:rPr>
        <w:t xml:space="preserve"> The company ran this pilot last year on a much smaller basis, and is expanding the pilot this</w:t>
      </w:r>
      <w:r w:rsidR="008C060F" w:rsidRPr="005B5A78">
        <w:rPr>
          <w:szCs w:val="24"/>
        </w:rPr>
        <w:t xml:space="preserve"> year</w:t>
      </w:r>
      <w:r w:rsidR="006A1143">
        <w:rPr>
          <w:szCs w:val="24"/>
        </w:rPr>
        <w:t>, even though the evaluation report prepared by the company actually suggested removing participants rather than increasing participants. The company continues to study</w:t>
      </w:r>
      <w:r w:rsidR="001438C9" w:rsidRPr="005B5A78">
        <w:rPr>
          <w:szCs w:val="24"/>
        </w:rPr>
        <w:t xml:space="preserve"> the potential for double-counting under this program</w:t>
      </w:r>
      <w:r w:rsidR="006A1143">
        <w:rPr>
          <w:szCs w:val="24"/>
        </w:rPr>
        <w:t>, which is a significant concern for staff.</w:t>
      </w:r>
      <w:r w:rsidR="00894608" w:rsidRPr="005B5A78">
        <w:rPr>
          <w:szCs w:val="24"/>
        </w:rPr>
        <w:t xml:space="preserve"> </w:t>
      </w:r>
      <w:r w:rsidR="00DF3F1E">
        <w:rPr>
          <w:szCs w:val="24"/>
        </w:rPr>
        <w:t xml:space="preserve">Staff is also concerned by the significant increase in NEEA spending. </w:t>
      </w:r>
      <w:r w:rsidR="00894608" w:rsidRPr="005B5A78">
        <w:rPr>
          <w:szCs w:val="24"/>
        </w:rPr>
        <w:t xml:space="preserve">Staff believes continued investigation of the company’s </w:t>
      </w:r>
      <w:r w:rsidR="00715D20" w:rsidRPr="005B5A78">
        <w:rPr>
          <w:szCs w:val="24"/>
        </w:rPr>
        <w:t xml:space="preserve">proposed electric conservation </w:t>
      </w:r>
      <w:r w:rsidR="00894608" w:rsidRPr="005B5A78">
        <w:t>program descriptions, budgets, cost-effectiveness, and evaluation as described in Appendices A, B, C, and D to the company’s tariffs is necessary in preparation for the rate filing the company will make in March 2010.</w:t>
      </w:r>
    </w:p>
    <w:p w:rsidR="00A8659E" w:rsidRPr="005B5A78" w:rsidRDefault="00A8659E" w:rsidP="00DD02C9">
      <w:pPr>
        <w:rPr>
          <w:rFonts w:ascii="Times New Roman" w:hAnsi="Times New Roman"/>
        </w:rPr>
      </w:pPr>
    </w:p>
    <w:p w:rsidR="00DD02C9" w:rsidRPr="005B5A78" w:rsidRDefault="003B750B" w:rsidP="00DD02C9">
      <w:pPr>
        <w:rPr>
          <w:rFonts w:ascii="Times New Roman" w:hAnsi="Times New Roman"/>
        </w:rPr>
      </w:pPr>
      <w:r w:rsidRPr="005B5A78">
        <w:rPr>
          <w:rFonts w:ascii="Times New Roman" w:hAnsi="Times New Roman"/>
        </w:rPr>
        <w:t xml:space="preserve">All of the programs are funded through the </w:t>
      </w:r>
      <w:r w:rsidR="00333EB4" w:rsidRPr="005B5A78">
        <w:rPr>
          <w:rFonts w:ascii="Times New Roman" w:hAnsi="Times New Roman"/>
        </w:rPr>
        <w:t>c</w:t>
      </w:r>
      <w:r w:rsidRPr="005B5A78">
        <w:rPr>
          <w:rFonts w:ascii="Times New Roman" w:hAnsi="Times New Roman"/>
        </w:rPr>
        <w:t>ompany’s co</w:t>
      </w:r>
      <w:r w:rsidR="008C060F" w:rsidRPr="005B5A78">
        <w:rPr>
          <w:rFonts w:ascii="Times New Roman" w:hAnsi="Times New Roman"/>
        </w:rPr>
        <w:t>nservation rider Schedule 12</w:t>
      </w:r>
      <w:r w:rsidR="00D80B11" w:rsidRPr="005B5A78">
        <w:rPr>
          <w:rFonts w:ascii="Times New Roman" w:hAnsi="Times New Roman"/>
        </w:rPr>
        <w:t>0</w:t>
      </w:r>
      <w:r w:rsidR="008C060F" w:rsidRPr="005B5A78">
        <w:rPr>
          <w:rFonts w:ascii="Times New Roman" w:hAnsi="Times New Roman"/>
        </w:rPr>
        <w:t xml:space="preserve">. </w:t>
      </w:r>
      <w:r w:rsidRPr="005B5A78">
        <w:rPr>
          <w:rFonts w:ascii="Times New Roman" w:hAnsi="Times New Roman"/>
        </w:rPr>
        <w:t xml:space="preserve">The company will make a filing in </w:t>
      </w:r>
      <w:r w:rsidR="002A1F18" w:rsidRPr="005B5A78">
        <w:rPr>
          <w:rFonts w:ascii="Times New Roman" w:hAnsi="Times New Roman"/>
        </w:rPr>
        <w:t>March</w:t>
      </w:r>
      <w:r w:rsidRPr="005B5A78">
        <w:rPr>
          <w:rFonts w:ascii="Times New Roman" w:hAnsi="Times New Roman"/>
        </w:rPr>
        <w:t xml:space="preserve"> 2010</w:t>
      </w:r>
      <w:r w:rsidR="003E75C4" w:rsidRPr="005B5A78">
        <w:rPr>
          <w:rFonts w:ascii="Times New Roman" w:hAnsi="Times New Roman"/>
        </w:rPr>
        <w:t>,</w:t>
      </w:r>
      <w:r w:rsidRPr="005B5A78">
        <w:rPr>
          <w:rFonts w:ascii="Times New Roman" w:hAnsi="Times New Roman"/>
        </w:rPr>
        <w:t xml:space="preserve"> that will incorporate the increased budget submitted with this fil</w:t>
      </w:r>
      <w:r w:rsidR="008C060F" w:rsidRPr="005B5A78">
        <w:rPr>
          <w:rFonts w:ascii="Times New Roman" w:hAnsi="Times New Roman"/>
        </w:rPr>
        <w:t xml:space="preserve">ing into the company’s tariff. </w:t>
      </w:r>
      <w:r w:rsidR="002A1F18" w:rsidRPr="005B5A78">
        <w:rPr>
          <w:rFonts w:ascii="Times New Roman" w:hAnsi="Times New Roman"/>
        </w:rPr>
        <w:t>When t</w:t>
      </w:r>
      <w:r w:rsidR="00DD02C9" w:rsidRPr="005B5A78">
        <w:rPr>
          <w:rFonts w:ascii="Times New Roman" w:hAnsi="Times New Roman"/>
        </w:rPr>
        <w:t xml:space="preserve">hese </w:t>
      </w:r>
      <w:r w:rsidR="00155D6A" w:rsidRPr="005B5A78">
        <w:rPr>
          <w:rFonts w:ascii="Times New Roman" w:hAnsi="Times New Roman"/>
        </w:rPr>
        <w:t>increases</w:t>
      </w:r>
      <w:r w:rsidR="002A1F18" w:rsidRPr="005B5A78">
        <w:rPr>
          <w:rFonts w:ascii="Times New Roman" w:hAnsi="Times New Roman"/>
        </w:rPr>
        <w:t xml:space="preserve"> are filed,</w:t>
      </w:r>
      <w:r w:rsidR="00DD02C9" w:rsidRPr="005B5A78">
        <w:rPr>
          <w:rFonts w:ascii="Times New Roman" w:hAnsi="Times New Roman"/>
        </w:rPr>
        <w:t xml:space="preserve"> the </w:t>
      </w:r>
      <w:r w:rsidR="00AF3F19" w:rsidRPr="005B5A78">
        <w:rPr>
          <w:rFonts w:ascii="Times New Roman" w:hAnsi="Times New Roman"/>
        </w:rPr>
        <w:t>conservation program</w:t>
      </w:r>
      <w:r w:rsidR="00DD02C9" w:rsidRPr="005B5A78">
        <w:rPr>
          <w:rFonts w:ascii="Times New Roman" w:hAnsi="Times New Roman"/>
        </w:rPr>
        <w:t xml:space="preserve"> </w:t>
      </w:r>
      <w:r w:rsidR="002A1F18" w:rsidRPr="005B5A78">
        <w:rPr>
          <w:rFonts w:ascii="Times New Roman" w:hAnsi="Times New Roman"/>
        </w:rPr>
        <w:t xml:space="preserve">will </w:t>
      </w:r>
      <w:r w:rsidR="007D5945" w:rsidRPr="005B5A78">
        <w:rPr>
          <w:rFonts w:ascii="Times New Roman" w:hAnsi="Times New Roman"/>
        </w:rPr>
        <w:t>have increased from about 2.7</w:t>
      </w:r>
      <w:r w:rsidR="00DD02C9" w:rsidRPr="005B5A78">
        <w:rPr>
          <w:rFonts w:ascii="Times New Roman" w:hAnsi="Times New Roman"/>
        </w:rPr>
        <w:t xml:space="preserve"> percent of PSE’s electric revenue in </w:t>
      </w:r>
      <w:r w:rsidR="007D5945" w:rsidRPr="005B5A78">
        <w:rPr>
          <w:rFonts w:ascii="Times New Roman" w:hAnsi="Times New Roman"/>
        </w:rPr>
        <w:t>200</w:t>
      </w:r>
      <w:r w:rsidR="003E75C4" w:rsidRPr="005B5A78">
        <w:rPr>
          <w:rFonts w:ascii="Times New Roman" w:hAnsi="Times New Roman"/>
        </w:rPr>
        <w:t>9</w:t>
      </w:r>
      <w:r w:rsidR="007D5945" w:rsidRPr="005B5A78">
        <w:rPr>
          <w:rFonts w:ascii="Times New Roman" w:hAnsi="Times New Roman"/>
        </w:rPr>
        <w:t xml:space="preserve"> to 3.9 percent in 2010</w:t>
      </w:r>
      <w:r w:rsidR="00DD02C9" w:rsidRPr="005B5A78">
        <w:rPr>
          <w:rFonts w:ascii="Times New Roman" w:hAnsi="Times New Roman"/>
        </w:rPr>
        <w:t>.</w:t>
      </w:r>
    </w:p>
    <w:p w:rsidR="00DD02C9" w:rsidRPr="005B5A78" w:rsidRDefault="00DD02C9" w:rsidP="00DD02C9">
      <w:pPr>
        <w:rPr>
          <w:rFonts w:ascii="Times New Roman" w:hAnsi="Times New Roman"/>
        </w:rPr>
      </w:pPr>
    </w:p>
    <w:p w:rsidR="00DF3F1E" w:rsidRDefault="00DF3F1E" w:rsidP="00DD02C9">
      <w:pPr>
        <w:rPr>
          <w:rFonts w:ascii="Times New Roman" w:hAnsi="Times New Roman"/>
          <w:b/>
          <w:u w:val="single"/>
        </w:rPr>
      </w:pPr>
    </w:p>
    <w:p w:rsidR="00DF3F1E" w:rsidRDefault="00DF3F1E" w:rsidP="00DD02C9">
      <w:pPr>
        <w:rPr>
          <w:rFonts w:ascii="Times New Roman" w:hAnsi="Times New Roman"/>
          <w:b/>
          <w:u w:val="single"/>
        </w:rPr>
      </w:pPr>
    </w:p>
    <w:p w:rsidR="00DD02C9" w:rsidRPr="005B5A78" w:rsidRDefault="00DD02C9" w:rsidP="00DD02C9">
      <w:pPr>
        <w:rPr>
          <w:rFonts w:ascii="Times New Roman" w:hAnsi="Times New Roman"/>
          <w:b/>
          <w:u w:val="single"/>
        </w:rPr>
      </w:pPr>
      <w:r w:rsidRPr="005B5A78">
        <w:rPr>
          <w:rFonts w:ascii="Times New Roman" w:hAnsi="Times New Roman"/>
          <w:b/>
          <w:u w:val="single"/>
        </w:rPr>
        <w:lastRenderedPageBreak/>
        <w:t xml:space="preserve">Natural Gas </w:t>
      </w:r>
      <w:r w:rsidR="00AF3F19" w:rsidRPr="005B5A78">
        <w:rPr>
          <w:rFonts w:ascii="Times New Roman" w:hAnsi="Times New Roman"/>
          <w:b/>
          <w:u w:val="single"/>
        </w:rPr>
        <w:t>Conservation</w:t>
      </w:r>
      <w:r w:rsidRPr="005B5A78">
        <w:rPr>
          <w:rFonts w:ascii="Times New Roman" w:hAnsi="Times New Roman"/>
          <w:b/>
          <w:u w:val="single"/>
        </w:rPr>
        <w:t xml:space="preserve"> Program Changes</w:t>
      </w:r>
    </w:p>
    <w:p w:rsidR="00DD02C9" w:rsidRPr="005B5A78" w:rsidRDefault="00DD02C9" w:rsidP="00DD02C9">
      <w:pPr>
        <w:rPr>
          <w:rFonts w:ascii="Times New Roman" w:hAnsi="Times New Roman"/>
        </w:rPr>
      </w:pPr>
    </w:p>
    <w:p w:rsidR="003B750B" w:rsidRPr="005B5A78" w:rsidRDefault="003B750B" w:rsidP="003B750B">
      <w:pPr>
        <w:pStyle w:val="NoSpacing"/>
        <w:rPr>
          <w:szCs w:val="24"/>
        </w:rPr>
      </w:pPr>
      <w:r w:rsidRPr="005B5A78">
        <w:rPr>
          <w:szCs w:val="24"/>
        </w:rPr>
        <w:t>PSE is proposing a 12</w:t>
      </w:r>
      <w:r w:rsidR="00333EB4" w:rsidRPr="005B5A78">
        <w:rPr>
          <w:szCs w:val="24"/>
        </w:rPr>
        <w:t xml:space="preserve"> percent</w:t>
      </w:r>
      <w:r w:rsidRPr="005B5A78">
        <w:rPr>
          <w:szCs w:val="24"/>
        </w:rPr>
        <w:t xml:space="preserve"> increase in its two-year natural gas conserv</w:t>
      </w:r>
      <w:r w:rsidR="00155D6A" w:rsidRPr="005B5A78">
        <w:rPr>
          <w:szCs w:val="24"/>
        </w:rPr>
        <w:t>ation budget, increasing from $29.9 million to $33.4</w:t>
      </w:r>
      <w:r w:rsidR="008C060F" w:rsidRPr="005B5A78">
        <w:rPr>
          <w:szCs w:val="24"/>
        </w:rPr>
        <w:t xml:space="preserve"> million.</w:t>
      </w:r>
      <w:r w:rsidRPr="005B5A78">
        <w:rPr>
          <w:szCs w:val="24"/>
        </w:rPr>
        <w:t xml:space="preserve"> The </w:t>
      </w:r>
      <w:r w:rsidR="00333EB4" w:rsidRPr="005B5A78">
        <w:rPr>
          <w:szCs w:val="24"/>
        </w:rPr>
        <w:t>c</w:t>
      </w:r>
      <w:r w:rsidRPr="005B5A78">
        <w:rPr>
          <w:szCs w:val="24"/>
        </w:rPr>
        <w:t xml:space="preserve">ompany is establishing a natural gas conservation acquisition target of 9,054,000 therms for the 2010-2011 time period. </w:t>
      </w:r>
      <w:r w:rsidR="00155D6A" w:rsidRPr="005B5A78">
        <w:rPr>
          <w:szCs w:val="24"/>
        </w:rPr>
        <w:t>This is an increase of about 82 percent for commercial program</w:t>
      </w:r>
      <w:r w:rsidR="003E75C4" w:rsidRPr="005B5A78">
        <w:rPr>
          <w:szCs w:val="24"/>
        </w:rPr>
        <w:t xml:space="preserve"> therm </w:t>
      </w:r>
      <w:r w:rsidR="00155D6A" w:rsidRPr="005B5A78">
        <w:rPr>
          <w:szCs w:val="24"/>
        </w:rPr>
        <w:t>s</w:t>
      </w:r>
      <w:r w:rsidR="003E75C4" w:rsidRPr="005B5A78">
        <w:rPr>
          <w:szCs w:val="24"/>
        </w:rPr>
        <w:t>avings</w:t>
      </w:r>
      <w:r w:rsidR="00155D6A" w:rsidRPr="005B5A78">
        <w:rPr>
          <w:szCs w:val="24"/>
        </w:rPr>
        <w:t xml:space="preserve"> and about 23 percent for residential program</w:t>
      </w:r>
      <w:r w:rsidR="003E75C4" w:rsidRPr="005B5A78">
        <w:rPr>
          <w:szCs w:val="24"/>
        </w:rPr>
        <w:t xml:space="preserve"> therm </w:t>
      </w:r>
      <w:r w:rsidR="00155D6A" w:rsidRPr="005B5A78">
        <w:rPr>
          <w:szCs w:val="24"/>
        </w:rPr>
        <w:t>s</w:t>
      </w:r>
      <w:r w:rsidR="003E75C4" w:rsidRPr="005B5A78">
        <w:rPr>
          <w:szCs w:val="24"/>
        </w:rPr>
        <w:t>avings</w:t>
      </w:r>
      <w:r w:rsidR="00155D6A" w:rsidRPr="005B5A78">
        <w:rPr>
          <w:szCs w:val="24"/>
        </w:rPr>
        <w:t xml:space="preserve">. </w:t>
      </w:r>
      <w:r w:rsidR="001438C9" w:rsidRPr="005B5A78">
        <w:rPr>
          <w:szCs w:val="24"/>
        </w:rPr>
        <w:t>The company’s analysis of its proposed natural gas portfolio cost-effectiveness results in a Utility Cost test ratio of 3.16, and a Total Resource cost test ratio of 1.69.</w:t>
      </w:r>
      <w:r w:rsidR="002A185A" w:rsidRPr="005B5A78">
        <w:rPr>
          <w:szCs w:val="24"/>
        </w:rPr>
        <w:t xml:space="preserve"> Staff’s preliminary analysis shows that the company’s proposed natural gas programs without savings attributed to them will exceed 10 percent of the company’s sector-specific budget.</w:t>
      </w:r>
      <w:r w:rsidR="002A185A" w:rsidRPr="005B5A78">
        <w:rPr>
          <w:rStyle w:val="FootnoteReference"/>
          <w:szCs w:val="24"/>
        </w:rPr>
        <w:footnoteReference w:id="5"/>
      </w:r>
      <w:r w:rsidR="002A185A" w:rsidRPr="005B5A78">
        <w:rPr>
          <w:szCs w:val="24"/>
        </w:rPr>
        <w:t xml:space="preserve"> Staff believes</w:t>
      </w:r>
      <w:r w:rsidR="00CA4C37">
        <w:rPr>
          <w:szCs w:val="24"/>
        </w:rPr>
        <w:t xml:space="preserve"> additional investigation into</w:t>
      </w:r>
      <w:r w:rsidR="002A185A" w:rsidRPr="005B5A78">
        <w:rPr>
          <w:szCs w:val="24"/>
        </w:rPr>
        <w:t xml:space="preserve"> the </w:t>
      </w:r>
      <w:r w:rsidR="00715D20" w:rsidRPr="005B5A78">
        <w:rPr>
          <w:szCs w:val="24"/>
        </w:rPr>
        <w:t xml:space="preserve">proposed </w:t>
      </w:r>
      <w:r w:rsidR="002A185A" w:rsidRPr="005B5A78">
        <w:rPr>
          <w:szCs w:val="24"/>
        </w:rPr>
        <w:t>natural gas conservation program descriptions</w:t>
      </w:r>
      <w:r w:rsidR="00715D20" w:rsidRPr="005B5A78">
        <w:rPr>
          <w:szCs w:val="24"/>
        </w:rPr>
        <w:t>,</w:t>
      </w:r>
      <w:r w:rsidR="002A185A" w:rsidRPr="005B5A78">
        <w:rPr>
          <w:szCs w:val="24"/>
        </w:rPr>
        <w:t xml:space="preserve"> budgets</w:t>
      </w:r>
      <w:r w:rsidR="00715D20" w:rsidRPr="005B5A78">
        <w:rPr>
          <w:szCs w:val="24"/>
        </w:rPr>
        <w:t>,</w:t>
      </w:r>
      <w:r w:rsidR="002A185A" w:rsidRPr="005B5A78">
        <w:rPr>
          <w:szCs w:val="24"/>
        </w:rPr>
        <w:t xml:space="preserve"> </w:t>
      </w:r>
      <w:r w:rsidR="00715D20" w:rsidRPr="005B5A78">
        <w:t>cost-effectiveness, and evaluation as described in Appendices A, B, C, and D to the company’s tariffs is necessary in preparation for the rate filing the company will make in March 2010</w:t>
      </w:r>
      <w:r w:rsidR="002A185A" w:rsidRPr="005B5A78">
        <w:rPr>
          <w:szCs w:val="24"/>
        </w:rPr>
        <w:t>.</w:t>
      </w:r>
    </w:p>
    <w:p w:rsidR="003B750B" w:rsidRPr="005B5A78" w:rsidRDefault="003B750B" w:rsidP="003B750B">
      <w:pPr>
        <w:rPr>
          <w:rFonts w:ascii="Times New Roman" w:hAnsi="Times New Roman"/>
        </w:rPr>
      </w:pPr>
    </w:p>
    <w:tbl>
      <w:tblPr>
        <w:tblW w:w="9138" w:type="dxa"/>
        <w:tblBorders>
          <w:top w:val="single" w:sz="12" w:space="0" w:color="000000"/>
          <w:bottom w:val="single" w:sz="12" w:space="0" w:color="000000"/>
          <w:insideH w:val="single" w:sz="6" w:space="0" w:color="000000"/>
        </w:tblBorders>
        <w:tblLook w:val="04A0"/>
      </w:tblPr>
      <w:tblGrid>
        <w:gridCol w:w="3798"/>
        <w:gridCol w:w="1710"/>
        <w:gridCol w:w="1980"/>
        <w:gridCol w:w="1650"/>
      </w:tblGrid>
      <w:tr w:rsidR="005D3E85" w:rsidRPr="005B5A78" w:rsidTr="00EC1DE9">
        <w:trPr>
          <w:trHeight w:val="289"/>
        </w:trPr>
        <w:tc>
          <w:tcPr>
            <w:tcW w:w="3798" w:type="dxa"/>
            <w:tcBorders>
              <w:bottom w:val="single" w:sz="12" w:space="0" w:color="000000"/>
            </w:tcBorders>
            <w:shd w:val="clear" w:color="auto" w:fill="auto"/>
          </w:tcPr>
          <w:p w:rsidR="005D3E85" w:rsidRPr="005B5A78" w:rsidRDefault="005D3E85" w:rsidP="00F74184">
            <w:pPr>
              <w:rPr>
                <w:rFonts w:ascii="Times New Roman" w:hAnsi="Times New Roman"/>
                <w:b/>
                <w:bCs/>
                <w:color w:val="000080"/>
              </w:rPr>
            </w:pPr>
            <w:r w:rsidRPr="005B5A78">
              <w:rPr>
                <w:rFonts w:ascii="Times New Roman" w:hAnsi="Times New Roman"/>
                <w:b/>
                <w:bCs/>
                <w:color w:val="000080"/>
              </w:rPr>
              <w:t>Natural Gas Efficiency Services</w:t>
            </w:r>
          </w:p>
        </w:tc>
        <w:tc>
          <w:tcPr>
            <w:tcW w:w="1710" w:type="dxa"/>
            <w:tcBorders>
              <w:bottom w:val="single" w:sz="12" w:space="0" w:color="000000"/>
            </w:tcBorders>
          </w:tcPr>
          <w:p w:rsidR="005D3E85" w:rsidRPr="005B5A78" w:rsidRDefault="005D3E85" w:rsidP="00232623">
            <w:pPr>
              <w:jc w:val="right"/>
              <w:rPr>
                <w:rFonts w:ascii="Times New Roman" w:hAnsi="Times New Roman"/>
                <w:b/>
                <w:bCs/>
                <w:color w:val="000080"/>
              </w:rPr>
            </w:pPr>
            <w:r w:rsidRPr="005B5A78">
              <w:rPr>
                <w:rFonts w:ascii="Times New Roman" w:hAnsi="Times New Roman"/>
                <w:b/>
                <w:bCs/>
                <w:color w:val="000080"/>
              </w:rPr>
              <w:t xml:space="preserve">2008-2009 </w:t>
            </w:r>
            <w:r w:rsidR="00232623" w:rsidRPr="005B5A78">
              <w:rPr>
                <w:rFonts w:ascii="Times New Roman" w:hAnsi="Times New Roman"/>
                <w:b/>
                <w:bCs/>
                <w:color w:val="000080"/>
              </w:rPr>
              <w:t>Expenses</w:t>
            </w:r>
          </w:p>
        </w:tc>
        <w:tc>
          <w:tcPr>
            <w:tcW w:w="1980" w:type="dxa"/>
            <w:tcBorders>
              <w:bottom w:val="single" w:sz="12" w:space="0" w:color="000000"/>
            </w:tcBorders>
          </w:tcPr>
          <w:p w:rsidR="005D3E85" w:rsidRPr="005B5A78" w:rsidRDefault="005D3E85" w:rsidP="00EC1DE9">
            <w:pPr>
              <w:jc w:val="right"/>
              <w:rPr>
                <w:rFonts w:ascii="Times New Roman" w:hAnsi="Times New Roman"/>
                <w:b/>
                <w:bCs/>
                <w:color w:val="000080"/>
              </w:rPr>
            </w:pPr>
            <w:r w:rsidRPr="005B5A78">
              <w:rPr>
                <w:rFonts w:ascii="Times New Roman" w:hAnsi="Times New Roman"/>
                <w:b/>
                <w:bCs/>
                <w:color w:val="000080"/>
              </w:rPr>
              <w:t>2010-2011 Budget</w:t>
            </w:r>
          </w:p>
        </w:tc>
        <w:tc>
          <w:tcPr>
            <w:tcW w:w="1650" w:type="dxa"/>
            <w:tcBorders>
              <w:bottom w:val="single" w:sz="12" w:space="0" w:color="000000"/>
            </w:tcBorders>
            <w:shd w:val="clear" w:color="auto" w:fill="auto"/>
          </w:tcPr>
          <w:p w:rsidR="005D3E85" w:rsidRPr="005B5A78" w:rsidRDefault="005D3E85" w:rsidP="00EC1DE9">
            <w:pPr>
              <w:jc w:val="right"/>
              <w:rPr>
                <w:rFonts w:ascii="Times New Roman" w:hAnsi="Times New Roman"/>
                <w:b/>
                <w:bCs/>
                <w:color w:val="000080"/>
              </w:rPr>
            </w:pPr>
            <w:r w:rsidRPr="005B5A78">
              <w:rPr>
                <w:rFonts w:ascii="Times New Roman" w:hAnsi="Times New Roman"/>
                <w:b/>
                <w:bCs/>
                <w:color w:val="000080"/>
              </w:rPr>
              <w:t xml:space="preserve">Percent </w:t>
            </w:r>
            <w:r w:rsidR="00EC1DE9" w:rsidRPr="005B5A78">
              <w:rPr>
                <w:rFonts w:ascii="Times New Roman" w:hAnsi="Times New Roman"/>
                <w:b/>
                <w:bCs/>
                <w:color w:val="000080"/>
              </w:rPr>
              <w:t>Change</w:t>
            </w:r>
          </w:p>
        </w:tc>
      </w:tr>
      <w:tr w:rsidR="005D3E85" w:rsidRPr="005B5A78" w:rsidTr="00EC1DE9">
        <w:trPr>
          <w:trHeight w:val="289"/>
        </w:trPr>
        <w:tc>
          <w:tcPr>
            <w:tcW w:w="3798" w:type="dxa"/>
            <w:shd w:val="clear" w:color="auto" w:fill="auto"/>
          </w:tcPr>
          <w:p w:rsidR="005D3E85" w:rsidRPr="005B5A78" w:rsidRDefault="005D3E85" w:rsidP="00F81C4E">
            <w:pPr>
              <w:rPr>
                <w:rFonts w:ascii="Times New Roman" w:hAnsi="Times New Roman"/>
              </w:rPr>
            </w:pPr>
            <w:r w:rsidRPr="005B5A78">
              <w:rPr>
                <w:rFonts w:ascii="Times New Roman" w:hAnsi="Times New Roman"/>
              </w:rPr>
              <w:t xml:space="preserve">Residential </w:t>
            </w:r>
          </w:p>
        </w:tc>
        <w:tc>
          <w:tcPr>
            <w:tcW w:w="1710" w:type="dxa"/>
          </w:tcPr>
          <w:p w:rsidR="005D3E85" w:rsidRPr="005B5A78" w:rsidRDefault="005D3E85" w:rsidP="00EC1DE9">
            <w:pPr>
              <w:jc w:val="right"/>
              <w:rPr>
                <w:rFonts w:ascii="Times New Roman" w:hAnsi="Times New Roman"/>
              </w:rPr>
            </w:pPr>
            <w:r w:rsidRPr="005B5A78">
              <w:rPr>
                <w:rFonts w:ascii="Times New Roman" w:hAnsi="Times New Roman"/>
              </w:rPr>
              <w:t>$19,776,140</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$22,027,000</w:t>
            </w:r>
          </w:p>
        </w:tc>
        <w:tc>
          <w:tcPr>
            <w:tcW w:w="1650"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w:t>
            </w:r>
            <w:r w:rsidR="005D3E85" w:rsidRPr="005B5A78">
              <w:rPr>
                <w:rFonts w:ascii="Times New Roman" w:hAnsi="Times New Roman"/>
              </w:rPr>
              <w:t>11%</w:t>
            </w:r>
          </w:p>
        </w:tc>
      </w:tr>
      <w:tr w:rsidR="005D3E85" w:rsidRPr="005B5A78" w:rsidTr="00EC1DE9">
        <w:trPr>
          <w:trHeight w:val="302"/>
        </w:trPr>
        <w:tc>
          <w:tcPr>
            <w:tcW w:w="3798" w:type="dxa"/>
            <w:shd w:val="clear" w:color="auto" w:fill="auto"/>
          </w:tcPr>
          <w:p w:rsidR="005D3E85" w:rsidRPr="005B5A78" w:rsidRDefault="005D3E85" w:rsidP="00F74184">
            <w:pPr>
              <w:rPr>
                <w:rFonts w:ascii="Times New Roman" w:hAnsi="Times New Roman"/>
              </w:rPr>
            </w:pPr>
            <w:r w:rsidRPr="005B5A78">
              <w:rPr>
                <w:rFonts w:ascii="Times New Roman" w:hAnsi="Times New Roman"/>
              </w:rPr>
              <w:t>Business</w:t>
            </w:r>
          </w:p>
        </w:tc>
        <w:tc>
          <w:tcPr>
            <w:tcW w:w="1710" w:type="dxa"/>
          </w:tcPr>
          <w:p w:rsidR="005D3E85" w:rsidRPr="005B5A78" w:rsidRDefault="005D3E85" w:rsidP="00EC1DE9">
            <w:pPr>
              <w:jc w:val="right"/>
              <w:rPr>
                <w:rFonts w:ascii="Times New Roman" w:hAnsi="Times New Roman"/>
              </w:rPr>
            </w:pPr>
            <w:r w:rsidRPr="005B5A78">
              <w:rPr>
                <w:rFonts w:ascii="Times New Roman" w:hAnsi="Times New Roman"/>
              </w:rPr>
              <w:t>$8,207,447</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$9,200,000</w:t>
            </w:r>
          </w:p>
        </w:tc>
        <w:tc>
          <w:tcPr>
            <w:tcW w:w="1650"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w:t>
            </w:r>
            <w:r w:rsidR="005D3E85" w:rsidRPr="005B5A78">
              <w:rPr>
                <w:rFonts w:ascii="Times New Roman" w:hAnsi="Times New Roman"/>
              </w:rPr>
              <w:t>12%</w:t>
            </w:r>
          </w:p>
        </w:tc>
      </w:tr>
      <w:tr w:rsidR="005D3E85" w:rsidRPr="005B5A78" w:rsidTr="00EC1DE9">
        <w:trPr>
          <w:trHeight w:val="316"/>
        </w:trPr>
        <w:tc>
          <w:tcPr>
            <w:tcW w:w="3798" w:type="dxa"/>
            <w:shd w:val="clear" w:color="auto" w:fill="auto"/>
          </w:tcPr>
          <w:p w:rsidR="005D3E85" w:rsidRPr="005B5A78" w:rsidRDefault="005D3E85" w:rsidP="00F74184">
            <w:pPr>
              <w:rPr>
                <w:rFonts w:ascii="Times New Roman" w:hAnsi="Times New Roman"/>
              </w:rPr>
            </w:pPr>
            <w:r w:rsidRPr="005B5A78">
              <w:rPr>
                <w:rFonts w:ascii="Times New Roman" w:hAnsi="Times New Roman"/>
              </w:rPr>
              <w:t>Support</w:t>
            </w:r>
          </w:p>
        </w:tc>
        <w:tc>
          <w:tcPr>
            <w:tcW w:w="1710" w:type="dxa"/>
          </w:tcPr>
          <w:p w:rsidR="005D3E85" w:rsidRPr="005B5A78" w:rsidRDefault="005D3E85" w:rsidP="00EC1DE9">
            <w:pPr>
              <w:jc w:val="right"/>
              <w:rPr>
                <w:rFonts w:ascii="Times New Roman" w:hAnsi="Times New Roman"/>
              </w:rPr>
            </w:pPr>
            <w:r w:rsidRPr="005B5A78">
              <w:rPr>
                <w:rFonts w:ascii="Times New Roman" w:hAnsi="Times New Roman"/>
              </w:rPr>
              <w:t>$1,877,083</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$2,123,000</w:t>
            </w:r>
          </w:p>
        </w:tc>
        <w:tc>
          <w:tcPr>
            <w:tcW w:w="1650"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w:t>
            </w:r>
            <w:r w:rsidR="005D3E85" w:rsidRPr="005B5A78">
              <w:rPr>
                <w:rFonts w:ascii="Times New Roman" w:hAnsi="Times New Roman"/>
              </w:rPr>
              <w:t>13%</w:t>
            </w:r>
          </w:p>
        </w:tc>
      </w:tr>
      <w:tr w:rsidR="005D3E85" w:rsidRPr="005B5A78" w:rsidTr="00EC1DE9">
        <w:trPr>
          <w:trHeight w:val="354"/>
        </w:trPr>
        <w:tc>
          <w:tcPr>
            <w:tcW w:w="3798" w:type="dxa"/>
            <w:shd w:val="clear" w:color="auto" w:fill="auto"/>
          </w:tcPr>
          <w:p w:rsidR="005D3E85" w:rsidRPr="005B5A78" w:rsidRDefault="005D3E85" w:rsidP="00F74184">
            <w:pPr>
              <w:rPr>
                <w:rFonts w:ascii="Times New Roman" w:hAnsi="Times New Roman"/>
                <w:b/>
              </w:rPr>
            </w:pPr>
            <w:r w:rsidRPr="005B5A78">
              <w:rPr>
                <w:rFonts w:ascii="Times New Roman" w:hAnsi="Times New Roman"/>
                <w:b/>
              </w:rPr>
              <w:t>Total</w:t>
            </w:r>
          </w:p>
        </w:tc>
        <w:tc>
          <w:tcPr>
            <w:tcW w:w="1710" w:type="dxa"/>
          </w:tcPr>
          <w:p w:rsidR="005D3E85" w:rsidRPr="005B5A78" w:rsidRDefault="005D3E85" w:rsidP="00EC1DE9">
            <w:pPr>
              <w:jc w:val="right"/>
              <w:rPr>
                <w:rFonts w:ascii="Times New Roman" w:hAnsi="Times New Roman"/>
                <w:b/>
              </w:rPr>
            </w:pPr>
            <w:r w:rsidRPr="005B5A78">
              <w:rPr>
                <w:rFonts w:ascii="Times New Roman" w:hAnsi="Times New Roman"/>
                <w:b/>
              </w:rPr>
              <w:t>$29,860,670</w:t>
            </w:r>
          </w:p>
        </w:tc>
        <w:tc>
          <w:tcPr>
            <w:tcW w:w="1980" w:type="dxa"/>
          </w:tcPr>
          <w:p w:rsidR="005D3E85" w:rsidRPr="005B5A78" w:rsidRDefault="005D3E85" w:rsidP="00EC1DE9">
            <w:pPr>
              <w:jc w:val="right"/>
              <w:rPr>
                <w:rFonts w:ascii="Times New Roman" w:hAnsi="Times New Roman"/>
                <w:b/>
              </w:rPr>
            </w:pPr>
            <w:r w:rsidRPr="005B5A78">
              <w:rPr>
                <w:rFonts w:ascii="Times New Roman" w:hAnsi="Times New Roman"/>
                <w:b/>
              </w:rPr>
              <w:t>$33,350,000</w:t>
            </w:r>
          </w:p>
        </w:tc>
        <w:tc>
          <w:tcPr>
            <w:tcW w:w="1650" w:type="dxa"/>
            <w:shd w:val="clear" w:color="auto" w:fill="auto"/>
          </w:tcPr>
          <w:p w:rsidR="005D3E85" w:rsidRPr="005B5A78" w:rsidRDefault="00EC1DE9" w:rsidP="00EC1DE9">
            <w:pPr>
              <w:jc w:val="right"/>
              <w:rPr>
                <w:rFonts w:ascii="Times New Roman" w:hAnsi="Times New Roman"/>
                <w:b/>
              </w:rPr>
            </w:pPr>
            <w:r w:rsidRPr="005B5A78">
              <w:rPr>
                <w:rFonts w:ascii="Times New Roman" w:hAnsi="Times New Roman"/>
                <w:b/>
              </w:rPr>
              <w:t>+</w:t>
            </w:r>
            <w:r w:rsidR="005D3E85" w:rsidRPr="005B5A78">
              <w:rPr>
                <w:rFonts w:ascii="Times New Roman" w:hAnsi="Times New Roman"/>
                <w:b/>
              </w:rPr>
              <w:t>12%</w:t>
            </w:r>
          </w:p>
        </w:tc>
      </w:tr>
    </w:tbl>
    <w:p w:rsidR="00DD02C9" w:rsidRPr="005B5A78" w:rsidRDefault="00DD02C9" w:rsidP="00DD02C9">
      <w:pPr>
        <w:rPr>
          <w:rFonts w:ascii="Times New Roman" w:hAnsi="Times New Roman"/>
        </w:rPr>
      </w:pPr>
    </w:p>
    <w:p w:rsidR="00DD02C9" w:rsidRPr="005B5A78" w:rsidRDefault="00155D6A" w:rsidP="00DD02C9">
      <w:pPr>
        <w:rPr>
          <w:rFonts w:ascii="Times New Roman" w:hAnsi="Times New Roman"/>
        </w:rPr>
      </w:pPr>
      <w:r w:rsidRPr="005B5A78">
        <w:rPr>
          <w:rFonts w:ascii="Times New Roman" w:hAnsi="Times New Roman"/>
        </w:rPr>
        <w:t xml:space="preserve">All of the programs are funded through the </w:t>
      </w:r>
      <w:r w:rsidR="00333EB4" w:rsidRPr="005B5A78">
        <w:rPr>
          <w:rFonts w:ascii="Times New Roman" w:hAnsi="Times New Roman"/>
        </w:rPr>
        <w:t>c</w:t>
      </w:r>
      <w:r w:rsidRPr="005B5A78">
        <w:rPr>
          <w:rFonts w:ascii="Times New Roman" w:hAnsi="Times New Roman"/>
        </w:rPr>
        <w:t>ompany’s cons</w:t>
      </w:r>
      <w:r w:rsidR="008C060F" w:rsidRPr="005B5A78">
        <w:rPr>
          <w:rFonts w:ascii="Times New Roman" w:hAnsi="Times New Roman"/>
        </w:rPr>
        <w:t xml:space="preserve">ervation tracker Schedule 120. </w:t>
      </w:r>
      <w:r w:rsidRPr="005B5A78">
        <w:rPr>
          <w:rFonts w:ascii="Times New Roman" w:hAnsi="Times New Roman"/>
        </w:rPr>
        <w:t xml:space="preserve">The company will make a filing in </w:t>
      </w:r>
      <w:r w:rsidR="008C060F" w:rsidRPr="005B5A78">
        <w:rPr>
          <w:rFonts w:ascii="Times New Roman" w:hAnsi="Times New Roman"/>
        </w:rPr>
        <w:t>March</w:t>
      </w:r>
      <w:r w:rsidRPr="005B5A78">
        <w:rPr>
          <w:rFonts w:ascii="Times New Roman" w:hAnsi="Times New Roman"/>
        </w:rPr>
        <w:t xml:space="preserve"> 2010</w:t>
      </w:r>
      <w:r w:rsidR="003E75C4" w:rsidRPr="005B5A78">
        <w:rPr>
          <w:rFonts w:ascii="Times New Roman" w:hAnsi="Times New Roman"/>
        </w:rPr>
        <w:t>,</w:t>
      </w:r>
      <w:r w:rsidRPr="005B5A78">
        <w:rPr>
          <w:rFonts w:ascii="Times New Roman" w:hAnsi="Times New Roman"/>
        </w:rPr>
        <w:t xml:space="preserve"> that will incorporate the increased budget submitted with this fi</w:t>
      </w:r>
      <w:r w:rsidR="008C060F" w:rsidRPr="005B5A78">
        <w:rPr>
          <w:rFonts w:ascii="Times New Roman" w:hAnsi="Times New Roman"/>
        </w:rPr>
        <w:t>ling into the company’s tariff.</w:t>
      </w:r>
      <w:r w:rsidRPr="005B5A78">
        <w:rPr>
          <w:rFonts w:ascii="Times New Roman" w:hAnsi="Times New Roman"/>
        </w:rPr>
        <w:t xml:space="preserve"> </w:t>
      </w:r>
      <w:r w:rsidR="00DD02C9" w:rsidRPr="005B5A78">
        <w:rPr>
          <w:rFonts w:ascii="Times New Roman" w:hAnsi="Times New Roman"/>
        </w:rPr>
        <w:t xml:space="preserve">These </w:t>
      </w:r>
      <w:r w:rsidRPr="005B5A78">
        <w:rPr>
          <w:rFonts w:ascii="Times New Roman" w:hAnsi="Times New Roman"/>
        </w:rPr>
        <w:t>increases</w:t>
      </w:r>
      <w:r w:rsidR="00DD02C9" w:rsidRPr="005B5A78">
        <w:rPr>
          <w:rFonts w:ascii="Times New Roman" w:hAnsi="Times New Roman"/>
        </w:rPr>
        <w:t xml:space="preserve"> to the natural gas </w:t>
      </w:r>
      <w:r w:rsidR="00AF3F19" w:rsidRPr="005B5A78">
        <w:rPr>
          <w:rFonts w:ascii="Times New Roman" w:hAnsi="Times New Roman"/>
        </w:rPr>
        <w:t>conservation program</w:t>
      </w:r>
      <w:r w:rsidR="00DD02C9" w:rsidRPr="005B5A78">
        <w:rPr>
          <w:rFonts w:ascii="Times New Roman" w:hAnsi="Times New Roman"/>
        </w:rPr>
        <w:t xml:space="preserve"> </w:t>
      </w:r>
      <w:r w:rsidRPr="005B5A78">
        <w:rPr>
          <w:rFonts w:ascii="Times New Roman" w:hAnsi="Times New Roman"/>
        </w:rPr>
        <w:t xml:space="preserve">will </w:t>
      </w:r>
      <w:r w:rsidR="00DD02C9" w:rsidRPr="005B5A78">
        <w:rPr>
          <w:rFonts w:ascii="Times New Roman" w:hAnsi="Times New Roman"/>
        </w:rPr>
        <w:t xml:space="preserve">result in a projected collection of </w:t>
      </w:r>
      <w:r w:rsidR="007D5945" w:rsidRPr="005B5A78">
        <w:rPr>
          <w:rFonts w:ascii="Times New Roman" w:hAnsi="Times New Roman"/>
        </w:rPr>
        <w:t>1</w:t>
      </w:r>
      <w:r w:rsidR="00DD02C9" w:rsidRPr="005B5A78">
        <w:rPr>
          <w:rFonts w:ascii="Times New Roman" w:hAnsi="Times New Roman"/>
        </w:rPr>
        <w:t>.3 percent of PS</w:t>
      </w:r>
      <w:r w:rsidR="007D5945" w:rsidRPr="005B5A78">
        <w:rPr>
          <w:rFonts w:ascii="Times New Roman" w:hAnsi="Times New Roman"/>
        </w:rPr>
        <w:t>E’s natural gas revenue for 2010</w:t>
      </w:r>
      <w:r w:rsidR="00DD02C9" w:rsidRPr="005B5A78">
        <w:rPr>
          <w:rFonts w:ascii="Times New Roman" w:hAnsi="Times New Roman"/>
        </w:rPr>
        <w:t xml:space="preserve">, </w:t>
      </w:r>
      <w:r w:rsidR="007D5945" w:rsidRPr="005B5A78">
        <w:rPr>
          <w:rFonts w:ascii="Times New Roman" w:hAnsi="Times New Roman"/>
        </w:rPr>
        <w:t xml:space="preserve">up from 1 percent </w:t>
      </w:r>
      <w:r w:rsidR="003E75C4" w:rsidRPr="005B5A78">
        <w:rPr>
          <w:rFonts w:ascii="Times New Roman" w:hAnsi="Times New Roman"/>
        </w:rPr>
        <w:t>in 2009</w:t>
      </w:r>
      <w:r w:rsidR="00DD02C9" w:rsidRPr="005B5A78">
        <w:rPr>
          <w:rFonts w:ascii="Times New Roman" w:hAnsi="Times New Roman"/>
        </w:rPr>
        <w:t>.</w:t>
      </w:r>
    </w:p>
    <w:p w:rsidR="00207B1E" w:rsidRPr="005B5A78" w:rsidRDefault="00207B1E" w:rsidP="00A0353B">
      <w:pPr>
        <w:pStyle w:val="NoSpacing"/>
        <w:rPr>
          <w:szCs w:val="24"/>
        </w:rPr>
      </w:pPr>
    </w:p>
    <w:p w:rsidR="002E3BC5" w:rsidRPr="005B5A78" w:rsidRDefault="002E3BC5" w:rsidP="002E3BC5">
      <w:pPr>
        <w:rPr>
          <w:rFonts w:ascii="Times New Roman" w:hAnsi="Times New Roman"/>
          <w:b/>
          <w:u w:val="single"/>
        </w:rPr>
      </w:pPr>
      <w:r w:rsidRPr="005B5A78">
        <w:rPr>
          <w:rFonts w:ascii="Times New Roman" w:hAnsi="Times New Roman"/>
          <w:b/>
          <w:u w:val="single"/>
        </w:rPr>
        <w:t>Conclusion</w:t>
      </w:r>
    </w:p>
    <w:p w:rsidR="002E3BC5" w:rsidRPr="005B5A78" w:rsidRDefault="002E3BC5" w:rsidP="002E3BC5">
      <w:pPr>
        <w:rPr>
          <w:rFonts w:ascii="Times New Roman" w:hAnsi="Times New Roman"/>
        </w:rPr>
      </w:pPr>
    </w:p>
    <w:p w:rsidR="00207B1E" w:rsidRPr="005B5A78" w:rsidRDefault="00715D20" w:rsidP="00DF3F1E">
      <w:r w:rsidRPr="005B5A78">
        <w:rPr>
          <w:rFonts w:ascii="Times New Roman" w:hAnsi="Times New Roman"/>
        </w:rPr>
        <w:t>Staff believes additional investigation into the proposed conservation program descriptions, budgets, cost-effectiveness, and evaluation as described in Appendices A, B, C, and D to the company’s tariffs is necessary in preparation for the rate filing the company will make in March 2010. However, the tariff pages filed by the company do not have a</w:t>
      </w:r>
      <w:r w:rsidR="00971B9C">
        <w:rPr>
          <w:rFonts w:ascii="Times New Roman" w:hAnsi="Times New Roman"/>
        </w:rPr>
        <w:t>n immediate</w:t>
      </w:r>
      <w:r w:rsidRPr="005B5A78">
        <w:rPr>
          <w:rFonts w:ascii="Times New Roman" w:hAnsi="Times New Roman"/>
        </w:rPr>
        <w:t xml:space="preserve"> rate impact, and because the entire conservation program should not be suspended, staff recommends the commission t</w:t>
      </w:r>
      <w:r w:rsidR="002E3BC5" w:rsidRPr="005B5A78">
        <w:rPr>
          <w:rFonts w:ascii="Times New Roman" w:hAnsi="Times New Roman"/>
        </w:rPr>
        <w:t>ake no action, thereby allowing Puget Sound Energy</w:t>
      </w:r>
      <w:r w:rsidR="00CA4C37">
        <w:rPr>
          <w:rFonts w:ascii="Times New Roman" w:hAnsi="Times New Roman"/>
        </w:rPr>
        <w:t>, Inc.</w:t>
      </w:r>
      <w:r w:rsidR="002E3BC5" w:rsidRPr="005B5A78">
        <w:rPr>
          <w:rFonts w:ascii="Times New Roman" w:hAnsi="Times New Roman"/>
        </w:rPr>
        <w:t xml:space="preserve">’s conservation program tariff filings in Dockets UE-091859 and UG-091860 to become effective on </w:t>
      </w:r>
      <w:r w:rsidR="008C060F" w:rsidRPr="005B5A78">
        <w:rPr>
          <w:rFonts w:ascii="Times New Roman" w:hAnsi="Times New Roman"/>
        </w:rPr>
        <w:t>January</w:t>
      </w:r>
      <w:r w:rsidR="002E3BC5" w:rsidRPr="005B5A78">
        <w:rPr>
          <w:rFonts w:ascii="Times New Roman" w:hAnsi="Times New Roman"/>
        </w:rPr>
        <w:t xml:space="preserve"> 1, 20</w:t>
      </w:r>
      <w:r w:rsidR="008C060F" w:rsidRPr="005B5A78">
        <w:rPr>
          <w:rFonts w:ascii="Times New Roman" w:hAnsi="Times New Roman"/>
        </w:rPr>
        <w:t>10</w:t>
      </w:r>
      <w:r w:rsidR="002E3BC5" w:rsidRPr="005B5A78">
        <w:rPr>
          <w:rFonts w:ascii="Times New Roman" w:hAnsi="Times New Roman"/>
        </w:rPr>
        <w:t>, by operation of law</w:t>
      </w:r>
      <w:r w:rsidRPr="005B5A78">
        <w:rPr>
          <w:rFonts w:ascii="Times New Roman" w:hAnsi="Times New Roman"/>
        </w:rPr>
        <w:t xml:space="preserve"> and direct staff to open an investigation into the program descriptions, budgets, cost-effectiveness, and evaluation as described in Appendices A, B, C, and D of the company’s tariffs</w:t>
      </w:r>
      <w:r w:rsidR="002E3BC5" w:rsidRPr="005B5A78">
        <w:rPr>
          <w:rFonts w:ascii="Times New Roman" w:hAnsi="Times New Roman"/>
        </w:rPr>
        <w:t>.</w:t>
      </w:r>
    </w:p>
    <w:sectPr w:rsidR="00207B1E" w:rsidRPr="005B5A78" w:rsidSect="007A130C">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B11" w:rsidRDefault="00D80B11" w:rsidP="00DD02C9">
      <w:r>
        <w:separator/>
      </w:r>
    </w:p>
  </w:endnote>
  <w:endnote w:type="continuationSeparator" w:id="0">
    <w:p w:rsidR="00D80B11" w:rsidRDefault="00D80B11" w:rsidP="00DD0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B11" w:rsidRDefault="00D80B11" w:rsidP="00DD02C9">
      <w:r>
        <w:separator/>
      </w:r>
    </w:p>
  </w:footnote>
  <w:footnote w:type="continuationSeparator" w:id="0">
    <w:p w:rsidR="00D80B11" w:rsidRDefault="00D80B11" w:rsidP="00DD02C9">
      <w:r>
        <w:continuationSeparator/>
      </w:r>
    </w:p>
  </w:footnote>
  <w:footnote w:id="1">
    <w:p w:rsidR="002A185A" w:rsidRPr="00DF3F1E" w:rsidRDefault="002A185A">
      <w:pPr>
        <w:pStyle w:val="FootnoteText"/>
        <w:rPr>
          <w:rFonts w:ascii="Times New Roman" w:hAnsi="Times New Roman"/>
        </w:rPr>
      </w:pPr>
      <w:r w:rsidRPr="00DF3F1E">
        <w:rPr>
          <w:rStyle w:val="FootnoteReference"/>
          <w:rFonts w:ascii="Times New Roman" w:hAnsi="Times New Roman"/>
        </w:rPr>
        <w:footnoteRef/>
      </w:r>
      <w:r w:rsidRPr="00DF3F1E">
        <w:rPr>
          <w:rFonts w:ascii="Times New Roman" w:hAnsi="Times New Roman"/>
        </w:rPr>
        <w:t xml:space="preserve"> See Energy Efficiency Services Program Descriptions Appendices A-D</w:t>
      </w:r>
      <w:r w:rsidR="00894608" w:rsidRPr="00DF3F1E">
        <w:rPr>
          <w:rFonts w:ascii="Times New Roman" w:hAnsi="Times New Roman"/>
        </w:rPr>
        <w:t>, including attachments.</w:t>
      </w:r>
    </w:p>
  </w:footnote>
  <w:footnote w:id="2">
    <w:p w:rsidR="00D80B11" w:rsidRPr="00DF3F1E" w:rsidRDefault="00D80B11">
      <w:pPr>
        <w:pStyle w:val="FootnoteText"/>
        <w:rPr>
          <w:rFonts w:ascii="Times New Roman" w:hAnsi="Times New Roman"/>
        </w:rPr>
      </w:pPr>
      <w:r w:rsidRPr="00DF3F1E">
        <w:rPr>
          <w:rStyle w:val="FootnoteReference"/>
          <w:rFonts w:ascii="Times New Roman" w:hAnsi="Times New Roman"/>
        </w:rPr>
        <w:footnoteRef/>
      </w:r>
      <w:r w:rsidRPr="00DF3F1E">
        <w:rPr>
          <w:rFonts w:ascii="Times New Roman" w:hAnsi="Times New Roman"/>
        </w:rPr>
        <w:t xml:space="preserve"> Dockets UE-080949 and UG-080948.</w:t>
      </w:r>
    </w:p>
  </w:footnote>
  <w:footnote w:id="3">
    <w:p w:rsidR="00D80B11" w:rsidRPr="00DF3F1E" w:rsidRDefault="00D80B11" w:rsidP="00A8659E">
      <w:pPr>
        <w:pStyle w:val="FootnoteText"/>
        <w:rPr>
          <w:rFonts w:ascii="Times New Roman" w:hAnsi="Times New Roman"/>
        </w:rPr>
      </w:pPr>
      <w:r w:rsidRPr="00DF3F1E">
        <w:rPr>
          <w:rStyle w:val="FootnoteReference"/>
          <w:rFonts w:ascii="Times New Roman" w:hAnsi="Times New Roman"/>
        </w:rPr>
        <w:footnoteRef/>
      </w:r>
      <w:r w:rsidRPr="00DF3F1E">
        <w:rPr>
          <w:rFonts w:ascii="Times New Roman" w:hAnsi="Times New Roman"/>
        </w:rPr>
        <w:t xml:space="preserve"> The Total Resource Cost test result must be greater than 1 to demonstrate cost-effectiveness.</w:t>
      </w:r>
    </w:p>
  </w:footnote>
  <w:footnote w:id="4">
    <w:p w:rsidR="002A185A" w:rsidRPr="00DF3F1E" w:rsidRDefault="002A185A">
      <w:pPr>
        <w:pStyle w:val="FootnoteText"/>
        <w:rPr>
          <w:rFonts w:ascii="Times New Roman" w:hAnsi="Times New Roman"/>
        </w:rPr>
      </w:pPr>
      <w:r w:rsidRPr="00DF3F1E">
        <w:rPr>
          <w:rStyle w:val="FootnoteReference"/>
          <w:rFonts w:ascii="Times New Roman" w:hAnsi="Times New Roman"/>
        </w:rPr>
        <w:footnoteRef/>
      </w:r>
      <w:r w:rsidRPr="00DF3F1E">
        <w:rPr>
          <w:rFonts w:ascii="Times New Roman" w:hAnsi="Times New Roman"/>
        </w:rPr>
        <w:t xml:space="preserve"> Residential or commercial/industrial customer sectors. See Page 7, paragraph 24,</w:t>
      </w:r>
      <w:r w:rsidRPr="00DF3F1E">
        <w:rPr>
          <w:rFonts w:ascii="Times New Roman" w:hAnsi="Times New Roman"/>
          <w:szCs w:val="24"/>
        </w:rPr>
        <w:t xml:space="preserve"> Exhibit F to the Settlement Stipulation Agreement approved by the commission on August 28, 2002, in Dockets UE-011570 and UG-011571.</w:t>
      </w:r>
    </w:p>
  </w:footnote>
  <w:footnote w:id="5">
    <w:p w:rsidR="002A185A" w:rsidRPr="000D1493" w:rsidRDefault="002A185A">
      <w:pPr>
        <w:pStyle w:val="FootnoteText"/>
        <w:rPr>
          <w:rFonts w:ascii="Times New Roman" w:hAnsi="Times New Roman"/>
        </w:rPr>
      </w:pPr>
      <w:r w:rsidRPr="000D1493">
        <w:rPr>
          <w:rStyle w:val="FootnoteReference"/>
          <w:rFonts w:ascii="Times New Roman" w:hAnsi="Times New Roman"/>
        </w:rPr>
        <w:footnoteRef/>
      </w:r>
      <w:r w:rsidRPr="000D1493">
        <w:rPr>
          <w:rFonts w:ascii="Times New Roman" w:hAnsi="Times New Roman"/>
        </w:rPr>
        <w:t xml:space="preserve"> </w:t>
      </w:r>
      <w:r w:rsidR="000D1493" w:rsidRPr="000D1493">
        <w:rPr>
          <w:rFonts w:ascii="Times New Roman" w:hAnsi="Times New Roman"/>
        </w:rPr>
        <w:t xml:space="preserve">The analysis performed by staff is similar to the settlement stipulation that </w:t>
      </w:r>
      <w:r w:rsidRPr="000D1493">
        <w:rPr>
          <w:rFonts w:ascii="Times New Roman" w:hAnsi="Times New Roman"/>
        </w:rPr>
        <w:t>PSE may expend up to 10 percent of its budget on information-only programs if its total mix of programs in that sector pass the cost-effectiveness test. See Page 6, Paragraph 20, Exhibit F</w:t>
      </w:r>
      <w:r w:rsidRPr="000D1493">
        <w:rPr>
          <w:rFonts w:ascii="Times New Roman" w:hAnsi="Times New Roman"/>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619" w:rsidRPr="00103619" w:rsidRDefault="00103619">
    <w:pPr>
      <w:pStyle w:val="Header"/>
      <w:rPr>
        <w:rFonts w:ascii="Times New Roman" w:hAnsi="Times New Roman"/>
        <w:sz w:val="20"/>
        <w:szCs w:val="20"/>
      </w:rPr>
    </w:pPr>
    <w:r w:rsidRPr="00103619">
      <w:rPr>
        <w:rFonts w:ascii="Times New Roman" w:hAnsi="Times New Roman"/>
        <w:sz w:val="20"/>
        <w:szCs w:val="20"/>
      </w:rPr>
      <w:t>Dockets UE-091859 and UG-091860</w:t>
    </w:r>
  </w:p>
  <w:p w:rsidR="00103619" w:rsidRPr="00103619" w:rsidRDefault="00103619">
    <w:pPr>
      <w:pStyle w:val="Header"/>
      <w:rPr>
        <w:rFonts w:ascii="Times New Roman" w:hAnsi="Times New Roman"/>
        <w:sz w:val="20"/>
        <w:szCs w:val="20"/>
      </w:rPr>
    </w:pPr>
    <w:r w:rsidRPr="00103619">
      <w:rPr>
        <w:rFonts w:ascii="Times New Roman" w:hAnsi="Times New Roman"/>
        <w:sz w:val="20"/>
        <w:szCs w:val="20"/>
      </w:rPr>
      <w:t>December 23, 2009</w:t>
    </w:r>
  </w:p>
  <w:p w:rsidR="00103619" w:rsidRPr="00103619" w:rsidRDefault="00103619">
    <w:pPr>
      <w:pStyle w:val="Header"/>
      <w:rPr>
        <w:rFonts w:ascii="Times New Roman" w:hAnsi="Times New Roman"/>
        <w:sz w:val="20"/>
        <w:szCs w:val="20"/>
      </w:rPr>
    </w:pPr>
    <w:r w:rsidRPr="00103619">
      <w:rPr>
        <w:rFonts w:ascii="Times New Roman" w:hAnsi="Times New Roman"/>
        <w:sz w:val="20"/>
        <w:szCs w:val="20"/>
      </w:rPr>
      <w:t xml:space="preserve">Page </w:t>
    </w:r>
    <w:r w:rsidR="00BD382B" w:rsidRPr="00103619">
      <w:rPr>
        <w:rFonts w:ascii="Times New Roman" w:hAnsi="Times New Roman"/>
        <w:sz w:val="20"/>
        <w:szCs w:val="20"/>
      </w:rPr>
      <w:fldChar w:fldCharType="begin"/>
    </w:r>
    <w:r w:rsidRPr="00103619">
      <w:rPr>
        <w:rFonts w:ascii="Times New Roman" w:hAnsi="Times New Roman"/>
        <w:sz w:val="20"/>
        <w:szCs w:val="20"/>
      </w:rPr>
      <w:instrText xml:space="preserve"> PAGE   \* MERGEFORMAT </w:instrText>
    </w:r>
    <w:r w:rsidR="00BD382B" w:rsidRPr="00103619">
      <w:rPr>
        <w:rFonts w:ascii="Times New Roman" w:hAnsi="Times New Roman"/>
        <w:sz w:val="20"/>
        <w:szCs w:val="20"/>
      </w:rPr>
      <w:fldChar w:fldCharType="separate"/>
    </w:r>
    <w:r w:rsidR="00236933">
      <w:rPr>
        <w:rFonts w:ascii="Times New Roman" w:hAnsi="Times New Roman"/>
        <w:noProof/>
        <w:sz w:val="20"/>
        <w:szCs w:val="20"/>
      </w:rPr>
      <w:t>3</w:t>
    </w:r>
    <w:r w:rsidR="00BD382B" w:rsidRPr="00103619">
      <w:rPr>
        <w:rFonts w:ascii="Times New Roman" w:hAnsi="Times New Roman"/>
        <w:sz w:val="20"/>
        <w:szCs w:val="20"/>
      </w:rPr>
      <w:fldChar w:fldCharType="end"/>
    </w:r>
  </w:p>
  <w:p w:rsidR="00103619" w:rsidRPr="00103619" w:rsidRDefault="00103619" w:rsidP="00103619">
    <w:pPr>
      <w:pStyle w:val="Header"/>
      <w:ind w:firstLine="720"/>
      <w:rPr>
        <w:rFonts w:ascii="Times New Roman" w:hAnsi="Times New Roman"/>
        <w:sz w:val="20"/>
        <w:szCs w:val="20"/>
      </w:rPr>
    </w:pPr>
  </w:p>
  <w:p w:rsidR="00103619" w:rsidRPr="00103619" w:rsidRDefault="00103619">
    <w:pPr>
      <w:pStyle w:val="Header"/>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D02C9"/>
    <w:rsid w:val="000109CE"/>
    <w:rsid w:val="00030C76"/>
    <w:rsid w:val="00086B67"/>
    <w:rsid w:val="00095AB1"/>
    <w:rsid w:val="000B44EC"/>
    <w:rsid w:val="000C7C16"/>
    <w:rsid w:val="000D1493"/>
    <w:rsid w:val="00103619"/>
    <w:rsid w:val="001438C9"/>
    <w:rsid w:val="001542F0"/>
    <w:rsid w:val="00155D6A"/>
    <w:rsid w:val="001B22B6"/>
    <w:rsid w:val="001B5145"/>
    <w:rsid w:val="001C5AB1"/>
    <w:rsid w:val="001D780C"/>
    <w:rsid w:val="001F0A59"/>
    <w:rsid w:val="002046F2"/>
    <w:rsid w:val="00207B1E"/>
    <w:rsid w:val="00232623"/>
    <w:rsid w:val="00236933"/>
    <w:rsid w:val="002841CB"/>
    <w:rsid w:val="002A185A"/>
    <w:rsid w:val="002A1F18"/>
    <w:rsid w:val="002B21F8"/>
    <w:rsid w:val="002C039A"/>
    <w:rsid w:val="002D285E"/>
    <w:rsid w:val="002E1411"/>
    <w:rsid w:val="002E3BC5"/>
    <w:rsid w:val="002E49F5"/>
    <w:rsid w:val="003106CD"/>
    <w:rsid w:val="00322AD4"/>
    <w:rsid w:val="00324295"/>
    <w:rsid w:val="00333EB4"/>
    <w:rsid w:val="0034015D"/>
    <w:rsid w:val="0034185A"/>
    <w:rsid w:val="00344AA8"/>
    <w:rsid w:val="0037000F"/>
    <w:rsid w:val="00387EE0"/>
    <w:rsid w:val="003A1A68"/>
    <w:rsid w:val="003A1F14"/>
    <w:rsid w:val="003B1A34"/>
    <w:rsid w:val="003B750B"/>
    <w:rsid w:val="003C2BEA"/>
    <w:rsid w:val="003E75C4"/>
    <w:rsid w:val="00411D0F"/>
    <w:rsid w:val="00427919"/>
    <w:rsid w:val="00467C4B"/>
    <w:rsid w:val="004763C9"/>
    <w:rsid w:val="004F4FCC"/>
    <w:rsid w:val="00514CC3"/>
    <w:rsid w:val="00553FA2"/>
    <w:rsid w:val="00562685"/>
    <w:rsid w:val="0057506E"/>
    <w:rsid w:val="005A5243"/>
    <w:rsid w:val="005A71CF"/>
    <w:rsid w:val="005B5A78"/>
    <w:rsid w:val="005D3E85"/>
    <w:rsid w:val="0061120D"/>
    <w:rsid w:val="00625D51"/>
    <w:rsid w:val="00653FEB"/>
    <w:rsid w:val="00654668"/>
    <w:rsid w:val="00672369"/>
    <w:rsid w:val="00673AE8"/>
    <w:rsid w:val="006A1143"/>
    <w:rsid w:val="006A4F00"/>
    <w:rsid w:val="006A7AFA"/>
    <w:rsid w:val="006C4E0F"/>
    <w:rsid w:val="006E2D6B"/>
    <w:rsid w:val="006E303D"/>
    <w:rsid w:val="006E76C2"/>
    <w:rsid w:val="006F7629"/>
    <w:rsid w:val="00715D20"/>
    <w:rsid w:val="007A130C"/>
    <w:rsid w:val="007A174B"/>
    <w:rsid w:val="007A423B"/>
    <w:rsid w:val="007B2257"/>
    <w:rsid w:val="007B4177"/>
    <w:rsid w:val="007C6FF3"/>
    <w:rsid w:val="007D5945"/>
    <w:rsid w:val="007F1BFD"/>
    <w:rsid w:val="00806BC8"/>
    <w:rsid w:val="008161A8"/>
    <w:rsid w:val="00820569"/>
    <w:rsid w:val="008249BB"/>
    <w:rsid w:val="00824D5F"/>
    <w:rsid w:val="00873597"/>
    <w:rsid w:val="008871D9"/>
    <w:rsid w:val="00894608"/>
    <w:rsid w:val="008974A7"/>
    <w:rsid w:val="008C060F"/>
    <w:rsid w:val="008E0A2B"/>
    <w:rsid w:val="008F7D92"/>
    <w:rsid w:val="00932AB8"/>
    <w:rsid w:val="00937AB5"/>
    <w:rsid w:val="00940D39"/>
    <w:rsid w:val="00971B9C"/>
    <w:rsid w:val="009A1F3D"/>
    <w:rsid w:val="009A73CB"/>
    <w:rsid w:val="009E7811"/>
    <w:rsid w:val="009F5BF2"/>
    <w:rsid w:val="00A0353B"/>
    <w:rsid w:val="00A06AB0"/>
    <w:rsid w:val="00A1382F"/>
    <w:rsid w:val="00A1615B"/>
    <w:rsid w:val="00A5258E"/>
    <w:rsid w:val="00A84C2A"/>
    <w:rsid w:val="00A8659E"/>
    <w:rsid w:val="00A9390C"/>
    <w:rsid w:val="00AA36E1"/>
    <w:rsid w:val="00AB2E5F"/>
    <w:rsid w:val="00AF3F19"/>
    <w:rsid w:val="00B32C3E"/>
    <w:rsid w:val="00B474A5"/>
    <w:rsid w:val="00B56D51"/>
    <w:rsid w:val="00B63838"/>
    <w:rsid w:val="00B63AEA"/>
    <w:rsid w:val="00B90955"/>
    <w:rsid w:val="00B95ABD"/>
    <w:rsid w:val="00BA1F16"/>
    <w:rsid w:val="00BD382B"/>
    <w:rsid w:val="00BF0EE3"/>
    <w:rsid w:val="00BF43AB"/>
    <w:rsid w:val="00C009D9"/>
    <w:rsid w:val="00C12C3E"/>
    <w:rsid w:val="00C56AA5"/>
    <w:rsid w:val="00C80B2E"/>
    <w:rsid w:val="00C80C84"/>
    <w:rsid w:val="00C95648"/>
    <w:rsid w:val="00C97DAD"/>
    <w:rsid w:val="00CA4C37"/>
    <w:rsid w:val="00CF4642"/>
    <w:rsid w:val="00D1781F"/>
    <w:rsid w:val="00D24C81"/>
    <w:rsid w:val="00D461D3"/>
    <w:rsid w:val="00D503EE"/>
    <w:rsid w:val="00D75E3F"/>
    <w:rsid w:val="00D80B11"/>
    <w:rsid w:val="00DA0CE6"/>
    <w:rsid w:val="00DD02C9"/>
    <w:rsid w:val="00DD0917"/>
    <w:rsid w:val="00DD2A47"/>
    <w:rsid w:val="00DF3F1E"/>
    <w:rsid w:val="00DF45EA"/>
    <w:rsid w:val="00E015F1"/>
    <w:rsid w:val="00E22CC2"/>
    <w:rsid w:val="00E76F5F"/>
    <w:rsid w:val="00E83E10"/>
    <w:rsid w:val="00EC1DE9"/>
    <w:rsid w:val="00F0211F"/>
    <w:rsid w:val="00F10D09"/>
    <w:rsid w:val="00F1177B"/>
    <w:rsid w:val="00F134A9"/>
    <w:rsid w:val="00F223C4"/>
    <w:rsid w:val="00F5104C"/>
    <w:rsid w:val="00F66A03"/>
    <w:rsid w:val="00F74184"/>
    <w:rsid w:val="00F81C4E"/>
    <w:rsid w:val="00FE2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C9"/>
    <w:rPr>
      <w:rFonts w:ascii="Palatino Linotype" w:eastAsia="Times New Roman" w:hAnsi="Palatino Linotype"/>
      <w:sz w:val="24"/>
      <w:szCs w:val="24"/>
    </w:rPr>
  </w:style>
  <w:style w:type="paragraph" w:styleId="Heading1">
    <w:name w:val="heading 1"/>
    <w:basedOn w:val="Normal"/>
    <w:next w:val="Normal"/>
    <w:link w:val="Heading1Char"/>
    <w:uiPriority w:val="9"/>
    <w:qFormat/>
    <w:rsid w:val="00F66A03"/>
    <w:pPr>
      <w:keepNext/>
      <w:keepLines/>
      <w:spacing w:before="480"/>
      <w:outlineLvl w:val="0"/>
    </w:pPr>
    <w:rPr>
      <w:rFonts w:ascii="Times New Roman" w:hAnsi="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A03"/>
    <w:rPr>
      <w:sz w:val="24"/>
      <w:szCs w:val="22"/>
    </w:rPr>
  </w:style>
  <w:style w:type="character" w:customStyle="1" w:styleId="Heading1Char">
    <w:name w:val="Heading 1 Char"/>
    <w:basedOn w:val="DefaultParagraphFont"/>
    <w:link w:val="Heading1"/>
    <w:uiPriority w:val="9"/>
    <w:rsid w:val="00F66A03"/>
    <w:rPr>
      <w:rFonts w:ascii="Times New Roman" w:eastAsia="Times New Roman" w:hAnsi="Times New Roman" w:cs="Times New Roman"/>
      <w:b/>
      <w:bCs/>
      <w:color w:val="365F91"/>
      <w:sz w:val="24"/>
      <w:szCs w:val="28"/>
    </w:rPr>
  </w:style>
  <w:style w:type="paragraph" w:styleId="FootnoteText">
    <w:name w:val="footnote text"/>
    <w:basedOn w:val="Normal"/>
    <w:link w:val="FootnoteTextChar"/>
    <w:rsid w:val="00DD02C9"/>
    <w:rPr>
      <w:sz w:val="20"/>
      <w:szCs w:val="20"/>
    </w:rPr>
  </w:style>
  <w:style w:type="character" w:customStyle="1" w:styleId="FootnoteTextChar">
    <w:name w:val="Footnote Text Char"/>
    <w:basedOn w:val="DefaultParagraphFont"/>
    <w:link w:val="FootnoteText"/>
    <w:rsid w:val="00DD02C9"/>
    <w:rPr>
      <w:rFonts w:ascii="Palatino Linotype" w:eastAsia="Times New Roman" w:hAnsi="Palatino Linotype" w:cs="Times New Roman"/>
      <w:sz w:val="20"/>
      <w:szCs w:val="20"/>
    </w:rPr>
  </w:style>
  <w:style w:type="character" w:styleId="FootnoteReference">
    <w:name w:val="footnote reference"/>
    <w:basedOn w:val="DefaultParagraphFont"/>
    <w:rsid w:val="00DD02C9"/>
    <w:rPr>
      <w:vertAlign w:val="superscript"/>
    </w:rPr>
  </w:style>
  <w:style w:type="paragraph" w:styleId="Header">
    <w:name w:val="header"/>
    <w:basedOn w:val="Normal"/>
    <w:link w:val="HeaderChar"/>
    <w:uiPriority w:val="99"/>
    <w:unhideWhenUsed/>
    <w:rsid w:val="00103619"/>
    <w:pPr>
      <w:tabs>
        <w:tab w:val="center" w:pos="4680"/>
        <w:tab w:val="right" w:pos="9360"/>
      </w:tabs>
    </w:pPr>
  </w:style>
  <w:style w:type="character" w:customStyle="1" w:styleId="HeaderChar">
    <w:name w:val="Header Char"/>
    <w:basedOn w:val="DefaultParagraphFont"/>
    <w:link w:val="Header"/>
    <w:uiPriority w:val="99"/>
    <w:rsid w:val="00103619"/>
    <w:rPr>
      <w:rFonts w:ascii="Palatino Linotype" w:eastAsia="Times New Roman" w:hAnsi="Palatino Linotype"/>
      <w:sz w:val="24"/>
      <w:szCs w:val="24"/>
    </w:rPr>
  </w:style>
  <w:style w:type="paragraph" w:styleId="Footer">
    <w:name w:val="footer"/>
    <w:basedOn w:val="Normal"/>
    <w:link w:val="FooterChar"/>
    <w:uiPriority w:val="99"/>
    <w:semiHidden/>
    <w:unhideWhenUsed/>
    <w:rsid w:val="00103619"/>
    <w:pPr>
      <w:tabs>
        <w:tab w:val="center" w:pos="4680"/>
        <w:tab w:val="right" w:pos="9360"/>
      </w:tabs>
    </w:pPr>
  </w:style>
  <w:style w:type="character" w:customStyle="1" w:styleId="FooterChar">
    <w:name w:val="Footer Char"/>
    <w:basedOn w:val="DefaultParagraphFont"/>
    <w:link w:val="Footer"/>
    <w:uiPriority w:val="99"/>
    <w:semiHidden/>
    <w:rsid w:val="00103619"/>
    <w:rPr>
      <w:rFonts w:ascii="Palatino Linotype" w:eastAsia="Times New Roman" w:hAnsi="Palatino Linotype"/>
      <w:sz w:val="24"/>
      <w:szCs w:val="24"/>
    </w:rPr>
  </w:style>
  <w:style w:type="paragraph" w:styleId="BalloonText">
    <w:name w:val="Balloon Text"/>
    <w:basedOn w:val="Normal"/>
    <w:link w:val="BalloonTextChar"/>
    <w:uiPriority w:val="99"/>
    <w:semiHidden/>
    <w:unhideWhenUsed/>
    <w:rsid w:val="00103619"/>
    <w:rPr>
      <w:rFonts w:ascii="Tahoma" w:hAnsi="Tahoma" w:cs="Tahoma"/>
      <w:sz w:val="16"/>
      <w:szCs w:val="16"/>
    </w:rPr>
  </w:style>
  <w:style w:type="character" w:customStyle="1" w:styleId="BalloonTextChar">
    <w:name w:val="Balloon Text Char"/>
    <w:basedOn w:val="DefaultParagraphFont"/>
    <w:link w:val="BalloonText"/>
    <w:uiPriority w:val="99"/>
    <w:semiHidden/>
    <w:rsid w:val="0010361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63838"/>
    <w:rPr>
      <w:sz w:val="16"/>
      <w:szCs w:val="16"/>
    </w:rPr>
  </w:style>
  <w:style w:type="paragraph" w:styleId="CommentText">
    <w:name w:val="annotation text"/>
    <w:basedOn w:val="Normal"/>
    <w:link w:val="CommentTextChar"/>
    <w:uiPriority w:val="99"/>
    <w:semiHidden/>
    <w:unhideWhenUsed/>
    <w:rsid w:val="00B63838"/>
    <w:rPr>
      <w:sz w:val="20"/>
      <w:szCs w:val="20"/>
    </w:rPr>
  </w:style>
  <w:style w:type="character" w:customStyle="1" w:styleId="CommentTextChar">
    <w:name w:val="Comment Text Char"/>
    <w:basedOn w:val="DefaultParagraphFont"/>
    <w:link w:val="CommentText"/>
    <w:uiPriority w:val="99"/>
    <w:semiHidden/>
    <w:rsid w:val="00B63838"/>
    <w:rPr>
      <w:rFonts w:ascii="Palatino Linotype" w:eastAsia="Times New Roman" w:hAnsi="Palatino Linotype"/>
    </w:rPr>
  </w:style>
  <w:style w:type="paragraph" w:styleId="CommentSubject">
    <w:name w:val="annotation subject"/>
    <w:basedOn w:val="CommentText"/>
    <w:next w:val="CommentText"/>
    <w:link w:val="CommentSubjectChar"/>
    <w:uiPriority w:val="99"/>
    <w:semiHidden/>
    <w:unhideWhenUsed/>
    <w:rsid w:val="00B63838"/>
    <w:rPr>
      <w:b/>
      <w:bCs/>
    </w:rPr>
  </w:style>
  <w:style w:type="character" w:customStyle="1" w:styleId="CommentSubjectChar">
    <w:name w:val="Comment Subject Char"/>
    <w:basedOn w:val="CommentTextChar"/>
    <w:link w:val="CommentSubject"/>
    <w:uiPriority w:val="99"/>
    <w:semiHidden/>
    <w:rsid w:val="00B638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B5C12F9ADAE84DB0AB1BCF89268451" ma:contentTypeVersion="131" ma:contentTypeDescription="" ma:contentTypeScope="" ma:versionID="f7bac6267a1084d495bf66dd7d3745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2009-11-30T08:00:00+00:00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091860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4C567-656A-46FC-82B0-F230409D2057}"/>
</file>

<file path=customXml/itemProps2.xml><?xml version="1.0" encoding="utf-8"?>
<ds:datastoreItem xmlns:ds="http://schemas.openxmlformats.org/officeDocument/2006/customXml" ds:itemID="{BE5AB1A5-19E0-4732-9490-24822CFDF268}"/>
</file>

<file path=customXml/itemProps3.xml><?xml version="1.0" encoding="utf-8"?>
<ds:datastoreItem xmlns:ds="http://schemas.openxmlformats.org/officeDocument/2006/customXml" ds:itemID="{6B7BAE58-6077-42D1-A85E-BE01D2E8851B}"/>
</file>

<file path=customXml/itemProps4.xml><?xml version="1.0" encoding="utf-8"?>
<ds:datastoreItem xmlns:ds="http://schemas.openxmlformats.org/officeDocument/2006/customXml" ds:itemID="{3EFAB7FC-246F-4AD9-B717-D98E6092E340}"/>
</file>

<file path=customXml/itemProps5.xml><?xml version="1.0" encoding="utf-8"?>
<ds:datastoreItem xmlns:ds="http://schemas.openxmlformats.org/officeDocument/2006/customXml" ds:itemID="{910949B7-8B8B-4701-9DBF-1D69909328A0}"/>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Mike Sommerville</dc:creator>
  <cp:keywords/>
  <dc:description/>
  <cp:lastModifiedBy>Catherine Hudspeth</cp:lastModifiedBy>
  <cp:revision>2</cp:revision>
  <cp:lastPrinted>2009-12-18T18:42:00Z</cp:lastPrinted>
  <dcterms:created xsi:type="dcterms:W3CDTF">2009-12-21T22:07:00Z</dcterms:created>
  <dcterms:modified xsi:type="dcterms:W3CDTF">2009-12-21T22:07:00Z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0x0101006E56B4D1795A2E4DB2F0B01679ED314A0011B5C12F9ADAE84DB0AB1BCF89268451</vt:lpwstr>
  </property>
  <property fmtid="{D5CDD505-2E9C-101B-9397-08002B2CF9AE}" pid="3" name="Item ID">
    <vt:lpwstr>90</vt:lpwstr>
  </property>
  <property fmtid="{D5CDD505-2E9C-101B-9397-08002B2CF9AE}" pid="4" name="Move To">
    <vt:lpwstr/>
  </property>
  <property fmtid="{D5CDD505-2E9C-101B-9397-08002B2CF9AE}" pid="5" name="Document Type">
    <vt:lpwstr>Memo</vt:lpwstr>
  </property>
  <property fmtid="{D5CDD505-2E9C-101B-9397-08002B2CF9AE}" pid="6" name="Status">
    <vt:lpwstr>Ready for Review</vt:lpwstr>
  </property>
  <property fmtid="{D5CDD505-2E9C-101B-9397-08002B2CF9AE}" pid="7" name="Move Item0">
    <vt:lpwstr>0</vt:lpwstr>
  </property>
  <property fmtid="{D5CDD505-2E9C-101B-9397-08002B2CF9AE}" pid="8" name="_docset_NoMedatataSyncRequired">
    <vt:lpwstr>False</vt:lpwstr>
  </property>
</Properties>
</file>