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C92D5C">
        <w:rPr>
          <w:sz w:val="24"/>
        </w:rPr>
        <w:t>Ju</w:t>
      </w:r>
      <w:r w:rsidR="00A3406B">
        <w:rPr>
          <w:sz w:val="24"/>
        </w:rPr>
        <w:t>ne</w:t>
      </w:r>
      <w:r w:rsidR="00C92D5C">
        <w:rPr>
          <w:sz w:val="24"/>
        </w:rPr>
        <w:t xml:space="preserve"> </w:t>
      </w:r>
      <w:r w:rsidR="00A3406B">
        <w:rPr>
          <w:sz w:val="24"/>
        </w:rPr>
        <w:t>25</w:t>
      </w:r>
      <w:r>
        <w:rPr>
          <w:sz w:val="24"/>
        </w:rPr>
        <w:t>, 200</w:t>
      </w:r>
      <w:r w:rsidR="00A3406B">
        <w:rPr>
          <w:sz w:val="24"/>
        </w:rPr>
        <w:t>9</w:t>
      </w:r>
      <w:r>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Pr>
          <w:sz w:val="24"/>
        </w:rPr>
        <w:tab/>
      </w:r>
      <w:r>
        <w:rPr>
          <w:sz w:val="24"/>
        </w:rPr>
        <w:tab/>
      </w:r>
      <w:r w:rsidR="00B12018">
        <w:rPr>
          <w:sz w:val="24"/>
        </w:rPr>
        <w:t>A</w:t>
      </w:r>
      <w:r w:rsidR="002F260E">
        <w:rPr>
          <w:sz w:val="24"/>
        </w:rPr>
        <w:t>3</w:t>
      </w:r>
      <w:r w:rsidRPr="0042096A">
        <w:rPr>
          <w:sz w:val="24"/>
        </w:rPr>
        <w:tab/>
      </w:r>
      <w:r w:rsidRPr="0042096A">
        <w:rPr>
          <w:sz w:val="24"/>
        </w:rPr>
        <w:tab/>
      </w:r>
      <w:r w:rsidRPr="0042096A">
        <w:rPr>
          <w:sz w:val="24"/>
        </w:rPr>
        <w:tab/>
      </w:r>
      <w:r w:rsidRPr="0042096A">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sidR="00B12018">
        <w:rPr>
          <w:b/>
          <w:bCs/>
          <w:sz w:val="24"/>
        </w:rPr>
        <w:t>UW</w:t>
      </w:r>
      <w:r w:rsidRPr="0042096A">
        <w:rPr>
          <w:b/>
          <w:bCs/>
          <w:sz w:val="24"/>
        </w:rPr>
        <w:t>-</w:t>
      </w:r>
      <w:r w:rsidR="00A3406B">
        <w:rPr>
          <w:b/>
          <w:bCs/>
          <w:sz w:val="24"/>
        </w:rPr>
        <w:t>090819</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rPr>
        <w:t>Company Name:</w:t>
      </w:r>
      <w:r w:rsidRPr="0042096A">
        <w:rPr>
          <w:sz w:val="24"/>
        </w:rPr>
        <w:tab/>
      </w:r>
      <w:r w:rsidR="00C92D5C">
        <w:rPr>
          <w:sz w:val="24"/>
        </w:rPr>
        <w:t>Aquarius Utilities, LLC</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A3406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774E5D">
        <w:rPr>
          <w:sz w:val="24"/>
        </w:rPr>
        <w:t>Chris Mickelson</w:t>
      </w:r>
      <w:r w:rsidRPr="0042096A">
        <w:rPr>
          <w:sz w:val="24"/>
        </w:rPr>
        <w:t>, Regulatory Analyst</w:t>
      </w:r>
    </w:p>
    <w:p w:rsidR="008956A7" w:rsidRPr="00A3406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3406B">
        <w:rPr>
          <w:sz w:val="24"/>
        </w:rPr>
        <w:tab/>
      </w:r>
      <w:r w:rsidRPr="00A3406B">
        <w:rPr>
          <w:sz w:val="24"/>
        </w:rPr>
        <w:tab/>
      </w:r>
      <w:r w:rsidRPr="00A3406B">
        <w:rPr>
          <w:sz w:val="24"/>
        </w:rPr>
        <w:tab/>
        <w:t xml:space="preserve">Dennis Shutler, </w:t>
      </w:r>
      <w:r w:rsidR="00F061F8" w:rsidRPr="00A3406B">
        <w:rPr>
          <w:sz w:val="24"/>
        </w:rPr>
        <w:t xml:space="preserve">Consumer </w:t>
      </w:r>
      <w:r w:rsidR="00A3406B" w:rsidRPr="00A3406B">
        <w:rPr>
          <w:sz w:val="24"/>
        </w:rPr>
        <w:t xml:space="preserve">Protection Staff </w:t>
      </w:r>
    </w:p>
    <w:p w:rsidR="00A56E62" w:rsidRPr="00A3406B" w:rsidRDefault="00A56E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697E4B"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D3C9C" w:rsidRPr="001C2403" w:rsidRDefault="002D3C9C" w:rsidP="0074693E">
      <w:pPr>
        <w:pStyle w:val="BodyText"/>
        <w:rPr>
          <w:rFonts w:ascii="Times New Roman" w:hAnsi="Times New Roman"/>
          <w:color w:val="000000"/>
        </w:rPr>
      </w:pPr>
      <w:r w:rsidRPr="007C0E67">
        <w:rPr>
          <w:rFonts w:ascii="Times New Roman" w:hAnsi="Times New Roman"/>
          <w:color w:val="000000"/>
        </w:rPr>
        <w:t xml:space="preserve">Issue a Complaint and Order Suspending the Tariff Revisions filed by </w:t>
      </w:r>
      <w:r w:rsidR="00C92D5C">
        <w:rPr>
          <w:rFonts w:ascii="Times New Roman" w:hAnsi="Times New Roman"/>
          <w:color w:val="000000"/>
        </w:rPr>
        <w:t>Aquarius Utilities, LLC</w:t>
      </w:r>
      <w:r w:rsidR="001C2403">
        <w:rPr>
          <w:rFonts w:ascii="Times New Roman" w:hAnsi="Times New Roman"/>
          <w:color w:val="000000"/>
        </w:rPr>
        <w:t>.</w:t>
      </w:r>
    </w:p>
    <w:p w:rsidR="00A277CA" w:rsidRPr="0042096A"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5500C" w:rsidRPr="0042096A"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b/>
          <w:bCs/>
          <w:sz w:val="24"/>
          <w:u w:val="single"/>
        </w:rPr>
        <w:t>Discussion</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92D5C" w:rsidRPr="009056DD" w:rsidRDefault="00C92D5C" w:rsidP="00C92D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34AE0">
        <w:rPr>
          <w:sz w:val="24"/>
        </w:rPr>
        <w:t xml:space="preserve">On </w:t>
      </w:r>
      <w:r w:rsidR="001C2403">
        <w:rPr>
          <w:sz w:val="24"/>
        </w:rPr>
        <w:t>May 26, 2009</w:t>
      </w:r>
      <w:r>
        <w:rPr>
          <w:sz w:val="24"/>
        </w:rPr>
        <w:t>, Aquarius Utilities, LLC,</w:t>
      </w:r>
      <w:r w:rsidRPr="00B34AE0">
        <w:rPr>
          <w:sz w:val="24"/>
        </w:rPr>
        <w:t xml:space="preserve"> (</w:t>
      </w:r>
      <w:r>
        <w:rPr>
          <w:sz w:val="24"/>
        </w:rPr>
        <w:t xml:space="preserve">Aquarius </w:t>
      </w:r>
      <w:r w:rsidRPr="00B34AE0">
        <w:rPr>
          <w:sz w:val="24"/>
        </w:rPr>
        <w:t>or company)</w:t>
      </w:r>
      <w:r>
        <w:rPr>
          <w:sz w:val="24"/>
        </w:rPr>
        <w:t>,</w:t>
      </w:r>
      <w:r w:rsidRPr="00B34AE0">
        <w:rPr>
          <w:sz w:val="24"/>
        </w:rPr>
        <w:t xml:space="preserve"> filed with the Utilities and Transportation Commission (</w:t>
      </w:r>
      <w:r>
        <w:rPr>
          <w:sz w:val="24"/>
        </w:rPr>
        <w:t>c</w:t>
      </w:r>
      <w:r w:rsidRPr="00B34AE0">
        <w:rPr>
          <w:sz w:val="24"/>
        </w:rPr>
        <w:t xml:space="preserve">ommission) </w:t>
      </w:r>
      <w:r>
        <w:rPr>
          <w:sz w:val="24"/>
        </w:rPr>
        <w:t xml:space="preserve">tariff revisions that would </w:t>
      </w:r>
      <w:r w:rsidRPr="00B34AE0">
        <w:rPr>
          <w:sz w:val="24"/>
        </w:rPr>
        <w:t>generate $</w:t>
      </w:r>
      <w:r w:rsidR="001C2403">
        <w:rPr>
          <w:sz w:val="24"/>
        </w:rPr>
        <w:t>50,000</w:t>
      </w:r>
      <w:r w:rsidRPr="00B34AE0">
        <w:rPr>
          <w:sz w:val="24"/>
        </w:rPr>
        <w:t xml:space="preserve"> (</w:t>
      </w:r>
      <w:r w:rsidR="001C2403">
        <w:rPr>
          <w:sz w:val="24"/>
        </w:rPr>
        <w:t>11</w:t>
      </w:r>
      <w:r w:rsidRPr="00B34AE0">
        <w:rPr>
          <w:sz w:val="24"/>
        </w:rPr>
        <w:t xml:space="preserve"> percent) in additional </w:t>
      </w:r>
      <w:r w:rsidR="00DF44C4">
        <w:rPr>
          <w:sz w:val="24"/>
        </w:rPr>
        <w:t xml:space="preserve">annual </w:t>
      </w:r>
      <w:r w:rsidRPr="00B34AE0">
        <w:rPr>
          <w:sz w:val="24"/>
        </w:rPr>
        <w:t xml:space="preserve">revenue. </w:t>
      </w:r>
      <w:r>
        <w:rPr>
          <w:sz w:val="24"/>
        </w:rPr>
        <w:t xml:space="preserve">The company </w:t>
      </w:r>
      <w:r w:rsidRPr="00B34AE0">
        <w:rPr>
          <w:sz w:val="24"/>
        </w:rPr>
        <w:t>serves</w:t>
      </w:r>
      <w:r>
        <w:rPr>
          <w:sz w:val="24"/>
        </w:rPr>
        <w:t xml:space="preserve"> </w:t>
      </w:r>
      <w:r w:rsidR="00AA79AD">
        <w:rPr>
          <w:sz w:val="24"/>
        </w:rPr>
        <w:t>879</w:t>
      </w:r>
      <w:r w:rsidRPr="00B34AE0">
        <w:rPr>
          <w:sz w:val="24"/>
        </w:rPr>
        <w:t xml:space="preserve"> </w:t>
      </w:r>
      <w:r w:rsidR="00BC1317">
        <w:rPr>
          <w:sz w:val="24"/>
        </w:rPr>
        <w:t xml:space="preserve">water </w:t>
      </w:r>
      <w:r w:rsidRPr="00B34AE0">
        <w:rPr>
          <w:sz w:val="24"/>
        </w:rPr>
        <w:t xml:space="preserve">customers </w:t>
      </w:r>
      <w:r>
        <w:rPr>
          <w:sz w:val="24"/>
        </w:rPr>
        <w:t>located in Clallam, Kitsap and Mason c</w:t>
      </w:r>
      <w:r w:rsidRPr="00B34AE0">
        <w:rPr>
          <w:sz w:val="24"/>
        </w:rPr>
        <w:t>ount</w:t>
      </w:r>
      <w:r>
        <w:rPr>
          <w:sz w:val="24"/>
        </w:rPr>
        <w:t>ies</w:t>
      </w:r>
      <w:r w:rsidRPr="00B34AE0">
        <w:rPr>
          <w:sz w:val="24"/>
        </w:rPr>
        <w:t>. The</w:t>
      </w:r>
      <w:r>
        <w:rPr>
          <w:sz w:val="24"/>
        </w:rPr>
        <w:t xml:space="preserve"> proposed rates are prompted by increases in </w:t>
      </w:r>
      <w:r w:rsidR="00370D83">
        <w:rPr>
          <w:sz w:val="24"/>
        </w:rPr>
        <w:t>operating</w:t>
      </w:r>
      <w:r w:rsidR="00493A07">
        <w:rPr>
          <w:sz w:val="24"/>
        </w:rPr>
        <w:t xml:space="preserve"> and administrative cost </w:t>
      </w:r>
      <w:r w:rsidR="00F4205F">
        <w:rPr>
          <w:sz w:val="24"/>
        </w:rPr>
        <w:t xml:space="preserve">such as payroll, depreciation, insurance and county permitting fees </w:t>
      </w:r>
      <w:r w:rsidR="00493A07">
        <w:rPr>
          <w:sz w:val="24"/>
        </w:rPr>
        <w:t>since the last rate increase</w:t>
      </w:r>
      <w:r w:rsidR="00370D83">
        <w:rPr>
          <w:sz w:val="24"/>
        </w:rPr>
        <w:t xml:space="preserve">. </w:t>
      </w:r>
      <w:r w:rsidR="000827B0">
        <w:rPr>
          <w:sz w:val="24"/>
        </w:rPr>
        <w:t xml:space="preserve">The company’s last general rate </w:t>
      </w:r>
      <w:r w:rsidR="00F4205F">
        <w:rPr>
          <w:sz w:val="24"/>
        </w:rPr>
        <w:t>increase became effective on August</w:t>
      </w:r>
      <w:r w:rsidR="000827B0">
        <w:rPr>
          <w:sz w:val="24"/>
        </w:rPr>
        <w:t xml:space="preserve"> 1</w:t>
      </w:r>
      <w:r w:rsidR="00F4205F">
        <w:rPr>
          <w:sz w:val="24"/>
        </w:rPr>
        <w:t>5</w:t>
      </w:r>
      <w:r w:rsidR="000827B0">
        <w:rPr>
          <w:sz w:val="24"/>
        </w:rPr>
        <w:t>, 200</w:t>
      </w:r>
      <w:r w:rsidR="00493A07">
        <w:rPr>
          <w:sz w:val="24"/>
        </w:rPr>
        <w:t>8</w:t>
      </w:r>
      <w:r w:rsidR="000827B0">
        <w:rPr>
          <w:sz w:val="24"/>
        </w:rPr>
        <w:t>.</w:t>
      </w:r>
    </w:p>
    <w:p w:rsidR="00C92D5C" w:rsidRPr="009056DD" w:rsidRDefault="00C92D5C" w:rsidP="00C92D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D3C9C" w:rsidRPr="002D3C9C" w:rsidRDefault="001A11EB" w:rsidP="002D3C9C">
      <w:pPr>
        <w:pStyle w:val="BodyText"/>
        <w:rPr>
          <w:rFonts w:ascii="Times New Roman" w:hAnsi="Times New Roman"/>
          <w:color w:val="000000"/>
        </w:rPr>
      </w:pPr>
      <w:r>
        <w:rPr>
          <w:rFonts w:ascii="Times New Roman" w:hAnsi="Times New Roman"/>
          <w:color w:val="000000"/>
        </w:rPr>
        <w:t xml:space="preserve">The company </w:t>
      </w:r>
      <w:r w:rsidR="00F4205F">
        <w:rPr>
          <w:rFonts w:ascii="Times New Roman" w:hAnsi="Times New Roman"/>
          <w:color w:val="000000"/>
        </w:rPr>
        <w:t xml:space="preserve">is seeking to </w:t>
      </w:r>
      <w:r w:rsidR="00556B78">
        <w:rPr>
          <w:rFonts w:ascii="Times New Roman" w:hAnsi="Times New Roman"/>
          <w:color w:val="000000"/>
        </w:rPr>
        <w:t>increase</w:t>
      </w:r>
      <w:r w:rsidR="00F4205F">
        <w:rPr>
          <w:rFonts w:ascii="Times New Roman" w:hAnsi="Times New Roman"/>
          <w:color w:val="000000"/>
        </w:rPr>
        <w:t xml:space="preserve"> its </w:t>
      </w:r>
      <w:r w:rsidR="00480972">
        <w:rPr>
          <w:rFonts w:ascii="Times New Roman" w:hAnsi="Times New Roman"/>
          <w:color w:val="000000"/>
        </w:rPr>
        <w:t>f</w:t>
      </w:r>
      <w:r w:rsidR="00370D83">
        <w:rPr>
          <w:rFonts w:ascii="Times New Roman" w:hAnsi="Times New Roman"/>
          <w:color w:val="000000"/>
        </w:rPr>
        <w:t>acilities</w:t>
      </w:r>
      <w:r w:rsidR="00F4205F">
        <w:rPr>
          <w:rFonts w:ascii="Times New Roman" w:hAnsi="Times New Roman"/>
          <w:color w:val="000000"/>
        </w:rPr>
        <w:t xml:space="preserve"> </w:t>
      </w:r>
      <w:r w:rsidR="00480972">
        <w:rPr>
          <w:rFonts w:ascii="Times New Roman" w:hAnsi="Times New Roman"/>
          <w:color w:val="000000"/>
        </w:rPr>
        <w:t>c</w:t>
      </w:r>
      <w:r w:rsidR="00F4205F">
        <w:rPr>
          <w:rFonts w:ascii="Times New Roman" w:hAnsi="Times New Roman"/>
          <w:color w:val="000000"/>
        </w:rPr>
        <w:t>harge from $1,450 to $2,950</w:t>
      </w:r>
      <w:r w:rsidR="00556B78">
        <w:rPr>
          <w:rFonts w:ascii="Times New Roman" w:hAnsi="Times New Roman"/>
          <w:color w:val="000000"/>
        </w:rPr>
        <w:t>. A f</w:t>
      </w:r>
      <w:r w:rsidR="00370D83">
        <w:rPr>
          <w:rFonts w:ascii="Times New Roman" w:hAnsi="Times New Roman"/>
          <w:color w:val="000000"/>
        </w:rPr>
        <w:t>acilities</w:t>
      </w:r>
      <w:r w:rsidR="00F4205F">
        <w:rPr>
          <w:rFonts w:ascii="Times New Roman" w:hAnsi="Times New Roman"/>
          <w:color w:val="000000"/>
        </w:rPr>
        <w:t xml:space="preserve"> </w:t>
      </w:r>
      <w:r w:rsidR="00480972">
        <w:rPr>
          <w:rFonts w:ascii="Times New Roman" w:hAnsi="Times New Roman"/>
          <w:color w:val="000000"/>
        </w:rPr>
        <w:t>c</w:t>
      </w:r>
      <w:r w:rsidR="00370D83">
        <w:rPr>
          <w:rFonts w:ascii="Times New Roman" w:hAnsi="Times New Roman"/>
          <w:color w:val="000000"/>
        </w:rPr>
        <w:t>harge</w:t>
      </w:r>
      <w:r w:rsidR="00F4205F">
        <w:rPr>
          <w:rFonts w:ascii="Times New Roman" w:hAnsi="Times New Roman"/>
          <w:color w:val="000000"/>
        </w:rPr>
        <w:t xml:space="preserve"> </w:t>
      </w:r>
      <w:r w:rsidR="00556B78">
        <w:rPr>
          <w:rFonts w:ascii="Times New Roman" w:hAnsi="Times New Roman"/>
          <w:color w:val="000000"/>
        </w:rPr>
        <w:t>is a</w:t>
      </w:r>
      <w:r w:rsidR="00F4205F">
        <w:rPr>
          <w:rFonts w:ascii="Times New Roman" w:hAnsi="Times New Roman"/>
          <w:color w:val="000000"/>
        </w:rPr>
        <w:t xml:space="preserve"> one</w:t>
      </w:r>
      <w:r w:rsidR="00480972">
        <w:rPr>
          <w:rFonts w:ascii="Times New Roman" w:hAnsi="Times New Roman"/>
          <w:color w:val="000000"/>
        </w:rPr>
        <w:t>-time</w:t>
      </w:r>
      <w:r w:rsidR="00F4205F">
        <w:rPr>
          <w:rFonts w:ascii="Times New Roman" w:hAnsi="Times New Roman"/>
          <w:color w:val="000000"/>
        </w:rPr>
        <w:t xml:space="preserve"> charge </w:t>
      </w:r>
      <w:r w:rsidR="00556B78">
        <w:rPr>
          <w:rFonts w:ascii="Times New Roman" w:hAnsi="Times New Roman"/>
          <w:color w:val="000000"/>
        </w:rPr>
        <w:t>assessed</w:t>
      </w:r>
      <w:r w:rsidR="00F4205F">
        <w:rPr>
          <w:rFonts w:ascii="Times New Roman" w:hAnsi="Times New Roman"/>
          <w:color w:val="000000"/>
        </w:rPr>
        <w:t xml:space="preserve"> to new </w:t>
      </w:r>
      <w:r w:rsidR="00370D83">
        <w:rPr>
          <w:rFonts w:ascii="Times New Roman" w:hAnsi="Times New Roman"/>
          <w:color w:val="000000"/>
        </w:rPr>
        <w:t>customer</w:t>
      </w:r>
      <w:r w:rsidR="00556B78">
        <w:rPr>
          <w:rFonts w:ascii="Times New Roman" w:hAnsi="Times New Roman"/>
          <w:color w:val="000000"/>
        </w:rPr>
        <w:t xml:space="preserve">s to pay for capital improvements required to serve </w:t>
      </w:r>
      <w:r w:rsidR="00F4205F">
        <w:rPr>
          <w:rFonts w:ascii="Times New Roman" w:hAnsi="Times New Roman"/>
          <w:color w:val="000000"/>
        </w:rPr>
        <w:t>new customers.</w:t>
      </w:r>
      <w:r w:rsidR="00C4597F">
        <w:rPr>
          <w:rFonts w:ascii="Times New Roman" w:hAnsi="Times New Roman"/>
          <w:color w:val="000000"/>
        </w:rPr>
        <w:t xml:space="preserve"> </w:t>
      </w:r>
    </w:p>
    <w:p w:rsidR="002D3C9C" w:rsidRPr="003141B2" w:rsidRDefault="002D3C9C" w:rsidP="002D3C9C">
      <w:pPr>
        <w:pStyle w:val="BodyText"/>
        <w:widowControl/>
        <w:tabs>
          <w:tab w:val="left" w:pos="0"/>
        </w:tabs>
        <w:rPr>
          <w:rFonts w:ascii="Times New Roman" w:hAnsi="Times New Roman"/>
        </w:rPr>
      </w:pPr>
    </w:p>
    <w:p w:rsidR="002D3C9C" w:rsidRPr="002D3C9C" w:rsidRDefault="002D3C9C" w:rsidP="002D3C9C">
      <w:pPr>
        <w:pStyle w:val="BodyText"/>
        <w:widowControl/>
        <w:tabs>
          <w:tab w:val="left" w:pos="0"/>
        </w:tabs>
        <w:rPr>
          <w:rFonts w:ascii="Times New Roman" w:hAnsi="Times New Roman"/>
          <w:b/>
          <w:u w:val="single"/>
        </w:rPr>
      </w:pPr>
      <w:r w:rsidRPr="002D3C9C">
        <w:rPr>
          <w:rFonts w:ascii="Times New Roman" w:hAnsi="Times New Roman"/>
          <w:b/>
          <w:u w:val="single"/>
        </w:rPr>
        <w:t>Customer Comments</w:t>
      </w:r>
    </w:p>
    <w:p w:rsidR="002D3C9C" w:rsidRPr="00881EA3" w:rsidRDefault="00841334" w:rsidP="002D3C9C">
      <w:pPr>
        <w:rPr>
          <w:sz w:val="24"/>
        </w:rPr>
      </w:pPr>
      <w:r>
        <w:rPr>
          <w:sz w:val="24"/>
        </w:rPr>
        <w:t xml:space="preserve"> </w:t>
      </w:r>
    </w:p>
    <w:p w:rsidR="00E2165C" w:rsidRPr="00E2165C" w:rsidRDefault="00C92D5C" w:rsidP="00E2165C">
      <w:pPr>
        <w:pStyle w:val="BodyText"/>
        <w:widowControl/>
        <w:tabs>
          <w:tab w:val="left" w:pos="0"/>
        </w:tabs>
        <w:rPr>
          <w:rFonts w:ascii="Times New Roman" w:hAnsi="Times New Roman"/>
        </w:rPr>
      </w:pPr>
      <w:r w:rsidRPr="00B21B46">
        <w:rPr>
          <w:rFonts w:ascii="Times New Roman" w:hAnsi="Times New Roman"/>
        </w:rPr>
        <w:t>On Ma</w:t>
      </w:r>
      <w:r w:rsidR="00F4205F">
        <w:rPr>
          <w:rFonts w:ascii="Times New Roman" w:hAnsi="Times New Roman"/>
        </w:rPr>
        <w:t>y</w:t>
      </w:r>
      <w:r w:rsidRPr="00B21B46">
        <w:rPr>
          <w:rFonts w:ascii="Times New Roman" w:hAnsi="Times New Roman"/>
        </w:rPr>
        <w:t xml:space="preserve"> </w:t>
      </w:r>
      <w:r>
        <w:rPr>
          <w:rFonts w:ascii="Times New Roman" w:hAnsi="Times New Roman"/>
        </w:rPr>
        <w:t>2</w:t>
      </w:r>
      <w:r w:rsidR="00F4205F">
        <w:rPr>
          <w:rFonts w:ascii="Times New Roman" w:hAnsi="Times New Roman"/>
        </w:rPr>
        <w:t>2</w:t>
      </w:r>
      <w:r w:rsidRPr="00B21B46">
        <w:rPr>
          <w:rFonts w:ascii="Times New Roman" w:hAnsi="Times New Roman"/>
        </w:rPr>
        <w:t>, 200</w:t>
      </w:r>
      <w:r w:rsidR="00F4205F">
        <w:rPr>
          <w:rFonts w:ascii="Times New Roman" w:hAnsi="Times New Roman"/>
        </w:rPr>
        <w:t>9</w:t>
      </w:r>
      <w:r w:rsidRPr="00B21B46">
        <w:rPr>
          <w:rFonts w:ascii="Times New Roman" w:hAnsi="Times New Roman"/>
        </w:rPr>
        <w:t>, the company notified its customers of the rate increase by mail.</w:t>
      </w:r>
      <w:r w:rsidR="00CB538B">
        <w:rPr>
          <w:rFonts w:ascii="Times New Roman" w:hAnsi="Times New Roman"/>
        </w:rPr>
        <w:t xml:space="preserve"> </w:t>
      </w:r>
      <w:r w:rsidR="00CB538B" w:rsidRPr="00CB538B">
        <w:rPr>
          <w:rFonts w:ascii="Times New Roman" w:hAnsi="Times New Roman"/>
        </w:rPr>
        <w:t>T</w:t>
      </w:r>
      <w:r w:rsidR="00881EA3" w:rsidRPr="00CB538B">
        <w:rPr>
          <w:rFonts w:ascii="Times New Roman" w:hAnsi="Times New Roman"/>
        </w:rPr>
        <w:t xml:space="preserve">he commission has received </w:t>
      </w:r>
      <w:r w:rsidR="00217CFB">
        <w:rPr>
          <w:rFonts w:ascii="Times New Roman" w:hAnsi="Times New Roman"/>
        </w:rPr>
        <w:t>eight</w:t>
      </w:r>
      <w:r w:rsidR="00881EA3" w:rsidRPr="00CB538B">
        <w:rPr>
          <w:rFonts w:ascii="Times New Roman" w:hAnsi="Times New Roman"/>
        </w:rPr>
        <w:t xml:space="preserve"> customer </w:t>
      </w:r>
      <w:r w:rsidR="00E80966" w:rsidRPr="00CB538B">
        <w:rPr>
          <w:rFonts w:ascii="Times New Roman" w:hAnsi="Times New Roman"/>
        </w:rPr>
        <w:t>comments</w:t>
      </w:r>
      <w:r w:rsidR="00881EA3" w:rsidRPr="00CB538B">
        <w:rPr>
          <w:rFonts w:ascii="Times New Roman" w:hAnsi="Times New Roman"/>
        </w:rPr>
        <w:t xml:space="preserve"> </w:t>
      </w:r>
      <w:r w:rsidR="004E22DB">
        <w:rPr>
          <w:rFonts w:ascii="Times New Roman" w:hAnsi="Times New Roman"/>
        </w:rPr>
        <w:t>on</w:t>
      </w:r>
      <w:r w:rsidR="00B10294" w:rsidRPr="00CB538B">
        <w:rPr>
          <w:rFonts w:ascii="Times New Roman" w:hAnsi="Times New Roman"/>
        </w:rPr>
        <w:t xml:space="preserve"> this</w:t>
      </w:r>
      <w:r w:rsidR="00881EA3" w:rsidRPr="00CB538B">
        <w:rPr>
          <w:rFonts w:ascii="Times New Roman" w:hAnsi="Times New Roman"/>
        </w:rPr>
        <w:t xml:space="preserve"> filing</w:t>
      </w:r>
      <w:r w:rsidR="00E2165C">
        <w:rPr>
          <w:rFonts w:ascii="Times New Roman" w:hAnsi="Times New Roman"/>
        </w:rPr>
        <w:t>; a</w:t>
      </w:r>
      <w:r w:rsidR="00E2165C" w:rsidRPr="00E2165C">
        <w:rPr>
          <w:rFonts w:ascii="Times New Roman" w:hAnsi="Times New Roman"/>
        </w:rPr>
        <w:t>ll are opposed to the proposed increase. Please note: Customers often address several issues of concern within one comment. Therefore, subtotals may not equal the total number of comments submitted.</w:t>
      </w:r>
    </w:p>
    <w:p w:rsidR="00E2165C" w:rsidRPr="00E2165C" w:rsidRDefault="00E2165C" w:rsidP="00E2165C">
      <w:pPr>
        <w:pStyle w:val="BodyText"/>
        <w:widowControl/>
        <w:tabs>
          <w:tab w:val="left" w:pos="0"/>
        </w:tabs>
        <w:rPr>
          <w:rFonts w:ascii="Times New Roman" w:hAnsi="Times New Roman"/>
        </w:rPr>
      </w:pPr>
    </w:p>
    <w:p w:rsidR="00E2165C" w:rsidRPr="00E2165C" w:rsidRDefault="00E2165C" w:rsidP="00E2165C">
      <w:pPr>
        <w:pStyle w:val="BodyText"/>
        <w:widowControl/>
        <w:tabs>
          <w:tab w:val="left" w:pos="0"/>
        </w:tabs>
        <w:rPr>
          <w:rFonts w:ascii="Times New Roman" w:hAnsi="Times New Roman"/>
        </w:rPr>
      </w:pPr>
      <w:r w:rsidRPr="00E2165C">
        <w:rPr>
          <w:rFonts w:ascii="Times New Roman" w:hAnsi="Times New Roman"/>
        </w:rPr>
        <w:t>Consumer Protection staff advises customers that they may access company documents pertinent to this rate case at www.utc.wa.gov, and www.utc.wa.gov/water and that they may contact Dennis Shutler at 1-888-333-9882 with questions or concerns.</w:t>
      </w:r>
    </w:p>
    <w:p w:rsidR="00E2165C" w:rsidRPr="00E2165C" w:rsidRDefault="00E2165C" w:rsidP="00E2165C">
      <w:pPr>
        <w:pStyle w:val="BodyText"/>
        <w:widowControl/>
        <w:tabs>
          <w:tab w:val="left" w:pos="0"/>
        </w:tabs>
        <w:rPr>
          <w:rFonts w:ascii="Times New Roman" w:hAnsi="Times New Roman"/>
        </w:rPr>
      </w:pPr>
    </w:p>
    <w:p w:rsidR="00E2165C" w:rsidRPr="00E2165C" w:rsidRDefault="00E2165C" w:rsidP="00E2165C">
      <w:pPr>
        <w:pStyle w:val="BodyText"/>
        <w:tabs>
          <w:tab w:val="left" w:pos="0"/>
        </w:tabs>
        <w:rPr>
          <w:rFonts w:ascii="Times New Roman" w:hAnsi="Times New Roman"/>
          <w:b/>
        </w:rPr>
      </w:pPr>
      <w:r w:rsidRPr="00E2165C">
        <w:rPr>
          <w:rFonts w:ascii="Times New Roman" w:hAnsi="Times New Roman"/>
          <w:b/>
        </w:rPr>
        <w:t>Filing Documents and Methodology Comments</w:t>
      </w:r>
    </w:p>
    <w:p w:rsidR="00E2165C" w:rsidRPr="00E2165C" w:rsidRDefault="00E2165C" w:rsidP="00E2165C">
      <w:pPr>
        <w:pStyle w:val="BodyText"/>
        <w:widowControl/>
        <w:numPr>
          <w:ilvl w:val="0"/>
          <w:numId w:val="19"/>
        </w:numPr>
        <w:tabs>
          <w:tab w:val="left" w:pos="0"/>
        </w:tabs>
        <w:rPr>
          <w:rFonts w:ascii="Times New Roman" w:hAnsi="Times New Roman"/>
        </w:rPr>
      </w:pPr>
      <w:r w:rsidRPr="00E2165C">
        <w:rPr>
          <w:rFonts w:ascii="Times New Roman" w:hAnsi="Times New Roman"/>
        </w:rPr>
        <w:t>Three customers</w:t>
      </w:r>
      <w:r w:rsidR="00FD5761">
        <w:rPr>
          <w:rFonts w:ascii="Times New Roman" w:hAnsi="Times New Roman"/>
        </w:rPr>
        <w:t>,</w:t>
      </w:r>
      <w:r w:rsidRPr="00E2165C">
        <w:rPr>
          <w:rFonts w:ascii="Times New Roman" w:hAnsi="Times New Roman"/>
        </w:rPr>
        <w:t xml:space="preserve"> </w:t>
      </w:r>
      <w:r w:rsidR="00F24B00">
        <w:rPr>
          <w:rFonts w:ascii="Times New Roman" w:hAnsi="Times New Roman"/>
        </w:rPr>
        <w:t xml:space="preserve">representing </w:t>
      </w:r>
      <w:r w:rsidRPr="00E2165C">
        <w:rPr>
          <w:rFonts w:ascii="Times New Roman" w:hAnsi="Times New Roman"/>
        </w:rPr>
        <w:t>the Concerned Citizens of Greater Diamond Point (CCoGDP)</w:t>
      </w:r>
      <w:r w:rsidR="00FD5761">
        <w:rPr>
          <w:rFonts w:ascii="Times New Roman" w:hAnsi="Times New Roman"/>
        </w:rPr>
        <w:t>,</w:t>
      </w:r>
      <w:r w:rsidRPr="00E2165C">
        <w:rPr>
          <w:rFonts w:ascii="Times New Roman" w:hAnsi="Times New Roman"/>
        </w:rPr>
        <w:t xml:space="preserve"> believe increas</w:t>
      </w:r>
      <w:r w:rsidR="00FD5761">
        <w:rPr>
          <w:rFonts w:ascii="Times New Roman" w:hAnsi="Times New Roman"/>
        </w:rPr>
        <w:t>ing</w:t>
      </w:r>
      <w:r w:rsidRPr="00E2165C">
        <w:rPr>
          <w:rFonts w:ascii="Times New Roman" w:hAnsi="Times New Roman"/>
        </w:rPr>
        <w:t xml:space="preserve"> the base rate</w:t>
      </w:r>
      <w:r w:rsidR="00FD5761">
        <w:rPr>
          <w:rFonts w:ascii="Times New Roman" w:hAnsi="Times New Roman"/>
        </w:rPr>
        <w:t>,</w:t>
      </w:r>
      <w:r w:rsidRPr="00E2165C">
        <w:rPr>
          <w:rFonts w:ascii="Times New Roman" w:hAnsi="Times New Roman"/>
        </w:rPr>
        <w:t xml:space="preserve"> </w:t>
      </w:r>
      <w:r w:rsidR="00FD5761">
        <w:rPr>
          <w:rFonts w:ascii="Times New Roman" w:hAnsi="Times New Roman"/>
        </w:rPr>
        <w:t xml:space="preserve">in effect, </w:t>
      </w:r>
      <w:r w:rsidRPr="00E2165C">
        <w:rPr>
          <w:rFonts w:ascii="Times New Roman" w:hAnsi="Times New Roman"/>
        </w:rPr>
        <w:t>penalize</w:t>
      </w:r>
      <w:r w:rsidR="00FD5761">
        <w:rPr>
          <w:rFonts w:ascii="Times New Roman" w:hAnsi="Times New Roman"/>
        </w:rPr>
        <w:t>s</w:t>
      </w:r>
      <w:r w:rsidRPr="00E2165C">
        <w:rPr>
          <w:rFonts w:ascii="Times New Roman" w:hAnsi="Times New Roman"/>
        </w:rPr>
        <w:t xml:space="preserve"> customers </w:t>
      </w:r>
      <w:r w:rsidR="00A91BE3">
        <w:rPr>
          <w:rFonts w:ascii="Times New Roman" w:hAnsi="Times New Roman"/>
        </w:rPr>
        <w:t xml:space="preserve">who </w:t>
      </w:r>
      <w:r w:rsidRPr="00E2165C">
        <w:rPr>
          <w:rFonts w:ascii="Times New Roman" w:hAnsi="Times New Roman"/>
        </w:rPr>
        <w:t xml:space="preserve">conserve water and </w:t>
      </w:r>
      <w:r w:rsidR="00FD5761">
        <w:rPr>
          <w:rFonts w:ascii="Times New Roman" w:hAnsi="Times New Roman"/>
        </w:rPr>
        <w:t xml:space="preserve">rewards </w:t>
      </w:r>
      <w:r w:rsidRPr="00E2165C">
        <w:rPr>
          <w:rFonts w:ascii="Times New Roman" w:hAnsi="Times New Roman"/>
        </w:rPr>
        <w:t xml:space="preserve">customers who use </w:t>
      </w:r>
      <w:r w:rsidR="00FD5761">
        <w:rPr>
          <w:rFonts w:ascii="Times New Roman" w:hAnsi="Times New Roman"/>
        </w:rPr>
        <w:t xml:space="preserve">a lot </w:t>
      </w:r>
      <w:r w:rsidRPr="00E2165C">
        <w:rPr>
          <w:rFonts w:ascii="Times New Roman" w:hAnsi="Times New Roman"/>
        </w:rPr>
        <w:t>of water.</w:t>
      </w:r>
      <w:r w:rsidR="00E80966">
        <w:rPr>
          <w:rFonts w:ascii="Times New Roman" w:hAnsi="Times New Roman"/>
        </w:rPr>
        <w:t xml:space="preserve"> </w:t>
      </w:r>
      <w:r w:rsidR="00FD5761">
        <w:rPr>
          <w:rFonts w:ascii="Times New Roman" w:hAnsi="Times New Roman"/>
        </w:rPr>
        <w:t xml:space="preserve">According to the representatives of </w:t>
      </w:r>
      <w:r w:rsidR="00E80966" w:rsidRPr="00E80966">
        <w:rPr>
          <w:rFonts w:ascii="Times New Roman" w:hAnsi="Times New Roman"/>
        </w:rPr>
        <w:t>CCoGDP</w:t>
      </w:r>
      <w:r w:rsidR="00FD5761">
        <w:rPr>
          <w:rFonts w:ascii="Times New Roman" w:hAnsi="Times New Roman"/>
        </w:rPr>
        <w:t>, the</w:t>
      </w:r>
      <w:r w:rsidR="00F24B00">
        <w:rPr>
          <w:rFonts w:ascii="Times New Roman" w:hAnsi="Times New Roman"/>
        </w:rPr>
        <w:t xml:space="preserve"> community</w:t>
      </w:r>
      <w:r w:rsidR="00FD5761">
        <w:rPr>
          <w:rFonts w:ascii="Times New Roman" w:hAnsi="Times New Roman"/>
        </w:rPr>
        <w:t xml:space="preserve"> </w:t>
      </w:r>
      <w:r w:rsidR="00E80966" w:rsidRPr="00E80966">
        <w:rPr>
          <w:rFonts w:ascii="Times New Roman" w:hAnsi="Times New Roman"/>
        </w:rPr>
        <w:t>prefer</w:t>
      </w:r>
      <w:r w:rsidR="00F24B00">
        <w:rPr>
          <w:rFonts w:ascii="Times New Roman" w:hAnsi="Times New Roman"/>
        </w:rPr>
        <w:t>s</w:t>
      </w:r>
      <w:r w:rsidR="00E80966" w:rsidRPr="00E80966">
        <w:rPr>
          <w:rFonts w:ascii="Times New Roman" w:hAnsi="Times New Roman"/>
        </w:rPr>
        <w:t xml:space="preserve"> water usage tables over base rate increases</w:t>
      </w:r>
      <w:r w:rsidR="00FD5761">
        <w:rPr>
          <w:rFonts w:ascii="Times New Roman" w:hAnsi="Times New Roman"/>
        </w:rPr>
        <w:t xml:space="preserve">. </w:t>
      </w:r>
      <w:r w:rsidR="00F24B00">
        <w:rPr>
          <w:rFonts w:ascii="Times New Roman" w:hAnsi="Times New Roman"/>
        </w:rPr>
        <w:t xml:space="preserve">This helps keep water costs affordable </w:t>
      </w:r>
      <w:r w:rsidR="00E80966" w:rsidRPr="00E80966">
        <w:rPr>
          <w:rFonts w:ascii="Times New Roman" w:hAnsi="Times New Roman"/>
        </w:rPr>
        <w:t>in a retirement community with less than average incomes.</w:t>
      </w:r>
    </w:p>
    <w:p w:rsidR="00E2165C" w:rsidRDefault="00E2165C" w:rsidP="00E2165C">
      <w:pPr>
        <w:pStyle w:val="BodyText"/>
        <w:widowControl/>
        <w:tabs>
          <w:tab w:val="left" w:pos="0"/>
        </w:tabs>
        <w:rPr>
          <w:rFonts w:ascii="Times New Roman" w:hAnsi="Times New Roman"/>
        </w:rPr>
      </w:pPr>
    </w:p>
    <w:p w:rsidR="00212076" w:rsidRDefault="00212076" w:rsidP="00E2165C">
      <w:pPr>
        <w:pStyle w:val="BodyText"/>
        <w:widowControl/>
        <w:tabs>
          <w:tab w:val="left" w:pos="0"/>
        </w:tabs>
        <w:rPr>
          <w:rFonts w:ascii="Times New Roman" w:hAnsi="Times New Roman"/>
        </w:rPr>
      </w:pPr>
    </w:p>
    <w:p w:rsidR="00212076" w:rsidRPr="00E2165C" w:rsidRDefault="00212076" w:rsidP="00E2165C">
      <w:pPr>
        <w:pStyle w:val="BodyText"/>
        <w:widowControl/>
        <w:tabs>
          <w:tab w:val="left" w:pos="0"/>
        </w:tabs>
        <w:rPr>
          <w:rFonts w:ascii="Times New Roman" w:hAnsi="Times New Roman"/>
        </w:rPr>
      </w:pPr>
    </w:p>
    <w:p w:rsidR="00E2165C" w:rsidRPr="00E2165C" w:rsidRDefault="00E2165C" w:rsidP="00E2165C">
      <w:pPr>
        <w:pStyle w:val="BodyText"/>
        <w:widowControl/>
        <w:tabs>
          <w:tab w:val="left" w:pos="360"/>
        </w:tabs>
        <w:ind w:left="360"/>
        <w:rPr>
          <w:rFonts w:ascii="Times New Roman" w:hAnsi="Times New Roman"/>
        </w:rPr>
      </w:pPr>
      <w:r w:rsidRPr="00E2165C">
        <w:rPr>
          <w:rFonts w:ascii="Times New Roman" w:hAnsi="Times New Roman"/>
          <w:b/>
        </w:rPr>
        <w:lastRenderedPageBreak/>
        <w:t>Staff Response</w:t>
      </w:r>
      <w:r w:rsidRPr="00E2165C">
        <w:rPr>
          <w:rFonts w:ascii="Times New Roman" w:hAnsi="Times New Roman"/>
        </w:rPr>
        <w:t xml:space="preserve"> </w:t>
      </w:r>
    </w:p>
    <w:p w:rsidR="00E2165C" w:rsidRPr="00E2165C" w:rsidRDefault="00A93260" w:rsidP="00E2165C">
      <w:pPr>
        <w:pStyle w:val="BodyText"/>
        <w:widowControl/>
        <w:tabs>
          <w:tab w:val="left" w:pos="360"/>
        </w:tabs>
        <w:ind w:left="360"/>
        <w:rPr>
          <w:rFonts w:ascii="Times New Roman" w:hAnsi="Times New Roman"/>
        </w:rPr>
      </w:pPr>
      <w:r w:rsidRPr="00A93260">
        <w:rPr>
          <w:rFonts w:ascii="Times New Roman" w:hAnsi="Times New Roman"/>
        </w:rPr>
        <w:t>Staff acknowledges customers’ concerns about the amount of the increase</w:t>
      </w:r>
      <w:r>
        <w:rPr>
          <w:rFonts w:ascii="Times New Roman" w:hAnsi="Times New Roman"/>
        </w:rPr>
        <w:t xml:space="preserve"> being place</w:t>
      </w:r>
      <w:r w:rsidR="00237AAF">
        <w:rPr>
          <w:rFonts w:ascii="Times New Roman" w:hAnsi="Times New Roman"/>
        </w:rPr>
        <w:t>d</w:t>
      </w:r>
      <w:r>
        <w:rPr>
          <w:rFonts w:ascii="Times New Roman" w:hAnsi="Times New Roman"/>
        </w:rPr>
        <w:t xml:space="preserve"> entirely into the base rate</w:t>
      </w:r>
      <w:r w:rsidRPr="00A93260">
        <w:rPr>
          <w:rFonts w:ascii="Times New Roman" w:hAnsi="Times New Roman"/>
        </w:rPr>
        <w:t>. Staff’s goal is to recommend the “right” rates that will allow the company to recover reasonable operating expenses and provide an opportunity to earn a reasonable return on investment. The “right” rates play a vital part in ensuring that the company can operate the water system efficiently and meet safe drinking water standards.</w:t>
      </w:r>
      <w:r w:rsidR="00E80966">
        <w:rPr>
          <w:rFonts w:ascii="Times New Roman" w:hAnsi="Times New Roman"/>
        </w:rPr>
        <w:t xml:space="preserve"> </w:t>
      </w:r>
    </w:p>
    <w:p w:rsidR="00E2165C" w:rsidRPr="00E2165C" w:rsidRDefault="00E2165C" w:rsidP="00E2165C">
      <w:pPr>
        <w:pStyle w:val="BodyText"/>
        <w:widowControl/>
        <w:tabs>
          <w:tab w:val="left" w:pos="0"/>
        </w:tabs>
        <w:rPr>
          <w:rFonts w:ascii="Times New Roman" w:hAnsi="Times New Roman"/>
        </w:rPr>
      </w:pPr>
    </w:p>
    <w:p w:rsidR="00E2165C" w:rsidRPr="00E2165C" w:rsidRDefault="00F24B00" w:rsidP="00E2165C">
      <w:pPr>
        <w:pStyle w:val="BodyText"/>
        <w:widowControl/>
        <w:numPr>
          <w:ilvl w:val="0"/>
          <w:numId w:val="21"/>
        </w:numPr>
        <w:tabs>
          <w:tab w:val="left" w:pos="0"/>
        </w:tabs>
        <w:rPr>
          <w:rFonts w:ascii="Times New Roman" w:hAnsi="Times New Roman"/>
        </w:rPr>
      </w:pPr>
      <w:r w:rsidRPr="00E2165C">
        <w:rPr>
          <w:rFonts w:ascii="Times New Roman" w:hAnsi="Times New Roman"/>
        </w:rPr>
        <w:t>Three customers</w:t>
      </w:r>
      <w:r>
        <w:rPr>
          <w:rFonts w:ascii="Times New Roman" w:hAnsi="Times New Roman"/>
        </w:rPr>
        <w:t>,</w:t>
      </w:r>
      <w:r w:rsidRPr="00E2165C">
        <w:rPr>
          <w:rFonts w:ascii="Times New Roman" w:hAnsi="Times New Roman"/>
        </w:rPr>
        <w:t xml:space="preserve"> </w:t>
      </w:r>
      <w:r>
        <w:rPr>
          <w:rFonts w:ascii="Times New Roman" w:hAnsi="Times New Roman"/>
        </w:rPr>
        <w:t xml:space="preserve">representing </w:t>
      </w:r>
      <w:r w:rsidRPr="00E2165C">
        <w:rPr>
          <w:rFonts w:ascii="Times New Roman" w:hAnsi="Times New Roman"/>
        </w:rPr>
        <w:t xml:space="preserve">the </w:t>
      </w:r>
      <w:r w:rsidR="00E2165C" w:rsidRPr="00E2165C">
        <w:rPr>
          <w:rFonts w:ascii="Times New Roman" w:hAnsi="Times New Roman"/>
        </w:rPr>
        <w:t>CCoGDP</w:t>
      </w:r>
      <w:r>
        <w:rPr>
          <w:rFonts w:ascii="Times New Roman" w:hAnsi="Times New Roman"/>
        </w:rPr>
        <w:t>,</w:t>
      </w:r>
      <w:r w:rsidR="00E2165C" w:rsidRPr="00E2165C">
        <w:rPr>
          <w:rFonts w:ascii="Times New Roman" w:hAnsi="Times New Roman"/>
        </w:rPr>
        <w:t xml:space="preserve"> believe the company violated WAC 480-110-455. The company was required to collect a 24 percent surcharge for loan repayment funds. However, the CCoGDP do not believe the company met this requirement as a result of their review of the company’s financial records.</w:t>
      </w:r>
    </w:p>
    <w:p w:rsidR="00E2165C" w:rsidRPr="00E2165C" w:rsidRDefault="00E2165C" w:rsidP="00E2165C">
      <w:pPr>
        <w:pStyle w:val="BodyText"/>
        <w:widowControl/>
        <w:tabs>
          <w:tab w:val="left" w:pos="0"/>
        </w:tabs>
        <w:rPr>
          <w:rFonts w:ascii="Times New Roman" w:hAnsi="Times New Roman"/>
        </w:rPr>
      </w:pPr>
    </w:p>
    <w:p w:rsidR="00E2165C" w:rsidRPr="00E2165C" w:rsidRDefault="00E2165C" w:rsidP="00E2165C">
      <w:pPr>
        <w:pStyle w:val="BodyText"/>
        <w:ind w:left="360"/>
        <w:rPr>
          <w:rFonts w:ascii="Times New Roman" w:hAnsi="Times New Roman"/>
        </w:rPr>
      </w:pPr>
      <w:r w:rsidRPr="00E2165C">
        <w:rPr>
          <w:rFonts w:ascii="Times New Roman" w:hAnsi="Times New Roman"/>
          <w:b/>
        </w:rPr>
        <w:t>Staff Response</w:t>
      </w:r>
      <w:r w:rsidRPr="00E2165C">
        <w:rPr>
          <w:rFonts w:ascii="Times New Roman" w:hAnsi="Times New Roman"/>
        </w:rPr>
        <w:t xml:space="preserve"> </w:t>
      </w:r>
    </w:p>
    <w:p w:rsidR="00E2165C" w:rsidRPr="00E2165C" w:rsidRDefault="00E2165C" w:rsidP="00E2165C">
      <w:pPr>
        <w:pStyle w:val="BodyText"/>
        <w:widowControl/>
        <w:tabs>
          <w:tab w:val="left" w:pos="360"/>
        </w:tabs>
        <w:ind w:left="360"/>
        <w:rPr>
          <w:rFonts w:ascii="Times New Roman" w:hAnsi="Times New Roman"/>
        </w:rPr>
      </w:pPr>
      <w:r w:rsidRPr="00E2165C">
        <w:rPr>
          <w:rFonts w:ascii="Times New Roman" w:hAnsi="Times New Roman"/>
        </w:rPr>
        <w:t xml:space="preserve">Staff opened an informal complaint to determine whether the company violated commission rule. </w:t>
      </w:r>
    </w:p>
    <w:p w:rsidR="00E2165C" w:rsidRPr="00E2165C" w:rsidRDefault="00E2165C" w:rsidP="00E2165C">
      <w:pPr>
        <w:pStyle w:val="BodyText"/>
        <w:widowControl/>
        <w:tabs>
          <w:tab w:val="left" w:pos="0"/>
        </w:tabs>
        <w:rPr>
          <w:rFonts w:ascii="Times New Roman" w:hAnsi="Times New Roman"/>
        </w:rPr>
      </w:pPr>
    </w:p>
    <w:p w:rsidR="00E2165C" w:rsidRPr="00E2165C" w:rsidRDefault="00E2165C" w:rsidP="00E2165C">
      <w:pPr>
        <w:pStyle w:val="BodyText"/>
        <w:widowControl/>
        <w:tabs>
          <w:tab w:val="left" w:pos="0"/>
        </w:tabs>
        <w:rPr>
          <w:rFonts w:ascii="Times New Roman" w:hAnsi="Times New Roman"/>
          <w:b/>
        </w:rPr>
      </w:pPr>
      <w:r w:rsidRPr="00E2165C">
        <w:rPr>
          <w:rFonts w:ascii="Times New Roman" w:hAnsi="Times New Roman"/>
          <w:b/>
        </w:rPr>
        <w:t>Service Quality Comments</w:t>
      </w:r>
    </w:p>
    <w:p w:rsidR="00E2165C" w:rsidRPr="00E2165C" w:rsidRDefault="00E2165C" w:rsidP="00E2165C">
      <w:pPr>
        <w:pStyle w:val="BodyText"/>
        <w:widowControl/>
        <w:numPr>
          <w:ilvl w:val="0"/>
          <w:numId w:val="22"/>
        </w:numPr>
        <w:tabs>
          <w:tab w:val="left" w:pos="0"/>
        </w:tabs>
        <w:rPr>
          <w:rFonts w:ascii="Times New Roman" w:hAnsi="Times New Roman"/>
        </w:rPr>
      </w:pPr>
      <w:r w:rsidRPr="00E2165C">
        <w:rPr>
          <w:rFonts w:ascii="Times New Roman" w:hAnsi="Times New Roman"/>
        </w:rPr>
        <w:t xml:space="preserve">Two customers commented on the lack of fire hydrants, and the condition of the water pipes. </w:t>
      </w:r>
    </w:p>
    <w:p w:rsidR="00E2165C" w:rsidRPr="00E2165C" w:rsidRDefault="00E2165C" w:rsidP="00E2165C">
      <w:pPr>
        <w:pStyle w:val="BodyText"/>
        <w:widowControl/>
        <w:tabs>
          <w:tab w:val="left" w:pos="0"/>
        </w:tabs>
        <w:rPr>
          <w:rFonts w:ascii="Times New Roman" w:hAnsi="Times New Roman"/>
        </w:rPr>
      </w:pPr>
    </w:p>
    <w:p w:rsidR="00E2165C" w:rsidRPr="00E2165C" w:rsidRDefault="00E2165C" w:rsidP="00E2165C">
      <w:pPr>
        <w:pStyle w:val="BodyText"/>
        <w:ind w:left="360"/>
        <w:rPr>
          <w:rFonts w:ascii="Times New Roman" w:hAnsi="Times New Roman"/>
        </w:rPr>
      </w:pPr>
      <w:r w:rsidRPr="00E2165C">
        <w:rPr>
          <w:rFonts w:ascii="Times New Roman" w:hAnsi="Times New Roman"/>
          <w:b/>
        </w:rPr>
        <w:t>Staff Response</w:t>
      </w:r>
      <w:r w:rsidRPr="00E2165C">
        <w:rPr>
          <w:rFonts w:ascii="Times New Roman" w:hAnsi="Times New Roman"/>
        </w:rPr>
        <w:t xml:space="preserve"> </w:t>
      </w:r>
    </w:p>
    <w:p w:rsidR="00E2165C" w:rsidRPr="00E2165C" w:rsidRDefault="00E2165C" w:rsidP="00E2165C">
      <w:pPr>
        <w:pStyle w:val="BodyText"/>
        <w:widowControl/>
        <w:tabs>
          <w:tab w:val="left" w:pos="360"/>
        </w:tabs>
        <w:ind w:left="360"/>
        <w:rPr>
          <w:rFonts w:ascii="Times New Roman" w:hAnsi="Times New Roman"/>
        </w:rPr>
      </w:pPr>
      <w:r w:rsidRPr="00E2165C">
        <w:rPr>
          <w:rFonts w:ascii="Times New Roman" w:hAnsi="Times New Roman"/>
        </w:rPr>
        <w:t>Staff contacted the customers and discussed that the system was not required to have fire hydrants at the time it was initially designed and built. Staff also discussed the company’s plan to replace the piping system in the future. They were also advised that the last report on the system’s water quality indicated good quality. One customer said he may have his water tested to satisfy his own curiosity.</w:t>
      </w:r>
    </w:p>
    <w:p w:rsidR="00E2165C" w:rsidRPr="00E2165C" w:rsidRDefault="00E2165C" w:rsidP="00E2165C">
      <w:pPr>
        <w:pStyle w:val="BodyText"/>
        <w:widowControl/>
        <w:tabs>
          <w:tab w:val="left" w:pos="0"/>
        </w:tabs>
        <w:rPr>
          <w:rFonts w:ascii="Times New Roman" w:hAnsi="Times New Roman"/>
        </w:rPr>
      </w:pPr>
    </w:p>
    <w:p w:rsidR="00E2165C" w:rsidRPr="00E2165C" w:rsidRDefault="00E2165C" w:rsidP="00E2165C">
      <w:pPr>
        <w:pStyle w:val="BodyText"/>
        <w:widowControl/>
        <w:tabs>
          <w:tab w:val="left" w:pos="0"/>
        </w:tabs>
        <w:rPr>
          <w:rFonts w:ascii="Times New Roman" w:hAnsi="Times New Roman"/>
          <w:b/>
        </w:rPr>
      </w:pPr>
      <w:r w:rsidRPr="00E2165C">
        <w:rPr>
          <w:rFonts w:ascii="Times New Roman" w:hAnsi="Times New Roman"/>
          <w:b/>
        </w:rPr>
        <w:t>Business Practice Comments</w:t>
      </w:r>
    </w:p>
    <w:p w:rsidR="00E2165C" w:rsidRPr="00E2165C" w:rsidRDefault="00E2165C" w:rsidP="00E2165C">
      <w:pPr>
        <w:pStyle w:val="BodyText"/>
        <w:widowControl/>
        <w:numPr>
          <w:ilvl w:val="0"/>
          <w:numId w:val="20"/>
        </w:numPr>
        <w:tabs>
          <w:tab w:val="left" w:pos="0"/>
        </w:tabs>
        <w:rPr>
          <w:rFonts w:ascii="Times New Roman" w:hAnsi="Times New Roman"/>
        </w:rPr>
      </w:pPr>
      <w:r w:rsidRPr="00E2165C">
        <w:rPr>
          <w:rFonts w:ascii="Times New Roman" w:hAnsi="Times New Roman"/>
        </w:rPr>
        <w:t xml:space="preserve">One metered customer does not believe he should be charged when he does not use water. </w:t>
      </w:r>
    </w:p>
    <w:p w:rsidR="00E2165C" w:rsidRPr="00E2165C" w:rsidRDefault="00E2165C" w:rsidP="00E2165C">
      <w:pPr>
        <w:pStyle w:val="BodyText"/>
        <w:widowControl/>
        <w:tabs>
          <w:tab w:val="left" w:pos="0"/>
        </w:tabs>
        <w:rPr>
          <w:rFonts w:ascii="Times New Roman" w:hAnsi="Times New Roman"/>
        </w:rPr>
      </w:pPr>
    </w:p>
    <w:p w:rsidR="00E2165C" w:rsidRPr="00E2165C" w:rsidRDefault="00E2165C" w:rsidP="00E2165C">
      <w:pPr>
        <w:pStyle w:val="BodyText"/>
        <w:ind w:left="360"/>
        <w:rPr>
          <w:rFonts w:ascii="Times New Roman" w:hAnsi="Times New Roman"/>
        </w:rPr>
      </w:pPr>
      <w:r w:rsidRPr="00E2165C">
        <w:rPr>
          <w:rFonts w:ascii="Times New Roman" w:hAnsi="Times New Roman"/>
          <w:b/>
        </w:rPr>
        <w:t>Staff Response</w:t>
      </w:r>
      <w:r w:rsidRPr="00E2165C">
        <w:rPr>
          <w:rFonts w:ascii="Times New Roman" w:hAnsi="Times New Roman"/>
        </w:rPr>
        <w:t xml:space="preserve"> </w:t>
      </w:r>
    </w:p>
    <w:p w:rsidR="00E2165C" w:rsidRPr="00E2165C" w:rsidRDefault="00E2165C" w:rsidP="00E2165C">
      <w:pPr>
        <w:pStyle w:val="BodyText"/>
        <w:widowControl/>
        <w:tabs>
          <w:tab w:val="left" w:pos="360"/>
        </w:tabs>
        <w:ind w:left="360"/>
        <w:rPr>
          <w:rFonts w:ascii="Times New Roman" w:hAnsi="Times New Roman"/>
        </w:rPr>
      </w:pPr>
      <w:r w:rsidRPr="00E2165C">
        <w:rPr>
          <w:rFonts w:ascii="Times New Roman" w:hAnsi="Times New Roman"/>
        </w:rPr>
        <w:t xml:space="preserve">Customers must pay the ready-to-serve charge, even though they currently do not use water. The charge covers each customer’s share of the system; including the cost of the plant, reasonable return on investment in the plant, and a portion of plant operations and maintenance. </w:t>
      </w:r>
    </w:p>
    <w:p w:rsidR="00E2165C" w:rsidRPr="00E2165C" w:rsidRDefault="00E2165C" w:rsidP="00E2165C">
      <w:pPr>
        <w:pStyle w:val="BodyText"/>
        <w:tabs>
          <w:tab w:val="left" w:pos="0"/>
        </w:tabs>
        <w:rPr>
          <w:rFonts w:ascii="Times New Roman" w:hAnsi="Times New Roman"/>
        </w:rPr>
      </w:pPr>
    </w:p>
    <w:p w:rsidR="00E2165C" w:rsidRPr="00E2165C" w:rsidRDefault="00E2165C" w:rsidP="00E2165C">
      <w:pPr>
        <w:pStyle w:val="BodyText"/>
        <w:tabs>
          <w:tab w:val="left" w:pos="0"/>
        </w:tabs>
        <w:rPr>
          <w:rFonts w:ascii="Times New Roman" w:hAnsi="Times New Roman"/>
          <w:b/>
        </w:rPr>
      </w:pPr>
      <w:r w:rsidRPr="00E2165C">
        <w:rPr>
          <w:rFonts w:ascii="Times New Roman" w:hAnsi="Times New Roman"/>
          <w:b/>
        </w:rPr>
        <w:t>General Comment</w:t>
      </w:r>
    </w:p>
    <w:p w:rsidR="00E2165C" w:rsidRPr="00E2165C" w:rsidRDefault="00E2165C" w:rsidP="00E2165C">
      <w:pPr>
        <w:pStyle w:val="BodyText"/>
        <w:widowControl/>
        <w:numPr>
          <w:ilvl w:val="0"/>
          <w:numId w:val="19"/>
        </w:numPr>
        <w:tabs>
          <w:tab w:val="left" w:pos="0"/>
        </w:tabs>
        <w:rPr>
          <w:rFonts w:ascii="Times New Roman" w:hAnsi="Times New Roman"/>
        </w:rPr>
      </w:pPr>
      <w:r w:rsidRPr="00E2165C">
        <w:rPr>
          <w:rFonts w:ascii="Times New Roman" w:hAnsi="Times New Roman"/>
        </w:rPr>
        <w:t>Two customers believe the company should provide them with specific financial records upon their request.</w:t>
      </w:r>
    </w:p>
    <w:p w:rsidR="00E2165C" w:rsidRPr="00E2165C" w:rsidRDefault="00E2165C" w:rsidP="00E2165C">
      <w:pPr>
        <w:pStyle w:val="BodyText"/>
        <w:widowControl/>
        <w:tabs>
          <w:tab w:val="left" w:pos="0"/>
        </w:tabs>
        <w:rPr>
          <w:rFonts w:ascii="Times New Roman" w:hAnsi="Times New Roman"/>
        </w:rPr>
      </w:pPr>
    </w:p>
    <w:p w:rsidR="00E2165C" w:rsidRPr="00E2165C" w:rsidRDefault="00E2165C" w:rsidP="00E2165C">
      <w:pPr>
        <w:pStyle w:val="BodyText"/>
        <w:widowControl/>
        <w:tabs>
          <w:tab w:val="left" w:pos="360"/>
        </w:tabs>
        <w:ind w:left="360"/>
        <w:rPr>
          <w:rFonts w:ascii="Times New Roman" w:hAnsi="Times New Roman"/>
        </w:rPr>
      </w:pPr>
      <w:r w:rsidRPr="00E2165C">
        <w:rPr>
          <w:rFonts w:ascii="Times New Roman" w:hAnsi="Times New Roman"/>
          <w:b/>
        </w:rPr>
        <w:t>Staff Response</w:t>
      </w:r>
      <w:r w:rsidRPr="00E2165C">
        <w:rPr>
          <w:rFonts w:ascii="Times New Roman" w:hAnsi="Times New Roman"/>
        </w:rPr>
        <w:t xml:space="preserve"> </w:t>
      </w:r>
    </w:p>
    <w:p w:rsidR="00E2165C" w:rsidRPr="00E2165C" w:rsidRDefault="00E2165C" w:rsidP="00E2165C">
      <w:pPr>
        <w:pStyle w:val="BodyText"/>
        <w:widowControl/>
        <w:tabs>
          <w:tab w:val="left" w:pos="360"/>
        </w:tabs>
        <w:ind w:left="360"/>
        <w:rPr>
          <w:rFonts w:ascii="Times New Roman" w:hAnsi="Times New Roman"/>
        </w:rPr>
      </w:pPr>
      <w:r w:rsidRPr="00E2165C">
        <w:rPr>
          <w:rFonts w:ascii="Times New Roman" w:hAnsi="Times New Roman"/>
        </w:rPr>
        <w:t xml:space="preserve">Staff contacted both customers and explained the company is required to provide staff records specific to the company’s current filing. If the customers want financial records different from those supporting the filing, the customers must request it directly from the company. </w:t>
      </w:r>
    </w:p>
    <w:p w:rsidR="00E2165C" w:rsidRDefault="00E2165C" w:rsidP="00E2165C">
      <w:pPr>
        <w:pStyle w:val="BodyText"/>
        <w:widowControl/>
        <w:tabs>
          <w:tab w:val="left" w:pos="0"/>
        </w:tabs>
        <w:rPr>
          <w:rFonts w:ascii="Times New Roman" w:hAnsi="Times New Roman"/>
        </w:rPr>
      </w:pPr>
      <w:r w:rsidRPr="00E2165C">
        <w:rPr>
          <w:rFonts w:ascii="Times New Roman" w:hAnsi="Times New Roman"/>
        </w:rPr>
        <w:t xml:space="preserve"> </w:t>
      </w:r>
    </w:p>
    <w:p w:rsidR="00B61EFE" w:rsidRDefault="00B61EFE" w:rsidP="00E2165C">
      <w:pPr>
        <w:pStyle w:val="BodyText"/>
        <w:widowControl/>
        <w:tabs>
          <w:tab w:val="left" w:pos="0"/>
        </w:tabs>
        <w:rPr>
          <w:rFonts w:ascii="Times New Roman" w:hAnsi="Times New Roman"/>
        </w:rPr>
      </w:pPr>
    </w:p>
    <w:p w:rsidR="008956A7" w:rsidRPr="008A2603" w:rsidRDefault="008956A7" w:rsidP="008956A7">
      <w:pPr>
        <w:jc w:val="center"/>
        <w:rPr>
          <w:b/>
          <w:sz w:val="24"/>
          <w:u w:val="single"/>
        </w:rPr>
      </w:pPr>
      <w:r w:rsidRPr="008A2603">
        <w:rPr>
          <w:b/>
          <w:sz w:val="24"/>
          <w:u w:val="single"/>
        </w:rPr>
        <w:t>Rate Comparison</w:t>
      </w:r>
    </w:p>
    <w:p w:rsidR="00AF1A52" w:rsidRPr="008A674C" w:rsidRDefault="00AF1A52" w:rsidP="008956A7">
      <w:pPr>
        <w:rPr>
          <w:sz w:val="24"/>
        </w:rPr>
      </w:pPr>
    </w:p>
    <w:p w:rsidR="00C92D5C" w:rsidRDefault="00C92D5C" w:rsidP="00C92D5C">
      <w:pPr>
        <w:pStyle w:val="Heading1"/>
        <w:jc w:val="left"/>
        <w:sectPr w:rsidR="00C92D5C" w:rsidSect="003114F0">
          <w:headerReference w:type="default" r:id="rId10"/>
          <w:endnotePr>
            <w:numFmt w:val="decimal"/>
            <w:numRestart w:val="eachSect"/>
          </w:endnotePr>
          <w:pgSz w:w="12240" w:h="15840" w:code="1"/>
          <w:pgMar w:top="1440" w:right="1440" w:bottom="1440" w:left="1440" w:header="720" w:footer="720" w:gutter="0"/>
          <w:cols w:space="720"/>
          <w:noEndnote/>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8"/>
        <w:gridCol w:w="2461"/>
        <w:gridCol w:w="2967"/>
      </w:tblGrid>
      <w:tr w:rsidR="008B1983" w:rsidRPr="00591778" w:rsidTr="004E22DB">
        <w:tc>
          <w:tcPr>
            <w:tcW w:w="2166" w:type="pct"/>
          </w:tcPr>
          <w:p w:rsidR="008B1983" w:rsidRPr="00591778" w:rsidRDefault="008B1983" w:rsidP="003F5CCC">
            <w:pPr>
              <w:pStyle w:val="Heading1"/>
              <w:rPr>
                <w:b/>
              </w:rPr>
            </w:pPr>
            <w:r w:rsidRPr="00591778">
              <w:rPr>
                <w:b/>
              </w:rPr>
              <w:lastRenderedPageBreak/>
              <w:t>Monthly Rate</w:t>
            </w:r>
          </w:p>
        </w:tc>
        <w:tc>
          <w:tcPr>
            <w:tcW w:w="1285" w:type="pct"/>
            <w:vAlign w:val="center"/>
          </w:tcPr>
          <w:p w:rsidR="008B1983" w:rsidRPr="00591778" w:rsidRDefault="008B1983" w:rsidP="003F5CCC">
            <w:pPr>
              <w:jc w:val="center"/>
              <w:rPr>
                <w:b/>
                <w:sz w:val="24"/>
              </w:rPr>
            </w:pPr>
            <w:r w:rsidRPr="00591778">
              <w:rPr>
                <w:b/>
                <w:sz w:val="24"/>
              </w:rPr>
              <w:t>Current Rate</w:t>
            </w:r>
          </w:p>
        </w:tc>
        <w:tc>
          <w:tcPr>
            <w:tcW w:w="1549" w:type="pct"/>
          </w:tcPr>
          <w:p w:rsidR="008B1983" w:rsidRPr="00591778" w:rsidRDefault="008B1983" w:rsidP="003F5CCC">
            <w:pPr>
              <w:jc w:val="center"/>
              <w:rPr>
                <w:b/>
                <w:sz w:val="24"/>
              </w:rPr>
            </w:pPr>
            <w:r w:rsidRPr="00591778">
              <w:rPr>
                <w:b/>
                <w:sz w:val="24"/>
              </w:rPr>
              <w:t>Proposed Rate</w:t>
            </w:r>
          </w:p>
        </w:tc>
      </w:tr>
      <w:tr w:rsidR="008B1983" w:rsidRPr="00591778" w:rsidTr="004E22DB">
        <w:tc>
          <w:tcPr>
            <w:tcW w:w="2166" w:type="pct"/>
          </w:tcPr>
          <w:p w:rsidR="008B1983" w:rsidRPr="00A87056" w:rsidRDefault="008B1983" w:rsidP="003F5CCC">
            <w:pPr>
              <w:pStyle w:val="Heading1"/>
              <w:jc w:val="left"/>
            </w:pPr>
            <w:r>
              <w:t>Flat Rate (Unmetered)</w:t>
            </w:r>
          </w:p>
        </w:tc>
        <w:tc>
          <w:tcPr>
            <w:tcW w:w="1285" w:type="pct"/>
            <w:vAlign w:val="center"/>
          </w:tcPr>
          <w:p w:rsidR="008B1983" w:rsidRPr="00A87056" w:rsidRDefault="008B1983" w:rsidP="008B1983">
            <w:pPr>
              <w:jc w:val="center"/>
              <w:rPr>
                <w:sz w:val="24"/>
              </w:rPr>
            </w:pPr>
            <w:r>
              <w:rPr>
                <w:sz w:val="24"/>
              </w:rPr>
              <w:t>$51.55</w:t>
            </w:r>
          </w:p>
        </w:tc>
        <w:tc>
          <w:tcPr>
            <w:tcW w:w="1549" w:type="pct"/>
          </w:tcPr>
          <w:p w:rsidR="008B1983" w:rsidRPr="00A87056" w:rsidRDefault="008B1983" w:rsidP="008B1983">
            <w:pPr>
              <w:jc w:val="center"/>
              <w:rPr>
                <w:sz w:val="24"/>
              </w:rPr>
            </w:pPr>
            <w:r>
              <w:rPr>
                <w:sz w:val="24"/>
              </w:rPr>
              <w:t>$56.50</w:t>
            </w:r>
          </w:p>
        </w:tc>
      </w:tr>
      <w:tr w:rsidR="008B1983" w:rsidRPr="00591778" w:rsidTr="004E22DB">
        <w:tc>
          <w:tcPr>
            <w:tcW w:w="2166" w:type="pct"/>
          </w:tcPr>
          <w:p w:rsidR="008B1983" w:rsidRDefault="008B1983" w:rsidP="003F5CCC">
            <w:pPr>
              <w:pStyle w:val="Heading1"/>
              <w:jc w:val="left"/>
            </w:pPr>
            <w:r>
              <w:t>Ready-to-Serve (RTS)</w:t>
            </w:r>
          </w:p>
        </w:tc>
        <w:tc>
          <w:tcPr>
            <w:tcW w:w="1285" w:type="pct"/>
            <w:vAlign w:val="center"/>
          </w:tcPr>
          <w:p w:rsidR="008B1983" w:rsidRDefault="008B1983" w:rsidP="008B1983">
            <w:pPr>
              <w:jc w:val="center"/>
              <w:rPr>
                <w:sz w:val="24"/>
              </w:rPr>
            </w:pPr>
            <w:r>
              <w:rPr>
                <w:sz w:val="24"/>
              </w:rPr>
              <w:t>$22.50</w:t>
            </w:r>
          </w:p>
        </w:tc>
        <w:tc>
          <w:tcPr>
            <w:tcW w:w="1549" w:type="pct"/>
          </w:tcPr>
          <w:p w:rsidR="008B1983" w:rsidRDefault="008B1983" w:rsidP="008B1983">
            <w:pPr>
              <w:jc w:val="center"/>
              <w:rPr>
                <w:sz w:val="24"/>
              </w:rPr>
            </w:pPr>
            <w:r>
              <w:rPr>
                <w:sz w:val="24"/>
              </w:rPr>
              <w:t>$27.00</w:t>
            </w:r>
          </w:p>
        </w:tc>
      </w:tr>
      <w:tr w:rsidR="008B1983" w:rsidRPr="008A674C" w:rsidTr="004E22DB">
        <w:tc>
          <w:tcPr>
            <w:tcW w:w="2166" w:type="pct"/>
          </w:tcPr>
          <w:p w:rsidR="008B1983" w:rsidRPr="00E25CDB" w:rsidRDefault="008B1983" w:rsidP="003F5CCC">
            <w:pPr>
              <w:pStyle w:val="Heading1"/>
              <w:jc w:val="left"/>
            </w:pPr>
            <w:r>
              <w:t>Base Rate (¾-inch meter)</w:t>
            </w:r>
          </w:p>
        </w:tc>
        <w:tc>
          <w:tcPr>
            <w:tcW w:w="1285" w:type="pct"/>
          </w:tcPr>
          <w:p w:rsidR="008B1983" w:rsidRPr="00E25CDB" w:rsidRDefault="008B1983" w:rsidP="008B1983">
            <w:pPr>
              <w:jc w:val="center"/>
              <w:rPr>
                <w:sz w:val="24"/>
              </w:rPr>
            </w:pPr>
            <w:r>
              <w:rPr>
                <w:sz w:val="24"/>
              </w:rPr>
              <w:t>$22.50</w:t>
            </w:r>
          </w:p>
        </w:tc>
        <w:tc>
          <w:tcPr>
            <w:tcW w:w="1549" w:type="pct"/>
          </w:tcPr>
          <w:p w:rsidR="008B1983" w:rsidRPr="00E25CDB" w:rsidRDefault="008B1983" w:rsidP="008B1983">
            <w:pPr>
              <w:jc w:val="center"/>
              <w:rPr>
                <w:sz w:val="24"/>
              </w:rPr>
            </w:pPr>
            <w:r>
              <w:rPr>
                <w:sz w:val="24"/>
              </w:rPr>
              <w:t>$27.00</w:t>
            </w:r>
          </w:p>
        </w:tc>
      </w:tr>
      <w:tr w:rsidR="008B1983" w:rsidRPr="008A674C" w:rsidTr="004E22DB">
        <w:tc>
          <w:tcPr>
            <w:tcW w:w="2166" w:type="pct"/>
          </w:tcPr>
          <w:p w:rsidR="008B1983" w:rsidRPr="00E25CDB" w:rsidRDefault="008B1983" w:rsidP="008B1983">
            <w:pPr>
              <w:rPr>
                <w:sz w:val="24"/>
              </w:rPr>
            </w:pPr>
            <w:r>
              <w:rPr>
                <w:sz w:val="24"/>
              </w:rPr>
              <w:t>0 – 500 Cubic Feet</w:t>
            </w:r>
          </w:p>
        </w:tc>
        <w:tc>
          <w:tcPr>
            <w:tcW w:w="1285" w:type="pct"/>
          </w:tcPr>
          <w:p w:rsidR="008B1983" w:rsidRPr="00E25CDB" w:rsidRDefault="008B1983" w:rsidP="008B1983">
            <w:pPr>
              <w:jc w:val="center"/>
              <w:rPr>
                <w:sz w:val="24"/>
              </w:rPr>
            </w:pPr>
            <w:r>
              <w:rPr>
                <w:sz w:val="24"/>
              </w:rPr>
              <w:t>$3.55</w:t>
            </w:r>
          </w:p>
        </w:tc>
        <w:tc>
          <w:tcPr>
            <w:tcW w:w="1549" w:type="pct"/>
          </w:tcPr>
          <w:p w:rsidR="008B1983" w:rsidRPr="00E25CDB" w:rsidRDefault="008B1983" w:rsidP="008B1983">
            <w:pPr>
              <w:jc w:val="center"/>
              <w:rPr>
                <w:sz w:val="24"/>
              </w:rPr>
            </w:pPr>
            <w:r>
              <w:rPr>
                <w:sz w:val="24"/>
              </w:rPr>
              <w:t>$3.55</w:t>
            </w:r>
          </w:p>
        </w:tc>
      </w:tr>
      <w:tr w:rsidR="008B1983" w:rsidRPr="008A674C" w:rsidTr="004E22DB">
        <w:tc>
          <w:tcPr>
            <w:tcW w:w="2166" w:type="pct"/>
          </w:tcPr>
          <w:p w:rsidR="008B1983" w:rsidRDefault="008B1983" w:rsidP="008B1983">
            <w:pPr>
              <w:rPr>
                <w:sz w:val="24"/>
              </w:rPr>
            </w:pPr>
            <w:r>
              <w:rPr>
                <w:sz w:val="24"/>
              </w:rPr>
              <w:t>501 – 900 Cubic Feet</w:t>
            </w:r>
          </w:p>
        </w:tc>
        <w:tc>
          <w:tcPr>
            <w:tcW w:w="1285" w:type="pct"/>
          </w:tcPr>
          <w:p w:rsidR="008B1983" w:rsidRDefault="008B1983" w:rsidP="008B1983">
            <w:pPr>
              <w:jc w:val="center"/>
              <w:rPr>
                <w:sz w:val="24"/>
              </w:rPr>
            </w:pPr>
            <w:r>
              <w:rPr>
                <w:sz w:val="24"/>
              </w:rPr>
              <w:t>$4.55</w:t>
            </w:r>
          </w:p>
        </w:tc>
        <w:tc>
          <w:tcPr>
            <w:tcW w:w="1549" w:type="pct"/>
          </w:tcPr>
          <w:p w:rsidR="008B1983" w:rsidRDefault="008B1983" w:rsidP="008B1983">
            <w:pPr>
              <w:jc w:val="center"/>
              <w:rPr>
                <w:sz w:val="24"/>
              </w:rPr>
            </w:pPr>
            <w:r>
              <w:rPr>
                <w:sz w:val="24"/>
              </w:rPr>
              <w:t>$4.55</w:t>
            </w:r>
          </w:p>
        </w:tc>
      </w:tr>
      <w:tr w:rsidR="008B1983" w:rsidRPr="008A674C" w:rsidTr="004E22DB">
        <w:tc>
          <w:tcPr>
            <w:tcW w:w="2166" w:type="pct"/>
          </w:tcPr>
          <w:p w:rsidR="008B1983" w:rsidRDefault="008B1983" w:rsidP="008B1983">
            <w:pPr>
              <w:rPr>
                <w:sz w:val="24"/>
              </w:rPr>
            </w:pPr>
            <w:r>
              <w:rPr>
                <w:sz w:val="24"/>
              </w:rPr>
              <w:t>901 – 1,600 Cubic Feet</w:t>
            </w:r>
          </w:p>
        </w:tc>
        <w:tc>
          <w:tcPr>
            <w:tcW w:w="1285" w:type="pct"/>
          </w:tcPr>
          <w:p w:rsidR="008B1983" w:rsidRDefault="008B1983" w:rsidP="004F573A">
            <w:pPr>
              <w:jc w:val="center"/>
              <w:rPr>
                <w:sz w:val="24"/>
              </w:rPr>
            </w:pPr>
            <w:r>
              <w:rPr>
                <w:sz w:val="24"/>
              </w:rPr>
              <w:t>$</w:t>
            </w:r>
            <w:r w:rsidR="004F573A">
              <w:rPr>
                <w:sz w:val="24"/>
              </w:rPr>
              <w:t>5.55</w:t>
            </w:r>
          </w:p>
        </w:tc>
        <w:tc>
          <w:tcPr>
            <w:tcW w:w="1549" w:type="pct"/>
          </w:tcPr>
          <w:p w:rsidR="008B1983" w:rsidRDefault="008B1983" w:rsidP="004F573A">
            <w:pPr>
              <w:jc w:val="center"/>
              <w:rPr>
                <w:sz w:val="24"/>
              </w:rPr>
            </w:pPr>
            <w:r>
              <w:rPr>
                <w:sz w:val="24"/>
              </w:rPr>
              <w:t>$</w:t>
            </w:r>
            <w:r w:rsidR="004F573A">
              <w:rPr>
                <w:sz w:val="24"/>
              </w:rPr>
              <w:t>5.55</w:t>
            </w:r>
          </w:p>
        </w:tc>
      </w:tr>
      <w:tr w:rsidR="008B1983" w:rsidRPr="008A674C" w:rsidTr="004E22DB">
        <w:tc>
          <w:tcPr>
            <w:tcW w:w="2166" w:type="pct"/>
          </w:tcPr>
          <w:p w:rsidR="008B1983" w:rsidRDefault="004F573A" w:rsidP="004F573A">
            <w:pPr>
              <w:rPr>
                <w:sz w:val="24"/>
              </w:rPr>
            </w:pPr>
            <w:r>
              <w:rPr>
                <w:sz w:val="24"/>
              </w:rPr>
              <w:t xml:space="preserve">Over </w:t>
            </w:r>
            <w:r w:rsidR="008B1983">
              <w:rPr>
                <w:sz w:val="24"/>
              </w:rPr>
              <w:t>1,</w:t>
            </w:r>
            <w:r>
              <w:rPr>
                <w:sz w:val="24"/>
              </w:rPr>
              <w:t>600</w:t>
            </w:r>
            <w:r w:rsidR="008B1983">
              <w:rPr>
                <w:sz w:val="24"/>
              </w:rPr>
              <w:t xml:space="preserve"> Cubic Feet</w:t>
            </w:r>
          </w:p>
        </w:tc>
        <w:tc>
          <w:tcPr>
            <w:tcW w:w="1285" w:type="pct"/>
          </w:tcPr>
          <w:p w:rsidR="008B1983" w:rsidRDefault="008B1983" w:rsidP="004F573A">
            <w:pPr>
              <w:jc w:val="center"/>
              <w:rPr>
                <w:sz w:val="24"/>
              </w:rPr>
            </w:pPr>
            <w:r>
              <w:rPr>
                <w:sz w:val="24"/>
              </w:rPr>
              <w:t>$</w:t>
            </w:r>
            <w:r w:rsidR="004F573A">
              <w:rPr>
                <w:sz w:val="24"/>
              </w:rPr>
              <w:t>7.85</w:t>
            </w:r>
          </w:p>
        </w:tc>
        <w:tc>
          <w:tcPr>
            <w:tcW w:w="1549" w:type="pct"/>
          </w:tcPr>
          <w:p w:rsidR="008B1983" w:rsidRDefault="008B1983" w:rsidP="004F573A">
            <w:pPr>
              <w:jc w:val="center"/>
              <w:rPr>
                <w:sz w:val="24"/>
              </w:rPr>
            </w:pPr>
            <w:r>
              <w:rPr>
                <w:sz w:val="24"/>
              </w:rPr>
              <w:t>$</w:t>
            </w:r>
            <w:r w:rsidR="004F573A">
              <w:rPr>
                <w:sz w:val="24"/>
              </w:rPr>
              <w:t>7</w:t>
            </w:r>
            <w:r>
              <w:rPr>
                <w:sz w:val="24"/>
              </w:rPr>
              <w:t>.</w:t>
            </w:r>
            <w:r w:rsidR="004F573A">
              <w:rPr>
                <w:sz w:val="24"/>
              </w:rPr>
              <w:t>85</w:t>
            </w:r>
          </w:p>
        </w:tc>
      </w:tr>
      <w:tr w:rsidR="008635C8" w:rsidRPr="008A674C" w:rsidTr="008635C8">
        <w:tc>
          <w:tcPr>
            <w:tcW w:w="5000" w:type="pct"/>
            <w:gridSpan w:val="3"/>
          </w:tcPr>
          <w:p w:rsidR="008635C8" w:rsidRDefault="008635C8" w:rsidP="004F573A">
            <w:pPr>
              <w:jc w:val="center"/>
              <w:rPr>
                <w:sz w:val="24"/>
              </w:rPr>
            </w:pPr>
          </w:p>
        </w:tc>
      </w:tr>
      <w:tr w:rsidR="004F573A" w:rsidRPr="008A674C" w:rsidTr="004E22DB">
        <w:tc>
          <w:tcPr>
            <w:tcW w:w="2166" w:type="pct"/>
          </w:tcPr>
          <w:p w:rsidR="004F573A" w:rsidRDefault="004F573A" w:rsidP="004F573A">
            <w:pPr>
              <w:pStyle w:val="Heading1"/>
              <w:jc w:val="left"/>
            </w:pPr>
            <w:r>
              <w:t>Base Rate (1-inch meter)</w:t>
            </w:r>
          </w:p>
        </w:tc>
        <w:tc>
          <w:tcPr>
            <w:tcW w:w="1285" w:type="pct"/>
          </w:tcPr>
          <w:p w:rsidR="004F573A" w:rsidRDefault="004F573A" w:rsidP="004F573A">
            <w:pPr>
              <w:jc w:val="center"/>
              <w:rPr>
                <w:sz w:val="24"/>
              </w:rPr>
            </w:pPr>
            <w:r>
              <w:rPr>
                <w:sz w:val="24"/>
              </w:rPr>
              <w:t>$36.82</w:t>
            </w:r>
          </w:p>
        </w:tc>
        <w:tc>
          <w:tcPr>
            <w:tcW w:w="1549" w:type="pct"/>
          </w:tcPr>
          <w:p w:rsidR="004F573A" w:rsidRDefault="004F573A" w:rsidP="004F573A">
            <w:pPr>
              <w:jc w:val="center"/>
              <w:rPr>
                <w:sz w:val="24"/>
              </w:rPr>
            </w:pPr>
            <w:r>
              <w:rPr>
                <w:sz w:val="24"/>
              </w:rPr>
              <w:t>$41.77</w:t>
            </w:r>
          </w:p>
        </w:tc>
      </w:tr>
      <w:tr w:rsidR="004F573A" w:rsidRPr="008A674C" w:rsidTr="004E22DB">
        <w:tc>
          <w:tcPr>
            <w:tcW w:w="2166" w:type="pct"/>
          </w:tcPr>
          <w:p w:rsidR="004F573A" w:rsidRPr="00E25CDB" w:rsidRDefault="004F573A" w:rsidP="004F573A">
            <w:pPr>
              <w:rPr>
                <w:sz w:val="24"/>
              </w:rPr>
            </w:pPr>
            <w:r>
              <w:rPr>
                <w:sz w:val="24"/>
              </w:rPr>
              <w:t>0 – 835 Cubic Feet</w:t>
            </w:r>
          </w:p>
        </w:tc>
        <w:tc>
          <w:tcPr>
            <w:tcW w:w="1285" w:type="pct"/>
          </w:tcPr>
          <w:p w:rsidR="004F573A" w:rsidRPr="00E25CDB" w:rsidRDefault="004F573A" w:rsidP="004F573A">
            <w:pPr>
              <w:jc w:val="center"/>
              <w:rPr>
                <w:sz w:val="24"/>
              </w:rPr>
            </w:pPr>
            <w:r>
              <w:rPr>
                <w:sz w:val="24"/>
              </w:rPr>
              <w:t>$3.55</w:t>
            </w:r>
          </w:p>
        </w:tc>
        <w:tc>
          <w:tcPr>
            <w:tcW w:w="1549" w:type="pct"/>
          </w:tcPr>
          <w:p w:rsidR="004F573A" w:rsidRPr="00E25CDB" w:rsidRDefault="004F573A" w:rsidP="004F573A">
            <w:pPr>
              <w:jc w:val="center"/>
              <w:rPr>
                <w:sz w:val="24"/>
              </w:rPr>
            </w:pPr>
            <w:r>
              <w:rPr>
                <w:sz w:val="24"/>
              </w:rPr>
              <w:t>$3.55</w:t>
            </w:r>
          </w:p>
        </w:tc>
      </w:tr>
      <w:tr w:rsidR="004F573A" w:rsidRPr="008A674C" w:rsidTr="004E22DB">
        <w:tc>
          <w:tcPr>
            <w:tcW w:w="2166" w:type="pct"/>
          </w:tcPr>
          <w:p w:rsidR="004F573A" w:rsidRDefault="004F573A" w:rsidP="004F573A">
            <w:pPr>
              <w:rPr>
                <w:sz w:val="24"/>
              </w:rPr>
            </w:pPr>
            <w:r>
              <w:rPr>
                <w:sz w:val="24"/>
              </w:rPr>
              <w:t>836 – 1,503 Cubic Feet</w:t>
            </w:r>
          </w:p>
        </w:tc>
        <w:tc>
          <w:tcPr>
            <w:tcW w:w="1285" w:type="pct"/>
          </w:tcPr>
          <w:p w:rsidR="004F573A" w:rsidRDefault="004F573A" w:rsidP="004F573A">
            <w:pPr>
              <w:jc w:val="center"/>
              <w:rPr>
                <w:sz w:val="24"/>
              </w:rPr>
            </w:pPr>
            <w:r>
              <w:rPr>
                <w:sz w:val="24"/>
              </w:rPr>
              <w:t>$4.55</w:t>
            </w:r>
          </w:p>
        </w:tc>
        <w:tc>
          <w:tcPr>
            <w:tcW w:w="1549" w:type="pct"/>
          </w:tcPr>
          <w:p w:rsidR="004F573A" w:rsidRDefault="004F573A" w:rsidP="004F573A">
            <w:pPr>
              <w:jc w:val="center"/>
              <w:rPr>
                <w:sz w:val="24"/>
              </w:rPr>
            </w:pPr>
            <w:r>
              <w:rPr>
                <w:sz w:val="24"/>
              </w:rPr>
              <w:t>$4.55</w:t>
            </w:r>
          </w:p>
        </w:tc>
      </w:tr>
      <w:tr w:rsidR="00370D83" w:rsidRPr="008A674C" w:rsidTr="004E22DB">
        <w:tc>
          <w:tcPr>
            <w:tcW w:w="2166" w:type="pct"/>
          </w:tcPr>
          <w:p w:rsidR="00370D83" w:rsidRDefault="008146CB" w:rsidP="00C66765">
            <w:pPr>
              <w:rPr>
                <w:sz w:val="24"/>
              </w:rPr>
            </w:pPr>
            <w:r w:rsidRPr="00C66765">
              <w:rPr>
                <w:sz w:val="24"/>
              </w:rPr>
              <w:t>1,50</w:t>
            </w:r>
            <w:r w:rsidR="00B9094F" w:rsidRPr="00B9094F">
              <w:rPr>
                <w:sz w:val="24"/>
              </w:rPr>
              <w:t>4</w:t>
            </w:r>
            <w:r w:rsidRPr="00C66765">
              <w:rPr>
                <w:sz w:val="24"/>
              </w:rPr>
              <w:t xml:space="preserve"> –</w:t>
            </w:r>
            <w:r w:rsidR="00370D83">
              <w:rPr>
                <w:sz w:val="24"/>
              </w:rPr>
              <w:t xml:space="preserve"> 2,672 Cubic Feet</w:t>
            </w:r>
          </w:p>
        </w:tc>
        <w:tc>
          <w:tcPr>
            <w:tcW w:w="1285" w:type="pct"/>
          </w:tcPr>
          <w:p w:rsidR="00370D83" w:rsidRDefault="00370D83" w:rsidP="00AA79AD">
            <w:pPr>
              <w:jc w:val="center"/>
              <w:rPr>
                <w:sz w:val="24"/>
              </w:rPr>
            </w:pPr>
            <w:r>
              <w:rPr>
                <w:sz w:val="24"/>
              </w:rPr>
              <w:t>$5.55</w:t>
            </w:r>
          </w:p>
        </w:tc>
        <w:tc>
          <w:tcPr>
            <w:tcW w:w="1549" w:type="pct"/>
          </w:tcPr>
          <w:p w:rsidR="00370D83" w:rsidRDefault="00370D83" w:rsidP="00AA79AD">
            <w:pPr>
              <w:jc w:val="center"/>
              <w:rPr>
                <w:sz w:val="24"/>
              </w:rPr>
            </w:pPr>
            <w:r>
              <w:rPr>
                <w:sz w:val="24"/>
              </w:rPr>
              <w:t>$5.55</w:t>
            </w:r>
          </w:p>
        </w:tc>
      </w:tr>
      <w:tr w:rsidR="00370D83" w:rsidRPr="008A674C" w:rsidTr="004E22DB">
        <w:tc>
          <w:tcPr>
            <w:tcW w:w="2166" w:type="pct"/>
          </w:tcPr>
          <w:p w:rsidR="00370D83" w:rsidRPr="00E25CDB" w:rsidRDefault="00370D83" w:rsidP="004F573A">
            <w:pPr>
              <w:rPr>
                <w:sz w:val="24"/>
              </w:rPr>
            </w:pPr>
            <w:r>
              <w:rPr>
                <w:sz w:val="24"/>
              </w:rPr>
              <w:t>Over 2,672 Cubic Feet</w:t>
            </w:r>
          </w:p>
        </w:tc>
        <w:tc>
          <w:tcPr>
            <w:tcW w:w="1285" w:type="pct"/>
          </w:tcPr>
          <w:p w:rsidR="00370D83" w:rsidRDefault="00370D83" w:rsidP="00AA79AD">
            <w:pPr>
              <w:jc w:val="center"/>
              <w:rPr>
                <w:sz w:val="24"/>
              </w:rPr>
            </w:pPr>
            <w:r>
              <w:rPr>
                <w:sz w:val="24"/>
              </w:rPr>
              <w:t>$7.85</w:t>
            </w:r>
          </w:p>
        </w:tc>
        <w:tc>
          <w:tcPr>
            <w:tcW w:w="1549" w:type="pct"/>
          </w:tcPr>
          <w:p w:rsidR="00370D83" w:rsidRDefault="00370D83" w:rsidP="00AA79AD">
            <w:pPr>
              <w:jc w:val="center"/>
              <w:rPr>
                <w:sz w:val="24"/>
              </w:rPr>
            </w:pPr>
            <w:r>
              <w:rPr>
                <w:sz w:val="24"/>
              </w:rPr>
              <w:t>$7.85</w:t>
            </w:r>
          </w:p>
        </w:tc>
      </w:tr>
    </w:tbl>
    <w:p w:rsidR="00C92D5C" w:rsidRDefault="00C92D5C" w:rsidP="00C92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5"/>
        <w:gridCol w:w="2534"/>
        <w:gridCol w:w="2877"/>
      </w:tblGrid>
      <w:tr w:rsidR="00514FA3" w:rsidRPr="00591778" w:rsidTr="004E22DB">
        <w:tc>
          <w:tcPr>
            <w:tcW w:w="2175" w:type="pct"/>
          </w:tcPr>
          <w:p w:rsidR="00514FA3" w:rsidRPr="00591778" w:rsidRDefault="00514FA3" w:rsidP="003F5CCC">
            <w:pPr>
              <w:pStyle w:val="Heading1"/>
              <w:rPr>
                <w:b/>
              </w:rPr>
            </w:pPr>
            <w:r>
              <w:rPr>
                <w:b/>
              </w:rPr>
              <w:t>Ancillary Charges</w:t>
            </w:r>
          </w:p>
        </w:tc>
        <w:tc>
          <w:tcPr>
            <w:tcW w:w="1323" w:type="pct"/>
            <w:vAlign w:val="center"/>
          </w:tcPr>
          <w:p w:rsidR="00514FA3" w:rsidRPr="00591778" w:rsidRDefault="00514FA3" w:rsidP="003F5CCC">
            <w:pPr>
              <w:jc w:val="center"/>
              <w:rPr>
                <w:b/>
                <w:sz w:val="24"/>
              </w:rPr>
            </w:pPr>
            <w:r w:rsidRPr="00591778">
              <w:rPr>
                <w:b/>
                <w:sz w:val="24"/>
              </w:rPr>
              <w:t>Current Rate</w:t>
            </w:r>
          </w:p>
        </w:tc>
        <w:tc>
          <w:tcPr>
            <w:tcW w:w="1502" w:type="pct"/>
          </w:tcPr>
          <w:p w:rsidR="00514FA3" w:rsidRPr="00591778" w:rsidRDefault="00514FA3" w:rsidP="003F5CCC">
            <w:pPr>
              <w:jc w:val="center"/>
              <w:rPr>
                <w:b/>
                <w:sz w:val="24"/>
              </w:rPr>
            </w:pPr>
            <w:r w:rsidRPr="00591778">
              <w:rPr>
                <w:b/>
                <w:sz w:val="24"/>
              </w:rPr>
              <w:t>Proposed Rate</w:t>
            </w:r>
          </w:p>
        </w:tc>
      </w:tr>
      <w:tr w:rsidR="00514FA3" w:rsidRPr="008A674C" w:rsidTr="004E22DB">
        <w:tc>
          <w:tcPr>
            <w:tcW w:w="2175" w:type="pct"/>
          </w:tcPr>
          <w:p w:rsidR="00514FA3" w:rsidRDefault="004F573A" w:rsidP="004F573A">
            <w:pPr>
              <w:pStyle w:val="Heading1"/>
              <w:jc w:val="left"/>
            </w:pPr>
            <w:r>
              <w:t xml:space="preserve">Facilities </w:t>
            </w:r>
            <w:r w:rsidR="00514FA3">
              <w:t>Charge</w:t>
            </w:r>
          </w:p>
        </w:tc>
        <w:tc>
          <w:tcPr>
            <w:tcW w:w="1323" w:type="pct"/>
          </w:tcPr>
          <w:p w:rsidR="00514FA3" w:rsidRDefault="004F573A" w:rsidP="003F5CCC">
            <w:pPr>
              <w:jc w:val="center"/>
              <w:rPr>
                <w:sz w:val="24"/>
              </w:rPr>
            </w:pPr>
            <w:r>
              <w:rPr>
                <w:sz w:val="24"/>
              </w:rPr>
              <w:t>$1,475</w:t>
            </w:r>
          </w:p>
        </w:tc>
        <w:tc>
          <w:tcPr>
            <w:tcW w:w="1502" w:type="pct"/>
          </w:tcPr>
          <w:p w:rsidR="00514FA3" w:rsidRDefault="00514FA3" w:rsidP="004F573A">
            <w:pPr>
              <w:jc w:val="center"/>
              <w:rPr>
                <w:sz w:val="24"/>
              </w:rPr>
            </w:pPr>
            <w:r>
              <w:rPr>
                <w:sz w:val="24"/>
              </w:rPr>
              <w:t>$</w:t>
            </w:r>
            <w:r w:rsidR="004F573A">
              <w:rPr>
                <w:sz w:val="24"/>
              </w:rPr>
              <w:t>2,950</w:t>
            </w:r>
          </w:p>
        </w:tc>
      </w:tr>
    </w:tbl>
    <w:p w:rsidR="00C92D5C" w:rsidRDefault="00C92D5C" w:rsidP="00C92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92D5C" w:rsidRPr="008A2603" w:rsidRDefault="00C92D5C" w:rsidP="00C92D5C">
      <w:pPr>
        <w:jc w:val="center"/>
        <w:rPr>
          <w:b/>
          <w:sz w:val="24"/>
          <w:u w:val="single"/>
        </w:rPr>
      </w:pPr>
      <w:r>
        <w:rPr>
          <w:b/>
          <w:sz w:val="24"/>
          <w:u w:val="single"/>
        </w:rPr>
        <w:t>Average Bill</w:t>
      </w:r>
      <w:r w:rsidRPr="008A2603">
        <w:rPr>
          <w:b/>
          <w:sz w:val="24"/>
          <w:u w:val="single"/>
        </w:rPr>
        <w:t xml:space="preserve"> Comparison</w:t>
      </w:r>
    </w:p>
    <w:p w:rsidR="00C92D5C" w:rsidRDefault="00C92D5C" w:rsidP="00C92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3"/>
        <w:gridCol w:w="2538"/>
        <w:gridCol w:w="2865"/>
      </w:tblGrid>
      <w:tr w:rsidR="004F573A" w:rsidRPr="00591778" w:rsidTr="004E22DB">
        <w:tc>
          <w:tcPr>
            <w:tcW w:w="2179" w:type="pct"/>
          </w:tcPr>
          <w:p w:rsidR="004F573A" w:rsidRDefault="004F573A" w:rsidP="003F5CCC">
            <w:pPr>
              <w:pStyle w:val="Heading1"/>
              <w:rPr>
                <w:b/>
              </w:rPr>
            </w:pPr>
            <w:r>
              <w:rPr>
                <w:b/>
              </w:rPr>
              <w:t xml:space="preserve">Average </w:t>
            </w:r>
            <w:r w:rsidRPr="00591778">
              <w:rPr>
                <w:b/>
              </w:rPr>
              <w:t xml:space="preserve">Monthly </w:t>
            </w:r>
            <w:r>
              <w:rPr>
                <w:b/>
              </w:rPr>
              <w:t>Usage</w:t>
            </w:r>
          </w:p>
          <w:p w:rsidR="004F573A" w:rsidRPr="00591778" w:rsidRDefault="004F573A" w:rsidP="003F5CCC">
            <w:pPr>
              <w:pStyle w:val="Heading1"/>
              <w:rPr>
                <w:b/>
              </w:rPr>
            </w:pPr>
            <w:r>
              <w:rPr>
                <w:b/>
              </w:rPr>
              <w:t>566 cubic feet</w:t>
            </w:r>
          </w:p>
        </w:tc>
        <w:tc>
          <w:tcPr>
            <w:tcW w:w="1325" w:type="pct"/>
            <w:vAlign w:val="center"/>
          </w:tcPr>
          <w:p w:rsidR="004F573A" w:rsidRDefault="004F573A" w:rsidP="003F5CCC">
            <w:pPr>
              <w:jc w:val="center"/>
              <w:rPr>
                <w:b/>
                <w:sz w:val="24"/>
              </w:rPr>
            </w:pPr>
          </w:p>
          <w:p w:rsidR="004F573A" w:rsidRPr="00591778" w:rsidRDefault="004F573A" w:rsidP="003F5CCC">
            <w:pPr>
              <w:jc w:val="center"/>
              <w:rPr>
                <w:b/>
                <w:sz w:val="24"/>
              </w:rPr>
            </w:pPr>
            <w:r w:rsidRPr="00591778">
              <w:rPr>
                <w:b/>
                <w:sz w:val="24"/>
              </w:rPr>
              <w:t>Current Rate</w:t>
            </w:r>
          </w:p>
        </w:tc>
        <w:tc>
          <w:tcPr>
            <w:tcW w:w="1496" w:type="pct"/>
          </w:tcPr>
          <w:p w:rsidR="004F573A" w:rsidRDefault="004F573A" w:rsidP="003F5CCC">
            <w:pPr>
              <w:jc w:val="center"/>
              <w:rPr>
                <w:b/>
                <w:sz w:val="24"/>
              </w:rPr>
            </w:pPr>
          </w:p>
          <w:p w:rsidR="004F573A" w:rsidRPr="00591778" w:rsidRDefault="004F573A" w:rsidP="003F5CCC">
            <w:pPr>
              <w:jc w:val="center"/>
              <w:rPr>
                <w:b/>
                <w:sz w:val="24"/>
              </w:rPr>
            </w:pPr>
            <w:r w:rsidRPr="00591778">
              <w:rPr>
                <w:b/>
                <w:sz w:val="24"/>
              </w:rPr>
              <w:t>Proposed Rate</w:t>
            </w:r>
          </w:p>
        </w:tc>
      </w:tr>
      <w:tr w:rsidR="004F573A" w:rsidRPr="008A674C" w:rsidTr="004E22DB">
        <w:tc>
          <w:tcPr>
            <w:tcW w:w="2179" w:type="pct"/>
          </w:tcPr>
          <w:p w:rsidR="004F573A" w:rsidRPr="00E25CDB" w:rsidRDefault="004F573A" w:rsidP="003F5CCC">
            <w:pPr>
              <w:pStyle w:val="Heading1"/>
              <w:jc w:val="left"/>
            </w:pPr>
            <w:r>
              <w:t>Base Rate (¾-inch meter)</w:t>
            </w:r>
          </w:p>
        </w:tc>
        <w:tc>
          <w:tcPr>
            <w:tcW w:w="1325" w:type="pct"/>
          </w:tcPr>
          <w:p w:rsidR="004F573A" w:rsidRPr="00E25CDB" w:rsidRDefault="004F573A" w:rsidP="00370D83">
            <w:pPr>
              <w:jc w:val="center"/>
              <w:rPr>
                <w:sz w:val="24"/>
              </w:rPr>
            </w:pPr>
            <w:r w:rsidRPr="00E25CDB">
              <w:rPr>
                <w:sz w:val="24"/>
              </w:rPr>
              <w:t>$</w:t>
            </w:r>
            <w:r w:rsidR="00461E12">
              <w:rPr>
                <w:sz w:val="24"/>
              </w:rPr>
              <w:t>22.</w:t>
            </w:r>
            <w:r w:rsidR="00370D83">
              <w:rPr>
                <w:sz w:val="24"/>
              </w:rPr>
              <w:t>5</w:t>
            </w:r>
            <w:r w:rsidR="00461E12">
              <w:rPr>
                <w:sz w:val="24"/>
              </w:rPr>
              <w:t>0</w:t>
            </w:r>
          </w:p>
        </w:tc>
        <w:tc>
          <w:tcPr>
            <w:tcW w:w="1496" w:type="pct"/>
          </w:tcPr>
          <w:p w:rsidR="004F573A" w:rsidRPr="00E25CDB" w:rsidRDefault="004F573A" w:rsidP="00370D83">
            <w:pPr>
              <w:jc w:val="center"/>
              <w:rPr>
                <w:sz w:val="24"/>
              </w:rPr>
            </w:pPr>
            <w:r>
              <w:rPr>
                <w:sz w:val="24"/>
              </w:rPr>
              <w:t>$</w:t>
            </w:r>
            <w:r w:rsidR="00370D83">
              <w:rPr>
                <w:sz w:val="24"/>
              </w:rPr>
              <w:t>27.00</w:t>
            </w:r>
          </w:p>
        </w:tc>
      </w:tr>
      <w:tr w:rsidR="004F573A" w:rsidRPr="008A674C" w:rsidTr="004E22DB">
        <w:tc>
          <w:tcPr>
            <w:tcW w:w="2179" w:type="pct"/>
          </w:tcPr>
          <w:p w:rsidR="004F573A" w:rsidRPr="00E25CDB" w:rsidRDefault="004F573A" w:rsidP="003F5CCC">
            <w:pPr>
              <w:rPr>
                <w:sz w:val="24"/>
              </w:rPr>
            </w:pPr>
            <w:r>
              <w:rPr>
                <w:sz w:val="24"/>
              </w:rPr>
              <w:t>Usage</w:t>
            </w:r>
          </w:p>
        </w:tc>
        <w:tc>
          <w:tcPr>
            <w:tcW w:w="1325" w:type="pct"/>
          </w:tcPr>
          <w:p w:rsidR="004F573A" w:rsidRPr="00E25CDB" w:rsidRDefault="004F573A" w:rsidP="00370D83">
            <w:pPr>
              <w:jc w:val="center"/>
              <w:rPr>
                <w:sz w:val="24"/>
              </w:rPr>
            </w:pPr>
            <w:r>
              <w:rPr>
                <w:sz w:val="24"/>
              </w:rPr>
              <w:t>$</w:t>
            </w:r>
            <w:r w:rsidR="00370D83">
              <w:rPr>
                <w:sz w:val="24"/>
              </w:rPr>
              <w:t>20</w:t>
            </w:r>
            <w:r>
              <w:rPr>
                <w:sz w:val="24"/>
              </w:rPr>
              <w:t>.0</w:t>
            </w:r>
            <w:r w:rsidR="00370D83">
              <w:rPr>
                <w:sz w:val="24"/>
              </w:rPr>
              <w:t>9</w:t>
            </w:r>
          </w:p>
        </w:tc>
        <w:tc>
          <w:tcPr>
            <w:tcW w:w="1496" w:type="pct"/>
          </w:tcPr>
          <w:p w:rsidR="004F573A" w:rsidRPr="00E25CDB" w:rsidRDefault="004F573A" w:rsidP="00370D83">
            <w:pPr>
              <w:jc w:val="center"/>
              <w:rPr>
                <w:sz w:val="24"/>
              </w:rPr>
            </w:pPr>
            <w:r>
              <w:rPr>
                <w:sz w:val="24"/>
              </w:rPr>
              <w:t>$2</w:t>
            </w:r>
            <w:r w:rsidR="00370D83">
              <w:rPr>
                <w:sz w:val="24"/>
              </w:rPr>
              <w:t>0</w:t>
            </w:r>
            <w:r>
              <w:rPr>
                <w:sz w:val="24"/>
              </w:rPr>
              <w:t>.0</w:t>
            </w:r>
            <w:r w:rsidR="00370D83">
              <w:rPr>
                <w:sz w:val="24"/>
              </w:rPr>
              <w:t>9</w:t>
            </w:r>
          </w:p>
        </w:tc>
      </w:tr>
      <w:tr w:rsidR="004F573A" w:rsidRPr="008A674C" w:rsidTr="00556B78">
        <w:tc>
          <w:tcPr>
            <w:tcW w:w="2179" w:type="pct"/>
          </w:tcPr>
          <w:p w:rsidR="004F573A" w:rsidRDefault="004F573A" w:rsidP="003F5CCC">
            <w:pPr>
              <w:rPr>
                <w:sz w:val="24"/>
              </w:rPr>
            </w:pPr>
            <w:r>
              <w:rPr>
                <w:sz w:val="24"/>
              </w:rPr>
              <w:t>Average Monthly Bill</w:t>
            </w:r>
          </w:p>
        </w:tc>
        <w:tc>
          <w:tcPr>
            <w:tcW w:w="1325" w:type="pct"/>
            <w:tcBorders>
              <w:top w:val="single" w:sz="18" w:space="0" w:color="auto"/>
              <w:bottom w:val="single" w:sz="18" w:space="0" w:color="auto"/>
            </w:tcBorders>
          </w:tcPr>
          <w:p w:rsidR="004F573A" w:rsidRDefault="004F573A" w:rsidP="00370D83">
            <w:pPr>
              <w:jc w:val="center"/>
              <w:rPr>
                <w:sz w:val="24"/>
              </w:rPr>
            </w:pPr>
            <w:r>
              <w:rPr>
                <w:sz w:val="24"/>
              </w:rPr>
              <w:t>$42.</w:t>
            </w:r>
            <w:r w:rsidR="00461E12">
              <w:rPr>
                <w:sz w:val="24"/>
              </w:rPr>
              <w:t>59</w:t>
            </w:r>
          </w:p>
        </w:tc>
        <w:tc>
          <w:tcPr>
            <w:tcW w:w="1496" w:type="pct"/>
            <w:tcBorders>
              <w:top w:val="single" w:sz="18" w:space="0" w:color="auto"/>
              <w:bottom w:val="single" w:sz="18" w:space="0" w:color="auto"/>
            </w:tcBorders>
          </w:tcPr>
          <w:p w:rsidR="004F573A" w:rsidRPr="00E25CDB" w:rsidRDefault="004F573A" w:rsidP="00370D83">
            <w:pPr>
              <w:jc w:val="center"/>
              <w:rPr>
                <w:sz w:val="24"/>
              </w:rPr>
            </w:pPr>
            <w:r>
              <w:rPr>
                <w:sz w:val="24"/>
              </w:rPr>
              <w:t>$</w:t>
            </w:r>
            <w:r w:rsidR="00370D83">
              <w:rPr>
                <w:sz w:val="24"/>
              </w:rPr>
              <w:t>47.09</w:t>
            </w:r>
          </w:p>
        </w:tc>
      </w:tr>
      <w:tr w:rsidR="00556B78" w:rsidRPr="008A674C" w:rsidTr="004E22DB">
        <w:tc>
          <w:tcPr>
            <w:tcW w:w="2179" w:type="pct"/>
          </w:tcPr>
          <w:p w:rsidR="00556B78" w:rsidRDefault="00556B78" w:rsidP="003F5CCC">
            <w:pPr>
              <w:rPr>
                <w:sz w:val="24"/>
              </w:rPr>
            </w:pPr>
          </w:p>
        </w:tc>
        <w:tc>
          <w:tcPr>
            <w:tcW w:w="1325" w:type="pct"/>
            <w:tcBorders>
              <w:top w:val="single" w:sz="18" w:space="0" w:color="auto"/>
              <w:bottom w:val="double" w:sz="4" w:space="0" w:color="auto"/>
            </w:tcBorders>
          </w:tcPr>
          <w:p w:rsidR="00556B78" w:rsidRDefault="00556B78" w:rsidP="00370D83">
            <w:pPr>
              <w:jc w:val="center"/>
              <w:rPr>
                <w:sz w:val="24"/>
              </w:rPr>
            </w:pPr>
          </w:p>
        </w:tc>
        <w:tc>
          <w:tcPr>
            <w:tcW w:w="1496" w:type="pct"/>
            <w:tcBorders>
              <w:top w:val="single" w:sz="18" w:space="0" w:color="auto"/>
              <w:bottom w:val="double" w:sz="4" w:space="0" w:color="auto"/>
            </w:tcBorders>
          </w:tcPr>
          <w:p w:rsidR="00556B78" w:rsidRDefault="00B9094F" w:rsidP="00370D83">
            <w:pPr>
              <w:jc w:val="center"/>
              <w:rPr>
                <w:sz w:val="24"/>
              </w:rPr>
            </w:pPr>
            <w:r w:rsidRPr="00B9094F">
              <w:rPr>
                <w:sz w:val="24"/>
              </w:rPr>
              <w:t xml:space="preserve">10.56 </w:t>
            </w:r>
            <w:r w:rsidR="008146CB" w:rsidRPr="00C66765">
              <w:rPr>
                <w:sz w:val="24"/>
              </w:rPr>
              <w:t>%</w:t>
            </w:r>
          </w:p>
        </w:tc>
      </w:tr>
    </w:tbl>
    <w:p w:rsidR="00A7532A" w:rsidRDefault="00A7532A"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D3C9C" w:rsidRDefault="002D3C9C" w:rsidP="002D3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469D">
        <w:rPr>
          <w:sz w:val="24"/>
        </w:rPr>
        <w:t xml:space="preserve">Commission staff has </w:t>
      </w:r>
      <w:r w:rsidR="004F573A">
        <w:rPr>
          <w:sz w:val="24"/>
        </w:rPr>
        <w:t xml:space="preserve">not </w:t>
      </w:r>
      <w:r w:rsidRPr="00EB469D">
        <w:rPr>
          <w:sz w:val="24"/>
        </w:rPr>
        <w:t>completed its review of the company’s supporting financial documents, books and records</w:t>
      </w:r>
      <w:r w:rsidR="00086B71" w:rsidRPr="00086B71">
        <w:rPr>
          <w:sz w:val="24"/>
        </w:rPr>
        <w:t>.</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7114E" w:rsidRDefault="00C92D5C" w:rsidP="0074693E">
      <w:pPr>
        <w:pStyle w:val="BodyText"/>
        <w:rPr>
          <w:rFonts w:ascii="Times New Roman" w:hAnsi="Times New Roman"/>
          <w:color w:val="000000"/>
        </w:rPr>
      </w:pPr>
      <w:r w:rsidRPr="004F573A">
        <w:rPr>
          <w:rFonts w:ascii="Times New Roman" w:hAnsi="Times New Roman"/>
          <w:color w:val="000000"/>
        </w:rPr>
        <w:t>Issue a Complaint and Order Suspending the Tariff Revisions filed by Aquarius Utilities, LLC</w:t>
      </w:r>
      <w:r w:rsidR="004F573A" w:rsidRPr="004F573A">
        <w:rPr>
          <w:rFonts w:ascii="Times New Roman" w:hAnsi="Times New Roman"/>
          <w:color w:val="000000"/>
        </w:rPr>
        <w:t>.</w:t>
      </w:r>
    </w:p>
    <w:p w:rsidR="0074693E" w:rsidRPr="004F573A" w:rsidRDefault="0074693E" w:rsidP="0074693E">
      <w:pPr>
        <w:pStyle w:val="BodyText"/>
        <w:ind w:left="360"/>
        <w:rPr>
          <w:rFonts w:ascii="Times New Roman" w:hAnsi="Times New Roman"/>
          <w:color w:val="000000"/>
        </w:rPr>
      </w:pPr>
    </w:p>
    <w:sectPr w:rsidR="0074693E" w:rsidRPr="004F573A" w:rsidSect="005C479F">
      <w:footnotePr>
        <w:numRestart w:val="eachPage"/>
      </w:footnotePr>
      <w:endnotePr>
        <w:numFmt w:val="decimal"/>
        <w:numRestart w:val="eachSect"/>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966" w:rsidRDefault="00E80966">
      <w:r>
        <w:separator/>
      </w:r>
    </w:p>
  </w:endnote>
  <w:endnote w:type="continuationSeparator" w:id="0">
    <w:p w:rsidR="00E80966" w:rsidRDefault="00E809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966" w:rsidRDefault="00E80966">
      <w:r>
        <w:separator/>
      </w:r>
    </w:p>
  </w:footnote>
  <w:footnote w:type="continuationSeparator" w:id="0">
    <w:p w:rsidR="00E80966" w:rsidRDefault="00E80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966" w:rsidRPr="00FE0AD1" w:rsidRDefault="00E80966" w:rsidP="003972A8">
    <w:r w:rsidRPr="00FE0AD1">
      <w:t xml:space="preserve">Docket </w:t>
    </w:r>
    <w:r>
      <w:t>UW</w:t>
    </w:r>
    <w:r w:rsidRPr="00FE0AD1">
      <w:t>-0</w:t>
    </w:r>
    <w:r>
      <w:t>90819</w:t>
    </w:r>
  </w:p>
  <w:p w:rsidR="00E80966" w:rsidRDefault="00E80966" w:rsidP="003972A8">
    <w:r>
      <w:t>June 25</w:t>
    </w:r>
    <w:r w:rsidRPr="00FE0AD1">
      <w:t>, 200</w:t>
    </w:r>
    <w:r>
      <w:t>9</w:t>
    </w:r>
  </w:p>
  <w:p w:rsidR="00E80966" w:rsidRPr="00FE0AD1" w:rsidRDefault="00E80966" w:rsidP="003972A8">
    <w:r>
      <w:t xml:space="preserve">Page </w:t>
    </w:r>
    <w:fldSimple w:instr=" PAGE   \* MERGEFORMAT ">
      <w:r w:rsidR="005E3362">
        <w:rPr>
          <w:noProof/>
        </w:rPr>
        <w:t>3</w:t>
      </w:r>
    </w:fldSimple>
  </w:p>
  <w:p w:rsidR="00E80966" w:rsidRDefault="00E80966" w:rsidP="003972A8">
    <w:pPr>
      <w:rPr>
        <w:rFonts w:ascii="Palatino Linotype" w:hAnsi="Palatino Linotype"/>
      </w:rPr>
    </w:pPr>
  </w:p>
  <w:p w:rsidR="00E80966" w:rsidRDefault="00E80966" w:rsidP="003972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492"/>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09D56255"/>
    <w:multiLevelType w:val="hybridMultilevel"/>
    <w:tmpl w:val="A4304CC6"/>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4E3DC9"/>
    <w:multiLevelType w:val="hybridMultilevel"/>
    <w:tmpl w:val="B09285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775B3A"/>
    <w:multiLevelType w:val="hybridMultilevel"/>
    <w:tmpl w:val="137E20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C01914"/>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1359744D"/>
    <w:multiLevelType w:val="hybridMultilevel"/>
    <w:tmpl w:val="8F8EC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A0564BD"/>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0B30E3"/>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544113DD"/>
    <w:multiLevelType w:val="hybridMultilevel"/>
    <w:tmpl w:val="52B45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10830DB"/>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4DB6F4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68B3150"/>
    <w:multiLevelType w:val="hybridMultilevel"/>
    <w:tmpl w:val="7D18A1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8465AC5"/>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A8B0AC2"/>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4"/>
  </w:num>
  <w:num w:numId="2">
    <w:abstractNumId w:val="11"/>
  </w:num>
  <w:num w:numId="3">
    <w:abstractNumId w:val="2"/>
  </w:num>
  <w:num w:numId="4">
    <w:abstractNumId w:val="17"/>
  </w:num>
  <w:num w:numId="5">
    <w:abstractNumId w:val="12"/>
  </w:num>
  <w:num w:numId="6">
    <w:abstractNumId w:val="18"/>
  </w:num>
  <w:num w:numId="7">
    <w:abstractNumId w:val="10"/>
  </w:num>
  <w:num w:numId="8">
    <w:abstractNumId w:val="13"/>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8"/>
  </w:num>
  <w:num w:numId="20">
    <w:abstractNumId w:val="4"/>
  </w:num>
  <w:num w:numId="21">
    <w:abstractNumId w:val="16"/>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52225"/>
  </w:hdrShapeDefaults>
  <w:footnotePr>
    <w:footnote w:id="-1"/>
    <w:footnote w:id="0"/>
  </w:footnotePr>
  <w:endnotePr>
    <w:numFmt w:val="decimal"/>
    <w:numRestart w:val="eachSect"/>
    <w:endnote w:id="-1"/>
    <w:endnote w:id="0"/>
  </w:endnotePr>
  <w:compat/>
  <w:rsids>
    <w:rsidRoot w:val="007155BE"/>
    <w:rsid w:val="000173B0"/>
    <w:rsid w:val="00031478"/>
    <w:rsid w:val="0003355F"/>
    <w:rsid w:val="000377B4"/>
    <w:rsid w:val="00037E0B"/>
    <w:rsid w:val="0004008D"/>
    <w:rsid w:val="00041309"/>
    <w:rsid w:val="00043973"/>
    <w:rsid w:val="00046200"/>
    <w:rsid w:val="00047507"/>
    <w:rsid w:val="00055129"/>
    <w:rsid w:val="0005582B"/>
    <w:rsid w:val="00065632"/>
    <w:rsid w:val="00067859"/>
    <w:rsid w:val="00072E8D"/>
    <w:rsid w:val="00074C54"/>
    <w:rsid w:val="00075A42"/>
    <w:rsid w:val="000827B0"/>
    <w:rsid w:val="000838FA"/>
    <w:rsid w:val="00084C44"/>
    <w:rsid w:val="0008586F"/>
    <w:rsid w:val="00086219"/>
    <w:rsid w:val="00086B71"/>
    <w:rsid w:val="0009317F"/>
    <w:rsid w:val="000A2FD7"/>
    <w:rsid w:val="000A3702"/>
    <w:rsid w:val="000B709F"/>
    <w:rsid w:val="000C4017"/>
    <w:rsid w:val="000D23A6"/>
    <w:rsid w:val="000D6EE8"/>
    <w:rsid w:val="000E1243"/>
    <w:rsid w:val="000E5DC6"/>
    <w:rsid w:val="000F23B0"/>
    <w:rsid w:val="000F4ACF"/>
    <w:rsid w:val="001076A0"/>
    <w:rsid w:val="001135C4"/>
    <w:rsid w:val="00114DD1"/>
    <w:rsid w:val="0011781B"/>
    <w:rsid w:val="00117D13"/>
    <w:rsid w:val="00122EA8"/>
    <w:rsid w:val="00126912"/>
    <w:rsid w:val="001324CB"/>
    <w:rsid w:val="00137FE5"/>
    <w:rsid w:val="00144F9A"/>
    <w:rsid w:val="0015140F"/>
    <w:rsid w:val="00161E2E"/>
    <w:rsid w:val="00164BEE"/>
    <w:rsid w:val="00170536"/>
    <w:rsid w:val="001742F3"/>
    <w:rsid w:val="00175973"/>
    <w:rsid w:val="00180222"/>
    <w:rsid w:val="00186229"/>
    <w:rsid w:val="00187729"/>
    <w:rsid w:val="0019005A"/>
    <w:rsid w:val="00194D3A"/>
    <w:rsid w:val="001A11EB"/>
    <w:rsid w:val="001A53BD"/>
    <w:rsid w:val="001B4800"/>
    <w:rsid w:val="001B6123"/>
    <w:rsid w:val="001B710E"/>
    <w:rsid w:val="001C1460"/>
    <w:rsid w:val="001C2403"/>
    <w:rsid w:val="001D28F3"/>
    <w:rsid w:val="001D778D"/>
    <w:rsid w:val="001E641B"/>
    <w:rsid w:val="001E72E0"/>
    <w:rsid w:val="001E75E1"/>
    <w:rsid w:val="001F0C45"/>
    <w:rsid w:val="001F467F"/>
    <w:rsid w:val="00203487"/>
    <w:rsid w:val="00204E23"/>
    <w:rsid w:val="00212076"/>
    <w:rsid w:val="0021504E"/>
    <w:rsid w:val="00217CFB"/>
    <w:rsid w:val="00217DCB"/>
    <w:rsid w:val="00225605"/>
    <w:rsid w:val="0022614D"/>
    <w:rsid w:val="002266B1"/>
    <w:rsid w:val="00227FEF"/>
    <w:rsid w:val="002305D7"/>
    <w:rsid w:val="002348E0"/>
    <w:rsid w:val="002349CB"/>
    <w:rsid w:val="00237AAF"/>
    <w:rsid w:val="0024162C"/>
    <w:rsid w:val="002520CC"/>
    <w:rsid w:val="0026637B"/>
    <w:rsid w:val="00266901"/>
    <w:rsid w:val="00266CBB"/>
    <w:rsid w:val="00267644"/>
    <w:rsid w:val="002744F3"/>
    <w:rsid w:val="0027508C"/>
    <w:rsid w:val="0027629F"/>
    <w:rsid w:val="0028656E"/>
    <w:rsid w:val="0029365C"/>
    <w:rsid w:val="002974EA"/>
    <w:rsid w:val="002A1B14"/>
    <w:rsid w:val="002A5D58"/>
    <w:rsid w:val="002A7679"/>
    <w:rsid w:val="002B02AE"/>
    <w:rsid w:val="002B3B6D"/>
    <w:rsid w:val="002B45F3"/>
    <w:rsid w:val="002B6541"/>
    <w:rsid w:val="002C1D40"/>
    <w:rsid w:val="002C32B7"/>
    <w:rsid w:val="002C5140"/>
    <w:rsid w:val="002C5D52"/>
    <w:rsid w:val="002C6821"/>
    <w:rsid w:val="002C7517"/>
    <w:rsid w:val="002D3175"/>
    <w:rsid w:val="002D3C9C"/>
    <w:rsid w:val="002D4F2A"/>
    <w:rsid w:val="002E1061"/>
    <w:rsid w:val="002E3C77"/>
    <w:rsid w:val="002E68BC"/>
    <w:rsid w:val="002F260E"/>
    <w:rsid w:val="00302934"/>
    <w:rsid w:val="00303C2C"/>
    <w:rsid w:val="0030716F"/>
    <w:rsid w:val="003114F0"/>
    <w:rsid w:val="0031289C"/>
    <w:rsid w:val="00313EEB"/>
    <w:rsid w:val="003141B2"/>
    <w:rsid w:val="003146BC"/>
    <w:rsid w:val="00314BBD"/>
    <w:rsid w:val="00321781"/>
    <w:rsid w:val="00322689"/>
    <w:rsid w:val="00323666"/>
    <w:rsid w:val="00332584"/>
    <w:rsid w:val="00340D58"/>
    <w:rsid w:val="003438D6"/>
    <w:rsid w:val="00343ABB"/>
    <w:rsid w:val="00344835"/>
    <w:rsid w:val="00347FA8"/>
    <w:rsid w:val="00350743"/>
    <w:rsid w:val="00361D71"/>
    <w:rsid w:val="00365C95"/>
    <w:rsid w:val="00370CA1"/>
    <w:rsid w:val="00370D83"/>
    <w:rsid w:val="00372419"/>
    <w:rsid w:val="003736E1"/>
    <w:rsid w:val="00376C63"/>
    <w:rsid w:val="00382C0C"/>
    <w:rsid w:val="00391233"/>
    <w:rsid w:val="00393E46"/>
    <w:rsid w:val="003972A8"/>
    <w:rsid w:val="003A0501"/>
    <w:rsid w:val="003A1BCF"/>
    <w:rsid w:val="003A2597"/>
    <w:rsid w:val="003B3C66"/>
    <w:rsid w:val="003C0088"/>
    <w:rsid w:val="003C01D6"/>
    <w:rsid w:val="003C134F"/>
    <w:rsid w:val="003C18AE"/>
    <w:rsid w:val="003C2175"/>
    <w:rsid w:val="003C3D11"/>
    <w:rsid w:val="003C67A3"/>
    <w:rsid w:val="003C67BF"/>
    <w:rsid w:val="003C686F"/>
    <w:rsid w:val="003D1063"/>
    <w:rsid w:val="003D7349"/>
    <w:rsid w:val="003E071D"/>
    <w:rsid w:val="003E2C21"/>
    <w:rsid w:val="003E4343"/>
    <w:rsid w:val="003E4D88"/>
    <w:rsid w:val="003E79FB"/>
    <w:rsid w:val="003F10C8"/>
    <w:rsid w:val="003F15B9"/>
    <w:rsid w:val="003F5CCC"/>
    <w:rsid w:val="003F5D7F"/>
    <w:rsid w:val="00416ADB"/>
    <w:rsid w:val="00417BAB"/>
    <w:rsid w:val="0042096A"/>
    <w:rsid w:val="0042476D"/>
    <w:rsid w:val="0042699C"/>
    <w:rsid w:val="00430463"/>
    <w:rsid w:val="00444293"/>
    <w:rsid w:val="0045500C"/>
    <w:rsid w:val="00456249"/>
    <w:rsid w:val="00461D5F"/>
    <w:rsid w:val="00461E12"/>
    <w:rsid w:val="00461E5D"/>
    <w:rsid w:val="004627CC"/>
    <w:rsid w:val="004627D7"/>
    <w:rsid w:val="00464247"/>
    <w:rsid w:val="004721BB"/>
    <w:rsid w:val="00473B62"/>
    <w:rsid w:val="00475ADF"/>
    <w:rsid w:val="00476E39"/>
    <w:rsid w:val="00480972"/>
    <w:rsid w:val="004827C9"/>
    <w:rsid w:val="004842F7"/>
    <w:rsid w:val="00493A07"/>
    <w:rsid w:val="004A76DF"/>
    <w:rsid w:val="004B0362"/>
    <w:rsid w:val="004B2F58"/>
    <w:rsid w:val="004C113F"/>
    <w:rsid w:val="004D28EE"/>
    <w:rsid w:val="004D4B93"/>
    <w:rsid w:val="004E18AD"/>
    <w:rsid w:val="004E22DB"/>
    <w:rsid w:val="004E5699"/>
    <w:rsid w:val="004E7327"/>
    <w:rsid w:val="004F4812"/>
    <w:rsid w:val="004F573A"/>
    <w:rsid w:val="0050347B"/>
    <w:rsid w:val="005115A6"/>
    <w:rsid w:val="00512BB1"/>
    <w:rsid w:val="00514FA3"/>
    <w:rsid w:val="00517610"/>
    <w:rsid w:val="005252F4"/>
    <w:rsid w:val="0054044F"/>
    <w:rsid w:val="00550AE6"/>
    <w:rsid w:val="00556B78"/>
    <w:rsid w:val="0055788D"/>
    <w:rsid w:val="005612F3"/>
    <w:rsid w:val="005770E2"/>
    <w:rsid w:val="00577473"/>
    <w:rsid w:val="00584D8E"/>
    <w:rsid w:val="00587C83"/>
    <w:rsid w:val="00591778"/>
    <w:rsid w:val="00592034"/>
    <w:rsid w:val="00597AC3"/>
    <w:rsid w:val="005A144B"/>
    <w:rsid w:val="005B0646"/>
    <w:rsid w:val="005B4AE8"/>
    <w:rsid w:val="005B4B55"/>
    <w:rsid w:val="005B58C2"/>
    <w:rsid w:val="005C0529"/>
    <w:rsid w:val="005C21E5"/>
    <w:rsid w:val="005C27C6"/>
    <w:rsid w:val="005C479F"/>
    <w:rsid w:val="005C59FC"/>
    <w:rsid w:val="005C629F"/>
    <w:rsid w:val="005E1FB0"/>
    <w:rsid w:val="005E3362"/>
    <w:rsid w:val="005F4E63"/>
    <w:rsid w:val="005F7ACB"/>
    <w:rsid w:val="0060344F"/>
    <w:rsid w:val="00605346"/>
    <w:rsid w:val="00610C4C"/>
    <w:rsid w:val="00621381"/>
    <w:rsid w:val="00622736"/>
    <w:rsid w:val="0062357E"/>
    <w:rsid w:val="0062491C"/>
    <w:rsid w:val="006278C9"/>
    <w:rsid w:val="0063667A"/>
    <w:rsid w:val="00640663"/>
    <w:rsid w:val="00640709"/>
    <w:rsid w:val="0065301B"/>
    <w:rsid w:val="006536CD"/>
    <w:rsid w:val="006540D9"/>
    <w:rsid w:val="0065659A"/>
    <w:rsid w:val="00657956"/>
    <w:rsid w:val="00663672"/>
    <w:rsid w:val="00665BFB"/>
    <w:rsid w:val="00666D66"/>
    <w:rsid w:val="00672032"/>
    <w:rsid w:val="00674221"/>
    <w:rsid w:val="0067490D"/>
    <w:rsid w:val="00674E59"/>
    <w:rsid w:val="0067741B"/>
    <w:rsid w:val="006775D8"/>
    <w:rsid w:val="00677AFF"/>
    <w:rsid w:val="0068313F"/>
    <w:rsid w:val="00697E4B"/>
    <w:rsid w:val="006A14CA"/>
    <w:rsid w:val="006B1DAC"/>
    <w:rsid w:val="006B42B1"/>
    <w:rsid w:val="006B626A"/>
    <w:rsid w:val="006C3077"/>
    <w:rsid w:val="006C46E4"/>
    <w:rsid w:val="006D15B4"/>
    <w:rsid w:val="006D1974"/>
    <w:rsid w:val="006D1C3C"/>
    <w:rsid w:val="006E03AC"/>
    <w:rsid w:val="006E3010"/>
    <w:rsid w:val="006E4193"/>
    <w:rsid w:val="006F4481"/>
    <w:rsid w:val="006F4A35"/>
    <w:rsid w:val="00705045"/>
    <w:rsid w:val="00705973"/>
    <w:rsid w:val="007155BE"/>
    <w:rsid w:val="00717F25"/>
    <w:rsid w:val="007221CB"/>
    <w:rsid w:val="00725C31"/>
    <w:rsid w:val="00731CF5"/>
    <w:rsid w:val="00736665"/>
    <w:rsid w:val="00737B9F"/>
    <w:rsid w:val="0074693E"/>
    <w:rsid w:val="00754F16"/>
    <w:rsid w:val="007561F4"/>
    <w:rsid w:val="00772711"/>
    <w:rsid w:val="00774E5D"/>
    <w:rsid w:val="007776FE"/>
    <w:rsid w:val="007854E7"/>
    <w:rsid w:val="00792A0E"/>
    <w:rsid w:val="0079685C"/>
    <w:rsid w:val="0079704F"/>
    <w:rsid w:val="007A2598"/>
    <w:rsid w:val="007A3E61"/>
    <w:rsid w:val="007B0BF1"/>
    <w:rsid w:val="007C0437"/>
    <w:rsid w:val="007C046B"/>
    <w:rsid w:val="007C0E67"/>
    <w:rsid w:val="007C424E"/>
    <w:rsid w:val="007C7312"/>
    <w:rsid w:val="007C7B37"/>
    <w:rsid w:val="007D4591"/>
    <w:rsid w:val="007E5FD2"/>
    <w:rsid w:val="007F0A9C"/>
    <w:rsid w:val="007F14D2"/>
    <w:rsid w:val="007F158A"/>
    <w:rsid w:val="00800185"/>
    <w:rsid w:val="008058FE"/>
    <w:rsid w:val="00807220"/>
    <w:rsid w:val="008146CB"/>
    <w:rsid w:val="00824180"/>
    <w:rsid w:val="00832AA3"/>
    <w:rsid w:val="00837FD7"/>
    <w:rsid w:val="00841334"/>
    <w:rsid w:val="008415D8"/>
    <w:rsid w:val="00842072"/>
    <w:rsid w:val="00846CCD"/>
    <w:rsid w:val="008506EB"/>
    <w:rsid w:val="008540E8"/>
    <w:rsid w:val="00863257"/>
    <w:rsid w:val="008635C8"/>
    <w:rsid w:val="0086429A"/>
    <w:rsid w:val="0087114E"/>
    <w:rsid w:val="00873DC6"/>
    <w:rsid w:val="0087417F"/>
    <w:rsid w:val="00875156"/>
    <w:rsid w:val="00875556"/>
    <w:rsid w:val="0087756D"/>
    <w:rsid w:val="00881EA3"/>
    <w:rsid w:val="00882741"/>
    <w:rsid w:val="00885577"/>
    <w:rsid w:val="00887599"/>
    <w:rsid w:val="008879AD"/>
    <w:rsid w:val="00894464"/>
    <w:rsid w:val="008956A7"/>
    <w:rsid w:val="008A49D4"/>
    <w:rsid w:val="008A5620"/>
    <w:rsid w:val="008A674C"/>
    <w:rsid w:val="008A7209"/>
    <w:rsid w:val="008B1983"/>
    <w:rsid w:val="008B1A43"/>
    <w:rsid w:val="008B44FE"/>
    <w:rsid w:val="008B4825"/>
    <w:rsid w:val="008B514B"/>
    <w:rsid w:val="008B66BD"/>
    <w:rsid w:val="008B71DB"/>
    <w:rsid w:val="008C3604"/>
    <w:rsid w:val="008D1195"/>
    <w:rsid w:val="008D36A8"/>
    <w:rsid w:val="008E5E4C"/>
    <w:rsid w:val="008E7C63"/>
    <w:rsid w:val="00901180"/>
    <w:rsid w:val="009056DD"/>
    <w:rsid w:val="00910A43"/>
    <w:rsid w:val="009141AD"/>
    <w:rsid w:val="00916157"/>
    <w:rsid w:val="00916ABB"/>
    <w:rsid w:val="00916D1D"/>
    <w:rsid w:val="00920E97"/>
    <w:rsid w:val="00921BD9"/>
    <w:rsid w:val="00921DA3"/>
    <w:rsid w:val="00941F35"/>
    <w:rsid w:val="00943F87"/>
    <w:rsid w:val="00951684"/>
    <w:rsid w:val="00953FAB"/>
    <w:rsid w:val="009545EE"/>
    <w:rsid w:val="00957836"/>
    <w:rsid w:val="009579C1"/>
    <w:rsid w:val="00961BA1"/>
    <w:rsid w:val="0096759F"/>
    <w:rsid w:val="00970F01"/>
    <w:rsid w:val="0097434A"/>
    <w:rsid w:val="009745CA"/>
    <w:rsid w:val="00994777"/>
    <w:rsid w:val="00997C0B"/>
    <w:rsid w:val="009A01AB"/>
    <w:rsid w:val="009A1BE3"/>
    <w:rsid w:val="009A33FE"/>
    <w:rsid w:val="009A54A9"/>
    <w:rsid w:val="009B1FAD"/>
    <w:rsid w:val="009B355E"/>
    <w:rsid w:val="009C4284"/>
    <w:rsid w:val="009C6E3A"/>
    <w:rsid w:val="009D20FA"/>
    <w:rsid w:val="009D4F84"/>
    <w:rsid w:val="009D6AC5"/>
    <w:rsid w:val="009F0527"/>
    <w:rsid w:val="00A0489E"/>
    <w:rsid w:val="00A11ABC"/>
    <w:rsid w:val="00A13F6B"/>
    <w:rsid w:val="00A23FE1"/>
    <w:rsid w:val="00A277CA"/>
    <w:rsid w:val="00A31FFB"/>
    <w:rsid w:val="00A33FF0"/>
    <w:rsid w:val="00A3406B"/>
    <w:rsid w:val="00A438FB"/>
    <w:rsid w:val="00A43AB3"/>
    <w:rsid w:val="00A4498E"/>
    <w:rsid w:val="00A56E62"/>
    <w:rsid w:val="00A57B8A"/>
    <w:rsid w:val="00A63644"/>
    <w:rsid w:val="00A64D0C"/>
    <w:rsid w:val="00A673E6"/>
    <w:rsid w:val="00A73D8D"/>
    <w:rsid w:val="00A7532A"/>
    <w:rsid w:val="00A7553D"/>
    <w:rsid w:val="00A8224D"/>
    <w:rsid w:val="00A822A5"/>
    <w:rsid w:val="00A84369"/>
    <w:rsid w:val="00A84A6B"/>
    <w:rsid w:val="00A87056"/>
    <w:rsid w:val="00A91BE3"/>
    <w:rsid w:val="00A93260"/>
    <w:rsid w:val="00A94F66"/>
    <w:rsid w:val="00AA2A0A"/>
    <w:rsid w:val="00AA3519"/>
    <w:rsid w:val="00AA4A67"/>
    <w:rsid w:val="00AA4B42"/>
    <w:rsid w:val="00AA79AD"/>
    <w:rsid w:val="00AB5CC7"/>
    <w:rsid w:val="00AB63ED"/>
    <w:rsid w:val="00AB77FA"/>
    <w:rsid w:val="00AC7C0E"/>
    <w:rsid w:val="00AC7EC8"/>
    <w:rsid w:val="00AD38B9"/>
    <w:rsid w:val="00AD6225"/>
    <w:rsid w:val="00AE619F"/>
    <w:rsid w:val="00AE6C13"/>
    <w:rsid w:val="00AF1A52"/>
    <w:rsid w:val="00AF2368"/>
    <w:rsid w:val="00AF5710"/>
    <w:rsid w:val="00AF6A63"/>
    <w:rsid w:val="00B07439"/>
    <w:rsid w:val="00B10294"/>
    <w:rsid w:val="00B11E23"/>
    <w:rsid w:val="00B12018"/>
    <w:rsid w:val="00B21B46"/>
    <w:rsid w:val="00B22BD7"/>
    <w:rsid w:val="00B31926"/>
    <w:rsid w:val="00B341A9"/>
    <w:rsid w:val="00B34AE0"/>
    <w:rsid w:val="00B35EA6"/>
    <w:rsid w:val="00B360C9"/>
    <w:rsid w:val="00B36F74"/>
    <w:rsid w:val="00B45A53"/>
    <w:rsid w:val="00B5670F"/>
    <w:rsid w:val="00B567FD"/>
    <w:rsid w:val="00B6188E"/>
    <w:rsid w:val="00B61EFE"/>
    <w:rsid w:val="00B64ACF"/>
    <w:rsid w:val="00B67A7C"/>
    <w:rsid w:val="00B714A0"/>
    <w:rsid w:val="00B81809"/>
    <w:rsid w:val="00B838A5"/>
    <w:rsid w:val="00B86275"/>
    <w:rsid w:val="00B87720"/>
    <w:rsid w:val="00B87F9F"/>
    <w:rsid w:val="00B9094F"/>
    <w:rsid w:val="00B94DB6"/>
    <w:rsid w:val="00B96882"/>
    <w:rsid w:val="00BA4D46"/>
    <w:rsid w:val="00BB2373"/>
    <w:rsid w:val="00BB3026"/>
    <w:rsid w:val="00BB7AF1"/>
    <w:rsid w:val="00BC1317"/>
    <w:rsid w:val="00BC30A3"/>
    <w:rsid w:val="00BC35A3"/>
    <w:rsid w:val="00BC36FC"/>
    <w:rsid w:val="00BC5CEE"/>
    <w:rsid w:val="00BC7D5B"/>
    <w:rsid w:val="00BD3F63"/>
    <w:rsid w:val="00BD5689"/>
    <w:rsid w:val="00BD6CD6"/>
    <w:rsid w:val="00BE172A"/>
    <w:rsid w:val="00BE196C"/>
    <w:rsid w:val="00BE6A16"/>
    <w:rsid w:val="00BE6A26"/>
    <w:rsid w:val="00C05186"/>
    <w:rsid w:val="00C13D84"/>
    <w:rsid w:val="00C158F7"/>
    <w:rsid w:val="00C15A82"/>
    <w:rsid w:val="00C20E56"/>
    <w:rsid w:val="00C23C07"/>
    <w:rsid w:val="00C24635"/>
    <w:rsid w:val="00C2474C"/>
    <w:rsid w:val="00C25C2C"/>
    <w:rsid w:val="00C3245B"/>
    <w:rsid w:val="00C32505"/>
    <w:rsid w:val="00C33DE3"/>
    <w:rsid w:val="00C36D0B"/>
    <w:rsid w:val="00C37DE9"/>
    <w:rsid w:val="00C40C2A"/>
    <w:rsid w:val="00C4158A"/>
    <w:rsid w:val="00C4597F"/>
    <w:rsid w:val="00C4692D"/>
    <w:rsid w:val="00C47583"/>
    <w:rsid w:val="00C51415"/>
    <w:rsid w:val="00C60CB2"/>
    <w:rsid w:val="00C6362B"/>
    <w:rsid w:val="00C64550"/>
    <w:rsid w:val="00C66765"/>
    <w:rsid w:val="00C729D9"/>
    <w:rsid w:val="00C760EF"/>
    <w:rsid w:val="00C81864"/>
    <w:rsid w:val="00C81BB4"/>
    <w:rsid w:val="00C83F63"/>
    <w:rsid w:val="00C83FE0"/>
    <w:rsid w:val="00C85133"/>
    <w:rsid w:val="00C855C0"/>
    <w:rsid w:val="00C86C73"/>
    <w:rsid w:val="00C9027E"/>
    <w:rsid w:val="00C92D5C"/>
    <w:rsid w:val="00C96F4F"/>
    <w:rsid w:val="00CA0ABC"/>
    <w:rsid w:val="00CA616B"/>
    <w:rsid w:val="00CA7812"/>
    <w:rsid w:val="00CB2B78"/>
    <w:rsid w:val="00CB538B"/>
    <w:rsid w:val="00CC4A9A"/>
    <w:rsid w:val="00CC70B2"/>
    <w:rsid w:val="00CC71A3"/>
    <w:rsid w:val="00CD0E70"/>
    <w:rsid w:val="00CD49AF"/>
    <w:rsid w:val="00CD6A67"/>
    <w:rsid w:val="00CD6BE3"/>
    <w:rsid w:val="00CE0E4E"/>
    <w:rsid w:val="00CE2AF5"/>
    <w:rsid w:val="00CE51FF"/>
    <w:rsid w:val="00CE608D"/>
    <w:rsid w:val="00CF0591"/>
    <w:rsid w:val="00CF1A20"/>
    <w:rsid w:val="00CF276E"/>
    <w:rsid w:val="00D06249"/>
    <w:rsid w:val="00D10AEA"/>
    <w:rsid w:val="00D234F1"/>
    <w:rsid w:val="00D2759D"/>
    <w:rsid w:val="00D30F2A"/>
    <w:rsid w:val="00D324CC"/>
    <w:rsid w:val="00D4532D"/>
    <w:rsid w:val="00D51005"/>
    <w:rsid w:val="00D62478"/>
    <w:rsid w:val="00D67373"/>
    <w:rsid w:val="00D6797B"/>
    <w:rsid w:val="00D80445"/>
    <w:rsid w:val="00D8355F"/>
    <w:rsid w:val="00D85988"/>
    <w:rsid w:val="00D914B0"/>
    <w:rsid w:val="00D928CE"/>
    <w:rsid w:val="00DA4978"/>
    <w:rsid w:val="00DB34CE"/>
    <w:rsid w:val="00DB52DE"/>
    <w:rsid w:val="00DB7268"/>
    <w:rsid w:val="00DD195B"/>
    <w:rsid w:val="00DD5104"/>
    <w:rsid w:val="00DD6D79"/>
    <w:rsid w:val="00DE1D10"/>
    <w:rsid w:val="00DE4CB9"/>
    <w:rsid w:val="00DE60A9"/>
    <w:rsid w:val="00DE7B06"/>
    <w:rsid w:val="00DF102E"/>
    <w:rsid w:val="00DF41B3"/>
    <w:rsid w:val="00DF44C4"/>
    <w:rsid w:val="00DF714E"/>
    <w:rsid w:val="00E01583"/>
    <w:rsid w:val="00E11D77"/>
    <w:rsid w:val="00E2165C"/>
    <w:rsid w:val="00E25CDB"/>
    <w:rsid w:val="00E3062B"/>
    <w:rsid w:val="00E31F70"/>
    <w:rsid w:val="00E3633C"/>
    <w:rsid w:val="00E40A57"/>
    <w:rsid w:val="00E41204"/>
    <w:rsid w:val="00E452EA"/>
    <w:rsid w:val="00E45AEB"/>
    <w:rsid w:val="00E461EA"/>
    <w:rsid w:val="00E54FED"/>
    <w:rsid w:val="00E56D3C"/>
    <w:rsid w:val="00E64636"/>
    <w:rsid w:val="00E7074E"/>
    <w:rsid w:val="00E754AB"/>
    <w:rsid w:val="00E80966"/>
    <w:rsid w:val="00E81D12"/>
    <w:rsid w:val="00E8409E"/>
    <w:rsid w:val="00E85A0E"/>
    <w:rsid w:val="00E86208"/>
    <w:rsid w:val="00E97443"/>
    <w:rsid w:val="00EA3447"/>
    <w:rsid w:val="00EB15C7"/>
    <w:rsid w:val="00EB3969"/>
    <w:rsid w:val="00EC634E"/>
    <w:rsid w:val="00EC7A81"/>
    <w:rsid w:val="00EE1966"/>
    <w:rsid w:val="00EE1F43"/>
    <w:rsid w:val="00EF068A"/>
    <w:rsid w:val="00EF1C9C"/>
    <w:rsid w:val="00F061F8"/>
    <w:rsid w:val="00F11665"/>
    <w:rsid w:val="00F119F2"/>
    <w:rsid w:val="00F20C23"/>
    <w:rsid w:val="00F21617"/>
    <w:rsid w:val="00F220B7"/>
    <w:rsid w:val="00F24B00"/>
    <w:rsid w:val="00F341DB"/>
    <w:rsid w:val="00F4205F"/>
    <w:rsid w:val="00F462EE"/>
    <w:rsid w:val="00F5484B"/>
    <w:rsid w:val="00F66FE7"/>
    <w:rsid w:val="00F674E0"/>
    <w:rsid w:val="00F70983"/>
    <w:rsid w:val="00F720D5"/>
    <w:rsid w:val="00F746B5"/>
    <w:rsid w:val="00F82446"/>
    <w:rsid w:val="00F839AE"/>
    <w:rsid w:val="00F84713"/>
    <w:rsid w:val="00F879A2"/>
    <w:rsid w:val="00F920BF"/>
    <w:rsid w:val="00FA43F4"/>
    <w:rsid w:val="00FA775F"/>
    <w:rsid w:val="00FB44E3"/>
    <w:rsid w:val="00FC0136"/>
    <w:rsid w:val="00FC17DA"/>
    <w:rsid w:val="00FC2E4A"/>
    <w:rsid w:val="00FD0A61"/>
    <w:rsid w:val="00FD218D"/>
    <w:rsid w:val="00FD5761"/>
    <w:rsid w:val="00FE0AD1"/>
    <w:rsid w:val="00FE25BF"/>
    <w:rsid w:val="00FE4C70"/>
    <w:rsid w:val="00FE70D3"/>
    <w:rsid w:val="00FF1309"/>
    <w:rsid w:val="00FF34D6"/>
    <w:rsid w:val="00FF6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FFB"/>
    <w:pPr>
      <w:widowControl w:val="0"/>
      <w:autoSpaceDE w:val="0"/>
      <w:autoSpaceDN w:val="0"/>
      <w:adjustRightInd w:val="0"/>
    </w:pPr>
    <w:rPr>
      <w:szCs w:val="24"/>
    </w:rPr>
  </w:style>
  <w:style w:type="paragraph" w:styleId="Heading1">
    <w:name w:val="heading 1"/>
    <w:basedOn w:val="Normal"/>
    <w:next w:val="Normal"/>
    <w:qFormat/>
    <w:rsid w:val="00A31FFB"/>
    <w:pPr>
      <w:keepNext/>
      <w:jc w:val="center"/>
      <w:outlineLvl w:val="0"/>
    </w:pPr>
    <w:rPr>
      <w:sz w:val="24"/>
    </w:rPr>
  </w:style>
  <w:style w:type="paragraph" w:styleId="Heading2">
    <w:name w:val="heading 2"/>
    <w:basedOn w:val="Normal"/>
    <w:next w:val="Normal"/>
    <w:qFormat/>
    <w:rsid w:val="00A31F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31FFB"/>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31FFB"/>
  </w:style>
  <w:style w:type="paragraph" w:styleId="BodyText">
    <w:name w:val="Body Text"/>
    <w:basedOn w:val="Normal"/>
    <w:rsid w:val="00A31FFB"/>
    <w:rPr>
      <w:rFonts w:ascii="Courier" w:hAnsi="Courier"/>
      <w:sz w:val="24"/>
    </w:rPr>
  </w:style>
  <w:style w:type="paragraph" w:styleId="Header">
    <w:name w:val="header"/>
    <w:basedOn w:val="Normal"/>
    <w:rsid w:val="00A31FFB"/>
    <w:pPr>
      <w:tabs>
        <w:tab w:val="center" w:pos="4320"/>
        <w:tab w:val="right" w:pos="8640"/>
      </w:tabs>
    </w:pPr>
  </w:style>
  <w:style w:type="paragraph" w:styleId="Footer">
    <w:name w:val="footer"/>
    <w:basedOn w:val="Normal"/>
    <w:rsid w:val="00A31FFB"/>
    <w:pPr>
      <w:tabs>
        <w:tab w:val="center" w:pos="4320"/>
        <w:tab w:val="right" w:pos="8640"/>
      </w:tabs>
    </w:pPr>
  </w:style>
  <w:style w:type="character" w:styleId="PageNumber">
    <w:name w:val="page number"/>
    <w:basedOn w:val="DefaultParagraphFont"/>
    <w:rsid w:val="00A31FFB"/>
  </w:style>
  <w:style w:type="paragraph" w:styleId="BodyText2">
    <w:name w:val="Body Text 2"/>
    <w:basedOn w:val="Normal"/>
    <w:rsid w:val="00A3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customStyle="1" w:styleId="EmailStyle26">
    <w:name w:val="EmailStyle261"/>
    <w:aliases w:val="EmailStyle261"/>
    <w:basedOn w:val="DefaultParagraphFont"/>
    <w:semiHidden/>
    <w:personal/>
    <w:personalReply/>
    <w:rsid w:val="003C0088"/>
    <w:rPr>
      <w:rFonts w:ascii="Arial" w:hAnsi="Arial" w:cs="Arial"/>
      <w:color w:val="000080"/>
      <w:sz w:val="20"/>
      <w:szCs w:val="20"/>
    </w:rPr>
  </w:style>
  <w:style w:type="paragraph" w:styleId="ListParagraph">
    <w:name w:val="List Paragraph"/>
    <w:basedOn w:val="Normal"/>
    <w:uiPriority w:val="34"/>
    <w:qFormat/>
    <w:rsid w:val="005C479F"/>
    <w:pPr>
      <w:widowControl/>
      <w:autoSpaceDE/>
      <w:autoSpaceDN/>
      <w:adjustRightInd/>
      <w:ind w:left="720"/>
    </w:pPr>
    <w:rPr>
      <w:rFonts w:ascii="Calibri" w:eastAsia="Calibri" w:hAnsi="Calibri"/>
      <w:sz w:val="22"/>
      <w:szCs w:val="22"/>
    </w:rPr>
  </w:style>
  <w:style w:type="character" w:styleId="Strong">
    <w:name w:val="Strong"/>
    <w:basedOn w:val="DefaultParagraphFont"/>
    <w:uiPriority w:val="22"/>
    <w:qFormat/>
    <w:rsid w:val="005C479F"/>
    <w:rPr>
      <w:b/>
      <w:bCs/>
    </w:rPr>
  </w:style>
  <w:style w:type="character" w:styleId="CommentReference">
    <w:name w:val="annotation reference"/>
    <w:basedOn w:val="DefaultParagraphFont"/>
    <w:rsid w:val="001324CB"/>
    <w:rPr>
      <w:sz w:val="16"/>
      <w:szCs w:val="16"/>
    </w:rPr>
  </w:style>
  <w:style w:type="paragraph" w:styleId="CommentText">
    <w:name w:val="annotation text"/>
    <w:basedOn w:val="Normal"/>
    <w:link w:val="CommentTextChar"/>
    <w:rsid w:val="001324CB"/>
    <w:rPr>
      <w:szCs w:val="20"/>
    </w:rPr>
  </w:style>
  <w:style w:type="character" w:customStyle="1" w:styleId="CommentTextChar">
    <w:name w:val="Comment Text Char"/>
    <w:basedOn w:val="DefaultParagraphFont"/>
    <w:link w:val="CommentText"/>
    <w:rsid w:val="001324CB"/>
  </w:style>
  <w:style w:type="paragraph" w:styleId="CommentSubject">
    <w:name w:val="annotation subject"/>
    <w:basedOn w:val="CommentText"/>
    <w:next w:val="CommentText"/>
    <w:link w:val="CommentSubjectChar"/>
    <w:rsid w:val="001324CB"/>
    <w:rPr>
      <w:b/>
      <w:bCs/>
    </w:rPr>
  </w:style>
  <w:style w:type="character" w:customStyle="1" w:styleId="CommentSubjectChar">
    <w:name w:val="Comment Subject Char"/>
    <w:basedOn w:val="CommentTextChar"/>
    <w:link w:val="CommentSubject"/>
    <w:rsid w:val="001324CB"/>
    <w:rPr>
      <w:b/>
      <w:bCs/>
    </w:rPr>
  </w:style>
  <w:style w:type="character" w:styleId="Hyperlink">
    <w:name w:val="Hyperlink"/>
    <w:basedOn w:val="DefaultParagraphFont"/>
    <w:rsid w:val="001324CB"/>
    <w:rPr>
      <w:color w:val="0000FF"/>
      <w:u w:val="single"/>
    </w:rPr>
  </w:style>
  <w:style w:type="character" w:customStyle="1" w:styleId="Hypertext">
    <w:name w:val="Hypertext"/>
    <w:basedOn w:val="DefaultParagraphFont"/>
    <w:rsid w:val="001324CB"/>
    <w:rPr>
      <w:b/>
      <w:bCs/>
      <w:color w:val="008000"/>
      <w:u w:val="single"/>
    </w:rPr>
  </w:style>
  <w:style w:type="paragraph" w:styleId="Revision">
    <w:name w:val="Revision"/>
    <w:hidden/>
    <w:uiPriority w:val="99"/>
    <w:semiHidden/>
    <w:rsid w:val="000A3702"/>
    <w:rPr>
      <w:szCs w:val="24"/>
    </w:rPr>
  </w:style>
</w:styles>
</file>

<file path=word/webSettings.xml><?xml version="1.0" encoding="utf-8"?>
<w:webSettings xmlns:r="http://schemas.openxmlformats.org/officeDocument/2006/relationships" xmlns:w="http://schemas.openxmlformats.org/wordprocessingml/2006/main">
  <w:divs>
    <w:div w:id="135147364">
      <w:bodyDiv w:val="1"/>
      <w:marLeft w:val="0"/>
      <w:marRight w:val="0"/>
      <w:marTop w:val="0"/>
      <w:marBottom w:val="0"/>
      <w:divBdr>
        <w:top w:val="none" w:sz="0" w:space="0" w:color="auto"/>
        <w:left w:val="none" w:sz="0" w:space="0" w:color="auto"/>
        <w:bottom w:val="none" w:sz="0" w:space="0" w:color="auto"/>
        <w:right w:val="none" w:sz="0" w:space="0" w:color="auto"/>
      </w:divBdr>
    </w:div>
    <w:div w:id="625501116">
      <w:bodyDiv w:val="1"/>
      <w:marLeft w:val="0"/>
      <w:marRight w:val="0"/>
      <w:marTop w:val="0"/>
      <w:marBottom w:val="0"/>
      <w:divBdr>
        <w:top w:val="none" w:sz="0" w:space="0" w:color="auto"/>
        <w:left w:val="none" w:sz="0" w:space="0" w:color="auto"/>
        <w:bottom w:val="none" w:sz="0" w:space="0" w:color="auto"/>
        <w:right w:val="none" w:sz="0" w:space="0" w:color="auto"/>
      </w:divBdr>
    </w:div>
    <w:div w:id="1241720897">
      <w:bodyDiv w:val="1"/>
      <w:marLeft w:val="0"/>
      <w:marRight w:val="0"/>
      <w:marTop w:val="0"/>
      <w:marBottom w:val="0"/>
      <w:divBdr>
        <w:top w:val="none" w:sz="0" w:space="0" w:color="auto"/>
        <w:left w:val="none" w:sz="0" w:space="0" w:color="auto"/>
        <w:bottom w:val="none" w:sz="0" w:space="0" w:color="auto"/>
        <w:right w:val="none" w:sz="0" w:space="0" w:color="auto"/>
      </w:divBdr>
    </w:div>
    <w:div w:id="1732344874">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312AFEE73F6444BA9F195F11B702E1" ma:contentTypeVersion="131" ma:contentTypeDescription="" ma:contentTypeScope="" ma:versionID="7a472ccea6227c25f3042274f55a69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2009-05-26T07:00:00+00:00</OpenedDate>
    <Date1 xmlns="dc463f71-b30c-4ab2-9473-d307f9d35888">2009-06-25T07:00:00+00:00</Date1>
    <IsDocumentOrder xmlns="dc463f71-b30c-4ab2-9473-d307f9d35888" xsi:nil="true"/>
    <IsHighlyConfidential xmlns="dc463f71-b30c-4ab2-9473-d307f9d35888">false</IsHighlyConfidential>
    <CaseCompanyNames xmlns="dc463f71-b30c-4ab2-9473-d307f9d35888">Aquarius Utilities, LLC.</CaseCompanyNames>
    <DocketNumber xmlns="dc463f71-b30c-4ab2-9473-d307f9d35888">090819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C109D0-F3AB-4A4F-8E27-DA7D3ABC3EC4}"/>
</file>

<file path=customXml/itemProps2.xml><?xml version="1.0" encoding="utf-8"?>
<ds:datastoreItem xmlns:ds="http://schemas.openxmlformats.org/officeDocument/2006/customXml" ds:itemID="{5F76E6C4-B4AD-4F6F-9C61-B809D7BBB6A1}"/>
</file>

<file path=customXml/itemProps3.xml><?xml version="1.0" encoding="utf-8"?>
<ds:datastoreItem xmlns:ds="http://schemas.openxmlformats.org/officeDocument/2006/customXml" ds:itemID="{A08AE30C-6B71-4BEC-8260-89C9B37869ED}"/>
</file>

<file path=customXml/itemProps4.xml><?xml version="1.0" encoding="utf-8"?>
<ds:datastoreItem xmlns:ds="http://schemas.openxmlformats.org/officeDocument/2006/customXml" ds:itemID="{D4E51FEC-5695-4F45-9072-84A7B9124264}"/>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Links>
    <vt:vector size="6" baseType="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Lisa Wyse, Records Manager</cp:lastModifiedBy>
  <cp:revision>2</cp:revision>
  <cp:lastPrinted>2009-06-22T17:34:00Z</cp:lastPrinted>
  <dcterms:created xsi:type="dcterms:W3CDTF">2009-06-22T22:34:00Z</dcterms:created>
  <dcterms:modified xsi:type="dcterms:W3CDTF">2009-06-22T22:34:00Z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0x0101006E56B4D1795A2E4DB2F0B01679ED314A006A312AFEE73F6444BA9F195F11B702E1</vt:lpwstr>
  </property>
  <property fmtid="{D5CDD505-2E9C-101B-9397-08002B2CF9AE}" pid="3" name="_docset_NoMedatataSyncRequired">
    <vt:lpwstr>False</vt:lpwstr>
  </property>
</Properties>
</file>