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ore.xml" ContentType="application/vnd.openxmlformats-package.core-properties+xml"/>
  <Override PartName="/docProps/custom.xml" ContentType="application/vnd.openxmlformats-officedocument.custom-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EDEA64" w14:textId="77777777" w:rsidR="00893F5C" w:rsidRPr="005E5651" w:rsidRDefault="00893F5C" w:rsidP="00893F5C">
      <w:pPr>
        <w:pStyle w:val="BodyText"/>
        <w:rPr>
          <w:b/>
          <w:bCs/>
        </w:rPr>
      </w:pPr>
      <w:r w:rsidRPr="005E5651">
        <w:rPr>
          <w:b/>
          <w:bCs/>
        </w:rPr>
        <w:t xml:space="preserve">BEFORE THE </w:t>
      </w:r>
      <w:smartTag w:uri="urn:schemas-microsoft-com:office:smarttags" w:element="place">
        <w:smartTag w:uri="urn:schemas-microsoft-com:office:smarttags" w:element="PlaceName">
          <w:r w:rsidRPr="005E5651">
            <w:rPr>
              <w:b/>
              <w:bCs/>
            </w:rPr>
            <w:t>WASHINGTON</w:t>
          </w:r>
        </w:smartTag>
        <w:r w:rsidRPr="005E5651">
          <w:rPr>
            <w:b/>
            <w:bCs/>
          </w:rPr>
          <w:t xml:space="preserve"> </w:t>
        </w:r>
        <w:smartTag w:uri="urn:schemas-microsoft-com:office:smarttags" w:element="PlaceType">
          <w:r w:rsidRPr="005E5651">
            <w:rPr>
              <w:b/>
              <w:bCs/>
            </w:rPr>
            <w:t>STATE</w:t>
          </w:r>
        </w:smartTag>
      </w:smartTag>
    </w:p>
    <w:p w14:paraId="44EDEA65" w14:textId="77777777" w:rsidR="00893F5C" w:rsidRPr="005E5651" w:rsidRDefault="00893F5C" w:rsidP="00893F5C">
      <w:pPr>
        <w:pStyle w:val="BodyText"/>
        <w:rPr>
          <w:b/>
          <w:bCs/>
        </w:rPr>
      </w:pPr>
      <w:r w:rsidRPr="005E5651">
        <w:rPr>
          <w:b/>
          <w:bCs/>
        </w:rPr>
        <w:t>UTILITIES AND TRANSPORTATION COMMISSION</w:t>
      </w:r>
    </w:p>
    <w:p w14:paraId="44EDEA66" w14:textId="77777777" w:rsidR="00893F5C" w:rsidRPr="005E5651" w:rsidRDefault="00893F5C" w:rsidP="00893F5C">
      <w:pPr>
        <w:rPr>
          <w:b/>
          <w:bCs/>
        </w:rPr>
      </w:pPr>
    </w:p>
    <w:tbl>
      <w:tblPr>
        <w:tblW w:w="8408" w:type="dxa"/>
        <w:tblLook w:val="0000" w:firstRow="0" w:lastRow="0" w:firstColumn="0" w:lastColumn="0" w:noHBand="0" w:noVBand="0"/>
      </w:tblPr>
      <w:tblGrid>
        <w:gridCol w:w="4008"/>
        <w:gridCol w:w="600"/>
        <w:gridCol w:w="3800"/>
      </w:tblGrid>
      <w:tr w:rsidR="00893F5C" w:rsidRPr="005E5651" w14:paraId="44EDEA76" w14:textId="77777777" w:rsidTr="001C2389">
        <w:tc>
          <w:tcPr>
            <w:tcW w:w="4008" w:type="dxa"/>
          </w:tcPr>
          <w:p w14:paraId="44EDEA67" w14:textId="77777777" w:rsidR="00893F5C" w:rsidRPr="005E5651" w:rsidRDefault="00893F5C" w:rsidP="001C2389">
            <w:pPr>
              <w:pStyle w:val="Header"/>
              <w:tabs>
                <w:tab w:val="clear" w:pos="4320"/>
                <w:tab w:val="clear" w:pos="8640"/>
              </w:tabs>
            </w:pPr>
            <w:r w:rsidRPr="005E5651">
              <w:t>In the Matter of the Petition of</w:t>
            </w:r>
          </w:p>
          <w:p w14:paraId="44EDEA68" w14:textId="77777777" w:rsidR="00893F5C" w:rsidRPr="005E5651" w:rsidRDefault="00893F5C" w:rsidP="001C2389"/>
          <w:p w14:paraId="44EDEA69" w14:textId="2E8F5B31" w:rsidR="00893F5C" w:rsidRPr="005E5651" w:rsidRDefault="00893F5C" w:rsidP="001C2389">
            <w:r>
              <w:t xml:space="preserve">PACIFICORP dba PACIFIC POWER </w:t>
            </w:r>
            <w:r w:rsidR="009F6AD8">
              <w:t>&amp; LIGHT COMPANY</w:t>
            </w:r>
            <w:r>
              <w:t xml:space="preserve"> </w:t>
            </w:r>
          </w:p>
          <w:p w14:paraId="44EDEA6A" w14:textId="77777777" w:rsidR="00893F5C" w:rsidRPr="005E5651" w:rsidRDefault="00893F5C" w:rsidP="001C2389">
            <w:r w:rsidRPr="005E5651">
              <w:t xml:space="preserve">         </w:t>
            </w:r>
          </w:p>
          <w:p w14:paraId="44EDEA6B" w14:textId="77777777" w:rsidR="00893F5C" w:rsidRPr="005E5651" w:rsidRDefault="00893F5C" w:rsidP="001C2389">
            <w:r w:rsidRPr="005E5651">
              <w:t xml:space="preserve">                      Petitioner, </w:t>
            </w:r>
          </w:p>
          <w:p w14:paraId="44EDEA6C" w14:textId="77777777" w:rsidR="00893F5C" w:rsidRPr="005E5651" w:rsidRDefault="00893F5C" w:rsidP="001C2389"/>
          <w:p w14:paraId="44EDEA6D" w14:textId="77777777" w:rsidR="00893F5C" w:rsidRPr="005E5651" w:rsidRDefault="00B160F4" w:rsidP="009C228E">
            <w:r>
              <w:t>Requesting a</w:t>
            </w:r>
            <w:r w:rsidR="00217A81" w:rsidRPr="006701BD">
              <w:t xml:space="preserve"> Modification to </w:t>
            </w:r>
            <w:r>
              <w:t xml:space="preserve">the Filing </w:t>
            </w:r>
            <w:r w:rsidR="00217A81" w:rsidRPr="006701BD">
              <w:t>Requirements</w:t>
            </w:r>
            <w:r w:rsidR="00217A81">
              <w:t xml:space="preserve"> </w:t>
            </w:r>
            <w:r>
              <w:t>contained in WAC 480-100-275</w:t>
            </w:r>
            <w:r w:rsidR="00217A81">
              <w:t xml:space="preserve">                       </w:t>
            </w:r>
            <w:r w:rsidR="009C228E">
              <w:t xml:space="preserve">    </w:t>
            </w:r>
            <w:r w:rsidR="00217A81">
              <w:t xml:space="preserve">    </w:t>
            </w:r>
            <w:r w:rsidR="009C228E">
              <w:t xml:space="preserve"> </w:t>
            </w:r>
            <w:r w:rsidR="00893F5C" w:rsidRPr="005E5651">
              <w:t xml:space="preserve"> . . . . . . . . . . . . . . . . . . . . . . . . . .</w:t>
            </w:r>
            <w:r w:rsidR="009C228E">
              <w:t xml:space="preserve"> </w:t>
            </w:r>
          </w:p>
        </w:tc>
        <w:tc>
          <w:tcPr>
            <w:tcW w:w="600" w:type="dxa"/>
          </w:tcPr>
          <w:p w14:paraId="16FA6E7B" w14:textId="77777777" w:rsidR="005E215F" w:rsidRDefault="00893F5C" w:rsidP="001C2389">
            <w:r w:rsidRPr="005E5651">
              <w:t>)</w:t>
            </w:r>
            <w:r w:rsidRPr="005E5651">
              <w:br/>
              <w:t>)</w:t>
            </w:r>
            <w:r w:rsidRPr="005E5651">
              <w:br/>
              <w:t>)</w:t>
            </w:r>
            <w:r w:rsidRPr="005E5651">
              <w:br/>
              <w:t>)</w:t>
            </w:r>
            <w:r w:rsidRPr="005E5651">
              <w:br/>
              <w:t>)</w:t>
            </w:r>
            <w:r w:rsidRPr="005E5651">
              <w:br/>
              <w:t>)</w:t>
            </w:r>
            <w:r w:rsidRPr="005E5651">
              <w:br/>
              <w:t>)</w:t>
            </w:r>
            <w:r w:rsidRPr="005E5651">
              <w:br/>
              <w:t>)</w:t>
            </w:r>
            <w:r w:rsidRPr="005E5651">
              <w:br/>
              <w:t>)</w:t>
            </w:r>
            <w:r w:rsidRPr="005E5651">
              <w:br/>
            </w:r>
            <w:r w:rsidR="005E215F">
              <w:t>)</w:t>
            </w:r>
          </w:p>
          <w:p w14:paraId="44EDEA6E" w14:textId="77777777" w:rsidR="00893F5C" w:rsidRPr="005E5651" w:rsidRDefault="00893F5C" w:rsidP="001C2389">
            <w:r>
              <w:t>)</w:t>
            </w:r>
          </w:p>
        </w:tc>
        <w:tc>
          <w:tcPr>
            <w:tcW w:w="3800" w:type="dxa"/>
          </w:tcPr>
          <w:p w14:paraId="44EDEA6F" w14:textId="77777777" w:rsidR="00893F5C" w:rsidRPr="005E5651" w:rsidRDefault="00893F5C" w:rsidP="001C2389">
            <w:r>
              <w:t>DOCKET UE-072123</w:t>
            </w:r>
          </w:p>
          <w:p w14:paraId="44EDEA70" w14:textId="77777777" w:rsidR="00893F5C" w:rsidRPr="005E5651" w:rsidRDefault="00893F5C" w:rsidP="001C2389">
            <w:pPr>
              <w:ind w:left="720"/>
            </w:pPr>
          </w:p>
          <w:p w14:paraId="44EDEA71" w14:textId="77777777" w:rsidR="00893F5C" w:rsidRPr="005E5651" w:rsidRDefault="00893F5C" w:rsidP="001C2389">
            <w:r>
              <w:t>ORDER 0</w:t>
            </w:r>
            <w:r w:rsidR="00825E8B">
              <w:t>3</w:t>
            </w:r>
          </w:p>
          <w:p w14:paraId="44EDEA72" w14:textId="77777777" w:rsidR="00893F5C" w:rsidRPr="005E5651" w:rsidRDefault="00893F5C" w:rsidP="001C2389">
            <w:pPr>
              <w:ind w:left="720"/>
            </w:pPr>
          </w:p>
          <w:p w14:paraId="44EDEA73" w14:textId="77777777" w:rsidR="00893F5C" w:rsidRDefault="00893F5C" w:rsidP="001C2389"/>
          <w:p w14:paraId="133F1A57" w14:textId="77777777" w:rsidR="005E215F" w:rsidRDefault="005E215F" w:rsidP="001C2389"/>
          <w:p w14:paraId="44EDEA74" w14:textId="77777777" w:rsidR="00893F5C" w:rsidRPr="005E5651" w:rsidRDefault="00893F5C" w:rsidP="001C2389">
            <w:r w:rsidRPr="005E5651">
              <w:t xml:space="preserve">ORDER GRANTING </w:t>
            </w:r>
          </w:p>
          <w:p w14:paraId="44EDEA75" w14:textId="77777777" w:rsidR="00893F5C" w:rsidRPr="005E5651" w:rsidRDefault="00893F5C" w:rsidP="001C2389">
            <w:r>
              <w:t>MODIFICATION TO THE REQUIREMENT TO FILE RESULTS OF OPERATIONS</w:t>
            </w:r>
          </w:p>
        </w:tc>
      </w:tr>
    </w:tbl>
    <w:p w14:paraId="44EDEA77" w14:textId="206D1158" w:rsidR="00893F5C" w:rsidRPr="005E5651" w:rsidRDefault="00893F5C" w:rsidP="00893F5C"/>
    <w:p w14:paraId="44EDEA78" w14:textId="77777777" w:rsidR="00893F5C" w:rsidRPr="005E5651" w:rsidRDefault="00893F5C" w:rsidP="00893F5C">
      <w:pPr>
        <w:pStyle w:val="Heading2"/>
        <w:rPr>
          <w:b/>
          <w:bCs/>
          <w:u w:val="none"/>
        </w:rPr>
      </w:pPr>
      <w:r w:rsidRPr="005E5651">
        <w:rPr>
          <w:b/>
          <w:bCs/>
          <w:u w:val="none"/>
        </w:rPr>
        <w:t>BACKGROUND</w:t>
      </w:r>
    </w:p>
    <w:p w14:paraId="44EDEA79" w14:textId="77777777" w:rsidR="00893F5C" w:rsidRPr="005E5651" w:rsidRDefault="00893F5C" w:rsidP="00893F5C">
      <w:pPr>
        <w:pStyle w:val="Header"/>
        <w:tabs>
          <w:tab w:val="clear" w:pos="4320"/>
          <w:tab w:val="clear" w:pos="8640"/>
        </w:tabs>
      </w:pPr>
    </w:p>
    <w:p w14:paraId="3004407E" w14:textId="77777777" w:rsidR="001709FC" w:rsidRPr="005E5651" w:rsidRDefault="001709FC" w:rsidP="001709FC">
      <w:pPr>
        <w:pStyle w:val="Findings"/>
        <w:numPr>
          <w:ilvl w:val="0"/>
          <w:numId w:val="1"/>
        </w:numPr>
        <w:tabs>
          <w:tab w:val="clear" w:pos="720"/>
          <w:tab w:val="num" w:pos="0"/>
        </w:tabs>
        <w:spacing w:line="288" w:lineRule="auto"/>
        <w:ind w:left="0"/>
      </w:pPr>
      <w:r w:rsidRPr="005E5651">
        <w:t xml:space="preserve">On </w:t>
      </w:r>
      <w:r>
        <w:t>August 15, 2012</w:t>
      </w:r>
      <w:r w:rsidRPr="005E5651">
        <w:t xml:space="preserve">, </w:t>
      </w:r>
      <w:r>
        <w:t>PacifiCorp, dba Pacific Power &amp; Light Company (PacifiCorp or Company)</w:t>
      </w:r>
      <w:r w:rsidRPr="005E5651">
        <w:t xml:space="preserve"> filed a petition requesting</w:t>
      </w:r>
      <w:r>
        <w:t xml:space="preserve"> a 30 day extension</w:t>
      </w:r>
      <w:r w:rsidRPr="005E5651">
        <w:t xml:space="preserve"> </w:t>
      </w:r>
      <w:r>
        <w:t xml:space="preserve">for reporting its actual quarterly results of operations </w:t>
      </w:r>
      <w:r w:rsidRPr="00E1724F">
        <w:t>report</w:t>
      </w:r>
      <w:r>
        <w:t xml:space="preserve"> as required in </w:t>
      </w:r>
      <w:smartTag w:uri="urn:schemas-microsoft-com:office:smarttags" w:element="stockticker">
        <w:r>
          <w:t>WAC</w:t>
        </w:r>
      </w:smartTag>
      <w:r>
        <w:t xml:space="preserve"> 480-100-275, and Order 02.</w:t>
      </w:r>
      <w:r w:rsidRPr="00035D5A">
        <w:t xml:space="preserve">  </w:t>
      </w:r>
      <w:r>
        <w:t>PacifiCorp requested t</w:t>
      </w:r>
      <w:r w:rsidRPr="009A4A25">
        <w:t xml:space="preserve">he extension </w:t>
      </w:r>
      <w:r>
        <w:t>beginning with the quarter ending June 30, 2012</w:t>
      </w:r>
      <w:r w:rsidRPr="009A4A25">
        <w:t xml:space="preserve"> until an alternative to the West Control Area inter-jurisdictional cost allocation methodology (WCA allocation methodology) is adopted by the Commission.</w:t>
      </w:r>
      <w:r>
        <w:t xml:space="preserve">  In addition, the Company requests that the thirty day extension be applied to the semi-annual environmental remediation expenditures report for the same time period. </w:t>
      </w:r>
    </w:p>
    <w:p w14:paraId="44EDEA7B" w14:textId="77777777" w:rsidR="00893F5C" w:rsidRPr="005E5651" w:rsidRDefault="00893F5C" w:rsidP="00893F5C">
      <w:pPr>
        <w:pStyle w:val="Findings"/>
        <w:numPr>
          <w:ilvl w:val="0"/>
          <w:numId w:val="0"/>
        </w:numPr>
        <w:spacing w:line="288" w:lineRule="auto"/>
        <w:ind w:left="-720"/>
      </w:pPr>
    </w:p>
    <w:p w14:paraId="4090B864" w14:textId="2AE8BC23" w:rsidR="001709FC" w:rsidRPr="005E5651" w:rsidRDefault="001709FC" w:rsidP="001709FC">
      <w:pPr>
        <w:pStyle w:val="Findings"/>
        <w:numPr>
          <w:ilvl w:val="0"/>
          <w:numId w:val="1"/>
        </w:numPr>
        <w:spacing w:line="288" w:lineRule="auto"/>
        <w:ind w:left="0"/>
      </w:pPr>
      <w:r>
        <w:t>In Order 01</w:t>
      </w:r>
      <w:r w:rsidR="00F37A25">
        <w:t xml:space="preserve">, </w:t>
      </w:r>
      <w:r>
        <w:t xml:space="preserve">and subsequently in Order 02, the Commission allowed PacifiCorp to file its quarterly actual results of operations reports 90 days from the end of the quarter, rather than the 60 days required by rule, for the quarters ending September 30, 2007, through December 31, 2009.  Order 02 extended the timeframe through the quarter ending </w:t>
      </w:r>
      <w:r w:rsidR="00E82AC6">
        <w:t xml:space="preserve">     </w:t>
      </w:r>
      <w:r>
        <w:t>June 30, 2012.  The extension was granted on the condition that the results of Washington operations would be reported using the West Control Area (WCA) allocation methodology approved in Docket UE-061546.  PacifiCorp was also granted its request to file its semi-annual report of environmental remediation expenditures</w:t>
      </w:r>
      <w:r w:rsidRPr="006701BD">
        <w:t>, pursuant to Order</w:t>
      </w:r>
      <w:r>
        <w:t xml:space="preserve"> </w:t>
      </w:r>
      <w:r w:rsidRPr="006701BD">
        <w:t>01 in Docket</w:t>
      </w:r>
      <w:r>
        <w:t xml:space="preserve"> </w:t>
      </w:r>
      <w:r w:rsidRPr="006701BD">
        <w:t>UE-031658</w:t>
      </w:r>
      <w:r>
        <w:t xml:space="preserve">, with the above quarterly results of actual operations reports.  </w:t>
      </w:r>
    </w:p>
    <w:p w14:paraId="44EDEA7D" w14:textId="77777777" w:rsidR="00893F5C" w:rsidRPr="005E5651" w:rsidRDefault="00893F5C" w:rsidP="00D100A1">
      <w:pPr>
        <w:pStyle w:val="Findings"/>
        <w:numPr>
          <w:ilvl w:val="0"/>
          <w:numId w:val="0"/>
        </w:numPr>
        <w:spacing w:line="288" w:lineRule="auto"/>
      </w:pPr>
    </w:p>
    <w:p w14:paraId="44EDEA7E" w14:textId="3FBB5E46" w:rsidR="00893F5C" w:rsidRDefault="009C228E" w:rsidP="009C228E">
      <w:pPr>
        <w:pStyle w:val="Findings"/>
        <w:numPr>
          <w:ilvl w:val="0"/>
          <w:numId w:val="0"/>
        </w:numPr>
        <w:spacing w:line="288" w:lineRule="auto"/>
        <w:ind w:hanging="720"/>
      </w:pPr>
      <w:r w:rsidRPr="009C228E">
        <w:rPr>
          <w:sz w:val="20"/>
          <w:szCs w:val="20"/>
        </w:rPr>
        <w:t>3</w:t>
      </w:r>
      <w:r>
        <w:tab/>
      </w:r>
      <w:r w:rsidR="00300DC3">
        <w:t>PacifiCorp</w:t>
      </w:r>
      <w:r w:rsidR="00893F5C" w:rsidRPr="005E5651">
        <w:t xml:space="preserve"> </w:t>
      </w:r>
      <w:r w:rsidR="00893F5C">
        <w:t xml:space="preserve">requests a </w:t>
      </w:r>
      <w:r w:rsidR="00472A8D">
        <w:t xml:space="preserve">continuation of the </w:t>
      </w:r>
      <w:r w:rsidR="00DD4621">
        <w:t xml:space="preserve">30 </w:t>
      </w:r>
      <w:r w:rsidR="00893F5C">
        <w:t>day extension</w:t>
      </w:r>
      <w:r w:rsidR="00300DC3">
        <w:t xml:space="preserve"> to be in effect </w:t>
      </w:r>
      <w:r w:rsidR="007A7CEC">
        <w:t>until such time as the Commission adopts an alternative allocation methodology to t</w:t>
      </w:r>
      <w:r w:rsidR="00300DC3">
        <w:t>he WCA</w:t>
      </w:r>
      <w:r w:rsidR="00AA55A0">
        <w:t xml:space="preserve"> allocation methodology</w:t>
      </w:r>
      <w:r w:rsidR="007A7CEC">
        <w:t>.  T</w:t>
      </w:r>
      <w:r w:rsidR="001709FC">
        <w:t>he 30 day</w:t>
      </w:r>
      <w:r w:rsidR="007A7CEC">
        <w:t xml:space="preserve"> extension </w:t>
      </w:r>
      <w:r w:rsidR="00893F5C">
        <w:t>give</w:t>
      </w:r>
      <w:r w:rsidR="007A7CEC">
        <w:t>s</w:t>
      </w:r>
      <w:r w:rsidR="00893F5C">
        <w:t xml:space="preserve"> </w:t>
      </w:r>
      <w:r w:rsidR="00300DC3">
        <w:t>the Company sufficient</w:t>
      </w:r>
      <w:r w:rsidR="00893F5C">
        <w:t xml:space="preserve"> time to incorporate the </w:t>
      </w:r>
      <w:r w:rsidR="00F313E5">
        <w:t>calculations</w:t>
      </w:r>
      <w:r w:rsidR="00300DC3">
        <w:t xml:space="preserve"> required under the </w:t>
      </w:r>
      <w:r w:rsidR="00893F5C">
        <w:t>WCA</w:t>
      </w:r>
      <w:r w:rsidR="00AA55A0">
        <w:t xml:space="preserve"> allocation methodology</w:t>
      </w:r>
      <w:r w:rsidR="00893F5C">
        <w:t xml:space="preserve"> into its quarterly results of operations</w:t>
      </w:r>
      <w:r w:rsidR="00062B40">
        <w:t xml:space="preserve">.  </w:t>
      </w:r>
      <w:r w:rsidR="00AA55A0" w:rsidRPr="006701BD">
        <w:t xml:space="preserve">For procedural efficiency and to reduce administrative burden, the Company </w:t>
      </w:r>
      <w:r w:rsidR="00AA55A0" w:rsidRPr="006701BD">
        <w:lastRenderedPageBreak/>
        <w:t xml:space="preserve">also requests that the environmental remediation expenditures report continue to be provided with the quarterly results reports and that the </w:t>
      </w:r>
      <w:r w:rsidR="00DD4621">
        <w:t xml:space="preserve">30 </w:t>
      </w:r>
      <w:r w:rsidR="00AA55A0" w:rsidRPr="006701BD">
        <w:t>day extension also be applied</w:t>
      </w:r>
      <w:r w:rsidR="00ED2FDE">
        <w:t xml:space="preserve"> as allowed by Order</w:t>
      </w:r>
      <w:r w:rsidR="007A7CEC">
        <w:t>s</w:t>
      </w:r>
      <w:r w:rsidR="00ED2FDE">
        <w:t xml:space="preserve"> 01</w:t>
      </w:r>
      <w:r w:rsidR="007A7CEC">
        <w:t xml:space="preserve"> and 02</w:t>
      </w:r>
      <w:r w:rsidR="00AA55A0" w:rsidRPr="006701BD">
        <w:t xml:space="preserve">. </w:t>
      </w:r>
    </w:p>
    <w:p w14:paraId="44EDEA7F" w14:textId="77777777" w:rsidR="00062B40" w:rsidRPr="005E5651" w:rsidRDefault="00062B40" w:rsidP="00893F5C">
      <w:pPr>
        <w:pStyle w:val="Findings"/>
        <w:numPr>
          <w:ilvl w:val="0"/>
          <w:numId w:val="0"/>
        </w:numPr>
        <w:spacing w:line="288" w:lineRule="auto"/>
      </w:pPr>
    </w:p>
    <w:p w14:paraId="273D5F03" w14:textId="37F4FC7F" w:rsidR="001709FC" w:rsidRDefault="009C228E" w:rsidP="001709FC">
      <w:pPr>
        <w:pStyle w:val="Findings"/>
        <w:numPr>
          <w:ilvl w:val="0"/>
          <w:numId w:val="0"/>
        </w:numPr>
        <w:spacing w:line="288" w:lineRule="auto"/>
        <w:ind w:hanging="720"/>
      </w:pPr>
      <w:r w:rsidRPr="009C228E">
        <w:rPr>
          <w:sz w:val="20"/>
          <w:szCs w:val="20"/>
        </w:rPr>
        <w:t>4</w:t>
      </w:r>
      <w:r w:rsidR="001C2389">
        <w:tab/>
      </w:r>
      <w:r w:rsidR="001709FC" w:rsidRPr="005E5651">
        <w:t>Commission Staff</w:t>
      </w:r>
      <w:r w:rsidR="001709FC">
        <w:t xml:space="preserve"> has</w:t>
      </w:r>
      <w:r w:rsidR="001709FC" w:rsidRPr="005E5651">
        <w:t xml:space="preserve"> reviewed the request and recommend</w:t>
      </w:r>
      <w:r w:rsidR="001709FC">
        <w:t>s</w:t>
      </w:r>
      <w:r w:rsidR="001709FC" w:rsidRPr="005E5651">
        <w:t xml:space="preserve"> granting </w:t>
      </w:r>
      <w:r w:rsidR="001709FC">
        <w:t xml:space="preserve">the Company’s request to modify the filing requirements in WAC 480-100-275 by allowing PacifiCorp to file its quarterly actual results of operations report 90 days from the end of the quarter.  However, Staff recommends that the Commission limit the extension to a five year period </w:t>
      </w:r>
      <w:r w:rsidR="00EA53C3">
        <w:t xml:space="preserve">through </w:t>
      </w:r>
      <w:r w:rsidR="001709FC">
        <w:t>June 30, 2017</w:t>
      </w:r>
      <w:r w:rsidR="00EA53C3">
        <w:t>,</w:t>
      </w:r>
      <w:r w:rsidR="001709FC">
        <w:t xml:space="preserve"> or until such time as the Commission adopts an alternative to the WCA allocation methodology.  The report should use the Commission’s approved allocation method and continue to include the report of environmental remediation expenditures on a semi-annual basis. </w:t>
      </w:r>
    </w:p>
    <w:p w14:paraId="44EDEA82" w14:textId="7124AE3D" w:rsidR="00206AB9" w:rsidRDefault="00206AB9" w:rsidP="001709FC">
      <w:pPr>
        <w:pStyle w:val="Findings"/>
        <w:numPr>
          <w:ilvl w:val="0"/>
          <w:numId w:val="0"/>
        </w:numPr>
        <w:spacing w:line="288" w:lineRule="auto"/>
        <w:ind w:hanging="720"/>
        <w:rPr>
          <w:b/>
          <w:bCs/>
        </w:rPr>
      </w:pPr>
    </w:p>
    <w:p w14:paraId="44EDEA83" w14:textId="77777777" w:rsidR="00893F5C" w:rsidRPr="005E5651" w:rsidRDefault="00893F5C" w:rsidP="00893F5C">
      <w:pPr>
        <w:pStyle w:val="Findings"/>
        <w:numPr>
          <w:ilvl w:val="0"/>
          <w:numId w:val="0"/>
        </w:numPr>
        <w:spacing w:line="288" w:lineRule="auto"/>
        <w:ind w:left="-720" w:firstLine="720"/>
        <w:jc w:val="center"/>
        <w:rPr>
          <w:b/>
          <w:bCs/>
        </w:rPr>
      </w:pPr>
      <w:r w:rsidRPr="005E5651">
        <w:rPr>
          <w:b/>
          <w:bCs/>
        </w:rPr>
        <w:t>FINDINGS AND CONCLUSIONS</w:t>
      </w:r>
    </w:p>
    <w:p w14:paraId="44EDEA84" w14:textId="77777777" w:rsidR="00893F5C" w:rsidRPr="005E5651" w:rsidRDefault="00893F5C" w:rsidP="00893F5C">
      <w:pPr>
        <w:pStyle w:val="Findings"/>
        <w:numPr>
          <w:ilvl w:val="0"/>
          <w:numId w:val="0"/>
        </w:numPr>
        <w:spacing w:line="288" w:lineRule="auto"/>
        <w:ind w:left="-720"/>
        <w:rPr>
          <w:b/>
          <w:bCs/>
        </w:rPr>
      </w:pPr>
    </w:p>
    <w:p w14:paraId="44EDEA85" w14:textId="77777777" w:rsidR="00893F5C" w:rsidRDefault="00037534" w:rsidP="009C228E">
      <w:pPr>
        <w:pStyle w:val="Findings"/>
        <w:numPr>
          <w:ilvl w:val="0"/>
          <w:numId w:val="4"/>
        </w:numPr>
        <w:tabs>
          <w:tab w:val="clear" w:pos="720"/>
          <w:tab w:val="left" w:pos="0"/>
        </w:tabs>
        <w:spacing w:line="288" w:lineRule="auto"/>
        <w:ind w:hanging="1440"/>
      </w:pPr>
      <w:r>
        <w:t>(1)</w:t>
      </w:r>
      <w:r>
        <w:tab/>
      </w:r>
      <w:r w:rsidR="00893F5C" w:rsidRPr="005E5651">
        <w:t xml:space="preserve">The Washington Utilities and Transportation Commission is an agency of the </w:t>
      </w:r>
      <w:r w:rsidR="00893F5C">
        <w:t>s</w:t>
      </w:r>
      <w:r w:rsidR="00893F5C" w:rsidRPr="005E5651">
        <w:t xml:space="preserve">tate of Washington vested by statute with the authority to regulate rates, rules, regulations, practices, accounts, securities, and transfers of public service companies, including electric companies.  </w:t>
      </w:r>
      <w:r w:rsidR="00893F5C" w:rsidRPr="00915ADB">
        <w:rPr>
          <w:iCs/>
        </w:rPr>
        <w:t>RCW 80.01.040, RCW 80.04, RCW 80.28, RCW 80.08, RCW 80.12, RCW 80.16 and RCW 80.28.</w:t>
      </w:r>
    </w:p>
    <w:p w14:paraId="44EDEA86" w14:textId="77777777" w:rsidR="00893F5C" w:rsidRPr="005E5651" w:rsidRDefault="00893F5C" w:rsidP="00BA024F">
      <w:pPr>
        <w:pStyle w:val="Findings"/>
        <w:numPr>
          <w:ilvl w:val="0"/>
          <w:numId w:val="0"/>
        </w:numPr>
        <w:tabs>
          <w:tab w:val="num" w:pos="0"/>
        </w:tabs>
        <w:spacing w:line="288" w:lineRule="auto"/>
        <w:ind w:left="720" w:hanging="1440"/>
      </w:pPr>
    </w:p>
    <w:p w14:paraId="44EDEA87" w14:textId="77777777" w:rsidR="00893F5C" w:rsidRDefault="00893F5C" w:rsidP="00BA024F">
      <w:pPr>
        <w:pStyle w:val="Findings"/>
        <w:tabs>
          <w:tab w:val="clear" w:pos="720"/>
          <w:tab w:val="num" w:pos="0"/>
        </w:tabs>
        <w:spacing w:line="288" w:lineRule="auto"/>
        <w:ind w:hanging="1440"/>
      </w:pPr>
      <w:r w:rsidRPr="005E5651">
        <w:t>(2)</w:t>
      </w:r>
      <w:r w:rsidRPr="005E5651">
        <w:tab/>
      </w:r>
      <w:r w:rsidR="00B9396D">
        <w:t>PacifiCorp</w:t>
      </w:r>
      <w:r w:rsidRPr="005E5651">
        <w:t xml:space="preserve"> is engaged in the business of providing electric services within the state of </w:t>
      </w:r>
      <w:smartTag w:uri="urn:schemas-microsoft-com:office:smarttags" w:element="State">
        <w:smartTag w:uri="urn:schemas-microsoft-com:office:smarttags" w:element="place">
          <w:r w:rsidRPr="005E5651">
            <w:t>Washington</w:t>
          </w:r>
        </w:smartTag>
      </w:smartTag>
      <w:r w:rsidRPr="005E5651">
        <w:t xml:space="preserve"> and is a public service company subject to the jurisdiction of the Commission</w:t>
      </w:r>
      <w:r>
        <w:t>.</w:t>
      </w:r>
      <w:r w:rsidRPr="005E5651">
        <w:t xml:space="preserve"> </w:t>
      </w:r>
    </w:p>
    <w:p w14:paraId="44EDEA88" w14:textId="77777777" w:rsidR="00893F5C" w:rsidRPr="005E5651" w:rsidRDefault="00893F5C" w:rsidP="00BA024F">
      <w:pPr>
        <w:pStyle w:val="Findings"/>
        <w:numPr>
          <w:ilvl w:val="0"/>
          <w:numId w:val="0"/>
        </w:numPr>
        <w:tabs>
          <w:tab w:val="num" w:pos="0"/>
        </w:tabs>
        <w:spacing w:line="288" w:lineRule="auto"/>
        <w:ind w:left="720" w:hanging="1440"/>
      </w:pPr>
    </w:p>
    <w:p w14:paraId="44EDEA89" w14:textId="77777777" w:rsidR="00893F5C" w:rsidRPr="005E5651" w:rsidRDefault="00893F5C" w:rsidP="00BA024F">
      <w:pPr>
        <w:pStyle w:val="Findings"/>
        <w:tabs>
          <w:tab w:val="clear" w:pos="720"/>
          <w:tab w:val="num" w:pos="0"/>
        </w:tabs>
        <w:spacing w:line="288" w:lineRule="auto"/>
        <w:ind w:hanging="1440"/>
      </w:pPr>
      <w:r w:rsidRPr="005E5651">
        <w:t>(3)</w:t>
      </w:r>
      <w:r w:rsidRPr="005E5651">
        <w:tab/>
      </w:r>
      <w:r w:rsidR="00B9396D">
        <w:t>PacifiCorp</w:t>
      </w:r>
      <w:r w:rsidRPr="005E5651">
        <w:t xml:space="preserve"> is subject to the provisions of </w:t>
      </w:r>
      <w:smartTag w:uri="urn:schemas-microsoft-com:office:smarttags" w:element="stockticker">
        <w:r w:rsidRPr="005E5651">
          <w:t>WAC</w:t>
        </w:r>
      </w:smartTag>
      <w:r w:rsidRPr="005E5651">
        <w:t xml:space="preserve"> 480-100-</w:t>
      </w:r>
      <w:r>
        <w:t xml:space="preserve">275, requiring electric companies to report Washington results of operations within </w:t>
      </w:r>
      <w:r w:rsidR="00DD4621">
        <w:t>60</w:t>
      </w:r>
      <w:r>
        <w:t xml:space="preserve"> days of the end of each quarter.</w:t>
      </w:r>
    </w:p>
    <w:p w14:paraId="44EDEA8A" w14:textId="77777777" w:rsidR="00893F5C" w:rsidRPr="005E5651" w:rsidRDefault="00893F5C" w:rsidP="00BA024F">
      <w:pPr>
        <w:pStyle w:val="Findings"/>
        <w:numPr>
          <w:ilvl w:val="0"/>
          <w:numId w:val="0"/>
        </w:numPr>
        <w:tabs>
          <w:tab w:val="num" w:pos="0"/>
        </w:tabs>
        <w:spacing w:line="288" w:lineRule="auto"/>
        <w:ind w:left="720" w:hanging="1440"/>
      </w:pPr>
    </w:p>
    <w:p w14:paraId="44EDEA8B" w14:textId="1A617DE2" w:rsidR="00893F5C" w:rsidRDefault="00184D48" w:rsidP="00BA024F">
      <w:pPr>
        <w:pStyle w:val="Findings"/>
        <w:tabs>
          <w:tab w:val="clear" w:pos="720"/>
          <w:tab w:val="num" w:pos="0"/>
        </w:tabs>
        <w:spacing w:line="288" w:lineRule="auto"/>
        <w:ind w:hanging="1440"/>
      </w:pPr>
      <w:r>
        <w:t>(4)</w:t>
      </w:r>
      <w:r w:rsidR="009204C6">
        <w:tab/>
      </w:r>
      <w:r w:rsidR="00893F5C">
        <w:t xml:space="preserve">The UTC approved the </w:t>
      </w:r>
      <w:r w:rsidR="001709FC">
        <w:t>WCA</w:t>
      </w:r>
      <w:r w:rsidR="00893F5C">
        <w:t xml:space="preserve"> allocation method for Washington in Docket UE-061546.  The actual results of operations report is to be filed using the WCA allocation method.  </w:t>
      </w:r>
    </w:p>
    <w:p w14:paraId="44EDEA8C" w14:textId="77777777" w:rsidR="00F0429A" w:rsidRDefault="00F0429A">
      <w:pPr>
        <w:pStyle w:val="Findings"/>
        <w:numPr>
          <w:ilvl w:val="0"/>
          <w:numId w:val="0"/>
        </w:numPr>
        <w:spacing w:line="288" w:lineRule="auto"/>
        <w:ind w:left="720"/>
      </w:pPr>
    </w:p>
    <w:p w14:paraId="44EDEA8D" w14:textId="77777777" w:rsidR="0054285B" w:rsidRDefault="0054285B" w:rsidP="00BA024F">
      <w:pPr>
        <w:pStyle w:val="Findings"/>
        <w:tabs>
          <w:tab w:val="clear" w:pos="720"/>
          <w:tab w:val="num" w:pos="0"/>
        </w:tabs>
        <w:spacing w:line="288" w:lineRule="auto"/>
        <w:ind w:hanging="1440"/>
      </w:pPr>
      <w:r>
        <w:t>(5)</w:t>
      </w:r>
      <w:r>
        <w:tab/>
        <w:t xml:space="preserve">PacifiCorp reports environmental remediation expenditures on a semi-annual basis pursuant to Order 01 in Docket UE-031658.  Continuing to submit this </w:t>
      </w:r>
      <w:r>
        <w:lastRenderedPageBreak/>
        <w:t xml:space="preserve">report semi-annually </w:t>
      </w:r>
      <w:r w:rsidR="00861725">
        <w:t xml:space="preserve">together </w:t>
      </w:r>
      <w:r>
        <w:t xml:space="preserve">with the quarterly report of actual operations allows for procedural efficiency and reduces administrative burdens.  </w:t>
      </w:r>
    </w:p>
    <w:p w14:paraId="44EDEA8E" w14:textId="77777777" w:rsidR="00893F5C" w:rsidRDefault="00893F5C" w:rsidP="00BA024F">
      <w:pPr>
        <w:pStyle w:val="Findings"/>
        <w:numPr>
          <w:ilvl w:val="0"/>
          <w:numId w:val="0"/>
        </w:numPr>
        <w:tabs>
          <w:tab w:val="num" w:pos="0"/>
        </w:tabs>
        <w:spacing w:line="288" w:lineRule="auto"/>
        <w:ind w:left="720" w:hanging="1440"/>
      </w:pPr>
    </w:p>
    <w:p w14:paraId="44EDEA8F" w14:textId="77777777" w:rsidR="00893F5C" w:rsidRPr="005E5651" w:rsidRDefault="00893F5C" w:rsidP="00BA024F">
      <w:pPr>
        <w:pStyle w:val="Findings"/>
        <w:tabs>
          <w:tab w:val="clear" w:pos="720"/>
          <w:tab w:val="num" w:pos="0"/>
        </w:tabs>
        <w:spacing w:line="288" w:lineRule="auto"/>
        <w:ind w:hanging="1440"/>
      </w:pPr>
      <w:r>
        <w:t>(</w:t>
      </w:r>
      <w:r w:rsidR="0054285B">
        <w:t>6</w:t>
      </w:r>
      <w:r>
        <w:t>)</w:t>
      </w:r>
      <w:r>
        <w:tab/>
        <w:t>WAC 480-07-110(1) allows the Commission to grant a modification of its rules.</w:t>
      </w:r>
    </w:p>
    <w:p w14:paraId="44EDEA90" w14:textId="77777777" w:rsidR="00893F5C" w:rsidRPr="005E5651" w:rsidRDefault="00893F5C" w:rsidP="00BA024F">
      <w:pPr>
        <w:pStyle w:val="Findings"/>
        <w:numPr>
          <w:ilvl w:val="0"/>
          <w:numId w:val="0"/>
        </w:numPr>
        <w:tabs>
          <w:tab w:val="num" w:pos="0"/>
        </w:tabs>
        <w:spacing w:line="288" w:lineRule="auto"/>
        <w:ind w:left="720" w:hanging="1440"/>
      </w:pPr>
    </w:p>
    <w:p w14:paraId="58963FEE" w14:textId="3B1558B8" w:rsidR="001709FC" w:rsidRDefault="00893F5C" w:rsidP="001709FC">
      <w:pPr>
        <w:pStyle w:val="Findings"/>
        <w:numPr>
          <w:ilvl w:val="0"/>
          <w:numId w:val="1"/>
        </w:numPr>
        <w:tabs>
          <w:tab w:val="clear" w:pos="720"/>
          <w:tab w:val="num" w:pos="0"/>
        </w:tabs>
        <w:spacing w:line="288" w:lineRule="auto"/>
        <w:ind w:hanging="1440"/>
      </w:pPr>
      <w:r>
        <w:t>(</w:t>
      </w:r>
      <w:r w:rsidR="0054285B">
        <w:t>7</w:t>
      </w:r>
      <w:r w:rsidRPr="005E5651">
        <w:t>)</w:t>
      </w:r>
      <w:r w:rsidRPr="005E5651">
        <w:tab/>
      </w:r>
      <w:r w:rsidR="001709FC" w:rsidRPr="005E5651">
        <w:t>After review o</w:t>
      </w:r>
      <w:r w:rsidR="001709FC">
        <w:t>f the petition filed in Docket UE-072123</w:t>
      </w:r>
      <w:r w:rsidR="001709FC" w:rsidRPr="005E5651">
        <w:t xml:space="preserve"> by </w:t>
      </w:r>
      <w:r w:rsidR="001709FC">
        <w:t>PacifiCorp</w:t>
      </w:r>
      <w:r w:rsidR="001709FC" w:rsidRPr="005E5651">
        <w:t xml:space="preserve"> on </w:t>
      </w:r>
      <w:r w:rsidR="00E82AC6">
        <w:t xml:space="preserve">   </w:t>
      </w:r>
      <w:r w:rsidR="001709FC">
        <w:t>August 15, 2012,</w:t>
      </w:r>
      <w:r w:rsidR="001709FC" w:rsidRPr="005E5651">
        <w:t xml:space="preserve"> and giving due consideration, the Commission finds that </w:t>
      </w:r>
      <w:r w:rsidR="001709FC">
        <w:t xml:space="preserve">a modification to WAC 480-100-275 allowing PacifiCorp to file both reports 90 days after the end of each quarter for a five year period, as recommended by Staff, ending </w:t>
      </w:r>
      <w:r w:rsidR="00EA53C3">
        <w:t xml:space="preserve">with the reports for the period ending </w:t>
      </w:r>
      <w:r w:rsidR="001709FC">
        <w:t xml:space="preserve">June 30, 2017 or until such time as an alternative to the WCA allocation methodology is adopted by the Commission, </w:t>
      </w:r>
      <w:r w:rsidR="001709FC" w:rsidRPr="005E5651">
        <w:t>is reasonable and should be granted.</w:t>
      </w:r>
    </w:p>
    <w:p w14:paraId="44EDEA92" w14:textId="41A7ACA0" w:rsidR="00893F5C" w:rsidRPr="005E5651" w:rsidRDefault="00893F5C" w:rsidP="00893F5C">
      <w:pPr>
        <w:pStyle w:val="Findings"/>
        <w:numPr>
          <w:ilvl w:val="0"/>
          <w:numId w:val="0"/>
        </w:numPr>
        <w:tabs>
          <w:tab w:val="num" w:pos="0"/>
        </w:tabs>
        <w:spacing w:line="288" w:lineRule="auto"/>
        <w:ind w:left="-720"/>
      </w:pPr>
      <w:bookmarkStart w:id="0" w:name="_GoBack"/>
      <w:bookmarkEnd w:id="0"/>
    </w:p>
    <w:p w14:paraId="44EDEA93" w14:textId="77777777" w:rsidR="00893F5C" w:rsidRPr="005E5651" w:rsidRDefault="00893F5C" w:rsidP="00893F5C">
      <w:pPr>
        <w:pStyle w:val="Heading2"/>
        <w:spacing w:line="288" w:lineRule="auto"/>
        <w:rPr>
          <w:b/>
          <w:bCs/>
          <w:u w:val="none"/>
        </w:rPr>
      </w:pPr>
      <w:r w:rsidRPr="005E5651">
        <w:rPr>
          <w:b/>
          <w:bCs/>
          <w:u w:val="none"/>
        </w:rPr>
        <w:t>O R D E R</w:t>
      </w:r>
    </w:p>
    <w:p w14:paraId="44EDEA94" w14:textId="77777777" w:rsidR="00893F5C" w:rsidRPr="005E5651" w:rsidRDefault="00893F5C" w:rsidP="00893F5C">
      <w:pPr>
        <w:spacing w:line="288" w:lineRule="auto"/>
        <w:rPr>
          <w:b/>
          <w:bCs/>
        </w:rPr>
      </w:pPr>
    </w:p>
    <w:p w14:paraId="44EDEA95" w14:textId="77777777" w:rsidR="00893F5C" w:rsidRPr="005E5651" w:rsidRDefault="00893F5C" w:rsidP="00893F5C">
      <w:pPr>
        <w:spacing w:line="288" w:lineRule="auto"/>
        <w:ind w:left="-720" w:firstLine="720"/>
      </w:pPr>
      <w:r w:rsidRPr="005E5651">
        <w:t>THE COMMISSION ORDERS:</w:t>
      </w:r>
    </w:p>
    <w:p w14:paraId="44EDEA96" w14:textId="77777777" w:rsidR="00893F5C" w:rsidRPr="005E5651" w:rsidRDefault="00893F5C" w:rsidP="00893F5C">
      <w:pPr>
        <w:spacing w:line="288" w:lineRule="auto"/>
        <w:ind w:left="-720"/>
      </w:pPr>
    </w:p>
    <w:p w14:paraId="72AACD27" w14:textId="4278F666" w:rsidR="001709FC" w:rsidRDefault="00893F5C" w:rsidP="001709FC">
      <w:pPr>
        <w:numPr>
          <w:ilvl w:val="0"/>
          <w:numId w:val="1"/>
        </w:numPr>
        <w:tabs>
          <w:tab w:val="clear" w:pos="720"/>
          <w:tab w:val="left" w:pos="0"/>
        </w:tabs>
        <w:spacing w:line="288" w:lineRule="auto"/>
        <w:ind w:hanging="1440"/>
      </w:pPr>
      <w:r w:rsidRPr="005E5651">
        <w:t>(1)</w:t>
      </w:r>
      <w:r w:rsidRPr="005E5651">
        <w:tab/>
      </w:r>
      <w:r w:rsidR="001709FC">
        <w:t xml:space="preserve">Effective with the quarter ending June 30, 2012, PacifiCorp, dba Pacific Power &amp; Light Company </w:t>
      </w:r>
      <w:r w:rsidR="001709FC" w:rsidRPr="005E5651">
        <w:t>is granted a</w:t>
      </w:r>
      <w:r w:rsidR="001709FC">
        <w:t xml:space="preserve"> modification</w:t>
      </w:r>
      <w:r w:rsidR="001709FC" w:rsidRPr="005E5651">
        <w:t xml:space="preserve"> </w:t>
      </w:r>
      <w:r w:rsidR="001709FC">
        <w:t xml:space="preserve">of </w:t>
      </w:r>
      <w:smartTag w:uri="urn:schemas-microsoft-com:office:smarttags" w:element="stockticker">
        <w:r w:rsidR="001709FC" w:rsidRPr="005E5651">
          <w:t>WAC</w:t>
        </w:r>
      </w:smartTag>
      <w:r w:rsidR="001709FC" w:rsidRPr="005E5651">
        <w:t xml:space="preserve"> 480-100-</w:t>
      </w:r>
      <w:r w:rsidR="001709FC">
        <w:t xml:space="preserve">275 and is allowed to file its quarterly actual results of operations reports 90 days from the end of the quarter for a five year period </w:t>
      </w:r>
      <w:r w:rsidR="00EA53C3">
        <w:t xml:space="preserve">through the period </w:t>
      </w:r>
      <w:r w:rsidR="001709FC">
        <w:t>ending June 30, 2017</w:t>
      </w:r>
      <w:r w:rsidR="00105B03">
        <w:t>,</w:t>
      </w:r>
      <w:r w:rsidR="001709FC">
        <w:t xml:space="preserve"> or until such time as the Commission adopts an alternative to the WCA allocation methodology.</w:t>
      </w:r>
    </w:p>
    <w:p w14:paraId="44EDEA98" w14:textId="26ED24D5" w:rsidR="00893F5C" w:rsidRDefault="00893F5C" w:rsidP="00E82AC6">
      <w:pPr>
        <w:tabs>
          <w:tab w:val="left" w:pos="0"/>
        </w:tabs>
        <w:spacing w:line="288" w:lineRule="auto"/>
        <w:ind w:left="720"/>
      </w:pPr>
    </w:p>
    <w:p w14:paraId="44EDEA99" w14:textId="10D15615" w:rsidR="00893F5C" w:rsidRPr="005E5651" w:rsidRDefault="00A044CD" w:rsidP="00BA024F">
      <w:pPr>
        <w:numPr>
          <w:ilvl w:val="0"/>
          <w:numId w:val="1"/>
        </w:numPr>
        <w:tabs>
          <w:tab w:val="clear" w:pos="720"/>
          <w:tab w:val="num" w:pos="0"/>
        </w:tabs>
        <w:spacing w:line="288" w:lineRule="auto"/>
        <w:ind w:hanging="1440"/>
      </w:pPr>
      <w:r>
        <w:t>(2)</w:t>
      </w:r>
      <w:r>
        <w:tab/>
        <w:t>PacifiCorp,</w:t>
      </w:r>
      <w:r w:rsidR="00893F5C">
        <w:t xml:space="preserve"> dba Pacific Power </w:t>
      </w:r>
      <w:r w:rsidR="009F6AD8">
        <w:t xml:space="preserve">&amp; Light Company </w:t>
      </w:r>
      <w:r w:rsidR="00893F5C">
        <w:t xml:space="preserve">is also granted its request to file its report of environmental remediation expenditures with the above quarterly results of actual operations reports. </w:t>
      </w:r>
    </w:p>
    <w:p w14:paraId="44EDEA9A" w14:textId="77777777" w:rsidR="00893F5C" w:rsidRPr="005E5651" w:rsidRDefault="00893F5C" w:rsidP="00893F5C">
      <w:pPr>
        <w:spacing w:line="288" w:lineRule="auto"/>
        <w:ind w:left="-720"/>
      </w:pPr>
    </w:p>
    <w:p w14:paraId="44EDEA9B" w14:textId="77777777" w:rsidR="00893F5C" w:rsidRDefault="00893F5C" w:rsidP="004F4016">
      <w:pPr>
        <w:numPr>
          <w:ilvl w:val="0"/>
          <w:numId w:val="1"/>
        </w:numPr>
        <w:tabs>
          <w:tab w:val="clear" w:pos="720"/>
          <w:tab w:val="left" w:pos="0"/>
        </w:tabs>
        <w:spacing w:line="288" w:lineRule="auto"/>
        <w:ind w:hanging="1440"/>
      </w:pPr>
      <w:r>
        <w:t>(3)</w:t>
      </w:r>
      <w:r>
        <w:tab/>
        <w:t>This extension</w:t>
      </w:r>
      <w:r w:rsidRPr="005E5651">
        <w:t xml:space="preserve"> is </w:t>
      </w:r>
      <w:r>
        <w:t>granted on the condition that</w:t>
      </w:r>
      <w:r w:rsidRPr="005E5651">
        <w:t xml:space="preserve"> </w:t>
      </w:r>
      <w:r>
        <w:t>the results of Washington operations will be reported using the WCA allocation method approved by the UTC in Docket UE-061546</w:t>
      </w:r>
      <w:r w:rsidRPr="005E5651">
        <w:t>.</w:t>
      </w:r>
      <w:r>
        <w:t xml:space="preserve">  The Commission retains the authority to rescind this modification of WAC 480-100-275 with due notice.</w:t>
      </w:r>
    </w:p>
    <w:p w14:paraId="44EDEA9C" w14:textId="77777777" w:rsidR="00893F5C" w:rsidRDefault="00893F5C" w:rsidP="00893F5C">
      <w:pPr>
        <w:spacing w:line="288" w:lineRule="auto"/>
      </w:pPr>
    </w:p>
    <w:p w14:paraId="44EDEA9D" w14:textId="77777777" w:rsidR="00893F5C" w:rsidRPr="005E5651" w:rsidRDefault="00893F5C" w:rsidP="004F4016">
      <w:pPr>
        <w:numPr>
          <w:ilvl w:val="0"/>
          <w:numId w:val="1"/>
        </w:numPr>
        <w:tabs>
          <w:tab w:val="clear" w:pos="720"/>
          <w:tab w:val="num" w:pos="0"/>
        </w:tabs>
        <w:spacing w:line="288" w:lineRule="auto"/>
        <w:ind w:hanging="1440"/>
      </w:pPr>
      <w:r w:rsidRPr="005E5651">
        <w:t>(</w:t>
      </w:r>
      <w:r>
        <w:t>4</w:t>
      </w:r>
      <w:r w:rsidRPr="005E5651">
        <w:t>)</w:t>
      </w:r>
      <w:r w:rsidRPr="005E5651">
        <w:tab/>
        <w:t xml:space="preserve">The Commission retains jurisdiction over the subject matter and </w:t>
      </w:r>
      <w:r>
        <w:t>PacifiCorp, dba Pacific Power</w:t>
      </w:r>
      <w:r w:rsidR="00383CCF">
        <w:t xml:space="preserve"> &amp; Light Company</w:t>
      </w:r>
      <w:r>
        <w:t xml:space="preserve">, </w:t>
      </w:r>
      <w:r w:rsidRPr="005E5651">
        <w:t>to effectuate the provisions of this Order.</w:t>
      </w:r>
    </w:p>
    <w:p w14:paraId="44EDEA9F" w14:textId="77777777" w:rsidR="00893F5C" w:rsidRPr="005E5651" w:rsidRDefault="00893F5C" w:rsidP="00893F5C">
      <w:pPr>
        <w:pStyle w:val="Findings"/>
        <w:numPr>
          <w:ilvl w:val="0"/>
          <w:numId w:val="0"/>
        </w:numPr>
        <w:spacing w:line="288" w:lineRule="auto"/>
      </w:pPr>
      <w:r w:rsidRPr="005E5651">
        <w:lastRenderedPageBreak/>
        <w:t>The Commissioners, having determined this Order to be consistent with the public interest, directed the Secretary to enter this Order.</w:t>
      </w:r>
    </w:p>
    <w:p w14:paraId="44EDEAA2" w14:textId="77777777" w:rsidR="00A044CD" w:rsidRDefault="00A044CD" w:rsidP="00E82AC6">
      <w:pPr>
        <w:spacing w:line="288" w:lineRule="auto"/>
      </w:pPr>
    </w:p>
    <w:p w14:paraId="44EDEAA5" w14:textId="77777777" w:rsidR="00893F5C" w:rsidRPr="005E5651" w:rsidRDefault="00893F5C" w:rsidP="00E82AC6">
      <w:pPr>
        <w:spacing w:line="288" w:lineRule="auto"/>
      </w:pPr>
      <w:proofErr w:type="gramStart"/>
      <w:r w:rsidRPr="005E5651">
        <w:t>DATED at Olym</w:t>
      </w:r>
      <w:r>
        <w:t xml:space="preserve">pia, Washington, and effective </w:t>
      </w:r>
      <w:r w:rsidR="007A370F">
        <w:t>September 27, 2012</w:t>
      </w:r>
      <w:r w:rsidRPr="005E5651">
        <w:t>.</w:t>
      </w:r>
      <w:proofErr w:type="gramEnd"/>
    </w:p>
    <w:p w14:paraId="44EDEAA6" w14:textId="77777777" w:rsidR="00893F5C" w:rsidRPr="005E5651" w:rsidRDefault="00893F5C" w:rsidP="00893F5C">
      <w:pPr>
        <w:pStyle w:val="Header"/>
        <w:tabs>
          <w:tab w:val="clear" w:pos="4320"/>
          <w:tab w:val="clear" w:pos="8640"/>
        </w:tabs>
        <w:spacing w:line="288" w:lineRule="auto"/>
      </w:pPr>
    </w:p>
    <w:p w14:paraId="44EDEAA7" w14:textId="77777777" w:rsidR="00893F5C" w:rsidRPr="005E5651" w:rsidRDefault="00893F5C" w:rsidP="00893F5C">
      <w:pPr>
        <w:spacing w:line="288" w:lineRule="auto"/>
        <w:ind w:firstLine="720"/>
      </w:pPr>
      <w:smartTag w:uri="urn:schemas-microsoft-com:office:smarttags" w:element="State">
        <w:smartTag w:uri="urn:schemas-microsoft-com:office:smarttags" w:element="place">
          <w:r w:rsidRPr="005E5651">
            <w:t>WASHINGTON</w:t>
          </w:r>
        </w:smartTag>
      </w:smartTag>
      <w:r w:rsidRPr="005E5651">
        <w:t xml:space="preserve"> UTILITIES AND TRANSPORTATION COMMISSION</w:t>
      </w:r>
    </w:p>
    <w:p w14:paraId="44EDEAA8" w14:textId="77777777" w:rsidR="00893F5C" w:rsidRPr="005E5651" w:rsidRDefault="00893F5C" w:rsidP="00893F5C">
      <w:pPr>
        <w:pStyle w:val="Header"/>
        <w:tabs>
          <w:tab w:val="clear" w:pos="4320"/>
          <w:tab w:val="clear" w:pos="8640"/>
        </w:tabs>
        <w:spacing w:line="288" w:lineRule="auto"/>
      </w:pPr>
    </w:p>
    <w:p w14:paraId="44EDEAA9" w14:textId="77777777" w:rsidR="00893F5C" w:rsidRDefault="00893F5C" w:rsidP="00893F5C">
      <w:pPr>
        <w:pStyle w:val="Header"/>
        <w:tabs>
          <w:tab w:val="clear" w:pos="4320"/>
          <w:tab w:val="clear" w:pos="8640"/>
        </w:tabs>
        <w:spacing w:line="288" w:lineRule="auto"/>
      </w:pPr>
    </w:p>
    <w:p w14:paraId="1D5A7A4C" w14:textId="77777777" w:rsidR="00915ADB" w:rsidRDefault="00915ADB" w:rsidP="00893F5C">
      <w:pPr>
        <w:pStyle w:val="Header"/>
        <w:tabs>
          <w:tab w:val="clear" w:pos="4320"/>
          <w:tab w:val="clear" w:pos="8640"/>
        </w:tabs>
        <w:spacing w:line="288" w:lineRule="auto"/>
      </w:pPr>
    </w:p>
    <w:p w14:paraId="44EDEAAA" w14:textId="0159F5CF" w:rsidR="00893F5C" w:rsidRPr="005E5651" w:rsidRDefault="00105B03" w:rsidP="00893F5C">
      <w:pPr>
        <w:spacing w:line="288" w:lineRule="auto"/>
        <w:ind w:left="2880"/>
      </w:pPr>
      <w:r>
        <w:t>DAVID W. DANNER</w:t>
      </w:r>
      <w:r w:rsidR="00893F5C" w:rsidRPr="005E5651">
        <w:t xml:space="preserve">, Executive </w:t>
      </w:r>
      <w:r w:rsidR="000F4C18">
        <w:t xml:space="preserve">Director and </w:t>
      </w:r>
      <w:r w:rsidR="00893F5C" w:rsidRPr="005E5651">
        <w:t>Secretary</w:t>
      </w:r>
    </w:p>
    <w:p w14:paraId="44EDEAAB" w14:textId="77777777" w:rsidR="00076E5D" w:rsidRDefault="00076E5D"/>
    <w:sectPr w:rsidR="00076E5D" w:rsidSect="00893F5C">
      <w:headerReference w:type="default" r:id="rId12"/>
      <w:headerReference w:type="first" r:id="rId13"/>
      <w:pgSz w:w="12240" w:h="15840"/>
      <w:pgMar w:top="1440" w:right="1440" w:bottom="1440" w:left="216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EDEAAE" w14:textId="77777777" w:rsidR="000C56EB" w:rsidRDefault="000C56EB" w:rsidP="00371C09">
      <w:r>
        <w:separator/>
      </w:r>
    </w:p>
  </w:endnote>
  <w:endnote w:type="continuationSeparator" w:id="0">
    <w:p w14:paraId="44EDEAAF" w14:textId="77777777" w:rsidR="000C56EB" w:rsidRDefault="000C56EB" w:rsidP="0037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DEAAC" w14:textId="77777777" w:rsidR="000C56EB" w:rsidRDefault="000C56EB" w:rsidP="00371C09">
      <w:r>
        <w:separator/>
      </w:r>
    </w:p>
  </w:footnote>
  <w:footnote w:type="continuationSeparator" w:id="0">
    <w:p w14:paraId="44EDEAAD" w14:textId="77777777" w:rsidR="000C56EB" w:rsidRDefault="000C56EB" w:rsidP="00371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EAB0" w14:textId="77777777" w:rsidR="00A044CD" w:rsidRPr="00A044CD" w:rsidRDefault="00A044CD">
    <w:pPr>
      <w:pStyle w:val="Header"/>
      <w:rPr>
        <w:b/>
        <w:sz w:val="20"/>
        <w:szCs w:val="20"/>
      </w:rPr>
    </w:pPr>
    <w:r w:rsidRPr="00A044CD">
      <w:rPr>
        <w:b/>
        <w:sz w:val="20"/>
        <w:szCs w:val="20"/>
      </w:rPr>
      <w:t>DOCKET UE-072123</w:t>
    </w:r>
    <w:r w:rsidRPr="00A044CD">
      <w:rPr>
        <w:b/>
        <w:sz w:val="20"/>
        <w:szCs w:val="20"/>
      </w:rPr>
      <w:tab/>
      <w:t xml:space="preserve">                                                </w:t>
    </w:r>
    <w:r w:rsidRPr="00A044CD">
      <w:rPr>
        <w:b/>
        <w:sz w:val="20"/>
        <w:szCs w:val="20"/>
      </w:rPr>
      <w:tab/>
      <w:t xml:space="preserve">PAGE </w:t>
    </w:r>
    <w:r w:rsidR="00CE51FD" w:rsidRPr="00A044CD">
      <w:rPr>
        <w:b/>
        <w:sz w:val="20"/>
        <w:szCs w:val="20"/>
      </w:rPr>
      <w:fldChar w:fldCharType="begin"/>
    </w:r>
    <w:r w:rsidRPr="00A044CD">
      <w:rPr>
        <w:b/>
        <w:sz w:val="20"/>
        <w:szCs w:val="20"/>
      </w:rPr>
      <w:instrText xml:space="preserve"> PAGE   \* MERGEFORMAT </w:instrText>
    </w:r>
    <w:r w:rsidR="00CE51FD" w:rsidRPr="00A044CD">
      <w:rPr>
        <w:b/>
        <w:sz w:val="20"/>
        <w:szCs w:val="20"/>
      </w:rPr>
      <w:fldChar w:fldCharType="separate"/>
    </w:r>
    <w:r w:rsidR="00AE10AC">
      <w:rPr>
        <w:b/>
        <w:noProof/>
        <w:sz w:val="20"/>
        <w:szCs w:val="20"/>
      </w:rPr>
      <w:t>2</w:t>
    </w:r>
    <w:r w:rsidR="00CE51FD" w:rsidRPr="00A044CD">
      <w:rPr>
        <w:b/>
        <w:sz w:val="20"/>
        <w:szCs w:val="20"/>
      </w:rPr>
      <w:fldChar w:fldCharType="end"/>
    </w:r>
  </w:p>
  <w:p w14:paraId="44EDEAB1" w14:textId="77777777" w:rsidR="00A044CD" w:rsidRPr="00A044CD" w:rsidRDefault="00A044CD">
    <w:pPr>
      <w:pStyle w:val="Header"/>
      <w:rPr>
        <w:b/>
        <w:sz w:val="20"/>
        <w:szCs w:val="20"/>
      </w:rPr>
    </w:pPr>
    <w:r w:rsidRPr="00A044CD">
      <w:rPr>
        <w:b/>
        <w:sz w:val="20"/>
        <w:szCs w:val="20"/>
      </w:rPr>
      <w:t>ORDER 0</w:t>
    </w:r>
    <w:r w:rsidR="00FE2C23">
      <w:rPr>
        <w:b/>
        <w:sz w:val="20"/>
        <w:szCs w:val="20"/>
      </w:rPr>
      <w:t>3</w:t>
    </w:r>
  </w:p>
  <w:p w14:paraId="44EDEAB2" w14:textId="77777777" w:rsidR="00A044CD" w:rsidRDefault="00A044CD">
    <w:pPr>
      <w:pStyle w:val="Header"/>
    </w:pPr>
  </w:p>
  <w:p w14:paraId="44EDEAB3" w14:textId="77777777" w:rsidR="001C2389" w:rsidRPr="005E5651" w:rsidRDefault="001C2389">
    <w:pPr>
      <w:pStyle w:val="Header"/>
      <w:tabs>
        <w:tab w:val="left" w:pos="71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DEAB4" w14:textId="77777777" w:rsidR="001C2389" w:rsidRDefault="001C2389">
    <w:pPr>
      <w:pStyle w:val="Header"/>
      <w:tabs>
        <w:tab w:val="left" w:pos="7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74294"/>
    <w:multiLevelType w:val="hybridMultilevel"/>
    <w:tmpl w:val="54F6CECE"/>
    <w:lvl w:ilvl="0" w:tplc="EA6A7656">
      <w:start w:val="1"/>
      <w:numFmt w:val="decimal"/>
      <w:pStyle w:val="Findings"/>
      <w:lvlText w:val="%1"/>
      <w:lvlJc w:val="left"/>
      <w:pPr>
        <w:tabs>
          <w:tab w:val="num" w:pos="720"/>
        </w:tabs>
        <w:ind w:left="720" w:hanging="720"/>
      </w:pPr>
      <w:rPr>
        <w:rFonts w:hint="default"/>
        <w:b w:val="0"/>
        <w:i/>
        <w:sz w:val="20"/>
      </w:rPr>
    </w:lvl>
    <w:lvl w:ilvl="1" w:tplc="D4B00DB4">
      <w:start w:val="2"/>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5C"/>
    <w:rsid w:val="0000310F"/>
    <w:rsid w:val="000347E8"/>
    <w:rsid w:val="00035D5A"/>
    <w:rsid w:val="00037534"/>
    <w:rsid w:val="00062B40"/>
    <w:rsid w:val="00076E5D"/>
    <w:rsid w:val="00095ECE"/>
    <w:rsid w:val="000A34FE"/>
    <w:rsid w:val="000C56EB"/>
    <w:rsid w:val="000F4C18"/>
    <w:rsid w:val="00105B03"/>
    <w:rsid w:val="001709FC"/>
    <w:rsid w:val="00184D48"/>
    <w:rsid w:val="001A5603"/>
    <w:rsid w:val="001C2389"/>
    <w:rsid w:val="00206AB9"/>
    <w:rsid w:val="00217A81"/>
    <w:rsid w:val="00222A8F"/>
    <w:rsid w:val="002C5E4E"/>
    <w:rsid w:val="002D3659"/>
    <w:rsid w:val="002E73B6"/>
    <w:rsid w:val="00300DC3"/>
    <w:rsid w:val="003055CA"/>
    <w:rsid w:val="00361C1E"/>
    <w:rsid w:val="00371C09"/>
    <w:rsid w:val="00383CCF"/>
    <w:rsid w:val="00391C63"/>
    <w:rsid w:val="003D7A0E"/>
    <w:rsid w:val="004137D8"/>
    <w:rsid w:val="00416AFC"/>
    <w:rsid w:val="00445858"/>
    <w:rsid w:val="004678F1"/>
    <w:rsid w:val="00472A8D"/>
    <w:rsid w:val="004A2B6A"/>
    <w:rsid w:val="004C5609"/>
    <w:rsid w:val="004F1210"/>
    <w:rsid w:val="004F4016"/>
    <w:rsid w:val="005401C9"/>
    <w:rsid w:val="0054285B"/>
    <w:rsid w:val="005758C3"/>
    <w:rsid w:val="005A70BE"/>
    <w:rsid w:val="005E215F"/>
    <w:rsid w:val="00684CA3"/>
    <w:rsid w:val="006B06C9"/>
    <w:rsid w:val="0075174E"/>
    <w:rsid w:val="007628F2"/>
    <w:rsid w:val="007A370F"/>
    <w:rsid w:val="007A7CEC"/>
    <w:rsid w:val="007F0D46"/>
    <w:rsid w:val="00825E8B"/>
    <w:rsid w:val="00861725"/>
    <w:rsid w:val="00893F5C"/>
    <w:rsid w:val="008A3DC9"/>
    <w:rsid w:val="008C2F08"/>
    <w:rsid w:val="008D5B3A"/>
    <w:rsid w:val="008E0416"/>
    <w:rsid w:val="00915ADB"/>
    <w:rsid w:val="009204C6"/>
    <w:rsid w:val="00935806"/>
    <w:rsid w:val="009C228E"/>
    <w:rsid w:val="009F3983"/>
    <w:rsid w:val="009F6AD8"/>
    <w:rsid w:val="00A044CD"/>
    <w:rsid w:val="00A06084"/>
    <w:rsid w:val="00A33836"/>
    <w:rsid w:val="00AA55A0"/>
    <w:rsid w:val="00AE10AC"/>
    <w:rsid w:val="00AF263F"/>
    <w:rsid w:val="00B160F4"/>
    <w:rsid w:val="00B9396D"/>
    <w:rsid w:val="00BA024F"/>
    <w:rsid w:val="00BD3BEE"/>
    <w:rsid w:val="00C21153"/>
    <w:rsid w:val="00CE51FD"/>
    <w:rsid w:val="00D06EF5"/>
    <w:rsid w:val="00D100A1"/>
    <w:rsid w:val="00D147D7"/>
    <w:rsid w:val="00D8577E"/>
    <w:rsid w:val="00DD4621"/>
    <w:rsid w:val="00DF2066"/>
    <w:rsid w:val="00DF20BC"/>
    <w:rsid w:val="00E125B0"/>
    <w:rsid w:val="00E148A8"/>
    <w:rsid w:val="00E519B9"/>
    <w:rsid w:val="00E55436"/>
    <w:rsid w:val="00E72288"/>
    <w:rsid w:val="00E82AC6"/>
    <w:rsid w:val="00EA53C3"/>
    <w:rsid w:val="00EC7606"/>
    <w:rsid w:val="00ED2FDE"/>
    <w:rsid w:val="00ED5983"/>
    <w:rsid w:val="00F0429A"/>
    <w:rsid w:val="00F3004E"/>
    <w:rsid w:val="00F313E5"/>
    <w:rsid w:val="00F37A25"/>
    <w:rsid w:val="00F76D61"/>
    <w:rsid w:val="00FC625E"/>
    <w:rsid w:val="00FD4F9C"/>
    <w:rsid w:val="00F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4ED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5C"/>
    <w:pPr>
      <w:ind w:left="0" w:firstLine="0"/>
      <w:jc w:val="left"/>
    </w:pPr>
    <w:rPr>
      <w:rFonts w:eastAsia="Times New Roman"/>
    </w:rPr>
  </w:style>
  <w:style w:type="paragraph" w:styleId="Heading2">
    <w:name w:val="heading 2"/>
    <w:basedOn w:val="Normal"/>
    <w:next w:val="Normal"/>
    <w:link w:val="Heading2Char"/>
    <w:qFormat/>
    <w:rsid w:val="00893F5C"/>
    <w:pPr>
      <w:keepNext/>
      <w:widowControl w:val="0"/>
      <w:autoSpaceDE w:val="0"/>
      <w:autoSpaceDN w:val="0"/>
      <w:adjustRightInd w:val="0"/>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3F5C"/>
    <w:rPr>
      <w:rFonts w:eastAsia="Times New Roman"/>
      <w:u w:val="single"/>
    </w:rPr>
  </w:style>
  <w:style w:type="paragraph" w:styleId="Header">
    <w:name w:val="header"/>
    <w:basedOn w:val="Normal"/>
    <w:link w:val="HeaderChar"/>
    <w:uiPriority w:val="99"/>
    <w:rsid w:val="00893F5C"/>
    <w:pPr>
      <w:tabs>
        <w:tab w:val="center" w:pos="4320"/>
        <w:tab w:val="right" w:pos="8640"/>
      </w:tabs>
    </w:pPr>
  </w:style>
  <w:style w:type="character" w:customStyle="1" w:styleId="HeaderChar">
    <w:name w:val="Header Char"/>
    <w:basedOn w:val="DefaultParagraphFont"/>
    <w:link w:val="Header"/>
    <w:uiPriority w:val="99"/>
    <w:rsid w:val="00893F5C"/>
    <w:rPr>
      <w:rFonts w:eastAsia="Times New Roman"/>
    </w:rPr>
  </w:style>
  <w:style w:type="paragraph" w:styleId="BodyText">
    <w:name w:val="Body Text"/>
    <w:basedOn w:val="Normal"/>
    <w:link w:val="BodyTextChar"/>
    <w:rsid w:val="00893F5C"/>
    <w:pPr>
      <w:jc w:val="center"/>
    </w:pPr>
  </w:style>
  <w:style w:type="character" w:customStyle="1" w:styleId="BodyTextChar">
    <w:name w:val="Body Text Char"/>
    <w:basedOn w:val="DefaultParagraphFont"/>
    <w:link w:val="BodyText"/>
    <w:rsid w:val="00893F5C"/>
    <w:rPr>
      <w:rFonts w:eastAsia="Times New Roman"/>
    </w:rPr>
  </w:style>
  <w:style w:type="character" w:styleId="PageNumber">
    <w:name w:val="page number"/>
    <w:basedOn w:val="DefaultParagraphFont"/>
    <w:rsid w:val="00893F5C"/>
  </w:style>
  <w:style w:type="paragraph" w:customStyle="1" w:styleId="Findings">
    <w:name w:val="Findings"/>
    <w:basedOn w:val="Normal"/>
    <w:rsid w:val="00893F5C"/>
    <w:pPr>
      <w:numPr>
        <w:numId w:val="3"/>
      </w:numPr>
    </w:pPr>
  </w:style>
  <w:style w:type="paragraph" w:styleId="Footer">
    <w:name w:val="footer"/>
    <w:basedOn w:val="Normal"/>
    <w:link w:val="FooterChar"/>
    <w:uiPriority w:val="99"/>
    <w:unhideWhenUsed/>
    <w:rsid w:val="00BA024F"/>
    <w:pPr>
      <w:tabs>
        <w:tab w:val="center" w:pos="4680"/>
        <w:tab w:val="right" w:pos="9360"/>
      </w:tabs>
    </w:pPr>
  </w:style>
  <w:style w:type="character" w:customStyle="1" w:styleId="FooterChar">
    <w:name w:val="Footer Char"/>
    <w:basedOn w:val="DefaultParagraphFont"/>
    <w:link w:val="Footer"/>
    <w:uiPriority w:val="99"/>
    <w:rsid w:val="00BA024F"/>
    <w:rPr>
      <w:rFonts w:eastAsia="Times New Roman"/>
    </w:rPr>
  </w:style>
  <w:style w:type="paragraph" w:styleId="ListParagraph">
    <w:name w:val="List Paragraph"/>
    <w:basedOn w:val="Normal"/>
    <w:uiPriority w:val="34"/>
    <w:qFormat/>
    <w:rsid w:val="00035D5A"/>
    <w:pPr>
      <w:ind w:left="720"/>
      <w:contextualSpacing/>
    </w:pPr>
  </w:style>
  <w:style w:type="paragraph" w:styleId="BalloonText">
    <w:name w:val="Balloon Text"/>
    <w:basedOn w:val="Normal"/>
    <w:link w:val="BalloonTextChar"/>
    <w:uiPriority w:val="99"/>
    <w:semiHidden/>
    <w:unhideWhenUsed/>
    <w:rsid w:val="00F313E5"/>
    <w:rPr>
      <w:rFonts w:ascii="Tahoma" w:hAnsi="Tahoma" w:cs="Tahoma"/>
      <w:sz w:val="16"/>
      <w:szCs w:val="16"/>
    </w:rPr>
  </w:style>
  <w:style w:type="character" w:customStyle="1" w:styleId="BalloonTextChar">
    <w:name w:val="Balloon Text Char"/>
    <w:basedOn w:val="DefaultParagraphFont"/>
    <w:link w:val="BalloonText"/>
    <w:uiPriority w:val="99"/>
    <w:semiHidden/>
    <w:rsid w:val="00F313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147D7"/>
    <w:rPr>
      <w:sz w:val="16"/>
      <w:szCs w:val="16"/>
    </w:rPr>
  </w:style>
  <w:style w:type="paragraph" w:styleId="CommentText">
    <w:name w:val="annotation text"/>
    <w:basedOn w:val="Normal"/>
    <w:link w:val="CommentTextChar"/>
    <w:uiPriority w:val="99"/>
    <w:semiHidden/>
    <w:unhideWhenUsed/>
    <w:rsid w:val="00D147D7"/>
    <w:rPr>
      <w:sz w:val="20"/>
      <w:szCs w:val="20"/>
    </w:rPr>
  </w:style>
  <w:style w:type="character" w:customStyle="1" w:styleId="CommentTextChar">
    <w:name w:val="Comment Text Char"/>
    <w:basedOn w:val="DefaultParagraphFont"/>
    <w:link w:val="CommentText"/>
    <w:uiPriority w:val="99"/>
    <w:semiHidden/>
    <w:rsid w:val="00D147D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147D7"/>
    <w:rPr>
      <w:b/>
      <w:bCs/>
    </w:rPr>
  </w:style>
  <w:style w:type="character" w:customStyle="1" w:styleId="CommentSubjectChar">
    <w:name w:val="Comment Subject Char"/>
    <w:basedOn w:val="CommentTextChar"/>
    <w:link w:val="CommentSubject"/>
    <w:uiPriority w:val="99"/>
    <w:semiHidden/>
    <w:rsid w:val="00D147D7"/>
    <w:rPr>
      <w:rFonts w:eastAsia="Times New Roman"/>
      <w:b/>
      <w:bCs/>
      <w:sz w:val="20"/>
      <w:szCs w:val="20"/>
    </w:rPr>
  </w:style>
  <w:style w:type="paragraph" w:styleId="Revision">
    <w:name w:val="Revision"/>
    <w:hidden/>
    <w:uiPriority w:val="99"/>
    <w:semiHidden/>
    <w:rsid w:val="009F3983"/>
    <w:pPr>
      <w:ind w:left="0" w:firstLine="0"/>
      <w:jc w:val="lef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F5C"/>
    <w:pPr>
      <w:ind w:left="0" w:firstLine="0"/>
      <w:jc w:val="left"/>
    </w:pPr>
    <w:rPr>
      <w:rFonts w:eastAsia="Times New Roman"/>
    </w:rPr>
  </w:style>
  <w:style w:type="paragraph" w:styleId="Heading2">
    <w:name w:val="heading 2"/>
    <w:basedOn w:val="Normal"/>
    <w:next w:val="Normal"/>
    <w:link w:val="Heading2Char"/>
    <w:qFormat/>
    <w:rsid w:val="00893F5C"/>
    <w:pPr>
      <w:keepNext/>
      <w:widowControl w:val="0"/>
      <w:autoSpaceDE w:val="0"/>
      <w:autoSpaceDN w:val="0"/>
      <w:adjustRightInd w:val="0"/>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3F5C"/>
    <w:rPr>
      <w:rFonts w:eastAsia="Times New Roman"/>
      <w:u w:val="single"/>
    </w:rPr>
  </w:style>
  <w:style w:type="paragraph" w:styleId="Header">
    <w:name w:val="header"/>
    <w:basedOn w:val="Normal"/>
    <w:link w:val="HeaderChar"/>
    <w:uiPriority w:val="99"/>
    <w:rsid w:val="00893F5C"/>
    <w:pPr>
      <w:tabs>
        <w:tab w:val="center" w:pos="4320"/>
        <w:tab w:val="right" w:pos="8640"/>
      </w:tabs>
    </w:pPr>
  </w:style>
  <w:style w:type="character" w:customStyle="1" w:styleId="HeaderChar">
    <w:name w:val="Header Char"/>
    <w:basedOn w:val="DefaultParagraphFont"/>
    <w:link w:val="Header"/>
    <w:uiPriority w:val="99"/>
    <w:rsid w:val="00893F5C"/>
    <w:rPr>
      <w:rFonts w:eastAsia="Times New Roman"/>
    </w:rPr>
  </w:style>
  <w:style w:type="paragraph" w:styleId="BodyText">
    <w:name w:val="Body Text"/>
    <w:basedOn w:val="Normal"/>
    <w:link w:val="BodyTextChar"/>
    <w:rsid w:val="00893F5C"/>
    <w:pPr>
      <w:jc w:val="center"/>
    </w:pPr>
  </w:style>
  <w:style w:type="character" w:customStyle="1" w:styleId="BodyTextChar">
    <w:name w:val="Body Text Char"/>
    <w:basedOn w:val="DefaultParagraphFont"/>
    <w:link w:val="BodyText"/>
    <w:rsid w:val="00893F5C"/>
    <w:rPr>
      <w:rFonts w:eastAsia="Times New Roman"/>
    </w:rPr>
  </w:style>
  <w:style w:type="character" w:styleId="PageNumber">
    <w:name w:val="page number"/>
    <w:basedOn w:val="DefaultParagraphFont"/>
    <w:rsid w:val="00893F5C"/>
  </w:style>
  <w:style w:type="paragraph" w:customStyle="1" w:styleId="Findings">
    <w:name w:val="Findings"/>
    <w:basedOn w:val="Normal"/>
    <w:rsid w:val="00893F5C"/>
    <w:pPr>
      <w:numPr>
        <w:numId w:val="3"/>
      </w:numPr>
    </w:pPr>
  </w:style>
  <w:style w:type="paragraph" w:styleId="Footer">
    <w:name w:val="footer"/>
    <w:basedOn w:val="Normal"/>
    <w:link w:val="FooterChar"/>
    <w:uiPriority w:val="99"/>
    <w:unhideWhenUsed/>
    <w:rsid w:val="00BA024F"/>
    <w:pPr>
      <w:tabs>
        <w:tab w:val="center" w:pos="4680"/>
        <w:tab w:val="right" w:pos="9360"/>
      </w:tabs>
    </w:pPr>
  </w:style>
  <w:style w:type="character" w:customStyle="1" w:styleId="FooterChar">
    <w:name w:val="Footer Char"/>
    <w:basedOn w:val="DefaultParagraphFont"/>
    <w:link w:val="Footer"/>
    <w:uiPriority w:val="99"/>
    <w:rsid w:val="00BA024F"/>
    <w:rPr>
      <w:rFonts w:eastAsia="Times New Roman"/>
    </w:rPr>
  </w:style>
  <w:style w:type="paragraph" w:styleId="ListParagraph">
    <w:name w:val="List Paragraph"/>
    <w:basedOn w:val="Normal"/>
    <w:uiPriority w:val="34"/>
    <w:qFormat/>
    <w:rsid w:val="00035D5A"/>
    <w:pPr>
      <w:ind w:left="720"/>
      <w:contextualSpacing/>
    </w:pPr>
  </w:style>
  <w:style w:type="paragraph" w:styleId="BalloonText">
    <w:name w:val="Balloon Text"/>
    <w:basedOn w:val="Normal"/>
    <w:link w:val="BalloonTextChar"/>
    <w:uiPriority w:val="99"/>
    <w:semiHidden/>
    <w:unhideWhenUsed/>
    <w:rsid w:val="00F313E5"/>
    <w:rPr>
      <w:rFonts w:ascii="Tahoma" w:hAnsi="Tahoma" w:cs="Tahoma"/>
      <w:sz w:val="16"/>
      <w:szCs w:val="16"/>
    </w:rPr>
  </w:style>
  <w:style w:type="character" w:customStyle="1" w:styleId="BalloonTextChar">
    <w:name w:val="Balloon Text Char"/>
    <w:basedOn w:val="DefaultParagraphFont"/>
    <w:link w:val="BalloonText"/>
    <w:uiPriority w:val="99"/>
    <w:semiHidden/>
    <w:rsid w:val="00F313E5"/>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147D7"/>
    <w:rPr>
      <w:sz w:val="16"/>
      <w:szCs w:val="16"/>
    </w:rPr>
  </w:style>
  <w:style w:type="paragraph" w:styleId="CommentText">
    <w:name w:val="annotation text"/>
    <w:basedOn w:val="Normal"/>
    <w:link w:val="CommentTextChar"/>
    <w:uiPriority w:val="99"/>
    <w:semiHidden/>
    <w:unhideWhenUsed/>
    <w:rsid w:val="00D147D7"/>
    <w:rPr>
      <w:sz w:val="20"/>
      <w:szCs w:val="20"/>
    </w:rPr>
  </w:style>
  <w:style w:type="character" w:customStyle="1" w:styleId="CommentTextChar">
    <w:name w:val="Comment Text Char"/>
    <w:basedOn w:val="DefaultParagraphFont"/>
    <w:link w:val="CommentText"/>
    <w:uiPriority w:val="99"/>
    <w:semiHidden/>
    <w:rsid w:val="00D147D7"/>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D147D7"/>
    <w:rPr>
      <w:b/>
      <w:bCs/>
    </w:rPr>
  </w:style>
  <w:style w:type="character" w:customStyle="1" w:styleId="CommentSubjectChar">
    <w:name w:val="Comment Subject Char"/>
    <w:basedOn w:val="CommentTextChar"/>
    <w:link w:val="CommentSubject"/>
    <w:uiPriority w:val="99"/>
    <w:semiHidden/>
    <w:rsid w:val="00D147D7"/>
    <w:rPr>
      <w:rFonts w:eastAsia="Times New Roman"/>
      <w:b/>
      <w:bCs/>
      <w:sz w:val="20"/>
      <w:szCs w:val="20"/>
    </w:rPr>
  </w:style>
  <w:style w:type="paragraph" w:styleId="Revision">
    <w:name w:val="Revision"/>
    <w:hidden/>
    <w:uiPriority w:val="99"/>
    <w:semiHidden/>
    <w:rsid w:val="009F3983"/>
    <w:pPr>
      <w:ind w:left="0" w:firstLine="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51154621F10D7E4EB77EFDD45441F022" ma:contentTypeVersion="132" ma:contentTypeDescription="" ma:contentTypeScope="" ma:versionID="5b91fae48d4334fdfcfc32d91b0f86c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UE</Prefix>
    <DocumentSetType xmlns="dc463f71-b30c-4ab2-9473-d307f9d35888">Order - Final</DocumentSetType>
    <IsConfidential xmlns="dc463f71-b30c-4ab2-9473-d307f9d35888">false</IsConfidential>
    <AgendaOrder xmlns="dc463f71-b30c-4ab2-9473-d307f9d35888">true</AgendaOrder>
    <CaseType xmlns="dc463f71-b30c-4ab2-9473-d307f9d35888">Petition</CaseType>
    <IndustryCode xmlns="dc463f71-b30c-4ab2-9473-d307f9d35888">140</IndustryCode>
    <CaseStatus xmlns="dc463f71-b30c-4ab2-9473-d307f9d35888">Closed</CaseStatus>
    <OpenedDate xmlns="dc463f71-b30c-4ab2-9473-d307f9d35888">2007-10-31T07:00:00+00:00</OpenedDate>
    <Date1 xmlns="dc463f71-b30c-4ab2-9473-d307f9d35888">2012-09-27T07:00:00+00:00</Date1>
    <IsDocumentOrder xmlns="dc463f71-b30c-4ab2-9473-d307f9d35888">true</IsDocumentOrder>
    <IsHighlyConfidential xmlns="dc463f71-b30c-4ab2-9473-d307f9d35888">false</IsHighlyConfidential>
    <CaseCompanyNames xmlns="dc463f71-b30c-4ab2-9473-d307f9d35888">Pacific Power &amp; Light Company</CaseCompanyNames>
    <DocketNumber xmlns="dc463f71-b30c-4ab2-9473-d307f9d35888">072123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A2306-5BC5-47B8-B9B4-0C578CEBE80D}"/>
</file>

<file path=customXml/itemProps2.xml><?xml version="1.0" encoding="utf-8"?>
<ds:datastoreItem xmlns:ds="http://schemas.openxmlformats.org/officeDocument/2006/customXml" ds:itemID="{33796044-5796-4AAD-B167-689779B6E3C9}"/>
</file>

<file path=customXml/itemProps3.xml><?xml version="1.0" encoding="utf-8"?>
<ds:datastoreItem xmlns:ds="http://schemas.openxmlformats.org/officeDocument/2006/customXml" ds:itemID="{B616AF86-A858-4220-9DAB-FC98624896F3}"/>
</file>

<file path=customXml/itemProps4.xml><?xml version="1.0" encoding="utf-8"?>
<ds:datastoreItem xmlns:ds="http://schemas.openxmlformats.org/officeDocument/2006/customXml" ds:itemID="{2C05F3F6-5BF3-4CF5-B921-4D0375634A1D}"/>
</file>

<file path=customXml/itemProps5.xml><?xml version="1.0" encoding="utf-8"?>
<ds:datastoreItem xmlns:ds="http://schemas.openxmlformats.org/officeDocument/2006/customXml" ds:itemID="{80A0B8C5-8665-43E8-896A-E882A766677D}"/>
</file>

<file path=docProps/app.xml><?xml version="1.0" encoding="utf-8"?>
<Properties xmlns="http://schemas.openxmlformats.org/officeDocument/2006/extended-properties" xmlns:vt="http://schemas.openxmlformats.org/officeDocument/2006/docPropsVTypes">
  <Template>Normal</Template>
  <TotalTime>2</TotalTime>
  <Pages>4</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UE-072123 Order 03</vt:lpstr>
    </vt:vector>
  </TitlesOfParts>
  <Company>PacifiCorp</Company>
  <LinksUpToDate>false</LinksUpToDate>
  <CharactersWithSpaces>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UE-072123 Order 03</dc:title>
  <dc:creator>Michelle Mishoe</dc:creator>
  <cp:lastModifiedBy>Kern, Cathy (UTC)</cp:lastModifiedBy>
  <cp:revision>2</cp:revision>
  <cp:lastPrinted>2012-09-19T23:41:00Z</cp:lastPrinted>
  <dcterms:created xsi:type="dcterms:W3CDTF">2012-09-27T00:06:00Z</dcterms:created>
  <dcterms:modified xsi:type="dcterms:W3CDTF">2012-09-27T00:06:00Z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0x0101006E56B4D1795A2E4DB2F0B01679ED314A0051154621F10D7E4EB77EFDD45441F022</vt:lpwstr>
  </property>
  <property fmtid="{D5CDD505-2E9C-101B-9397-08002B2CF9AE}" pid="3" name="_docset_NoMedatataSyncRequired">
    <vt:lpwstr>False</vt:lpwstr>
  </property>
</Properties>
</file>