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69E" w:rsidRPr="004115AF" w:rsidRDefault="000246B5">
      <w:pPr>
        <w:rPr>
          <w:b/>
          <w:sz w:val="22"/>
          <w:szCs w:val="22"/>
        </w:rPr>
      </w:pPr>
      <w:r>
        <w:rPr>
          <w:noProof/>
        </w:rPr>
        <w:drawing>
          <wp:anchor distT="0" distB="274320" distL="114300" distR="114300" simplePos="0" relativeHeight="251659264" behindDoc="0" locked="0" layoutInCell="1" allowOverlap="1" wp14:anchorId="621B63AE" wp14:editId="4FCC07A4">
            <wp:simplePos x="0" y="0"/>
            <wp:positionH relativeFrom="column">
              <wp:posOffset>-117475</wp:posOffset>
            </wp:positionH>
            <wp:positionV relativeFrom="paragraph">
              <wp:posOffset>-479425</wp:posOffset>
            </wp:positionV>
            <wp:extent cx="2679700" cy="935355"/>
            <wp:effectExtent l="0" t="0" r="6350" b="0"/>
            <wp:wrapTopAndBottom/>
            <wp:docPr id="5" name="Picture 5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B46">
        <w:rPr>
          <w:b/>
          <w:sz w:val="22"/>
          <w:szCs w:val="22"/>
        </w:rPr>
        <w:t>3</w:t>
      </w:r>
      <w:r w:rsidR="00231B46" w:rsidRPr="00231B46">
        <w:rPr>
          <w:b/>
          <w:sz w:val="22"/>
          <w:szCs w:val="22"/>
          <w:vertAlign w:val="superscript"/>
        </w:rPr>
        <w:t>r</w:t>
      </w:r>
      <w:r w:rsidR="000244B2">
        <w:rPr>
          <w:b/>
          <w:sz w:val="22"/>
          <w:szCs w:val="22"/>
          <w:vertAlign w:val="superscript"/>
        </w:rPr>
        <w:t>d</w:t>
      </w:r>
      <w:r w:rsidR="00B7269E" w:rsidRPr="004115AF">
        <w:rPr>
          <w:b/>
          <w:sz w:val="22"/>
          <w:szCs w:val="22"/>
        </w:rPr>
        <w:t xml:space="preserve"> </w:t>
      </w:r>
      <w:r w:rsidR="00BC3FD1">
        <w:rPr>
          <w:b/>
          <w:sz w:val="22"/>
          <w:szCs w:val="22"/>
        </w:rPr>
        <w:t>External</w:t>
      </w:r>
      <w:r w:rsidR="00B7269E" w:rsidRPr="004115AF">
        <w:rPr>
          <w:b/>
          <w:sz w:val="22"/>
          <w:szCs w:val="22"/>
        </w:rPr>
        <w:t xml:space="preserve"> </w:t>
      </w:r>
      <w:r w:rsidR="00F55D66">
        <w:rPr>
          <w:b/>
          <w:sz w:val="22"/>
          <w:szCs w:val="22"/>
        </w:rPr>
        <w:t>TAG</w:t>
      </w:r>
      <w:r w:rsidR="00B7269E" w:rsidRPr="004115AF">
        <w:rPr>
          <w:b/>
          <w:sz w:val="22"/>
          <w:szCs w:val="22"/>
        </w:rPr>
        <w:t xml:space="preserve"> Meeting</w:t>
      </w:r>
    </w:p>
    <w:p w:rsidR="00B7269E" w:rsidRPr="003E6977" w:rsidRDefault="003E6977">
      <w:r>
        <w:rPr>
          <w:b/>
        </w:rPr>
        <w:t>Date &amp; time</w:t>
      </w:r>
      <w:r w:rsidR="009E02D2">
        <w:rPr>
          <w:b/>
        </w:rPr>
        <w:t>:</w:t>
      </w:r>
      <w:r w:rsidR="009E02D2">
        <w:rPr>
          <w:b/>
        </w:rPr>
        <w:tab/>
      </w:r>
      <w:r w:rsidR="009E02D2">
        <w:rPr>
          <w:b/>
        </w:rPr>
        <w:tab/>
      </w:r>
      <w:r w:rsidR="00231B46" w:rsidRPr="003E6977">
        <w:t>08/23/2016 – 08</w:t>
      </w:r>
      <w:r w:rsidR="007638BE" w:rsidRPr="003E6977">
        <w:t>:00</w:t>
      </w:r>
      <w:r w:rsidR="000244B2" w:rsidRPr="003E6977">
        <w:t>-</w:t>
      </w:r>
      <w:r w:rsidR="007638BE" w:rsidRPr="003E6977">
        <w:t>11:30 AM</w:t>
      </w:r>
    </w:p>
    <w:p w:rsidR="009E02D2" w:rsidRPr="009E02D2" w:rsidRDefault="009E02D2">
      <w:r>
        <w:rPr>
          <w:b/>
        </w:rPr>
        <w:t>Location:</w:t>
      </w:r>
      <w:r>
        <w:rPr>
          <w:b/>
        </w:rPr>
        <w:tab/>
      </w:r>
      <w:r>
        <w:rPr>
          <w:b/>
        </w:rPr>
        <w:tab/>
      </w:r>
      <w:r>
        <w:t>Kennewick GO</w:t>
      </w:r>
    </w:p>
    <w:p w:rsidR="00390197" w:rsidRPr="00390197" w:rsidRDefault="00390197">
      <w:r>
        <w:rPr>
          <w:b/>
        </w:rPr>
        <w:t>Presenters:</w:t>
      </w:r>
      <w:r>
        <w:rPr>
          <w:b/>
        </w:rPr>
        <w:tab/>
      </w:r>
      <w:r>
        <w:rPr>
          <w:b/>
        </w:rPr>
        <w:tab/>
      </w:r>
      <w:r w:rsidR="00231B46">
        <w:t>Mark Sellers-Vaughn, Monica Cowlishaw, Bruce Folsom</w:t>
      </w:r>
    </w:p>
    <w:p w:rsidR="00971A8C" w:rsidRDefault="00B7269E" w:rsidP="00B7269E">
      <w:pPr>
        <w:ind w:left="2160" w:hanging="2160"/>
      </w:pPr>
      <w:r w:rsidRPr="004115AF">
        <w:rPr>
          <w:b/>
        </w:rPr>
        <w:t>In attendance</w:t>
      </w:r>
      <w:r w:rsidRPr="004115AF">
        <w:t>:</w:t>
      </w:r>
      <w:r w:rsidRPr="004115AF">
        <w:tab/>
      </w:r>
      <w:r w:rsidR="00971A8C">
        <w:t xml:space="preserve">Mark Sellers-Vaughn, </w:t>
      </w:r>
      <w:r w:rsidR="00231B46">
        <w:t>Bruce Folsom, Monica Cowlisha</w:t>
      </w:r>
      <w:r w:rsidR="00C33E71">
        <w:t>w</w:t>
      </w:r>
      <w:r w:rsidR="00231B46">
        <w:t xml:space="preserve">, </w:t>
      </w:r>
      <w:r w:rsidR="00971A8C">
        <w:t xml:space="preserve">Brian Robertson, </w:t>
      </w:r>
      <w:r w:rsidR="00231B46">
        <w:t>Devin McGreal, Mike Parvinen, Eric Wood, Brian Cunnington,</w:t>
      </w:r>
      <w:r w:rsidR="00827FD5">
        <w:t xml:space="preserve"> Amanda Sargent</w:t>
      </w:r>
      <w:r w:rsidR="00EC7F7C">
        <w:t>,</w:t>
      </w:r>
      <w:r w:rsidR="00231B46">
        <w:t xml:space="preserve"> Carolyn Stone,</w:t>
      </w:r>
      <w:r w:rsidR="00870F75">
        <w:t xml:space="preserve"> Brian Hoyle, Jennifer Gross,  David </w:t>
      </w:r>
      <w:r w:rsidR="00F64C15">
        <w:t>Nightingale</w:t>
      </w:r>
      <w:r w:rsidR="00870F75">
        <w:t xml:space="preserve"> - WUTC</w:t>
      </w:r>
      <w:r w:rsidR="007A313D">
        <w:t xml:space="preserve">, </w:t>
      </w:r>
      <w:r w:rsidR="00870F75">
        <w:t>Kathi</w:t>
      </w:r>
      <w:r w:rsidR="00F53139">
        <w:t xml:space="preserve"> Scanlo</w:t>
      </w:r>
      <w:r w:rsidR="007A313D">
        <w:t>n- WUTC</w:t>
      </w:r>
      <w:r w:rsidR="00870F75">
        <w:t>, Cooper Wright - WUTC</w:t>
      </w:r>
    </w:p>
    <w:p w:rsidR="000244B2" w:rsidRDefault="00971A8C" w:rsidP="000244B2">
      <w:pPr>
        <w:ind w:left="2160" w:hanging="2160"/>
      </w:pPr>
      <w:r>
        <w:rPr>
          <w:b/>
        </w:rPr>
        <w:t>Call</w:t>
      </w:r>
      <w:r w:rsidR="00906ACE">
        <w:rPr>
          <w:b/>
        </w:rPr>
        <w:t>ed in</w:t>
      </w:r>
      <w:r w:rsidRPr="00971A8C">
        <w:t>:</w:t>
      </w:r>
      <w:r>
        <w:tab/>
      </w:r>
      <w:r w:rsidR="00231B46">
        <w:t xml:space="preserve">Bob Morman, </w:t>
      </w:r>
      <w:r w:rsidR="00F53139">
        <w:t xml:space="preserve">Laura Flanders - NWP, </w:t>
      </w:r>
      <w:r>
        <w:t>Chad Lu</w:t>
      </w:r>
      <w:r w:rsidR="00827FD5">
        <w:t>ginbill, Josh Romine,</w:t>
      </w:r>
      <w:r>
        <w:t xml:space="preserve"> </w:t>
      </w:r>
      <w:r w:rsidR="0090320F">
        <w:t>Mark Chiles, D</w:t>
      </w:r>
      <w:r w:rsidR="00B6531F">
        <w:t>eborah</w:t>
      </w:r>
      <w:r w:rsidR="0090320F">
        <w:t xml:space="preserve"> Reynolds</w:t>
      </w:r>
      <w:r w:rsidR="00F53139">
        <w:t>, Ed Finklea</w:t>
      </w:r>
      <w:r w:rsidR="00231B46">
        <w:t xml:space="preserve"> – NWIGU, Jeremy</w:t>
      </w:r>
      <w:r w:rsidR="00311CC0">
        <w:t xml:space="preserve"> Twitchell - WUTC </w:t>
      </w:r>
    </w:p>
    <w:p w:rsidR="000E7F43" w:rsidRDefault="000E7F43" w:rsidP="000244B2">
      <w:pPr>
        <w:ind w:left="2160" w:hanging="2160"/>
      </w:pPr>
      <w:r w:rsidRPr="004115AF">
        <w:rPr>
          <w:b/>
        </w:rPr>
        <w:t>Minutes by</w:t>
      </w:r>
      <w:r w:rsidRPr="004115AF">
        <w:t>:</w:t>
      </w:r>
      <w:r w:rsidRPr="004115AF">
        <w:tab/>
        <w:t>Carolyn P Stone</w:t>
      </w:r>
    </w:p>
    <w:p w:rsidR="00C33E71" w:rsidRDefault="00421CCD" w:rsidP="00491A81">
      <w:r>
        <w:t>Mark began the meeting by welcoming everyone.  Mark also reminded everyone that today’s meeting is a “wor</w:t>
      </w:r>
      <w:r w:rsidR="003D0414">
        <w:t>kshop” and feedback is welcomed!</w:t>
      </w:r>
      <w:r w:rsidR="00C33E71">
        <w:t xml:space="preserve"> He then went over the Agenda.</w:t>
      </w:r>
      <w:r>
        <w:t xml:space="preserve"> Bob also welcomed Staff </w:t>
      </w:r>
      <w:r w:rsidR="00C33E71">
        <w:t xml:space="preserve">to the meeting </w:t>
      </w:r>
      <w:r>
        <w:t>and said he look</w:t>
      </w:r>
      <w:r w:rsidR="00C33E71">
        <w:t>ed forward to the presentation.</w:t>
      </w:r>
    </w:p>
    <w:p w:rsidR="0073379F" w:rsidRDefault="0073379F" w:rsidP="0073379F">
      <w:pPr>
        <w:spacing w:after="0"/>
      </w:pPr>
      <w:r w:rsidRPr="009837CE">
        <w:rPr>
          <w:i/>
        </w:rPr>
        <w:t>Presentation #1</w:t>
      </w:r>
      <w:r>
        <w:t xml:space="preserve"> – Monica Cowlishaw</w:t>
      </w:r>
    </w:p>
    <w:p w:rsidR="0073379F" w:rsidRPr="00F463F4" w:rsidRDefault="00F463F4" w:rsidP="0073379F">
      <w:pPr>
        <w:spacing w:after="0"/>
        <w:rPr>
          <w:b/>
        </w:rPr>
      </w:pPr>
      <w:r>
        <w:rPr>
          <w:b/>
        </w:rPr>
        <w:t>Demand Side Management</w:t>
      </w:r>
    </w:p>
    <w:p w:rsidR="008226A2" w:rsidRDefault="008226A2" w:rsidP="00EE3C14">
      <w:pPr>
        <w:spacing w:after="0"/>
      </w:pPr>
      <w:r>
        <w:t>Monica began</w:t>
      </w:r>
      <w:r w:rsidR="00F463F4">
        <w:t xml:space="preserve"> her presentation with Slide #4 discussing the purpose of rerunning their model ca</w:t>
      </w:r>
      <w:r w:rsidR="00EE3C14">
        <w:t>lled “TEA-Pot”.</w:t>
      </w:r>
    </w:p>
    <w:p w:rsidR="008226A2" w:rsidRDefault="008226A2" w:rsidP="008226A2">
      <w:pPr>
        <w:pStyle w:val="ListParagraph"/>
        <w:numPr>
          <w:ilvl w:val="0"/>
          <w:numId w:val="16"/>
        </w:numPr>
        <w:spacing w:after="0"/>
      </w:pPr>
      <w:r>
        <w:t>Monica stated that conservation is</w:t>
      </w:r>
      <w:r w:rsidR="00F463F4">
        <w:t xml:space="preserve"> changing the Demand Side Management within the IRP to an “Executive Summary</w:t>
      </w:r>
      <w:r w:rsidR="0073379F">
        <w:t>”</w:t>
      </w:r>
      <w:r w:rsidR="00F463F4">
        <w:t xml:space="preserve">.  </w:t>
      </w:r>
    </w:p>
    <w:p w:rsidR="00421CCD" w:rsidRDefault="00F463F4" w:rsidP="008226A2">
      <w:pPr>
        <w:pStyle w:val="ListParagraph"/>
        <w:numPr>
          <w:ilvl w:val="0"/>
          <w:numId w:val="16"/>
        </w:numPr>
        <w:spacing w:after="0"/>
      </w:pPr>
      <w:r>
        <w:t xml:space="preserve">The </w:t>
      </w:r>
      <w:r w:rsidR="003D4E88">
        <w:t>TEA-Pot</w:t>
      </w:r>
      <w:r>
        <w:t xml:space="preserve"> model re-runs the forecast in 3 geographic areas at the </w:t>
      </w:r>
      <w:r w:rsidR="00EC7F7C">
        <w:t>c</w:t>
      </w:r>
      <w:r>
        <w:t xml:space="preserve">limate </w:t>
      </w:r>
      <w:r w:rsidR="00EC7F7C">
        <w:t>z</w:t>
      </w:r>
      <w:r>
        <w:t>one level</w:t>
      </w:r>
      <w:r w:rsidR="00EC7F7C">
        <w:t xml:space="preserve"> for Washington and 1 climate zone for Oregon</w:t>
      </w:r>
      <w:r>
        <w:t>.</w:t>
      </w:r>
    </w:p>
    <w:p w:rsidR="008226A2" w:rsidRDefault="00F463F4" w:rsidP="00491A81">
      <w:pPr>
        <w:pStyle w:val="ListParagraph"/>
        <w:numPr>
          <w:ilvl w:val="0"/>
          <w:numId w:val="16"/>
        </w:numPr>
        <w:spacing w:after="0"/>
      </w:pPr>
      <w:r>
        <w:t xml:space="preserve">Amanda then went through </w:t>
      </w:r>
      <w:r w:rsidR="003D4E88">
        <w:t>TEA-Pot</w:t>
      </w:r>
      <w:r w:rsidR="00D92AC8">
        <w:t xml:space="preserve"> stating inputs have changed and will change again. One of the conservation forecast changes</w:t>
      </w:r>
      <w:r w:rsidR="0073379F">
        <w:t xml:space="preserve"> is that administrative costs have increased due to increased outreach.  </w:t>
      </w:r>
    </w:p>
    <w:p w:rsidR="00EC7F7C" w:rsidRPr="00EC7F7C" w:rsidRDefault="00EC7F7C" w:rsidP="00EC7F7C">
      <w:pPr>
        <w:pStyle w:val="ListParagraph"/>
        <w:spacing w:after="0"/>
      </w:pPr>
    </w:p>
    <w:p w:rsidR="0073379F" w:rsidRPr="0073379F" w:rsidRDefault="00EE3C14" w:rsidP="00EE3C14">
      <w:pPr>
        <w:spacing w:after="0"/>
        <w:rPr>
          <w:b/>
        </w:rPr>
      </w:pPr>
      <w:r>
        <w:rPr>
          <w:b/>
        </w:rPr>
        <w:t>Sce</w:t>
      </w:r>
      <w:r w:rsidR="0073379F" w:rsidRPr="0073379F">
        <w:rPr>
          <w:b/>
        </w:rPr>
        <w:t>narios</w:t>
      </w:r>
    </w:p>
    <w:p w:rsidR="00A22D47" w:rsidRDefault="00A22D47" w:rsidP="00A22D47">
      <w:pPr>
        <w:pStyle w:val="ListParagraph"/>
        <w:numPr>
          <w:ilvl w:val="0"/>
          <w:numId w:val="16"/>
        </w:numPr>
        <w:spacing w:after="0"/>
      </w:pPr>
      <w:r>
        <w:t>Amanda explains that the scenarios include 30</w:t>
      </w:r>
      <w:r w:rsidR="003D0414">
        <w:t>%</w:t>
      </w:r>
      <w:r>
        <w:t xml:space="preserve"> and 50 % of incremental costs for the residential incentives.  It is a robust portfolio!  It includes both custom and prescriptive programs.</w:t>
      </w:r>
    </w:p>
    <w:p w:rsidR="00A22D47" w:rsidRDefault="00A22D47" w:rsidP="008226A2">
      <w:pPr>
        <w:pStyle w:val="ListParagraph"/>
        <w:numPr>
          <w:ilvl w:val="0"/>
          <w:numId w:val="16"/>
        </w:numPr>
        <w:spacing w:after="0"/>
      </w:pPr>
      <w:r>
        <w:t>Amanda states that the Service Territory map helps smooth the scenarios into the IRP and be</w:t>
      </w:r>
      <w:r w:rsidR="003D0414">
        <w:t>tter reflects the Conservation f</w:t>
      </w:r>
      <w:r>
        <w:t>orecast.</w:t>
      </w:r>
    </w:p>
    <w:p w:rsidR="00C561AF" w:rsidRDefault="00C561AF" w:rsidP="00A22D47">
      <w:pPr>
        <w:spacing w:after="0"/>
      </w:pPr>
    </w:p>
    <w:p w:rsidR="00DF1B2F" w:rsidRDefault="001E1CCC" w:rsidP="00A22D47">
      <w:pPr>
        <w:spacing w:after="0"/>
        <w:rPr>
          <w:b/>
        </w:rPr>
      </w:pPr>
      <w:r>
        <w:rPr>
          <w:b/>
        </w:rPr>
        <w:t>Slide #9 – Full Portfolio by Climate Zone</w:t>
      </w:r>
    </w:p>
    <w:p w:rsidR="00DF1B2F" w:rsidRDefault="00DF1B2F" w:rsidP="008226A2">
      <w:pPr>
        <w:pStyle w:val="ListParagraph"/>
        <w:numPr>
          <w:ilvl w:val="0"/>
          <w:numId w:val="16"/>
        </w:numPr>
        <w:spacing w:after="0"/>
      </w:pPr>
      <w:r>
        <w:t xml:space="preserve">Amanda states that these are preliminary numbers.  Zone 2 is the smallest because there are </w:t>
      </w:r>
      <w:r w:rsidR="003D0414">
        <w:t>fewer</w:t>
      </w:r>
      <w:r>
        <w:t xml:space="preserve"> customers. This forecast is in line with the average of the last 2 years.</w:t>
      </w:r>
    </w:p>
    <w:p w:rsidR="00DF1B2F" w:rsidRDefault="00DF1B2F" w:rsidP="00A22D47">
      <w:pPr>
        <w:spacing w:after="0"/>
      </w:pPr>
    </w:p>
    <w:p w:rsidR="00EE3C14" w:rsidRDefault="00EE3C14" w:rsidP="00A22D47">
      <w:pPr>
        <w:spacing w:after="0"/>
      </w:pPr>
    </w:p>
    <w:p w:rsidR="00EE3C14" w:rsidRDefault="00EE3C14" w:rsidP="00A22D47">
      <w:pPr>
        <w:spacing w:after="0"/>
      </w:pPr>
      <w:bookmarkStart w:id="0" w:name="_GoBack"/>
      <w:bookmarkEnd w:id="0"/>
    </w:p>
    <w:p w:rsidR="00ED7943" w:rsidRDefault="00ED7943" w:rsidP="00ED7943">
      <w:pPr>
        <w:spacing w:after="0"/>
        <w:rPr>
          <w:b/>
        </w:rPr>
      </w:pPr>
      <w:r>
        <w:rPr>
          <w:b/>
        </w:rPr>
        <w:lastRenderedPageBreak/>
        <w:t>Slide #10 – Full Portfolio by Customer Class</w:t>
      </w:r>
    </w:p>
    <w:p w:rsidR="00BD5D76" w:rsidRDefault="00BD5D76" w:rsidP="00A22D47">
      <w:pPr>
        <w:pStyle w:val="ListParagraph"/>
        <w:numPr>
          <w:ilvl w:val="0"/>
          <w:numId w:val="16"/>
        </w:numPr>
        <w:spacing w:after="0"/>
      </w:pPr>
      <w:r>
        <w:t>Amanda noted this scenario will change.  There are very few large industrial customers included here.  If there is even 1, it makes a large impact!</w:t>
      </w:r>
    </w:p>
    <w:p w:rsidR="0049381C" w:rsidRDefault="00BD5D76" w:rsidP="0049381C">
      <w:pPr>
        <w:pStyle w:val="ListParagraph"/>
        <w:numPr>
          <w:ilvl w:val="0"/>
          <w:numId w:val="16"/>
        </w:numPr>
        <w:spacing w:after="0"/>
      </w:pPr>
      <w:r>
        <w:t xml:space="preserve">Monica mentioned that there are other </w:t>
      </w:r>
      <w:r w:rsidR="0049381C">
        <w:t>items</w:t>
      </w:r>
      <w:r>
        <w:t xml:space="preserve"> included in the IRP </w:t>
      </w:r>
      <w:r w:rsidR="0049381C">
        <w:t>such</w:t>
      </w:r>
      <w:r>
        <w:t xml:space="preserve"> as Billing Studies (both residential &amp; commercial).  </w:t>
      </w:r>
    </w:p>
    <w:p w:rsidR="00BD5D76" w:rsidRDefault="00BD5D76" w:rsidP="008226A2">
      <w:pPr>
        <w:pStyle w:val="ListParagraph"/>
        <w:numPr>
          <w:ilvl w:val="0"/>
          <w:numId w:val="16"/>
        </w:numPr>
        <w:spacing w:after="0"/>
      </w:pPr>
      <w:r>
        <w:t>She went on to say that Cascade &amp; other LDC’s will make an $18.3m investment as a collective effort to make hig</w:t>
      </w:r>
      <w:r w:rsidR="0044265C">
        <w:t>h efficiency gas appliances</w:t>
      </w:r>
      <w:r>
        <w:t xml:space="preserve"> more efficient.  Examples include the Energy Star Dryer product imp</w:t>
      </w:r>
      <w:r w:rsidR="0044265C">
        <w:t>rovement, a water heater</w:t>
      </w:r>
      <w:r w:rsidR="00811D58">
        <w:t>, rooftop</w:t>
      </w:r>
      <w:r>
        <w:t xml:space="preserve"> units and piloting LNG in Union Gap.</w:t>
      </w:r>
    </w:p>
    <w:p w:rsidR="00BD5D76" w:rsidRDefault="00BD5D76" w:rsidP="00A22D47">
      <w:pPr>
        <w:spacing w:after="0"/>
      </w:pPr>
    </w:p>
    <w:p w:rsidR="00BD5D76" w:rsidRDefault="00BD5D76" w:rsidP="00A22D47">
      <w:pPr>
        <w:spacing w:after="0"/>
      </w:pPr>
      <w:r w:rsidRPr="00BD5D76">
        <w:rPr>
          <w:highlight w:val="yellow"/>
        </w:rPr>
        <w:t>Question</w:t>
      </w:r>
      <w:r>
        <w:t>:</w:t>
      </w:r>
      <w:r>
        <w:tab/>
        <w:t>Was the water heater gas?</w:t>
      </w:r>
    </w:p>
    <w:p w:rsidR="00BD5D76" w:rsidRDefault="00BD5D76" w:rsidP="00A22D47">
      <w:pPr>
        <w:spacing w:after="0"/>
      </w:pPr>
      <w:r w:rsidRPr="00BD5D76">
        <w:rPr>
          <w:highlight w:val="green"/>
        </w:rPr>
        <w:t>Answer</w:t>
      </w:r>
      <w:r>
        <w:t>:</w:t>
      </w:r>
      <w:r>
        <w:tab/>
        <w:t>Yes</w:t>
      </w:r>
    </w:p>
    <w:p w:rsidR="00BD5D76" w:rsidRDefault="00BD5D76" w:rsidP="00A22D47">
      <w:pPr>
        <w:spacing w:after="0"/>
      </w:pPr>
    </w:p>
    <w:p w:rsidR="005A0C95" w:rsidRDefault="005A0C95" w:rsidP="00A22D47">
      <w:pPr>
        <w:spacing w:after="0"/>
      </w:pPr>
      <w:r>
        <w:t>CNG is involved in community projects, i.</w:t>
      </w:r>
      <w:r w:rsidR="00F64C15">
        <w:t xml:space="preserve">e. Georgetown Prize competition. There is one in Walla Walla &amp; </w:t>
      </w:r>
      <w:r w:rsidR="00A13AEE">
        <w:t>Corvallis</w:t>
      </w:r>
      <w:r w:rsidR="00F64C15">
        <w:t xml:space="preserve">.  </w:t>
      </w:r>
    </w:p>
    <w:p w:rsidR="00F64C15" w:rsidRDefault="00F64C15" w:rsidP="00A22D47">
      <w:pPr>
        <w:spacing w:after="0"/>
      </w:pPr>
    </w:p>
    <w:p w:rsidR="00F64C15" w:rsidRDefault="00F64C15" w:rsidP="00A22D47">
      <w:pPr>
        <w:spacing w:after="0"/>
        <w:rPr>
          <w:b/>
        </w:rPr>
      </w:pPr>
      <w:r>
        <w:rPr>
          <w:b/>
        </w:rPr>
        <w:t>Slide #14 – Noteworthy Changes</w:t>
      </w:r>
    </w:p>
    <w:p w:rsidR="00F64C15" w:rsidRDefault="00F64C15" w:rsidP="00A22D47">
      <w:pPr>
        <w:spacing w:after="0"/>
      </w:pPr>
      <w:r>
        <w:t>Monica explained that CNG</w:t>
      </w:r>
      <w:r w:rsidR="0044265C">
        <w:t xml:space="preserve"> will work with Shawn Collins on</w:t>
      </w:r>
      <w:r>
        <w:t xml:space="preserve"> low income efficiency programs.</w:t>
      </w:r>
    </w:p>
    <w:p w:rsidR="00F64C15" w:rsidRDefault="00F64C15" w:rsidP="00A22D47">
      <w:pPr>
        <w:spacing w:after="0"/>
      </w:pPr>
    </w:p>
    <w:p w:rsidR="00F64C15" w:rsidRDefault="00F64C15" w:rsidP="00A22D47">
      <w:pPr>
        <w:spacing w:after="0"/>
      </w:pPr>
      <w:r w:rsidRPr="004755E0">
        <w:rPr>
          <w:highlight w:val="yellow"/>
        </w:rPr>
        <w:t>Question</w:t>
      </w:r>
      <w:r>
        <w:t>:</w:t>
      </w:r>
      <w:r>
        <w:tab/>
        <w:t>What is the “incremental cost”?</w:t>
      </w:r>
    </w:p>
    <w:p w:rsidR="00F64C15" w:rsidRDefault="00F64C15" w:rsidP="00F64C15">
      <w:pPr>
        <w:spacing w:after="0"/>
        <w:ind w:left="1440" w:hanging="1440"/>
      </w:pPr>
      <w:r w:rsidRPr="004755E0">
        <w:rPr>
          <w:highlight w:val="green"/>
        </w:rPr>
        <w:t>Answer</w:t>
      </w:r>
      <w:r>
        <w:t>:</w:t>
      </w:r>
      <w:r>
        <w:tab/>
        <w:t xml:space="preserve">This is the difference between the </w:t>
      </w:r>
      <w:r w:rsidR="00C561AF">
        <w:t>costs</w:t>
      </w:r>
      <w:r>
        <w:t xml:space="preserve"> involved </w:t>
      </w:r>
      <w:r w:rsidR="0044265C">
        <w:t xml:space="preserve">to </w:t>
      </w:r>
      <w:r>
        <w:t>install standard appliances</w:t>
      </w:r>
      <w:r w:rsidR="0044265C">
        <w:t xml:space="preserve"> as</w:t>
      </w:r>
      <w:r>
        <w:t xml:space="preserve"> compared to high efficiency appliances.  The difference is the incremental cost.</w:t>
      </w:r>
    </w:p>
    <w:p w:rsidR="0094111E" w:rsidRDefault="0094111E" w:rsidP="00F64C15">
      <w:pPr>
        <w:spacing w:after="0"/>
        <w:ind w:left="1440" w:hanging="1440"/>
      </w:pPr>
    </w:p>
    <w:p w:rsidR="0094111E" w:rsidRDefault="0094111E" w:rsidP="0049381C">
      <w:pPr>
        <w:pStyle w:val="ListParagraph"/>
        <w:numPr>
          <w:ilvl w:val="0"/>
          <w:numId w:val="16"/>
        </w:numPr>
        <w:spacing w:after="0"/>
      </w:pPr>
      <w:r>
        <w:t xml:space="preserve">Monica explained that conservation will </w:t>
      </w:r>
      <w:r w:rsidR="00AB175C">
        <w:t>be pushing the 30</w:t>
      </w:r>
      <w:r w:rsidR="0044265C">
        <w:t>%</w:t>
      </w:r>
      <w:r w:rsidR="00AB175C">
        <w:t xml:space="preserve"> and 50% incentive levels</w:t>
      </w:r>
      <w:r>
        <w:t xml:space="preserve"> in 2017 to get ne</w:t>
      </w:r>
      <w:r w:rsidR="00F15765">
        <w:t>w customers.  The Commercial &amp;</w:t>
      </w:r>
      <w:r>
        <w:t xml:space="preserve"> </w:t>
      </w:r>
      <w:r w:rsidR="00F15765">
        <w:t>Industrial will be a mix of 30% &amp;</w:t>
      </w:r>
      <w:r>
        <w:t xml:space="preserve"> 50 % incentiv</w:t>
      </w:r>
      <w:r w:rsidR="00F15765">
        <w:t>e levels too</w:t>
      </w:r>
      <w:r>
        <w:t>.</w:t>
      </w:r>
    </w:p>
    <w:p w:rsidR="0094111E" w:rsidRDefault="0094111E" w:rsidP="0094111E">
      <w:pPr>
        <w:spacing w:after="0"/>
      </w:pPr>
    </w:p>
    <w:p w:rsidR="0094111E" w:rsidRDefault="0094111E" w:rsidP="0094111E">
      <w:pPr>
        <w:spacing w:after="0"/>
      </w:pPr>
      <w:r w:rsidRPr="00AB175C">
        <w:rPr>
          <w:highlight w:val="yellow"/>
        </w:rPr>
        <w:t>Question</w:t>
      </w:r>
      <w:r>
        <w:t>:</w:t>
      </w:r>
      <w:r>
        <w:tab/>
        <w:t>How do you determine which goes in 30</w:t>
      </w:r>
      <w:r w:rsidR="003D4E88">
        <w:t>%</w:t>
      </w:r>
      <w:r>
        <w:t xml:space="preserve"> or 50% </w:t>
      </w:r>
      <w:r w:rsidR="00AB175C">
        <w:t xml:space="preserve">incentive level </w:t>
      </w:r>
      <w:r>
        <w:t>buckets?</w:t>
      </w:r>
    </w:p>
    <w:p w:rsidR="0094111E" w:rsidRDefault="0094111E" w:rsidP="0094111E">
      <w:pPr>
        <w:spacing w:after="0"/>
      </w:pPr>
      <w:r w:rsidRPr="00AB175C">
        <w:rPr>
          <w:highlight w:val="green"/>
        </w:rPr>
        <w:t>Answer</w:t>
      </w:r>
      <w:r>
        <w:t>:</w:t>
      </w:r>
      <w:r>
        <w:tab/>
        <w:t xml:space="preserve">The </w:t>
      </w:r>
      <w:r w:rsidR="003D4E88">
        <w:t>TEA-Pot</w:t>
      </w:r>
      <w:r>
        <w:t xml:space="preserve"> model calculates this, breaking down the customer benefit by climate zone.</w:t>
      </w:r>
    </w:p>
    <w:p w:rsidR="00AB175C" w:rsidRDefault="00AB175C" w:rsidP="0094111E">
      <w:pPr>
        <w:spacing w:after="0"/>
      </w:pPr>
    </w:p>
    <w:p w:rsidR="00AB175C" w:rsidRDefault="00AB175C" w:rsidP="0049381C">
      <w:pPr>
        <w:pStyle w:val="ListParagraph"/>
        <w:numPr>
          <w:ilvl w:val="0"/>
          <w:numId w:val="16"/>
        </w:numPr>
        <w:spacing w:after="0"/>
      </w:pPr>
      <w:r>
        <w:t>Monica mentioned these programs are cost effective on a portfolio level.</w:t>
      </w:r>
    </w:p>
    <w:p w:rsidR="00AB175C" w:rsidRDefault="00AB175C" w:rsidP="0094111E">
      <w:pPr>
        <w:spacing w:after="0"/>
      </w:pPr>
    </w:p>
    <w:p w:rsidR="00AB175C" w:rsidRDefault="00AB175C" w:rsidP="0094111E">
      <w:pPr>
        <w:spacing w:after="0"/>
      </w:pPr>
      <w:r w:rsidRPr="00C32198">
        <w:rPr>
          <w:highlight w:val="yellow"/>
        </w:rPr>
        <w:t>Question</w:t>
      </w:r>
      <w:r>
        <w:t>:</w:t>
      </w:r>
      <w:r w:rsidR="00C32198">
        <w:tab/>
        <w:t>What level is the Executive Summary going to?</w:t>
      </w:r>
    </w:p>
    <w:p w:rsidR="00C32198" w:rsidRDefault="00C32198" w:rsidP="0094111E">
      <w:pPr>
        <w:spacing w:after="0"/>
      </w:pPr>
      <w:r w:rsidRPr="00C32198">
        <w:rPr>
          <w:highlight w:val="green"/>
        </w:rPr>
        <w:t>Answer</w:t>
      </w:r>
      <w:r>
        <w:t>:</w:t>
      </w:r>
      <w:r>
        <w:tab/>
        <w:t>Climate Zone level</w:t>
      </w:r>
    </w:p>
    <w:p w:rsidR="00C32198" w:rsidRDefault="00C32198" w:rsidP="0094111E">
      <w:pPr>
        <w:spacing w:after="0"/>
      </w:pPr>
    </w:p>
    <w:p w:rsidR="00C32198" w:rsidRDefault="00C32198" w:rsidP="0094111E">
      <w:pPr>
        <w:spacing w:after="0"/>
      </w:pPr>
      <w:r w:rsidRPr="00C32198">
        <w:rPr>
          <w:highlight w:val="yellow"/>
        </w:rPr>
        <w:t>Question</w:t>
      </w:r>
      <w:r>
        <w:t>:</w:t>
      </w:r>
      <w:r>
        <w:tab/>
        <w:t>Are there any custom projects included?</w:t>
      </w:r>
    </w:p>
    <w:p w:rsidR="00C32198" w:rsidRDefault="00C32198" w:rsidP="0094111E">
      <w:pPr>
        <w:spacing w:after="0"/>
      </w:pPr>
      <w:r w:rsidRPr="00C32198">
        <w:rPr>
          <w:highlight w:val="green"/>
        </w:rPr>
        <w:t>Answer</w:t>
      </w:r>
      <w:r>
        <w:t>:</w:t>
      </w:r>
      <w:r>
        <w:tab/>
        <w:t>No, custom projects take about 2 years to complete</w:t>
      </w:r>
      <w:r w:rsidR="003D4E88">
        <w:t>, so</w:t>
      </w:r>
      <w:r>
        <w:t xml:space="preserve"> not included here.</w:t>
      </w:r>
    </w:p>
    <w:p w:rsidR="00CD5C69" w:rsidRDefault="00CD5C69" w:rsidP="0094111E">
      <w:pPr>
        <w:spacing w:after="0"/>
      </w:pPr>
    </w:p>
    <w:p w:rsidR="00C561AF" w:rsidRDefault="00CD5C69" w:rsidP="00CD5C69">
      <w:pPr>
        <w:spacing w:after="0"/>
      </w:pPr>
      <w:r>
        <w:t>There was a brief discussion of the Conservation Advisory Group.  Monica says they attend 4 times per year and talk about changes in programs, evaluation of financing options and any “issues” associated with programs.</w:t>
      </w:r>
    </w:p>
    <w:p w:rsidR="00EE3C14" w:rsidRPr="00EE3C14" w:rsidRDefault="00EE3C14" w:rsidP="00CD5C69">
      <w:pPr>
        <w:spacing w:after="0"/>
      </w:pPr>
    </w:p>
    <w:p w:rsidR="00CD5C69" w:rsidRDefault="00CD5C69" w:rsidP="00CD5C69">
      <w:pPr>
        <w:spacing w:after="0"/>
      </w:pPr>
      <w:r w:rsidRPr="009837CE">
        <w:rPr>
          <w:i/>
        </w:rPr>
        <w:t>Presentation #2</w:t>
      </w:r>
      <w:r>
        <w:t xml:space="preserve"> – Bruce Folsom</w:t>
      </w:r>
    </w:p>
    <w:p w:rsidR="00ED7943" w:rsidRPr="00EE3C14" w:rsidRDefault="00CD5C69" w:rsidP="00CD5C69">
      <w:pPr>
        <w:spacing w:after="0"/>
        <w:rPr>
          <w:b/>
        </w:rPr>
      </w:pPr>
      <w:r>
        <w:rPr>
          <w:b/>
        </w:rPr>
        <w:t>IRP Carbon Assumptions</w:t>
      </w:r>
    </w:p>
    <w:p w:rsidR="00ED7943" w:rsidRDefault="00ED7943" w:rsidP="00ED7943">
      <w:pPr>
        <w:spacing w:after="0"/>
        <w:rPr>
          <w:b/>
        </w:rPr>
      </w:pPr>
      <w:r>
        <w:rPr>
          <w:b/>
        </w:rPr>
        <w:t>Slide #33 – The National Focus</w:t>
      </w:r>
    </w:p>
    <w:p w:rsidR="002970FB" w:rsidRDefault="00ED7943" w:rsidP="0049381C">
      <w:pPr>
        <w:pStyle w:val="ListParagraph"/>
        <w:numPr>
          <w:ilvl w:val="0"/>
          <w:numId w:val="16"/>
        </w:numPr>
        <w:spacing w:after="0"/>
      </w:pPr>
      <w:r>
        <w:t xml:space="preserve">Bruce explains that the </w:t>
      </w:r>
      <w:r w:rsidR="002970FB">
        <w:t>Clean</w:t>
      </w:r>
      <w:r>
        <w:t xml:space="preserve"> Air Act, section 111(d) has changed the</w:t>
      </w:r>
      <w:r w:rsidR="002970FB">
        <w:t xml:space="preserve"> reduction of greenhouse gas emissions from power plants to 32% from 3</w:t>
      </w:r>
      <w:r w:rsidR="003D4E88">
        <w:t>0% by 2030. States can comply</w:t>
      </w:r>
      <w:r w:rsidR="002970FB">
        <w:t xml:space="preserve"> by rate or mass based reductions.</w:t>
      </w:r>
    </w:p>
    <w:p w:rsidR="00ED7943" w:rsidRDefault="002970FB" w:rsidP="0049381C">
      <w:pPr>
        <w:pStyle w:val="ListParagraph"/>
        <w:numPr>
          <w:ilvl w:val="0"/>
          <w:numId w:val="16"/>
        </w:numPr>
        <w:spacing w:after="0"/>
      </w:pPr>
      <w:r>
        <w:t>Regionally, the NWPPC released a CO</w:t>
      </w:r>
      <w:r w:rsidRPr="0049381C">
        <w:t xml:space="preserve">2 </w:t>
      </w:r>
      <w:r w:rsidRPr="002970FB">
        <w:t>discussion, analys</w:t>
      </w:r>
      <w:r>
        <w:t>is and scenarios in May of 2016 having to do with the electric industry.  Regionally, there is a proposed cap and trade program as well.</w:t>
      </w:r>
    </w:p>
    <w:p w:rsidR="00527E5E" w:rsidRDefault="002970FB" w:rsidP="0049381C">
      <w:pPr>
        <w:pStyle w:val="ListParagraph"/>
        <w:numPr>
          <w:ilvl w:val="0"/>
          <w:numId w:val="16"/>
        </w:numPr>
        <w:spacing w:after="0"/>
      </w:pPr>
      <w:r>
        <w:t>Washington State is very active as the governor has proposed carbon regulation.  All emitters are on a rolling baseline from which reductions n</w:t>
      </w:r>
      <w:r w:rsidR="005871E6">
        <w:t>eed to come.  Department of Ecolog</w:t>
      </w:r>
      <w:r>
        <w:t>y rules will probably be pulled into states’ implementation plans.</w:t>
      </w:r>
    </w:p>
    <w:p w:rsidR="00527E5E" w:rsidRDefault="00527E5E" w:rsidP="0049381C">
      <w:pPr>
        <w:pStyle w:val="ListParagraph"/>
        <w:numPr>
          <w:ilvl w:val="0"/>
          <w:numId w:val="16"/>
        </w:numPr>
        <w:spacing w:after="0"/>
      </w:pPr>
      <w:r>
        <w:t>Initiative 732 changes carbon taxes, but the labor and utilities groups are not supporting it.</w:t>
      </w:r>
    </w:p>
    <w:p w:rsidR="00527E5E" w:rsidRDefault="00527E5E" w:rsidP="0049381C">
      <w:pPr>
        <w:pStyle w:val="ListParagraph"/>
        <w:numPr>
          <w:ilvl w:val="0"/>
          <w:numId w:val="16"/>
        </w:numPr>
        <w:spacing w:after="0"/>
      </w:pPr>
      <w:r>
        <w:lastRenderedPageBreak/>
        <w:t>Environmental communities have an “initiative” in process.</w:t>
      </w:r>
    </w:p>
    <w:p w:rsidR="00527E5E" w:rsidRDefault="00527E5E" w:rsidP="0049381C">
      <w:pPr>
        <w:pStyle w:val="ListParagraph"/>
        <w:numPr>
          <w:ilvl w:val="0"/>
          <w:numId w:val="16"/>
        </w:numPr>
        <w:spacing w:after="0"/>
      </w:pPr>
      <w:r>
        <w:t xml:space="preserve">In Oregon there are a host of proposals for Legislature.  The electric industry is behind “Coal to Clean” law.  </w:t>
      </w:r>
      <w:r w:rsidR="00CB3A15">
        <w:t xml:space="preserve">Northwest </w:t>
      </w:r>
      <w:r w:rsidR="00B370D6">
        <w:t>NG</w:t>
      </w:r>
      <w:r w:rsidR="00CB3A15">
        <w:t xml:space="preserve"> carbon program has</w:t>
      </w:r>
      <w:r>
        <w:t xml:space="preserve"> an impact to CNG because of the fugitive methane pilot program.  It would be cost effective</w:t>
      </w:r>
      <w:r w:rsidR="003D4E88">
        <w:t xml:space="preserve"> for CNG to follow this program because</w:t>
      </w:r>
      <w:r>
        <w:t xml:space="preserve"> </w:t>
      </w:r>
      <w:r w:rsidR="003D4E88">
        <w:t>m</w:t>
      </w:r>
      <w:r w:rsidR="00A24CF8">
        <w:t xml:space="preserve">ethane may have a </w:t>
      </w:r>
      <w:r w:rsidR="0049381C">
        <w:t>high impact</w:t>
      </w:r>
      <w:r w:rsidR="00A24CF8">
        <w:t xml:space="preserve"> </w:t>
      </w:r>
      <w:r>
        <w:t xml:space="preserve">on </w:t>
      </w:r>
      <w:r w:rsidR="00CB3A15">
        <w:t>CO</w:t>
      </w:r>
      <w:r w:rsidR="00CB3A15" w:rsidRPr="0049381C">
        <w:rPr>
          <w:vertAlign w:val="subscript"/>
        </w:rPr>
        <w:t>2</w:t>
      </w:r>
      <w:r w:rsidR="00CB3A15">
        <w:t xml:space="preserve"> emissions</w:t>
      </w:r>
      <w:r>
        <w:t>.</w:t>
      </w:r>
    </w:p>
    <w:p w:rsidR="00CB3A15" w:rsidRDefault="00CB3A15" w:rsidP="00CD5C69">
      <w:pPr>
        <w:spacing w:after="0"/>
      </w:pPr>
    </w:p>
    <w:p w:rsidR="00476AEE" w:rsidRDefault="00CB3A15" w:rsidP="00CD5C69">
      <w:pPr>
        <w:spacing w:after="0"/>
        <w:rPr>
          <w:b/>
        </w:rPr>
      </w:pPr>
      <w:r w:rsidRPr="00CB3A15">
        <w:rPr>
          <w:b/>
        </w:rPr>
        <w:t>Slide #38 – Types of CO2 Adder Analyses</w:t>
      </w:r>
    </w:p>
    <w:p w:rsidR="00FF4378" w:rsidRDefault="00FF4378" w:rsidP="0049381C">
      <w:pPr>
        <w:pStyle w:val="ListParagraph"/>
        <w:numPr>
          <w:ilvl w:val="0"/>
          <w:numId w:val="16"/>
        </w:numPr>
        <w:spacing w:after="0"/>
      </w:pPr>
      <w:r>
        <w:t>The NWPPC summarizes 8 approaches.  There are 39 more additional methodologies and 4 additional scenarios, along with 4 sensitivity analyses.  The focus here is again on electricity.</w:t>
      </w:r>
    </w:p>
    <w:p w:rsidR="00FF4378" w:rsidRDefault="00FF4378" w:rsidP="0049381C">
      <w:pPr>
        <w:pStyle w:val="ListParagraph"/>
        <w:numPr>
          <w:ilvl w:val="0"/>
          <w:numId w:val="16"/>
        </w:numPr>
        <w:spacing w:after="0"/>
      </w:pPr>
      <w:r>
        <w:t>There was a brief discussion of the Sna</w:t>
      </w:r>
      <w:r w:rsidR="002D39BE">
        <w:t>ke River Dams proposed removal.</w:t>
      </w:r>
    </w:p>
    <w:p w:rsidR="00FF4378" w:rsidRDefault="00FF4378" w:rsidP="0049381C">
      <w:pPr>
        <w:pStyle w:val="ListParagraph"/>
        <w:spacing w:after="0"/>
      </w:pPr>
    </w:p>
    <w:p w:rsidR="00FF4378" w:rsidRDefault="00FF4378" w:rsidP="00FF4378">
      <w:pPr>
        <w:spacing w:after="0"/>
        <w:rPr>
          <w:b/>
        </w:rPr>
      </w:pPr>
      <w:r>
        <w:rPr>
          <w:b/>
        </w:rPr>
        <w:t>Slide #40</w:t>
      </w:r>
      <w:r w:rsidRPr="00CB3A15">
        <w:rPr>
          <w:b/>
        </w:rPr>
        <w:t xml:space="preserve"> –</w:t>
      </w:r>
      <w:r>
        <w:rPr>
          <w:b/>
        </w:rPr>
        <w:t xml:space="preserve"> Fugitive Methane Emissions</w:t>
      </w:r>
    </w:p>
    <w:p w:rsidR="00FF4A02" w:rsidRDefault="00FF4378" w:rsidP="00FF4378">
      <w:pPr>
        <w:pStyle w:val="ListParagraph"/>
        <w:numPr>
          <w:ilvl w:val="0"/>
          <w:numId w:val="16"/>
        </w:numPr>
        <w:spacing w:after="0"/>
      </w:pPr>
      <w:r>
        <w:t>Initially, studies show this could be as much as 10% but concluded with only 1% impact.   The council discussed this</w:t>
      </w:r>
      <w:r w:rsidR="00FF4A02">
        <w:t xml:space="preserve"> and there is a great deal of uncertainty as to whether it, compared to CO2 is under or over stated.  The Natural Gas</w:t>
      </w:r>
      <w:r w:rsidR="00B370D6">
        <w:t xml:space="preserve"> (NG)</w:t>
      </w:r>
      <w:r w:rsidR="00FF4A02">
        <w:t xml:space="preserve"> industry is focused on R&amp;D.  Bruce stated the </w:t>
      </w:r>
      <w:r w:rsidR="00B370D6">
        <w:t>NG</w:t>
      </w:r>
      <w:r w:rsidR="00FF4A02">
        <w:t xml:space="preserve"> industry is ahead of the Electric industry on this matter!</w:t>
      </w:r>
    </w:p>
    <w:p w:rsidR="004F3A50" w:rsidRDefault="00FF4A02" w:rsidP="002D39BE">
      <w:pPr>
        <w:pStyle w:val="ListParagraph"/>
        <w:numPr>
          <w:ilvl w:val="0"/>
          <w:numId w:val="16"/>
        </w:numPr>
        <w:spacing w:after="0"/>
      </w:pPr>
      <w:r>
        <w:t>Mike Parvinen stated that CNG is around 1%, but that the East Coast runs higher.</w:t>
      </w:r>
    </w:p>
    <w:p w:rsidR="004F3A50" w:rsidRDefault="004F3A50" w:rsidP="00910E15">
      <w:pPr>
        <w:pStyle w:val="ListParagraph"/>
        <w:numPr>
          <w:ilvl w:val="0"/>
          <w:numId w:val="16"/>
        </w:numPr>
        <w:spacing w:after="0"/>
      </w:pPr>
      <w:r>
        <w:t>CNG is currently engaged in conservation</w:t>
      </w:r>
      <w:r w:rsidR="00656AFA">
        <w:t xml:space="preserve"> &amp; energy efficiency programs that save customers $ and reduce emissions.  The more an LDC pushes gas, the better!  </w:t>
      </w:r>
    </w:p>
    <w:p w:rsidR="004F3A50" w:rsidRDefault="004F3A50" w:rsidP="004F3A50">
      <w:pPr>
        <w:spacing w:after="0"/>
        <w:ind w:left="1440" w:hanging="1440"/>
      </w:pPr>
    </w:p>
    <w:p w:rsidR="00656AFA" w:rsidRDefault="00656AFA" w:rsidP="00656AFA">
      <w:pPr>
        <w:spacing w:after="0"/>
        <w:rPr>
          <w:b/>
        </w:rPr>
      </w:pPr>
      <w:r>
        <w:rPr>
          <w:b/>
        </w:rPr>
        <w:t>Slide #43</w:t>
      </w:r>
      <w:r w:rsidRPr="00CB3A15">
        <w:rPr>
          <w:b/>
        </w:rPr>
        <w:t xml:space="preserve"> –</w:t>
      </w:r>
      <w:r>
        <w:rPr>
          <w:b/>
        </w:rPr>
        <w:t xml:space="preserve"> Proposed Direction</w:t>
      </w:r>
    </w:p>
    <w:p w:rsidR="00910E15" w:rsidRDefault="00656AFA" w:rsidP="00910E15">
      <w:pPr>
        <w:spacing w:after="0"/>
      </w:pPr>
      <w:r>
        <w:t>There was some d</w:t>
      </w:r>
      <w:r w:rsidR="00B370D6">
        <w:t>iscussion regarding NG</w:t>
      </w:r>
      <w:r w:rsidR="00434208">
        <w:t xml:space="preserve"> </w:t>
      </w:r>
      <w:r>
        <w:t>being</w:t>
      </w:r>
      <w:r w:rsidR="00910E15">
        <w:t xml:space="preserve"> considered</w:t>
      </w:r>
      <w:r>
        <w:t xml:space="preserve"> a monopoly. </w:t>
      </w:r>
    </w:p>
    <w:p w:rsidR="00910E15" w:rsidRDefault="00910E15" w:rsidP="00910E15">
      <w:pPr>
        <w:spacing w:after="0"/>
      </w:pPr>
    </w:p>
    <w:p w:rsidR="00434208" w:rsidRDefault="00656AFA" w:rsidP="00910E15">
      <w:pPr>
        <w:pStyle w:val="ListParagraph"/>
        <w:numPr>
          <w:ilvl w:val="0"/>
          <w:numId w:val="16"/>
        </w:numPr>
        <w:spacing w:after="0"/>
      </w:pPr>
      <w:r>
        <w:t>Mike Parvinen pointed out that when you advertise and com</w:t>
      </w:r>
      <w:r w:rsidR="00434208">
        <w:t>pare electricity to gas you get</w:t>
      </w:r>
      <w:r>
        <w:t xml:space="preserve"> the option to choose gas over electricity…and since electricity is already there we do compete and </w:t>
      </w:r>
      <w:r w:rsidR="00434208">
        <w:t>NG</w:t>
      </w:r>
      <w:r>
        <w:t xml:space="preserve"> is the “alternative choice”. </w:t>
      </w:r>
    </w:p>
    <w:p w:rsidR="00434208" w:rsidRDefault="00434208" w:rsidP="00910E15">
      <w:pPr>
        <w:pStyle w:val="ListParagraph"/>
        <w:numPr>
          <w:ilvl w:val="0"/>
          <w:numId w:val="16"/>
        </w:numPr>
        <w:spacing w:after="0"/>
      </w:pPr>
      <w:r>
        <w:t>Ed Finklea from the phone said that if you incentivize users to get NG then</w:t>
      </w:r>
      <w:r w:rsidR="00CD6359">
        <w:t xml:space="preserve"> </w:t>
      </w:r>
      <w:r w:rsidR="00B370D6">
        <w:t>are penalized for emissions is an</w:t>
      </w:r>
      <w:r>
        <w:t xml:space="preserve"> “unintended consequence” of encouraging NG use!  This is counterintuitive… to penalize fossil fuels no matter how efficiently they are used!</w:t>
      </w:r>
    </w:p>
    <w:p w:rsidR="0062101F" w:rsidRDefault="0062101F" w:rsidP="00434208">
      <w:pPr>
        <w:spacing w:after="0"/>
      </w:pPr>
    </w:p>
    <w:p w:rsidR="0062101F" w:rsidRDefault="0062101F" w:rsidP="00434208">
      <w:pPr>
        <w:spacing w:after="0"/>
      </w:pPr>
      <w:r w:rsidRPr="0062101F">
        <w:rPr>
          <w:highlight w:val="yellow"/>
        </w:rPr>
        <w:t>Question</w:t>
      </w:r>
      <w:r>
        <w:t>:</w:t>
      </w:r>
      <w:r>
        <w:tab/>
        <w:t>What is the metering accuracy requirement?</w:t>
      </w:r>
    </w:p>
    <w:p w:rsidR="0062101F" w:rsidRDefault="0062101F" w:rsidP="00434208">
      <w:pPr>
        <w:spacing w:after="0"/>
      </w:pPr>
      <w:r w:rsidRPr="0062101F">
        <w:rPr>
          <w:highlight w:val="green"/>
        </w:rPr>
        <w:t>Answer</w:t>
      </w:r>
      <w:r>
        <w:t>:</w:t>
      </w:r>
      <w:r>
        <w:tab/>
        <w:t xml:space="preserve">Accuracy requirement is </w:t>
      </w:r>
      <w:r w:rsidR="00F95732">
        <w:t>+</w:t>
      </w:r>
      <w:r>
        <w:t>-2%</w:t>
      </w:r>
    </w:p>
    <w:p w:rsidR="0062101F" w:rsidRDefault="0062101F" w:rsidP="00434208">
      <w:pPr>
        <w:spacing w:after="0"/>
      </w:pPr>
    </w:p>
    <w:p w:rsidR="00521698" w:rsidRDefault="00521698" w:rsidP="00521698">
      <w:pPr>
        <w:spacing w:after="0"/>
      </w:pPr>
      <w:r w:rsidRPr="009837CE">
        <w:rPr>
          <w:i/>
        </w:rPr>
        <w:t>Presentation #3</w:t>
      </w:r>
      <w:r>
        <w:t xml:space="preserve"> – Mark Sellers-Vaughn</w:t>
      </w:r>
    </w:p>
    <w:p w:rsidR="00521698" w:rsidRPr="00521698" w:rsidRDefault="00521698" w:rsidP="00521698">
      <w:pPr>
        <w:spacing w:after="0"/>
        <w:rPr>
          <w:b/>
        </w:rPr>
      </w:pPr>
      <w:r w:rsidRPr="00521698">
        <w:rPr>
          <w:b/>
        </w:rPr>
        <w:t>Market Outlook and Long Range Price Forecast</w:t>
      </w:r>
    </w:p>
    <w:p w:rsidR="00521698" w:rsidRDefault="00521698" w:rsidP="00521698">
      <w:pPr>
        <w:spacing w:after="0"/>
      </w:pPr>
    </w:p>
    <w:p w:rsidR="00EE27A3" w:rsidRDefault="00EE27A3" w:rsidP="00521698">
      <w:pPr>
        <w:spacing w:after="0"/>
        <w:rPr>
          <w:b/>
        </w:rPr>
      </w:pPr>
      <w:r w:rsidRPr="00EE27A3">
        <w:rPr>
          <w:b/>
        </w:rPr>
        <w:t>Slide #47 - Market Outlook</w:t>
      </w:r>
    </w:p>
    <w:p w:rsidR="00EE27A3" w:rsidRDefault="00EE27A3" w:rsidP="00521F22">
      <w:pPr>
        <w:pStyle w:val="ListParagraph"/>
        <w:numPr>
          <w:ilvl w:val="0"/>
          <w:numId w:val="16"/>
        </w:numPr>
        <w:spacing w:after="0"/>
      </w:pPr>
      <w:r>
        <w:t>Mark stated that the US Economy is “sluggish” right now!</w:t>
      </w:r>
    </w:p>
    <w:p w:rsidR="00EE27A3" w:rsidRDefault="00EE27A3" w:rsidP="00521F22">
      <w:pPr>
        <w:pStyle w:val="ListParagraph"/>
        <w:numPr>
          <w:ilvl w:val="0"/>
          <w:numId w:val="16"/>
        </w:numPr>
        <w:spacing w:after="0"/>
      </w:pPr>
      <w:r>
        <w:t>54% capacity in Washington and 44% in Oregon</w:t>
      </w:r>
    </w:p>
    <w:p w:rsidR="00EE27A3" w:rsidRDefault="0005067B" w:rsidP="0005067B">
      <w:pPr>
        <w:pStyle w:val="ListParagraph"/>
        <w:numPr>
          <w:ilvl w:val="0"/>
          <w:numId w:val="16"/>
        </w:numPr>
      </w:pPr>
      <w:r>
        <w:t>CO</w:t>
      </w:r>
      <w:r w:rsidRPr="0005067B">
        <w:rPr>
          <w:vertAlign w:val="subscript"/>
        </w:rPr>
        <w:t>2</w:t>
      </w:r>
      <w:r w:rsidR="00EE27A3">
        <w:t xml:space="preserve"> emissions are an issue – the impact is higher gas costs.</w:t>
      </w:r>
    </w:p>
    <w:p w:rsidR="00EE27A3" w:rsidRDefault="00EE27A3" w:rsidP="00521F22">
      <w:pPr>
        <w:pStyle w:val="ListParagraph"/>
        <w:numPr>
          <w:ilvl w:val="0"/>
          <w:numId w:val="16"/>
        </w:numPr>
        <w:spacing w:after="0"/>
      </w:pPr>
      <w:r>
        <w:t>Storage is high, above the 5 year average!</w:t>
      </w:r>
    </w:p>
    <w:p w:rsidR="00EE27A3" w:rsidRDefault="00EE27A3" w:rsidP="00521698">
      <w:pPr>
        <w:spacing w:after="0"/>
      </w:pPr>
    </w:p>
    <w:p w:rsidR="00EE27A3" w:rsidRPr="00EE3C14" w:rsidRDefault="00EE27A3" w:rsidP="00521698">
      <w:pPr>
        <w:spacing w:after="0"/>
        <w:rPr>
          <w:b/>
        </w:rPr>
      </w:pPr>
      <w:r w:rsidRPr="00EE27A3">
        <w:rPr>
          <w:b/>
        </w:rPr>
        <w:t>Slide #48 – Long Range Forecast</w:t>
      </w:r>
    </w:p>
    <w:p w:rsidR="00EE27A3" w:rsidRDefault="003434E1" w:rsidP="00392198">
      <w:pPr>
        <w:pStyle w:val="ListParagraph"/>
        <w:numPr>
          <w:ilvl w:val="0"/>
          <w:numId w:val="16"/>
        </w:numPr>
        <w:spacing w:after="0"/>
      </w:pPr>
      <w:r>
        <w:t>This forecast ble</w:t>
      </w:r>
      <w:r w:rsidR="008274D6">
        <w:t>nds current market prices with long-</w:t>
      </w:r>
      <w:r>
        <w:t>term fundamental prices.</w:t>
      </w:r>
    </w:p>
    <w:p w:rsidR="003434E1" w:rsidRDefault="003434E1" w:rsidP="00392198">
      <w:pPr>
        <w:pStyle w:val="ListParagraph"/>
        <w:numPr>
          <w:ilvl w:val="0"/>
          <w:numId w:val="16"/>
        </w:numPr>
        <w:spacing w:after="0"/>
      </w:pPr>
      <w:r>
        <w:t>This forecast uses resources</w:t>
      </w:r>
      <w:r w:rsidR="009A7172">
        <w:t xml:space="preserve"> from Wood</w:t>
      </w:r>
      <w:r w:rsidR="008274D6">
        <w:t xml:space="preserve"> </w:t>
      </w:r>
      <w:r w:rsidR="009A7172">
        <w:t>Mac, NWPPC, EIA, Bentek</w:t>
      </w:r>
      <w:r>
        <w:t>,</w:t>
      </w:r>
      <w:r w:rsidR="009A7172">
        <w:t xml:space="preserve"> FF Center, and</w:t>
      </w:r>
      <w:r>
        <w:t xml:space="preserve"> various market reports from s</w:t>
      </w:r>
      <w:r w:rsidR="009A7172">
        <w:t>uppliers (TD, BP, Powerex)</w:t>
      </w:r>
      <w:r w:rsidR="008274D6">
        <w:t>.</w:t>
      </w:r>
    </w:p>
    <w:p w:rsidR="00975EAD" w:rsidRDefault="00975EAD" w:rsidP="00975EAD">
      <w:pPr>
        <w:spacing w:after="0"/>
        <w:rPr>
          <w:b/>
        </w:rPr>
      </w:pPr>
    </w:p>
    <w:p w:rsidR="00975EAD" w:rsidRDefault="00975EAD" w:rsidP="00975EAD">
      <w:pPr>
        <w:spacing w:after="0"/>
        <w:rPr>
          <w:b/>
        </w:rPr>
      </w:pPr>
      <w:r>
        <w:rPr>
          <w:b/>
        </w:rPr>
        <w:t>Slide #53 – Long Range Price Forecast</w:t>
      </w:r>
    </w:p>
    <w:p w:rsidR="0016299D" w:rsidRPr="00F95732" w:rsidRDefault="00975EAD" w:rsidP="00975EAD">
      <w:pPr>
        <w:pStyle w:val="ListParagraph"/>
        <w:numPr>
          <w:ilvl w:val="0"/>
          <w:numId w:val="16"/>
        </w:numPr>
        <w:spacing w:after="0"/>
        <w:rPr>
          <w:b/>
        </w:rPr>
      </w:pPr>
      <w:r>
        <w:t>The long ran</w:t>
      </w:r>
      <w:r w:rsidR="00C65C0D">
        <w:t>ge price forecast includes a 20-</w:t>
      </w:r>
      <w:r>
        <w:t>year planning horizon, prices</w:t>
      </w:r>
      <w:r w:rsidR="0017071C">
        <w:t xml:space="preserve"> look</w:t>
      </w:r>
      <w:r>
        <w:t xml:space="preserve"> reasonable!</w:t>
      </w:r>
    </w:p>
    <w:p w:rsidR="00151BD1" w:rsidRDefault="00151BD1" w:rsidP="00463F3B">
      <w:pPr>
        <w:pStyle w:val="ListParagraph"/>
        <w:numPr>
          <w:ilvl w:val="0"/>
          <w:numId w:val="16"/>
        </w:numPr>
        <w:spacing w:after="0"/>
      </w:pPr>
      <w:r>
        <w:t>Mike Parvinen added to the conversation saying 2037 is a realistic price, inflation puts it higher and any event could change the price.</w:t>
      </w:r>
    </w:p>
    <w:p w:rsidR="00463F3B" w:rsidRDefault="00151BD1" w:rsidP="00F95732">
      <w:pPr>
        <w:pStyle w:val="ListParagraph"/>
        <w:numPr>
          <w:ilvl w:val="0"/>
          <w:numId w:val="16"/>
        </w:numPr>
        <w:spacing w:after="0"/>
      </w:pPr>
      <w:r>
        <w:lastRenderedPageBreak/>
        <w:t>Mark said that they anticipate demographic increases but we ar</w:t>
      </w:r>
      <w:r w:rsidR="00463F3B">
        <w:t>e already over-supplied.  We use</w:t>
      </w:r>
      <w:r>
        <w:t xml:space="preserve"> a conservative approach</w:t>
      </w:r>
      <w:r w:rsidR="00463F3B">
        <w:t>!</w:t>
      </w:r>
    </w:p>
    <w:p w:rsidR="00463F3B" w:rsidRPr="00975EAD" w:rsidRDefault="00463F3B" w:rsidP="004656F4">
      <w:pPr>
        <w:spacing w:after="0"/>
        <w:ind w:left="1440" w:hanging="1440"/>
      </w:pPr>
    </w:p>
    <w:p w:rsidR="00402894" w:rsidRDefault="00A13AEE" w:rsidP="00402894">
      <w:pPr>
        <w:spacing w:after="0"/>
      </w:pPr>
      <w:r>
        <w:rPr>
          <w:i/>
        </w:rPr>
        <w:t>Presentation #4</w:t>
      </w:r>
      <w:r w:rsidR="00402894">
        <w:t xml:space="preserve"> – Bruce Folsom</w:t>
      </w:r>
    </w:p>
    <w:p w:rsidR="00402894" w:rsidRDefault="00402894" w:rsidP="00402894">
      <w:pPr>
        <w:spacing w:after="0"/>
        <w:rPr>
          <w:b/>
        </w:rPr>
      </w:pPr>
      <w:r>
        <w:rPr>
          <w:b/>
        </w:rPr>
        <w:t>Price Elasticity Overview</w:t>
      </w:r>
    </w:p>
    <w:p w:rsidR="00402894" w:rsidRDefault="00402894" w:rsidP="00402894">
      <w:pPr>
        <w:spacing w:after="0"/>
        <w:rPr>
          <w:b/>
        </w:rPr>
      </w:pPr>
    </w:p>
    <w:p w:rsidR="00402894" w:rsidRPr="00EE3C14" w:rsidRDefault="00402894" w:rsidP="00402894">
      <w:pPr>
        <w:spacing w:after="0"/>
        <w:rPr>
          <w:b/>
        </w:rPr>
      </w:pPr>
      <w:r>
        <w:rPr>
          <w:b/>
        </w:rPr>
        <w:t>Slide #56 – Piece Elasticity – Context and Import</w:t>
      </w:r>
    </w:p>
    <w:p w:rsidR="00402894" w:rsidRDefault="00402894" w:rsidP="00402894">
      <w:pPr>
        <w:spacing w:after="0"/>
      </w:pPr>
      <w:r w:rsidRPr="008226A2">
        <w:rPr>
          <w:u w:val="single"/>
        </w:rPr>
        <w:t>Bruce explains that there are 3 take aways from today’s presentation as follows</w:t>
      </w:r>
      <w:r>
        <w:t>:</w:t>
      </w:r>
    </w:p>
    <w:p w:rsidR="00402894" w:rsidRDefault="00402894" w:rsidP="00402894">
      <w:pPr>
        <w:pStyle w:val="ListParagraph"/>
        <w:numPr>
          <w:ilvl w:val="0"/>
          <w:numId w:val="17"/>
        </w:numPr>
        <w:spacing w:after="0"/>
      </w:pPr>
      <w:r>
        <w:t>Price Elasticity is important!</w:t>
      </w:r>
    </w:p>
    <w:p w:rsidR="00402894" w:rsidRDefault="00402894" w:rsidP="00402894">
      <w:pPr>
        <w:pStyle w:val="ListParagraph"/>
        <w:numPr>
          <w:ilvl w:val="0"/>
          <w:numId w:val="17"/>
        </w:numPr>
        <w:spacing w:after="0"/>
      </w:pPr>
      <w:r>
        <w:t>Precision in our industry is difficult to come by!</w:t>
      </w:r>
    </w:p>
    <w:p w:rsidR="008226A2" w:rsidRDefault="008226A2" w:rsidP="008226A2">
      <w:pPr>
        <w:spacing w:after="0"/>
      </w:pPr>
    </w:p>
    <w:p w:rsidR="008226A2" w:rsidRDefault="008226A2" w:rsidP="008226A2">
      <w:pPr>
        <w:spacing w:after="0"/>
        <w:rPr>
          <w:b/>
        </w:rPr>
      </w:pPr>
      <w:r>
        <w:rPr>
          <w:b/>
        </w:rPr>
        <w:t>Slide #58 – Factors Affecting Price Elasticity</w:t>
      </w:r>
    </w:p>
    <w:p w:rsidR="008226A2" w:rsidRDefault="008226A2" w:rsidP="008226A2">
      <w:pPr>
        <w:pStyle w:val="ListParagraph"/>
        <w:numPr>
          <w:ilvl w:val="0"/>
          <w:numId w:val="16"/>
        </w:numPr>
        <w:spacing w:after="0"/>
      </w:pPr>
      <w:r>
        <w:t>Customer usage varies</w:t>
      </w:r>
      <w:r w:rsidR="00EB0A4B">
        <w:t xml:space="preserve">! </w:t>
      </w:r>
      <w:r>
        <w:t>If conservative usag</w:t>
      </w:r>
      <w:r w:rsidR="00C64D0D">
        <w:t xml:space="preserve">e then less input = </w:t>
      </w:r>
      <w:r w:rsidR="00EB0A4B">
        <w:t>useful output.</w:t>
      </w:r>
    </w:p>
    <w:p w:rsidR="00EB0A4B" w:rsidRDefault="00EB0A4B" w:rsidP="008226A2">
      <w:pPr>
        <w:pStyle w:val="ListParagraph"/>
        <w:numPr>
          <w:ilvl w:val="0"/>
          <w:numId w:val="16"/>
        </w:numPr>
        <w:spacing w:after="0"/>
      </w:pPr>
      <w:r>
        <w:t>Customers may not know the pricing outlook…i.e. confusing signals</w:t>
      </w:r>
      <w:r w:rsidR="00EC06D0">
        <w:t>!</w:t>
      </w:r>
    </w:p>
    <w:p w:rsidR="00EB0A4B" w:rsidRDefault="00EB0A4B" w:rsidP="008226A2">
      <w:pPr>
        <w:pStyle w:val="ListParagraph"/>
        <w:numPr>
          <w:ilvl w:val="0"/>
          <w:numId w:val="16"/>
        </w:numPr>
        <w:spacing w:after="0"/>
      </w:pPr>
      <w:r>
        <w:t>Levelized billing</w:t>
      </w:r>
    </w:p>
    <w:p w:rsidR="00EB0A4B" w:rsidRDefault="00EB0A4B" w:rsidP="008226A2">
      <w:pPr>
        <w:pStyle w:val="ListParagraph"/>
        <w:numPr>
          <w:ilvl w:val="0"/>
          <w:numId w:val="16"/>
        </w:numPr>
        <w:spacing w:after="0"/>
      </w:pPr>
      <w:r>
        <w:t>Economic changes</w:t>
      </w:r>
    </w:p>
    <w:p w:rsidR="00EB0A4B" w:rsidRDefault="00EB0A4B" w:rsidP="008226A2">
      <w:pPr>
        <w:pStyle w:val="ListParagraph"/>
        <w:numPr>
          <w:ilvl w:val="0"/>
          <w:numId w:val="16"/>
        </w:numPr>
        <w:spacing w:after="0"/>
      </w:pPr>
      <w:r>
        <w:t>Building codes</w:t>
      </w:r>
    </w:p>
    <w:p w:rsidR="00EB0A4B" w:rsidRDefault="00EB0A4B" w:rsidP="008226A2">
      <w:pPr>
        <w:pStyle w:val="ListParagraph"/>
        <w:numPr>
          <w:ilvl w:val="0"/>
          <w:numId w:val="16"/>
        </w:numPr>
        <w:spacing w:after="0"/>
      </w:pPr>
      <w:r>
        <w:t>Technology</w:t>
      </w:r>
    </w:p>
    <w:p w:rsidR="00EB0A4B" w:rsidRDefault="00EB0A4B" w:rsidP="008226A2">
      <w:pPr>
        <w:pStyle w:val="ListParagraph"/>
        <w:numPr>
          <w:ilvl w:val="0"/>
          <w:numId w:val="16"/>
        </w:numPr>
        <w:spacing w:after="0"/>
      </w:pPr>
      <w:r>
        <w:t>Customer spending habits</w:t>
      </w:r>
    </w:p>
    <w:p w:rsidR="00EB0A4B" w:rsidRDefault="00EB0A4B" w:rsidP="008226A2">
      <w:pPr>
        <w:pStyle w:val="ListParagraph"/>
        <w:numPr>
          <w:ilvl w:val="0"/>
          <w:numId w:val="16"/>
        </w:numPr>
        <w:spacing w:after="0"/>
      </w:pPr>
      <w:r>
        <w:t>Fracking</w:t>
      </w:r>
    </w:p>
    <w:p w:rsidR="00EB0A4B" w:rsidRDefault="00EB0A4B" w:rsidP="008226A2">
      <w:pPr>
        <w:pStyle w:val="ListParagraph"/>
        <w:numPr>
          <w:ilvl w:val="0"/>
          <w:numId w:val="16"/>
        </w:numPr>
        <w:spacing w:after="0"/>
      </w:pPr>
      <w:r>
        <w:t xml:space="preserve">Spark/spread – now moves in tandem </w:t>
      </w:r>
    </w:p>
    <w:p w:rsidR="00EB0A4B" w:rsidRDefault="00EB0A4B" w:rsidP="00EB0A4B">
      <w:pPr>
        <w:spacing w:after="0"/>
      </w:pPr>
    </w:p>
    <w:p w:rsidR="00EB0A4B" w:rsidRDefault="00EB0A4B" w:rsidP="00EB0A4B">
      <w:pPr>
        <w:spacing w:after="0"/>
        <w:ind w:left="1440" w:hanging="1440"/>
      </w:pPr>
      <w:r w:rsidRPr="00EB0A4B">
        <w:rPr>
          <w:highlight w:val="yellow"/>
        </w:rPr>
        <w:t>Question</w:t>
      </w:r>
      <w:r w:rsidR="00EC06D0" w:rsidRPr="00EC06D0">
        <w:rPr>
          <w:highlight w:val="yellow"/>
        </w:rPr>
        <w:t>s</w:t>
      </w:r>
      <w:r>
        <w:t>:</w:t>
      </w:r>
      <w:r>
        <w:tab/>
        <w:t>Is there any evidence in the last 5 years of consumer responsibility for the dramatic decrease in prices?</w:t>
      </w:r>
      <w:r w:rsidR="00DF7DA0">
        <w:t xml:space="preserve">  Is it the same on the industrial side?  Are you distinguishing between </w:t>
      </w:r>
      <w:r w:rsidR="00D50F3E">
        <w:t>CORE</w:t>
      </w:r>
      <w:r w:rsidR="00DF7DA0">
        <w:t xml:space="preserve"> or Large Volume users?</w:t>
      </w:r>
    </w:p>
    <w:p w:rsidR="009936BB" w:rsidRDefault="00EC06D0" w:rsidP="00EB0A4B">
      <w:pPr>
        <w:spacing w:after="0"/>
        <w:ind w:left="1440" w:hanging="1440"/>
      </w:pPr>
      <w:r>
        <w:rPr>
          <w:highlight w:val="green"/>
        </w:rPr>
        <w:t>Answe</w:t>
      </w:r>
      <w:r w:rsidRPr="00EC06D0">
        <w:rPr>
          <w:highlight w:val="green"/>
        </w:rPr>
        <w:t>rs</w:t>
      </w:r>
      <w:r w:rsidR="009936BB">
        <w:t>:</w:t>
      </w:r>
      <w:r w:rsidR="009936BB">
        <w:tab/>
      </w:r>
      <w:r w:rsidR="00680E16">
        <w:t>Ironically, there is lower usage throughout the industry</w:t>
      </w:r>
      <w:r w:rsidR="00DF7DA0">
        <w:t xml:space="preserve">.  Fuel switching could have impact.  Not distinguishing between </w:t>
      </w:r>
      <w:r w:rsidR="00D50F3E">
        <w:t>CORE</w:t>
      </w:r>
      <w:r w:rsidR="00DF7DA0">
        <w:t xml:space="preserve"> and large volume users.</w:t>
      </w:r>
    </w:p>
    <w:p w:rsidR="00DF7DA0" w:rsidRDefault="00DF7DA0" w:rsidP="00EB0A4B">
      <w:pPr>
        <w:spacing w:after="0"/>
        <w:ind w:left="1440" w:hanging="1440"/>
      </w:pPr>
    </w:p>
    <w:p w:rsidR="005F5634" w:rsidRDefault="00DF7DA0" w:rsidP="00EE3C14">
      <w:pPr>
        <w:spacing w:after="0"/>
        <w:ind w:left="1440" w:hanging="1440"/>
        <w:rPr>
          <w:b/>
        </w:rPr>
      </w:pPr>
      <w:r w:rsidRPr="00DF7DA0">
        <w:rPr>
          <w:b/>
        </w:rPr>
        <w:t xml:space="preserve">Slide #61 – Other </w:t>
      </w:r>
      <w:r w:rsidR="005F5634">
        <w:rPr>
          <w:b/>
        </w:rPr>
        <w:t>Factors</w:t>
      </w:r>
    </w:p>
    <w:p w:rsidR="005F5634" w:rsidRDefault="005F5634" w:rsidP="005F5634">
      <w:pPr>
        <w:pStyle w:val="ListParagraph"/>
        <w:numPr>
          <w:ilvl w:val="0"/>
          <w:numId w:val="16"/>
        </w:numPr>
        <w:spacing w:after="0"/>
      </w:pPr>
      <w:r>
        <w:t xml:space="preserve">Bruce states that there hasn’t been a lot of academic work on this.  </w:t>
      </w:r>
      <w:r w:rsidR="00791DE1">
        <w:t>A utility can run many studies, but at what cost?</w:t>
      </w:r>
      <w:r w:rsidR="00D50F3E">
        <w:t>?</w:t>
      </w:r>
    </w:p>
    <w:p w:rsidR="00F0216E" w:rsidRPr="00F0216E" w:rsidRDefault="00791DE1" w:rsidP="00F95732">
      <w:pPr>
        <w:pStyle w:val="ListParagraph"/>
        <w:numPr>
          <w:ilvl w:val="0"/>
          <w:numId w:val="16"/>
        </w:numPr>
        <w:spacing w:after="0"/>
      </w:pPr>
      <w:r>
        <w:t>David Nightingale adds that the customer may not act rationally!</w:t>
      </w:r>
    </w:p>
    <w:p w:rsidR="00D50F3E" w:rsidRDefault="00D50F3E" w:rsidP="00791DE1">
      <w:pPr>
        <w:spacing w:after="0"/>
        <w:ind w:left="1440" w:hanging="1440"/>
        <w:rPr>
          <w:b/>
        </w:rPr>
      </w:pPr>
    </w:p>
    <w:p w:rsidR="006D19FB" w:rsidRDefault="006D19FB" w:rsidP="00EE3C14">
      <w:pPr>
        <w:spacing w:after="0"/>
        <w:ind w:left="1440" w:hanging="1440"/>
        <w:rPr>
          <w:b/>
        </w:rPr>
      </w:pPr>
      <w:r w:rsidRPr="006D19FB">
        <w:rPr>
          <w:b/>
        </w:rPr>
        <w:t>Slide #63 – Price Elasticity – Conclusion</w:t>
      </w:r>
    </w:p>
    <w:p w:rsidR="006D19FB" w:rsidRDefault="006D19FB" w:rsidP="006D19FB">
      <w:pPr>
        <w:pStyle w:val="ListParagraph"/>
        <w:numPr>
          <w:ilvl w:val="0"/>
          <w:numId w:val="16"/>
        </w:numPr>
        <w:spacing w:after="0"/>
      </w:pPr>
      <w:r>
        <w:t>Many complicating factor</w:t>
      </w:r>
      <w:r w:rsidR="00D50F3E">
        <w:t>s!</w:t>
      </w:r>
    </w:p>
    <w:p w:rsidR="006D19FB" w:rsidRDefault="006D19FB" w:rsidP="006D19FB">
      <w:pPr>
        <w:pStyle w:val="ListParagraph"/>
        <w:numPr>
          <w:ilvl w:val="0"/>
          <w:numId w:val="16"/>
        </w:numPr>
        <w:spacing w:after="0"/>
      </w:pPr>
      <w:r>
        <w:t>Customers can use alternative fuels such as propane, firewood, electricity</w:t>
      </w:r>
    </w:p>
    <w:p w:rsidR="006D19FB" w:rsidRDefault="006D19FB" w:rsidP="006D19FB">
      <w:pPr>
        <w:spacing w:after="0"/>
      </w:pPr>
    </w:p>
    <w:p w:rsidR="00AA0191" w:rsidRDefault="00AA0191" w:rsidP="00AA0191">
      <w:pPr>
        <w:spacing w:after="0"/>
      </w:pPr>
      <w:r w:rsidRPr="009837CE">
        <w:rPr>
          <w:i/>
        </w:rPr>
        <w:t>Presentatio</w:t>
      </w:r>
      <w:r>
        <w:rPr>
          <w:i/>
        </w:rPr>
        <w:t>n #</w:t>
      </w:r>
      <w:r w:rsidR="00A13AEE">
        <w:rPr>
          <w:i/>
        </w:rPr>
        <w:t>5</w:t>
      </w:r>
      <w:r>
        <w:t xml:space="preserve"> – Mark Sellers-Vaughn</w:t>
      </w:r>
    </w:p>
    <w:p w:rsidR="00A13AEE" w:rsidRDefault="00AA0191" w:rsidP="00AA0191">
      <w:pPr>
        <w:spacing w:after="0"/>
        <w:rPr>
          <w:b/>
        </w:rPr>
      </w:pPr>
      <w:r>
        <w:rPr>
          <w:b/>
        </w:rPr>
        <w:t>SENDOUT Model</w:t>
      </w:r>
    </w:p>
    <w:p w:rsidR="00A13AEE" w:rsidRDefault="00A13AEE" w:rsidP="00A13AEE">
      <w:pPr>
        <w:pStyle w:val="ListParagraph"/>
        <w:numPr>
          <w:ilvl w:val="0"/>
          <w:numId w:val="16"/>
        </w:numPr>
        <w:spacing w:after="0"/>
      </w:pPr>
      <w:r>
        <w:t>Mark started the presentation by defining the SENDOUT model as a “resource Optimization model.</w:t>
      </w:r>
    </w:p>
    <w:p w:rsidR="00A13AEE" w:rsidRDefault="00A13AEE" w:rsidP="00A13AEE">
      <w:pPr>
        <w:pStyle w:val="ListParagraph"/>
        <w:numPr>
          <w:ilvl w:val="0"/>
          <w:numId w:val="16"/>
        </w:numPr>
        <w:spacing w:after="0"/>
      </w:pPr>
      <w:r>
        <w:t>It is a regional standard for the LDC’s.</w:t>
      </w:r>
    </w:p>
    <w:p w:rsidR="00682ABA" w:rsidRDefault="00682ABA" w:rsidP="00A13AEE">
      <w:pPr>
        <w:pStyle w:val="ListParagraph"/>
        <w:numPr>
          <w:ilvl w:val="0"/>
          <w:numId w:val="16"/>
        </w:numPr>
        <w:spacing w:after="0"/>
      </w:pPr>
      <w:r>
        <w:t>It is powerful &amp; complex but “archaic”.  The software is 15 years old!  We are planning to move to a new platform in 2 to 3 years.</w:t>
      </w:r>
    </w:p>
    <w:p w:rsidR="00682ABA" w:rsidRDefault="008C460D" w:rsidP="00A13AEE">
      <w:pPr>
        <w:pStyle w:val="ListParagraph"/>
        <w:numPr>
          <w:ilvl w:val="0"/>
          <w:numId w:val="16"/>
        </w:numPr>
        <w:spacing w:after="0"/>
      </w:pPr>
      <w:r>
        <w:t>SENDOUT u</w:t>
      </w:r>
      <w:r w:rsidR="00682ABA">
        <w:t>ses a Linear approach</w:t>
      </w:r>
    </w:p>
    <w:p w:rsidR="00682ABA" w:rsidRDefault="00682ABA" w:rsidP="00A13AEE">
      <w:pPr>
        <w:pStyle w:val="ListParagraph"/>
        <w:numPr>
          <w:ilvl w:val="0"/>
          <w:numId w:val="16"/>
        </w:numPr>
        <w:spacing w:after="0"/>
      </w:pPr>
      <w:r>
        <w:t xml:space="preserve">It is a “tool” to help inform and shape it is </w:t>
      </w:r>
      <w:r>
        <w:rPr>
          <w:b/>
        </w:rPr>
        <w:t>NOT</w:t>
      </w:r>
      <w:r>
        <w:t xml:space="preserve"> a final decision maker!</w:t>
      </w:r>
    </w:p>
    <w:p w:rsidR="008B3F95" w:rsidRDefault="008B3F95" w:rsidP="008B3F95">
      <w:pPr>
        <w:spacing w:after="0"/>
      </w:pPr>
    </w:p>
    <w:p w:rsidR="008B3F95" w:rsidRDefault="008B3F95" w:rsidP="008B3F95">
      <w:pPr>
        <w:spacing w:after="0"/>
        <w:rPr>
          <w:b/>
        </w:rPr>
      </w:pPr>
      <w:r w:rsidRPr="008B3F95">
        <w:rPr>
          <w:b/>
        </w:rPr>
        <w:t>Slide #70 – Major Resource Issues on the Horizon</w:t>
      </w:r>
    </w:p>
    <w:p w:rsidR="008B3F95" w:rsidRDefault="0095754D" w:rsidP="0095754D">
      <w:pPr>
        <w:pStyle w:val="ListParagraph"/>
        <w:numPr>
          <w:ilvl w:val="0"/>
          <w:numId w:val="16"/>
        </w:numPr>
        <w:spacing w:after="0"/>
      </w:pPr>
      <w:r w:rsidRPr="0095754D">
        <w:t>Alternative resource issues</w:t>
      </w:r>
    </w:p>
    <w:p w:rsidR="00577F5C" w:rsidRDefault="00577F5C" w:rsidP="0095754D">
      <w:pPr>
        <w:pStyle w:val="ListParagraph"/>
        <w:numPr>
          <w:ilvl w:val="0"/>
          <w:numId w:val="16"/>
        </w:numPr>
        <w:spacing w:after="0"/>
      </w:pPr>
      <w:r>
        <w:t>AECO – issue because NOVA has a CAP</w:t>
      </w:r>
      <w:r w:rsidR="00564C9E">
        <w:t xml:space="preserve"> and</w:t>
      </w:r>
      <w:r>
        <w:t xml:space="preserve"> could become a receipt issue.</w:t>
      </w:r>
    </w:p>
    <w:p w:rsidR="00577F5C" w:rsidRDefault="00577F5C" w:rsidP="0095754D">
      <w:pPr>
        <w:pStyle w:val="ListParagraph"/>
        <w:numPr>
          <w:ilvl w:val="0"/>
          <w:numId w:val="16"/>
        </w:numPr>
        <w:spacing w:after="0"/>
      </w:pPr>
      <w:r>
        <w:t>Ryckman Creek (OPAL/Wyoming area) resource is reasonably priced but there are reliability concerns!</w:t>
      </w:r>
    </w:p>
    <w:p w:rsidR="00577F5C" w:rsidRDefault="00577F5C" w:rsidP="00577F5C">
      <w:pPr>
        <w:spacing w:after="0"/>
      </w:pPr>
    </w:p>
    <w:p w:rsidR="00577F5C" w:rsidRDefault="00577F5C" w:rsidP="00577F5C">
      <w:pPr>
        <w:spacing w:after="0"/>
        <w:ind w:left="1440" w:hanging="1440"/>
      </w:pPr>
      <w:r w:rsidRPr="00164402">
        <w:rPr>
          <w:highlight w:val="yellow"/>
        </w:rPr>
        <w:t>Question</w:t>
      </w:r>
      <w:r>
        <w:t>:</w:t>
      </w:r>
      <w:r>
        <w:tab/>
        <w:t>Mark Sellers Vaughn asks Bob Morman on the phone, are we</w:t>
      </w:r>
      <w:r w:rsidR="00564C9E">
        <w:t xml:space="preserve"> within 2 to 3 years in getting biofuels?</w:t>
      </w:r>
    </w:p>
    <w:p w:rsidR="00577F5C" w:rsidRDefault="00577F5C" w:rsidP="00577F5C">
      <w:pPr>
        <w:spacing w:after="0"/>
        <w:ind w:left="1440" w:hanging="1440"/>
      </w:pPr>
      <w:r w:rsidRPr="00164402">
        <w:rPr>
          <w:highlight w:val="green"/>
        </w:rPr>
        <w:t>Answer</w:t>
      </w:r>
      <w:r>
        <w:t>:</w:t>
      </w:r>
      <w:r>
        <w:tab/>
        <w:t>Bob said they are working on getting one in place, could happen any time.</w:t>
      </w:r>
    </w:p>
    <w:p w:rsidR="00B83D42" w:rsidRDefault="00B83D42" w:rsidP="00F95732">
      <w:pPr>
        <w:spacing w:after="0"/>
      </w:pPr>
    </w:p>
    <w:p w:rsidR="00B83D42" w:rsidRPr="00EE3C14" w:rsidRDefault="00B83D42" w:rsidP="00EE3C14">
      <w:pPr>
        <w:spacing w:after="0"/>
        <w:ind w:left="1440" w:hanging="1440"/>
        <w:rPr>
          <w:b/>
        </w:rPr>
      </w:pPr>
      <w:r w:rsidRPr="002137C9">
        <w:rPr>
          <w:b/>
        </w:rPr>
        <w:t>Slide #</w:t>
      </w:r>
      <w:r w:rsidR="002137C9">
        <w:rPr>
          <w:b/>
        </w:rPr>
        <w:t>71</w:t>
      </w:r>
      <w:r w:rsidRPr="002137C9">
        <w:rPr>
          <w:b/>
        </w:rPr>
        <w:t xml:space="preserve"> – </w:t>
      </w:r>
      <w:r w:rsidR="002137C9">
        <w:rPr>
          <w:b/>
        </w:rPr>
        <w:t>Considerations</w:t>
      </w:r>
    </w:p>
    <w:p w:rsidR="00B83D42" w:rsidRDefault="00B83D42" w:rsidP="002137C9">
      <w:pPr>
        <w:pStyle w:val="ListParagraph"/>
        <w:numPr>
          <w:ilvl w:val="0"/>
          <w:numId w:val="16"/>
        </w:numPr>
        <w:spacing w:after="0"/>
      </w:pPr>
      <w:r>
        <w:t>“Pancake” – Rate stacking for example…AECO moves to Foothills, then to GTN pipeline</w:t>
      </w:r>
      <w:r w:rsidR="002137C9">
        <w:t xml:space="preserve">, then to NWP, each has their own </w:t>
      </w:r>
      <w:r w:rsidR="00564C9E">
        <w:t>rate, called rate “Pancaking” or resource stacking.</w:t>
      </w:r>
    </w:p>
    <w:p w:rsidR="002137C9" w:rsidRDefault="002137C9" w:rsidP="002137C9">
      <w:pPr>
        <w:pStyle w:val="ListParagraph"/>
        <w:numPr>
          <w:ilvl w:val="0"/>
          <w:numId w:val="16"/>
        </w:numPr>
        <w:spacing w:after="0"/>
      </w:pPr>
      <w:r>
        <w:t>Some considerations are factors &amp; numbers that are “stress tested” with the Monte Carlo</w:t>
      </w:r>
      <w:r w:rsidR="00F95732">
        <w:t>.</w:t>
      </w:r>
    </w:p>
    <w:p w:rsidR="0025016F" w:rsidRDefault="0025016F" w:rsidP="0025016F">
      <w:pPr>
        <w:spacing w:after="0"/>
      </w:pPr>
    </w:p>
    <w:p w:rsidR="0025016F" w:rsidRDefault="0025016F" w:rsidP="0025016F">
      <w:pPr>
        <w:spacing w:after="0"/>
        <w:rPr>
          <w:b/>
        </w:rPr>
      </w:pPr>
      <w:r w:rsidRPr="0025016F">
        <w:rPr>
          <w:b/>
        </w:rPr>
        <w:t>Slide #73 – Supply Side Alternatives Modeled</w:t>
      </w:r>
    </w:p>
    <w:p w:rsidR="0025016F" w:rsidRDefault="0025016F" w:rsidP="0025016F">
      <w:pPr>
        <w:pStyle w:val="ListParagraph"/>
        <w:numPr>
          <w:ilvl w:val="0"/>
          <w:numId w:val="16"/>
        </w:numPr>
        <w:spacing w:after="0"/>
      </w:pPr>
      <w:r w:rsidRPr="0025016F">
        <w:t>Incremental Storage –</w:t>
      </w:r>
      <w:r w:rsidR="00B479CB">
        <w:t xml:space="preserve"> Ryckman or Mist</w:t>
      </w:r>
    </w:p>
    <w:p w:rsidR="00F95732" w:rsidRDefault="00F95732" w:rsidP="0025016F">
      <w:pPr>
        <w:spacing w:after="0"/>
      </w:pPr>
    </w:p>
    <w:p w:rsidR="0025016F" w:rsidRDefault="0025016F" w:rsidP="0025016F">
      <w:pPr>
        <w:spacing w:after="0"/>
      </w:pPr>
      <w:r w:rsidRPr="0025016F">
        <w:rPr>
          <w:highlight w:val="yellow"/>
        </w:rPr>
        <w:t>Question</w:t>
      </w:r>
      <w:r w:rsidR="004C23E7">
        <w:t>:</w:t>
      </w:r>
      <w:r w:rsidR="004C23E7">
        <w:tab/>
        <w:t>W</w:t>
      </w:r>
      <w:r>
        <w:t>hat</w:t>
      </w:r>
      <w:r w:rsidR="00387133">
        <w:t xml:space="preserve"> is the medium contract length?</w:t>
      </w:r>
    </w:p>
    <w:p w:rsidR="0025016F" w:rsidRDefault="0025016F" w:rsidP="0025016F">
      <w:pPr>
        <w:spacing w:after="0"/>
      </w:pPr>
      <w:r w:rsidRPr="0025016F">
        <w:rPr>
          <w:highlight w:val="green"/>
        </w:rPr>
        <w:t>Answer</w:t>
      </w:r>
      <w:r>
        <w:t>:</w:t>
      </w:r>
      <w:r>
        <w:tab/>
        <w:t>Medium is 3 to 5 years.  Right n</w:t>
      </w:r>
      <w:r w:rsidR="00DA3AD0">
        <w:t>ow CNG cannot do anything farther</w:t>
      </w:r>
      <w:r>
        <w:t xml:space="preserve"> out than 3 years but</w:t>
      </w:r>
    </w:p>
    <w:p w:rsidR="0025016F" w:rsidRDefault="0025016F" w:rsidP="0025016F">
      <w:pPr>
        <w:spacing w:after="0"/>
      </w:pPr>
      <w:r>
        <w:tab/>
      </w:r>
      <w:r>
        <w:tab/>
      </w:r>
      <w:r w:rsidR="00DA3AD0">
        <w:t>there are</w:t>
      </w:r>
      <w:r>
        <w:t xml:space="preserve"> discussions about that with Senior Management.</w:t>
      </w:r>
    </w:p>
    <w:p w:rsidR="00CA394D" w:rsidRDefault="00CA394D" w:rsidP="0025016F">
      <w:pPr>
        <w:spacing w:after="0"/>
        <w:rPr>
          <w:highlight w:val="yellow"/>
        </w:rPr>
      </w:pPr>
    </w:p>
    <w:p w:rsidR="00387133" w:rsidRDefault="00387133" w:rsidP="0025016F">
      <w:pPr>
        <w:spacing w:after="0"/>
      </w:pPr>
      <w:r w:rsidRPr="00CA394D">
        <w:rPr>
          <w:highlight w:val="yellow"/>
        </w:rPr>
        <w:t>Question</w:t>
      </w:r>
      <w:r>
        <w:t>:</w:t>
      </w:r>
      <w:r>
        <w:tab/>
      </w:r>
      <w:r w:rsidR="00280A04">
        <w:t>Mark asks WUTC if this should be displayed in narrative or appendix?</w:t>
      </w:r>
    </w:p>
    <w:p w:rsidR="00280A04" w:rsidRDefault="00280A04" w:rsidP="0025016F">
      <w:pPr>
        <w:spacing w:after="0"/>
      </w:pPr>
      <w:r w:rsidRPr="00280A04">
        <w:rPr>
          <w:highlight w:val="green"/>
        </w:rPr>
        <w:t>Answer</w:t>
      </w:r>
      <w:r>
        <w:t>:</w:t>
      </w:r>
      <w:r>
        <w:tab/>
        <w:t>David said he will consult with the others first.</w:t>
      </w:r>
    </w:p>
    <w:p w:rsidR="008149E5" w:rsidRDefault="008149E5" w:rsidP="008149E5">
      <w:pPr>
        <w:spacing w:after="0"/>
      </w:pPr>
    </w:p>
    <w:p w:rsidR="006C6773" w:rsidRDefault="008149E5" w:rsidP="008149E5">
      <w:pPr>
        <w:spacing w:after="0"/>
        <w:rPr>
          <w:b/>
        </w:rPr>
      </w:pPr>
      <w:r w:rsidRPr="008149E5">
        <w:rPr>
          <w:b/>
        </w:rPr>
        <w:t>Slide #83 –</w:t>
      </w:r>
      <w:r w:rsidR="006C6773">
        <w:rPr>
          <w:b/>
        </w:rPr>
        <w:t xml:space="preserve"> 2016</w:t>
      </w:r>
      <w:r w:rsidRPr="008149E5">
        <w:rPr>
          <w:b/>
        </w:rPr>
        <w:t xml:space="preserve"> IRP Timeline</w:t>
      </w:r>
    </w:p>
    <w:p w:rsidR="006C6773" w:rsidRDefault="00F55D66" w:rsidP="006C6773">
      <w:pPr>
        <w:pStyle w:val="ListParagraph"/>
        <w:numPr>
          <w:ilvl w:val="0"/>
          <w:numId w:val="16"/>
        </w:numPr>
        <w:spacing w:after="0"/>
      </w:pPr>
      <w:r>
        <w:t>TAG</w:t>
      </w:r>
      <w:r w:rsidR="006C6773">
        <w:t xml:space="preserve"> #4 will be Distribution System Planning.  There will be a few days to look over this presentation.  This meeting will be at SeaTac Conference Center (SeaTac)</w:t>
      </w:r>
    </w:p>
    <w:p w:rsidR="006C6773" w:rsidRDefault="00F55D66" w:rsidP="006C6773">
      <w:pPr>
        <w:pStyle w:val="ListParagraph"/>
        <w:numPr>
          <w:ilvl w:val="0"/>
          <w:numId w:val="16"/>
        </w:numPr>
        <w:spacing w:after="0"/>
      </w:pPr>
      <w:r>
        <w:t>TAG</w:t>
      </w:r>
      <w:r w:rsidR="006C6773">
        <w:t xml:space="preserve"> #5 is Oct 7</w:t>
      </w:r>
      <w:r w:rsidR="006C6773" w:rsidRPr="006C6773">
        <w:rPr>
          <w:vertAlign w:val="superscript"/>
        </w:rPr>
        <w:t>th</w:t>
      </w:r>
      <w:r w:rsidR="006C6773">
        <w:t>.</w:t>
      </w:r>
    </w:p>
    <w:p w:rsidR="006C6773" w:rsidRDefault="006C6773" w:rsidP="00FC1BAF">
      <w:pPr>
        <w:pStyle w:val="ListParagraph"/>
        <w:numPr>
          <w:ilvl w:val="0"/>
          <w:numId w:val="16"/>
        </w:numPr>
        <w:spacing w:after="0"/>
      </w:pPr>
      <w:r>
        <w:t>The Draft IRP will be done on 10/17 and you</w:t>
      </w:r>
      <w:r w:rsidR="00FC1BAF">
        <w:t xml:space="preserve"> will have 3 weeks for comments.</w:t>
      </w:r>
    </w:p>
    <w:p w:rsidR="002861E0" w:rsidRDefault="00D320A6" w:rsidP="006C6773">
      <w:pPr>
        <w:pStyle w:val="ListParagraph"/>
        <w:numPr>
          <w:ilvl w:val="0"/>
          <w:numId w:val="16"/>
        </w:numPr>
        <w:spacing w:after="0"/>
      </w:pPr>
      <w:r>
        <w:t>Reminder…</w:t>
      </w:r>
      <w:r w:rsidR="002861E0">
        <w:t xml:space="preserve"> this is a very </w:t>
      </w:r>
      <w:r w:rsidR="00FC1BAF">
        <w:t>aggressive schedule.</w:t>
      </w:r>
    </w:p>
    <w:p w:rsidR="002861E0" w:rsidRDefault="002861E0" w:rsidP="006C6773">
      <w:pPr>
        <w:pStyle w:val="ListParagraph"/>
        <w:numPr>
          <w:ilvl w:val="0"/>
          <w:numId w:val="16"/>
        </w:numPr>
        <w:spacing w:after="0"/>
      </w:pPr>
      <w:r>
        <w:t>Nov 23</w:t>
      </w:r>
      <w:r w:rsidRPr="002861E0">
        <w:rPr>
          <w:vertAlign w:val="superscript"/>
        </w:rPr>
        <w:t>rd</w:t>
      </w:r>
      <w:r>
        <w:t xml:space="preserve"> the IRP goes</w:t>
      </w:r>
      <w:r w:rsidR="00FC1BAF">
        <w:t xml:space="preserve"> to press.</w:t>
      </w:r>
    </w:p>
    <w:p w:rsidR="002861E0" w:rsidRDefault="002861E0" w:rsidP="006C6773">
      <w:pPr>
        <w:pStyle w:val="ListParagraph"/>
        <w:numPr>
          <w:ilvl w:val="0"/>
          <w:numId w:val="16"/>
        </w:numPr>
        <w:spacing w:after="0"/>
      </w:pPr>
      <w:r>
        <w:t>D</w:t>
      </w:r>
      <w:r w:rsidR="00FC1BAF">
        <w:t>ec 14 it is filed in Washington.</w:t>
      </w:r>
    </w:p>
    <w:p w:rsidR="002861E0" w:rsidRDefault="002861E0" w:rsidP="002861E0">
      <w:pPr>
        <w:spacing w:after="0"/>
      </w:pPr>
    </w:p>
    <w:p w:rsidR="00421CCD" w:rsidRDefault="002861E0" w:rsidP="00A54C34">
      <w:pPr>
        <w:spacing w:after="0"/>
      </w:pPr>
      <w:r>
        <w:t>Mark said his group is trying to make the IRP concise, but the details will be in the Appendix</w:t>
      </w:r>
      <w:r w:rsidR="00FC1BAF">
        <w:t>.</w:t>
      </w:r>
    </w:p>
    <w:sectPr w:rsidR="00421CCD" w:rsidSect="00FE20A2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D36" w:rsidRDefault="003B7D36" w:rsidP="000E7F43">
      <w:pPr>
        <w:spacing w:after="0"/>
      </w:pPr>
      <w:r>
        <w:separator/>
      </w:r>
    </w:p>
  </w:endnote>
  <w:endnote w:type="continuationSeparator" w:id="0">
    <w:p w:rsidR="003B7D36" w:rsidRDefault="003B7D36" w:rsidP="000E7F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22794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C5A4B" w:rsidRDefault="00CC5A4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3C1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3C1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5A4B" w:rsidRDefault="00CC5A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D36" w:rsidRDefault="003B7D36" w:rsidP="000E7F43">
      <w:pPr>
        <w:spacing w:after="0"/>
      </w:pPr>
      <w:r>
        <w:separator/>
      </w:r>
    </w:p>
  </w:footnote>
  <w:footnote w:type="continuationSeparator" w:id="0">
    <w:p w:rsidR="003B7D36" w:rsidRDefault="003B7D36" w:rsidP="000E7F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645C"/>
    <w:multiLevelType w:val="hybridMultilevel"/>
    <w:tmpl w:val="DC542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15A0D"/>
    <w:multiLevelType w:val="hybridMultilevel"/>
    <w:tmpl w:val="7C1EF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540F7"/>
    <w:multiLevelType w:val="hybridMultilevel"/>
    <w:tmpl w:val="69B60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F380D"/>
    <w:multiLevelType w:val="hybridMultilevel"/>
    <w:tmpl w:val="CAF80E9A"/>
    <w:lvl w:ilvl="0" w:tplc="627A8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B85203"/>
    <w:multiLevelType w:val="hybridMultilevel"/>
    <w:tmpl w:val="7F64B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B15F1"/>
    <w:multiLevelType w:val="hybridMultilevel"/>
    <w:tmpl w:val="90D84E1E"/>
    <w:lvl w:ilvl="0" w:tplc="F2101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1476B5"/>
    <w:multiLevelType w:val="hybridMultilevel"/>
    <w:tmpl w:val="0FBCE3D0"/>
    <w:lvl w:ilvl="0" w:tplc="CD328F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B60A9"/>
    <w:multiLevelType w:val="hybridMultilevel"/>
    <w:tmpl w:val="72E8A5CC"/>
    <w:lvl w:ilvl="0" w:tplc="22324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EF61C8"/>
    <w:multiLevelType w:val="hybridMultilevel"/>
    <w:tmpl w:val="9C54D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06C85"/>
    <w:multiLevelType w:val="hybridMultilevel"/>
    <w:tmpl w:val="2632C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A7930"/>
    <w:multiLevelType w:val="hybridMultilevel"/>
    <w:tmpl w:val="BFB29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953D3"/>
    <w:multiLevelType w:val="hybridMultilevel"/>
    <w:tmpl w:val="7A3E1CDC"/>
    <w:lvl w:ilvl="0" w:tplc="756E5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9975D0"/>
    <w:multiLevelType w:val="hybridMultilevel"/>
    <w:tmpl w:val="83F4A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35CD8"/>
    <w:multiLevelType w:val="hybridMultilevel"/>
    <w:tmpl w:val="36466E1C"/>
    <w:lvl w:ilvl="0" w:tplc="4F282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130B16"/>
    <w:multiLevelType w:val="hybridMultilevel"/>
    <w:tmpl w:val="3BD84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D0500"/>
    <w:multiLevelType w:val="hybridMultilevel"/>
    <w:tmpl w:val="D4FC86AC"/>
    <w:lvl w:ilvl="0" w:tplc="07EE8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024460"/>
    <w:multiLevelType w:val="hybridMultilevel"/>
    <w:tmpl w:val="DFCC4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2"/>
  </w:num>
  <w:num w:numId="5">
    <w:abstractNumId w:val="13"/>
  </w:num>
  <w:num w:numId="6">
    <w:abstractNumId w:val="2"/>
  </w:num>
  <w:num w:numId="7">
    <w:abstractNumId w:val="16"/>
  </w:num>
  <w:num w:numId="8">
    <w:abstractNumId w:val="8"/>
  </w:num>
  <w:num w:numId="9">
    <w:abstractNumId w:val="11"/>
  </w:num>
  <w:num w:numId="10">
    <w:abstractNumId w:val="7"/>
  </w:num>
  <w:num w:numId="11">
    <w:abstractNumId w:val="15"/>
  </w:num>
  <w:num w:numId="12">
    <w:abstractNumId w:val="4"/>
  </w:num>
  <w:num w:numId="13">
    <w:abstractNumId w:val="5"/>
  </w:num>
  <w:num w:numId="14">
    <w:abstractNumId w:val="3"/>
  </w:num>
  <w:num w:numId="15">
    <w:abstractNumId w:val="14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9E"/>
    <w:rsid w:val="0001330E"/>
    <w:rsid w:val="00017E6E"/>
    <w:rsid w:val="000244B2"/>
    <w:rsid w:val="000246B5"/>
    <w:rsid w:val="0005067B"/>
    <w:rsid w:val="00080ED8"/>
    <w:rsid w:val="00081E0D"/>
    <w:rsid w:val="000861BB"/>
    <w:rsid w:val="0008783C"/>
    <w:rsid w:val="000B6C0E"/>
    <w:rsid w:val="000C4FA4"/>
    <w:rsid w:val="000D151F"/>
    <w:rsid w:val="000D4775"/>
    <w:rsid w:val="000E7F43"/>
    <w:rsid w:val="00133670"/>
    <w:rsid w:val="0014470F"/>
    <w:rsid w:val="00151BD1"/>
    <w:rsid w:val="001527E4"/>
    <w:rsid w:val="0016299D"/>
    <w:rsid w:val="0016330B"/>
    <w:rsid w:val="00164402"/>
    <w:rsid w:val="0017071C"/>
    <w:rsid w:val="001905A3"/>
    <w:rsid w:val="001C7D7D"/>
    <w:rsid w:val="001E1CCC"/>
    <w:rsid w:val="001E440F"/>
    <w:rsid w:val="002040F7"/>
    <w:rsid w:val="002052E5"/>
    <w:rsid w:val="0021241E"/>
    <w:rsid w:val="002137C9"/>
    <w:rsid w:val="00231B46"/>
    <w:rsid w:val="0025016F"/>
    <w:rsid w:val="00266ABB"/>
    <w:rsid w:val="00280A04"/>
    <w:rsid w:val="0028228F"/>
    <w:rsid w:val="002861E0"/>
    <w:rsid w:val="00294A44"/>
    <w:rsid w:val="002970FB"/>
    <w:rsid w:val="002B4425"/>
    <w:rsid w:val="002B6AEE"/>
    <w:rsid w:val="002B7B38"/>
    <w:rsid w:val="002C05B5"/>
    <w:rsid w:val="002C4B53"/>
    <w:rsid w:val="002D39BE"/>
    <w:rsid w:val="002D5E23"/>
    <w:rsid w:val="002D630A"/>
    <w:rsid w:val="002E269E"/>
    <w:rsid w:val="00311CC0"/>
    <w:rsid w:val="00313A48"/>
    <w:rsid w:val="00315EFD"/>
    <w:rsid w:val="003305D0"/>
    <w:rsid w:val="003314A3"/>
    <w:rsid w:val="003402C8"/>
    <w:rsid w:val="003434E1"/>
    <w:rsid w:val="003501D9"/>
    <w:rsid w:val="00387133"/>
    <w:rsid w:val="00390197"/>
    <w:rsid w:val="00392198"/>
    <w:rsid w:val="003921AB"/>
    <w:rsid w:val="00397F9A"/>
    <w:rsid w:val="003B7D36"/>
    <w:rsid w:val="003D0414"/>
    <w:rsid w:val="003D4E88"/>
    <w:rsid w:val="003E0196"/>
    <w:rsid w:val="003E3E4A"/>
    <w:rsid w:val="003E6977"/>
    <w:rsid w:val="003F333C"/>
    <w:rsid w:val="003F505A"/>
    <w:rsid w:val="00402894"/>
    <w:rsid w:val="004115AF"/>
    <w:rsid w:val="00421CCD"/>
    <w:rsid w:val="00432AD4"/>
    <w:rsid w:val="00433BF0"/>
    <w:rsid w:val="00434208"/>
    <w:rsid w:val="00434429"/>
    <w:rsid w:val="0044265C"/>
    <w:rsid w:val="00453F19"/>
    <w:rsid w:val="00463F3B"/>
    <w:rsid w:val="004656F4"/>
    <w:rsid w:val="004755E0"/>
    <w:rsid w:val="00476AEE"/>
    <w:rsid w:val="00491224"/>
    <w:rsid w:val="00491A81"/>
    <w:rsid w:val="0049381C"/>
    <w:rsid w:val="004C23E7"/>
    <w:rsid w:val="004D5527"/>
    <w:rsid w:val="004E6306"/>
    <w:rsid w:val="004F3A50"/>
    <w:rsid w:val="005045C2"/>
    <w:rsid w:val="005079F1"/>
    <w:rsid w:val="00521698"/>
    <w:rsid w:val="00521F22"/>
    <w:rsid w:val="00527E5E"/>
    <w:rsid w:val="00551A86"/>
    <w:rsid w:val="00554C27"/>
    <w:rsid w:val="00555D20"/>
    <w:rsid w:val="00564C9E"/>
    <w:rsid w:val="00565AC4"/>
    <w:rsid w:val="00572BAA"/>
    <w:rsid w:val="005762B4"/>
    <w:rsid w:val="00577F5C"/>
    <w:rsid w:val="005871E6"/>
    <w:rsid w:val="005A0C95"/>
    <w:rsid w:val="005A3C58"/>
    <w:rsid w:val="005A53AF"/>
    <w:rsid w:val="005B035F"/>
    <w:rsid w:val="005F5634"/>
    <w:rsid w:val="0061673B"/>
    <w:rsid w:val="0062101F"/>
    <w:rsid w:val="00624757"/>
    <w:rsid w:val="00630427"/>
    <w:rsid w:val="00631753"/>
    <w:rsid w:val="0063670E"/>
    <w:rsid w:val="00656AFA"/>
    <w:rsid w:val="00657F2C"/>
    <w:rsid w:val="00672554"/>
    <w:rsid w:val="00680E16"/>
    <w:rsid w:val="00681CCF"/>
    <w:rsid w:val="00682ABA"/>
    <w:rsid w:val="00686F58"/>
    <w:rsid w:val="0069584F"/>
    <w:rsid w:val="006B424A"/>
    <w:rsid w:val="006B7272"/>
    <w:rsid w:val="006C6773"/>
    <w:rsid w:val="006D19FB"/>
    <w:rsid w:val="006D28C6"/>
    <w:rsid w:val="006D5137"/>
    <w:rsid w:val="006E2540"/>
    <w:rsid w:val="007014A9"/>
    <w:rsid w:val="00702E35"/>
    <w:rsid w:val="00732E81"/>
    <w:rsid w:val="0073379F"/>
    <w:rsid w:val="007460E0"/>
    <w:rsid w:val="007638BE"/>
    <w:rsid w:val="00766D59"/>
    <w:rsid w:val="007724FC"/>
    <w:rsid w:val="00777F88"/>
    <w:rsid w:val="00791DE1"/>
    <w:rsid w:val="007965CC"/>
    <w:rsid w:val="007A313D"/>
    <w:rsid w:val="007D120C"/>
    <w:rsid w:val="0080302B"/>
    <w:rsid w:val="00811D58"/>
    <w:rsid w:val="00813230"/>
    <w:rsid w:val="008149E5"/>
    <w:rsid w:val="008226A2"/>
    <w:rsid w:val="00826441"/>
    <w:rsid w:val="0082650E"/>
    <w:rsid w:val="008274D6"/>
    <w:rsid w:val="00827FD5"/>
    <w:rsid w:val="00830E05"/>
    <w:rsid w:val="00870F75"/>
    <w:rsid w:val="00880BF7"/>
    <w:rsid w:val="008B3F95"/>
    <w:rsid w:val="008C460D"/>
    <w:rsid w:val="008D329C"/>
    <w:rsid w:val="00900A60"/>
    <w:rsid w:val="0090320F"/>
    <w:rsid w:val="00906ACE"/>
    <w:rsid w:val="00910E15"/>
    <w:rsid w:val="00921A2C"/>
    <w:rsid w:val="00921FFC"/>
    <w:rsid w:val="00931120"/>
    <w:rsid w:val="0094111E"/>
    <w:rsid w:val="00942CFC"/>
    <w:rsid w:val="00951086"/>
    <w:rsid w:val="00952CDA"/>
    <w:rsid w:val="0095754D"/>
    <w:rsid w:val="00971A8C"/>
    <w:rsid w:val="00975EAD"/>
    <w:rsid w:val="009837CE"/>
    <w:rsid w:val="009936BB"/>
    <w:rsid w:val="0099488F"/>
    <w:rsid w:val="009A7172"/>
    <w:rsid w:val="009B29BE"/>
    <w:rsid w:val="009C43C1"/>
    <w:rsid w:val="009D728C"/>
    <w:rsid w:val="009E02D2"/>
    <w:rsid w:val="009F686F"/>
    <w:rsid w:val="00A038E2"/>
    <w:rsid w:val="00A1206A"/>
    <w:rsid w:val="00A128C5"/>
    <w:rsid w:val="00A13AEE"/>
    <w:rsid w:val="00A22D47"/>
    <w:rsid w:val="00A24CF8"/>
    <w:rsid w:val="00A32675"/>
    <w:rsid w:val="00A3529B"/>
    <w:rsid w:val="00A3683D"/>
    <w:rsid w:val="00A40AE0"/>
    <w:rsid w:val="00A4568E"/>
    <w:rsid w:val="00A54C34"/>
    <w:rsid w:val="00A716DB"/>
    <w:rsid w:val="00A91DB3"/>
    <w:rsid w:val="00A9741C"/>
    <w:rsid w:val="00AA0191"/>
    <w:rsid w:val="00AA14B7"/>
    <w:rsid w:val="00AB175C"/>
    <w:rsid w:val="00AB3E5B"/>
    <w:rsid w:val="00AF2087"/>
    <w:rsid w:val="00AF7C22"/>
    <w:rsid w:val="00B00372"/>
    <w:rsid w:val="00B023E4"/>
    <w:rsid w:val="00B370D6"/>
    <w:rsid w:val="00B479CB"/>
    <w:rsid w:val="00B6531F"/>
    <w:rsid w:val="00B659AC"/>
    <w:rsid w:val="00B7269E"/>
    <w:rsid w:val="00B83D42"/>
    <w:rsid w:val="00B84999"/>
    <w:rsid w:val="00B85694"/>
    <w:rsid w:val="00BA5AE4"/>
    <w:rsid w:val="00BA7566"/>
    <w:rsid w:val="00BC3FD1"/>
    <w:rsid w:val="00BC5AC5"/>
    <w:rsid w:val="00BD2EF8"/>
    <w:rsid w:val="00BD5D76"/>
    <w:rsid w:val="00C14955"/>
    <w:rsid w:val="00C214ED"/>
    <w:rsid w:val="00C32198"/>
    <w:rsid w:val="00C33E71"/>
    <w:rsid w:val="00C561AF"/>
    <w:rsid w:val="00C62C5C"/>
    <w:rsid w:val="00C64D0D"/>
    <w:rsid w:val="00C65C0D"/>
    <w:rsid w:val="00C868AD"/>
    <w:rsid w:val="00C9099D"/>
    <w:rsid w:val="00C950C4"/>
    <w:rsid w:val="00CA394D"/>
    <w:rsid w:val="00CA398E"/>
    <w:rsid w:val="00CB3A15"/>
    <w:rsid w:val="00CB43C1"/>
    <w:rsid w:val="00CC5A4B"/>
    <w:rsid w:val="00CD5C69"/>
    <w:rsid w:val="00CD6359"/>
    <w:rsid w:val="00CD65DA"/>
    <w:rsid w:val="00CF179C"/>
    <w:rsid w:val="00D320A6"/>
    <w:rsid w:val="00D35714"/>
    <w:rsid w:val="00D43C97"/>
    <w:rsid w:val="00D43F30"/>
    <w:rsid w:val="00D50F3E"/>
    <w:rsid w:val="00D92AC8"/>
    <w:rsid w:val="00D9461E"/>
    <w:rsid w:val="00D95111"/>
    <w:rsid w:val="00DA3AD0"/>
    <w:rsid w:val="00DA6ABB"/>
    <w:rsid w:val="00DB3E49"/>
    <w:rsid w:val="00DC2355"/>
    <w:rsid w:val="00DF1B2F"/>
    <w:rsid w:val="00DF7A63"/>
    <w:rsid w:val="00DF7DA0"/>
    <w:rsid w:val="00E0207C"/>
    <w:rsid w:val="00E27DC1"/>
    <w:rsid w:val="00E647BE"/>
    <w:rsid w:val="00E805FD"/>
    <w:rsid w:val="00E85E9C"/>
    <w:rsid w:val="00EB0A4B"/>
    <w:rsid w:val="00EB0FC9"/>
    <w:rsid w:val="00EB5FEC"/>
    <w:rsid w:val="00EB643C"/>
    <w:rsid w:val="00EC06D0"/>
    <w:rsid w:val="00EC1C49"/>
    <w:rsid w:val="00EC7F7C"/>
    <w:rsid w:val="00ED0358"/>
    <w:rsid w:val="00ED7943"/>
    <w:rsid w:val="00EE27A3"/>
    <w:rsid w:val="00EE3C14"/>
    <w:rsid w:val="00EF5EB8"/>
    <w:rsid w:val="00F0216E"/>
    <w:rsid w:val="00F15765"/>
    <w:rsid w:val="00F17803"/>
    <w:rsid w:val="00F215C5"/>
    <w:rsid w:val="00F27304"/>
    <w:rsid w:val="00F30F15"/>
    <w:rsid w:val="00F31938"/>
    <w:rsid w:val="00F463F4"/>
    <w:rsid w:val="00F53139"/>
    <w:rsid w:val="00F547FB"/>
    <w:rsid w:val="00F55D66"/>
    <w:rsid w:val="00F64C15"/>
    <w:rsid w:val="00F70303"/>
    <w:rsid w:val="00F804CF"/>
    <w:rsid w:val="00F82931"/>
    <w:rsid w:val="00F95732"/>
    <w:rsid w:val="00FA3F57"/>
    <w:rsid w:val="00FB3DCB"/>
    <w:rsid w:val="00FB5E73"/>
    <w:rsid w:val="00FC1BAF"/>
    <w:rsid w:val="00FC2A72"/>
    <w:rsid w:val="00FE20A2"/>
    <w:rsid w:val="00FF4378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94FC5C-E51A-4155-AC15-C313D37B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="Arial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6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7F4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7F43"/>
  </w:style>
  <w:style w:type="paragraph" w:styleId="Footer">
    <w:name w:val="footer"/>
    <w:basedOn w:val="Normal"/>
    <w:link w:val="FooterChar"/>
    <w:uiPriority w:val="99"/>
    <w:unhideWhenUsed/>
    <w:rsid w:val="000E7F4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7F43"/>
  </w:style>
  <w:style w:type="paragraph" w:styleId="BalloonText">
    <w:name w:val="Balloon Text"/>
    <w:basedOn w:val="Normal"/>
    <w:link w:val="BalloonTextChar"/>
    <w:uiPriority w:val="99"/>
    <w:semiHidden/>
    <w:unhideWhenUsed/>
    <w:rsid w:val="00DF7A6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0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60FB7A06EC0A4287672D91D8331009" ma:contentTypeVersion="104" ma:contentTypeDescription="" ma:contentTypeScope="" ma:versionID="4fc58195969815c35114c24e48bb6b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Plan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150</IndustryCode>
    <CaseStatus xmlns="dc463f71-b30c-4ab2-9473-d307f9d35888">Closed</CaseStatus>
    <OpenedDate xmlns="dc463f71-b30c-4ab2-9473-d307f9d35888">2016-04-29T07:00:00+00:00</OpenedDate>
    <Date1 xmlns="dc463f71-b30c-4ab2-9473-d307f9d35888">2016-12-14T08:00:00+00:00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160453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2257D79-F826-4414-B0EA-0CCDE72DB95D}"/>
</file>

<file path=customXml/itemProps2.xml><?xml version="1.0" encoding="utf-8"?>
<ds:datastoreItem xmlns:ds="http://schemas.openxmlformats.org/officeDocument/2006/customXml" ds:itemID="{3FAE0864-B52B-47DE-B816-171420D31712}"/>
</file>

<file path=customXml/itemProps3.xml><?xml version="1.0" encoding="utf-8"?>
<ds:datastoreItem xmlns:ds="http://schemas.openxmlformats.org/officeDocument/2006/customXml" ds:itemID="{BDE938BC-F969-4598-956C-72D02E459AFD}"/>
</file>

<file path=customXml/itemProps4.xml><?xml version="1.0" encoding="utf-8"?>
<ds:datastoreItem xmlns:ds="http://schemas.openxmlformats.org/officeDocument/2006/customXml" ds:itemID="{DB46F629-D6E5-41A0-B152-D78A2227B4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MDU Resoures Group</Company>
  <LinksUpToDate>false</LinksUpToDate>
  <CharactersWithSpaces>11123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 Stone</dc:creator>
  <cp:lastModifiedBy>Robertson, Brian</cp:lastModifiedBy>
  <cp:revision>2</cp:revision>
  <dcterms:created xsi:type="dcterms:W3CDTF">2016-09-23T22:22:00Z</dcterms:created>
  <dcterms:modified xsi:type="dcterms:W3CDTF">2016-09-23T22:22:00Z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0x0101006E56B4D1795A2E4DB2F0B01679ED314A009E60FB7A06EC0A4287672D91D8331009</vt:lpwstr>
  </property>
  <property fmtid="{D5CDD505-2E9C-101B-9397-08002B2CF9AE}" pid="3" name="_docset_NoMedatataSyncRequired">
    <vt:lpwstr>False</vt:lpwstr>
  </property>
</Properties>
</file>