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w:t>
      </w:r>
      <w:r w:rsidR="00FE3A52">
        <w:t>5</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551C2D">
        <w:t>1</w:t>
      </w:r>
      <w:r w:rsidR="00FE3A52">
        <w:t>5</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3E19C9">
          <w:headerReference w:type="default" r:id="rId8"/>
          <w:footerReference w:type="default" r:id="rId9"/>
          <w:headerReference w:type="first" r:id="rId10"/>
          <w:footerReference w:type="first" r:id="rId11"/>
          <w:type w:val="continuous"/>
          <w:pgSz w:w="12240" w:h="15840" w:code="1"/>
          <w:pgMar w:top="1440" w:right="1296" w:bottom="1728"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 xml:space="preserve">I.  </w:t>
      </w:r>
      <w:r w:rsidR="000D6ABC" w:rsidRPr="001D76D1">
        <w:rPr>
          <w:rStyle w:val="PageNumber"/>
          <w:u w:val="single"/>
        </w:rPr>
        <w:t xml:space="preserve">   </w:t>
      </w:r>
      <w:r w:rsidRPr="001D76D1">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6A4CE9" w:rsidRPr="007C0B2C" w:rsidRDefault="005540EB" w:rsidP="006A4CE9">
      <w:pPr>
        <w:pStyle w:val="P31"/>
        <w:jc w:val="both"/>
        <w:rPr>
          <w:rFonts w:ascii="Times New Roman" w:hAnsi="Times New Roman" w:cs="Times New Roman"/>
          <w:szCs w:val="24"/>
        </w:rPr>
      </w:pPr>
      <w:r w:rsidRPr="005540EB">
        <w:rPr>
          <w:rFonts w:ascii="Times New Roman" w:hAnsi="Times New Roman" w:cs="Times New Roman"/>
        </w:rPr>
        <w:t>A.</w:t>
      </w:r>
      <w:r w:rsidRPr="005540EB">
        <w:rPr>
          <w:rFonts w:ascii="Times New Roman" w:hAnsi="Times New Roman" w:cs="Times New Roman"/>
        </w:rPr>
        <w:tab/>
      </w:r>
      <w:r w:rsidR="006A4CE9" w:rsidRPr="007C0B2C">
        <w:rPr>
          <w:rFonts w:ascii="Times New Roman" w:hAnsi="Times New Roman" w:cs="Times New Roman"/>
          <w:szCs w:val="24"/>
        </w:rPr>
        <w:t xml:space="preserve">I am a 1995 graduate of Gonzaga University with a Bachelors degree in Business Administration.  In 1997 I graduated from Gonzaga University with a Masters degree in Business Administration.  I started with Avista in April 1997 as a Resource Management Analyst in the Company’s DSM </w:t>
      </w:r>
      <w:r w:rsidR="0061606F">
        <w:rPr>
          <w:rFonts w:ascii="Times New Roman" w:hAnsi="Times New Roman" w:cs="Times New Roman"/>
          <w:szCs w:val="24"/>
        </w:rPr>
        <w:t>D</w:t>
      </w:r>
      <w:r w:rsidR="006A4CE9" w:rsidRPr="007C0B2C">
        <w:rPr>
          <w:rFonts w:ascii="Times New Roman" w:hAnsi="Times New Roman" w:cs="Times New Roman"/>
          <w:szCs w:val="24"/>
        </w:rPr>
        <w:t>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6A4CE9" w:rsidRDefault="006A4CE9" w:rsidP="006A4CE9">
      <w:pPr>
        <w:pStyle w:val="P31"/>
        <w:jc w:val="both"/>
        <w:rPr>
          <w:rFonts w:ascii="Times New Roman" w:hAnsi="Times New Roman" w:cs="Times New Roman"/>
          <w:szCs w:val="24"/>
        </w:rPr>
      </w:pPr>
      <w:r w:rsidRPr="007C0B2C">
        <w:rPr>
          <w:rFonts w:ascii="Times New Roman" w:hAnsi="Times New Roman" w:cs="Times New Roman"/>
          <w:szCs w:val="24"/>
        </w:rPr>
        <w:t xml:space="preserve">I joined the State and Federal Regulation Department as a Senior Regulatory Analyst in 2007.  Responsibilities in this role included being the discovery coordinator for the Company’s rate cases, </w:t>
      </w:r>
      <w:r w:rsidR="00B50A07">
        <w:rPr>
          <w:rFonts w:ascii="Times New Roman" w:hAnsi="Times New Roman" w:cs="Times New Roman"/>
          <w:szCs w:val="24"/>
        </w:rPr>
        <w:t xml:space="preserve">the development of </w:t>
      </w:r>
      <w:r w:rsidRPr="007C0B2C">
        <w:rPr>
          <w:rFonts w:ascii="Times New Roman" w:hAnsi="Times New Roman" w:cs="Times New Roman"/>
          <w:szCs w:val="24"/>
        </w:rPr>
        <w:t xml:space="preserve">line extension policy tariffs, as well as </w:t>
      </w:r>
      <w:r w:rsidR="00B50A07">
        <w:rPr>
          <w:rFonts w:ascii="Times New Roman" w:hAnsi="Times New Roman" w:cs="Times New Roman"/>
          <w:szCs w:val="24"/>
        </w:rPr>
        <w:t xml:space="preserve">addressing </w:t>
      </w:r>
      <w:r w:rsidRPr="007C0B2C">
        <w:rPr>
          <w:rFonts w:ascii="Times New Roman" w:hAnsi="Times New Roman" w:cs="Times New Roman"/>
          <w:szCs w:val="24"/>
        </w:rPr>
        <w:lastRenderedPageBreak/>
        <w:t>miscellaneous regulatory issues.  In November 2009, I was promoted to my current role.</w:t>
      </w:r>
    </w:p>
    <w:p w:rsidR="005540EB" w:rsidRPr="00A4037C" w:rsidRDefault="005540EB" w:rsidP="006A4CE9">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7D16EF" w:rsidRDefault="005540EB" w:rsidP="007D16EF">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7D16EF" w:rsidRPr="005540EB">
        <w:rPr>
          <w:rFonts w:ascii="Times New Roman" w:hAnsi="Times New Roman" w:cs="Times New Roman"/>
        </w:rPr>
        <w:t xml:space="preserve">My testimony </w:t>
      </w:r>
      <w:r w:rsidR="007D16EF" w:rsidRPr="000A6734">
        <w:rPr>
          <w:rFonts w:ascii="Times New Roman" w:hAnsi="Times New Roman" w:cs="Times New Roman"/>
        </w:rPr>
        <w:t xml:space="preserve">will cover the spread of the proposed annual electric </w:t>
      </w:r>
      <w:r w:rsidR="007D16EF" w:rsidRPr="00371D94">
        <w:rPr>
          <w:rFonts w:ascii="Times New Roman" w:hAnsi="Times New Roman" w:cs="Times New Roman"/>
          <w:u w:val="single"/>
        </w:rPr>
        <w:t>base</w:t>
      </w:r>
      <w:r w:rsidR="007D16EF">
        <w:rPr>
          <w:rFonts w:ascii="Times New Roman" w:hAnsi="Times New Roman" w:cs="Times New Roman"/>
        </w:rPr>
        <w:t xml:space="preserve"> </w:t>
      </w:r>
      <w:r w:rsidR="007D16EF" w:rsidRPr="000A6734">
        <w:rPr>
          <w:rFonts w:ascii="Times New Roman" w:hAnsi="Times New Roman" w:cs="Times New Roman"/>
        </w:rPr>
        <w:t xml:space="preserve">revenue increase </w:t>
      </w:r>
      <w:r w:rsidR="007D16EF" w:rsidRPr="00A47B5B">
        <w:rPr>
          <w:rFonts w:ascii="Times New Roman" w:hAnsi="Times New Roman" w:cs="Times New Roman"/>
        </w:rPr>
        <w:t>of $</w:t>
      </w:r>
      <w:r w:rsidR="0042464B">
        <w:rPr>
          <w:rFonts w:ascii="Times New Roman" w:hAnsi="Times New Roman" w:cs="Times New Roman"/>
        </w:rPr>
        <w:t>33</w:t>
      </w:r>
      <w:r w:rsidR="007D16EF">
        <w:rPr>
          <w:rFonts w:ascii="Times New Roman" w:hAnsi="Times New Roman" w:cs="Times New Roman"/>
        </w:rPr>
        <w:t>,</w:t>
      </w:r>
      <w:r w:rsidR="0042464B">
        <w:rPr>
          <w:rFonts w:ascii="Times New Roman" w:hAnsi="Times New Roman" w:cs="Times New Roman"/>
        </w:rPr>
        <w:t>229</w:t>
      </w:r>
      <w:r w:rsidR="007D16EF">
        <w:rPr>
          <w:rFonts w:ascii="Times New Roman" w:hAnsi="Times New Roman" w:cs="Times New Roman"/>
        </w:rPr>
        <w:t>,000</w:t>
      </w:r>
      <w:r w:rsidR="007D16EF" w:rsidRPr="00A47B5B">
        <w:rPr>
          <w:rFonts w:ascii="Times New Roman" w:hAnsi="Times New Roman" w:cs="Times New Roman"/>
        </w:rPr>
        <w:t xml:space="preserve">, or </w:t>
      </w:r>
      <w:r w:rsidR="0042464B">
        <w:rPr>
          <w:rFonts w:ascii="Times New Roman" w:hAnsi="Times New Roman" w:cs="Times New Roman"/>
        </w:rPr>
        <w:t>6.</w:t>
      </w:r>
      <w:r w:rsidR="00F03E78">
        <w:rPr>
          <w:rFonts w:ascii="Times New Roman" w:hAnsi="Times New Roman" w:cs="Times New Roman"/>
        </w:rPr>
        <w:t>6</w:t>
      </w:r>
      <w:r w:rsidR="007D16EF" w:rsidRPr="00A47B5B">
        <w:rPr>
          <w:rFonts w:ascii="Times New Roman" w:hAnsi="Times New Roman" w:cs="Times New Roman"/>
        </w:rPr>
        <w:t>%,</w:t>
      </w:r>
      <w:r w:rsidR="007D16EF" w:rsidRPr="00D91979">
        <w:rPr>
          <w:rFonts w:ascii="Times New Roman" w:hAnsi="Times New Roman" w:cs="Times New Roman"/>
        </w:rPr>
        <w:t xml:space="preserve"> among</w:t>
      </w:r>
      <w:r w:rsidR="007D16EF" w:rsidRPr="000A6734">
        <w:rPr>
          <w:rFonts w:ascii="Times New Roman" w:hAnsi="Times New Roman" w:cs="Times New Roman"/>
        </w:rPr>
        <w:t xml:space="preserve"> the Company’s electric general service schedules.  With </w:t>
      </w:r>
      <w:r w:rsidR="007D16EF" w:rsidRPr="00A47B5B">
        <w:rPr>
          <w:rFonts w:ascii="Times New Roman" w:hAnsi="Times New Roman" w:cs="Times New Roman"/>
        </w:rPr>
        <w:t xml:space="preserve">regard to natural gas service, I will describe the spread of the proposed annual </w:t>
      </w:r>
      <w:r w:rsidR="007D16EF" w:rsidRPr="00A47B5B">
        <w:rPr>
          <w:rFonts w:ascii="Times New Roman" w:hAnsi="Times New Roman" w:cs="Times New Roman"/>
          <w:u w:val="single"/>
        </w:rPr>
        <w:t>base</w:t>
      </w:r>
      <w:r w:rsidR="007D16EF" w:rsidRPr="00A47B5B">
        <w:rPr>
          <w:rFonts w:ascii="Times New Roman" w:hAnsi="Times New Roman" w:cs="Times New Roman"/>
        </w:rPr>
        <w:t xml:space="preserve"> revenue increase of $</w:t>
      </w:r>
      <w:r w:rsidR="007D16EF">
        <w:rPr>
          <w:rFonts w:ascii="Times New Roman" w:hAnsi="Times New Roman" w:cs="Times New Roman"/>
        </w:rPr>
        <w:t>12,</w:t>
      </w:r>
      <w:r w:rsidR="0042464B">
        <w:rPr>
          <w:rFonts w:ascii="Times New Roman" w:hAnsi="Times New Roman" w:cs="Times New Roman"/>
        </w:rPr>
        <w:t>021</w:t>
      </w:r>
      <w:r w:rsidR="007D16EF" w:rsidRPr="00A47B5B">
        <w:rPr>
          <w:rFonts w:ascii="Times New Roman" w:hAnsi="Times New Roman" w:cs="Times New Roman"/>
        </w:rPr>
        <w:t>,</w:t>
      </w:r>
      <w:r w:rsidR="007D16EF">
        <w:rPr>
          <w:rFonts w:ascii="Times New Roman" w:hAnsi="Times New Roman" w:cs="Times New Roman"/>
        </w:rPr>
        <w:t>000,</w:t>
      </w:r>
      <w:r w:rsidR="007D16EF" w:rsidRPr="00A47B5B">
        <w:rPr>
          <w:rFonts w:ascii="Times New Roman" w:hAnsi="Times New Roman" w:cs="Times New Roman"/>
        </w:rPr>
        <w:t xml:space="preserve"> or </w:t>
      </w:r>
      <w:r w:rsidR="0042464B">
        <w:rPr>
          <w:rFonts w:ascii="Times New Roman" w:hAnsi="Times New Roman" w:cs="Times New Roman"/>
        </w:rPr>
        <w:t>7.0</w:t>
      </w:r>
      <w:r w:rsidR="007D16EF" w:rsidRPr="00A47B5B">
        <w:rPr>
          <w:rFonts w:ascii="Times New Roman" w:hAnsi="Times New Roman" w:cs="Times New Roman"/>
        </w:rPr>
        <w:t>%,</w:t>
      </w:r>
      <w:r w:rsidR="007D16EF" w:rsidRPr="004940D3">
        <w:rPr>
          <w:rFonts w:ascii="Times New Roman" w:hAnsi="Times New Roman" w:cs="Times New Roman"/>
        </w:rPr>
        <w:t xml:space="preserve"> </w:t>
      </w:r>
      <w:r w:rsidR="007D16EF" w:rsidRPr="005540EB">
        <w:rPr>
          <w:rFonts w:ascii="Times New Roman" w:hAnsi="Times New Roman" w:cs="Times New Roman"/>
        </w:rPr>
        <w:t xml:space="preserve">among the Company’s natural gas service schedules.  </w:t>
      </w:r>
    </w:p>
    <w:p w:rsidR="000B6A29" w:rsidRDefault="005540EB" w:rsidP="007D16EF">
      <w:pPr>
        <w:pStyle w:val="P106"/>
        <w:jc w:val="both"/>
        <w:rPr>
          <w:rFonts w:ascii="Times New Roman" w:hAnsi="Times New Roman" w:cs="Times New Roman"/>
        </w:rPr>
      </w:pPr>
      <w:r w:rsidRPr="005540EB">
        <w:rPr>
          <w:rFonts w:ascii="Times New Roman" w:hAnsi="Times New Roman" w:cs="Times New Roman"/>
        </w:rPr>
        <w:t>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w:t>
      </w:r>
      <w:r w:rsidR="004C3DE4">
        <w:rPr>
          <w:rFonts w:ascii="Times New Roman" w:hAnsi="Times New Roman" w:cs="Times New Roman"/>
        </w:rPr>
        <w:t xml:space="preserve">residential </w:t>
      </w:r>
      <w:r w:rsidR="00F10C1F">
        <w:rPr>
          <w:rFonts w:ascii="Times New Roman" w:hAnsi="Times New Roman" w:cs="Times New Roman"/>
        </w:rPr>
        <w:t xml:space="preserve">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0042464B">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provide an overview of the items required of the Company in Order No</w:t>
      </w:r>
      <w:r w:rsidR="00F10C1F" w:rsidRPr="00F03E78">
        <w:rPr>
          <w:rFonts w:ascii="Times New Roman" w:hAnsi="Times New Roman" w:cs="Times New Roman"/>
        </w:rPr>
        <w:t xml:space="preserve">. </w:t>
      </w:r>
      <w:r w:rsidR="00BE67DE" w:rsidRPr="00F03E78">
        <w:rPr>
          <w:rFonts w:ascii="Times New Roman" w:hAnsi="Times New Roman" w:cs="Times New Roman"/>
        </w:rPr>
        <w:t>0</w:t>
      </w:r>
      <w:r w:rsidR="000547A1" w:rsidRPr="00F03E78">
        <w:rPr>
          <w:rFonts w:ascii="Times New Roman" w:hAnsi="Times New Roman" w:cs="Times New Roman"/>
        </w:rPr>
        <w:t>5</w:t>
      </w:r>
      <w:r w:rsidR="00F10C1F">
        <w:rPr>
          <w:rFonts w:ascii="Times New Roman" w:hAnsi="Times New Roman" w:cs="Times New Roman"/>
        </w:rPr>
        <w:t xml:space="preserve">, </w:t>
      </w:r>
      <w:r w:rsidR="00B50A07">
        <w:rPr>
          <w:rFonts w:ascii="Times New Roman" w:hAnsi="Times New Roman" w:cs="Times New Roman"/>
        </w:rPr>
        <w:t>approving the</w:t>
      </w:r>
      <w:r w:rsidR="00F10C1F">
        <w:rPr>
          <w:rFonts w:ascii="Times New Roman" w:hAnsi="Times New Roman" w:cs="Times New Roman"/>
        </w:rPr>
        <w:t xml:space="preserve"> Se</w:t>
      </w:r>
      <w:r w:rsidR="0042464B">
        <w:rPr>
          <w:rFonts w:ascii="Times New Roman" w:hAnsi="Times New Roman" w:cs="Times New Roman"/>
        </w:rPr>
        <w:t>ttlement Stipulation, in Docket Nos.</w:t>
      </w:r>
      <w:r w:rsidR="00F10C1F">
        <w:rPr>
          <w:rFonts w:ascii="Times New Roman" w:hAnsi="Times New Roman" w:cs="Times New Roman"/>
        </w:rPr>
        <w:t xml:space="preserve"> </w:t>
      </w:r>
      <w:proofErr w:type="gramStart"/>
      <w:r w:rsidR="00F10C1F">
        <w:rPr>
          <w:rFonts w:ascii="Times New Roman" w:hAnsi="Times New Roman" w:cs="Times New Roman"/>
        </w:rPr>
        <w:t>UE-</w:t>
      </w:r>
      <w:r w:rsidR="000547A1">
        <w:rPr>
          <w:rFonts w:ascii="Times New Roman" w:hAnsi="Times New Roman" w:cs="Times New Roman"/>
        </w:rPr>
        <w:t>140188 &amp; UG-140189</w:t>
      </w:r>
      <w:r w:rsidR="00B50A07">
        <w:rPr>
          <w:rFonts w:ascii="Times New Roman" w:hAnsi="Times New Roman" w:cs="Times New Roman"/>
        </w:rPr>
        <w:t>.</w:t>
      </w:r>
      <w:proofErr w:type="gramEnd"/>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Are you sponsoring any </w:t>
      </w:r>
      <w:r w:rsidR="00B50A07">
        <w:rPr>
          <w:rStyle w:val="T11"/>
          <w:rFonts w:ascii="Times New Roman" w:hAnsi="Times New Roman" w:cs="Times New Roman"/>
        </w:rPr>
        <w:t>e</w:t>
      </w:r>
      <w:r w:rsidRPr="005540EB">
        <w:rPr>
          <w:rStyle w:val="T11"/>
          <w:rFonts w:ascii="Times New Roman" w:hAnsi="Times New Roman" w:cs="Times New Roman"/>
        </w:rPr>
        <w:t>xhibits that accompany your testimony?</w:t>
      </w:r>
    </w:p>
    <w:p w:rsidR="00015AD9"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7D16EF" w:rsidRPr="005540EB">
        <w:rPr>
          <w:rFonts w:ascii="Times New Roman" w:hAnsi="Times New Roman" w:cs="Times New Roman"/>
        </w:rPr>
        <w:t>Yes.  I am sponsoring Exhibit Nos._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-2), 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-3), and _</w:t>
      </w:r>
      <w:r w:rsidR="007D16EF">
        <w:rPr>
          <w:rFonts w:ascii="Times New Roman" w:hAnsi="Times New Roman" w:cs="Times New Roman"/>
        </w:rPr>
        <w:t>__</w:t>
      </w:r>
      <w:r w:rsidR="007D16EF" w:rsidRPr="005540EB">
        <w:rPr>
          <w:rFonts w:ascii="Times New Roman" w:hAnsi="Times New Roman" w:cs="Times New Roman"/>
          <w:iCs/>
        </w:rPr>
        <w:t>(</w:t>
      </w:r>
      <w:r w:rsidR="007D16EF">
        <w:rPr>
          <w:rFonts w:ascii="Times New Roman" w:hAnsi="Times New Roman" w:cs="Times New Roman"/>
          <w:iCs/>
        </w:rPr>
        <w:t>PDE</w:t>
      </w:r>
      <w:r w:rsidR="007D16EF" w:rsidRPr="005540EB">
        <w:rPr>
          <w:rFonts w:ascii="Times New Roman" w:hAnsi="Times New Roman" w:cs="Times New Roman"/>
          <w:iCs/>
        </w:rPr>
        <w:t>-4) related to the proposed electric increase, and Exhibit Nos.</w:t>
      </w:r>
      <w:r w:rsidR="007D16EF" w:rsidRPr="005540EB">
        <w:rPr>
          <w:rFonts w:ascii="Times New Roman" w:hAnsi="Times New Roman" w:cs="Times New Roman"/>
        </w:rPr>
        <w:t>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-5), 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-6), and 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 xml:space="preserve">-7) related to the proposed natural gas increase.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015AD9">
        <w:rPr>
          <w:rFonts w:ascii="Times New Roman" w:hAnsi="Times New Roman" w:cs="Times New Roman"/>
        </w:rPr>
        <w:t xml:space="preserve"> </w:t>
      </w:r>
      <w:r w:rsidR="0061606F">
        <w:rPr>
          <w:rFonts w:ascii="Times New Roman" w:hAnsi="Times New Roman" w:cs="Times New Roman"/>
        </w:rPr>
        <w:t xml:space="preserve"> </w:t>
      </w:r>
      <w:r w:rsidR="004C3DE4">
        <w:rPr>
          <w:rFonts w:ascii="Times New Roman" w:hAnsi="Times New Roman" w:cs="Times New Roman"/>
        </w:rPr>
        <w:t>A table of contents for my testimony is as follows:</w:t>
      </w:r>
    </w:p>
    <w:p w:rsidR="005540EB" w:rsidRPr="007B58C5" w:rsidRDefault="0061606F" w:rsidP="005A10A8">
      <w:pPr>
        <w:pStyle w:val="Heading1"/>
        <w:tabs>
          <w:tab w:val="left" w:pos="810"/>
          <w:tab w:val="left" w:pos="1440"/>
        </w:tabs>
        <w:ind w:right="-720" w:firstLine="720"/>
        <w:rPr>
          <w:b w:val="0"/>
          <w:u w:val="single"/>
        </w:rPr>
      </w:pPr>
      <w:r>
        <w:rPr>
          <w:b w:val="0"/>
          <w:u w:val="single"/>
        </w:rPr>
        <w:t>Description</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C37C56">
      <w:pPr>
        <w:numPr>
          <w:ilvl w:val="0"/>
          <w:numId w:val="33"/>
        </w:numPr>
        <w:tabs>
          <w:tab w:val="left" w:pos="810"/>
          <w:tab w:val="left" w:pos="1440"/>
          <w:tab w:val="left" w:pos="6120"/>
          <w:tab w:val="left" w:pos="792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0740D" w:rsidRPr="0061606F">
        <w:rPr>
          <w:bCs/>
          <w:szCs w:val="22"/>
        </w:rPr>
        <w:t xml:space="preserve">  </w:t>
      </w:r>
      <w:r w:rsidRPr="0061606F">
        <w:rPr>
          <w:bCs/>
          <w:szCs w:val="22"/>
        </w:rPr>
        <w:t>1</w:t>
      </w:r>
    </w:p>
    <w:p w:rsidR="005540EB" w:rsidRPr="003E2C1F" w:rsidRDefault="005540EB" w:rsidP="00C37C56">
      <w:pPr>
        <w:numPr>
          <w:ilvl w:val="0"/>
          <w:numId w:val="33"/>
        </w:numPr>
        <w:tabs>
          <w:tab w:val="right" w:pos="810"/>
          <w:tab w:val="left" w:pos="1440"/>
          <w:tab w:val="left" w:pos="6120"/>
          <w:tab w:val="left" w:pos="7920"/>
          <w:tab w:val="left" w:pos="8100"/>
        </w:tabs>
        <w:spacing w:line="360" w:lineRule="auto"/>
        <w:ind w:right="-720"/>
        <w:rPr>
          <w:bCs/>
          <w:szCs w:val="22"/>
        </w:rPr>
      </w:pPr>
      <w:r w:rsidRPr="003E2C1F">
        <w:rPr>
          <w:bCs/>
          <w:szCs w:val="22"/>
        </w:rPr>
        <w:t>Executive Summary</w:t>
      </w:r>
      <w:r w:rsidRPr="003E2C1F">
        <w:rPr>
          <w:bCs/>
          <w:szCs w:val="22"/>
        </w:rPr>
        <w:tab/>
        <w:t xml:space="preserve"> </w:t>
      </w:r>
      <w:r w:rsidRPr="003E2C1F">
        <w:rPr>
          <w:bCs/>
          <w:szCs w:val="22"/>
        </w:rPr>
        <w:tab/>
      </w:r>
      <w:r w:rsidR="0080740D">
        <w:rPr>
          <w:bCs/>
          <w:szCs w:val="22"/>
        </w:rPr>
        <w:t xml:space="preserve">  </w:t>
      </w:r>
      <w:r w:rsidR="008C51DB">
        <w:rPr>
          <w:bCs/>
          <w:szCs w:val="22"/>
        </w:rPr>
        <w:t>3</w:t>
      </w:r>
    </w:p>
    <w:p w:rsidR="005540EB" w:rsidRPr="003E2C1F" w:rsidRDefault="005540EB" w:rsidP="008E580F">
      <w:pPr>
        <w:numPr>
          <w:ilvl w:val="0"/>
          <w:numId w:val="33"/>
        </w:numPr>
        <w:tabs>
          <w:tab w:val="left" w:pos="810"/>
          <w:tab w:val="left" w:pos="1440"/>
        </w:tabs>
        <w:ind w:right="-720"/>
        <w:rPr>
          <w:bCs/>
          <w:szCs w:val="22"/>
        </w:rPr>
      </w:pPr>
      <w:r w:rsidRPr="003E2C1F">
        <w:rPr>
          <w:bCs/>
          <w:szCs w:val="22"/>
        </w:rPr>
        <w:t xml:space="preserve">Proposed Electric Revenue </w:t>
      </w:r>
      <w:r w:rsidR="000D3A30">
        <w:rPr>
          <w:bCs/>
          <w:szCs w:val="22"/>
        </w:rPr>
        <w:t>Changes</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80740D">
        <w:rPr>
          <w:bCs/>
          <w:szCs w:val="22"/>
        </w:rPr>
        <w:t xml:space="preserve">  </w:t>
      </w:r>
      <w:r w:rsidR="008C51DB">
        <w:rPr>
          <w:bCs/>
          <w:szCs w:val="22"/>
        </w:rPr>
        <w:t>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8C51DB">
        <w:rPr>
          <w:bCs/>
          <w:szCs w:val="22"/>
        </w:rPr>
        <w:t xml:space="preserve">  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w:t>
      </w:r>
      <w:r w:rsidR="008B0C99">
        <w:rPr>
          <w:bCs/>
          <w:szCs w:val="22"/>
        </w:rPr>
        <w:t>Rates within Schedules)</w:t>
      </w:r>
      <w:r w:rsidR="008B0C99">
        <w:rPr>
          <w:bCs/>
          <w:szCs w:val="22"/>
        </w:rPr>
        <w:tab/>
      </w:r>
      <w:r w:rsidR="008B0C99">
        <w:rPr>
          <w:bCs/>
          <w:szCs w:val="22"/>
        </w:rPr>
        <w:tab/>
      </w:r>
      <w:r w:rsidR="00D64945" w:rsidRPr="003E2C1F">
        <w:rPr>
          <w:bCs/>
          <w:szCs w:val="22"/>
        </w:rPr>
        <w:tab/>
      </w:r>
      <w:r w:rsidR="008C51DB">
        <w:rPr>
          <w:bCs/>
          <w:szCs w:val="22"/>
        </w:rPr>
        <w:t xml:space="preserve"> </w:t>
      </w:r>
      <w:r w:rsidR="00B96536">
        <w:rPr>
          <w:bCs/>
          <w:szCs w:val="22"/>
        </w:rPr>
        <w:t xml:space="preserve"> 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 xml:space="preserve">Proposed Natural Gas Revenue </w:t>
      </w:r>
      <w:r w:rsidR="000D3A30">
        <w:rPr>
          <w:bCs/>
          <w:szCs w:val="22"/>
        </w:rPr>
        <w:t>Changes</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lastRenderedPageBreak/>
        <w:t>Summary of Rate Schedules and Tariffs</w:t>
      </w:r>
      <w:r w:rsidRPr="003E2C1F">
        <w:rPr>
          <w:bCs/>
          <w:szCs w:val="22"/>
        </w:rPr>
        <w:tab/>
      </w:r>
      <w:r w:rsidR="00D64945" w:rsidRPr="003E2C1F">
        <w:rPr>
          <w:bCs/>
          <w:szCs w:val="22"/>
        </w:rPr>
        <w:tab/>
      </w:r>
      <w:r w:rsidR="00AC1DAD">
        <w:rPr>
          <w:bCs/>
          <w:szCs w:val="22"/>
        </w:rPr>
        <w:t>1</w:t>
      </w:r>
      <w:r w:rsidR="00B96536">
        <w:rPr>
          <w:bCs/>
          <w:szCs w:val="22"/>
        </w:rPr>
        <w:t>6</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ad (Inc</w:t>
      </w:r>
      <w:r w:rsidR="008B0C99">
        <w:rPr>
          <w:bCs/>
          <w:szCs w:val="22"/>
        </w:rPr>
        <w:t xml:space="preserve">rease by Schedule)  </w:t>
      </w:r>
      <w:r w:rsidR="008B0C99">
        <w:rPr>
          <w:bCs/>
          <w:szCs w:val="22"/>
        </w:rPr>
        <w:tab/>
      </w:r>
      <w:r w:rsidR="008B0C99">
        <w:rPr>
          <w:bCs/>
          <w:szCs w:val="22"/>
        </w:rPr>
        <w:tab/>
      </w:r>
      <w:r w:rsidR="00D64945" w:rsidRPr="003E2C1F">
        <w:rPr>
          <w:bCs/>
          <w:szCs w:val="22"/>
        </w:rPr>
        <w:tab/>
      </w:r>
      <w:r w:rsidR="008C51DB">
        <w:rPr>
          <w:bCs/>
          <w:szCs w:val="22"/>
        </w:rPr>
        <w:t>1</w:t>
      </w:r>
      <w:r w:rsidR="001E48C8">
        <w:rPr>
          <w:bCs/>
          <w:szCs w:val="22"/>
        </w:rPr>
        <w:t>8</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8C51DB">
        <w:rPr>
          <w:bCs/>
          <w:szCs w:val="22"/>
        </w:rPr>
        <w:t>2</w:t>
      </w:r>
      <w:r w:rsidR="001E48C8">
        <w:rPr>
          <w:bCs/>
          <w:szCs w:val="22"/>
        </w:rPr>
        <w:t>0</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C37C56">
      <w:pPr>
        <w:numPr>
          <w:ilvl w:val="0"/>
          <w:numId w:val="33"/>
        </w:numPr>
        <w:tabs>
          <w:tab w:val="left" w:pos="1440"/>
        </w:tabs>
        <w:spacing w:line="360" w:lineRule="auto"/>
        <w:ind w:right="-720"/>
        <w:rPr>
          <w:bCs/>
          <w:szCs w:val="22"/>
        </w:rPr>
      </w:pPr>
      <w:r w:rsidRPr="003E2C1F">
        <w:rPr>
          <w:bCs/>
          <w:szCs w:val="22"/>
        </w:rPr>
        <w:t>Basic Charge</w:t>
      </w:r>
      <w:r w:rsidR="00AA7417">
        <w:rPr>
          <w:bCs/>
          <w:szCs w:val="22"/>
        </w:rPr>
        <w:t xml:space="preserve"> for Schedules 1 &amp; 101 </w:t>
      </w:r>
      <w:r w:rsidRPr="003E2C1F">
        <w:rPr>
          <w:bCs/>
          <w:szCs w:val="22"/>
        </w:rPr>
        <w:tab/>
      </w:r>
      <w:r w:rsidR="00AA7417">
        <w:rPr>
          <w:bCs/>
          <w:szCs w:val="22"/>
        </w:rPr>
        <w:tab/>
      </w:r>
      <w:r w:rsidRPr="003E2C1F">
        <w:rPr>
          <w:bCs/>
          <w:szCs w:val="22"/>
        </w:rPr>
        <w:tab/>
      </w:r>
      <w:r w:rsidRPr="003E2C1F">
        <w:rPr>
          <w:bCs/>
          <w:szCs w:val="22"/>
        </w:rPr>
        <w:tab/>
      </w:r>
      <w:r w:rsidRPr="003E2C1F">
        <w:rPr>
          <w:bCs/>
          <w:szCs w:val="22"/>
        </w:rPr>
        <w:tab/>
      </w:r>
      <w:r w:rsidR="001E48C8">
        <w:rPr>
          <w:bCs/>
          <w:szCs w:val="22"/>
        </w:rPr>
        <w:t>24</w:t>
      </w:r>
    </w:p>
    <w:p w:rsidR="002F3BC3" w:rsidRDefault="00AD03A5" w:rsidP="00C37C56">
      <w:pPr>
        <w:numPr>
          <w:ilvl w:val="0"/>
          <w:numId w:val="33"/>
        </w:numPr>
        <w:tabs>
          <w:tab w:val="left" w:pos="1440"/>
        </w:tabs>
        <w:spacing w:line="360" w:lineRule="auto"/>
        <w:ind w:right="-720"/>
        <w:rPr>
          <w:bCs/>
          <w:szCs w:val="22"/>
        </w:rPr>
      </w:pPr>
      <w:r w:rsidRPr="003E2C1F">
        <w:rPr>
          <w:bCs/>
          <w:szCs w:val="22"/>
        </w:rPr>
        <w:t>Summary of UE-</w:t>
      </w:r>
      <w:r w:rsidR="000D3A30">
        <w:rPr>
          <w:bCs/>
          <w:szCs w:val="22"/>
        </w:rPr>
        <w:t>140188</w:t>
      </w:r>
      <w:r w:rsidRPr="003E2C1F">
        <w:rPr>
          <w:bCs/>
          <w:szCs w:val="22"/>
        </w:rPr>
        <w:t>/UG-</w:t>
      </w:r>
      <w:r w:rsidR="000D3A30">
        <w:rPr>
          <w:bCs/>
          <w:szCs w:val="22"/>
        </w:rPr>
        <w:t>140189</w:t>
      </w:r>
      <w:r w:rsidRPr="003E2C1F">
        <w:rPr>
          <w:bCs/>
          <w:szCs w:val="22"/>
        </w:rPr>
        <w:t xml:space="preserve"> Order </w:t>
      </w:r>
      <w:r w:rsidR="000E2E27" w:rsidRPr="003E2C1F">
        <w:rPr>
          <w:bCs/>
          <w:szCs w:val="22"/>
        </w:rPr>
        <w:t>No.</w:t>
      </w:r>
      <w:r w:rsidR="000D3A30">
        <w:rPr>
          <w:bCs/>
          <w:szCs w:val="22"/>
        </w:rPr>
        <w:t xml:space="preserve"> 05</w:t>
      </w:r>
      <w:r w:rsidRPr="003E2C1F">
        <w:rPr>
          <w:bCs/>
          <w:szCs w:val="22"/>
        </w:rPr>
        <w:t xml:space="preserve"> Requirements</w:t>
      </w:r>
      <w:r w:rsidR="004E4650" w:rsidRPr="003E2C1F">
        <w:rPr>
          <w:bCs/>
          <w:szCs w:val="22"/>
        </w:rPr>
        <w:tab/>
      </w:r>
      <w:r w:rsidR="008C51DB">
        <w:rPr>
          <w:bCs/>
          <w:szCs w:val="22"/>
        </w:rPr>
        <w:t>3</w:t>
      </w:r>
      <w:r w:rsidR="001E48C8">
        <w:rPr>
          <w:bCs/>
          <w:szCs w:val="22"/>
        </w:rPr>
        <w:t>6</w:t>
      </w:r>
    </w:p>
    <w:p w:rsidR="0042464B" w:rsidRPr="00916D0F" w:rsidRDefault="0042464B" w:rsidP="00C37C56">
      <w:pPr>
        <w:numPr>
          <w:ilvl w:val="0"/>
          <w:numId w:val="33"/>
        </w:numPr>
        <w:tabs>
          <w:tab w:val="left" w:pos="1440"/>
        </w:tabs>
        <w:spacing w:line="360" w:lineRule="auto"/>
        <w:ind w:right="-720"/>
        <w:rPr>
          <w:bCs/>
          <w:szCs w:val="22"/>
        </w:rPr>
      </w:pPr>
      <w:r>
        <w:rPr>
          <w:bCs/>
          <w:szCs w:val="22"/>
        </w:rPr>
        <w:t>Other Items</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1E48C8">
        <w:rPr>
          <w:bCs/>
          <w:szCs w:val="22"/>
        </w:rPr>
        <w:t>38</w:t>
      </w:r>
    </w:p>
    <w:p w:rsidR="006753D1" w:rsidRDefault="006753D1">
      <w:pPr>
        <w:autoSpaceDE/>
        <w:autoSpaceDN/>
        <w:rPr>
          <w:b/>
          <w:szCs w:val="20"/>
          <w:u w:val="single"/>
        </w:rPr>
      </w:pPr>
    </w:p>
    <w:p w:rsidR="005540EB" w:rsidRPr="001D76D1" w:rsidRDefault="005540EB" w:rsidP="005540EB">
      <w:pPr>
        <w:pStyle w:val="P267"/>
        <w:tabs>
          <w:tab w:val="clear" w:pos="360"/>
          <w:tab w:val="left" w:pos="0"/>
        </w:tabs>
        <w:ind w:left="0"/>
        <w:jc w:val="center"/>
        <w:rPr>
          <w:rFonts w:ascii="Times New Roman" w:hAnsi="Times New Roman" w:cs="Times New Roman"/>
        </w:rPr>
      </w:pPr>
      <w:r w:rsidRPr="001D76D1">
        <w:rPr>
          <w:rFonts w:ascii="Times New Roman" w:hAnsi="Times New Roman" w:cs="Times New Roman"/>
        </w:rPr>
        <w:t>II</w:t>
      </w:r>
      <w:proofErr w:type="gramStart"/>
      <w:r w:rsidRPr="001D76D1">
        <w:rPr>
          <w:rFonts w:ascii="Times New Roman" w:hAnsi="Times New Roman" w:cs="Times New Roman"/>
        </w:rPr>
        <w:t>.  EXECUTIVE</w:t>
      </w:r>
      <w:proofErr w:type="gramEnd"/>
      <w:r w:rsidRPr="001D76D1">
        <w:rPr>
          <w:rFonts w:ascii="Times New Roman" w:hAnsi="Times New Roman" w:cs="Times New Roman"/>
        </w:rPr>
        <w:t xml:space="preser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 xml:space="preserve">Proposed Electric </w:t>
      </w:r>
      <w:r w:rsidR="007D16EF">
        <w:rPr>
          <w:rFonts w:ascii="Times New Roman" w:hAnsi="Times New Roman" w:cs="Times New Roman"/>
        </w:rPr>
        <w:t>Increase</w:t>
      </w:r>
    </w:p>
    <w:p w:rsidR="00657437" w:rsidRDefault="007D16EF" w:rsidP="00657437">
      <w:pPr>
        <w:pStyle w:val="P31"/>
        <w:jc w:val="both"/>
        <w:rPr>
          <w:rFonts w:ascii="Times New Roman" w:hAnsi="Times New Roman" w:cs="Times New Roman"/>
          <w:b/>
        </w:rPr>
      </w:pPr>
      <w:r w:rsidRPr="007D16EF">
        <w:rPr>
          <w:rFonts w:ascii="Times New Roman" w:hAnsi="Times New Roman" w:cs="Times New Roman"/>
          <w:b/>
        </w:rPr>
        <w:t>Q.</w:t>
      </w:r>
      <w:r w:rsidRPr="007D16EF">
        <w:rPr>
          <w:rFonts w:ascii="Times New Roman" w:hAnsi="Times New Roman" w:cs="Times New Roman"/>
          <w:b/>
        </w:rPr>
        <w:tab/>
        <w:t>What is the proposed electric revenue increase in this case and how is the Company proposing to spread the total increase by rate schedule?</w:t>
      </w:r>
    </w:p>
    <w:p w:rsidR="005E2247" w:rsidRPr="001D76D1" w:rsidRDefault="00657437" w:rsidP="00657437">
      <w:pPr>
        <w:pStyle w:val="P31"/>
        <w:jc w:val="both"/>
        <w:rPr>
          <w:rFonts w:ascii="Times New Roman" w:hAnsi="Times New Roman" w:cs="Times New Roman"/>
        </w:rPr>
      </w:pPr>
      <w:r w:rsidRPr="00657437">
        <w:rPr>
          <w:rFonts w:ascii="Times New Roman" w:hAnsi="Times New Roman" w:cs="Times New Roman"/>
        </w:rPr>
        <w:t>A.</w:t>
      </w:r>
      <w:r w:rsidRPr="00657437">
        <w:rPr>
          <w:rFonts w:ascii="Times New Roman" w:hAnsi="Times New Roman" w:cs="Times New Roman"/>
        </w:rPr>
        <w:tab/>
      </w:r>
      <w:r w:rsidR="005540EB" w:rsidRPr="00657437">
        <w:rPr>
          <w:rFonts w:ascii="Times New Roman" w:hAnsi="Times New Roman" w:cs="Times New Roman"/>
        </w:rPr>
        <w:t>The</w:t>
      </w:r>
      <w:r w:rsidR="005540EB" w:rsidRPr="00A47B5B">
        <w:rPr>
          <w:rFonts w:ascii="Times New Roman" w:hAnsi="Times New Roman" w:cs="Times New Roman"/>
        </w:rPr>
        <w:t xml:space="preserve"> proposed electric </w:t>
      </w:r>
      <w:r w:rsidR="00817342">
        <w:rPr>
          <w:rFonts w:ascii="Times New Roman" w:hAnsi="Times New Roman" w:cs="Times New Roman"/>
        </w:rPr>
        <w:t>rate adjustment is an increase of</w:t>
      </w:r>
      <w:r w:rsidR="005540EB" w:rsidRPr="00A47B5B">
        <w:rPr>
          <w:rFonts w:ascii="Times New Roman" w:hAnsi="Times New Roman" w:cs="Times New Roman"/>
        </w:rPr>
        <w:t xml:space="preserve"> </w:t>
      </w:r>
      <w:r w:rsidR="0042464B">
        <w:rPr>
          <w:rFonts w:ascii="Times New Roman" w:hAnsi="Times New Roman" w:cs="Times New Roman"/>
        </w:rPr>
        <w:t>$33,229,000</w:t>
      </w:r>
      <w:r w:rsidR="00CB3A2C" w:rsidRPr="004A14EC">
        <w:rPr>
          <w:rFonts w:ascii="Times New Roman" w:hAnsi="Times New Roman" w:cs="Times New Roman"/>
        </w:rPr>
        <w:t>, or</w:t>
      </w:r>
      <w:r w:rsidR="0042464B">
        <w:rPr>
          <w:rFonts w:ascii="Times New Roman" w:hAnsi="Times New Roman" w:cs="Times New Roman"/>
        </w:rPr>
        <w:t xml:space="preserve"> 6.</w:t>
      </w:r>
      <w:r w:rsidR="00F03E78">
        <w:rPr>
          <w:rFonts w:ascii="Times New Roman" w:hAnsi="Times New Roman" w:cs="Times New Roman"/>
        </w:rPr>
        <w:t>6</w:t>
      </w:r>
      <w:r w:rsidR="0042464B">
        <w:rPr>
          <w:rFonts w:ascii="Times New Roman" w:hAnsi="Times New Roman" w:cs="Times New Roman"/>
        </w:rPr>
        <w:t>%</w:t>
      </w:r>
      <w:r w:rsidR="006C2E1E">
        <w:rPr>
          <w:rFonts w:ascii="Times New Roman" w:hAnsi="Times New Roman" w:cs="Times New Roman"/>
        </w:rPr>
        <w:t>,</w:t>
      </w:r>
      <w:r w:rsidR="0042464B">
        <w:rPr>
          <w:rFonts w:ascii="Times New Roman" w:hAnsi="Times New Roman" w:cs="Times New Roman"/>
        </w:rPr>
        <w:t xml:space="preserve"> </w:t>
      </w:r>
      <w:r w:rsidR="005540EB" w:rsidRPr="004A14EC">
        <w:rPr>
          <w:rFonts w:ascii="Times New Roman" w:hAnsi="Times New Roman" w:cs="Times New Roman"/>
        </w:rPr>
        <w:t>over</w:t>
      </w:r>
      <w:r w:rsidR="005540EB" w:rsidRPr="00A47B5B">
        <w:rPr>
          <w:rFonts w:ascii="Times New Roman" w:hAnsi="Times New Roman" w:cs="Times New Roman"/>
        </w:rPr>
        <w:t xml:space="preserve"> present tariff </w:t>
      </w:r>
      <w:r w:rsidR="002E0B86">
        <w:rPr>
          <w:rFonts w:ascii="Times New Roman" w:hAnsi="Times New Roman" w:cs="Times New Roman"/>
        </w:rPr>
        <w:t>revenues</w:t>
      </w:r>
      <w:r w:rsidR="005540EB" w:rsidRPr="00A47B5B">
        <w:rPr>
          <w:rFonts w:ascii="Times New Roman" w:hAnsi="Times New Roman" w:cs="Times New Roman"/>
        </w:rPr>
        <w:t xml:space="preserve">. </w:t>
      </w:r>
      <w:r w:rsidR="00822621">
        <w:rPr>
          <w:rFonts w:ascii="Times New Roman" w:hAnsi="Times New Roman" w:cs="Times New Roman"/>
        </w:rPr>
        <w:t xml:space="preserve"> </w:t>
      </w:r>
      <w:r w:rsidR="004A14EC" w:rsidRPr="00A47B5B">
        <w:rPr>
          <w:rFonts w:ascii="Times New Roman" w:hAnsi="Times New Roman" w:cs="Times New Roman"/>
        </w:rPr>
        <w:t xml:space="preserve">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w:t>
      </w:r>
      <w:r w:rsidR="002E0B86">
        <w:rPr>
          <w:rFonts w:ascii="Times New Roman" w:hAnsi="Times New Roman" w:cs="Times New Roman"/>
        </w:rPr>
        <w:t>revenues</w:t>
      </w:r>
      <w:r w:rsidR="004A14EC" w:rsidRPr="00A47B5B">
        <w:rPr>
          <w:rFonts w:ascii="Times New Roman" w:hAnsi="Times New Roman" w:cs="Times New Roman"/>
        </w:rPr>
        <w:t xml:space="preserve">, including </w:t>
      </w:r>
      <w:r w:rsidR="00BE7011">
        <w:rPr>
          <w:rFonts w:ascii="Times New Roman" w:hAnsi="Times New Roman" w:cs="Times New Roman"/>
        </w:rPr>
        <w:t xml:space="preserve">the effects of </w:t>
      </w:r>
      <w:r w:rsidR="004A14EC" w:rsidRPr="00A47B5B">
        <w:rPr>
          <w:rFonts w:ascii="Times New Roman" w:hAnsi="Times New Roman" w:cs="Times New Roman"/>
        </w:rPr>
        <w:t>other</w:t>
      </w:r>
      <w:r w:rsidR="00BE7011">
        <w:rPr>
          <w:rFonts w:ascii="Times New Roman" w:hAnsi="Times New Roman" w:cs="Times New Roman"/>
        </w:rPr>
        <w:t xml:space="preserve"> approved</w:t>
      </w:r>
      <w:r w:rsidR="004A14EC" w:rsidRPr="00A47B5B">
        <w:rPr>
          <w:rFonts w:ascii="Times New Roman" w:hAnsi="Times New Roman" w:cs="Times New Roman"/>
        </w:rPr>
        <w:t xml:space="preserve"> rate adjustments (DSM</w:t>
      </w:r>
      <w:r w:rsidR="00BE7011">
        <w:rPr>
          <w:rFonts w:ascii="Times New Roman" w:hAnsi="Times New Roman" w:cs="Times New Roman"/>
        </w:rPr>
        <w:t xml:space="preserve">, </w:t>
      </w:r>
      <w:r w:rsidR="00B50A07">
        <w:rPr>
          <w:rFonts w:ascii="Times New Roman" w:hAnsi="Times New Roman" w:cs="Times New Roman"/>
        </w:rPr>
        <w:t>LIRAP, Residential Exchange and the ERM</w:t>
      </w:r>
      <w:r w:rsidR="006C7E37">
        <w:rPr>
          <w:rFonts w:ascii="Times New Roman" w:hAnsi="Times New Roman" w:cs="Times New Roman"/>
        </w:rPr>
        <w:t xml:space="preserve"> and</w:t>
      </w:r>
      <w:r w:rsidR="00B50A07">
        <w:rPr>
          <w:rFonts w:ascii="Times New Roman" w:hAnsi="Times New Roman" w:cs="Times New Roman"/>
        </w:rPr>
        <w:t xml:space="preserve"> REC Revenue Rebates</w:t>
      </w:r>
      <w:r w:rsidR="00817342">
        <w:rPr>
          <w:rFonts w:ascii="Times New Roman" w:hAnsi="Times New Roman" w:cs="Times New Roman"/>
        </w:rPr>
        <w:t>)</w:t>
      </w:r>
      <w:r w:rsidR="006456F0">
        <w:rPr>
          <w:rFonts w:ascii="Times New Roman" w:hAnsi="Times New Roman" w:cs="Times New Roman"/>
        </w:rPr>
        <w:t xml:space="preserve"> </w:t>
      </w:r>
      <w:r w:rsidR="004A14EC" w:rsidRPr="00A47B5B">
        <w:rPr>
          <w:rFonts w:ascii="Times New Roman" w:hAnsi="Times New Roman" w:cs="Times New Roman"/>
        </w:rPr>
        <w:t xml:space="preserve">is </w:t>
      </w:r>
      <w:r w:rsidR="00F03E78">
        <w:rPr>
          <w:rFonts w:ascii="Times New Roman" w:hAnsi="Times New Roman" w:cs="Times New Roman"/>
        </w:rPr>
        <w:t>6.7</w:t>
      </w:r>
      <w:r w:rsidR="004A14EC" w:rsidRPr="00A47B5B">
        <w:rPr>
          <w:rFonts w:ascii="Times New Roman" w:hAnsi="Times New Roman" w:cs="Times New Roman"/>
        </w:rPr>
        <w:t>%</w:t>
      </w:r>
      <w:r w:rsidR="00600A93">
        <w:rPr>
          <w:rStyle w:val="FootnoteReference"/>
          <w:rFonts w:ascii="Times New Roman" w:hAnsi="Times New Roman"/>
        </w:rPr>
        <w:footnoteReference w:id="1"/>
      </w:r>
      <w:r w:rsidR="004A14EC" w:rsidRPr="00A47B5B">
        <w:rPr>
          <w:rFonts w:ascii="Times New Roman" w:hAnsi="Times New Roman" w:cs="Times New Roman"/>
        </w:rPr>
        <w:t xml:space="preserve">.  </w:t>
      </w:r>
      <w:r w:rsidR="00BE7011">
        <w:rPr>
          <w:rFonts w:ascii="Times New Roman" w:hAnsi="Times New Roman" w:cs="Times New Roman"/>
        </w:rPr>
        <w:t>The Company is</w:t>
      </w:r>
      <w:r w:rsidR="004C3DE4">
        <w:rPr>
          <w:rFonts w:ascii="Times New Roman" w:hAnsi="Times New Roman" w:cs="Times New Roman"/>
        </w:rPr>
        <w:t xml:space="preserve"> proposing that the</w:t>
      </w:r>
      <w:r w:rsidR="00BE7011">
        <w:rPr>
          <w:rFonts w:ascii="Times New Roman" w:hAnsi="Times New Roman" w:cs="Times New Roman"/>
        </w:rPr>
        <w:t xml:space="preserve"> </w:t>
      </w:r>
      <w:r w:rsidR="00371D94" w:rsidRPr="00A47B5B">
        <w:rPr>
          <w:rFonts w:ascii="Times New Roman" w:hAnsi="Times New Roman" w:cs="Times New Roman"/>
        </w:rPr>
        <w:t xml:space="preserve">base rate </w:t>
      </w:r>
      <w:r w:rsidR="005540EB" w:rsidRPr="00A47B5B">
        <w:rPr>
          <w:rFonts w:ascii="Times New Roman" w:hAnsi="Times New Roman" w:cs="Times New Roman"/>
        </w:rPr>
        <w:t xml:space="preserve">increase of </w:t>
      </w:r>
      <w:r w:rsidR="0042464B">
        <w:rPr>
          <w:rFonts w:ascii="Times New Roman" w:hAnsi="Times New Roman" w:cs="Times New Roman"/>
        </w:rPr>
        <w:t xml:space="preserve">$33,229,000 </w:t>
      </w:r>
      <w:r w:rsidR="004C3DE4">
        <w:rPr>
          <w:rFonts w:ascii="Times New Roman" w:hAnsi="Times New Roman" w:cs="Times New Roman"/>
        </w:rPr>
        <w:t>be</w:t>
      </w:r>
      <w:r w:rsidR="005540EB" w:rsidRPr="00A47B5B">
        <w:rPr>
          <w:rFonts w:ascii="Times New Roman" w:hAnsi="Times New Roman" w:cs="Times New Roman"/>
        </w:rPr>
        <w:t xml:space="preserve"> spread </w:t>
      </w:r>
      <w:r w:rsidR="005F3BDA">
        <w:rPr>
          <w:rFonts w:ascii="Times New Roman" w:hAnsi="Times New Roman" w:cs="Times New Roman"/>
        </w:rPr>
        <w:t>utilizing</w:t>
      </w:r>
      <w:r w:rsidR="005F3BDA" w:rsidRPr="00CE7021">
        <w:rPr>
          <w:rFonts w:ascii="Times New Roman" w:hAnsi="Times New Roman" w:cs="Times New Roman"/>
        </w:rPr>
        <w:t xml:space="preserve"> the results of the </w:t>
      </w:r>
      <w:r w:rsidR="005F3BDA">
        <w:rPr>
          <w:rFonts w:ascii="Times New Roman" w:hAnsi="Times New Roman" w:cs="Times New Roman"/>
        </w:rPr>
        <w:t>electric</w:t>
      </w:r>
      <w:r w:rsidR="005F3BDA" w:rsidRPr="00CE7021">
        <w:rPr>
          <w:rFonts w:ascii="Times New Roman" w:hAnsi="Times New Roman" w:cs="Times New Roman"/>
        </w:rPr>
        <w:t xml:space="preserve"> cost of service study, sponsored by Company witness M</w:t>
      </w:r>
      <w:r w:rsidR="005F3BDA">
        <w:rPr>
          <w:rFonts w:ascii="Times New Roman" w:hAnsi="Times New Roman" w:cs="Times New Roman"/>
        </w:rPr>
        <w:t>s</w:t>
      </w:r>
      <w:r w:rsidR="005F3BDA" w:rsidRPr="00CE7021">
        <w:rPr>
          <w:rFonts w:ascii="Times New Roman" w:hAnsi="Times New Roman" w:cs="Times New Roman"/>
        </w:rPr>
        <w:t xml:space="preserve">. </w:t>
      </w:r>
      <w:r w:rsidR="005F3BDA">
        <w:rPr>
          <w:rFonts w:ascii="Times New Roman" w:hAnsi="Times New Roman" w:cs="Times New Roman"/>
        </w:rPr>
        <w:t>Knox</w:t>
      </w:r>
      <w:r w:rsidR="005F3BDA" w:rsidRPr="00CE7021">
        <w:rPr>
          <w:rFonts w:ascii="Times New Roman" w:hAnsi="Times New Roman" w:cs="Times New Roman"/>
        </w:rPr>
        <w:t>, as a guide in spreading the overall revenue increase</w:t>
      </w:r>
      <w:r w:rsidR="005F3BDA">
        <w:rPr>
          <w:rFonts w:ascii="Times New Roman" w:hAnsi="Times New Roman" w:cs="Times New Roman"/>
        </w:rPr>
        <w:t xml:space="preserve">.  </w:t>
      </w:r>
      <w:r w:rsidR="005540EB" w:rsidRPr="00A47B5B">
        <w:rPr>
          <w:rFonts w:ascii="Times New Roman" w:hAnsi="Times New Roman" w:cs="Times New Roman"/>
        </w:rPr>
        <w:t xml:space="preserve">The proposed percentage increase by rate schedule is as follows: </w:t>
      </w:r>
    </w:p>
    <w:p w:rsidR="005540EB" w:rsidRPr="00B5246C" w:rsidRDefault="006C7E37" w:rsidP="00711833">
      <w:pPr>
        <w:pStyle w:val="P31"/>
        <w:jc w:val="both"/>
        <w:rPr>
          <w:rFonts w:ascii="Times New Roman" w:hAnsi="Times New Roman" w:cs="Times New Roman"/>
        </w:rPr>
      </w:pPr>
      <w:r w:rsidRPr="006C7E37">
        <w:rPr>
          <w:noProof/>
        </w:rPr>
        <w:drawing>
          <wp:anchor distT="0" distB="0" distL="114300" distR="114300" simplePos="0" relativeHeight="251958784" behindDoc="1" locked="0" layoutInCell="1" allowOverlap="1">
            <wp:simplePos x="0" y="0"/>
            <wp:positionH relativeFrom="column">
              <wp:posOffset>477975</wp:posOffset>
            </wp:positionH>
            <wp:positionV relativeFrom="paragraph">
              <wp:posOffset>851</wp:posOffset>
            </wp:positionV>
            <wp:extent cx="4820369" cy="2044460"/>
            <wp:effectExtent l="1905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820369" cy="2044460"/>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5540EB" w:rsidRPr="00944313" w:rsidRDefault="005540EB" w:rsidP="00B50A07">
      <w:pPr>
        <w:pStyle w:val="P31"/>
        <w:ind w:firstLine="0"/>
        <w:jc w:val="both"/>
        <w:rPr>
          <w:rFonts w:ascii="Times New Roman" w:hAnsi="Times New Roman" w:cs="Times New Roman"/>
        </w:rPr>
      </w:pPr>
      <w:r w:rsidRPr="005540EB">
        <w:rPr>
          <w:rFonts w:ascii="Times New Roman" w:hAnsi="Times New Roman" w:cs="Times New Roman"/>
        </w:rPr>
        <w:lastRenderedPageBreak/>
        <w:t xml:space="preserve">This information is shown </w:t>
      </w:r>
      <w:r w:rsidR="001D224A">
        <w:rPr>
          <w:rFonts w:ascii="Times New Roman" w:hAnsi="Times New Roman" w:cs="Times New Roman"/>
        </w:rPr>
        <w:t>with more</w:t>
      </w:r>
      <w:r w:rsidR="006C7E37">
        <w:rPr>
          <w:rFonts w:ascii="Times New Roman" w:hAnsi="Times New Roman" w:cs="Times New Roman"/>
        </w:rPr>
        <w:t xml:space="preserve"> detail on page 1</w:t>
      </w:r>
      <w:r w:rsidRPr="005540EB">
        <w:rPr>
          <w:rFonts w:ascii="Times New Roman" w:hAnsi="Times New Roman" w:cs="Times New Roman"/>
        </w:rPr>
        <w:t xml:space="preserve">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w:t>
      </w:r>
      <w:r w:rsidR="00657437">
        <w:rPr>
          <w:rFonts w:ascii="Times New Roman" w:hAnsi="Times New Roman" w:cs="Times New Roman"/>
        </w:rPr>
        <w:t>4</w:t>
      </w:r>
      <w:r w:rsidRPr="005540EB">
        <w:rPr>
          <w:rFonts w:ascii="Times New Roman" w:hAnsi="Times New Roman" w:cs="Times New Roman"/>
        </w:rPr>
        <w:t xml:space="preserve">).  </w:t>
      </w:r>
    </w:p>
    <w:p w:rsidR="00657437" w:rsidRPr="005540EB" w:rsidRDefault="00657437" w:rsidP="00657437">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p>
    <w:p w:rsidR="00657437" w:rsidRPr="00BC5C99" w:rsidRDefault="00657437" w:rsidP="00657437">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w:t>
      </w:r>
      <w:r w:rsidRPr="00B40081">
        <w:rPr>
          <w:rFonts w:ascii="Times New Roman" w:hAnsi="Times New Roman" w:cs="Times New Roman"/>
        </w:rPr>
        <w:t xml:space="preserve">average of </w:t>
      </w:r>
      <w:r w:rsidR="005869EC">
        <w:rPr>
          <w:rFonts w:ascii="Times New Roman" w:hAnsi="Times New Roman" w:cs="Times New Roman"/>
        </w:rPr>
        <w:t>966</w:t>
      </w:r>
      <w:r>
        <w:rPr>
          <w:rFonts w:ascii="Times New Roman" w:hAnsi="Times New Roman" w:cs="Times New Roman"/>
        </w:rPr>
        <w:t xml:space="preserve"> </w:t>
      </w:r>
      <w:r w:rsidRPr="00A47B5B">
        <w:rPr>
          <w:rFonts w:ascii="Times New Roman" w:hAnsi="Times New Roman" w:cs="Times New Roman"/>
        </w:rPr>
        <w:t xml:space="preserve">kWhs per month </w:t>
      </w:r>
      <w:r w:rsidRPr="006456F0">
        <w:rPr>
          <w:rFonts w:ascii="Times New Roman" w:hAnsi="Times New Roman" w:cs="Times New Roman"/>
        </w:rPr>
        <w:t>is $</w:t>
      </w:r>
      <w:r w:rsidR="003E19C9">
        <w:rPr>
          <w:rFonts w:ascii="Times New Roman" w:hAnsi="Times New Roman" w:cs="Times New Roman"/>
        </w:rPr>
        <w:t>6.45</w:t>
      </w:r>
      <w:r w:rsidRPr="006456F0">
        <w:rPr>
          <w:rFonts w:ascii="Times New Roman" w:hAnsi="Times New Roman" w:cs="Times New Roman"/>
        </w:rPr>
        <w:t xml:space="preserve"> per month, or a </w:t>
      </w:r>
      <w:r w:rsidR="003E19C9">
        <w:rPr>
          <w:rFonts w:ascii="Times New Roman" w:hAnsi="Times New Roman" w:cs="Times New Roman"/>
        </w:rPr>
        <w:t>7.9</w:t>
      </w:r>
      <w:r w:rsidRPr="006456F0">
        <w:rPr>
          <w:rFonts w:ascii="Times New Roman" w:hAnsi="Times New Roman" w:cs="Times New Roman"/>
        </w:rPr>
        <w:t xml:space="preserve">% increase in their electric bill.  The present bill for </w:t>
      </w:r>
      <w:r w:rsidR="005869EC">
        <w:rPr>
          <w:rFonts w:ascii="Times New Roman" w:hAnsi="Times New Roman" w:cs="Times New Roman"/>
        </w:rPr>
        <w:t>966</w:t>
      </w:r>
      <w:r w:rsidRPr="006456F0">
        <w:rPr>
          <w:rFonts w:ascii="Times New Roman" w:hAnsi="Times New Roman" w:cs="Times New Roman"/>
        </w:rPr>
        <w:t xml:space="preserve"> kWhs is $</w:t>
      </w:r>
      <w:r w:rsidR="003E19C9">
        <w:rPr>
          <w:rFonts w:ascii="Times New Roman" w:hAnsi="Times New Roman" w:cs="Times New Roman"/>
        </w:rPr>
        <w:t>81.22</w:t>
      </w:r>
      <w:r w:rsidRPr="006456F0">
        <w:rPr>
          <w:rFonts w:ascii="Times New Roman" w:hAnsi="Times New Roman" w:cs="Times New Roman"/>
        </w:rPr>
        <w:t xml:space="preserve"> compared to the proposed level of $8</w:t>
      </w:r>
      <w:r w:rsidR="003E19C9">
        <w:rPr>
          <w:rFonts w:ascii="Times New Roman" w:hAnsi="Times New Roman" w:cs="Times New Roman"/>
        </w:rPr>
        <w:t>7.67</w:t>
      </w:r>
      <w:r w:rsidRPr="006456F0">
        <w:rPr>
          <w:rFonts w:ascii="Times New Roman" w:hAnsi="Times New Roman" w:cs="Times New Roman"/>
        </w:rPr>
        <w:t>,</w:t>
      </w:r>
      <w:r w:rsidRPr="00A47B5B">
        <w:rPr>
          <w:rFonts w:ascii="Times New Roman" w:hAnsi="Times New Roman" w:cs="Times New Roman"/>
        </w:rPr>
        <w:t xml:space="preserve"> including all rate adjustments.  The Company is proposing to</w:t>
      </w:r>
      <w:r>
        <w:rPr>
          <w:rFonts w:ascii="Times New Roman" w:hAnsi="Times New Roman" w:cs="Times New Roman"/>
        </w:rPr>
        <w:t xml:space="preserve"> change the basic charge from $8.50 per month </w:t>
      </w:r>
      <w:r w:rsidRPr="00DB7F95">
        <w:rPr>
          <w:rFonts w:ascii="Times New Roman" w:hAnsi="Times New Roman" w:cs="Times New Roman"/>
        </w:rPr>
        <w:t xml:space="preserve">to </w:t>
      </w:r>
      <w:r w:rsidR="00F234BF">
        <w:rPr>
          <w:rFonts w:ascii="Times New Roman" w:hAnsi="Times New Roman" w:cs="Times New Roman"/>
        </w:rPr>
        <w:t>$14</w:t>
      </w:r>
      <w:r w:rsidRPr="00DB7F95">
        <w:rPr>
          <w:rFonts w:ascii="Times New Roman" w:hAnsi="Times New Roman" w:cs="Times New Roman"/>
        </w:rPr>
        <w:t>.00</w:t>
      </w:r>
      <w:r>
        <w:rPr>
          <w:rFonts w:ascii="Times New Roman" w:hAnsi="Times New Roman" w:cs="Times New Roman"/>
        </w:rPr>
        <w:t xml:space="preserve"> per month.</w:t>
      </w:r>
    </w:p>
    <w:p w:rsidR="005540EB" w:rsidRPr="005540EB" w:rsidRDefault="005540EB" w:rsidP="00711833">
      <w:pPr>
        <w:pStyle w:val="P131"/>
        <w:numPr>
          <w:ilvl w:val="0"/>
          <w:numId w:val="16"/>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91C2B">
      <w:pPr>
        <w:pStyle w:val="P157"/>
        <w:numPr>
          <w:ilvl w:val="0"/>
          <w:numId w:val="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4C3DE4" w:rsidRDefault="005540EB" w:rsidP="004C3DE4">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w:t>
      </w:r>
      <w:r w:rsidR="00657437">
        <w:rPr>
          <w:rFonts w:ascii="Times New Roman" w:hAnsi="Times New Roman" w:cs="Times New Roman"/>
        </w:rPr>
        <w:t>4</w:t>
      </w:r>
      <w:r w:rsidRPr="005540EB">
        <w:rPr>
          <w:rFonts w:ascii="Times New Roman" w:hAnsi="Times New Roman" w:cs="Times New Roman"/>
        </w:rPr>
        <w:t>).</w:t>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t>Proposed Natural Gas Increase</w:t>
      </w:r>
    </w:p>
    <w:p w:rsidR="00657437" w:rsidRPr="00443386" w:rsidRDefault="00657437" w:rsidP="0065743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r>
      <w:r w:rsidRPr="004A14EC">
        <w:rPr>
          <w:rFonts w:ascii="Times New Roman" w:hAnsi="Times New Roman" w:cs="Times New Roman"/>
        </w:rPr>
        <w:t xml:space="preserve">What is the proposed </w:t>
      </w:r>
      <w:r>
        <w:rPr>
          <w:rFonts w:ascii="Times New Roman" w:hAnsi="Times New Roman" w:cs="Times New Roman"/>
        </w:rPr>
        <w:t>natural gas</w:t>
      </w:r>
      <w:r w:rsidRPr="004A14EC">
        <w:rPr>
          <w:rFonts w:ascii="Times New Roman" w:hAnsi="Times New Roman" w:cs="Times New Roman"/>
        </w:rPr>
        <w:t xml:space="preserve"> revenue increase in this case and how is the Company proposing to spread the total increase by rate schedule?</w:t>
      </w:r>
      <w:r>
        <w:rPr>
          <w:rFonts w:ascii="Times New Roman" w:hAnsi="Times New Roman" w:cs="Times New Roman"/>
        </w:rPr>
        <w:t xml:space="preserve"> </w:t>
      </w:r>
    </w:p>
    <w:p w:rsidR="0017074B" w:rsidRDefault="005540EB" w:rsidP="008C292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4A14EC" w:rsidRPr="00A47B5B">
        <w:rPr>
          <w:rFonts w:ascii="Times New Roman" w:hAnsi="Times New Roman" w:cs="Times New Roman"/>
        </w:rPr>
        <w:t xml:space="preserve">The proposed </w:t>
      </w:r>
      <w:r w:rsidR="004A14EC">
        <w:rPr>
          <w:rFonts w:ascii="Times New Roman" w:hAnsi="Times New Roman" w:cs="Times New Roman"/>
        </w:rPr>
        <w:t>natural gas</w:t>
      </w:r>
      <w:r w:rsidR="004A14EC" w:rsidRPr="00A47B5B">
        <w:rPr>
          <w:rFonts w:ascii="Times New Roman" w:hAnsi="Times New Roman" w:cs="Times New Roman"/>
        </w:rPr>
        <w:t xml:space="preserve"> </w:t>
      </w:r>
      <w:r w:rsidR="005F3BDA">
        <w:rPr>
          <w:rFonts w:ascii="Times New Roman" w:hAnsi="Times New Roman" w:cs="Times New Roman"/>
        </w:rPr>
        <w:t xml:space="preserve">revenue </w:t>
      </w:r>
      <w:r w:rsidR="004A14EC" w:rsidRPr="00A47B5B">
        <w:rPr>
          <w:rFonts w:ascii="Times New Roman" w:hAnsi="Times New Roman" w:cs="Times New Roman"/>
        </w:rPr>
        <w:t xml:space="preserve">increase is </w:t>
      </w:r>
      <w:r w:rsidR="0042464B" w:rsidRPr="00A47B5B">
        <w:rPr>
          <w:rFonts w:ascii="Times New Roman" w:hAnsi="Times New Roman" w:cs="Times New Roman"/>
        </w:rPr>
        <w:t>$</w:t>
      </w:r>
      <w:r w:rsidR="0042464B">
        <w:rPr>
          <w:rFonts w:ascii="Times New Roman" w:hAnsi="Times New Roman" w:cs="Times New Roman"/>
        </w:rPr>
        <w:t>12,021</w:t>
      </w:r>
      <w:r w:rsidR="0042464B" w:rsidRPr="00A47B5B">
        <w:rPr>
          <w:rFonts w:ascii="Times New Roman" w:hAnsi="Times New Roman" w:cs="Times New Roman"/>
        </w:rPr>
        <w:t>,</w:t>
      </w:r>
      <w:r w:rsidR="0042464B">
        <w:rPr>
          <w:rFonts w:ascii="Times New Roman" w:hAnsi="Times New Roman" w:cs="Times New Roman"/>
        </w:rPr>
        <w:t>000,</w:t>
      </w:r>
      <w:r w:rsidR="0042464B" w:rsidRPr="00A47B5B">
        <w:rPr>
          <w:rFonts w:ascii="Times New Roman" w:hAnsi="Times New Roman" w:cs="Times New Roman"/>
        </w:rPr>
        <w:t xml:space="preserve"> or </w:t>
      </w:r>
      <w:r w:rsidR="0042464B">
        <w:rPr>
          <w:rFonts w:ascii="Times New Roman" w:hAnsi="Times New Roman" w:cs="Times New Roman"/>
        </w:rPr>
        <w:t>7.0</w:t>
      </w:r>
      <w:r w:rsidR="0042464B" w:rsidRPr="00A47B5B">
        <w:rPr>
          <w:rFonts w:ascii="Times New Roman" w:hAnsi="Times New Roman" w:cs="Times New Roman"/>
        </w:rPr>
        <w:t>%,</w:t>
      </w:r>
      <w:r w:rsidR="0042464B" w:rsidRPr="004940D3">
        <w:rPr>
          <w:rFonts w:ascii="Times New Roman" w:hAnsi="Times New Roman" w:cs="Times New Roman"/>
        </w:rPr>
        <w:t xml:space="preserve"> </w:t>
      </w:r>
      <w:r w:rsidR="004A14EC" w:rsidRPr="00A47B5B">
        <w:rPr>
          <w:rFonts w:ascii="Times New Roman" w:hAnsi="Times New Roman" w:cs="Times New Roman"/>
        </w:rPr>
        <w:t xml:space="preserve">over present tariff </w:t>
      </w:r>
      <w:r w:rsidR="008C2923">
        <w:rPr>
          <w:rFonts w:ascii="Times New Roman" w:hAnsi="Times New Roman" w:cs="Times New Roman"/>
        </w:rPr>
        <w:t>revenues</w:t>
      </w:r>
      <w:r w:rsidR="00381013">
        <w:rPr>
          <w:rStyle w:val="FootnoteReference"/>
          <w:rFonts w:ascii="Times New Roman" w:hAnsi="Times New Roman"/>
        </w:rPr>
        <w:footnoteReference w:id="2"/>
      </w:r>
      <w:r w:rsidR="004A14EC" w:rsidRPr="00A47B5B">
        <w:rPr>
          <w:rFonts w:ascii="Times New Roman" w:hAnsi="Times New Roman" w:cs="Times New Roman"/>
        </w:rPr>
        <w:t xml:space="preserve">.  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rates, including all other rate adjustments (</w:t>
      </w:r>
      <w:r w:rsidR="004A14EC">
        <w:rPr>
          <w:rFonts w:ascii="Times New Roman" w:hAnsi="Times New Roman" w:cs="Times New Roman"/>
        </w:rPr>
        <w:t xml:space="preserve">Purchased Gas Cost Adjustment, </w:t>
      </w:r>
      <w:r w:rsidR="004A14EC" w:rsidRPr="00A47B5B">
        <w:rPr>
          <w:rFonts w:ascii="Times New Roman" w:hAnsi="Times New Roman" w:cs="Times New Roman"/>
        </w:rPr>
        <w:t>DSM</w:t>
      </w:r>
      <w:r w:rsidR="004A14EC">
        <w:rPr>
          <w:rFonts w:ascii="Times New Roman" w:hAnsi="Times New Roman" w:cs="Times New Roman"/>
        </w:rPr>
        <w:t xml:space="preserve">, etc.) </w:t>
      </w:r>
      <w:r w:rsidR="004A14EC" w:rsidRPr="00A47B5B">
        <w:rPr>
          <w:rFonts w:ascii="Times New Roman" w:hAnsi="Times New Roman" w:cs="Times New Roman"/>
        </w:rPr>
        <w:t xml:space="preserve">is </w:t>
      </w:r>
      <w:r w:rsidR="00E94D31">
        <w:rPr>
          <w:rFonts w:ascii="Times New Roman" w:hAnsi="Times New Roman" w:cs="Times New Roman"/>
        </w:rPr>
        <w:t>6.9</w:t>
      </w:r>
      <w:r w:rsidR="004A14EC" w:rsidRPr="00A47B5B">
        <w:rPr>
          <w:rFonts w:ascii="Times New Roman" w:hAnsi="Times New Roman" w:cs="Times New Roman"/>
        </w:rPr>
        <w:t xml:space="preserve">%.  </w:t>
      </w:r>
      <w:r w:rsidR="00CE7021" w:rsidRPr="00CE7021">
        <w:rPr>
          <w:rFonts w:ascii="Times New Roman" w:hAnsi="Times New Roman" w:cs="Times New Roman"/>
        </w:rPr>
        <w:t xml:space="preserve">The Company utilized the results of the </w:t>
      </w:r>
      <w:r w:rsidR="00CE7021">
        <w:rPr>
          <w:rFonts w:ascii="Times New Roman" w:hAnsi="Times New Roman" w:cs="Times New Roman"/>
        </w:rPr>
        <w:t>natural gas</w:t>
      </w:r>
      <w:r w:rsidR="00CE7021" w:rsidRPr="00CE7021">
        <w:rPr>
          <w:rFonts w:ascii="Times New Roman" w:hAnsi="Times New Roman" w:cs="Times New Roman"/>
        </w:rPr>
        <w:t xml:space="preserve"> cost of service study, sponsored by Company </w:t>
      </w:r>
      <w:r w:rsidR="00CE7021" w:rsidRPr="00CE7021">
        <w:rPr>
          <w:rFonts w:ascii="Times New Roman" w:hAnsi="Times New Roman" w:cs="Times New Roman"/>
        </w:rPr>
        <w:lastRenderedPageBreak/>
        <w:t>witness M</w:t>
      </w:r>
      <w:r w:rsidR="00CE7021">
        <w:rPr>
          <w:rFonts w:ascii="Times New Roman" w:hAnsi="Times New Roman" w:cs="Times New Roman"/>
        </w:rPr>
        <w:t>r</w:t>
      </w:r>
      <w:r w:rsidR="00CE7021" w:rsidRPr="00CE7021">
        <w:rPr>
          <w:rFonts w:ascii="Times New Roman" w:hAnsi="Times New Roman" w:cs="Times New Roman"/>
        </w:rPr>
        <w:t xml:space="preserve">. </w:t>
      </w:r>
      <w:r w:rsidR="00CE7021">
        <w:rPr>
          <w:rFonts w:ascii="Times New Roman" w:hAnsi="Times New Roman" w:cs="Times New Roman"/>
        </w:rPr>
        <w:t>Miller</w:t>
      </w:r>
      <w:r w:rsidR="00CE7021" w:rsidRPr="00CE7021">
        <w:rPr>
          <w:rFonts w:ascii="Times New Roman" w:hAnsi="Times New Roman" w:cs="Times New Roman"/>
        </w:rPr>
        <w:t>, as a guide in spreading the overall revenue increase</w:t>
      </w:r>
      <w:r w:rsidR="00CE7021">
        <w:rPr>
          <w:rFonts w:ascii="Times New Roman" w:hAnsi="Times New Roman" w:cs="Times New Roman"/>
        </w:rPr>
        <w:t>. T</w:t>
      </w:r>
      <w:r w:rsidRPr="00443386">
        <w:rPr>
          <w:rFonts w:ascii="Times New Roman" w:hAnsi="Times New Roman" w:cs="Times New Roman"/>
        </w:rPr>
        <w:t xml:space="preserve">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003A16ED">
        <w:rPr>
          <w:rFonts w:ascii="Times New Roman" w:hAnsi="Times New Roman" w:cs="Times New Roman"/>
        </w:rPr>
        <w:t xml:space="preserve">and </w:t>
      </w:r>
      <w:r w:rsidR="003A16ED" w:rsidRPr="003A16ED">
        <w:rPr>
          <w:rFonts w:ascii="Times New Roman" w:hAnsi="Times New Roman" w:cs="Times New Roman"/>
          <w:u w:val="single"/>
        </w:rPr>
        <w:t>billing</w:t>
      </w:r>
      <w:r w:rsidR="003A16ED">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p>
    <w:p w:rsidR="004F7514" w:rsidRDefault="00E94D31" w:rsidP="008C2923">
      <w:pPr>
        <w:pStyle w:val="P190"/>
        <w:jc w:val="both"/>
        <w:rPr>
          <w:rFonts w:ascii="Times New Roman" w:hAnsi="Times New Roman" w:cs="Times New Roman"/>
        </w:rPr>
      </w:pPr>
      <w:r w:rsidRPr="00E94D31">
        <w:rPr>
          <w:noProof/>
        </w:rPr>
        <w:drawing>
          <wp:anchor distT="0" distB="0" distL="114300" distR="114300" simplePos="0" relativeHeight="251932160" behindDoc="1" locked="0" layoutInCell="1" allowOverlap="1">
            <wp:simplePos x="0" y="0"/>
            <wp:positionH relativeFrom="column">
              <wp:posOffset>434843</wp:posOffset>
            </wp:positionH>
            <wp:positionV relativeFrom="paragraph">
              <wp:posOffset>-2300</wp:posOffset>
            </wp:positionV>
            <wp:extent cx="4820369" cy="180292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20369" cy="1802920"/>
                    </a:xfrm>
                    <a:prstGeom prst="rect">
                      <a:avLst/>
                    </a:prstGeom>
                    <a:noFill/>
                    <a:ln w="9525">
                      <a:noFill/>
                      <a:miter lim="800000"/>
                      <a:headEnd/>
                      <a:tailEnd/>
                    </a:ln>
                  </pic:spPr>
                </pic:pic>
              </a:graphicData>
            </a:graphic>
          </wp:anchor>
        </w:drawing>
      </w:r>
    </w:p>
    <w:p w:rsidR="004F7514" w:rsidRPr="008C2923" w:rsidRDefault="004F7514" w:rsidP="008C2923">
      <w:pPr>
        <w:pStyle w:val="P190"/>
        <w:jc w:val="both"/>
        <w:rPr>
          <w:rFonts w:ascii="Times New Roman" w:hAnsi="Times New Roman" w:cs="Times New Roman"/>
        </w:rPr>
      </w:pPr>
    </w:p>
    <w:p w:rsidR="00B5246C" w:rsidRPr="00443386" w:rsidRDefault="00B5246C"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6C7E37" w:rsidP="00711833">
      <w:pPr>
        <w:pStyle w:val="P190"/>
        <w:ind w:firstLine="0"/>
        <w:jc w:val="both"/>
        <w:rPr>
          <w:rFonts w:ascii="Times New Roman" w:hAnsi="Times New Roman" w:cs="Times New Roman"/>
        </w:rPr>
      </w:pPr>
      <w:r>
        <w:rPr>
          <w:rFonts w:ascii="Times New Roman" w:hAnsi="Times New Roman" w:cs="Times New Roman"/>
        </w:rPr>
        <w:t xml:space="preserve">                                                             </w:t>
      </w:r>
      <w:r w:rsidRPr="00443386">
        <w:rPr>
          <w:rStyle w:val="FootnoteReference"/>
          <w:rFonts w:ascii="Times New Roman" w:hAnsi="Times New Roman"/>
        </w:rPr>
        <w:footnoteReference w:id="3"/>
      </w:r>
      <w:r>
        <w:rPr>
          <w:rFonts w:ascii="Times New Roman" w:hAnsi="Times New Roman" w:cs="Times New Roman"/>
        </w:rPr>
        <w:t xml:space="preserve"> </w:t>
      </w:r>
    </w:p>
    <w:p w:rsidR="00F17ED7" w:rsidRPr="00443386" w:rsidRDefault="00F17ED7" w:rsidP="00711833">
      <w:pPr>
        <w:pStyle w:val="P190"/>
        <w:ind w:firstLine="0"/>
        <w:jc w:val="both"/>
        <w:rPr>
          <w:rFonts w:ascii="Times New Roman" w:hAnsi="Times New Roman" w:cs="Times New Roman"/>
        </w:rPr>
      </w:pP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w:t>
      </w:r>
      <w:proofErr w:type="gramStart"/>
      <w:r w:rsidR="0043473F" w:rsidRPr="00443386">
        <w:rPr>
          <w:rFonts w:ascii="Times New Roman" w:hAnsi="Times New Roman" w:cs="Times New Roman"/>
        </w:rPr>
        <w:t>_</w:t>
      </w:r>
      <w:r w:rsidRPr="00443386">
        <w:rPr>
          <w:rFonts w:ascii="Times New Roman" w:hAnsi="Times New Roman" w:cs="Times New Roman"/>
        </w:rPr>
        <w:t>(</w:t>
      </w:r>
      <w:proofErr w:type="gramEnd"/>
      <w:r w:rsidR="00D8699E" w:rsidRPr="00443386">
        <w:rPr>
          <w:rFonts w:ascii="Times New Roman" w:hAnsi="Times New Roman" w:cs="Times New Roman"/>
        </w:rPr>
        <w:t>PDE</w:t>
      </w:r>
      <w:r w:rsidRPr="00443386">
        <w:rPr>
          <w:rFonts w:ascii="Times New Roman" w:hAnsi="Times New Roman" w:cs="Times New Roman"/>
        </w:rPr>
        <w:t>-</w:t>
      </w:r>
      <w:r w:rsidR="00657437">
        <w:rPr>
          <w:rFonts w:ascii="Times New Roman" w:hAnsi="Times New Roman" w:cs="Times New Roman"/>
        </w:rPr>
        <w:t>7</w:t>
      </w:r>
      <w:r w:rsidRPr="00443386">
        <w:rPr>
          <w:rFonts w:ascii="Times New Roman" w:hAnsi="Times New Roman" w:cs="Times New Roman"/>
        </w:rPr>
        <w:t xml:space="preserve">).  </w:t>
      </w:r>
    </w:p>
    <w:p w:rsidR="005540EB" w:rsidRPr="005540EB" w:rsidRDefault="00657437" w:rsidP="00711833">
      <w:pPr>
        <w:pStyle w:val="P258"/>
        <w:numPr>
          <w:ilvl w:val="0"/>
          <w:numId w:val="12"/>
        </w:numPr>
        <w:tabs>
          <w:tab w:val="clear" w:pos="1230"/>
          <w:tab w:val="num" w:pos="1440"/>
        </w:tabs>
        <w:ind w:left="0" w:firstLine="720"/>
        <w:jc w:val="both"/>
        <w:rPr>
          <w:rFonts w:ascii="Times New Roman" w:hAnsi="Times New Roman" w:cs="Times New Roman"/>
        </w:rPr>
      </w:pPr>
      <w:r>
        <w:rPr>
          <w:rFonts w:ascii="Times New Roman" w:hAnsi="Times New Roman" w:cs="Times New Roman"/>
        </w:rPr>
        <w:t>W</w:t>
      </w:r>
      <w:r w:rsidR="00F270B6" w:rsidRPr="005540EB">
        <w:rPr>
          <w:rFonts w:ascii="Times New Roman" w:hAnsi="Times New Roman" w:cs="Times New Roman"/>
        </w:rPr>
        <w:t xml:space="preserve">hat is the proposed increase for a residential </w:t>
      </w:r>
      <w:r w:rsidR="00F270B6">
        <w:rPr>
          <w:rFonts w:ascii="Times New Roman" w:hAnsi="Times New Roman" w:cs="Times New Roman"/>
        </w:rPr>
        <w:t>natural gas</w:t>
      </w:r>
      <w:r w:rsidR="00F270B6" w:rsidRPr="005540EB">
        <w:rPr>
          <w:rFonts w:ascii="Times New Roman" w:hAnsi="Times New Roman" w:cs="Times New Roman"/>
        </w:rPr>
        <w:t xml:space="preserve"> customer with average </w:t>
      </w:r>
      <w:r>
        <w:rPr>
          <w:rFonts w:ascii="Times New Roman" w:hAnsi="Times New Roman" w:cs="Times New Roman"/>
        </w:rPr>
        <w:t>usage</w:t>
      </w:r>
      <w:r w:rsidR="005540EB" w:rsidRPr="005540EB">
        <w:rPr>
          <w:rFonts w:ascii="Times New Roman" w:hAnsi="Times New Roman" w:cs="Times New Roman"/>
        </w:rPr>
        <w:t>?</w:t>
      </w:r>
    </w:p>
    <w:p w:rsidR="00DF5CDD" w:rsidRDefault="004C2025" w:rsidP="002A7002">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F270B6" w:rsidRPr="00A47B5B">
        <w:rPr>
          <w:rFonts w:ascii="Times New Roman" w:hAnsi="Times New Roman" w:cs="Times New Roman"/>
        </w:rPr>
        <w:t xml:space="preserve">The proposed </w:t>
      </w:r>
      <w:r w:rsidR="008F62BD" w:rsidRPr="008F62BD">
        <w:rPr>
          <w:rFonts w:ascii="Times New Roman" w:hAnsi="Times New Roman" w:cs="Times New Roman"/>
        </w:rPr>
        <w:t xml:space="preserve">increase for a residential customer using an average of </w:t>
      </w:r>
      <w:r w:rsidR="00C679F4">
        <w:rPr>
          <w:rFonts w:ascii="Times New Roman" w:hAnsi="Times New Roman" w:cs="Times New Roman"/>
        </w:rPr>
        <w:t>68</w:t>
      </w:r>
      <w:r w:rsidR="008F62BD" w:rsidRPr="008F62BD">
        <w:rPr>
          <w:rFonts w:ascii="Times New Roman" w:hAnsi="Times New Roman" w:cs="Times New Roman"/>
        </w:rPr>
        <w:t xml:space="preserve"> therms of natural gas per month would be </w:t>
      </w:r>
      <w:r w:rsidR="00C679F4">
        <w:rPr>
          <w:rFonts w:ascii="Times New Roman" w:hAnsi="Times New Roman" w:cs="Times New Roman"/>
        </w:rPr>
        <w:t xml:space="preserve">$5.41 </w:t>
      </w:r>
      <w:r w:rsidR="008F62BD" w:rsidRPr="008F62BD">
        <w:rPr>
          <w:rFonts w:ascii="Times New Roman" w:hAnsi="Times New Roman" w:cs="Times New Roman"/>
        </w:rPr>
        <w:t xml:space="preserve">per month, or </w:t>
      </w:r>
      <w:r w:rsidR="00C679F4">
        <w:rPr>
          <w:rFonts w:ascii="Times New Roman" w:hAnsi="Times New Roman" w:cs="Times New Roman"/>
        </w:rPr>
        <w:t>7.9</w:t>
      </w:r>
      <w:r w:rsidR="008F62BD" w:rsidRPr="008F62BD">
        <w:rPr>
          <w:rFonts w:ascii="Times New Roman" w:hAnsi="Times New Roman" w:cs="Times New Roman"/>
        </w:rPr>
        <w:t>%.  A bill for</w:t>
      </w:r>
      <w:r w:rsidR="00C679F4">
        <w:rPr>
          <w:rFonts w:ascii="Times New Roman" w:hAnsi="Times New Roman" w:cs="Times New Roman"/>
        </w:rPr>
        <w:t xml:space="preserve"> </w:t>
      </w:r>
      <w:r w:rsidR="00C679F4" w:rsidRPr="003E19C9">
        <w:rPr>
          <w:rFonts w:ascii="Times New Roman" w:hAnsi="Times New Roman" w:cs="Times New Roman"/>
        </w:rPr>
        <w:t>68</w:t>
      </w:r>
      <w:r w:rsidR="008F62BD" w:rsidRPr="003E19C9">
        <w:rPr>
          <w:rFonts w:ascii="Times New Roman" w:hAnsi="Times New Roman" w:cs="Times New Roman"/>
        </w:rPr>
        <w:t xml:space="preserve"> therms</w:t>
      </w:r>
      <w:r w:rsidR="008F62BD" w:rsidRPr="008F62BD">
        <w:rPr>
          <w:rFonts w:ascii="Times New Roman" w:hAnsi="Times New Roman" w:cs="Times New Roman"/>
        </w:rPr>
        <w:t xml:space="preserve"> per month would increase from the present level of</w:t>
      </w:r>
      <w:r w:rsidR="00C679F4">
        <w:rPr>
          <w:rFonts w:ascii="Times New Roman" w:hAnsi="Times New Roman" w:cs="Times New Roman"/>
        </w:rPr>
        <w:t xml:space="preserve"> $68.16 to </w:t>
      </w:r>
      <w:r w:rsidR="008F62BD" w:rsidRPr="008F62BD">
        <w:rPr>
          <w:rFonts w:ascii="Times New Roman" w:hAnsi="Times New Roman" w:cs="Times New Roman"/>
        </w:rPr>
        <w:t>a proposed level of</w:t>
      </w:r>
      <w:r w:rsidR="00C679F4">
        <w:rPr>
          <w:rFonts w:ascii="Times New Roman" w:hAnsi="Times New Roman" w:cs="Times New Roman"/>
        </w:rPr>
        <w:t xml:space="preserve"> $73.57.</w:t>
      </w:r>
      <w:r w:rsidR="008F62BD">
        <w:rPr>
          <w:rFonts w:ascii="Times New Roman" w:hAnsi="Times New Roman" w:cs="Times New Roman"/>
        </w:rPr>
        <w:t xml:space="preserve"> </w:t>
      </w:r>
      <w:r w:rsidR="008F62BD" w:rsidRPr="00443386">
        <w:rPr>
          <w:rFonts w:ascii="Times New Roman" w:hAnsi="Times New Roman" w:cs="Times New Roman"/>
        </w:rPr>
        <w:t>The Company is also proposing to change the basic charge from $</w:t>
      </w:r>
      <w:r w:rsidR="00657437">
        <w:rPr>
          <w:rFonts w:ascii="Times New Roman" w:hAnsi="Times New Roman" w:cs="Times New Roman"/>
        </w:rPr>
        <w:t>9</w:t>
      </w:r>
      <w:r w:rsidR="008F62BD">
        <w:rPr>
          <w:rFonts w:ascii="Times New Roman" w:hAnsi="Times New Roman" w:cs="Times New Roman"/>
        </w:rPr>
        <w:t xml:space="preserve">.00 per month </w:t>
      </w:r>
      <w:r w:rsidR="008F62BD" w:rsidRPr="00DB7F95">
        <w:rPr>
          <w:rFonts w:ascii="Times New Roman" w:hAnsi="Times New Roman" w:cs="Times New Roman"/>
        </w:rPr>
        <w:t>to $</w:t>
      </w:r>
      <w:r w:rsidR="008F62BD">
        <w:rPr>
          <w:rFonts w:ascii="Times New Roman" w:hAnsi="Times New Roman" w:cs="Times New Roman"/>
        </w:rPr>
        <w:t>1</w:t>
      </w:r>
      <w:r w:rsidR="00C679F4">
        <w:rPr>
          <w:rFonts w:ascii="Times New Roman" w:hAnsi="Times New Roman" w:cs="Times New Roman"/>
        </w:rPr>
        <w:t>2</w:t>
      </w:r>
      <w:r w:rsidR="008F62BD" w:rsidRPr="00DB7F95">
        <w:rPr>
          <w:rFonts w:ascii="Times New Roman" w:hAnsi="Times New Roman" w:cs="Times New Roman"/>
        </w:rPr>
        <w:t>.00</w:t>
      </w:r>
      <w:r w:rsidR="008F62BD">
        <w:rPr>
          <w:rFonts w:ascii="Times New Roman" w:hAnsi="Times New Roman" w:cs="Times New Roman"/>
        </w:rPr>
        <w:t xml:space="preserve"> per month. </w:t>
      </w:r>
    </w:p>
    <w:p w:rsidR="00F270B6" w:rsidRPr="005540EB" w:rsidRDefault="00F270B6" w:rsidP="00F270B6">
      <w:pPr>
        <w:pStyle w:val="P131"/>
        <w:ind w:left="90"/>
        <w:jc w:val="both"/>
        <w:rPr>
          <w:rFonts w:ascii="Times New Roman" w:hAnsi="Times New Roman" w:cs="Times New Roman"/>
        </w:rPr>
      </w:pPr>
      <w:r>
        <w:rPr>
          <w:rFonts w:ascii="Times New Roman" w:hAnsi="Times New Roman" w:cs="Times New Roman"/>
        </w:rPr>
        <w:tab/>
        <w:t>Q.</w:t>
      </w:r>
      <w:r>
        <w:rPr>
          <w:rFonts w:ascii="Times New Roman" w:hAnsi="Times New Roman" w:cs="Times New Roman"/>
        </w:rPr>
        <w:tab/>
      </w: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w:t>
      </w:r>
      <w:r>
        <w:rPr>
          <w:rFonts w:ascii="Times New Roman" w:hAnsi="Times New Roman" w:cs="Times New Roman"/>
        </w:rPr>
        <w:t>natural gas</w:t>
      </w:r>
      <w:r w:rsidRPr="005540EB">
        <w:rPr>
          <w:rFonts w:ascii="Times New Roman" w:hAnsi="Times New Roman" w:cs="Times New Roman"/>
        </w:rPr>
        <w:t xml:space="preserve"> service schedules?</w:t>
      </w:r>
    </w:p>
    <w:p w:rsidR="00F270B6" w:rsidRPr="005540EB" w:rsidRDefault="00F270B6" w:rsidP="00F270B6">
      <w:pPr>
        <w:pStyle w:val="P157"/>
        <w:ind w:left="9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5540EB">
        <w:rPr>
          <w:rFonts w:ascii="Times New Roman" w:hAnsi="Times New Roman" w:cs="Times New Roman"/>
        </w:rPr>
        <w:t xml:space="preserve">No.  The Company is not proposing any changes to the present rate structures within its </w:t>
      </w:r>
      <w:r>
        <w:rPr>
          <w:rFonts w:ascii="Times New Roman" w:hAnsi="Times New Roman" w:cs="Times New Roman"/>
        </w:rPr>
        <w:t>natural gas</w:t>
      </w:r>
      <w:r w:rsidRPr="005540EB">
        <w:rPr>
          <w:rFonts w:ascii="Times New Roman" w:hAnsi="Times New Roman" w:cs="Times New Roman"/>
        </w:rPr>
        <w:t xml:space="preserve"> schedules.  </w:t>
      </w:r>
    </w:p>
    <w:p w:rsidR="00F270B6" w:rsidRPr="005540EB" w:rsidRDefault="00F270B6" w:rsidP="00F270B6">
      <w:pPr>
        <w:pStyle w:val="P139"/>
        <w:ind w:left="90"/>
        <w:jc w:val="both"/>
        <w:rPr>
          <w:rFonts w:ascii="Times New Roman" w:hAnsi="Times New Roman" w:cs="Times New Roman"/>
        </w:rPr>
      </w:pPr>
      <w:r>
        <w:rPr>
          <w:rFonts w:ascii="Times New Roman" w:hAnsi="Times New Roman" w:cs="Times New Roman"/>
        </w:rPr>
        <w:tab/>
        <w:t>Q.</w:t>
      </w:r>
      <w:r>
        <w:rPr>
          <w:rFonts w:ascii="Times New Roman" w:hAnsi="Times New Roman" w:cs="Times New Roman"/>
        </w:rPr>
        <w:tab/>
      </w:r>
      <w:r w:rsidRPr="005540EB">
        <w:rPr>
          <w:rFonts w:ascii="Times New Roman" w:hAnsi="Times New Roman" w:cs="Times New Roman"/>
        </w:rPr>
        <w:t>Where do you show the proposed changes in rates</w:t>
      </w:r>
      <w:r>
        <w:rPr>
          <w:rFonts w:ascii="Times New Roman" w:hAnsi="Times New Roman" w:cs="Times New Roman"/>
        </w:rPr>
        <w:t xml:space="preserve"> </w:t>
      </w:r>
      <w:r w:rsidRPr="005540EB">
        <w:rPr>
          <w:rFonts w:ascii="Times New Roman" w:hAnsi="Times New Roman" w:cs="Times New Roman"/>
        </w:rPr>
        <w:t xml:space="preserve">within the </w:t>
      </w:r>
      <w:r>
        <w:rPr>
          <w:rFonts w:ascii="Times New Roman" w:hAnsi="Times New Roman" w:cs="Times New Roman"/>
        </w:rPr>
        <w:t>natural gas</w:t>
      </w:r>
      <w:r w:rsidRPr="005540EB">
        <w:rPr>
          <w:rFonts w:ascii="Times New Roman" w:hAnsi="Times New Roman" w:cs="Times New Roman"/>
        </w:rPr>
        <w:t xml:space="preserve"> service schedules?</w:t>
      </w:r>
    </w:p>
    <w:p w:rsidR="00F270B6" w:rsidRDefault="00F270B6" w:rsidP="00F270B6">
      <w:pPr>
        <w:pStyle w:val="P165"/>
        <w:tabs>
          <w:tab w:val="clear" w:pos="3600"/>
          <w:tab w:val="left" w:pos="720"/>
        </w:tabs>
        <w:ind w:left="90"/>
        <w:jc w:val="both"/>
        <w:rPr>
          <w:rFonts w:ascii="Times New Roman" w:hAnsi="Times New Roman" w:cs="Times New Roman"/>
        </w:rPr>
      </w:pPr>
      <w:r>
        <w:rPr>
          <w:rFonts w:ascii="Times New Roman" w:hAnsi="Times New Roman" w:cs="Times New Roman"/>
        </w:rPr>
        <w:lastRenderedPageBreak/>
        <w:tab/>
        <w:t>A.</w:t>
      </w:r>
      <w:r>
        <w:rPr>
          <w:rFonts w:ascii="Times New Roman" w:hAnsi="Times New Roman" w:cs="Times New Roman"/>
        </w:rPr>
        <w:tab/>
      </w:r>
      <w:r w:rsidRPr="005540EB">
        <w:rPr>
          <w:rFonts w:ascii="Times New Roman" w:hAnsi="Times New Roman" w:cs="Times New Roman"/>
        </w:rPr>
        <w:t>This information is shown in detail on page 3 of Exhibit No._</w:t>
      </w:r>
      <w:r>
        <w:rPr>
          <w:rFonts w:ascii="Times New Roman" w:hAnsi="Times New Roman" w:cs="Times New Roman"/>
        </w:rPr>
        <w:t>_</w:t>
      </w:r>
      <w:proofErr w:type="gramStart"/>
      <w:r>
        <w:rPr>
          <w:rFonts w:ascii="Times New Roman" w:hAnsi="Times New Roman" w:cs="Times New Roman"/>
        </w:rPr>
        <w:t>_</w:t>
      </w:r>
      <w:r w:rsidRPr="005540EB">
        <w:rPr>
          <w:rFonts w:ascii="Times New Roman" w:hAnsi="Times New Roman" w:cs="Times New Roman"/>
        </w:rPr>
        <w:t>(</w:t>
      </w:r>
      <w:proofErr w:type="gramEnd"/>
      <w:r>
        <w:rPr>
          <w:rFonts w:ascii="Times New Roman" w:hAnsi="Times New Roman" w:cs="Times New Roman"/>
        </w:rPr>
        <w:t>PDE</w:t>
      </w:r>
      <w:r w:rsidRPr="005540EB">
        <w:rPr>
          <w:rFonts w:ascii="Times New Roman" w:hAnsi="Times New Roman" w:cs="Times New Roman"/>
        </w:rPr>
        <w:t>-</w:t>
      </w:r>
      <w:r w:rsidR="00657437">
        <w:rPr>
          <w:rFonts w:ascii="Times New Roman" w:hAnsi="Times New Roman" w:cs="Times New Roman"/>
        </w:rPr>
        <w:t>7</w:t>
      </w:r>
      <w:r w:rsidRPr="005540EB">
        <w:rPr>
          <w:rFonts w:ascii="Times New Roman" w:hAnsi="Times New Roman" w:cs="Times New Roman"/>
        </w:rPr>
        <w:t>).</w:t>
      </w:r>
    </w:p>
    <w:p w:rsidR="004C3DE4" w:rsidRDefault="004C3DE4" w:rsidP="002A7002">
      <w:pPr>
        <w:pStyle w:val="P190"/>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w:t>
      </w:r>
      <w:proofErr w:type="gramStart"/>
      <w:r w:rsidRPr="005540EB">
        <w:rPr>
          <w:rFonts w:ascii="Times New Roman" w:hAnsi="Times New Roman" w:cs="Times New Roman"/>
        </w:rPr>
        <w:t>.  PROPOSED</w:t>
      </w:r>
      <w:proofErr w:type="gramEnd"/>
      <w:r w:rsidRPr="005540EB">
        <w:rPr>
          <w:rFonts w:ascii="Times New Roman" w:hAnsi="Times New Roman" w:cs="Times New Roman"/>
        </w:rPr>
        <w:t xml:space="preserve">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w:t>
      </w:r>
      <w:proofErr w:type="gramStart"/>
      <w:r w:rsidR="0043473F">
        <w:rPr>
          <w:rFonts w:ascii="Times New Roman" w:hAnsi="Times New Roman" w:cs="Times New Roman"/>
          <w:b/>
        </w:rPr>
        <w:t>_</w:t>
      </w:r>
      <w:r w:rsidRPr="005540EB">
        <w:rPr>
          <w:rFonts w:ascii="Times New Roman" w:hAnsi="Times New Roman" w:cs="Times New Roman"/>
          <w:b/>
        </w:rPr>
        <w:t>(</w:t>
      </w:r>
      <w:proofErr w:type="gramEnd"/>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81738C" w:rsidRPr="005540EB" w:rsidRDefault="0081738C" w:rsidP="0081738C">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r>
      <w:r w:rsidR="006C7E37">
        <w:rPr>
          <w:rStyle w:val="T11"/>
          <w:rFonts w:ascii="Times New Roman" w:hAnsi="Times New Roman" w:cs="Times New Roman"/>
        </w:rPr>
        <w:t>P</w:t>
      </w:r>
      <w:r w:rsidRPr="005540EB">
        <w:rPr>
          <w:rStyle w:val="T11"/>
          <w:rFonts w:ascii="Times New Roman" w:hAnsi="Times New Roman" w:cs="Times New Roman"/>
        </w:rPr>
        <w:t xml:space="preserve">lease describe what is contained in </w:t>
      </w:r>
      <w:r w:rsidRPr="005540EB">
        <w:rPr>
          <w:rFonts w:ascii="Times New Roman" w:hAnsi="Times New Roman" w:cs="Times New Roman"/>
          <w:b/>
        </w:rPr>
        <w:t>Exhibit No._</w:t>
      </w:r>
      <w:r>
        <w:rPr>
          <w:rFonts w:ascii="Times New Roman" w:hAnsi="Times New Roman" w:cs="Times New Roman"/>
          <w:b/>
        </w:rPr>
        <w:t>_</w:t>
      </w:r>
      <w:proofErr w:type="gramStart"/>
      <w:r>
        <w:rPr>
          <w:rFonts w:ascii="Times New Roman" w:hAnsi="Times New Roman" w:cs="Times New Roman"/>
          <w:b/>
        </w:rPr>
        <w:t>_</w:t>
      </w:r>
      <w:r w:rsidRPr="005540EB">
        <w:rPr>
          <w:rFonts w:ascii="Times New Roman" w:hAnsi="Times New Roman" w:cs="Times New Roman"/>
          <w:b/>
        </w:rPr>
        <w:t>(</w:t>
      </w:r>
      <w:proofErr w:type="gramEnd"/>
      <w:r>
        <w:rPr>
          <w:rFonts w:ascii="Times New Roman" w:hAnsi="Times New Roman" w:cs="Times New Roman"/>
          <w:b/>
        </w:rPr>
        <w:t>PDE</w:t>
      </w:r>
      <w:r w:rsidRPr="005540EB">
        <w:rPr>
          <w:rFonts w:ascii="Times New Roman" w:hAnsi="Times New Roman" w:cs="Times New Roman"/>
          <w:b/>
        </w:rPr>
        <w:t>-</w:t>
      </w:r>
      <w:r w:rsidR="00657437">
        <w:rPr>
          <w:rFonts w:ascii="Times New Roman" w:hAnsi="Times New Roman" w:cs="Times New Roman"/>
          <w:b/>
        </w:rPr>
        <w:t>4</w:t>
      </w:r>
      <w:r w:rsidRPr="005540EB">
        <w:rPr>
          <w:rFonts w:ascii="Times New Roman" w:hAnsi="Times New Roman" w:cs="Times New Roman"/>
          <w:b/>
        </w:rPr>
        <w:t>)</w:t>
      </w:r>
      <w:r w:rsidR="006C7E37">
        <w:rPr>
          <w:rStyle w:val="T11"/>
          <w:rFonts w:ascii="Times New Roman" w:hAnsi="Times New Roman" w:cs="Times New Roman"/>
        </w:rPr>
        <w:t>.</w:t>
      </w:r>
    </w:p>
    <w:p w:rsidR="005540EB" w:rsidRDefault="0081738C" w:rsidP="00CA7EA4">
      <w:pPr>
        <w:pStyle w:val="P31"/>
        <w:jc w:val="both"/>
        <w:rPr>
          <w:rStyle w:val="T13"/>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657437" w:rsidRPr="005540EB">
        <w:rPr>
          <w:rFonts w:ascii="Times New Roman" w:hAnsi="Times New Roman" w:cs="Times New Roman"/>
        </w:rPr>
        <w:t>Exhibit No._</w:t>
      </w:r>
      <w:r w:rsidR="00657437">
        <w:rPr>
          <w:rFonts w:ascii="Times New Roman" w:hAnsi="Times New Roman" w:cs="Times New Roman"/>
        </w:rPr>
        <w:t>_</w:t>
      </w:r>
      <w:proofErr w:type="gramStart"/>
      <w:r w:rsidR="00657437">
        <w:rPr>
          <w:rFonts w:ascii="Times New Roman" w:hAnsi="Times New Roman" w:cs="Times New Roman"/>
        </w:rPr>
        <w:t>_</w:t>
      </w:r>
      <w:r w:rsidR="00657437" w:rsidRPr="005540EB">
        <w:rPr>
          <w:rFonts w:ascii="Times New Roman" w:hAnsi="Times New Roman" w:cs="Times New Roman"/>
        </w:rPr>
        <w:t>(</w:t>
      </w:r>
      <w:proofErr w:type="gramEnd"/>
      <w:r w:rsidR="00657437">
        <w:rPr>
          <w:rFonts w:ascii="Times New Roman" w:hAnsi="Times New Roman" w:cs="Times New Roman"/>
        </w:rPr>
        <w:t>PDE</w:t>
      </w:r>
      <w:r w:rsidR="00657437" w:rsidRPr="005540EB">
        <w:rPr>
          <w:rFonts w:ascii="Times New Roman" w:hAnsi="Times New Roman" w:cs="Times New Roman"/>
        </w:rPr>
        <w:t>-4)</w:t>
      </w:r>
      <w:r w:rsidR="00657437"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00657437" w:rsidRPr="00545B95">
        <w:rPr>
          <w:rStyle w:val="T8"/>
          <w:rFonts w:ascii="Times New Roman" w:hAnsi="Times New Roman" w:cs="Times New Roman"/>
          <w:u w:val="none"/>
        </w:rPr>
        <w:t>base tariff</w:t>
      </w:r>
      <w:r w:rsidR="00657437"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657437">
        <w:rPr>
          <w:rStyle w:val="T13"/>
          <w:rFonts w:ascii="Times New Roman" w:hAnsi="Times New Roman" w:cs="Times New Roman"/>
        </w:rPr>
        <w:t>,</w:t>
      </w:r>
      <w:r w:rsidR="00657437" w:rsidRPr="005540EB">
        <w:rPr>
          <w:rStyle w:val="T13"/>
          <w:rFonts w:ascii="Times New Roman" w:hAnsi="Times New Roman" w:cs="Times New Roman"/>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 xml:space="preserve">Yes.  The Company presently provides electric service under Residential </w:t>
      </w:r>
      <w:r w:rsidRPr="00894CE2">
        <w:rPr>
          <w:rFonts w:ascii="Times New Roman" w:hAnsi="Times New Roman"/>
        </w:rPr>
        <w:lastRenderedPageBreak/>
        <w:t>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25</w:t>
      </w:r>
      <w:r w:rsidR="004C3DE4">
        <w:rPr>
          <w:rFonts w:ascii="Times New Roman" w:hAnsi="Times New Roman"/>
        </w:rPr>
        <w:t>,</w:t>
      </w:r>
      <w:r w:rsidRPr="00894CE2">
        <w:rPr>
          <w:rFonts w:ascii="Times New Roman" w:hAnsi="Times New Roman"/>
        </w:rPr>
        <w:t xml:space="preserve">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DF5CDD" w:rsidP="00711833">
      <w:pPr>
        <w:pStyle w:val="P43"/>
        <w:jc w:val="both"/>
        <w:rPr>
          <w:rFonts w:ascii="Times New Roman" w:hAnsi="Times New Roman"/>
        </w:rPr>
      </w:pPr>
      <w:r>
        <w:rPr>
          <w:rFonts w:ascii="Times New Roman" w:hAnsi="Times New Roman"/>
        </w:rPr>
        <w:t xml:space="preserve">Table </w:t>
      </w:r>
      <w:r w:rsidR="003E19C9">
        <w:rPr>
          <w:rFonts w:ascii="Times New Roman" w:hAnsi="Times New Roman"/>
        </w:rPr>
        <w:t>3</w:t>
      </w:r>
      <w:r>
        <w:rPr>
          <w:rFonts w:ascii="Times New Roman" w:hAnsi="Times New Roman"/>
        </w:rPr>
        <w:t xml:space="preserve"> below</w:t>
      </w:r>
      <w:r w:rsidR="005540EB" w:rsidRPr="00892413">
        <w:rPr>
          <w:rFonts w:ascii="Times New Roman" w:hAnsi="Times New Roman"/>
        </w:rPr>
        <w:t xml:space="preserve"> shows the type and number of customers served in Washington (as of </w:t>
      </w:r>
      <w:r w:rsidR="00C679F4">
        <w:rPr>
          <w:rFonts w:ascii="Times New Roman" w:hAnsi="Times New Roman"/>
        </w:rPr>
        <w:t>Septembe</w:t>
      </w:r>
      <w:r w:rsidR="00F2314D">
        <w:rPr>
          <w:rFonts w:ascii="Times New Roman" w:hAnsi="Times New Roman"/>
        </w:rPr>
        <w:t>r 2014</w:t>
      </w:r>
      <w:r w:rsidR="005540EB" w:rsidRPr="00892413">
        <w:rPr>
          <w:rFonts w:ascii="Times New Roman" w:hAnsi="Times New Roman"/>
        </w:rPr>
        <w:t>) under each of the service schedules:</w:t>
      </w:r>
    </w:p>
    <w:p w:rsidR="005540EB" w:rsidRPr="00822621" w:rsidRDefault="00C679F4" w:rsidP="00D34F06">
      <w:pPr>
        <w:pStyle w:val="P43"/>
        <w:ind w:firstLine="0"/>
        <w:jc w:val="both"/>
        <w:rPr>
          <w:rFonts w:ascii="Times New Roman" w:hAnsi="Times New Roman" w:cs="Times New Roman"/>
          <w:b/>
          <w:u w:val="single"/>
        </w:rPr>
      </w:pPr>
      <w:bookmarkStart w:id="0" w:name="OLE_LINK1"/>
      <w:r w:rsidRPr="00C679F4">
        <w:rPr>
          <w:noProof/>
        </w:rPr>
        <w:drawing>
          <wp:anchor distT="0" distB="0" distL="114300" distR="114300" simplePos="0" relativeHeight="251936256" behindDoc="1" locked="0" layoutInCell="1" allowOverlap="1">
            <wp:simplePos x="0" y="0"/>
            <wp:positionH relativeFrom="column">
              <wp:posOffset>478155</wp:posOffset>
            </wp:positionH>
            <wp:positionV relativeFrom="paragraph">
              <wp:posOffset>0</wp:posOffset>
            </wp:positionV>
            <wp:extent cx="4886325" cy="1409700"/>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886325" cy="1409700"/>
                    </a:xfrm>
                    <a:prstGeom prst="rect">
                      <a:avLst/>
                    </a:prstGeom>
                    <a:noFill/>
                    <a:ln w="9525">
                      <a:noFill/>
                      <a:miter lim="800000"/>
                      <a:headEnd/>
                      <a:tailEnd/>
                    </a:ln>
                  </pic:spPr>
                </pic:pic>
              </a:graphicData>
            </a:graphic>
          </wp:anchor>
        </w:drawing>
      </w:r>
    </w:p>
    <w:bookmarkEnd w:id="0"/>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657437" w:rsidRDefault="00657437" w:rsidP="00D34F06">
      <w:pPr>
        <w:pStyle w:val="P127"/>
        <w:jc w:val="both"/>
        <w:outlineLvl w:val="0"/>
        <w:rPr>
          <w:rFonts w:ascii="Times New Roman" w:hAnsi="Times New Roman" w:cs="Times New Roman"/>
        </w:rPr>
      </w:pPr>
    </w:p>
    <w:p w:rsidR="005540EB" w:rsidRPr="005540EB" w:rsidRDefault="005540EB" w:rsidP="00D34F06">
      <w:pPr>
        <w:pStyle w:val="P127"/>
        <w:jc w:val="both"/>
        <w:outlineLvl w:val="0"/>
        <w:rPr>
          <w:rFonts w:ascii="Times New Roman" w:hAnsi="Times New Roman" w:cs="Times New Roman"/>
        </w:rPr>
      </w:pPr>
      <w:r w:rsidRPr="005540EB">
        <w:rPr>
          <w:rFonts w:ascii="Times New Roman" w:hAnsi="Times New Roman" w:cs="Times New Roman"/>
        </w:rPr>
        <w:t>Proposed Electric Rate Spread</w:t>
      </w:r>
      <w:r w:rsidR="00F2314D">
        <w:rPr>
          <w:rFonts w:ascii="Times New Roman" w:hAnsi="Times New Roman" w:cs="Times New Roman"/>
        </w:rPr>
        <w:t xml:space="preserve"> </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w:t>
      </w:r>
      <w:r w:rsidRPr="00081958">
        <w:rPr>
          <w:rStyle w:val="T11"/>
          <w:rFonts w:ascii="Times New Roman" w:hAnsi="Times New Roman" w:cs="Times New Roman"/>
        </w:rPr>
        <w:t>request of $</w:t>
      </w:r>
      <w:r w:rsidR="003E19C9">
        <w:rPr>
          <w:rStyle w:val="T11"/>
          <w:rFonts w:ascii="Times New Roman" w:hAnsi="Times New Roman" w:cs="Times New Roman"/>
        </w:rPr>
        <w:t>33,229,000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3E19C9" w:rsidRPr="003E19C9" w:rsidRDefault="005540EB" w:rsidP="003E19C9">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w:t>
      </w:r>
      <w:r w:rsidRPr="002B3375">
        <w:rPr>
          <w:rFonts w:ascii="Times New Roman" w:hAnsi="Times New Roman" w:cs="Times New Roman"/>
        </w:rPr>
        <w:t xml:space="preserve">Company is proposing that the overall requested revenue increase be spread </w:t>
      </w:r>
      <w:r w:rsidR="00F2314D">
        <w:rPr>
          <w:rFonts w:ascii="Times New Roman" w:hAnsi="Times New Roman" w:cs="Times New Roman"/>
        </w:rPr>
        <w:t>in the following manner</w:t>
      </w:r>
      <w:r w:rsidR="00C372CC" w:rsidRPr="002B3375">
        <w:rPr>
          <w:rFonts w:ascii="Times New Roman" w:hAnsi="Times New Roman" w:cs="Times New Roman"/>
        </w:rPr>
        <w:t>:</w:t>
      </w:r>
      <w:r w:rsidR="003E19C9">
        <w:rPr>
          <w:rFonts w:ascii="Times New Roman" w:hAnsi="Times New Roman" w:cs="Times New Roman"/>
        </w:rPr>
        <w:br w:type="page"/>
      </w:r>
    </w:p>
    <w:p w:rsidR="005540EB" w:rsidRDefault="006C7E37" w:rsidP="00C95E6C">
      <w:pPr>
        <w:pStyle w:val="P166"/>
        <w:jc w:val="both"/>
        <w:rPr>
          <w:rFonts w:ascii="Times New Roman" w:hAnsi="Times New Roman" w:cs="Times New Roman"/>
        </w:rPr>
      </w:pPr>
      <w:r w:rsidRPr="006C7E37">
        <w:rPr>
          <w:noProof/>
        </w:rPr>
        <w:lastRenderedPageBreak/>
        <w:drawing>
          <wp:anchor distT="0" distB="0" distL="114300" distR="114300" simplePos="0" relativeHeight="251959808" behindDoc="1" locked="0" layoutInCell="1" allowOverlap="1">
            <wp:simplePos x="0" y="0"/>
            <wp:positionH relativeFrom="column">
              <wp:posOffset>477975</wp:posOffset>
            </wp:positionH>
            <wp:positionV relativeFrom="paragraph">
              <wp:posOffset>0</wp:posOffset>
            </wp:positionV>
            <wp:extent cx="4853605" cy="2044460"/>
            <wp:effectExtent l="19050" t="0" r="414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53605" cy="2044460"/>
                    </a:xfrm>
                    <a:prstGeom prst="rect">
                      <a:avLst/>
                    </a:prstGeom>
                    <a:noFill/>
                    <a:ln w="9525">
                      <a:noFill/>
                      <a:miter lim="800000"/>
                      <a:headEnd/>
                      <a:tailEnd/>
                    </a:ln>
                  </pic:spPr>
                </pic:pic>
              </a:graphicData>
            </a:graphic>
          </wp:anchor>
        </w:drawing>
      </w:r>
    </w:p>
    <w:p w:rsidR="004C3DE4" w:rsidRDefault="004C3DE4" w:rsidP="004C3DE4">
      <w:pPr>
        <w:pStyle w:val="P166"/>
        <w:jc w:val="both"/>
        <w:rPr>
          <w:rFonts w:ascii="Times New Roman" w:hAnsi="Times New Roman" w:cs="Times New Roman"/>
        </w:rPr>
      </w:pPr>
    </w:p>
    <w:p w:rsidR="004C3DE4" w:rsidRPr="002B3375" w:rsidRDefault="004C3DE4" w:rsidP="004C3DE4">
      <w:pPr>
        <w:pStyle w:val="P166"/>
        <w:jc w:val="both"/>
        <w:rPr>
          <w:rFonts w:ascii="Times New Roman" w:hAnsi="Times New Roman" w:cs="Times New Roman"/>
        </w:rPr>
      </w:pP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B50A07" w:rsidRDefault="00B50A07"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w:t>
      </w:r>
      <w:proofErr w:type="gramStart"/>
      <w:r w:rsidR="0043473F" w:rsidRPr="0021578E">
        <w:rPr>
          <w:rFonts w:ascii="Times New Roman" w:hAnsi="Times New Roman" w:cs="Times New Roman"/>
        </w:rPr>
        <w:t>_</w:t>
      </w:r>
      <w:r w:rsidRPr="0021578E">
        <w:rPr>
          <w:rFonts w:ascii="Times New Roman" w:hAnsi="Times New Roman" w:cs="Times New Roman"/>
        </w:rPr>
        <w:t>(</w:t>
      </w:r>
      <w:proofErr w:type="gramEnd"/>
      <w:r w:rsidR="00D8699E" w:rsidRPr="0021578E">
        <w:rPr>
          <w:rFonts w:ascii="Times New Roman" w:hAnsi="Times New Roman" w:cs="Times New Roman"/>
        </w:rPr>
        <w:t>PDE</w:t>
      </w:r>
      <w:r w:rsidRPr="0021578E">
        <w:rPr>
          <w:rFonts w:ascii="Times New Roman" w:hAnsi="Times New Roman" w:cs="Times New Roman"/>
        </w:rPr>
        <w:t>-</w:t>
      </w:r>
      <w:r w:rsidR="00657437">
        <w:rPr>
          <w:rFonts w:ascii="Times New Roman" w:hAnsi="Times New Roman" w:cs="Times New Roman"/>
        </w:rPr>
        <w:t>4</w:t>
      </w:r>
      <w:r w:rsidRPr="0021578E">
        <w:rPr>
          <w:rFonts w:ascii="Times New Roman" w:hAnsi="Times New Roman" w:cs="Times New Roman"/>
        </w:rPr>
        <w:t xml:space="preserve">).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B50A07" w:rsidRPr="00B50A07" w:rsidRDefault="002B3375" w:rsidP="00B50A07">
      <w:pPr>
        <w:pStyle w:val="P179"/>
        <w:tabs>
          <w:tab w:val="clear" w:pos="1260"/>
          <w:tab w:val="left" w:pos="1440"/>
        </w:tabs>
        <w:ind w:left="0" w:firstLine="720"/>
        <w:jc w:val="both"/>
        <w:rPr>
          <w:rStyle w:val="T13"/>
          <w:rFonts w:ascii="Times New Roman" w:hAnsi="Times New Roman" w:cs="Times New Roman"/>
          <w:b w:val="0"/>
        </w:rPr>
      </w:pPr>
      <w:r w:rsidRPr="002B3375">
        <w:rPr>
          <w:rFonts w:ascii="Times New Roman" w:hAnsi="Times New Roman" w:cs="Times New Roman"/>
          <w:b w:val="0"/>
        </w:rPr>
        <w:t>A.</w:t>
      </w:r>
      <w:r w:rsidRPr="002B3375">
        <w:rPr>
          <w:rFonts w:ascii="Times New Roman" w:hAnsi="Times New Roman" w:cs="Times New Roman"/>
          <w:b w:val="0"/>
        </w:rPr>
        <w:tab/>
      </w:r>
      <w:r>
        <w:rPr>
          <w:rFonts w:ascii="Times New Roman" w:hAnsi="Times New Roman" w:cs="Times New Roman"/>
          <w:b w:val="0"/>
        </w:rPr>
        <w:t>The</w:t>
      </w:r>
      <w:r w:rsidRPr="002B3375">
        <w:rPr>
          <w:rFonts w:ascii="Times New Roman" w:hAnsi="Times New Roman" w:cs="Times New Roman"/>
          <w:b w:val="0"/>
        </w:rPr>
        <w:t xml:space="preserve"> Company believes that the results of the cost of service study</w:t>
      </w:r>
      <w:r w:rsidR="00F2314D">
        <w:rPr>
          <w:rFonts w:ascii="Times New Roman" w:hAnsi="Times New Roman" w:cs="Times New Roman"/>
          <w:b w:val="0"/>
        </w:rPr>
        <w:t xml:space="preserve">, </w:t>
      </w:r>
      <w:r w:rsidRPr="002B3375">
        <w:rPr>
          <w:rFonts w:ascii="Times New Roman" w:hAnsi="Times New Roman" w:cs="Times New Roman"/>
          <w:b w:val="0"/>
        </w:rPr>
        <w:t xml:space="preserve">sponsored by </w:t>
      </w:r>
      <w:r w:rsidR="007C7911">
        <w:rPr>
          <w:rFonts w:ascii="Times New Roman" w:hAnsi="Times New Roman" w:cs="Times New Roman"/>
          <w:b w:val="0"/>
        </w:rPr>
        <w:t xml:space="preserve">Company witness </w:t>
      </w:r>
      <w:r w:rsidRPr="002B3375">
        <w:rPr>
          <w:rFonts w:ascii="Times New Roman" w:hAnsi="Times New Roman" w:cs="Times New Roman"/>
          <w:b w:val="0"/>
        </w:rPr>
        <w:t>Ms. Knox</w:t>
      </w:r>
      <w:r w:rsidR="00F2314D">
        <w:rPr>
          <w:rFonts w:ascii="Times New Roman" w:hAnsi="Times New Roman" w:cs="Times New Roman"/>
          <w:b w:val="0"/>
        </w:rPr>
        <w:t>,</w:t>
      </w:r>
      <w:r w:rsidRPr="002B3375">
        <w:rPr>
          <w:rFonts w:ascii="Times New Roman" w:hAnsi="Times New Roman" w:cs="Times New Roman"/>
          <w:b w:val="0"/>
        </w:rPr>
        <w:t xml:space="preserve"> </w:t>
      </w:r>
      <w:r w:rsidR="004C3DE4">
        <w:rPr>
          <w:rFonts w:ascii="Times New Roman" w:hAnsi="Times New Roman" w:cs="Times New Roman"/>
          <w:b w:val="0"/>
        </w:rPr>
        <w:t>sh</w:t>
      </w:r>
      <w:r w:rsidRPr="002B3375">
        <w:rPr>
          <w:rFonts w:ascii="Times New Roman" w:hAnsi="Times New Roman" w:cs="Times New Roman"/>
          <w:b w:val="0"/>
        </w:rPr>
        <w:t>ould be used as a guide to spread the g</w:t>
      </w:r>
      <w:r>
        <w:rPr>
          <w:rFonts w:ascii="Times New Roman" w:hAnsi="Times New Roman" w:cs="Times New Roman"/>
          <w:b w:val="0"/>
        </w:rPr>
        <w:t xml:space="preserve">eneral increase. </w:t>
      </w:r>
      <w:r w:rsidR="00903213">
        <w:rPr>
          <w:rFonts w:ascii="Times New Roman" w:hAnsi="Times New Roman" w:cs="Times New Roman"/>
          <w:b w:val="0"/>
        </w:rPr>
        <w:t xml:space="preserve">The cost of service study shows that Residential Schedule 1, Extra Large General Service Schedule 25, Pumping Service Schedules 30-32, and Street and Area Light Schedules 41-48 have a present relative rate of return below the system </w:t>
      </w:r>
      <w:r w:rsidR="008A52E8">
        <w:rPr>
          <w:rFonts w:ascii="Times New Roman" w:hAnsi="Times New Roman" w:cs="Times New Roman"/>
          <w:b w:val="0"/>
        </w:rPr>
        <w:t xml:space="preserve">average </w:t>
      </w:r>
      <w:r w:rsidR="00903213">
        <w:rPr>
          <w:rFonts w:ascii="Times New Roman" w:hAnsi="Times New Roman" w:cs="Times New Roman"/>
          <w:b w:val="0"/>
        </w:rPr>
        <w:t>rate of return, while General Service Schedules 11/12 and Large General Service Schedules 21/22 have a present relative rate of return greater than the system average</w:t>
      </w:r>
      <w:r w:rsidR="008A52E8">
        <w:rPr>
          <w:rFonts w:ascii="Times New Roman" w:hAnsi="Times New Roman" w:cs="Times New Roman"/>
          <w:b w:val="0"/>
        </w:rPr>
        <w:t xml:space="preserve"> rate of return</w:t>
      </w:r>
      <w:r w:rsidR="00903213">
        <w:rPr>
          <w:rFonts w:ascii="Times New Roman" w:hAnsi="Times New Roman" w:cs="Times New Roman"/>
          <w:b w:val="0"/>
        </w:rPr>
        <w:t>.</w:t>
      </w:r>
      <w:r w:rsidR="008A52E8">
        <w:rPr>
          <w:rFonts w:ascii="Times New Roman" w:hAnsi="Times New Roman" w:cs="Times New Roman"/>
          <w:b w:val="0"/>
        </w:rPr>
        <w:t xml:space="preserve">  </w:t>
      </w:r>
      <w:r w:rsidRPr="002B3375">
        <w:rPr>
          <w:rFonts w:ascii="Times New Roman" w:hAnsi="Times New Roman" w:cs="Times New Roman"/>
          <w:b w:val="0"/>
        </w:rPr>
        <w:t>Table</w:t>
      </w:r>
      <w:r w:rsidR="007C7911">
        <w:rPr>
          <w:rFonts w:ascii="Times New Roman" w:hAnsi="Times New Roman" w:cs="Times New Roman"/>
          <w:b w:val="0"/>
        </w:rPr>
        <w:t xml:space="preserve"> </w:t>
      </w:r>
      <w:r w:rsidR="008A52E8">
        <w:rPr>
          <w:rFonts w:ascii="Times New Roman" w:hAnsi="Times New Roman" w:cs="Times New Roman"/>
          <w:b w:val="0"/>
        </w:rPr>
        <w:t>5</w:t>
      </w:r>
      <w:r w:rsidRPr="002B3375">
        <w:rPr>
          <w:rFonts w:ascii="Times New Roman" w:hAnsi="Times New Roman" w:cs="Times New Roman"/>
          <w:b w:val="0"/>
        </w:rPr>
        <w:t xml:space="preserve"> below shows the relative rates of return (schedule rate of return divided by overall rate of return) before and after application of the base rate increase</w:t>
      </w:r>
      <w:r w:rsidR="008A52E8">
        <w:rPr>
          <w:rFonts w:ascii="Times New Roman" w:hAnsi="Times New Roman" w:cs="Times New Roman"/>
          <w:b w:val="0"/>
        </w:rPr>
        <w:t>:</w:t>
      </w:r>
    </w:p>
    <w:p w:rsidR="00B50A07" w:rsidRPr="00822621" w:rsidRDefault="00922002" w:rsidP="0012369E">
      <w:pPr>
        <w:pStyle w:val="P179"/>
        <w:tabs>
          <w:tab w:val="clear" w:pos="1260"/>
          <w:tab w:val="left" w:pos="1440"/>
        </w:tabs>
        <w:ind w:left="0" w:firstLine="720"/>
        <w:jc w:val="both"/>
        <w:rPr>
          <w:rStyle w:val="T13"/>
          <w:rFonts w:ascii="Times New Roman" w:hAnsi="Times New Roman" w:cs="Times New Roman"/>
          <w:highlight w:val="lightGray"/>
        </w:rPr>
      </w:pPr>
      <w:r w:rsidRPr="00922002">
        <w:rPr>
          <w:noProof/>
        </w:rPr>
        <w:drawing>
          <wp:anchor distT="0" distB="0" distL="114300" distR="114300" simplePos="0" relativeHeight="251960832" behindDoc="1" locked="0" layoutInCell="1" allowOverlap="1">
            <wp:simplePos x="0" y="0"/>
            <wp:positionH relativeFrom="column">
              <wp:posOffset>477975</wp:posOffset>
            </wp:positionH>
            <wp:positionV relativeFrom="paragraph">
              <wp:posOffset>-43133</wp:posOffset>
            </wp:positionV>
            <wp:extent cx="4975645" cy="2009955"/>
            <wp:effectExtent l="19050" t="0" r="0" b="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975645" cy="2009955"/>
                    </a:xfrm>
                    <a:prstGeom prst="rect">
                      <a:avLst/>
                    </a:prstGeom>
                    <a:noFill/>
                    <a:ln w="9525">
                      <a:noFill/>
                      <a:miter lim="800000"/>
                      <a:headEnd/>
                      <a:tailEnd/>
                    </a:ln>
                  </pic:spPr>
                </pic:pic>
              </a:graphicData>
            </a:graphic>
          </wp:anchor>
        </w:drawing>
      </w:r>
    </w:p>
    <w:p w:rsidR="00944313" w:rsidRPr="00822621" w:rsidRDefault="00944313"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8A52E8" w:rsidRDefault="008A52E8" w:rsidP="00711833">
      <w:pPr>
        <w:pStyle w:val="P252"/>
        <w:jc w:val="both"/>
        <w:outlineLvl w:val="0"/>
        <w:rPr>
          <w:rFonts w:ascii="Times New Roman" w:hAnsi="Times New Roman" w:cs="Times New Roman"/>
          <w:b w:val="0"/>
          <w:u w:val="none"/>
        </w:rPr>
      </w:pPr>
      <w:r>
        <w:rPr>
          <w:rFonts w:ascii="Times New Roman" w:hAnsi="Times New Roman" w:cs="Times New Roman"/>
          <w:b w:val="0"/>
          <w:u w:val="none"/>
        </w:rPr>
        <w:lastRenderedPageBreak/>
        <w:tab/>
        <w:t>The Company analyzed the results of the cost of service study, and considered a number of items in its determination of the final rate spread.  First, the Company believes that Schedules 11/12 should receive a</w:t>
      </w:r>
      <w:r w:rsidR="006C7E37">
        <w:rPr>
          <w:rFonts w:ascii="Times New Roman" w:hAnsi="Times New Roman" w:cs="Times New Roman"/>
          <w:b w:val="0"/>
          <w:u w:val="none"/>
        </w:rPr>
        <w:t>n increase</w:t>
      </w:r>
      <w:r>
        <w:rPr>
          <w:rFonts w:ascii="Times New Roman" w:hAnsi="Times New Roman" w:cs="Times New Roman"/>
          <w:b w:val="0"/>
          <w:u w:val="none"/>
        </w:rPr>
        <w:t xml:space="preserve"> less than</w:t>
      </w:r>
      <w:r w:rsidR="006C7E37">
        <w:rPr>
          <w:rFonts w:ascii="Times New Roman" w:hAnsi="Times New Roman" w:cs="Times New Roman"/>
          <w:b w:val="0"/>
          <w:u w:val="none"/>
        </w:rPr>
        <w:t xml:space="preserve"> the</w:t>
      </w:r>
      <w:r>
        <w:rPr>
          <w:rFonts w:ascii="Times New Roman" w:hAnsi="Times New Roman" w:cs="Times New Roman"/>
          <w:b w:val="0"/>
          <w:u w:val="none"/>
        </w:rPr>
        <w:t xml:space="preserve"> overall increase because their present relative rate of return is almost twice the system average.  Next, given the proximity of Schedules 30-32 to the system average, the Company believes that a movement to unity (1.00) is appropriate, and the resulting percentage increases for those sch</w:t>
      </w:r>
      <w:r w:rsidR="00922002">
        <w:rPr>
          <w:rFonts w:ascii="Times New Roman" w:hAnsi="Times New Roman" w:cs="Times New Roman"/>
          <w:b w:val="0"/>
          <w:u w:val="none"/>
        </w:rPr>
        <w:t>edules are reasonably close (7.5</w:t>
      </w:r>
      <w:r>
        <w:rPr>
          <w:rFonts w:ascii="Times New Roman" w:hAnsi="Times New Roman" w:cs="Times New Roman"/>
          <w:b w:val="0"/>
          <w:u w:val="none"/>
        </w:rPr>
        <w:t xml:space="preserve">%) to the overall system request (6.6%).  </w:t>
      </w:r>
    </w:p>
    <w:p w:rsidR="008A52E8" w:rsidRDefault="008A52E8" w:rsidP="00711833">
      <w:pPr>
        <w:pStyle w:val="P252"/>
        <w:jc w:val="both"/>
        <w:outlineLvl w:val="0"/>
        <w:rPr>
          <w:rFonts w:ascii="Times New Roman" w:hAnsi="Times New Roman" w:cs="Times New Roman"/>
          <w:b w:val="0"/>
          <w:u w:val="none"/>
        </w:rPr>
      </w:pPr>
      <w:r>
        <w:rPr>
          <w:rFonts w:ascii="Times New Roman" w:hAnsi="Times New Roman" w:cs="Times New Roman"/>
          <w:b w:val="0"/>
          <w:u w:val="none"/>
        </w:rPr>
        <w:tab/>
        <w:t>Street and Area Lights were not moved to the system average as Company analysis shows that</w:t>
      </w:r>
      <w:r w:rsidR="008C51DB">
        <w:rPr>
          <w:rFonts w:ascii="Times New Roman" w:hAnsi="Times New Roman" w:cs="Times New Roman"/>
          <w:b w:val="0"/>
          <w:u w:val="none"/>
        </w:rPr>
        <w:t>,</w:t>
      </w:r>
      <w:r>
        <w:rPr>
          <w:rFonts w:ascii="Times New Roman" w:hAnsi="Times New Roman" w:cs="Times New Roman"/>
          <w:b w:val="0"/>
          <w:u w:val="none"/>
        </w:rPr>
        <w:t xml:space="preserve"> if </w:t>
      </w:r>
      <w:r w:rsidR="00720D05">
        <w:rPr>
          <w:rFonts w:ascii="Times New Roman" w:hAnsi="Times New Roman" w:cs="Times New Roman"/>
          <w:b w:val="0"/>
          <w:u w:val="none"/>
        </w:rPr>
        <w:t>they were</w:t>
      </w:r>
      <w:r>
        <w:rPr>
          <w:rFonts w:ascii="Times New Roman" w:hAnsi="Times New Roman" w:cs="Times New Roman"/>
          <w:b w:val="0"/>
          <w:u w:val="none"/>
        </w:rPr>
        <w:t xml:space="preserve"> </w:t>
      </w:r>
      <w:r w:rsidR="008C51DB">
        <w:rPr>
          <w:rFonts w:ascii="Times New Roman" w:hAnsi="Times New Roman" w:cs="Times New Roman"/>
          <w:b w:val="0"/>
          <w:u w:val="none"/>
        </w:rPr>
        <w:t xml:space="preserve">moved to unity, </w:t>
      </w:r>
      <w:r>
        <w:rPr>
          <w:rFonts w:ascii="Times New Roman" w:hAnsi="Times New Roman" w:cs="Times New Roman"/>
          <w:b w:val="0"/>
          <w:u w:val="none"/>
        </w:rPr>
        <w:t xml:space="preserve">the overall percentage increase for those schedules would be greater than 18%. </w:t>
      </w:r>
      <w:r w:rsidR="008C51DB">
        <w:rPr>
          <w:rFonts w:ascii="Times New Roman" w:hAnsi="Times New Roman" w:cs="Times New Roman"/>
          <w:b w:val="0"/>
          <w:u w:val="none"/>
        </w:rPr>
        <w:t xml:space="preserve"> In an effort to balance the overall</w:t>
      </w:r>
      <w:r w:rsidR="00720D05">
        <w:rPr>
          <w:rFonts w:ascii="Times New Roman" w:hAnsi="Times New Roman" w:cs="Times New Roman"/>
          <w:b w:val="0"/>
          <w:u w:val="none"/>
        </w:rPr>
        <w:t xml:space="preserve"> rate increase for those schedules</w:t>
      </w:r>
      <w:r w:rsidR="008C51DB">
        <w:rPr>
          <w:rFonts w:ascii="Times New Roman" w:hAnsi="Times New Roman" w:cs="Times New Roman"/>
          <w:b w:val="0"/>
          <w:u w:val="none"/>
        </w:rPr>
        <w:t>,</w:t>
      </w:r>
      <w:r w:rsidR="00720D05">
        <w:rPr>
          <w:rFonts w:ascii="Times New Roman" w:hAnsi="Times New Roman" w:cs="Times New Roman"/>
          <w:b w:val="0"/>
          <w:u w:val="none"/>
        </w:rPr>
        <w:t xml:space="preserve"> while </w:t>
      </w:r>
      <w:r>
        <w:rPr>
          <w:rFonts w:ascii="Times New Roman" w:hAnsi="Times New Roman" w:cs="Times New Roman"/>
          <w:b w:val="0"/>
          <w:u w:val="none"/>
        </w:rPr>
        <w:t>still mak</w:t>
      </w:r>
      <w:r w:rsidR="00720D05">
        <w:rPr>
          <w:rFonts w:ascii="Times New Roman" w:hAnsi="Times New Roman" w:cs="Times New Roman"/>
          <w:b w:val="0"/>
          <w:u w:val="none"/>
        </w:rPr>
        <w:t>ing</w:t>
      </w:r>
      <w:r>
        <w:rPr>
          <w:rFonts w:ascii="Times New Roman" w:hAnsi="Times New Roman" w:cs="Times New Roman"/>
          <w:b w:val="0"/>
          <w:u w:val="none"/>
        </w:rPr>
        <w:t xml:space="preserve"> reasonable movement towards unity, Avista applied a 9.3% base rate increase for those schedules.  </w:t>
      </w:r>
    </w:p>
    <w:p w:rsidR="008A52E8" w:rsidRPr="008A52E8" w:rsidRDefault="008A52E8" w:rsidP="00711833">
      <w:pPr>
        <w:pStyle w:val="P252"/>
        <w:jc w:val="both"/>
        <w:outlineLvl w:val="0"/>
        <w:rPr>
          <w:rFonts w:ascii="Times New Roman" w:hAnsi="Times New Roman" w:cs="Times New Roman"/>
          <w:b w:val="0"/>
          <w:u w:val="none"/>
        </w:rPr>
      </w:pPr>
      <w:r>
        <w:rPr>
          <w:rFonts w:ascii="Times New Roman" w:hAnsi="Times New Roman" w:cs="Times New Roman"/>
          <w:b w:val="0"/>
          <w:u w:val="none"/>
        </w:rPr>
        <w:tab/>
        <w:t>For Schedule</w:t>
      </w:r>
      <w:r w:rsidR="00720D05">
        <w:rPr>
          <w:rFonts w:ascii="Times New Roman" w:hAnsi="Times New Roman" w:cs="Times New Roman"/>
          <w:b w:val="0"/>
          <w:u w:val="none"/>
        </w:rPr>
        <w:t>s</w:t>
      </w:r>
      <w:r>
        <w:rPr>
          <w:rFonts w:ascii="Times New Roman" w:hAnsi="Times New Roman" w:cs="Times New Roman"/>
          <w:b w:val="0"/>
          <w:u w:val="none"/>
        </w:rPr>
        <w:t xml:space="preserve"> 21</w:t>
      </w:r>
      <w:r w:rsidR="00720D05">
        <w:rPr>
          <w:rFonts w:ascii="Times New Roman" w:hAnsi="Times New Roman" w:cs="Times New Roman"/>
          <w:b w:val="0"/>
          <w:u w:val="none"/>
        </w:rPr>
        <w:t>/22</w:t>
      </w:r>
      <w:r>
        <w:rPr>
          <w:rFonts w:ascii="Times New Roman" w:hAnsi="Times New Roman" w:cs="Times New Roman"/>
          <w:b w:val="0"/>
          <w:u w:val="none"/>
        </w:rPr>
        <w:t xml:space="preserve">, </w:t>
      </w:r>
      <w:r w:rsidR="00720D05">
        <w:rPr>
          <w:rFonts w:ascii="Times New Roman" w:hAnsi="Times New Roman" w:cs="Times New Roman"/>
          <w:b w:val="0"/>
          <w:u w:val="none"/>
        </w:rPr>
        <w:t xml:space="preserve">the Company </w:t>
      </w:r>
      <w:r w:rsidR="00B50A07">
        <w:rPr>
          <w:rFonts w:ascii="Times New Roman" w:hAnsi="Times New Roman" w:cs="Times New Roman"/>
          <w:b w:val="0"/>
          <w:u w:val="none"/>
        </w:rPr>
        <w:t>gave</w:t>
      </w:r>
      <w:r w:rsidR="00720D05">
        <w:rPr>
          <w:rFonts w:ascii="Times New Roman" w:hAnsi="Times New Roman" w:cs="Times New Roman"/>
          <w:b w:val="0"/>
          <w:u w:val="none"/>
        </w:rPr>
        <w:t xml:space="preserve"> those schedules the same percentage increase as the overall request</w:t>
      </w:r>
      <w:r w:rsidR="00B50A07">
        <w:rPr>
          <w:rFonts w:ascii="Times New Roman" w:hAnsi="Times New Roman" w:cs="Times New Roman"/>
          <w:b w:val="0"/>
          <w:u w:val="none"/>
        </w:rPr>
        <w:t>,</w:t>
      </w:r>
      <w:r w:rsidR="00720D05">
        <w:rPr>
          <w:rFonts w:ascii="Times New Roman" w:hAnsi="Times New Roman" w:cs="Times New Roman"/>
          <w:b w:val="0"/>
          <w:u w:val="none"/>
        </w:rPr>
        <w:t xml:space="preserve"> which provides for an approximate 15% movement towards unity (1.00).  </w:t>
      </w:r>
      <w:r w:rsidR="00922002">
        <w:rPr>
          <w:rFonts w:ascii="Times New Roman" w:hAnsi="Times New Roman" w:cs="Times New Roman"/>
          <w:b w:val="0"/>
          <w:u w:val="none"/>
        </w:rPr>
        <w:t xml:space="preserve">For Schedule 25, the Company gave that schedule the same percentage increase as the overall request, which provides for an approximately 43% movement towards unity.  </w:t>
      </w:r>
      <w:r w:rsidR="00720D05">
        <w:rPr>
          <w:rFonts w:ascii="Times New Roman" w:hAnsi="Times New Roman" w:cs="Times New Roman"/>
          <w:b w:val="0"/>
          <w:u w:val="none"/>
        </w:rPr>
        <w:t>Finally, the Company applied a 20% movement towards unity for residential Schedule 1 in an effort to make meaningful movement for that schedule towards unity</w:t>
      </w:r>
      <w:r w:rsidR="00B50A07">
        <w:rPr>
          <w:rFonts w:ascii="Times New Roman" w:hAnsi="Times New Roman" w:cs="Times New Roman"/>
          <w:b w:val="0"/>
          <w:u w:val="none"/>
        </w:rPr>
        <w:t>,</w:t>
      </w:r>
      <w:r w:rsidR="00720D05">
        <w:rPr>
          <w:rFonts w:ascii="Times New Roman" w:hAnsi="Times New Roman" w:cs="Times New Roman"/>
          <w:b w:val="0"/>
          <w:u w:val="none"/>
        </w:rPr>
        <w:t xml:space="preserve"> while keeping the overall increase for the schedule</w:t>
      </w:r>
      <w:r w:rsidR="008C51DB">
        <w:rPr>
          <w:rFonts w:ascii="Times New Roman" w:hAnsi="Times New Roman" w:cs="Times New Roman"/>
          <w:b w:val="0"/>
          <w:u w:val="none"/>
        </w:rPr>
        <w:t xml:space="preserve"> (7.5%)</w:t>
      </w:r>
      <w:r w:rsidR="00720D05">
        <w:rPr>
          <w:rFonts w:ascii="Times New Roman" w:hAnsi="Times New Roman" w:cs="Times New Roman"/>
          <w:b w:val="0"/>
          <w:u w:val="none"/>
        </w:rPr>
        <w:t xml:space="preserve"> reasonably close to the overall request</w:t>
      </w:r>
      <w:r w:rsidR="008C51DB">
        <w:rPr>
          <w:rFonts w:ascii="Times New Roman" w:hAnsi="Times New Roman" w:cs="Times New Roman"/>
          <w:b w:val="0"/>
          <w:u w:val="none"/>
        </w:rPr>
        <w:t xml:space="preserve"> (6.6%)</w:t>
      </w:r>
      <w:r w:rsidR="00720D05">
        <w:rPr>
          <w:rFonts w:ascii="Times New Roman" w:hAnsi="Times New Roman" w:cs="Times New Roman"/>
          <w:b w:val="0"/>
          <w:u w:val="none"/>
        </w:rPr>
        <w:t xml:space="preserve">. </w:t>
      </w:r>
    </w:p>
    <w:p w:rsidR="005540EB" w:rsidRPr="005F4B1C" w:rsidRDefault="005540EB" w:rsidP="00711833">
      <w:pPr>
        <w:pStyle w:val="P252"/>
        <w:jc w:val="both"/>
        <w:outlineLvl w:val="0"/>
        <w:rPr>
          <w:rFonts w:ascii="Times New Roman" w:hAnsi="Times New Roman" w:cs="Times New Roman"/>
        </w:rPr>
      </w:pPr>
      <w:r w:rsidRPr="005F4B1C">
        <w:rPr>
          <w:rFonts w:ascii="Times New Roman" w:hAnsi="Times New Roman" w:cs="Times New Roman"/>
        </w:rPr>
        <w:t>Proposed Rate Design</w:t>
      </w:r>
    </w:p>
    <w:p w:rsidR="005540EB" w:rsidRPr="005F4B1C"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Where in your Exhibit do you show a comparison of the present and proposed rates within each of the Company’s electric service schedules?</w:t>
      </w:r>
    </w:p>
    <w:p w:rsidR="005540EB" w:rsidRPr="005F4B1C"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Page 3 of Exhibit No._</w:t>
      </w:r>
      <w:r w:rsidR="000A6BBC" w:rsidRPr="005F4B1C">
        <w:rPr>
          <w:rFonts w:ascii="Times New Roman" w:hAnsi="Times New Roman" w:cs="Times New Roman"/>
        </w:rPr>
        <w:t>_</w:t>
      </w:r>
      <w:proofErr w:type="gramStart"/>
      <w:r w:rsidR="000A6BBC" w:rsidRPr="005F4B1C">
        <w:rPr>
          <w:rFonts w:ascii="Times New Roman" w:hAnsi="Times New Roman" w:cs="Times New Roman"/>
        </w:rPr>
        <w:t>_</w:t>
      </w:r>
      <w:r w:rsidRPr="005F4B1C">
        <w:rPr>
          <w:rFonts w:ascii="Times New Roman" w:hAnsi="Times New Roman" w:cs="Times New Roman"/>
        </w:rPr>
        <w:t>(</w:t>
      </w:r>
      <w:proofErr w:type="gramEnd"/>
      <w:r w:rsidR="00D8699E" w:rsidRPr="005F4B1C">
        <w:rPr>
          <w:rFonts w:ascii="Times New Roman" w:hAnsi="Times New Roman" w:cs="Times New Roman"/>
        </w:rPr>
        <w:t>PDE</w:t>
      </w:r>
      <w:r w:rsidRPr="005F4B1C">
        <w:rPr>
          <w:rFonts w:ascii="Times New Roman" w:hAnsi="Times New Roman" w:cs="Times New Roman"/>
        </w:rPr>
        <w:t xml:space="preserve">-4) shows a comparison of the present and </w:t>
      </w:r>
      <w:r w:rsidRPr="005F4B1C">
        <w:rPr>
          <w:rFonts w:ascii="Times New Roman" w:hAnsi="Times New Roman" w:cs="Times New Roman"/>
        </w:rPr>
        <w:lastRenderedPageBreak/>
        <w:t xml:space="preserve">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5F4B1C">
        <w:rPr>
          <w:rFonts w:ascii="Times New Roman" w:hAnsi="Times New Roman" w:cs="Times New Roman"/>
        </w:rPr>
        <w:t>each of the schedules</w:t>
      </w:r>
      <w:r w:rsidR="005F4B1C">
        <w:rPr>
          <w:rFonts w:ascii="Times New Roman" w:hAnsi="Times New Roman" w:cs="Times New Roman"/>
        </w:rPr>
        <w:t xml:space="preserve">.  Finally, </w:t>
      </w:r>
      <w:r w:rsidR="001020C1" w:rsidRPr="005F4B1C">
        <w:rPr>
          <w:rFonts w:ascii="Times New Roman" w:hAnsi="Times New Roman" w:cs="Times New Roman"/>
        </w:rPr>
        <w:t>column (</w:t>
      </w:r>
      <w:r w:rsidR="00F96B2B">
        <w:rPr>
          <w:rFonts w:ascii="Times New Roman" w:hAnsi="Times New Roman" w:cs="Times New Roman"/>
        </w:rPr>
        <w:t>f</w:t>
      </w:r>
      <w:r w:rsidRPr="005F4B1C">
        <w:rPr>
          <w:rFonts w:ascii="Times New Roman" w:hAnsi="Times New Roman" w:cs="Times New Roman"/>
        </w:rPr>
        <w:t xml:space="preserve">) shows the proposed </w:t>
      </w:r>
      <w:r w:rsidRPr="005F4B1C">
        <w:rPr>
          <w:rStyle w:val="T5"/>
          <w:rFonts w:ascii="Times New Roman" w:hAnsi="Times New Roman" w:cs="Times New Roman"/>
        </w:rPr>
        <w:t>billing</w:t>
      </w:r>
      <w:r w:rsidRPr="005F4B1C">
        <w:rPr>
          <w:rFonts w:ascii="Times New Roman" w:hAnsi="Times New Roman" w:cs="Times New Roman"/>
        </w:rPr>
        <w:t xml:space="preserve"> rates and </w:t>
      </w:r>
      <w:r w:rsidR="005F4B1C">
        <w:rPr>
          <w:rFonts w:ascii="Times New Roman" w:hAnsi="Times New Roman" w:cs="Times New Roman"/>
        </w:rPr>
        <w:t>column</w:t>
      </w:r>
      <w:r w:rsidRPr="005F4B1C">
        <w:rPr>
          <w:rFonts w:ascii="Times New Roman" w:hAnsi="Times New Roman" w:cs="Times New Roman"/>
        </w:rPr>
        <w:t xml:space="preserve"> (</w:t>
      </w:r>
      <w:r w:rsidR="00F96B2B">
        <w:rPr>
          <w:rFonts w:ascii="Times New Roman" w:hAnsi="Times New Roman" w:cs="Times New Roman"/>
        </w:rPr>
        <w:t>g</w:t>
      </w:r>
      <w:r w:rsidRPr="005F4B1C">
        <w:rPr>
          <w:rFonts w:ascii="Times New Roman" w:hAnsi="Times New Roman" w:cs="Times New Roman"/>
        </w:rPr>
        <w:t xml:space="preserve">) shows the proposed </w:t>
      </w:r>
      <w:r w:rsidRPr="005F4B1C">
        <w:rPr>
          <w:rStyle w:val="T5"/>
          <w:rFonts w:ascii="Times New Roman" w:hAnsi="Times New Roman" w:cs="Times New Roman"/>
        </w:rPr>
        <w:t>base tariff</w:t>
      </w:r>
      <w:r w:rsidRPr="005F4B1C">
        <w:rPr>
          <w:rFonts w:ascii="Times New Roman" w:hAnsi="Times New Roman" w:cs="Times New Roman"/>
        </w:rPr>
        <w:t xml:space="preserve"> rates.</w:t>
      </w:r>
      <w:r w:rsidR="00BA66BC" w:rsidRPr="005F4B1C">
        <w:rPr>
          <w:rFonts w:ascii="Times New Roman" w:hAnsi="Times New Roman" w:cs="Times New Roman"/>
        </w:rPr>
        <w:t xml:space="preserve">  </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BC4EEE">
        <w:rPr>
          <w:rFonts w:ascii="Times New Roman" w:hAnsi="Times New Roman" w:cs="Times New Roman"/>
        </w:rPr>
        <w:t>8</w:t>
      </w:r>
      <w:r w:rsidR="00D23716">
        <w:rPr>
          <w:rFonts w:ascii="Times New Roman" w:hAnsi="Times New Roman" w:cs="Times New Roman"/>
        </w:rPr>
        <w:t>.</w:t>
      </w:r>
      <w:r w:rsidR="00F96B2B">
        <w:rPr>
          <w:rFonts w:ascii="Times New Roman" w:hAnsi="Times New Roman" w:cs="Times New Roman"/>
        </w:rPr>
        <w:t>5</w:t>
      </w:r>
      <w:r w:rsidR="00D23716">
        <w:rPr>
          <w:rFonts w:ascii="Times New Roman" w:hAnsi="Times New Roman" w:cs="Times New Roman"/>
        </w:rPr>
        <w:t>0</w:t>
      </w:r>
      <w:r w:rsidR="005540EB" w:rsidRPr="005540EB">
        <w:rPr>
          <w:rFonts w:ascii="Times New Roman" w:hAnsi="Times New Roman" w:cs="Times New Roman"/>
        </w:rPr>
        <w:t xml:space="preserve"> per month and three energy rate blocks:  0-</w:t>
      </w:r>
      <w:r w:rsidR="00BC4EEE">
        <w:rPr>
          <w:rFonts w:ascii="Times New Roman" w:hAnsi="Times New Roman" w:cs="Times New Roman"/>
        </w:rPr>
        <w:t>8</w:t>
      </w:r>
      <w:r w:rsidR="005540EB" w:rsidRPr="005540EB">
        <w:rPr>
          <w:rFonts w:ascii="Times New Roman" w:hAnsi="Times New Roman" w:cs="Times New Roman"/>
        </w:rPr>
        <w:t xml:space="preserve">00 kWhs, </w:t>
      </w:r>
      <w:r w:rsidR="00BC4EEE">
        <w:rPr>
          <w:rFonts w:ascii="Times New Roman" w:hAnsi="Times New Roman" w:cs="Times New Roman"/>
        </w:rPr>
        <w:t>8</w:t>
      </w:r>
      <w:r w:rsidR="005540EB" w:rsidRPr="005540EB">
        <w:rPr>
          <w:rFonts w:ascii="Times New Roman" w:hAnsi="Times New Roman" w:cs="Times New Roman"/>
        </w:rPr>
        <w:t>01-1,</w:t>
      </w:r>
      <w:r w:rsidR="00BC4EEE">
        <w:rPr>
          <w:rFonts w:ascii="Times New Roman" w:hAnsi="Times New Roman" w:cs="Times New Roman"/>
        </w:rPr>
        <w:t>5</w:t>
      </w:r>
      <w:r w:rsidR="005540EB" w:rsidRPr="005540EB">
        <w:rPr>
          <w:rFonts w:ascii="Times New Roman" w:hAnsi="Times New Roman" w:cs="Times New Roman"/>
        </w:rPr>
        <w:t>00 kWhs and over 1,</w:t>
      </w:r>
      <w:r w:rsidR="00BC4EEE">
        <w:rPr>
          <w:rFonts w:ascii="Times New Roman" w:hAnsi="Times New Roman" w:cs="Times New Roman"/>
        </w:rPr>
        <w:t>5</w:t>
      </w:r>
      <w:r w:rsidR="005540EB" w:rsidRPr="005540EB">
        <w:rPr>
          <w:rFonts w:ascii="Times New Roman" w:hAnsi="Times New Roman" w:cs="Times New Roman"/>
        </w:rPr>
        <w:t xml:space="preserve">00 kWhs.  The present base tariff rate for the first </w:t>
      </w:r>
      <w:r w:rsidR="005C4F7B">
        <w:rPr>
          <w:rFonts w:ascii="Times New Roman" w:hAnsi="Times New Roman" w:cs="Times New Roman"/>
        </w:rPr>
        <w:t>8</w:t>
      </w:r>
      <w:r w:rsidR="005540EB" w:rsidRPr="005540EB">
        <w:rPr>
          <w:rFonts w:ascii="Times New Roman" w:hAnsi="Times New Roman" w:cs="Times New Roman"/>
        </w:rPr>
        <w:t xml:space="preserve">00 kWhs per month is </w:t>
      </w:r>
      <w:r w:rsidR="005C4F7B">
        <w:rPr>
          <w:rFonts w:ascii="Times New Roman" w:hAnsi="Times New Roman" w:cs="Times New Roman"/>
        </w:rPr>
        <w:t>7.</w:t>
      </w:r>
      <w:r w:rsidR="00F96B2B">
        <w:rPr>
          <w:rFonts w:ascii="Times New Roman" w:hAnsi="Times New Roman" w:cs="Times New Roman"/>
        </w:rPr>
        <w:t>525</w:t>
      </w:r>
      <w:r w:rsidR="005540EB" w:rsidRPr="005540EB">
        <w:rPr>
          <w:rFonts w:ascii="Times New Roman" w:hAnsi="Times New Roman" w:cs="Times New Roman"/>
        </w:rPr>
        <w:t xml:space="preserve"> cents per kWh, </w:t>
      </w:r>
      <w:r w:rsidR="00C372CC">
        <w:rPr>
          <w:rFonts w:ascii="Times New Roman" w:hAnsi="Times New Roman" w:cs="Times New Roman"/>
        </w:rPr>
        <w:t>8.</w:t>
      </w:r>
      <w:r w:rsidR="00F96B2B">
        <w:rPr>
          <w:rFonts w:ascii="Times New Roman" w:hAnsi="Times New Roman" w:cs="Times New Roman"/>
        </w:rPr>
        <w:t>755</w:t>
      </w:r>
      <w:r w:rsidR="005540EB" w:rsidRPr="005540EB">
        <w:rPr>
          <w:rFonts w:ascii="Times New Roman" w:hAnsi="Times New Roman" w:cs="Times New Roman"/>
        </w:rPr>
        <w:t xml:space="preserve"> cents per kWh for the next 700 kWhs</w:t>
      </w:r>
      <w:r w:rsidR="00B50A07">
        <w:rPr>
          <w:rFonts w:ascii="Times New Roman" w:hAnsi="Times New Roman" w:cs="Times New Roman"/>
        </w:rPr>
        <w:t>,</w:t>
      </w:r>
      <w:r w:rsidR="005540EB" w:rsidRPr="005540EB">
        <w:rPr>
          <w:rFonts w:ascii="Times New Roman" w:hAnsi="Times New Roman" w:cs="Times New Roman"/>
        </w:rPr>
        <w:t xml:space="preserve"> and </w:t>
      </w:r>
      <w:r w:rsidR="005C4F7B">
        <w:rPr>
          <w:rFonts w:ascii="Times New Roman" w:hAnsi="Times New Roman" w:cs="Times New Roman"/>
        </w:rPr>
        <w:t>10.</w:t>
      </w:r>
      <w:r w:rsidR="00F96B2B">
        <w:rPr>
          <w:rFonts w:ascii="Times New Roman" w:hAnsi="Times New Roman" w:cs="Times New Roman"/>
        </w:rPr>
        <w:t>264</w:t>
      </w:r>
      <w:r w:rsidR="005540EB" w:rsidRPr="005540EB">
        <w:rPr>
          <w:rFonts w:ascii="Times New Roman" w:hAnsi="Times New Roman" w:cs="Times New Roman"/>
        </w:rPr>
        <w:t xml:space="preserve"> cents for all kWhs over 1</w:t>
      </w:r>
      <w:r w:rsidR="005C4F7B">
        <w:rPr>
          <w:rFonts w:ascii="Times New Roman" w:hAnsi="Times New Roman" w:cs="Times New Roman"/>
        </w:rPr>
        <w:t>,5</w:t>
      </w:r>
      <w:r w:rsidR="005540EB" w:rsidRPr="005540EB">
        <w:rPr>
          <w:rFonts w:ascii="Times New Roman" w:hAnsi="Times New Roman" w:cs="Times New Roman"/>
        </w:rPr>
        <w:t xml:space="preserve">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w:t>
      </w:r>
      <w:proofErr w:type="gramStart"/>
      <w:r w:rsidR="005540EB" w:rsidRPr="00D74916">
        <w:rPr>
          <w:rFonts w:ascii="Times New Roman" w:hAnsi="Times New Roman" w:cs="Times New Roman"/>
        </w:rPr>
        <w:t>propose</w:t>
      </w:r>
      <w:proofErr w:type="gramEnd"/>
      <w:r w:rsidR="005540EB" w:rsidRPr="00D74916">
        <w:rPr>
          <w:rFonts w:ascii="Times New Roman" w:hAnsi="Times New Roman" w:cs="Times New Roman"/>
        </w:rPr>
        <w:t xml:space="preserve"> to spread the proposed revenue increase </w:t>
      </w:r>
      <w:r w:rsidR="005540EB" w:rsidRPr="00443386">
        <w:rPr>
          <w:rFonts w:ascii="Times New Roman" w:hAnsi="Times New Roman" w:cs="Times New Roman"/>
        </w:rPr>
        <w:t>of $</w:t>
      </w:r>
      <w:r w:rsidR="00F96B2B">
        <w:rPr>
          <w:rFonts w:ascii="Times New Roman" w:hAnsi="Times New Roman" w:cs="Times New Roman"/>
        </w:rPr>
        <w:t>16</w:t>
      </w:r>
      <w:r w:rsidR="005F4B1C">
        <w:rPr>
          <w:rFonts w:ascii="Times New Roman" w:hAnsi="Times New Roman" w:cs="Times New Roman"/>
        </w:rPr>
        <w:t>,</w:t>
      </w:r>
      <w:r w:rsidR="00F96B2B">
        <w:rPr>
          <w:rFonts w:ascii="Times New Roman" w:hAnsi="Times New Roman" w:cs="Times New Roman"/>
        </w:rPr>
        <w:t>036</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w:t>
      </w:r>
      <w:r w:rsidR="005C4F7B">
        <w:rPr>
          <w:rFonts w:ascii="Times New Roman" w:hAnsi="Times New Roman" w:cs="Times New Roman"/>
        </w:rPr>
        <w:t>8</w:t>
      </w:r>
      <w:r w:rsidR="00C372CC" w:rsidRPr="00443386">
        <w:rPr>
          <w:rFonts w:ascii="Times New Roman" w:hAnsi="Times New Roman" w:cs="Times New Roman"/>
        </w:rPr>
        <w:t>.</w:t>
      </w:r>
      <w:r w:rsidR="00F96B2B">
        <w:rPr>
          <w:rFonts w:ascii="Times New Roman" w:hAnsi="Times New Roman" w:cs="Times New Roman"/>
        </w:rPr>
        <w:t>50</w:t>
      </w:r>
      <w:r w:rsidR="00C372CC" w:rsidRPr="00443386">
        <w:rPr>
          <w:rFonts w:ascii="Times New Roman" w:hAnsi="Times New Roman" w:cs="Times New Roman"/>
        </w:rPr>
        <w:t xml:space="preserve"> to </w:t>
      </w:r>
      <w:r w:rsidR="00F234BF">
        <w:rPr>
          <w:rFonts w:ascii="Times New Roman" w:hAnsi="Times New Roman" w:cs="Times New Roman"/>
        </w:rPr>
        <w:t>$14</w:t>
      </w:r>
      <w:r w:rsidR="00C372CC" w:rsidRPr="00443386">
        <w:rPr>
          <w:rFonts w:ascii="Times New Roman" w:hAnsi="Times New Roman" w:cs="Times New Roman"/>
        </w:rPr>
        <w:t xml:space="preserve">.00 per month, and is </w:t>
      </w:r>
      <w:r w:rsidR="00C372CC" w:rsidRPr="005F4B1C">
        <w:rPr>
          <w:rFonts w:ascii="Times New Roman" w:hAnsi="Times New Roman" w:cs="Times New Roman"/>
        </w:rPr>
        <w:t>proposing to</w:t>
      </w:r>
      <w:r w:rsidR="005540EB" w:rsidRPr="005F4B1C">
        <w:rPr>
          <w:rFonts w:ascii="Times New Roman" w:hAnsi="Times New Roman" w:cs="Times New Roman"/>
        </w:rPr>
        <w:t xml:space="preserve"> </w:t>
      </w:r>
      <w:r w:rsidR="00F96B2B">
        <w:rPr>
          <w:rFonts w:ascii="Times New Roman" w:hAnsi="Times New Roman" w:cs="Times New Roman"/>
        </w:rPr>
        <w:t>in</w:t>
      </w:r>
      <w:r w:rsidR="005F4B1C" w:rsidRPr="005F4B1C">
        <w:rPr>
          <w:rFonts w:ascii="Times New Roman" w:hAnsi="Times New Roman" w:cs="Times New Roman"/>
        </w:rPr>
        <w:t>c</w:t>
      </w:r>
      <w:r w:rsidR="005540EB" w:rsidRPr="005F4B1C">
        <w:rPr>
          <w:rFonts w:ascii="Times New Roman" w:hAnsi="Times New Roman" w:cs="Times New Roman"/>
        </w:rPr>
        <w:t xml:space="preserve">rease the energy rate for </w:t>
      </w:r>
      <w:r w:rsidR="00C372CC" w:rsidRPr="005F4B1C">
        <w:rPr>
          <w:rFonts w:ascii="Times New Roman" w:hAnsi="Times New Roman" w:cs="Times New Roman"/>
        </w:rPr>
        <w:t xml:space="preserve">all three </w:t>
      </w:r>
      <w:r w:rsidR="005540EB" w:rsidRPr="005F4B1C">
        <w:rPr>
          <w:rFonts w:ascii="Times New Roman" w:hAnsi="Times New Roman" w:cs="Times New Roman"/>
        </w:rPr>
        <w:t>block</w:t>
      </w:r>
      <w:r w:rsidR="00C372CC" w:rsidRPr="005F4B1C">
        <w:rPr>
          <w:rFonts w:ascii="Times New Roman" w:hAnsi="Times New Roman" w:cs="Times New Roman"/>
        </w:rPr>
        <w:t>s</w:t>
      </w:r>
      <w:r w:rsidR="005540EB" w:rsidRPr="005F4B1C">
        <w:rPr>
          <w:rFonts w:ascii="Times New Roman" w:hAnsi="Times New Roman" w:cs="Times New Roman"/>
        </w:rPr>
        <w:t xml:space="preserve"> </w:t>
      </w:r>
      <w:r w:rsidR="00C372CC" w:rsidRPr="005F4B1C">
        <w:rPr>
          <w:rFonts w:ascii="Times New Roman" w:hAnsi="Times New Roman" w:cs="Times New Roman"/>
        </w:rPr>
        <w:t>by</w:t>
      </w:r>
      <w:r w:rsidR="005540EB" w:rsidRPr="005F4B1C">
        <w:rPr>
          <w:rFonts w:ascii="Times New Roman" w:hAnsi="Times New Roman" w:cs="Times New Roman"/>
        </w:rPr>
        <w:t xml:space="preserve"> </w:t>
      </w:r>
      <w:r w:rsidR="005F4B1C" w:rsidRPr="005F4B1C">
        <w:rPr>
          <w:rFonts w:ascii="Times New Roman" w:hAnsi="Times New Roman" w:cs="Times New Roman"/>
        </w:rPr>
        <w:t xml:space="preserve">approximately </w:t>
      </w:r>
      <w:r w:rsidR="00F96B2B">
        <w:rPr>
          <w:rFonts w:ascii="Times New Roman" w:hAnsi="Times New Roman" w:cs="Times New Roman"/>
        </w:rPr>
        <w:t>1.3</w:t>
      </w:r>
      <w:r w:rsidR="005F4B1C" w:rsidRPr="005F4B1C">
        <w:rPr>
          <w:rFonts w:ascii="Times New Roman" w:hAnsi="Times New Roman" w:cs="Times New Roman"/>
        </w:rPr>
        <w:t xml:space="preserve"> percent</w:t>
      </w:r>
      <w:r w:rsidR="005540EB" w:rsidRPr="005F4B1C">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 xml:space="preserve">Why is the Company proposing to increase the monthly customer </w:t>
      </w:r>
      <w:proofErr w:type="gramStart"/>
      <w:r w:rsidRPr="006A2F58">
        <w:rPr>
          <w:rFonts w:ascii="Times New Roman" w:hAnsi="Times New Roman" w:cs="Times New Roman"/>
          <w:b/>
        </w:rPr>
        <w:t>charge</w:t>
      </w:r>
      <w:proofErr w:type="gramEnd"/>
      <w:r w:rsidRPr="006A2F58">
        <w:rPr>
          <w:rFonts w:ascii="Times New Roman" w:hAnsi="Times New Roman" w:cs="Times New Roman"/>
          <w:b/>
        </w:rPr>
        <w:t xml:space="preserve"> from $</w:t>
      </w:r>
      <w:r w:rsidR="005C4F7B">
        <w:rPr>
          <w:rFonts w:ascii="Times New Roman" w:hAnsi="Times New Roman" w:cs="Times New Roman"/>
          <w:b/>
        </w:rPr>
        <w:t>8</w:t>
      </w:r>
      <w:r w:rsidRPr="006A2F58">
        <w:rPr>
          <w:rFonts w:ascii="Times New Roman" w:hAnsi="Times New Roman" w:cs="Times New Roman"/>
          <w:b/>
        </w:rPr>
        <w:t>.</w:t>
      </w:r>
      <w:r w:rsidR="00F96B2B">
        <w:rPr>
          <w:rFonts w:ascii="Times New Roman" w:hAnsi="Times New Roman" w:cs="Times New Roman"/>
          <w:b/>
        </w:rPr>
        <w:t>50</w:t>
      </w:r>
      <w:r w:rsidRPr="006A2F58">
        <w:rPr>
          <w:rFonts w:ascii="Times New Roman" w:hAnsi="Times New Roman" w:cs="Times New Roman"/>
          <w:b/>
        </w:rPr>
        <w:t xml:space="preserve"> to </w:t>
      </w:r>
      <w:r w:rsidR="00F234BF">
        <w:rPr>
          <w:rFonts w:ascii="Times New Roman" w:hAnsi="Times New Roman" w:cs="Times New Roman"/>
          <w:b/>
        </w:rPr>
        <w:t>$14</w:t>
      </w:r>
      <w:r w:rsidRPr="006A2F58">
        <w:rPr>
          <w:rFonts w:ascii="Times New Roman" w:hAnsi="Times New Roman" w:cs="Times New Roman"/>
          <w:b/>
        </w:rPr>
        <w:t>.00 per month?</w:t>
      </w:r>
    </w:p>
    <w:p w:rsidR="00D34F06" w:rsidRDefault="006A2F58" w:rsidP="00D34F06">
      <w:pPr>
        <w:spacing w:line="480" w:lineRule="auto"/>
        <w:ind w:firstLine="720"/>
        <w:jc w:val="both"/>
        <w:rPr>
          <w:kern w:val="24"/>
        </w:rPr>
      </w:pPr>
      <w:r w:rsidRPr="005540EB">
        <w:rPr>
          <w:kern w:val="24"/>
        </w:rPr>
        <w:lastRenderedPageBreak/>
        <w:t xml:space="preserve">A. </w:t>
      </w:r>
      <w:r w:rsidRPr="005540EB">
        <w:rPr>
          <w:kern w:val="24"/>
        </w:rPr>
        <w:tab/>
        <w:t xml:space="preserve">A substantial portion of the Company's costs are fixed and do not vary with the amount of energy used by customers.  As reflected in this filing, the </w:t>
      </w:r>
      <w:r w:rsidR="004C3DE4">
        <w:rPr>
          <w:kern w:val="24"/>
        </w:rPr>
        <w:t xml:space="preserve">fixed </w:t>
      </w:r>
      <w:r w:rsidRPr="005540EB">
        <w:rPr>
          <w:kern w:val="24"/>
        </w:rPr>
        <w:t>cost</w:t>
      </w:r>
      <w:r w:rsidR="004C3DE4">
        <w:rPr>
          <w:kern w:val="24"/>
        </w:rPr>
        <w:t>s</w:t>
      </w:r>
      <w:r w:rsidRPr="005540EB">
        <w:rPr>
          <w:kern w:val="24"/>
        </w:rPr>
        <w:t xml:space="preserve"> of operating and maintaining our electric system </w:t>
      </w:r>
      <w:r w:rsidR="004C3DE4">
        <w:rPr>
          <w:kern w:val="24"/>
        </w:rPr>
        <w:t>are</w:t>
      </w:r>
      <w:r w:rsidRPr="005540EB">
        <w:rPr>
          <w:kern w:val="24"/>
        </w:rPr>
        <w:t xml:space="preserve">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w:t>
      </w:r>
      <w:r w:rsidR="004C3DE4">
        <w:rPr>
          <w:kern w:val="24"/>
        </w:rPr>
        <w:t xml:space="preserve"> in Section V. of </w:t>
      </w:r>
      <w:r>
        <w:rPr>
          <w:kern w:val="24"/>
        </w:rPr>
        <w:t xml:space="preserve">my testimony I will provide greater detail as to why the Company believes the monthly customer charge should increase </w:t>
      </w:r>
      <w:r w:rsidR="006C7E37">
        <w:rPr>
          <w:kern w:val="24"/>
        </w:rPr>
        <w:t>to $14.00</w:t>
      </w:r>
      <w:r>
        <w:rPr>
          <w:kern w:val="24"/>
        </w:rPr>
        <w:t xml:space="preserve"> per month.</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w:t>
      </w:r>
      <w:r w:rsidR="004C3DE4">
        <w:rPr>
          <w:rFonts w:ascii="Times New Roman" w:hAnsi="Times New Roman" w:cs="Times New Roman"/>
        </w:rPr>
        <w:t>w</w:t>
      </w:r>
      <w:r w:rsidRPr="005540EB">
        <w:rPr>
          <w:rFonts w:ascii="Times New Roman" w:hAnsi="Times New Roman" w:cs="Times New Roman"/>
        </w:rPr>
        <w:t xml:space="preserve">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The present rate structure under the schedule includes a monthly customer charge of </w:t>
      </w:r>
      <w:r w:rsidR="00F234BF">
        <w:rPr>
          <w:rFonts w:ascii="Times New Roman" w:hAnsi="Times New Roman" w:cs="Times New Roman"/>
        </w:rPr>
        <w:t>$</w:t>
      </w:r>
      <w:r w:rsidR="00F96B2B">
        <w:rPr>
          <w:rFonts w:ascii="Times New Roman" w:hAnsi="Times New Roman" w:cs="Times New Roman"/>
        </w:rPr>
        <w:t>18</w:t>
      </w:r>
      <w:r w:rsidR="00830886">
        <w:rPr>
          <w:rFonts w:ascii="Times New Roman" w:hAnsi="Times New Roman" w:cs="Times New Roman"/>
        </w:rPr>
        <w:t>.00</w:t>
      </w:r>
      <w:r w:rsidRPr="005540EB">
        <w:rPr>
          <w:rFonts w:ascii="Times New Roman" w:hAnsi="Times New Roman" w:cs="Times New Roman"/>
        </w:rPr>
        <w:t xml:space="preserve">, an energy rate of </w:t>
      </w:r>
      <w:r w:rsidR="00F96B2B">
        <w:rPr>
          <w:rFonts w:ascii="Times New Roman" w:hAnsi="Times New Roman" w:cs="Times New Roman"/>
        </w:rPr>
        <w:t>11.507</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5C4F7B">
        <w:rPr>
          <w:rFonts w:ascii="Times New Roman" w:hAnsi="Times New Roman" w:cs="Times New Roman"/>
        </w:rPr>
        <w:t>8.</w:t>
      </w:r>
      <w:r w:rsidR="00F96B2B">
        <w:rPr>
          <w:rFonts w:ascii="Times New Roman" w:hAnsi="Times New Roman" w:cs="Times New Roman"/>
        </w:rPr>
        <w:t>455</w:t>
      </w:r>
      <w:r w:rsidRPr="005540EB">
        <w:rPr>
          <w:rFonts w:ascii="Times New Roman" w:hAnsi="Times New Roman" w:cs="Times New Roman"/>
        </w:rPr>
        <w:t xml:space="preserve"> cents per kWh for usage over 3,650 kWhs per month.  There is also a demand charge of $</w:t>
      </w:r>
      <w:r w:rsidR="005C4F7B">
        <w:rPr>
          <w:rFonts w:ascii="Times New Roman" w:hAnsi="Times New Roman" w:cs="Times New Roman"/>
        </w:rPr>
        <w:t>6.00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proofErr w:type="gramStart"/>
      <w:r w:rsidR="005540EB" w:rsidRPr="00D74916">
        <w:rPr>
          <w:rFonts w:ascii="Times New Roman" w:hAnsi="Times New Roman" w:cs="Times New Roman"/>
        </w:rPr>
        <w:t>increase</w:t>
      </w:r>
      <w:proofErr w:type="gramEnd"/>
      <w:r w:rsidR="005540EB" w:rsidRPr="00D74916">
        <w:rPr>
          <w:rFonts w:ascii="Times New Roman" w:hAnsi="Times New Roman" w:cs="Times New Roman"/>
        </w:rPr>
        <w:t xml:space="preserve"> of $</w:t>
      </w:r>
      <w:r w:rsidR="003956A9">
        <w:rPr>
          <w:rFonts w:ascii="Times New Roman" w:hAnsi="Times New Roman" w:cs="Times New Roman"/>
        </w:rPr>
        <w:t>2,</w:t>
      </w:r>
      <w:r w:rsidR="00922002">
        <w:rPr>
          <w:rFonts w:ascii="Times New Roman" w:hAnsi="Times New Roman" w:cs="Times New Roman"/>
        </w:rPr>
        <w:t>687</w:t>
      </w:r>
      <w:r w:rsidR="003956A9">
        <w:rPr>
          <w:rFonts w:ascii="Times New Roman" w:hAnsi="Times New Roman" w:cs="Times New Roman"/>
        </w:rPr>
        <w:t>,000</w:t>
      </w:r>
      <w:r w:rsidR="005540EB" w:rsidRPr="00D74916">
        <w:rPr>
          <w:rFonts w:ascii="Times New Roman" w:hAnsi="Times New Roman" w:cs="Times New Roman"/>
        </w:rPr>
        <w:t xml:space="preserve"> to the</w:t>
      </w:r>
      <w:r w:rsidR="005540EB" w:rsidRPr="005540EB">
        <w:rPr>
          <w:rFonts w:ascii="Times New Roman" w:hAnsi="Times New Roman" w:cs="Times New Roman"/>
        </w:rPr>
        <w:t xml:space="preserve"> rates under Schedule 11? </w:t>
      </w:r>
    </w:p>
    <w:p w:rsidR="00D34F06" w:rsidRPr="00D34F06" w:rsidRDefault="00F04603" w:rsidP="00D34F06">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F96B2B">
        <w:rPr>
          <w:rFonts w:ascii="Times New Roman" w:hAnsi="Times New Roman" w:cs="Times New Roman"/>
        </w:rPr>
        <w:t>2</w:t>
      </w:r>
      <w:r w:rsidR="006A2F58" w:rsidRPr="00E42AAE">
        <w:rPr>
          <w:rFonts w:ascii="Times New Roman" w:hAnsi="Times New Roman" w:cs="Times New Roman"/>
        </w:rPr>
        <w:t>.00</w:t>
      </w:r>
      <w:r w:rsidR="005540EB" w:rsidRPr="00E42AAE">
        <w:rPr>
          <w:rFonts w:ascii="Times New Roman" w:hAnsi="Times New Roman" w:cs="Times New Roman"/>
        </w:rPr>
        <w:t>, from $</w:t>
      </w:r>
      <w:r w:rsidR="00F96B2B">
        <w:rPr>
          <w:rFonts w:ascii="Times New Roman" w:hAnsi="Times New Roman" w:cs="Times New Roman"/>
        </w:rPr>
        <w:t>18</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F96B2B">
        <w:rPr>
          <w:rFonts w:ascii="Times New Roman" w:hAnsi="Times New Roman" w:cs="Times New Roman"/>
        </w:rPr>
        <w:t>20</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5C4F7B">
        <w:rPr>
          <w:rFonts w:ascii="Times New Roman" w:hAnsi="Times New Roman" w:cs="Times New Roman"/>
        </w:rPr>
        <w:t>6.00</w:t>
      </w:r>
      <w:r w:rsidR="005540EB" w:rsidRPr="00E42AAE">
        <w:rPr>
          <w:rFonts w:ascii="Times New Roman" w:hAnsi="Times New Roman" w:cs="Times New Roman"/>
        </w:rPr>
        <w:t xml:space="preserve"> to $</w:t>
      </w:r>
      <w:r w:rsidR="00221538">
        <w:rPr>
          <w:rFonts w:ascii="Times New Roman" w:hAnsi="Times New Roman" w:cs="Times New Roman"/>
        </w:rPr>
        <w:t>6.</w:t>
      </w:r>
      <w:r w:rsidR="005C4F7B">
        <w:rPr>
          <w:rFonts w:ascii="Times New Roman" w:hAnsi="Times New Roman" w:cs="Times New Roman"/>
        </w:rPr>
        <w:t>50</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w:t>
      </w:r>
      <w:r w:rsidR="00221538" w:rsidRPr="003956A9">
        <w:rPr>
          <w:rFonts w:ascii="Times New Roman" w:hAnsi="Times New Roman" w:cs="Times New Roman"/>
        </w:rPr>
        <w:t xml:space="preserve">of approximately </w:t>
      </w:r>
      <w:r w:rsidR="00922002">
        <w:rPr>
          <w:rFonts w:ascii="Times New Roman" w:hAnsi="Times New Roman" w:cs="Times New Roman"/>
        </w:rPr>
        <w:t>2</w:t>
      </w:r>
      <w:r w:rsidR="00F96B2B">
        <w:rPr>
          <w:rFonts w:ascii="Times New Roman" w:hAnsi="Times New Roman" w:cs="Times New Roman"/>
        </w:rPr>
        <w:t>.8</w:t>
      </w:r>
      <w:r w:rsidR="00221538" w:rsidRPr="003956A9">
        <w:rPr>
          <w:rFonts w:ascii="Times New Roman" w:hAnsi="Times New Roman" w:cs="Times New Roman"/>
        </w:rPr>
        <w:t>% applied to the two (block) energy rates.  The increase in the first block rate is 0.</w:t>
      </w:r>
      <w:r w:rsidR="00922002">
        <w:rPr>
          <w:rFonts w:ascii="Times New Roman" w:hAnsi="Times New Roman" w:cs="Times New Roman"/>
        </w:rPr>
        <w:t>324</w:t>
      </w:r>
      <w:r w:rsidR="00221538" w:rsidRPr="003956A9">
        <w:rPr>
          <w:rFonts w:ascii="Times New Roman" w:hAnsi="Times New Roman" w:cs="Times New Roman"/>
        </w:rPr>
        <w:t xml:space="preserve"> cents per kWh, and 0.</w:t>
      </w:r>
      <w:r w:rsidR="00922002">
        <w:rPr>
          <w:rFonts w:ascii="Times New Roman" w:hAnsi="Times New Roman" w:cs="Times New Roman"/>
        </w:rPr>
        <w:t>239</w:t>
      </w:r>
      <w:r w:rsidR="00221538" w:rsidRPr="003956A9">
        <w:rPr>
          <w:rFonts w:ascii="Times New Roman" w:hAnsi="Times New Roman" w:cs="Times New Roman"/>
        </w:rPr>
        <w:t xml:space="preserve"> cents per kWh for the second block rate.  </w:t>
      </w:r>
      <w:r w:rsidR="005D0943" w:rsidRPr="003956A9">
        <w:rPr>
          <w:rFonts w:ascii="Times New Roman" w:hAnsi="Times New Roman" w:cs="Times New Roman"/>
        </w:rPr>
        <w:t xml:space="preserve">Finally, the Company is proposing to increase the minimum charge for </w:t>
      </w:r>
      <w:r w:rsidR="00D86546">
        <w:rPr>
          <w:rFonts w:ascii="Times New Roman" w:hAnsi="Times New Roman" w:cs="Times New Roman"/>
        </w:rPr>
        <w:t xml:space="preserve">single phase service from $15.00 to $20.00 per month, and three </w:t>
      </w:r>
      <w:r w:rsidR="005D0943" w:rsidRPr="003956A9">
        <w:rPr>
          <w:rFonts w:ascii="Times New Roman" w:hAnsi="Times New Roman" w:cs="Times New Roman"/>
        </w:rPr>
        <w:t>phase service from $</w:t>
      </w:r>
      <w:r w:rsidR="00F96B2B">
        <w:rPr>
          <w:rFonts w:ascii="Times New Roman" w:hAnsi="Times New Roman" w:cs="Times New Roman"/>
        </w:rPr>
        <w:t>25</w:t>
      </w:r>
      <w:r w:rsidR="005C4F7B" w:rsidRPr="003956A9">
        <w:rPr>
          <w:rFonts w:ascii="Times New Roman" w:hAnsi="Times New Roman" w:cs="Times New Roman"/>
        </w:rPr>
        <w:t>.35</w:t>
      </w:r>
      <w:r w:rsidR="005D0943" w:rsidRPr="003956A9">
        <w:rPr>
          <w:rFonts w:ascii="Times New Roman" w:hAnsi="Times New Roman" w:cs="Times New Roman"/>
        </w:rPr>
        <w:t xml:space="preserve"> to $</w:t>
      </w:r>
      <w:r w:rsidR="00221538" w:rsidRPr="003956A9">
        <w:rPr>
          <w:rFonts w:ascii="Times New Roman" w:hAnsi="Times New Roman" w:cs="Times New Roman"/>
        </w:rPr>
        <w:t>2</w:t>
      </w:r>
      <w:r w:rsidR="00F96B2B">
        <w:rPr>
          <w:rFonts w:ascii="Times New Roman" w:hAnsi="Times New Roman" w:cs="Times New Roman"/>
        </w:rPr>
        <w:t>7</w:t>
      </w:r>
      <w:r w:rsidR="00221538" w:rsidRPr="003956A9">
        <w:rPr>
          <w:rFonts w:ascii="Times New Roman" w:hAnsi="Times New Roman" w:cs="Times New Roman"/>
        </w:rPr>
        <w:t>.35</w:t>
      </w:r>
      <w:r w:rsidR="004C3DE4">
        <w:rPr>
          <w:rFonts w:ascii="Times New Roman" w:hAnsi="Times New Roman" w:cs="Times New Roman"/>
        </w:rPr>
        <w:t xml:space="preserve"> per month</w:t>
      </w:r>
      <w:r w:rsidR="005D0943" w:rsidRPr="003956A9">
        <w:rPr>
          <w:rFonts w:ascii="Times New Roman" w:hAnsi="Times New Roman" w:cs="Times New Roman"/>
        </w:rPr>
        <w:t>.</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lastRenderedPageBreak/>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5C4F7B">
        <w:rPr>
          <w:rFonts w:ascii="Times New Roman" w:hAnsi="Times New Roman" w:cs="Times New Roman"/>
          <w:b/>
        </w:rPr>
        <w:t>8.3</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w:t>
      </w:r>
      <w:r w:rsidR="00287B1F">
        <w:rPr>
          <w:bCs/>
        </w:rPr>
        <w:t xml:space="preserve">om the cost of service </w:t>
      </w:r>
      <w:r w:rsidR="00287B1F" w:rsidRPr="00642E83">
        <w:rPr>
          <w:bCs/>
        </w:rPr>
        <w:t>study is $</w:t>
      </w:r>
      <w:r w:rsidR="00462682">
        <w:rPr>
          <w:bCs/>
        </w:rPr>
        <w:t>19.68</w:t>
      </w:r>
      <w:r w:rsidR="00642E83" w:rsidRPr="00642E83">
        <w:rPr>
          <w:bCs/>
        </w:rPr>
        <w:t xml:space="preserve"> </w:t>
      </w:r>
      <w:r w:rsidRPr="00642E83">
        <w:rPr>
          <w:bCs/>
        </w:rPr>
        <w:t>per</w:t>
      </w:r>
      <w:r w:rsidRPr="00E65A4C">
        <w:rPr>
          <w:bCs/>
        </w:rPr>
        <w:t xml:space="preserve"> kilowatt (kW) month</w:t>
      </w:r>
      <w:r w:rsidRPr="00E65A4C">
        <w:rPr>
          <w:rStyle w:val="FootnoteReference"/>
          <w:bCs/>
        </w:rPr>
        <w:footnoteReference w:id="4"/>
      </w:r>
      <w:r w:rsidRPr="00E65A4C">
        <w:rPr>
          <w:bCs/>
        </w:rPr>
        <w:t xml:space="preserve">.  The Company’s present monthly demand charge </w:t>
      </w:r>
      <w:r w:rsidR="00462682">
        <w:rPr>
          <w:bCs/>
        </w:rPr>
        <w:t>is $</w:t>
      </w:r>
      <w:r w:rsidR="005C4F7B">
        <w:rPr>
          <w:bCs/>
        </w:rPr>
        <w:t>6.00</w:t>
      </w:r>
      <w:r w:rsidR="00462682">
        <w:rPr>
          <w:bCs/>
        </w:rPr>
        <w:t>/kW</w:t>
      </w:r>
      <w:r w:rsidR="006130C6">
        <w:rPr>
          <w:bCs/>
        </w:rPr>
        <w:t xml:space="preserve"> or kVA</w:t>
      </w:r>
      <w:r w:rsidRPr="00E65A4C">
        <w:rPr>
          <w:bCs/>
        </w:rPr>
        <w:t>.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ustomers need to receive the proper price signal to encourage a reduction in their peak demand, i.e., higher demand charges.</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w:t>
      </w:r>
      <w:r w:rsidRPr="00CF74E0">
        <w:rPr>
          <w:rStyle w:val="T11"/>
          <w:rFonts w:ascii="Times New Roman" w:hAnsi="Times New Roman" w:cs="Times New Roman"/>
        </w:rPr>
        <w:t>increase of $</w:t>
      </w:r>
      <w:r w:rsidR="006130C6">
        <w:rPr>
          <w:rStyle w:val="T11"/>
          <w:rFonts w:ascii="Times New Roman" w:hAnsi="Times New Roman" w:cs="Times New Roman"/>
        </w:rPr>
        <w:t>8,652</w:t>
      </w:r>
      <w:r w:rsidR="00614DB9" w:rsidRPr="00CF74E0">
        <w:rPr>
          <w:rStyle w:val="T11"/>
          <w:rFonts w:ascii="Times New Roman" w:hAnsi="Times New Roman" w:cs="Times New Roman"/>
        </w:rPr>
        <w:t>,000</w:t>
      </w:r>
      <w:r w:rsidRPr="00CF74E0">
        <w:rPr>
          <w:rStyle w:val="T11"/>
          <w:rFonts w:ascii="Times New Roman" w:hAnsi="Times New Roman" w:cs="Times New Roman"/>
        </w:rPr>
        <w:t xml:space="preserve"> to the rates</w:t>
      </w:r>
      <w:r w:rsidRPr="00645683">
        <w:rPr>
          <w:rStyle w:val="T11"/>
          <w:rFonts w:ascii="Times New Roman" w:hAnsi="Times New Roman" w:cs="Times New Roman"/>
        </w:rPr>
        <w:t xml:space="preserve">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6130C6">
        <w:rPr>
          <w:rFonts w:ascii="Times New Roman" w:hAnsi="Times New Roman" w:cs="Times New Roman"/>
        </w:rPr>
        <w:t>500</w:t>
      </w:r>
      <w:r w:rsidR="000B2F0A">
        <w:rPr>
          <w:rFonts w:ascii="Times New Roman" w:hAnsi="Times New Roman" w:cs="Times New Roman"/>
        </w:rPr>
        <w:t>.</w:t>
      </w:r>
      <w:r w:rsidR="001A786F">
        <w:rPr>
          <w:rFonts w:ascii="Times New Roman" w:hAnsi="Times New Roman" w:cs="Times New Roman"/>
        </w:rPr>
        <w:t>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0B2F0A">
        <w:rPr>
          <w:rFonts w:ascii="Times New Roman" w:hAnsi="Times New Roman" w:cs="Times New Roman"/>
        </w:rPr>
        <w:t>6.00</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0B2F0A">
        <w:rPr>
          <w:rFonts w:ascii="Times New Roman" w:hAnsi="Times New Roman" w:cs="Times New Roman"/>
        </w:rPr>
        <w:t>7.</w:t>
      </w:r>
      <w:r w:rsidR="006130C6">
        <w:rPr>
          <w:rFonts w:ascii="Times New Roman" w:hAnsi="Times New Roman" w:cs="Times New Roman"/>
        </w:rPr>
        <w:t>240</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0B2F0A">
        <w:rPr>
          <w:rFonts w:ascii="Times New Roman" w:hAnsi="Times New Roman" w:cs="Times New Roman"/>
        </w:rPr>
        <w:t>6.</w:t>
      </w:r>
      <w:r w:rsidR="006130C6">
        <w:rPr>
          <w:rFonts w:ascii="Times New Roman" w:hAnsi="Times New Roman" w:cs="Times New Roman"/>
        </w:rPr>
        <w:t>475</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 xml:space="preserve">The Company is proposing that the present minimum demand charge (for the first 50 kW or less) </w:t>
      </w:r>
      <w:r w:rsidR="006130C6">
        <w:rPr>
          <w:rFonts w:ascii="Times New Roman" w:hAnsi="Times New Roman" w:cs="Times New Roman"/>
        </w:rPr>
        <w:t>remain unchanged at</w:t>
      </w:r>
      <w:r w:rsidRPr="00645683">
        <w:rPr>
          <w:rFonts w:ascii="Times New Roman" w:hAnsi="Times New Roman" w:cs="Times New Roman"/>
        </w:rPr>
        <w:t xml:space="preserve"> $</w:t>
      </w:r>
      <w:r w:rsidR="000B2F0A">
        <w:rPr>
          <w:rFonts w:ascii="Times New Roman" w:hAnsi="Times New Roman" w:cs="Times New Roman"/>
        </w:rPr>
        <w:t>50</w:t>
      </w:r>
      <w:r w:rsidR="006E11B2" w:rsidRPr="00645683">
        <w:rPr>
          <w:rFonts w:ascii="Times New Roman" w:hAnsi="Times New Roman" w:cs="Times New Roman"/>
        </w:rPr>
        <w:t>0.00</w:t>
      </w:r>
      <w:r w:rsidR="006130C6">
        <w:rPr>
          <w:rFonts w:ascii="Times New Roman" w:hAnsi="Times New Roman" w:cs="Times New Roman"/>
        </w:rPr>
        <w:t xml:space="preserve"> per month</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0B2F0A">
        <w:rPr>
          <w:rFonts w:ascii="Times New Roman" w:hAnsi="Times New Roman" w:cs="Times New Roman"/>
        </w:rPr>
        <w:t>6.00</w:t>
      </w:r>
      <w:r w:rsidRPr="00645683">
        <w:rPr>
          <w:rFonts w:ascii="Times New Roman" w:hAnsi="Times New Roman" w:cs="Times New Roman"/>
        </w:rPr>
        <w:t xml:space="preserve"> to $</w:t>
      </w:r>
      <w:r w:rsidR="000B2F0A">
        <w:rPr>
          <w:rFonts w:ascii="Times New Roman" w:hAnsi="Times New Roman" w:cs="Times New Roman"/>
        </w:rPr>
        <w:t>6.50</w:t>
      </w:r>
      <w:r w:rsidR="00614DB9" w:rsidRPr="00645683">
        <w:rPr>
          <w:rFonts w:ascii="Times New Roman" w:hAnsi="Times New Roman" w:cs="Times New Roman"/>
        </w:rPr>
        <w:t xml:space="preserve">, for </w:t>
      </w:r>
      <w:r w:rsidR="00D32A7D">
        <w:rPr>
          <w:rFonts w:ascii="Times New Roman" w:hAnsi="Times New Roman" w:cs="Times New Roman"/>
        </w:rPr>
        <w:t xml:space="preserve">the </w:t>
      </w:r>
      <w:r w:rsidR="00614DB9" w:rsidRPr="00645683">
        <w:rPr>
          <w:rFonts w:ascii="Times New Roman" w:hAnsi="Times New Roman" w:cs="Times New Roman"/>
        </w:rPr>
        <w:t xml:space="preserve">reasons provided </w:t>
      </w:r>
      <w:r w:rsidR="00614DB9" w:rsidRPr="00645683">
        <w:rPr>
          <w:rFonts w:ascii="Times New Roman" w:hAnsi="Times New Roman" w:cs="Times New Roman"/>
        </w:rPr>
        <w:lastRenderedPageBreak/>
        <w:t>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6130C6">
        <w:rPr>
          <w:rFonts w:ascii="Times New Roman" w:hAnsi="Times New Roman" w:cs="Times New Roman"/>
        </w:rPr>
        <w:t>7</w:t>
      </w:r>
      <w:r w:rsidR="00CF74E0">
        <w:rPr>
          <w:rFonts w:ascii="Times New Roman" w:hAnsi="Times New Roman" w:cs="Times New Roman"/>
        </w:rPr>
        <w:t>.2</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w:t>
      </w:r>
      <w:r w:rsidRPr="00CF74E0">
        <w:rPr>
          <w:rFonts w:ascii="Times New Roman" w:hAnsi="Times New Roman" w:cs="Times New Roman"/>
        </w:rPr>
        <w:t xml:space="preserve">proposed increase for the first 250,000 kWhs used per month under the schedule is </w:t>
      </w:r>
      <w:r w:rsidR="00614DB9" w:rsidRPr="00CF74E0">
        <w:rPr>
          <w:rFonts w:ascii="Times New Roman" w:hAnsi="Times New Roman" w:cs="Times New Roman"/>
        </w:rPr>
        <w:t>0.</w:t>
      </w:r>
      <w:r w:rsidR="006130C6">
        <w:rPr>
          <w:rFonts w:ascii="Times New Roman" w:hAnsi="Times New Roman" w:cs="Times New Roman"/>
        </w:rPr>
        <w:t>519</w:t>
      </w:r>
      <w:r w:rsidRPr="00CF74E0">
        <w:rPr>
          <w:rFonts w:ascii="Times New Roman" w:hAnsi="Times New Roman" w:cs="Times New Roman"/>
        </w:rPr>
        <w:t xml:space="preserve"> cents per kWh, and an increase of </w:t>
      </w:r>
      <w:r w:rsidR="00614DB9" w:rsidRPr="00CF74E0">
        <w:rPr>
          <w:rFonts w:ascii="Times New Roman" w:hAnsi="Times New Roman" w:cs="Times New Roman"/>
        </w:rPr>
        <w:t>0</w:t>
      </w:r>
      <w:r w:rsidR="00CF74E0" w:rsidRPr="00CF74E0">
        <w:rPr>
          <w:rFonts w:ascii="Times New Roman" w:hAnsi="Times New Roman" w:cs="Times New Roman"/>
        </w:rPr>
        <w:t>.</w:t>
      </w:r>
      <w:r w:rsidR="006130C6">
        <w:rPr>
          <w:rFonts w:ascii="Times New Roman" w:hAnsi="Times New Roman" w:cs="Times New Roman"/>
        </w:rPr>
        <w:t>463</w:t>
      </w:r>
      <w:r w:rsidR="005A6FE5" w:rsidRPr="00CF74E0">
        <w:rPr>
          <w:rFonts w:ascii="Times New Roman" w:hAnsi="Times New Roman" w:cs="Times New Roman"/>
        </w:rPr>
        <w:t xml:space="preserve"> </w:t>
      </w:r>
      <w:r w:rsidRPr="00CF74E0">
        <w:rPr>
          <w:rFonts w:ascii="Times New Roman" w:hAnsi="Times New Roman" w:cs="Times New Roman"/>
        </w:rPr>
        <w:t>cents per kWh for usage over 250,000 kWhs per</w:t>
      </w:r>
      <w:r w:rsidRPr="00F820B5">
        <w:rPr>
          <w:rFonts w:ascii="Times New Roman" w:hAnsi="Times New Roman" w:cs="Times New Roman"/>
        </w:rPr>
        <w:t xml:space="preserve">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 xml:space="preserve">increase of </w:t>
      </w:r>
      <w:r w:rsidR="00CF74E0">
        <w:rPr>
          <w:rStyle w:val="T11"/>
          <w:rFonts w:ascii="Times New Roman" w:hAnsi="Times New Roman" w:cs="Times New Roman"/>
        </w:rPr>
        <w:t>$</w:t>
      </w:r>
      <w:r w:rsidR="006130C6">
        <w:rPr>
          <w:rStyle w:val="T11"/>
          <w:rFonts w:ascii="Times New Roman" w:hAnsi="Times New Roman" w:cs="Times New Roman"/>
        </w:rPr>
        <w:t>4,</w:t>
      </w:r>
      <w:r w:rsidR="00922002">
        <w:rPr>
          <w:rStyle w:val="T11"/>
          <w:rFonts w:ascii="Times New Roman" w:hAnsi="Times New Roman" w:cs="Times New Roman"/>
        </w:rPr>
        <w:t>335</w:t>
      </w:r>
      <w:r w:rsidR="00CF74E0">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6130C6">
        <w:rPr>
          <w:rFonts w:ascii="Times New Roman" w:hAnsi="Times New Roman" w:cs="Times New Roman"/>
        </w:rPr>
        <w:t>21</w:t>
      </w:r>
      <w:r w:rsidR="001A786F">
        <w:rPr>
          <w:rFonts w:ascii="Times New Roman" w:hAnsi="Times New Roman" w:cs="Times New Roman"/>
        </w:rPr>
        <w:t>,000</w:t>
      </w:r>
      <w:r w:rsidRPr="005540EB">
        <w:rPr>
          <w:rFonts w:ascii="Times New Roman" w:hAnsi="Times New Roman" w:cs="Times New Roman"/>
        </w:rPr>
        <w:t>.00 for the first 3,000 kVa or less, a demand charge of $</w:t>
      </w:r>
      <w:r w:rsidR="006130C6">
        <w:rPr>
          <w:rFonts w:ascii="Times New Roman" w:hAnsi="Times New Roman" w:cs="Times New Roman"/>
        </w:rPr>
        <w:t>6.00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6130C6">
        <w:rPr>
          <w:rFonts w:ascii="Times New Roman" w:hAnsi="Times New Roman" w:cs="Times New Roman"/>
        </w:rPr>
        <w:t>5.616</w:t>
      </w:r>
      <w:r w:rsidRPr="005540EB">
        <w:rPr>
          <w:rFonts w:ascii="Times New Roman" w:hAnsi="Times New Roman" w:cs="Times New Roman"/>
        </w:rPr>
        <w:t xml:space="preserve"> cents per kWh for the first 500,000 kWhs per month, </w:t>
      </w:r>
      <w:r w:rsidR="000B2F0A">
        <w:rPr>
          <w:rFonts w:ascii="Times New Roman" w:hAnsi="Times New Roman" w:cs="Times New Roman"/>
        </w:rPr>
        <w:t>5.</w:t>
      </w:r>
      <w:r w:rsidR="006130C6">
        <w:rPr>
          <w:rFonts w:ascii="Times New Roman" w:hAnsi="Times New Roman" w:cs="Times New Roman"/>
        </w:rPr>
        <w:t>053</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w:t>
      </w:r>
      <w:r w:rsidR="006130C6">
        <w:rPr>
          <w:rFonts w:ascii="Times New Roman" w:hAnsi="Times New Roman" w:cs="Times New Roman"/>
        </w:rPr>
        <w:t>320</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w:t>
      </w:r>
      <w:r w:rsidR="006130C6">
        <w:rPr>
          <w:rFonts w:ascii="Times New Roman" w:hAnsi="Times New Roman" w:cs="Times New Roman"/>
        </w:rPr>
        <w:t xml:space="preserve">remain at $21,000, as this monthly charge increased from $15,000 to $21,000 in the last general rate case.  The </w:t>
      </w:r>
      <w:r w:rsidRPr="005540EB">
        <w:rPr>
          <w:rFonts w:ascii="Times New Roman" w:hAnsi="Times New Roman" w:cs="Times New Roman"/>
        </w:rPr>
        <w:t xml:space="preserve">demand charge for kVa over 3,000 per month </w:t>
      </w:r>
      <w:r w:rsidR="006130C6">
        <w:rPr>
          <w:rFonts w:ascii="Times New Roman" w:hAnsi="Times New Roman" w:cs="Times New Roman"/>
        </w:rPr>
        <w:t xml:space="preserve">is proposed to </w:t>
      </w:r>
      <w:r w:rsidRPr="005540EB">
        <w:rPr>
          <w:rFonts w:ascii="Times New Roman" w:hAnsi="Times New Roman" w:cs="Times New Roman"/>
        </w:rPr>
        <w:t xml:space="preserve">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6130C6">
        <w:rPr>
          <w:rFonts w:ascii="Times New Roman" w:hAnsi="Times New Roman" w:cs="Times New Roman"/>
        </w:rPr>
        <w:t>6.00</w:t>
      </w:r>
      <w:r w:rsidRPr="00C62791">
        <w:rPr>
          <w:rFonts w:ascii="Times New Roman" w:hAnsi="Times New Roman" w:cs="Times New Roman"/>
        </w:rPr>
        <w:t xml:space="preserve"> to $</w:t>
      </w:r>
      <w:r w:rsidR="006130C6">
        <w:rPr>
          <w:rFonts w:ascii="Times New Roman" w:hAnsi="Times New Roman" w:cs="Times New Roman"/>
        </w:rPr>
        <w:t>6.50</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922002">
        <w:rPr>
          <w:rFonts w:ascii="Times New Roman" w:hAnsi="Times New Roman" w:cs="Times New Roman"/>
        </w:rPr>
        <w:t>6.9</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energy rate increase for </w:t>
      </w:r>
      <w:r w:rsidRPr="00CF74E0">
        <w:rPr>
          <w:rFonts w:ascii="Times New Roman" w:hAnsi="Times New Roman" w:cs="Times New Roman"/>
        </w:rPr>
        <w:t>the first 500,000 kWhs used per month is 0.</w:t>
      </w:r>
      <w:r w:rsidR="00922002">
        <w:rPr>
          <w:rFonts w:ascii="Times New Roman" w:hAnsi="Times New Roman" w:cs="Times New Roman"/>
        </w:rPr>
        <w:t>388</w:t>
      </w:r>
      <w:r w:rsidRPr="00CF74E0">
        <w:rPr>
          <w:rFonts w:ascii="Times New Roman" w:hAnsi="Times New Roman" w:cs="Times New Roman"/>
        </w:rPr>
        <w:t xml:space="preserve"> cents per kWh, 0.</w:t>
      </w:r>
      <w:r w:rsidR="00922002">
        <w:rPr>
          <w:rFonts w:ascii="Times New Roman" w:hAnsi="Times New Roman" w:cs="Times New Roman"/>
        </w:rPr>
        <w:t>349</w:t>
      </w:r>
      <w:r w:rsidRPr="00CF74E0">
        <w:rPr>
          <w:rFonts w:ascii="Times New Roman" w:hAnsi="Times New Roman" w:cs="Times New Roman"/>
        </w:rPr>
        <w:t xml:space="preserve"> cents per kWh for the next 5.5 million, and 0.</w:t>
      </w:r>
      <w:r w:rsidR="00922002">
        <w:rPr>
          <w:rFonts w:ascii="Times New Roman" w:hAnsi="Times New Roman" w:cs="Times New Roman"/>
        </w:rPr>
        <w:t>299</w:t>
      </w:r>
      <w:r w:rsidRPr="00CF74E0">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D66BCF" w:rsidRPr="005A6FE5" w:rsidRDefault="00D66BCF" w:rsidP="00D66BCF">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w:t>
      </w:r>
      <w:r w:rsidR="00B50A07">
        <w:rPr>
          <w:rStyle w:val="T11"/>
          <w:rFonts w:ascii="Times New Roman" w:hAnsi="Times New Roman" w:cs="Times New Roman"/>
        </w:rPr>
        <w:t>are</w:t>
      </w:r>
      <w:r w:rsidRPr="005540EB">
        <w:rPr>
          <w:rStyle w:val="T11"/>
          <w:rFonts w:ascii="Times New Roman" w:hAnsi="Times New Roman" w:cs="Times New Roman"/>
        </w:rPr>
        <w:t xml:space="preserve"> </w:t>
      </w:r>
      <w:r w:rsidR="006C7E37">
        <w:rPr>
          <w:rStyle w:val="T11"/>
          <w:rFonts w:ascii="Times New Roman" w:hAnsi="Times New Roman" w:cs="Times New Roman"/>
        </w:rPr>
        <w:t>you</w:t>
      </w:r>
      <w:r w:rsidRPr="005540EB">
        <w:rPr>
          <w:rStyle w:val="T11"/>
          <w:rFonts w:ascii="Times New Roman" w:hAnsi="Times New Roman" w:cs="Times New Roman"/>
        </w:rPr>
        <w:t xml:space="preserve"> proposing to the rates under Pumping Schedule 31 to recover the proposed general revenue </w:t>
      </w:r>
      <w:r w:rsidRPr="00CF74E0">
        <w:rPr>
          <w:rStyle w:val="T11"/>
          <w:rFonts w:ascii="Times New Roman" w:hAnsi="Times New Roman" w:cs="Times New Roman"/>
        </w:rPr>
        <w:t>increase of $</w:t>
      </w:r>
      <w:r w:rsidR="006130C6">
        <w:rPr>
          <w:rStyle w:val="T11"/>
          <w:rFonts w:ascii="Times New Roman" w:hAnsi="Times New Roman" w:cs="Times New Roman"/>
        </w:rPr>
        <w:t>866</w:t>
      </w:r>
      <w:r w:rsidRPr="00CF74E0">
        <w:rPr>
          <w:rStyle w:val="T11"/>
          <w:rFonts w:ascii="Times New Roman" w:hAnsi="Times New Roman" w:cs="Times New Roman"/>
        </w:rPr>
        <w:t>,000?</w:t>
      </w:r>
    </w:p>
    <w:p w:rsidR="00D66BCF" w:rsidRPr="005A6FE5" w:rsidRDefault="00D66BCF" w:rsidP="00D66BCF">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lastRenderedPageBreak/>
        <w:t>The Company is proposing that the customer charge be increased by $</w:t>
      </w:r>
      <w:r w:rsidR="006130C6">
        <w:rPr>
          <w:rFonts w:ascii="Times New Roman" w:hAnsi="Times New Roman" w:cs="Times New Roman"/>
        </w:rPr>
        <w:t>2</w:t>
      </w:r>
      <w:r w:rsidRPr="005A6FE5">
        <w:rPr>
          <w:rFonts w:ascii="Times New Roman" w:hAnsi="Times New Roman" w:cs="Times New Roman"/>
        </w:rPr>
        <w:t>.00, from $</w:t>
      </w:r>
      <w:r w:rsidR="006130C6">
        <w:rPr>
          <w:rFonts w:ascii="Times New Roman" w:hAnsi="Times New Roman" w:cs="Times New Roman"/>
        </w:rPr>
        <w:t>18</w:t>
      </w:r>
      <w:r w:rsidRPr="005A6FE5">
        <w:rPr>
          <w:rFonts w:ascii="Times New Roman" w:hAnsi="Times New Roman" w:cs="Times New Roman"/>
        </w:rPr>
        <w:t>.</w:t>
      </w:r>
      <w:r w:rsidRPr="00443386">
        <w:rPr>
          <w:rFonts w:ascii="Times New Roman" w:hAnsi="Times New Roman" w:cs="Times New Roman"/>
        </w:rPr>
        <w:t xml:space="preserve">00 </w:t>
      </w:r>
      <w:r w:rsidRPr="00CF74E0">
        <w:rPr>
          <w:rFonts w:ascii="Times New Roman" w:hAnsi="Times New Roman" w:cs="Times New Roman"/>
        </w:rPr>
        <w:t>to $</w:t>
      </w:r>
      <w:r w:rsidR="006130C6">
        <w:rPr>
          <w:rFonts w:ascii="Times New Roman" w:hAnsi="Times New Roman" w:cs="Times New Roman"/>
        </w:rPr>
        <w:t>20</w:t>
      </w:r>
      <w:r w:rsidRPr="00CF74E0">
        <w:rPr>
          <w:rFonts w:ascii="Times New Roman" w:hAnsi="Times New Roman" w:cs="Times New Roman"/>
        </w:rPr>
        <w:t xml:space="preserve">.00 per month, with the remaining revenue increase spread on a uniform percentage increase of </w:t>
      </w:r>
      <w:r w:rsidR="006130C6">
        <w:rPr>
          <w:rFonts w:ascii="Times New Roman" w:hAnsi="Times New Roman" w:cs="Times New Roman"/>
        </w:rPr>
        <w:t>7.4</w:t>
      </w:r>
      <w:r w:rsidRPr="00CF74E0">
        <w:rPr>
          <w:rFonts w:ascii="Times New Roman" w:hAnsi="Times New Roman" w:cs="Times New Roman"/>
        </w:rPr>
        <w:t>% to the two energy rate blocks under the schedule.  The proposed increase in the first block rate is 0.</w:t>
      </w:r>
      <w:r w:rsidR="006130C6">
        <w:rPr>
          <w:rFonts w:ascii="Times New Roman" w:hAnsi="Times New Roman" w:cs="Times New Roman"/>
        </w:rPr>
        <w:t>717</w:t>
      </w:r>
      <w:r w:rsidR="00CF74E0">
        <w:rPr>
          <w:rFonts w:ascii="Times New Roman" w:hAnsi="Times New Roman" w:cs="Times New Roman"/>
        </w:rPr>
        <w:t xml:space="preserve"> c</w:t>
      </w:r>
      <w:r w:rsidRPr="00CF74E0">
        <w:rPr>
          <w:rFonts w:ascii="Times New Roman" w:hAnsi="Times New Roman" w:cs="Times New Roman"/>
        </w:rPr>
        <w:t>ents per kWh and the increase in the second block rate is 0.</w:t>
      </w:r>
      <w:r w:rsidR="006130C6">
        <w:rPr>
          <w:rFonts w:ascii="Times New Roman" w:hAnsi="Times New Roman" w:cs="Times New Roman"/>
        </w:rPr>
        <w:t>512</w:t>
      </w:r>
      <w:r w:rsidRPr="00CF74E0">
        <w:rPr>
          <w:rFonts w:ascii="Times New Roman" w:hAnsi="Times New Roman" w:cs="Times New Roman"/>
        </w:rPr>
        <w:t xml:space="preserve"> cents per kWh.</w:t>
      </w:r>
      <w:r w:rsidRPr="005A6FE5">
        <w:rPr>
          <w:rFonts w:ascii="Times New Roman" w:hAnsi="Times New Roman" w:cs="Times New Roman"/>
        </w:rPr>
        <w:t xml:space="preserve">  </w:t>
      </w:r>
    </w:p>
    <w:p w:rsidR="00D66BCF" w:rsidRPr="00443386" w:rsidRDefault="00D66BCF" w:rsidP="00D66BCF">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6130C6">
        <w:rPr>
          <w:rFonts w:ascii="Times New Roman" w:hAnsi="Times New Roman" w:cs="Times New Roman"/>
        </w:rPr>
        <w:t>653</w:t>
      </w:r>
      <w:r w:rsidR="00CF74E0">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D34F06" w:rsidRPr="00D34F06" w:rsidRDefault="00D66BCF" w:rsidP="00D34F06">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sidR="00543395">
        <w:rPr>
          <w:rFonts w:ascii="Times New Roman" w:hAnsi="Times New Roman" w:cs="Times New Roman"/>
        </w:rPr>
        <w:t>9.3</w:t>
      </w:r>
      <w:r w:rsidRPr="00443386">
        <w:rPr>
          <w:rFonts w:ascii="Times New Roman" w:hAnsi="Times New Roman" w:cs="Times New Roman"/>
        </w:rPr>
        <w:t>%.  The (base tariff) rates are shown in the tariffs for those schedules, contained in Exhibit No.__</w:t>
      </w:r>
      <w:proofErr w:type="gramStart"/>
      <w:r w:rsidRPr="00443386">
        <w:rPr>
          <w:rFonts w:ascii="Times New Roman" w:hAnsi="Times New Roman" w:cs="Times New Roman"/>
        </w:rPr>
        <w:t>_(</w:t>
      </w:r>
      <w:proofErr w:type="gramEnd"/>
      <w:r w:rsidRPr="00443386">
        <w:rPr>
          <w:rFonts w:ascii="Times New Roman" w:hAnsi="Times New Roman" w:cs="Times New Roman"/>
        </w:rPr>
        <w:t>PDE-3).</w:t>
      </w:r>
    </w:p>
    <w:p w:rsidR="0008235E" w:rsidRPr="00B346E1" w:rsidRDefault="00D34F06" w:rsidP="00791C2B">
      <w:pPr>
        <w:pStyle w:val="P106"/>
        <w:tabs>
          <w:tab w:val="clear" w:pos="810"/>
          <w:tab w:val="left" w:pos="720"/>
        </w:tabs>
        <w:ind w:firstLine="0"/>
        <w:jc w:val="both"/>
        <w:rPr>
          <w:rFonts w:ascii="Times New Roman" w:hAnsi="Times New Roman" w:cs="Times New Roman"/>
          <w:b/>
        </w:rPr>
      </w:pPr>
      <w:r>
        <w:rPr>
          <w:rFonts w:ascii="Times New Roman" w:hAnsi="Times New Roman" w:cs="Times New Roman"/>
          <w:b/>
        </w:rPr>
        <w:tab/>
      </w:r>
      <w:r w:rsidR="0008235E" w:rsidRPr="00B346E1">
        <w:rPr>
          <w:rFonts w:ascii="Times New Roman" w:hAnsi="Times New Roman" w:cs="Times New Roman"/>
          <w:b/>
        </w:rPr>
        <w:t>Q.</w:t>
      </w:r>
      <w:r w:rsidR="0008235E" w:rsidRPr="00B346E1">
        <w:rPr>
          <w:rFonts w:ascii="Times New Roman" w:hAnsi="Times New Roman" w:cs="Times New Roman"/>
          <w:b/>
        </w:rPr>
        <w:tab/>
        <w:t>Is the Company proposing any other changes to its Street and Area Light schedules?</w:t>
      </w:r>
    </w:p>
    <w:p w:rsidR="00BE4355" w:rsidRDefault="0008235E" w:rsidP="004F7514">
      <w:pPr>
        <w:pStyle w:val="P31"/>
        <w:jc w:val="both"/>
        <w:rPr>
          <w:rFonts w:ascii="Times New Roman" w:eastAsia="Calibri" w:hAnsi="Times New Roman" w:cs="Times New Roman"/>
          <w:szCs w:val="24"/>
        </w:rPr>
      </w:pPr>
      <w:r>
        <w:rPr>
          <w:rFonts w:ascii="Times New Roman" w:hAnsi="Times New Roman" w:cs="Times New Roman"/>
        </w:rPr>
        <w:t>A.</w:t>
      </w:r>
      <w:r>
        <w:rPr>
          <w:rFonts w:ascii="Times New Roman" w:hAnsi="Times New Roman" w:cs="Times New Roman"/>
        </w:rPr>
        <w:tab/>
      </w:r>
      <w:r w:rsidR="00E828FA" w:rsidRPr="0078116B">
        <w:rPr>
          <w:rFonts w:ascii="Times New Roman" w:eastAsia="Calibri" w:hAnsi="Times New Roman" w:cs="Times New Roman"/>
          <w:szCs w:val="24"/>
        </w:rPr>
        <w:t xml:space="preserve">Yes, it is.  For Schedule </w:t>
      </w:r>
      <w:r w:rsidR="00E828FA">
        <w:rPr>
          <w:rFonts w:ascii="Times New Roman" w:eastAsia="Calibri" w:hAnsi="Times New Roman" w:cs="Times New Roman"/>
          <w:szCs w:val="24"/>
        </w:rPr>
        <w:t>47</w:t>
      </w:r>
      <w:r w:rsidR="00E828FA" w:rsidRPr="0078116B">
        <w:rPr>
          <w:rFonts w:ascii="Times New Roman" w:eastAsia="Calibri" w:hAnsi="Times New Roman" w:cs="Times New Roman"/>
          <w:szCs w:val="24"/>
        </w:rPr>
        <w:t xml:space="preserve"> (</w:t>
      </w:r>
      <w:r w:rsidR="00E828FA">
        <w:rPr>
          <w:rFonts w:ascii="Times New Roman" w:eastAsia="Calibri" w:hAnsi="Times New Roman" w:cs="Times New Roman"/>
          <w:szCs w:val="24"/>
        </w:rPr>
        <w:t>Area Lighting</w:t>
      </w:r>
      <w:r w:rsidR="00E828FA" w:rsidRPr="0078116B">
        <w:rPr>
          <w:rFonts w:ascii="Times New Roman" w:eastAsia="Calibri" w:hAnsi="Times New Roman" w:cs="Times New Roman"/>
          <w:szCs w:val="24"/>
        </w:rPr>
        <w:t xml:space="preserve">), the Company has added additional lighting codes for 100 watt and 200 watt LED equivalent </w:t>
      </w:r>
      <w:r w:rsidR="00E828FA">
        <w:rPr>
          <w:rFonts w:ascii="Times New Roman" w:eastAsia="Calibri" w:hAnsi="Times New Roman" w:cs="Times New Roman"/>
          <w:szCs w:val="24"/>
        </w:rPr>
        <w:t>area</w:t>
      </w:r>
      <w:r w:rsidR="00E828FA" w:rsidRPr="0078116B">
        <w:rPr>
          <w:rFonts w:ascii="Times New Roman" w:eastAsia="Calibri" w:hAnsi="Times New Roman" w:cs="Times New Roman"/>
          <w:szCs w:val="24"/>
        </w:rPr>
        <w:t xml:space="preserve"> lights.  These rates will be applicable for those lights converted to LED technology.  </w:t>
      </w:r>
      <w:r w:rsidR="00BE4355">
        <w:rPr>
          <w:rFonts w:ascii="Times New Roman" w:eastAsia="Calibri" w:hAnsi="Times New Roman" w:cs="Times New Roman"/>
          <w:szCs w:val="24"/>
        </w:rPr>
        <w:t>The Company added similar lights for Schedule 42 (Company Owned Street Light Service) in its last general rate case.</w:t>
      </w:r>
    </w:p>
    <w:p w:rsidR="0008235E" w:rsidRDefault="00E828FA" w:rsidP="004F7514">
      <w:pPr>
        <w:pStyle w:val="P31"/>
        <w:jc w:val="both"/>
        <w:rPr>
          <w:rFonts w:ascii="Times New Roman" w:hAnsi="Times New Roman" w:cs="Times New Roman"/>
        </w:rPr>
      </w:pPr>
      <w:r>
        <w:rPr>
          <w:rFonts w:ascii="Times New Roman" w:eastAsia="Calibri" w:hAnsi="Times New Roman" w:cs="Times New Roman"/>
          <w:szCs w:val="24"/>
        </w:rPr>
        <w:t>Second, for Schedule 42, t</w:t>
      </w:r>
      <w:r w:rsidR="0008235E">
        <w:rPr>
          <w:rFonts w:ascii="Times New Roman" w:hAnsi="Times New Roman" w:cs="Times New Roman"/>
        </w:rPr>
        <w:t xml:space="preserve">he Company is proposing a methodology for </w:t>
      </w:r>
      <w:r>
        <w:rPr>
          <w:rFonts w:ascii="Times New Roman" w:hAnsi="Times New Roman" w:cs="Times New Roman"/>
        </w:rPr>
        <w:t>c</w:t>
      </w:r>
      <w:r w:rsidR="0008235E">
        <w:rPr>
          <w:rFonts w:ascii="Times New Roman" w:hAnsi="Times New Roman" w:cs="Times New Roman"/>
        </w:rPr>
        <w:t>alculating new Street Light rates for customer</w:t>
      </w:r>
      <w:r w:rsidR="00D32A7D">
        <w:rPr>
          <w:rFonts w:ascii="Times New Roman" w:hAnsi="Times New Roman" w:cs="Times New Roman"/>
        </w:rPr>
        <w:t>-</w:t>
      </w:r>
      <w:r w:rsidR="0008235E">
        <w:rPr>
          <w:rFonts w:ascii="Times New Roman" w:hAnsi="Times New Roman" w:cs="Times New Roman"/>
        </w:rPr>
        <w:t xml:space="preserve">requested lighting </w:t>
      </w:r>
      <w:r w:rsidR="008C51DB">
        <w:rPr>
          <w:rFonts w:ascii="Times New Roman" w:hAnsi="Times New Roman" w:cs="Times New Roman"/>
        </w:rPr>
        <w:t xml:space="preserve">that </w:t>
      </w:r>
      <w:proofErr w:type="gramStart"/>
      <w:r w:rsidR="008C51DB">
        <w:rPr>
          <w:rFonts w:ascii="Times New Roman" w:hAnsi="Times New Roman" w:cs="Times New Roman"/>
        </w:rPr>
        <w:t>occurs</w:t>
      </w:r>
      <w:proofErr w:type="gramEnd"/>
      <w:r w:rsidR="008C51DB">
        <w:rPr>
          <w:rFonts w:ascii="Times New Roman" w:hAnsi="Times New Roman" w:cs="Times New Roman"/>
        </w:rPr>
        <w:t xml:space="preserve"> in-between</w:t>
      </w:r>
      <w:r w:rsidR="00D32A7D">
        <w:rPr>
          <w:rFonts w:ascii="Times New Roman" w:hAnsi="Times New Roman" w:cs="Times New Roman"/>
        </w:rPr>
        <w:t xml:space="preserve"> general rate cases</w:t>
      </w:r>
      <w:r w:rsidR="0008235E">
        <w:rPr>
          <w:rFonts w:ascii="Times New Roman" w:hAnsi="Times New Roman" w:cs="Times New Roman"/>
        </w:rPr>
        <w:t xml:space="preserve">.  </w:t>
      </w:r>
      <w:r w:rsidR="008C51DB">
        <w:rPr>
          <w:rFonts w:ascii="Times New Roman" w:hAnsi="Times New Roman" w:cs="Times New Roman"/>
        </w:rPr>
        <w:t>On occasio</w:t>
      </w:r>
      <w:r w:rsidR="000D4B96">
        <w:rPr>
          <w:rFonts w:ascii="Times New Roman" w:hAnsi="Times New Roman" w:cs="Times New Roman"/>
        </w:rPr>
        <w:t xml:space="preserve">n customers may request that the Company install a particular </w:t>
      </w:r>
      <w:r>
        <w:rPr>
          <w:rFonts w:ascii="Times New Roman" w:hAnsi="Times New Roman" w:cs="Times New Roman"/>
        </w:rPr>
        <w:t xml:space="preserve">type of </w:t>
      </w:r>
      <w:r w:rsidR="000D4B96">
        <w:rPr>
          <w:rFonts w:ascii="Times New Roman" w:hAnsi="Times New Roman" w:cs="Times New Roman"/>
        </w:rPr>
        <w:t xml:space="preserve">street light; however, that street light may be different than the lights included in the tariff.  </w:t>
      </w:r>
      <w:r w:rsidR="0008235E">
        <w:rPr>
          <w:rFonts w:ascii="Times New Roman" w:hAnsi="Times New Roman" w:cs="Times New Roman"/>
        </w:rPr>
        <w:t>The Company is proposing to use the methodology summarized below</w:t>
      </w:r>
      <w:r w:rsidR="008C51DB">
        <w:rPr>
          <w:rFonts w:ascii="Times New Roman" w:hAnsi="Times New Roman" w:cs="Times New Roman"/>
        </w:rPr>
        <w:t>,</w:t>
      </w:r>
      <w:r w:rsidR="0008235E">
        <w:rPr>
          <w:rFonts w:ascii="Times New Roman" w:hAnsi="Times New Roman" w:cs="Times New Roman"/>
        </w:rPr>
        <w:t xml:space="preserve"> and described more fully </w:t>
      </w:r>
      <w:r w:rsidR="0008235E">
        <w:rPr>
          <w:rFonts w:ascii="Times New Roman" w:hAnsi="Times New Roman" w:cs="Times New Roman"/>
        </w:rPr>
        <w:lastRenderedPageBreak/>
        <w:t>in Schedule 42</w:t>
      </w:r>
      <w:r w:rsidR="008C51DB">
        <w:rPr>
          <w:rFonts w:ascii="Times New Roman" w:hAnsi="Times New Roman" w:cs="Times New Roman"/>
        </w:rPr>
        <w:t>,</w:t>
      </w:r>
      <w:r w:rsidR="0008235E">
        <w:rPr>
          <w:rFonts w:ascii="Times New Roman" w:hAnsi="Times New Roman" w:cs="Times New Roman"/>
        </w:rPr>
        <w:t xml:space="preserve"> to update new lighting standards outside of the context of a general rate case</w:t>
      </w:r>
      <w:r w:rsidR="0008235E">
        <w:rPr>
          <w:rStyle w:val="FootnoteReference"/>
          <w:rFonts w:ascii="Times New Roman" w:hAnsi="Times New Roman"/>
        </w:rPr>
        <w:footnoteReference w:id="5"/>
      </w:r>
      <w:r w:rsidR="0008235E">
        <w:rPr>
          <w:rFonts w:ascii="Times New Roman" w:hAnsi="Times New Roman" w:cs="Times New Roman"/>
        </w:rPr>
        <w:t xml:space="preserve">.   </w:t>
      </w:r>
    </w:p>
    <w:p w:rsidR="0008235E" w:rsidRPr="005540EB" w:rsidRDefault="0008235E" w:rsidP="0008235E">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w:t>
      </w:r>
      <w:r>
        <w:rPr>
          <w:rFonts w:ascii="Times New Roman" w:hAnsi="Times New Roman" w:cs="Times New Roman"/>
        </w:rPr>
        <w:t xml:space="preserve"> describe the basic methodology for calculating the capital component of a new street or area light rate</w:t>
      </w:r>
      <w:r w:rsidRPr="005540EB">
        <w:rPr>
          <w:rFonts w:ascii="Times New Roman" w:hAnsi="Times New Roman" w:cs="Times New Roman"/>
        </w:rPr>
        <w:t>?</w:t>
      </w:r>
    </w:p>
    <w:p w:rsidR="004F7514" w:rsidRDefault="0008235E" w:rsidP="0008235E">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The basic methodology for calculating any new rate for Schedule 42 is to determine the capital, maintenance, and energy components to develop a monthly rate.  For the </w:t>
      </w:r>
      <w:r w:rsidRPr="007579AD">
        <w:rPr>
          <w:rFonts w:ascii="Times New Roman" w:hAnsi="Times New Roman" w:cs="Times New Roman"/>
          <w:u w:val="single"/>
        </w:rPr>
        <w:t>capital component</w:t>
      </w:r>
      <w:r>
        <w:rPr>
          <w:rFonts w:ascii="Times New Roman" w:hAnsi="Times New Roman" w:cs="Times New Roman"/>
        </w:rPr>
        <w:t>, an engineering estimate of the installed cost for a new Street Light component would be multiplied by a Capital Recovery Factor</w:t>
      </w:r>
      <w:r>
        <w:rPr>
          <w:rStyle w:val="FootnoteReference"/>
          <w:rFonts w:ascii="Times New Roman" w:hAnsi="Times New Roman"/>
        </w:rPr>
        <w:footnoteReference w:id="6"/>
      </w:r>
      <w:r>
        <w:rPr>
          <w:rFonts w:ascii="Times New Roman" w:hAnsi="Times New Roman" w:cs="Times New Roman"/>
        </w:rPr>
        <w:t xml:space="preserve"> to determine the annual revenue requirement.  </w:t>
      </w:r>
    </w:p>
    <w:p w:rsidR="0008235E" w:rsidRDefault="002E7F3A" w:rsidP="0008235E">
      <w:pPr>
        <w:pStyle w:val="P31"/>
        <w:jc w:val="both"/>
        <w:rPr>
          <w:rFonts w:ascii="Times New Roman" w:hAnsi="Times New Roman" w:cs="Times New Roman"/>
        </w:rPr>
      </w:pPr>
      <w:r>
        <w:rPr>
          <w:rFonts w:ascii="Times New Roman" w:hAnsi="Times New Roman" w:cs="Times New Roman"/>
        </w:rPr>
        <w:t xml:space="preserve">Illustration No. </w:t>
      </w:r>
      <w:r w:rsidR="00066399">
        <w:rPr>
          <w:rFonts w:ascii="Times New Roman" w:hAnsi="Times New Roman" w:cs="Times New Roman"/>
        </w:rPr>
        <w:t>1</w:t>
      </w:r>
      <w:r w:rsidR="0008235E">
        <w:rPr>
          <w:rFonts w:ascii="Times New Roman" w:hAnsi="Times New Roman" w:cs="Times New Roman"/>
        </w:rPr>
        <w:t xml:space="preserve"> below shows an example of the annual and monthly rate calculation methodology:</w:t>
      </w:r>
    </w:p>
    <w:p w:rsidR="0008235E" w:rsidRDefault="006C7E37" w:rsidP="0008235E">
      <w:pPr>
        <w:spacing w:line="480" w:lineRule="auto"/>
      </w:pPr>
      <w:r>
        <w:rPr>
          <w:b/>
          <w:bCs/>
          <w:noProof/>
          <w:u w:val="single"/>
        </w:rPr>
        <w:drawing>
          <wp:anchor distT="0" distB="0" distL="114300" distR="114300" simplePos="0" relativeHeight="251957760" behindDoc="1" locked="0" layoutInCell="1" allowOverlap="1">
            <wp:simplePos x="0" y="0"/>
            <wp:positionH relativeFrom="column">
              <wp:posOffset>1512570</wp:posOffset>
            </wp:positionH>
            <wp:positionV relativeFrom="paragraph">
              <wp:posOffset>234315</wp:posOffset>
            </wp:positionV>
            <wp:extent cx="3115945" cy="2035810"/>
            <wp:effectExtent l="19050" t="0" r="825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115945" cy="2035810"/>
                    </a:xfrm>
                    <a:prstGeom prst="rect">
                      <a:avLst/>
                    </a:prstGeom>
                    <a:noFill/>
                    <a:ln w="9525">
                      <a:noFill/>
                      <a:miter lim="800000"/>
                      <a:headEnd/>
                      <a:tailEnd/>
                    </a:ln>
                  </pic:spPr>
                </pic:pic>
              </a:graphicData>
            </a:graphic>
          </wp:anchor>
        </w:drawing>
      </w:r>
      <w:r w:rsidR="002E7F3A">
        <w:rPr>
          <w:b/>
          <w:bCs/>
          <w:u w:val="single"/>
        </w:rPr>
        <w:t xml:space="preserve">Illustration No. </w:t>
      </w:r>
      <w:r w:rsidR="00066399">
        <w:rPr>
          <w:b/>
          <w:bCs/>
          <w:u w:val="single"/>
        </w:rPr>
        <w:t>1</w:t>
      </w:r>
      <w:r w:rsidR="0008235E" w:rsidRPr="00AD0CFD">
        <w:rPr>
          <w:b/>
          <w:bCs/>
          <w:u w:val="single"/>
        </w:rPr>
        <w:t xml:space="preserve"> – </w:t>
      </w:r>
      <w:r w:rsidR="0008235E">
        <w:rPr>
          <w:b/>
          <w:bCs/>
          <w:u w:val="single"/>
        </w:rPr>
        <w:t>Calculation of Monthly Capital Recovery</w:t>
      </w:r>
      <w:r w:rsidR="0008235E" w:rsidRPr="00AD0CFD">
        <w:t xml:space="preserve"> </w:t>
      </w: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BF3B9A" w:rsidRDefault="00BF3B9A" w:rsidP="0008235E">
      <w:pPr>
        <w:pStyle w:val="P65"/>
        <w:jc w:val="both"/>
        <w:rPr>
          <w:rFonts w:ascii="Times New Roman" w:hAnsi="Times New Roman" w:cs="Times New Roman"/>
        </w:rPr>
      </w:pPr>
    </w:p>
    <w:p w:rsidR="00BF3B9A" w:rsidRDefault="00BF3B9A"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Pr="00AD0CFD" w:rsidRDefault="0008235E" w:rsidP="0008235E">
      <w:pPr>
        <w:pStyle w:val="P106"/>
        <w:ind w:firstLine="0"/>
        <w:jc w:val="both"/>
      </w:pPr>
      <w:r>
        <w:rPr>
          <w:rFonts w:ascii="Times New Roman" w:hAnsi="Times New Roman" w:cs="Times New Roman"/>
        </w:rPr>
        <w:t xml:space="preserve">The </w:t>
      </w:r>
      <w:r w:rsidRPr="007579AD">
        <w:rPr>
          <w:rFonts w:ascii="Times New Roman" w:hAnsi="Times New Roman" w:cs="Times New Roman"/>
          <w:u w:val="single"/>
        </w:rPr>
        <w:t>maintenance component</w:t>
      </w:r>
      <w:r>
        <w:rPr>
          <w:rFonts w:ascii="Times New Roman" w:hAnsi="Times New Roman" w:cs="Times New Roman"/>
        </w:rPr>
        <w:t xml:space="preserve"> for an existing light offering will be the same rate that is embedded in present rates today</w:t>
      </w:r>
      <w:r>
        <w:rPr>
          <w:rStyle w:val="FootnoteReference"/>
          <w:rFonts w:ascii="Times New Roman" w:hAnsi="Times New Roman"/>
        </w:rPr>
        <w:footnoteReference w:id="7"/>
      </w:r>
      <w:r>
        <w:rPr>
          <w:rFonts w:ascii="Times New Roman" w:hAnsi="Times New Roman" w:cs="Times New Roman"/>
        </w:rPr>
        <w:t xml:space="preserve">.  For the </w:t>
      </w:r>
      <w:r w:rsidRPr="007579AD">
        <w:rPr>
          <w:rFonts w:ascii="Times New Roman" w:hAnsi="Times New Roman" w:cs="Times New Roman"/>
          <w:u w:val="single"/>
        </w:rPr>
        <w:t>energy component</w:t>
      </w:r>
      <w:r>
        <w:rPr>
          <w:rFonts w:ascii="Times New Roman" w:hAnsi="Times New Roman" w:cs="Times New Roman"/>
        </w:rPr>
        <w:t xml:space="preserve">, the energy rate for a similar </w:t>
      </w:r>
      <w:r>
        <w:rPr>
          <w:rFonts w:ascii="Times New Roman" w:hAnsi="Times New Roman" w:cs="Times New Roman"/>
        </w:rPr>
        <w:lastRenderedPageBreak/>
        <w:t>wattage light under Schedule 46 would be used.  The energy component of any</w:t>
      </w:r>
      <w:r w:rsidRPr="0008235E">
        <w:rPr>
          <w:rFonts w:ascii="Times New Roman" w:hAnsi="Times New Roman" w:cs="Times New Roman"/>
        </w:rPr>
        <w:t xml:space="preserve"> new light offering will be derived in the same manner as described in t</w:t>
      </w:r>
      <w:r>
        <w:rPr>
          <w:rFonts w:ascii="Times New Roman" w:hAnsi="Times New Roman" w:cs="Times New Roman"/>
        </w:rPr>
        <w:t>he changes to Schedule 46 below.</w:t>
      </w:r>
      <w:r w:rsidR="002A7002">
        <w:rPr>
          <w:rFonts w:ascii="Times New Roman" w:hAnsi="Times New Roman" w:cs="Times New Roman"/>
        </w:rPr>
        <w:t xml:space="preserve">  Any new rates developed would be included in </w:t>
      </w:r>
      <w:r w:rsidR="002D35C8">
        <w:rPr>
          <w:rFonts w:ascii="Times New Roman" w:hAnsi="Times New Roman" w:cs="Times New Roman"/>
        </w:rPr>
        <w:t xml:space="preserve">the tariffs filed in </w:t>
      </w:r>
      <w:r w:rsidR="002A7002">
        <w:rPr>
          <w:rFonts w:ascii="Times New Roman" w:hAnsi="Times New Roman" w:cs="Times New Roman"/>
        </w:rPr>
        <w:t>the Company’s next rate case fi</w:t>
      </w:r>
      <w:r w:rsidR="00822621">
        <w:rPr>
          <w:rFonts w:ascii="Times New Roman" w:hAnsi="Times New Roman" w:cs="Times New Roman"/>
        </w:rPr>
        <w:t>l</w:t>
      </w:r>
      <w:r w:rsidR="002A7002">
        <w:rPr>
          <w:rFonts w:ascii="Times New Roman" w:hAnsi="Times New Roman" w:cs="Times New Roman"/>
        </w:rPr>
        <w:t>ing.</w:t>
      </w:r>
    </w:p>
    <w:p w:rsidR="0008235E" w:rsidRPr="00AD0CFD" w:rsidRDefault="0008235E" w:rsidP="0008235E">
      <w:pPr>
        <w:spacing w:line="480" w:lineRule="auto"/>
        <w:ind w:firstLine="720"/>
        <w:jc w:val="both"/>
        <w:rPr>
          <w:b/>
        </w:rPr>
      </w:pPr>
      <w:r w:rsidRPr="00AD0CFD">
        <w:rPr>
          <w:b/>
        </w:rPr>
        <w:t>Q.</w:t>
      </w:r>
      <w:r w:rsidRPr="00AD0CFD">
        <w:rPr>
          <w:b/>
        </w:rPr>
        <w:tab/>
        <w:t xml:space="preserve">What </w:t>
      </w:r>
      <w:r>
        <w:rPr>
          <w:b/>
        </w:rPr>
        <w:t xml:space="preserve">other </w:t>
      </w:r>
      <w:r w:rsidRPr="00AD0CFD">
        <w:rPr>
          <w:b/>
        </w:rPr>
        <w:t>change</w:t>
      </w:r>
      <w:r>
        <w:rPr>
          <w:b/>
        </w:rPr>
        <w:t xml:space="preserve">s are being proposed to the </w:t>
      </w:r>
      <w:r w:rsidR="004F7514">
        <w:rPr>
          <w:b/>
        </w:rPr>
        <w:t>Street and Area Light Schedules</w:t>
      </w:r>
      <w:r w:rsidRPr="00AD0CFD">
        <w:rPr>
          <w:b/>
        </w:rPr>
        <w:t>?</w:t>
      </w:r>
    </w:p>
    <w:p w:rsidR="0008235E" w:rsidRPr="00AD0CFD" w:rsidRDefault="0008235E" w:rsidP="005D6CC2">
      <w:pPr>
        <w:pStyle w:val="P106"/>
        <w:tabs>
          <w:tab w:val="clear" w:pos="810"/>
          <w:tab w:val="left" w:pos="720"/>
        </w:tabs>
        <w:ind w:firstLine="0"/>
        <w:jc w:val="both"/>
        <w:rPr>
          <w:rFonts w:ascii="Times New Roman" w:hAnsi="Times New Roman" w:cs="Times New Roman"/>
          <w:szCs w:val="24"/>
        </w:rPr>
      </w:pPr>
      <w:r>
        <w:rPr>
          <w:rFonts w:ascii="Times New Roman" w:hAnsi="Times New Roman" w:cs="Times New Roman"/>
          <w:szCs w:val="24"/>
        </w:rPr>
        <w:tab/>
      </w:r>
      <w:r w:rsidRPr="0008235E">
        <w:rPr>
          <w:rFonts w:ascii="Times New Roman" w:hAnsi="Times New Roman" w:cs="Times New Roman"/>
          <w:szCs w:val="24"/>
        </w:rPr>
        <w:t>A.</w:t>
      </w:r>
      <w:r w:rsidRPr="0008235E">
        <w:rPr>
          <w:rFonts w:ascii="Times New Roman" w:hAnsi="Times New Roman" w:cs="Times New Roman"/>
          <w:szCs w:val="24"/>
        </w:rPr>
        <w:tab/>
        <w:t>F</w:t>
      </w:r>
      <w:r w:rsidRPr="00AD0CFD">
        <w:rPr>
          <w:rFonts w:ascii="Times New Roman" w:hAnsi="Times New Roman" w:cs="Times New Roman"/>
          <w:szCs w:val="24"/>
        </w:rPr>
        <w:t>or Schedule 46</w:t>
      </w:r>
      <w:r w:rsidR="002D35C8">
        <w:rPr>
          <w:rFonts w:ascii="Times New Roman" w:hAnsi="Times New Roman" w:cs="Times New Roman"/>
          <w:szCs w:val="24"/>
        </w:rPr>
        <w:t xml:space="preserve"> (Customer Owned Street Light Energy Service)</w:t>
      </w:r>
      <w:r>
        <w:rPr>
          <w:rFonts w:ascii="Times New Roman" w:hAnsi="Times New Roman" w:cs="Times New Roman"/>
          <w:szCs w:val="24"/>
        </w:rPr>
        <w:t xml:space="preserve">, </w:t>
      </w:r>
      <w:r w:rsidRPr="00AD0CFD">
        <w:rPr>
          <w:rFonts w:ascii="Times New Roman" w:hAnsi="Times New Roman" w:cs="Times New Roman"/>
          <w:szCs w:val="24"/>
        </w:rPr>
        <w:t xml:space="preserve">the Company is </w:t>
      </w:r>
      <w:r w:rsidR="00D32A7D">
        <w:rPr>
          <w:rFonts w:ascii="Times New Roman" w:hAnsi="Times New Roman" w:cs="Times New Roman"/>
          <w:szCs w:val="24"/>
        </w:rPr>
        <w:t xml:space="preserve">proposing to </w:t>
      </w:r>
      <w:r w:rsidRPr="00AD0CFD">
        <w:rPr>
          <w:rFonts w:ascii="Times New Roman" w:hAnsi="Times New Roman" w:cs="Times New Roman"/>
          <w:szCs w:val="24"/>
        </w:rPr>
        <w:t>modify its tariff to reflect a new prescriptive energy rate calculation</w:t>
      </w:r>
      <w:r>
        <w:rPr>
          <w:rFonts w:ascii="Times New Roman" w:hAnsi="Times New Roman" w:cs="Times New Roman"/>
          <w:szCs w:val="24"/>
        </w:rPr>
        <w:t xml:space="preserve"> for lights where an existing code does not exist</w:t>
      </w:r>
      <w:r w:rsidRPr="00AD0CFD">
        <w:rPr>
          <w:rFonts w:ascii="Times New Roman" w:hAnsi="Times New Roman" w:cs="Times New Roman"/>
          <w:szCs w:val="24"/>
        </w:rPr>
        <w:t>.  The rate would be determined using the following formula:</w:t>
      </w:r>
    </w:p>
    <w:p w:rsidR="0008235E" w:rsidRPr="00F02962" w:rsidRDefault="0008235E" w:rsidP="0008235E">
      <w:pPr>
        <w:pStyle w:val="P106"/>
        <w:jc w:val="both"/>
        <w:rPr>
          <w:rFonts w:ascii="Times New Roman" w:hAnsi="Times New Roman" w:cs="Times New Roman"/>
          <w:b/>
          <w:szCs w:val="24"/>
        </w:rPr>
      </w:pPr>
      <w:r w:rsidRPr="00F02962">
        <w:rPr>
          <w:rFonts w:ascii="Times New Roman" w:hAnsi="Times New Roman" w:cs="Times New Roman"/>
          <w:b/>
          <w:szCs w:val="24"/>
        </w:rPr>
        <w:t>Custom Rate = Wattage of Customers Street Light * 365 Hours * Energy Rate</w:t>
      </w:r>
    </w:p>
    <w:p w:rsidR="0008235E" w:rsidRDefault="0008235E" w:rsidP="0008235E">
      <w:pPr>
        <w:pStyle w:val="P106"/>
        <w:ind w:firstLine="0"/>
        <w:jc w:val="both"/>
        <w:rPr>
          <w:rFonts w:ascii="Times New Roman" w:hAnsi="Times New Roman" w:cs="Times New Roman"/>
          <w:szCs w:val="24"/>
        </w:rPr>
      </w:pPr>
      <w:r w:rsidRPr="00AD0CFD">
        <w:rPr>
          <w:rFonts w:ascii="Times New Roman" w:hAnsi="Times New Roman" w:cs="Times New Roman"/>
          <w:szCs w:val="24"/>
        </w:rPr>
        <w:t>The wattage of the street light would be provided by the Customer and verified by the Company.  As for the hours of operation, the Company is basing that on dusk-to-dawn service (4,380 annual hours, or 365 hours per month).</w:t>
      </w:r>
      <w:r w:rsidR="008B0C99">
        <w:rPr>
          <w:rFonts w:ascii="Times New Roman" w:hAnsi="Times New Roman" w:cs="Times New Roman"/>
          <w:szCs w:val="24"/>
        </w:rPr>
        <w:t xml:space="preserve"> </w:t>
      </w:r>
      <w:r w:rsidRPr="00AD0CFD">
        <w:rPr>
          <w:rFonts w:ascii="Times New Roman" w:hAnsi="Times New Roman" w:cs="Times New Roman"/>
          <w:szCs w:val="24"/>
        </w:rPr>
        <w:t xml:space="preserve"> Finally, the energy rate was determined by dividing the</w:t>
      </w:r>
      <w:r w:rsidR="008C51DB">
        <w:rPr>
          <w:rFonts w:ascii="Times New Roman" w:hAnsi="Times New Roman" w:cs="Times New Roman"/>
          <w:szCs w:val="24"/>
        </w:rPr>
        <w:t xml:space="preserve"> final </w:t>
      </w:r>
      <w:r w:rsidRPr="00AD0CFD">
        <w:rPr>
          <w:rFonts w:ascii="Times New Roman" w:hAnsi="Times New Roman" w:cs="Times New Roman"/>
          <w:szCs w:val="24"/>
        </w:rPr>
        <w:t xml:space="preserve">revenue </w:t>
      </w:r>
      <w:r w:rsidR="008C51DB">
        <w:rPr>
          <w:rFonts w:ascii="Times New Roman" w:hAnsi="Times New Roman" w:cs="Times New Roman"/>
          <w:szCs w:val="24"/>
        </w:rPr>
        <w:t xml:space="preserve">requirement </w:t>
      </w:r>
      <w:r w:rsidRPr="00AD0CFD">
        <w:rPr>
          <w:rFonts w:ascii="Times New Roman" w:hAnsi="Times New Roman" w:cs="Times New Roman"/>
          <w:szCs w:val="24"/>
        </w:rPr>
        <w:t>for Schedule 46 by total kWh usage for Schedule 46</w:t>
      </w:r>
      <w:r w:rsidR="008C51DB">
        <w:rPr>
          <w:rFonts w:ascii="Times New Roman" w:hAnsi="Times New Roman" w:cs="Times New Roman"/>
          <w:szCs w:val="24"/>
        </w:rPr>
        <w:t xml:space="preserve"> included in the final approved billing determinants</w:t>
      </w:r>
      <w:r w:rsidRPr="00AD0CFD">
        <w:rPr>
          <w:rFonts w:ascii="Times New Roman" w:hAnsi="Times New Roman" w:cs="Times New Roman"/>
          <w:szCs w:val="24"/>
        </w:rPr>
        <w:t xml:space="preserve">.  </w:t>
      </w:r>
    </w:p>
    <w:p w:rsidR="006A4CE9" w:rsidRDefault="006A4CE9" w:rsidP="006A4CE9">
      <w:pPr>
        <w:pStyle w:val="P106"/>
        <w:ind w:firstLine="0"/>
        <w:jc w:val="both"/>
        <w:rPr>
          <w:rFonts w:ascii="Times New Roman" w:hAnsi="Times New Roman" w:cs="Times New Roman"/>
        </w:rPr>
      </w:pPr>
    </w:p>
    <w:p w:rsidR="005540EB" w:rsidRPr="005540EB" w:rsidRDefault="000B6139" w:rsidP="005540EB">
      <w:pPr>
        <w:pStyle w:val="P246"/>
        <w:ind w:firstLine="0"/>
        <w:jc w:val="center"/>
        <w:rPr>
          <w:rFonts w:ascii="Times New Roman" w:hAnsi="Times New Roman" w:cs="Times New Roman"/>
        </w:rPr>
      </w:pPr>
      <w:r>
        <w:rPr>
          <w:rFonts w:ascii="Times New Roman" w:hAnsi="Times New Roman" w:cs="Times New Roman"/>
        </w:rPr>
        <w:t xml:space="preserve">IV. </w:t>
      </w:r>
      <w:r w:rsidR="005540EB" w:rsidRPr="005540EB">
        <w:rPr>
          <w:rFonts w:ascii="Times New Roman" w:hAnsi="Times New Roman" w:cs="Times New Roman"/>
        </w:rPr>
        <w:t>PROPOSED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D32A7D">
        <w:rPr>
          <w:rFonts w:ascii="Times New Roman" w:hAnsi="Times New Roman" w:cs="Times New Roman"/>
        </w:rPr>
        <w:t>Would</w:t>
      </w:r>
      <w:r w:rsidR="00147D24">
        <w:rPr>
          <w:rFonts w:ascii="Times New Roman" w:hAnsi="Times New Roman" w:cs="Times New Roman"/>
        </w:rPr>
        <w:t xml:space="preserve"> you p</w:t>
      </w:r>
      <w:r w:rsidRPr="005540EB">
        <w:rPr>
          <w:rFonts w:ascii="Times New Roman" w:hAnsi="Times New Roman" w:cs="Times New Roman"/>
        </w:rPr>
        <w:t>lease explain what is contained in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Schedule 111 is generally for customers who consistently use </w:t>
      </w:r>
      <w:proofErr w:type="gramStart"/>
      <w:r w:rsidRPr="005540EB">
        <w:rPr>
          <w:rFonts w:ascii="Times New Roman" w:hAnsi="Times New Roman" w:cs="Times New Roman"/>
        </w:rPr>
        <w:t>over 200 therms/month</w:t>
      </w:r>
      <w:r w:rsidR="00D32A7D">
        <w:rPr>
          <w:rFonts w:ascii="Times New Roman" w:hAnsi="Times New Roman" w:cs="Times New Roman"/>
        </w:rPr>
        <w:t>,</w:t>
      </w:r>
      <w:proofErr w:type="gramEnd"/>
      <w:r w:rsidRPr="005540EB">
        <w:rPr>
          <w:rFonts w:ascii="Times New Roman" w:hAnsi="Times New Roman" w:cs="Times New Roman"/>
        </w:rPr>
        <w:t xml:space="preserve">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r>
      <w:r w:rsidR="00D32A7D">
        <w:rPr>
          <w:rStyle w:val="T11"/>
          <w:rFonts w:ascii="Times New Roman" w:hAnsi="Times New Roman" w:cs="Times New Roman"/>
        </w:rPr>
        <w:t>Would</w:t>
      </w:r>
      <w:r w:rsidRPr="005540EB">
        <w:rPr>
          <w:rStyle w:val="T11"/>
          <w:rFonts w:ascii="Times New Roman" w:hAnsi="Times New Roman" w:cs="Times New Roman"/>
        </w:rPr>
        <w:t xml:space="preserve"> you please explain which customers are eligible for service under </w:t>
      </w:r>
      <w:r w:rsidR="00B50A07" w:rsidRPr="005540EB">
        <w:rPr>
          <w:rStyle w:val="T11"/>
          <w:rFonts w:ascii="Times New Roman" w:hAnsi="Times New Roman" w:cs="Times New Roman"/>
        </w:rPr>
        <w:t>Schedules 112, 122 and 132</w:t>
      </w:r>
      <w:r w:rsidRPr="005540EB">
        <w:rPr>
          <w:rStyle w:val="T11"/>
          <w:rFonts w:ascii="Times New Roman" w:hAnsi="Times New Roman" w:cs="Times New Roman"/>
        </w:rPr>
        <w:t>?</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D32A7D">
        <w:rPr>
          <w:rFonts w:ascii="Times New Roman" w:hAnsi="Times New Roman" w:cs="Times New Roman"/>
        </w:rPr>
        <w:t xml:space="preserve">Yes.  </w:t>
      </w:r>
      <w:r w:rsidRPr="005540EB">
        <w:rPr>
          <w:rFonts w:ascii="Times New Roman" w:hAnsi="Times New Roman" w:cs="Times New Roman"/>
        </w:rPr>
        <w:t>Schedules 112, 122 and 132 are in place to provide service to customers</w:t>
      </w:r>
      <w:r w:rsidR="00D32A7D">
        <w:rPr>
          <w:rFonts w:ascii="Times New Roman" w:hAnsi="Times New Roman" w:cs="Times New Roman"/>
        </w:rPr>
        <w:t>,</w:t>
      </w:r>
      <w:r w:rsidRPr="005540EB">
        <w:rPr>
          <w:rFonts w:ascii="Times New Roman" w:hAnsi="Times New Roman" w:cs="Times New Roman"/>
        </w:rPr>
        <w:t xml:space="preserve"> who</w:t>
      </w:r>
      <w:r w:rsidR="000D4B96">
        <w:rPr>
          <w:rFonts w:ascii="Times New Roman" w:hAnsi="Times New Roman" w:cs="Times New Roman"/>
        </w:rPr>
        <w:t>,</w:t>
      </w:r>
      <w:r w:rsidRPr="005540EB">
        <w:rPr>
          <w:rFonts w:ascii="Times New Roman" w:hAnsi="Times New Roman" w:cs="Times New Roman"/>
        </w:rPr>
        <w:t xml:space="preserve"> at one time</w:t>
      </w:r>
      <w:r w:rsidR="00D32A7D">
        <w:rPr>
          <w:rFonts w:ascii="Times New Roman" w:hAnsi="Times New Roman" w:cs="Times New Roman"/>
        </w:rPr>
        <w:t>,</w:t>
      </w:r>
      <w:r w:rsidRPr="005540EB">
        <w:rPr>
          <w:rFonts w:ascii="Times New Roman" w:hAnsi="Times New Roman" w:cs="Times New Roman"/>
        </w:rPr>
        <w:t xml:space="preserv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w:t>
      </w:r>
      <w:r w:rsidR="00BE4355">
        <w:rPr>
          <w:rFonts w:ascii="Times New Roman" w:hAnsi="Times New Roman" w:cs="Times New Roman"/>
        </w:rPr>
        <w:t>T</w:t>
      </w:r>
      <w:r w:rsidRPr="005540EB">
        <w:rPr>
          <w:rFonts w:ascii="Times New Roman" w:hAnsi="Times New Roman" w:cs="Times New Roman"/>
        </w:rPr>
        <w:t>he Company continues to analyze those customers</w:t>
      </w:r>
      <w:r w:rsidR="00B50A07">
        <w:rPr>
          <w:rFonts w:ascii="Times New Roman" w:hAnsi="Times New Roman" w:cs="Times New Roman"/>
        </w:rPr>
        <w:t xml:space="preserve"> to make sure that i</w:t>
      </w:r>
      <w:r w:rsidR="00BE4355" w:rsidRPr="005540EB">
        <w:rPr>
          <w:rFonts w:ascii="Times New Roman" w:hAnsi="Times New Roman" w:cs="Times New Roman"/>
        </w:rPr>
        <w:t>f those customers switch back to sales service</w:t>
      </w:r>
      <w:r w:rsidR="00BE4355">
        <w:rPr>
          <w:rFonts w:ascii="Times New Roman" w:hAnsi="Times New Roman" w:cs="Times New Roman"/>
        </w:rPr>
        <w:t>,</w:t>
      </w:r>
      <w:r w:rsidR="00BE4355" w:rsidRPr="005540EB">
        <w:rPr>
          <w:rFonts w:ascii="Times New Roman" w:hAnsi="Times New Roman" w:cs="Times New Roman"/>
        </w:rPr>
        <w:t xml:space="preserve"> </w:t>
      </w:r>
      <w:r w:rsidRPr="005540EB">
        <w:rPr>
          <w:rFonts w:ascii="Times New Roman" w:hAnsi="Times New Roman" w:cs="Times New Roman"/>
        </w:rPr>
        <w:t xml:space="preserve">those customers would </w:t>
      </w:r>
      <w:r w:rsidR="00B50A07">
        <w:rPr>
          <w:rFonts w:ascii="Times New Roman" w:hAnsi="Times New Roman" w:cs="Times New Roman"/>
        </w:rPr>
        <w:t xml:space="preserve">not </w:t>
      </w:r>
      <w:r w:rsidRPr="005540EB">
        <w:rPr>
          <w:rFonts w:ascii="Times New Roman" w:hAnsi="Times New Roman" w:cs="Times New Roman"/>
        </w:rPr>
        <w:t xml:space="preserve">receive </w:t>
      </w:r>
      <w:r w:rsidR="0021578E">
        <w:rPr>
          <w:rFonts w:ascii="Times New Roman" w:hAnsi="Times New Roman" w:cs="Times New Roman"/>
        </w:rPr>
        <w:t xml:space="preserve">natural </w:t>
      </w:r>
      <w:r w:rsidRPr="005540EB">
        <w:rPr>
          <w:rFonts w:ascii="Times New Roman" w:hAnsi="Times New Roman" w:cs="Times New Roman"/>
        </w:rPr>
        <w:t xml:space="preserve">gas costs </w:t>
      </w:r>
      <w:r w:rsidRPr="0026350D">
        <w:rPr>
          <w:rFonts w:ascii="Times New Roman" w:hAnsi="Times New Roman" w:cs="Times New Roman"/>
        </w:rPr>
        <w:t>deferrals which are not due them</w:t>
      </w:r>
      <w:r w:rsidRPr="005540EB">
        <w:rPr>
          <w:rFonts w:ascii="Times New Roman" w:hAnsi="Times New Roman" w:cs="Times New Roman"/>
        </w:rPr>
        <w:t>.</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 xml:space="preserve">customers does the Company </w:t>
      </w:r>
      <w:proofErr w:type="gramStart"/>
      <w:r w:rsidRPr="005540EB">
        <w:rPr>
          <w:rFonts w:ascii="Times New Roman" w:hAnsi="Times New Roman" w:cs="Times New Roman"/>
        </w:rPr>
        <w:t>serve</w:t>
      </w:r>
      <w:proofErr w:type="gramEnd"/>
      <w:r w:rsidRPr="005540EB">
        <w:rPr>
          <w:rFonts w:ascii="Times New Roman" w:hAnsi="Times New Roman" w:cs="Times New Roman"/>
        </w:rPr>
        <w:t xml:space="preserve"> under each of its natural gas rate schedules?</w:t>
      </w:r>
    </w:p>
    <w:p w:rsidR="005540EB" w:rsidRPr="007C7911" w:rsidRDefault="005540EB" w:rsidP="005540EB">
      <w:pPr>
        <w:pStyle w:val="P204"/>
        <w:jc w:val="both"/>
        <w:rPr>
          <w:rFonts w:ascii="Times New Roman" w:hAnsi="Times New Roman" w:cs="Times New Roman"/>
        </w:rPr>
      </w:pPr>
      <w:r w:rsidRPr="007C7911">
        <w:rPr>
          <w:rFonts w:ascii="Times New Roman" w:hAnsi="Times New Roman" w:cs="Times New Roman"/>
        </w:rPr>
        <w:t>A.</w:t>
      </w:r>
      <w:r w:rsidRPr="007C7911">
        <w:rPr>
          <w:rFonts w:ascii="Times New Roman" w:hAnsi="Times New Roman" w:cs="Times New Roman"/>
        </w:rPr>
        <w:tab/>
        <w:t xml:space="preserve">As of </w:t>
      </w:r>
      <w:r w:rsidR="008C51DB">
        <w:rPr>
          <w:rFonts w:ascii="Times New Roman" w:hAnsi="Times New Roman" w:cs="Times New Roman"/>
        </w:rPr>
        <w:t xml:space="preserve">September </w:t>
      </w:r>
      <w:r w:rsidR="00423244">
        <w:rPr>
          <w:rFonts w:ascii="Times New Roman" w:hAnsi="Times New Roman" w:cs="Times New Roman"/>
        </w:rPr>
        <w:t>2014</w:t>
      </w:r>
      <w:r w:rsidRPr="007C7911">
        <w:rPr>
          <w:rFonts w:ascii="Times New Roman" w:hAnsi="Times New Roman" w:cs="Times New Roman"/>
        </w:rPr>
        <w:t xml:space="preserve">, the Company provided service to the following number of </w:t>
      </w:r>
      <w:r w:rsidR="009026B3" w:rsidRPr="007C7911">
        <w:rPr>
          <w:rFonts w:ascii="Times New Roman" w:hAnsi="Times New Roman" w:cs="Times New Roman"/>
        </w:rPr>
        <w:t xml:space="preserve">Washington </w:t>
      </w:r>
      <w:r w:rsidRPr="007C7911">
        <w:rPr>
          <w:rFonts w:ascii="Times New Roman" w:hAnsi="Times New Roman" w:cs="Times New Roman"/>
        </w:rPr>
        <w:t>customers under each of its schedules:</w:t>
      </w:r>
    </w:p>
    <w:p w:rsidR="00F17ED7" w:rsidRPr="007C7911" w:rsidRDefault="00C679F4" w:rsidP="00AD2C96">
      <w:pPr>
        <w:pStyle w:val="P246"/>
        <w:outlineLvl w:val="0"/>
        <w:rPr>
          <w:rFonts w:ascii="Times New Roman" w:hAnsi="Times New Roman" w:cs="Times New Roman"/>
          <w:b w:val="0"/>
          <w:u w:val="none"/>
        </w:rPr>
      </w:pPr>
      <w:r w:rsidRPr="00C679F4">
        <w:rPr>
          <w:noProof/>
        </w:rPr>
        <w:drawing>
          <wp:anchor distT="0" distB="0" distL="114300" distR="114300" simplePos="0" relativeHeight="251937280" behindDoc="1" locked="0" layoutInCell="1" allowOverlap="1">
            <wp:simplePos x="0" y="0"/>
            <wp:positionH relativeFrom="column">
              <wp:posOffset>478155</wp:posOffset>
            </wp:positionH>
            <wp:positionV relativeFrom="paragraph">
              <wp:posOffset>-3175</wp:posOffset>
            </wp:positionV>
            <wp:extent cx="4886325" cy="1476375"/>
            <wp:effectExtent l="19050" t="0" r="952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886325" cy="1476375"/>
                    </a:xfrm>
                    <a:prstGeom prst="rect">
                      <a:avLst/>
                    </a:prstGeom>
                    <a:noFill/>
                    <a:ln w="9525">
                      <a:noFill/>
                      <a:miter lim="800000"/>
                      <a:headEnd/>
                      <a:tailEnd/>
                    </a:ln>
                  </pic:spPr>
                </pic:pic>
              </a:graphicData>
            </a:graphic>
          </wp:anchor>
        </w:drawing>
      </w:r>
      <w:r w:rsidR="005540EB" w:rsidRPr="007C7911">
        <w:rPr>
          <w:rFonts w:ascii="Times New Roman" w:hAnsi="Times New Roman" w:cs="Times New Roman"/>
          <w:b w:val="0"/>
          <w:u w:val="none"/>
          <w:lang w:val="fr-FR"/>
        </w:rPr>
        <w:tab/>
      </w: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D32A7D" w:rsidRDefault="00D32A7D"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 xml:space="preserve">How does the Company </w:t>
      </w:r>
      <w:proofErr w:type="gramStart"/>
      <w:r w:rsidRPr="00081958">
        <w:rPr>
          <w:rFonts w:ascii="Times New Roman" w:hAnsi="Times New Roman" w:cs="Times New Roman"/>
        </w:rPr>
        <w:t>propose</w:t>
      </w:r>
      <w:proofErr w:type="gramEnd"/>
      <w:r w:rsidRPr="00081958">
        <w:rPr>
          <w:rFonts w:ascii="Times New Roman" w:hAnsi="Times New Roman" w:cs="Times New Roman"/>
        </w:rPr>
        <w:t xml:space="preserve"> to spread the overall revenue increase of </w:t>
      </w:r>
      <w:r w:rsidRPr="00081958">
        <w:rPr>
          <w:rFonts w:ascii="Times New Roman" w:hAnsi="Times New Roman" w:cs="Times New Roman"/>
        </w:rPr>
        <w:lastRenderedPageBreak/>
        <w:t>$</w:t>
      </w:r>
      <w:r w:rsidR="003A16ED">
        <w:rPr>
          <w:rFonts w:ascii="Times New Roman" w:hAnsi="Times New Roman" w:cs="Times New Roman"/>
        </w:rPr>
        <w:t>12,</w:t>
      </w:r>
      <w:r w:rsidR="00423244">
        <w:rPr>
          <w:rFonts w:ascii="Times New Roman" w:hAnsi="Times New Roman" w:cs="Times New Roman"/>
        </w:rPr>
        <w:t>021</w:t>
      </w:r>
      <w:r w:rsidR="00987E07" w:rsidRPr="00081958">
        <w:rPr>
          <w:rFonts w:ascii="Times New Roman" w:hAnsi="Times New Roman" w:cs="Times New Roman"/>
        </w:rPr>
        <w:t>,000</w:t>
      </w:r>
      <w:r w:rsidRPr="00081958">
        <w:rPr>
          <w:rFonts w:ascii="Times New Roman" w:hAnsi="Times New Roman" w:cs="Times New Roman"/>
        </w:rPr>
        <w:t xml:space="preserve">, or </w:t>
      </w:r>
      <w:r w:rsidR="00423244">
        <w:rPr>
          <w:rFonts w:ascii="Times New Roman" w:hAnsi="Times New Roman" w:cs="Times New Roman"/>
        </w:rPr>
        <w:t>7.0</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8C51DB" w:rsidRPr="008C51DB" w:rsidRDefault="005540EB" w:rsidP="008C51DB">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The Company is proposing the following revenue/rate changes by rate schedule:</w:t>
      </w:r>
    </w:p>
    <w:p w:rsidR="006507E2" w:rsidRDefault="00B50A07" w:rsidP="00515008">
      <w:pPr>
        <w:pStyle w:val="P208"/>
        <w:jc w:val="both"/>
        <w:rPr>
          <w:rFonts w:ascii="Times New Roman" w:hAnsi="Times New Roman" w:cs="Times New Roman"/>
        </w:rPr>
      </w:pPr>
      <w:r>
        <w:rPr>
          <w:rFonts w:ascii="Times New Roman" w:hAnsi="Times New Roman" w:cs="Times New Roman"/>
          <w:noProof/>
        </w:rPr>
        <w:drawing>
          <wp:anchor distT="0" distB="0" distL="114300" distR="114300" simplePos="0" relativeHeight="251933184" behindDoc="1" locked="0" layoutInCell="1" allowOverlap="1">
            <wp:simplePos x="0" y="0"/>
            <wp:positionH relativeFrom="column">
              <wp:posOffset>478155</wp:posOffset>
            </wp:positionH>
            <wp:positionV relativeFrom="paragraph">
              <wp:posOffset>82550</wp:posOffset>
            </wp:positionV>
            <wp:extent cx="4857750" cy="1800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857750" cy="1800225"/>
                    </a:xfrm>
                    <a:prstGeom prst="rect">
                      <a:avLst/>
                    </a:prstGeom>
                    <a:noFill/>
                    <a:ln w="9525">
                      <a:noFill/>
                      <a:miter lim="800000"/>
                      <a:headEnd/>
                      <a:tailEnd/>
                    </a:ln>
                  </pic:spPr>
                </pic:pic>
              </a:graphicData>
            </a:graphic>
          </wp:anchor>
        </w:drawing>
      </w: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D32A7D" w:rsidRPr="00515008" w:rsidRDefault="00D32A7D" w:rsidP="00515008">
      <w:pPr>
        <w:pStyle w:val="P208"/>
        <w:jc w:val="both"/>
        <w:rPr>
          <w:rFonts w:ascii="Times New Roman" w:hAnsi="Times New Roman" w:cs="Times New Roman"/>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423244">
        <w:rPr>
          <w:rFonts w:ascii="Times New Roman" w:hAnsi="Times New Roman" w:cs="Times New Roman"/>
        </w:rPr>
        <w:t>45</w:t>
      </w:r>
      <w:r w:rsidRPr="005540EB">
        <w:rPr>
          <w:rFonts w:ascii="Times New Roman" w:hAnsi="Times New Roman" w:cs="Times New Roman"/>
        </w:rPr>
        <w:t xml:space="preserve">.0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423244">
        <w:rPr>
          <w:rFonts w:ascii="Times New Roman" w:hAnsi="Times New Roman" w:cs="Times New Roman"/>
        </w:rPr>
        <w:t>3.7</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8C51DB" w:rsidRPr="008C51DB" w:rsidRDefault="003A16ED" w:rsidP="008C51DB">
      <w:pPr>
        <w:pStyle w:val="P253"/>
        <w:tabs>
          <w:tab w:val="clear" w:pos="810"/>
          <w:tab w:val="left" w:pos="720"/>
        </w:tabs>
        <w:jc w:val="both"/>
        <w:outlineLvl w:val="0"/>
        <w:rPr>
          <w:rFonts w:ascii="Times New Roman" w:hAnsi="Times New Roman" w:cs="Times New Roman"/>
          <w:b w:val="0"/>
          <w:u w:val="none"/>
        </w:rPr>
      </w:pPr>
      <w:r>
        <w:rPr>
          <w:rFonts w:ascii="Times New Roman" w:hAnsi="Times New Roman" w:cs="Times New Roman"/>
          <w:b w:val="0"/>
          <w:u w:val="none"/>
        </w:rPr>
        <w:tab/>
      </w:r>
      <w:r w:rsidR="00D32A7D">
        <w:rPr>
          <w:rFonts w:ascii="Times New Roman" w:hAnsi="Times New Roman" w:cs="Times New Roman"/>
          <w:b w:val="0"/>
          <w:u w:val="none"/>
        </w:rPr>
        <w:t>A.</w:t>
      </w:r>
      <w:r w:rsidR="00D32A7D">
        <w:rPr>
          <w:rFonts w:ascii="Times New Roman" w:hAnsi="Times New Roman" w:cs="Times New Roman"/>
          <w:b w:val="0"/>
          <w:u w:val="none"/>
        </w:rPr>
        <w:tab/>
      </w:r>
      <w:r w:rsidRPr="003A16ED">
        <w:rPr>
          <w:rFonts w:ascii="Times New Roman" w:hAnsi="Times New Roman" w:cs="Times New Roman"/>
          <w:b w:val="0"/>
          <w:u w:val="none"/>
        </w:rPr>
        <w:t xml:space="preserve">The Company used the results of the cost of service study sponsored by </w:t>
      </w:r>
      <w:r>
        <w:rPr>
          <w:rFonts w:ascii="Times New Roman" w:hAnsi="Times New Roman" w:cs="Times New Roman"/>
          <w:b w:val="0"/>
          <w:u w:val="none"/>
        </w:rPr>
        <w:t>Mr. Miller</w:t>
      </w:r>
      <w:r w:rsidRPr="003A16ED">
        <w:rPr>
          <w:rFonts w:ascii="Times New Roman" w:hAnsi="Times New Roman" w:cs="Times New Roman"/>
          <w:b w:val="0"/>
          <w:u w:val="none"/>
        </w:rPr>
        <w:t xml:space="preserve"> as a guide to spread the general increase.  The spread of the proposed increase generally results in the rates of return for the various service schedules moving approximately </w:t>
      </w:r>
      <w:r w:rsidR="00423244">
        <w:rPr>
          <w:rFonts w:ascii="Times New Roman" w:hAnsi="Times New Roman" w:cs="Times New Roman"/>
          <w:b w:val="0"/>
          <w:u w:val="none"/>
        </w:rPr>
        <w:lastRenderedPageBreak/>
        <w:t>40%</w:t>
      </w:r>
      <w:r w:rsidRPr="003A16ED">
        <w:rPr>
          <w:rFonts w:ascii="Times New Roman" w:hAnsi="Times New Roman" w:cs="Times New Roman"/>
          <w:b w:val="0"/>
          <w:u w:val="none"/>
        </w:rPr>
        <w:t xml:space="preserve"> closer to the overall rate of return (unity).  The relative rates of return before and after application of the proposed increases by schedule are as follows:</w:t>
      </w:r>
    </w:p>
    <w:p w:rsidR="00423244" w:rsidRDefault="00B96536" w:rsidP="00791C2B">
      <w:pPr>
        <w:pStyle w:val="P253"/>
        <w:tabs>
          <w:tab w:val="clear" w:pos="810"/>
          <w:tab w:val="left" w:pos="720"/>
        </w:tabs>
        <w:jc w:val="both"/>
        <w:outlineLvl w:val="0"/>
        <w:rPr>
          <w:rFonts w:ascii="Times New Roman" w:hAnsi="Times New Roman" w:cs="Times New Roman"/>
          <w:b w:val="0"/>
          <w:u w:val="none"/>
        </w:rPr>
      </w:pPr>
      <w:r>
        <w:rPr>
          <w:rFonts w:ascii="Times New Roman" w:hAnsi="Times New Roman" w:cs="Times New Roman"/>
          <w:b w:val="0"/>
          <w:noProof/>
          <w:u w:val="none"/>
        </w:rPr>
        <w:drawing>
          <wp:anchor distT="0" distB="0" distL="114300" distR="114300" simplePos="0" relativeHeight="251934208" behindDoc="1" locked="0" layoutInCell="1" allowOverlap="1">
            <wp:simplePos x="0" y="0"/>
            <wp:positionH relativeFrom="column">
              <wp:posOffset>288194</wp:posOffset>
            </wp:positionH>
            <wp:positionV relativeFrom="paragraph">
              <wp:posOffset>6327</wp:posOffset>
            </wp:positionV>
            <wp:extent cx="5040846" cy="2078966"/>
            <wp:effectExtent l="19050" t="0" r="7404"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040846" cy="2078966"/>
                    </a:xfrm>
                    <a:prstGeom prst="rect">
                      <a:avLst/>
                    </a:prstGeom>
                    <a:noFill/>
                    <a:ln w="9525">
                      <a:noFill/>
                      <a:miter lim="800000"/>
                      <a:headEnd/>
                      <a:tailEnd/>
                    </a:ln>
                  </pic:spPr>
                </pic:pic>
              </a:graphicData>
            </a:graphic>
          </wp:anchor>
        </w:drawing>
      </w: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B50A07" w:rsidRDefault="00B50A07">
      <w:pPr>
        <w:autoSpaceDE/>
        <w:autoSpaceDN/>
        <w:rPr>
          <w:b/>
          <w:szCs w:val="20"/>
          <w:u w:val="single"/>
        </w:rPr>
      </w:pP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D32A7D">
        <w:rPr>
          <w:rStyle w:val="T11"/>
          <w:rFonts w:ascii="Times New Roman" w:hAnsi="Times New Roman" w:cs="Times New Roman"/>
        </w:rPr>
        <w:t>W</w:t>
      </w:r>
      <w:r w:rsidRPr="005540EB">
        <w:rPr>
          <w:rStyle w:val="T11"/>
          <w:rFonts w:ascii="Times New Roman" w:hAnsi="Times New Roman" w:cs="Times New Roman"/>
        </w:rPr>
        <w:t xml:space="preserve">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The </w:t>
      </w:r>
      <w:r w:rsidR="00B312FA">
        <w:rPr>
          <w:rFonts w:ascii="Times New Roman" w:hAnsi="Times New Roman" w:cs="Times New Roman"/>
        </w:rPr>
        <w:t>s</w:t>
      </w:r>
      <w:r w:rsidRPr="005540EB">
        <w:rPr>
          <w:rFonts w:ascii="Times New Roman" w:hAnsi="Times New Roman" w:cs="Times New Roman"/>
        </w:rPr>
        <w:t xml:space="preserve">chedule contains </w:t>
      </w:r>
      <w:r w:rsidR="009D3196" w:rsidRPr="005540EB">
        <w:rPr>
          <w:rFonts w:ascii="Times New Roman" w:hAnsi="Times New Roman" w:cs="Times New Roman"/>
        </w:rPr>
        <w:t>t</w:t>
      </w:r>
      <w:r w:rsidR="009D3196">
        <w:rPr>
          <w:rFonts w:ascii="Times New Roman" w:hAnsi="Times New Roman" w:cs="Times New Roman"/>
        </w:rPr>
        <w:t>wo</w:t>
      </w:r>
      <w:r w:rsidR="009D3196" w:rsidRPr="005540EB">
        <w:rPr>
          <w:rFonts w:ascii="Times New Roman" w:hAnsi="Times New Roman" w:cs="Times New Roman"/>
        </w:rPr>
        <w:t xml:space="preserve"> energy rate blocks</w:t>
      </w:r>
      <w:r w:rsidR="00B50A07">
        <w:rPr>
          <w:rFonts w:ascii="Times New Roman" w:hAnsi="Times New Roman" w:cs="Times New Roman"/>
        </w:rPr>
        <w:t xml:space="preserve"> (</w:t>
      </w:r>
      <w:r w:rsidR="009D3196">
        <w:rPr>
          <w:rFonts w:ascii="Times New Roman" w:hAnsi="Times New Roman" w:cs="Times New Roman"/>
        </w:rPr>
        <w:t>0-70 therms, and over 70</w:t>
      </w:r>
      <w:r w:rsidRPr="005540EB">
        <w:rPr>
          <w:rFonts w:ascii="Times New Roman" w:hAnsi="Times New Roman" w:cs="Times New Roman"/>
        </w:rPr>
        <w:t xml:space="preserve"> </w:t>
      </w:r>
      <w:r w:rsidR="00B50A07">
        <w:rPr>
          <w:rFonts w:ascii="Times New Roman" w:hAnsi="Times New Roman" w:cs="Times New Roman"/>
        </w:rPr>
        <w:t xml:space="preserve">therms), </w:t>
      </w:r>
      <w:r w:rsidRPr="005540EB">
        <w:rPr>
          <w:rFonts w:ascii="Times New Roman" w:hAnsi="Times New Roman" w:cs="Times New Roman"/>
        </w:rPr>
        <w:t>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Large General Service Schedule</w:t>
      </w:r>
      <w:r w:rsidR="00D32A7D">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xml:space="preserve"> has a three-tier declining-block rate structure and is generally for customers who consistently use </w:t>
      </w:r>
      <w:proofErr w:type="gramStart"/>
      <w:r w:rsidRPr="005540EB">
        <w:rPr>
          <w:rFonts w:ascii="Times New Roman" w:hAnsi="Times New Roman" w:cs="Times New Roman"/>
        </w:rPr>
        <w:t>over 200 therms/month</w:t>
      </w:r>
      <w:proofErr w:type="gramEnd"/>
      <w:r w:rsidRPr="005540EB">
        <w:rPr>
          <w:rFonts w:ascii="Times New Roman" w:hAnsi="Times New Roman" w:cs="Times New Roman"/>
        </w:rPr>
        <w:t xml:space="preserve">. </w:t>
      </w:r>
      <w:r w:rsidR="008B0C99">
        <w:rPr>
          <w:rFonts w:ascii="Times New Roman" w:hAnsi="Times New Roman" w:cs="Times New Roman"/>
        </w:rPr>
        <w:t xml:space="preserve"> </w:t>
      </w:r>
      <w:r w:rsidRPr="005540EB">
        <w:rPr>
          <w:rFonts w:ascii="Times New Roman" w:hAnsi="Times New Roman" w:cs="Times New Roman"/>
        </w:rPr>
        <w:t xml:space="preserve">The </w:t>
      </w:r>
      <w:r w:rsidR="00B312FA">
        <w:rPr>
          <w:rFonts w:ascii="Times New Roman" w:hAnsi="Times New Roman" w:cs="Times New Roman"/>
        </w:rPr>
        <w:t>s</w:t>
      </w:r>
      <w:r w:rsidRPr="005540EB">
        <w:rPr>
          <w:rFonts w:ascii="Times New Roman" w:hAnsi="Times New Roman" w:cs="Times New Roman"/>
        </w:rPr>
        <w:t xml:space="preserve">chedule consists of a monthly minimum charge plus a usage charge for the first 200 therms or less, and block rates for 201-1,000 therms/month and </w:t>
      </w:r>
      <w:proofErr w:type="gramStart"/>
      <w:r w:rsidRPr="005540EB">
        <w:rPr>
          <w:rFonts w:ascii="Times New Roman" w:hAnsi="Times New Roman" w:cs="Times New Roman"/>
        </w:rPr>
        <w:t>over 1,000 therms/month</w:t>
      </w:r>
      <w:proofErr w:type="gramEnd"/>
      <w:r w:rsidRPr="005540EB">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Extra Large General Service Schedule</w:t>
      </w:r>
      <w:r w:rsidR="00D32A7D">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w:t>
      </w:r>
      <w:r w:rsidRPr="005540EB">
        <w:rPr>
          <w:rFonts w:ascii="Times New Roman" w:hAnsi="Times New Roman" w:cs="Times New Roman"/>
        </w:rPr>
        <w:lastRenderedPageBreak/>
        <w:t xml:space="preserve">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w:t>
      </w:r>
      <w:r w:rsidR="00D32A7D">
        <w:rPr>
          <w:rFonts w:ascii="Times New Roman" w:hAnsi="Times New Roman" w:cs="Times New Roman"/>
        </w:rPr>
        <w:t>s</w:t>
      </w:r>
      <w:r w:rsidRPr="005540EB">
        <w:rPr>
          <w:rFonts w:ascii="Times New Roman" w:hAnsi="Times New Roman" w:cs="Times New Roman"/>
        </w:rPr>
        <w:t xml:space="preserve"> 131</w:t>
      </w:r>
      <w:r w:rsidR="00D32A7D">
        <w:rPr>
          <w:rFonts w:ascii="Times New Roman" w:hAnsi="Times New Roman" w:cs="Times New Roman"/>
        </w:rPr>
        <w:t>/132</w:t>
      </w:r>
      <w:r w:rsidRPr="005540EB">
        <w:rPr>
          <w:rFonts w:ascii="Times New Roman" w:hAnsi="Times New Roman" w:cs="Times New Roman"/>
        </w:rPr>
        <w:t xml:space="preserve">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Transportation Service Schedule 146 contains </w:t>
      </w:r>
      <w:r w:rsidR="008F62BD">
        <w:rPr>
          <w:rFonts w:ascii="Times New Roman" w:hAnsi="Times New Roman" w:cs="Times New Roman"/>
        </w:rPr>
        <w:t>a monthly</w:t>
      </w:r>
      <w:r w:rsidRPr="005540EB">
        <w:rPr>
          <w:rFonts w:ascii="Times New Roman" w:hAnsi="Times New Roman" w:cs="Times New Roman"/>
        </w:rPr>
        <w:t xml:space="preserve">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w:t>
      </w:r>
      <w:r w:rsidR="00AF04A5">
        <w:rPr>
          <w:rFonts w:ascii="Times New Roman" w:hAnsi="Times New Roman" w:cs="Times New Roman"/>
        </w:rPr>
        <w:t>g</w:t>
      </w:r>
      <w:r w:rsidRPr="005540EB">
        <w:rPr>
          <w:rFonts w:ascii="Times New Roman" w:hAnsi="Times New Roman" w:cs="Times New Roman"/>
        </w:rPr>
        <w:t>)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Is the Company proposing </w:t>
      </w:r>
      <w:r w:rsidR="0076151E">
        <w:rPr>
          <w:rStyle w:val="T11"/>
          <w:rFonts w:ascii="Times New Roman" w:hAnsi="Times New Roman" w:cs="Times New Roman"/>
        </w:rPr>
        <w:t>a $</w:t>
      </w:r>
      <w:r w:rsidR="00AF04A5">
        <w:rPr>
          <w:rStyle w:val="T11"/>
          <w:rFonts w:ascii="Times New Roman" w:hAnsi="Times New Roman" w:cs="Times New Roman"/>
        </w:rPr>
        <w:t>3</w:t>
      </w:r>
      <w:r w:rsidR="0076151E">
        <w:rPr>
          <w:rStyle w:val="T11"/>
          <w:rFonts w:ascii="Times New Roman" w:hAnsi="Times New Roman" w:cs="Times New Roman"/>
        </w:rPr>
        <w:t xml:space="preserve">.00 per month </w:t>
      </w:r>
      <w:proofErr w:type="gramStart"/>
      <w:r w:rsidR="0076151E">
        <w:rPr>
          <w:rStyle w:val="T11"/>
          <w:rFonts w:ascii="Times New Roman" w:hAnsi="Times New Roman" w:cs="Times New Roman"/>
        </w:rPr>
        <w:t>increase</w:t>
      </w:r>
      <w:proofErr w:type="gramEnd"/>
      <w:r w:rsidRPr="005540EB">
        <w:rPr>
          <w:rStyle w:val="T11"/>
          <w:rFonts w:ascii="Times New Roman" w:hAnsi="Times New Roman" w:cs="Times New Roman"/>
        </w:rPr>
        <w:t xml:space="preserve"> to the present basic/customer charge of $</w:t>
      </w:r>
      <w:r w:rsidR="00AF04A5">
        <w:rPr>
          <w:rStyle w:val="T11"/>
          <w:rFonts w:ascii="Times New Roman" w:hAnsi="Times New Roman" w:cs="Times New Roman"/>
        </w:rPr>
        <w:t>9</w:t>
      </w:r>
      <w:r w:rsidR="001A4278">
        <w:rPr>
          <w:rStyle w:val="T11"/>
          <w:rFonts w:ascii="Times New Roman" w:hAnsi="Times New Roman" w:cs="Times New Roman"/>
        </w:rPr>
        <w:t>.00</w:t>
      </w:r>
      <w:r w:rsidRPr="005540EB">
        <w:rPr>
          <w:rStyle w:val="T11"/>
          <w:rFonts w:ascii="Times New Roman" w:hAnsi="Times New Roman" w:cs="Times New Roman"/>
        </w:rPr>
        <w:t xml:space="preserve">/month </w:t>
      </w:r>
      <w:r w:rsidR="00247DEE">
        <w:rPr>
          <w:rStyle w:val="T11"/>
          <w:rFonts w:ascii="Times New Roman" w:hAnsi="Times New Roman" w:cs="Times New Roman"/>
        </w:rPr>
        <w:t>for General Service Schedule 101</w:t>
      </w:r>
      <w:r w:rsidRPr="005540EB">
        <w:rPr>
          <w:rStyle w:val="T11"/>
          <w:rFonts w:ascii="Times New Roman" w:hAnsi="Times New Roman" w:cs="Times New Roman"/>
        </w:rPr>
        <w:t>?</w:t>
      </w:r>
    </w:p>
    <w:p w:rsidR="00CE5121" w:rsidRPr="002558EB" w:rsidRDefault="005540EB" w:rsidP="00580834">
      <w:pPr>
        <w:spacing w:line="480" w:lineRule="auto"/>
        <w:ind w:firstLine="720"/>
        <w:jc w:val="both"/>
      </w:pPr>
      <w:r w:rsidRPr="002558EB">
        <w:t>A.</w:t>
      </w:r>
      <w:r w:rsidRPr="002558EB">
        <w:tab/>
        <w:t>Yes.  The Company is proposing to increase the basic/customer charge from $</w:t>
      </w:r>
      <w:r w:rsidR="00AF04A5">
        <w:t>9</w:t>
      </w:r>
      <w:r w:rsidR="001A4278" w:rsidRPr="002558EB">
        <w:t>.00</w:t>
      </w:r>
      <w:r w:rsidRPr="002558EB">
        <w:t xml:space="preserve"> to </w:t>
      </w:r>
      <w:r w:rsidR="00257659" w:rsidRPr="002558EB">
        <w:t>$</w:t>
      </w:r>
      <w:r w:rsidR="007559C8" w:rsidRPr="002558EB">
        <w:t>12</w:t>
      </w:r>
      <w:r w:rsidR="00257659" w:rsidRPr="002558EB">
        <w:t>.00</w:t>
      </w:r>
      <w:r w:rsidR="00CE5121" w:rsidRPr="002558EB">
        <w:t xml:space="preserve"> per month, as </w:t>
      </w:r>
      <w:r w:rsidR="00CE5121" w:rsidRPr="002558EB">
        <w:rPr>
          <w:rStyle w:val="T11"/>
          <w:b w:val="0"/>
        </w:rPr>
        <w:t>t</w:t>
      </w:r>
      <w:r w:rsidRPr="002558EB">
        <w:t xml:space="preserve">he Company believes that the customer/basic charge should recover a reasonable portion of the fixed costs of providing service.  </w:t>
      </w:r>
      <w:r w:rsidR="00580834" w:rsidRPr="002558EB">
        <w:rPr>
          <w:kern w:val="24"/>
        </w:rPr>
        <w:t xml:space="preserve">Later in </w:t>
      </w:r>
      <w:r w:rsidR="00D32A7D">
        <w:rPr>
          <w:kern w:val="24"/>
        </w:rPr>
        <w:t xml:space="preserve">Section V. of </w:t>
      </w:r>
      <w:r w:rsidR="00580834" w:rsidRPr="002558EB">
        <w:rPr>
          <w:kern w:val="24"/>
        </w:rPr>
        <w:t xml:space="preserve">my </w:t>
      </w:r>
      <w:r w:rsidR="00580834" w:rsidRPr="002558EB">
        <w:rPr>
          <w:kern w:val="24"/>
        </w:rPr>
        <w:lastRenderedPageBreak/>
        <w:t>testimony I will provide greater detail as to why the Company believes the monthly customer charge should increase by $</w:t>
      </w:r>
      <w:r w:rsidR="00AF04A5">
        <w:rPr>
          <w:kern w:val="24"/>
        </w:rPr>
        <w:t>3</w:t>
      </w:r>
      <w:r w:rsidR="00580834" w:rsidRPr="002558EB">
        <w:rPr>
          <w:kern w:val="24"/>
        </w:rPr>
        <w:t>.00 per month.</w:t>
      </w:r>
    </w:p>
    <w:p w:rsidR="005540EB" w:rsidRPr="005540EB" w:rsidRDefault="005540EB" w:rsidP="005540EB">
      <w:pPr>
        <w:pStyle w:val="P214"/>
        <w:jc w:val="both"/>
        <w:rPr>
          <w:rFonts w:ascii="Times New Roman" w:hAnsi="Times New Roman" w:cs="Times New Roman"/>
        </w:rPr>
      </w:pPr>
      <w:r w:rsidRPr="002558EB">
        <w:rPr>
          <w:rStyle w:val="T11"/>
          <w:rFonts w:ascii="Times New Roman" w:hAnsi="Times New Roman" w:cs="Times New Roman"/>
        </w:rPr>
        <w:t>Q.</w:t>
      </w:r>
      <w:r w:rsidRPr="002558EB">
        <w:rPr>
          <w:rStyle w:val="T11"/>
          <w:rFonts w:ascii="Times New Roman" w:hAnsi="Times New Roman" w:cs="Times New Roman"/>
        </w:rPr>
        <w:tab/>
        <w:t xml:space="preserve">What is the proposed </w:t>
      </w:r>
      <w:r w:rsidR="00FF02B4" w:rsidRPr="002558EB">
        <w:rPr>
          <w:rStyle w:val="T11"/>
          <w:rFonts w:ascii="Times New Roman" w:hAnsi="Times New Roman" w:cs="Times New Roman"/>
        </w:rPr>
        <w:t>change</w:t>
      </w:r>
      <w:r w:rsidRPr="002558EB">
        <w:rPr>
          <w:rStyle w:val="T11"/>
          <w:rFonts w:ascii="Times New Roman" w:hAnsi="Times New Roman" w:cs="Times New Roman"/>
        </w:rPr>
        <w:t xml:space="preserve"> to the </w:t>
      </w:r>
      <w:r w:rsidR="007559C8" w:rsidRPr="002558EB">
        <w:rPr>
          <w:rStyle w:val="T11"/>
          <w:rFonts w:ascii="Times New Roman" w:hAnsi="Times New Roman" w:cs="Times New Roman"/>
        </w:rPr>
        <w:t>volumetric rates under</w:t>
      </w:r>
      <w:r w:rsidRPr="002558EB">
        <w:rPr>
          <w:rStyle w:val="T11"/>
          <w:rFonts w:ascii="Times New Roman" w:hAnsi="Times New Roman" w:cs="Times New Roman"/>
        </w:rPr>
        <w:t xml:space="preserve"> Schedule 101 in order to achieve the total</w:t>
      </w:r>
      <w:r w:rsidRPr="005540EB">
        <w:rPr>
          <w:rStyle w:val="T11"/>
          <w:rFonts w:ascii="Times New Roman" w:hAnsi="Times New Roman" w:cs="Times New Roman"/>
        </w:rPr>
        <w:t xml:space="preserve">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7559C8">
      <w:pPr>
        <w:pStyle w:val="P214"/>
        <w:tabs>
          <w:tab w:val="left" w:pos="1350"/>
        </w:tabs>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w:t>
      </w:r>
      <w:r w:rsidR="008C51DB">
        <w:rPr>
          <w:rFonts w:ascii="Times New Roman" w:hAnsi="Times New Roman" w:cs="Times New Roman"/>
        </w:rPr>
        <w:t>g</w:t>
      </w:r>
      <w:r w:rsidRPr="00045C70">
        <w:rPr>
          <w:rFonts w:ascii="Times New Roman" w:hAnsi="Times New Roman" w:cs="Times New Roman"/>
        </w:rPr>
        <w:t>), page 3 of Exhibit No._</w:t>
      </w:r>
      <w:r w:rsidR="00667220" w:rsidRPr="00045C70">
        <w:rPr>
          <w:rFonts w:ascii="Times New Roman" w:hAnsi="Times New Roman" w:cs="Times New Roman"/>
        </w:rPr>
        <w:t>_</w:t>
      </w:r>
      <w:proofErr w:type="gramStart"/>
      <w:r w:rsidR="00667220" w:rsidRPr="00045C70">
        <w:rPr>
          <w:rFonts w:ascii="Times New Roman" w:hAnsi="Times New Roman" w:cs="Times New Roman"/>
        </w:rPr>
        <w:t>_</w:t>
      </w:r>
      <w:r w:rsidRPr="00045C70">
        <w:rPr>
          <w:rFonts w:ascii="Times New Roman" w:hAnsi="Times New Roman" w:cs="Times New Roman"/>
        </w:rPr>
        <w:t>(</w:t>
      </w:r>
      <w:proofErr w:type="gramEnd"/>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7559C8">
        <w:rPr>
          <w:rFonts w:ascii="Times New Roman" w:hAnsi="Times New Roman" w:cs="Times New Roman"/>
        </w:rPr>
        <w:t xml:space="preserve">increase the </w:t>
      </w:r>
      <w:r w:rsidR="00434EE0" w:rsidRPr="00045C70">
        <w:rPr>
          <w:rFonts w:ascii="Times New Roman" w:hAnsi="Times New Roman" w:cs="Times New Roman"/>
        </w:rPr>
        <w:t>per therm rate</w:t>
      </w:r>
      <w:r w:rsidR="007559C8">
        <w:rPr>
          <w:rFonts w:ascii="Times New Roman" w:hAnsi="Times New Roman" w:cs="Times New Roman"/>
        </w:rPr>
        <w:t xml:space="preserve"> for the two volumetric blocks on a uniform percentage basis.  The first block (0-70 therms) would increase from $0.</w:t>
      </w:r>
      <w:r w:rsidR="00AF04A5">
        <w:rPr>
          <w:rFonts w:ascii="Times New Roman" w:hAnsi="Times New Roman" w:cs="Times New Roman"/>
        </w:rPr>
        <w:t>84808</w:t>
      </w:r>
      <w:r w:rsidR="007559C8">
        <w:rPr>
          <w:rFonts w:ascii="Times New Roman" w:hAnsi="Times New Roman" w:cs="Times New Roman"/>
        </w:rPr>
        <w:t xml:space="preserve"> to $0.</w:t>
      </w:r>
      <w:r w:rsidR="00AF04A5">
        <w:rPr>
          <w:rFonts w:ascii="Times New Roman" w:hAnsi="Times New Roman" w:cs="Times New Roman"/>
        </w:rPr>
        <w:t>88351</w:t>
      </w:r>
      <w:r w:rsidR="007559C8">
        <w:rPr>
          <w:rFonts w:ascii="Times New Roman" w:hAnsi="Times New Roman" w:cs="Times New Roman"/>
        </w:rPr>
        <w:t xml:space="preserve"> </w:t>
      </w:r>
      <w:r w:rsidR="00D44A55" w:rsidRPr="00045C70">
        <w:rPr>
          <w:rFonts w:ascii="Times New Roman" w:hAnsi="Times New Roman" w:cs="Times New Roman"/>
        </w:rPr>
        <w:t>(including Schedule 150 natural gas costs)</w:t>
      </w:r>
      <w:r w:rsidR="007559C8">
        <w:rPr>
          <w:rFonts w:ascii="Times New Roman" w:hAnsi="Times New Roman" w:cs="Times New Roman"/>
        </w:rPr>
        <w:t xml:space="preserve">, and the second block (over 70 therms) would increase from </w:t>
      </w:r>
      <w:r w:rsidR="00257659" w:rsidRPr="00045C70">
        <w:rPr>
          <w:rFonts w:ascii="Times New Roman" w:hAnsi="Times New Roman" w:cs="Times New Roman"/>
        </w:rPr>
        <w:t>$0.</w:t>
      </w:r>
      <w:r w:rsidR="00AF04A5">
        <w:rPr>
          <w:rFonts w:ascii="Times New Roman" w:hAnsi="Times New Roman" w:cs="Times New Roman"/>
        </w:rPr>
        <w:t>95421</w:t>
      </w:r>
      <w:r w:rsidR="00257659" w:rsidRPr="00045C70">
        <w:rPr>
          <w:rFonts w:ascii="Times New Roman" w:hAnsi="Times New Roman" w:cs="Times New Roman"/>
        </w:rPr>
        <w:t xml:space="preserve"> per therm to $0.</w:t>
      </w:r>
      <w:r w:rsidR="008F62BD">
        <w:rPr>
          <w:rFonts w:ascii="Times New Roman" w:hAnsi="Times New Roman" w:cs="Times New Roman"/>
        </w:rPr>
        <w:t>9</w:t>
      </w:r>
      <w:r w:rsidR="00AF04A5">
        <w:rPr>
          <w:rFonts w:ascii="Times New Roman" w:hAnsi="Times New Roman" w:cs="Times New Roman"/>
        </w:rPr>
        <w:t>9408</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C679F4" w:rsidRDefault="005540EB" w:rsidP="005540EB">
      <w:pPr>
        <w:pStyle w:val="P214"/>
        <w:jc w:val="both"/>
        <w:rPr>
          <w:rFonts w:ascii="Times New Roman" w:hAnsi="Times New Roman" w:cs="Times New Roman"/>
        </w:rPr>
      </w:pPr>
      <w:r w:rsidRPr="00C679F4">
        <w:rPr>
          <w:rStyle w:val="T11"/>
          <w:rFonts w:ascii="Times New Roman" w:hAnsi="Times New Roman" w:cs="Times New Roman"/>
        </w:rPr>
        <w:t>Q.</w:t>
      </w:r>
      <w:r w:rsidRPr="00C679F4">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C679F4">
        <w:rPr>
          <w:rFonts w:ascii="Times New Roman" w:hAnsi="Times New Roman" w:cs="Times New Roman"/>
        </w:rPr>
        <w:t>A.</w:t>
      </w:r>
      <w:r w:rsidRPr="00C679F4">
        <w:rPr>
          <w:rFonts w:ascii="Times New Roman" w:hAnsi="Times New Roman" w:cs="Times New Roman"/>
        </w:rPr>
        <w:tab/>
        <w:t xml:space="preserve">The increase for a residential customer using an average of </w:t>
      </w:r>
      <w:r w:rsidR="008F62BD" w:rsidRPr="00C679F4">
        <w:rPr>
          <w:rFonts w:ascii="Times New Roman" w:hAnsi="Times New Roman" w:cs="Times New Roman"/>
        </w:rPr>
        <w:t>6</w:t>
      </w:r>
      <w:r w:rsidR="00C679F4" w:rsidRPr="00C679F4">
        <w:rPr>
          <w:rFonts w:ascii="Times New Roman" w:hAnsi="Times New Roman" w:cs="Times New Roman"/>
        </w:rPr>
        <w:t>8</w:t>
      </w:r>
      <w:r w:rsidRPr="00C679F4">
        <w:rPr>
          <w:rFonts w:ascii="Times New Roman" w:hAnsi="Times New Roman" w:cs="Times New Roman"/>
        </w:rPr>
        <w:t xml:space="preserve"> therms of</w:t>
      </w:r>
      <w:r w:rsidR="00580834" w:rsidRPr="00C679F4">
        <w:rPr>
          <w:rFonts w:ascii="Times New Roman" w:hAnsi="Times New Roman" w:cs="Times New Roman"/>
        </w:rPr>
        <w:t xml:space="preserve"> natural </w:t>
      </w:r>
      <w:r w:rsidRPr="00C679F4">
        <w:rPr>
          <w:rFonts w:ascii="Times New Roman" w:hAnsi="Times New Roman" w:cs="Times New Roman"/>
        </w:rPr>
        <w:t>gas per month would be $</w:t>
      </w:r>
      <w:r w:rsidR="00C679F4" w:rsidRPr="00C679F4">
        <w:rPr>
          <w:rFonts w:ascii="Times New Roman" w:hAnsi="Times New Roman" w:cs="Times New Roman"/>
        </w:rPr>
        <w:t>5.41</w:t>
      </w:r>
      <w:r w:rsidRPr="00C679F4">
        <w:rPr>
          <w:rFonts w:ascii="Times New Roman" w:hAnsi="Times New Roman" w:cs="Times New Roman"/>
        </w:rPr>
        <w:t xml:space="preserve"> per month, or </w:t>
      </w:r>
      <w:r w:rsidR="00C679F4" w:rsidRPr="00C679F4">
        <w:rPr>
          <w:rFonts w:ascii="Times New Roman" w:hAnsi="Times New Roman" w:cs="Times New Roman"/>
        </w:rPr>
        <w:t>7.9</w:t>
      </w:r>
      <w:r w:rsidRPr="00C679F4">
        <w:rPr>
          <w:rFonts w:ascii="Times New Roman" w:hAnsi="Times New Roman" w:cs="Times New Roman"/>
        </w:rPr>
        <w:t xml:space="preserve">%.  A bill for </w:t>
      </w:r>
      <w:r w:rsidR="00C679F4" w:rsidRPr="00C679F4">
        <w:rPr>
          <w:rFonts w:ascii="Times New Roman" w:hAnsi="Times New Roman" w:cs="Times New Roman"/>
        </w:rPr>
        <w:t>68</w:t>
      </w:r>
      <w:r w:rsidRPr="00C679F4">
        <w:rPr>
          <w:rFonts w:ascii="Times New Roman" w:hAnsi="Times New Roman" w:cs="Times New Roman"/>
        </w:rPr>
        <w:t xml:space="preserve"> therms per month would increase from the present level of $</w:t>
      </w:r>
      <w:r w:rsidR="00C679F4" w:rsidRPr="00C679F4">
        <w:rPr>
          <w:rFonts w:ascii="Times New Roman" w:hAnsi="Times New Roman" w:cs="Times New Roman"/>
        </w:rPr>
        <w:t>68.16</w:t>
      </w:r>
      <w:r w:rsidRPr="00C679F4">
        <w:rPr>
          <w:rFonts w:ascii="Times New Roman" w:hAnsi="Times New Roman" w:cs="Times New Roman"/>
        </w:rPr>
        <w:t xml:space="preserve"> to a proposed level of $</w:t>
      </w:r>
      <w:r w:rsidR="00C679F4" w:rsidRPr="00C679F4">
        <w:rPr>
          <w:rFonts w:ascii="Times New Roman" w:hAnsi="Times New Roman" w:cs="Times New Roman"/>
        </w:rPr>
        <w:t>73.57</w:t>
      </w:r>
      <w:r w:rsidRPr="00C679F4">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sidR="00D32A7D">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sidR="00D32A7D">
        <w:rPr>
          <w:rFonts w:ascii="Times New Roman" w:hAnsi="Times New Roman" w:cs="Times New Roman"/>
          <w:b/>
          <w:bCs/>
        </w:rPr>
        <w:t>l Service Schedules 111/112 and 121/122</w:t>
      </w:r>
      <w:r w:rsidR="00D6388A">
        <w:rPr>
          <w:rFonts w:ascii="Times New Roman" w:hAnsi="Times New Roman" w:cs="Times New Roman"/>
          <w:b/>
          <w:bCs/>
        </w:rPr>
        <w:t>.</w:t>
      </w:r>
    </w:p>
    <w:p w:rsidR="005540EB" w:rsidRPr="000B55F7"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The present rates for Schedules 101, 111</w:t>
      </w:r>
      <w:r w:rsidR="00D32A7D">
        <w:rPr>
          <w:rFonts w:ascii="Times New Roman" w:hAnsi="Times New Roman" w:cs="Times New Roman"/>
        </w:rPr>
        <w:t>/112</w:t>
      </w:r>
      <w:r w:rsidRPr="005540EB">
        <w:rPr>
          <w:rFonts w:ascii="Times New Roman" w:hAnsi="Times New Roman" w:cs="Times New Roman"/>
        </w:rPr>
        <w:t>, and 121</w:t>
      </w:r>
      <w:r w:rsidR="00D32A7D">
        <w:rPr>
          <w:rFonts w:ascii="Times New Roman" w:hAnsi="Times New Roman" w:cs="Times New Roman"/>
        </w:rPr>
        <w:t>/122</w:t>
      </w:r>
      <w:r w:rsidRPr="005540EB">
        <w:rPr>
          <w:rFonts w:ascii="Times New Roman" w:hAnsi="Times New Roman" w:cs="Times New Roman"/>
        </w:rPr>
        <w:t xml:space="preserve"> provide a clear distinction for customer placement:  customers who use less than 200 therms/month should be placed on Schedule 101, customers who use between 200 and 10,000 therms per month should be placed on Schedule</w:t>
      </w:r>
      <w:r w:rsidR="00891F68">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and only those customers who generally use over 10,000 therms per month should be placed on Schedule</w:t>
      </w:r>
      <w:r w:rsidR="00891F68">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Not only do the rates provide guidance for customer schedule placement, they provide a reasonable classification of customers for analyzing the </w:t>
      </w:r>
      <w:r w:rsidRPr="000B55F7">
        <w:rPr>
          <w:rFonts w:ascii="Times New Roman" w:hAnsi="Times New Roman" w:cs="Times New Roman"/>
        </w:rPr>
        <w:t>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B55F7">
        <w:rPr>
          <w:rFonts w:ascii="Times New Roman" w:hAnsi="Times New Roman" w:cs="Times New Roman"/>
        </w:rPr>
        <w:lastRenderedPageBreak/>
        <w:t>The Company’s proposed rates for Schedules 111</w:t>
      </w:r>
      <w:r w:rsidR="00D32A7D">
        <w:rPr>
          <w:rFonts w:ascii="Times New Roman" w:hAnsi="Times New Roman" w:cs="Times New Roman"/>
        </w:rPr>
        <w:t>/112</w:t>
      </w:r>
      <w:r w:rsidRPr="000B55F7">
        <w:rPr>
          <w:rFonts w:ascii="Times New Roman" w:hAnsi="Times New Roman" w:cs="Times New Roman"/>
        </w:rPr>
        <w:t xml:space="preserve"> and 121</w:t>
      </w:r>
      <w:r w:rsidR="00D32A7D">
        <w:rPr>
          <w:rFonts w:ascii="Times New Roman" w:hAnsi="Times New Roman" w:cs="Times New Roman"/>
        </w:rPr>
        <w:t>/122</w:t>
      </w:r>
      <w:r w:rsidRPr="000B55F7">
        <w:rPr>
          <w:rFonts w:ascii="Times New Roman" w:hAnsi="Times New Roman" w:cs="Times New Roman"/>
        </w:rPr>
        <w:t xml:space="preserve"> will maintain the rate structure within the schedules and continue to provide guidance for appropriate schedule placement for customers and a reasonable classification for cost analysis.  The proposed minimum charge </w:t>
      </w:r>
      <w:r w:rsidR="00B83A07">
        <w:rPr>
          <w:rFonts w:ascii="Times New Roman" w:hAnsi="Times New Roman" w:cs="Times New Roman"/>
        </w:rPr>
        <w:t>of</w:t>
      </w:r>
      <w:r w:rsidR="006D1C8A">
        <w:rPr>
          <w:rFonts w:ascii="Times New Roman" w:hAnsi="Times New Roman" w:cs="Times New Roman"/>
        </w:rPr>
        <w:t xml:space="preserve"> $</w:t>
      </w:r>
      <w:r w:rsidR="00AF04A5">
        <w:rPr>
          <w:rFonts w:ascii="Times New Roman" w:hAnsi="Times New Roman" w:cs="Times New Roman"/>
        </w:rPr>
        <w:t>97.70</w:t>
      </w:r>
      <w:r w:rsidR="006D1C8A">
        <w:rPr>
          <w:rFonts w:ascii="Times New Roman" w:hAnsi="Times New Roman" w:cs="Times New Roman"/>
        </w:rPr>
        <w:t xml:space="preserve"> per month </w:t>
      </w:r>
      <w:r w:rsidRPr="000B55F7">
        <w:rPr>
          <w:rFonts w:ascii="Times New Roman" w:hAnsi="Times New Roman" w:cs="Times New Roman"/>
        </w:rPr>
        <w:t>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(for 200 therms or less) maintains the present relationship between the </w:t>
      </w:r>
      <w:r w:rsidR="000B55F7" w:rsidRPr="000B55F7">
        <w:rPr>
          <w:rFonts w:ascii="Times New Roman" w:hAnsi="Times New Roman" w:cs="Times New Roman"/>
        </w:rPr>
        <w:t>Schedule 101 and 111</w:t>
      </w:r>
      <w:r w:rsidR="00D32A7D">
        <w:rPr>
          <w:rFonts w:ascii="Times New Roman" w:hAnsi="Times New Roman" w:cs="Times New Roman"/>
        </w:rPr>
        <w:t>/112</w:t>
      </w:r>
      <w:r w:rsidRPr="000B55F7">
        <w:rPr>
          <w:rFonts w:ascii="Times New Roman" w:hAnsi="Times New Roman" w:cs="Times New Roman"/>
        </w:rPr>
        <w:t>, and will minimize customer shifting</w:t>
      </w:r>
      <w:r w:rsidR="00247DEE">
        <w:rPr>
          <w:rStyle w:val="FootnoteReference"/>
          <w:rFonts w:ascii="Times New Roman" w:hAnsi="Times New Roman"/>
        </w:rPr>
        <w:footnoteReference w:id="8"/>
      </w:r>
      <w:r w:rsidRPr="000B55F7">
        <w:rPr>
          <w:rFonts w:ascii="Times New Roman" w:hAnsi="Times New Roman" w:cs="Times New Roman"/>
        </w:rPr>
        <w:t>.  The remaining proposed revenue increase 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was then spread on a uniform percentage increase of </w:t>
      </w:r>
      <w:r w:rsidR="00AF04A5">
        <w:rPr>
          <w:rFonts w:ascii="Times New Roman" w:hAnsi="Times New Roman" w:cs="Times New Roman"/>
        </w:rPr>
        <w:t>3.4</w:t>
      </w:r>
      <w:r w:rsidRPr="000B55F7">
        <w:rPr>
          <w:rFonts w:ascii="Times New Roman" w:hAnsi="Times New Roman" w:cs="Times New Roman"/>
        </w:rPr>
        <w:t>% to the remai</w:t>
      </w:r>
      <w:r w:rsidR="00B312FA" w:rsidRPr="000B55F7">
        <w:rPr>
          <w:rFonts w:ascii="Times New Roman" w:hAnsi="Times New Roman" w:cs="Times New Roman"/>
        </w:rPr>
        <w:t>ning two rate blocks under the s</w:t>
      </w:r>
      <w:r w:rsidRPr="000B55F7">
        <w:rPr>
          <w:rFonts w:ascii="Times New Roman" w:hAnsi="Times New Roman" w:cs="Times New Roman"/>
        </w:rPr>
        <w:t xml:space="preserve">chedule, resulting in an overall revenue increase of </w:t>
      </w:r>
      <w:r w:rsidR="00AF04A5">
        <w:rPr>
          <w:rFonts w:ascii="Times New Roman" w:hAnsi="Times New Roman" w:cs="Times New Roman"/>
        </w:rPr>
        <w:t>3.8</w:t>
      </w:r>
      <w:r w:rsidR="00B312FA" w:rsidRPr="000B55F7">
        <w:rPr>
          <w:rFonts w:ascii="Times New Roman" w:hAnsi="Times New Roman" w:cs="Times New Roman"/>
        </w:rPr>
        <w:t>% for the s</w:t>
      </w:r>
      <w:r w:rsidRPr="000B55F7">
        <w:rPr>
          <w:rFonts w:ascii="Times New Roman" w:hAnsi="Times New Roman" w:cs="Times New Roman"/>
        </w:rPr>
        <w:t>chedule.</w:t>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For Schedule</w:t>
      </w:r>
      <w:r w:rsidR="00891F68">
        <w:rPr>
          <w:rFonts w:ascii="Times New Roman" w:hAnsi="Times New Roman" w:cs="Times New Roman"/>
        </w:rPr>
        <w:t>s</w:t>
      </w:r>
      <w:r w:rsidRPr="00045C70">
        <w:rPr>
          <w:rFonts w:ascii="Times New Roman" w:hAnsi="Times New Roman" w:cs="Times New Roman"/>
        </w:rPr>
        <w:t xml:space="preserve"> 121</w:t>
      </w:r>
      <w:r w:rsidR="00891F68">
        <w:rPr>
          <w:rFonts w:ascii="Times New Roman" w:hAnsi="Times New Roman" w:cs="Times New Roman"/>
        </w:rPr>
        <w:t>/122</w:t>
      </w:r>
      <w:r w:rsidRPr="00045C70">
        <w:rPr>
          <w:rFonts w:ascii="Times New Roman" w:hAnsi="Times New Roman" w:cs="Times New Roman"/>
        </w:rPr>
        <w:t xml:space="preserve">, </w:t>
      </w:r>
      <w:r w:rsidR="000B55F7">
        <w:rPr>
          <w:rFonts w:ascii="Times New Roman" w:hAnsi="Times New Roman" w:cs="Times New Roman"/>
        </w:rPr>
        <w:t>in order to maintain the present relationship</w:t>
      </w:r>
      <w:r w:rsidR="006D1C8A">
        <w:rPr>
          <w:rFonts w:ascii="Times New Roman" w:hAnsi="Times New Roman" w:cs="Times New Roman"/>
        </w:rPr>
        <w:t xml:space="preserve"> between the schedules, the minimum monthly charge is set at $</w:t>
      </w:r>
      <w:r w:rsidR="00AF04A5">
        <w:rPr>
          <w:rFonts w:ascii="Times New Roman" w:hAnsi="Times New Roman" w:cs="Times New Roman"/>
        </w:rPr>
        <w:t>237.86</w:t>
      </w:r>
      <w:r w:rsidR="006D1C8A">
        <w:rPr>
          <w:rFonts w:ascii="Times New Roman" w:hAnsi="Times New Roman" w:cs="Times New Roman"/>
        </w:rPr>
        <w:t xml:space="preserve"> per month.  </w:t>
      </w:r>
      <w:r w:rsidRPr="00045C70">
        <w:rPr>
          <w:rFonts w:ascii="Times New Roman" w:hAnsi="Times New Roman" w:cs="Times New Roman"/>
        </w:rPr>
        <w:t>The minimum</w:t>
      </w:r>
      <w:r w:rsidRPr="00257659">
        <w:rPr>
          <w:rFonts w:ascii="Times New Roman" w:hAnsi="Times New Roman" w:cs="Times New Roman"/>
        </w:rPr>
        <w:t xml:space="preserve"> charge is derived by adding the proposed Schedule 101 basic charge of $</w:t>
      </w:r>
      <w:r w:rsidR="0080740D">
        <w:rPr>
          <w:rFonts w:ascii="Times New Roman" w:hAnsi="Times New Roman" w:cs="Times New Roman"/>
        </w:rPr>
        <w:t>12</w:t>
      </w:r>
      <w:r w:rsidRPr="00257659">
        <w:rPr>
          <w:rFonts w:ascii="Times New Roman" w:hAnsi="Times New Roman" w:cs="Times New Roman"/>
        </w:rPr>
        <w:t xml:space="preserve"> to the</w:t>
      </w:r>
      <w:r>
        <w:rPr>
          <w:rFonts w:ascii="Times New Roman" w:hAnsi="Times New Roman" w:cs="Times New Roman"/>
        </w:rPr>
        <w:t xml:space="preserve"> product of 500 therms multiplied by the</w:t>
      </w:r>
      <w:r w:rsidR="0080740D">
        <w:rPr>
          <w:rFonts w:ascii="Times New Roman" w:hAnsi="Times New Roman" w:cs="Times New Roman"/>
        </w:rPr>
        <w:t xml:space="preserve"> proposed</w:t>
      </w:r>
      <w:r>
        <w:rPr>
          <w:rFonts w:ascii="Times New Roman" w:hAnsi="Times New Roman" w:cs="Times New Roman"/>
        </w:rPr>
        <w:t xml:space="preserve"> </w:t>
      </w:r>
      <w:r w:rsidR="0080740D">
        <w:rPr>
          <w:rFonts w:ascii="Times New Roman" w:hAnsi="Times New Roman" w:cs="Times New Roman"/>
        </w:rPr>
        <w:t xml:space="preserve">Schedule 101 </w:t>
      </w:r>
      <w:r>
        <w:rPr>
          <w:rFonts w:ascii="Times New Roman" w:hAnsi="Times New Roman" w:cs="Times New Roman"/>
        </w:rPr>
        <w:t>rate</w:t>
      </w:r>
      <w:r w:rsidR="0080740D">
        <w:rPr>
          <w:rFonts w:ascii="Times New Roman" w:hAnsi="Times New Roman" w:cs="Times New Roman"/>
        </w:rPr>
        <w:t>s</w:t>
      </w:r>
      <w:r>
        <w:rPr>
          <w:rFonts w:ascii="Times New Roman" w:hAnsi="Times New Roman" w:cs="Times New Roman"/>
        </w:rPr>
        <w:t xml:space="preserve">.  </w:t>
      </w:r>
      <w:r w:rsidR="00891F68">
        <w:rPr>
          <w:rFonts w:ascii="Times New Roman" w:hAnsi="Times New Roman" w:cs="Times New Roman"/>
        </w:rPr>
        <w:t>T</w:t>
      </w:r>
      <w:r w:rsidRPr="00BA66BC">
        <w:rPr>
          <w:rFonts w:ascii="Times New Roman" w:hAnsi="Times New Roman" w:cs="Times New Roman"/>
        </w:rPr>
        <w:t>he calculation</w:t>
      </w:r>
      <w:r w:rsidR="00891F68">
        <w:rPr>
          <w:rFonts w:ascii="Times New Roman" w:hAnsi="Times New Roman" w:cs="Times New Roman"/>
        </w:rPr>
        <w:t xml:space="preserve"> is shown below</w:t>
      </w:r>
      <w:r w:rsidRPr="00BA66BC">
        <w:rPr>
          <w:rFonts w:ascii="Times New Roman" w:hAnsi="Times New Roman" w:cs="Times New Roman"/>
        </w:rPr>
        <w:t>:</w:t>
      </w:r>
    </w:p>
    <w:p w:rsidR="00384DAD" w:rsidRPr="00737CA1" w:rsidRDefault="00247DEE" w:rsidP="00384DAD">
      <w:pPr>
        <w:pStyle w:val="BodyText2"/>
        <w:tabs>
          <w:tab w:val="left" w:pos="810"/>
          <w:tab w:val="left" w:pos="1440"/>
        </w:tabs>
        <w:outlineLvl w:val="0"/>
        <w:rPr>
          <w:b/>
          <w:bCs/>
          <w:u w:val="single"/>
        </w:rPr>
      </w:pPr>
      <w:r w:rsidRPr="00247DEE">
        <w:rPr>
          <w:b/>
          <w:bCs/>
        </w:rPr>
        <w:tab/>
      </w:r>
      <w:r w:rsidR="00384DAD" w:rsidRPr="00737CA1">
        <w:rPr>
          <w:b/>
          <w:bCs/>
          <w:u w:val="single"/>
        </w:rPr>
        <w:t xml:space="preserve">Table </w:t>
      </w:r>
      <w:r w:rsidR="00066399">
        <w:rPr>
          <w:b/>
          <w:bCs/>
          <w:u w:val="single"/>
        </w:rPr>
        <w:t>9</w:t>
      </w:r>
      <w:r w:rsidR="00384DAD">
        <w:rPr>
          <w:b/>
          <w:bCs/>
          <w:u w:val="single"/>
        </w:rPr>
        <w:t xml:space="preserve"> – Schedule</w:t>
      </w:r>
      <w:r w:rsidR="00891F68">
        <w:rPr>
          <w:b/>
          <w:bCs/>
          <w:u w:val="single"/>
        </w:rPr>
        <w:t>s</w:t>
      </w:r>
      <w:r w:rsidR="00384DAD">
        <w:rPr>
          <w:b/>
          <w:bCs/>
          <w:u w:val="single"/>
        </w:rPr>
        <w:t xml:space="preserve"> 121</w:t>
      </w:r>
      <w:r w:rsidR="00891F68">
        <w:rPr>
          <w:b/>
          <w:bCs/>
          <w:u w:val="single"/>
        </w:rPr>
        <w:t>/122</w:t>
      </w:r>
      <w:r w:rsidR="00384DAD">
        <w:rPr>
          <w:b/>
          <w:bCs/>
          <w:u w:val="single"/>
        </w:rPr>
        <w:t xml:space="preserve"> Breakeven Calculation</w:t>
      </w:r>
    </w:p>
    <w:p w:rsidR="00384DAD" w:rsidRPr="00066399" w:rsidRDefault="00D6388A"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u w:val="single"/>
        </w:rPr>
      </w:pPr>
      <w:r>
        <w:rPr>
          <w:rFonts w:ascii="Times New Roman" w:hAnsi="Times New Roman" w:cs="Times New Roman"/>
          <w:noProof/>
          <w:u w:val="single"/>
        </w:rPr>
        <w:drawing>
          <wp:anchor distT="0" distB="0" distL="114300" distR="114300" simplePos="0" relativeHeight="251935232" behindDoc="1" locked="0" layoutInCell="1" allowOverlap="1">
            <wp:simplePos x="0" y="0"/>
            <wp:positionH relativeFrom="column">
              <wp:posOffset>1107440</wp:posOffset>
            </wp:positionH>
            <wp:positionV relativeFrom="paragraph">
              <wp:posOffset>93345</wp:posOffset>
            </wp:positionV>
            <wp:extent cx="2327275" cy="139700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327275" cy="1397000"/>
                    </a:xfrm>
                    <a:prstGeom prst="rect">
                      <a:avLst/>
                    </a:prstGeom>
                    <a:noFill/>
                    <a:ln w="9525">
                      <a:noFill/>
                      <a:miter lim="800000"/>
                      <a:headEnd/>
                      <a:tailEnd/>
                    </a:ln>
                  </pic:spPr>
                </pic:pic>
              </a:graphicData>
            </a:graphic>
          </wp:anchor>
        </w:drawing>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B83A07" w:rsidRDefault="00B83A07"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second </w:t>
      </w:r>
      <w:r w:rsidR="00AF04A5">
        <w:rPr>
          <w:rFonts w:ascii="Times New Roman" w:hAnsi="Times New Roman" w:cs="Times New Roman"/>
        </w:rPr>
        <w:t>through fifth</w:t>
      </w:r>
      <w:r w:rsidRPr="005540EB">
        <w:rPr>
          <w:rFonts w:ascii="Times New Roman" w:hAnsi="Times New Roman" w:cs="Times New Roman"/>
        </w:rPr>
        <w:t xml:space="preserve"> block rates were increased by a uniform percentage of </w:t>
      </w:r>
      <w:r w:rsidRPr="0087366D">
        <w:rPr>
          <w:rFonts w:ascii="Times New Roman" w:hAnsi="Times New Roman" w:cs="Times New Roman"/>
        </w:rPr>
        <w:t xml:space="preserve">approximately </w:t>
      </w:r>
      <w:r w:rsidR="00D35291">
        <w:rPr>
          <w:rFonts w:ascii="Times New Roman" w:hAnsi="Times New Roman" w:cs="Times New Roman"/>
        </w:rPr>
        <w:t>2.6</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w:t>
      </w:r>
      <w:r w:rsidR="00D32A7D">
        <w:rPr>
          <w:rFonts w:ascii="Times New Roman" w:hAnsi="Times New Roman" w:cs="Times New Roman"/>
        </w:rPr>
        <w:t>/112</w:t>
      </w:r>
      <w:r w:rsidRPr="005540EB">
        <w:rPr>
          <w:rFonts w:ascii="Times New Roman" w:hAnsi="Times New Roman" w:cs="Times New Roman"/>
        </w:rPr>
        <w:t xml:space="preserve"> and 121</w:t>
      </w:r>
      <w:r w:rsidR="00D32A7D">
        <w:rPr>
          <w:rFonts w:ascii="Times New Roman" w:hAnsi="Times New Roman" w:cs="Times New Roman"/>
        </w:rPr>
        <w:t>/122</w:t>
      </w:r>
      <w:r w:rsidRPr="005540EB">
        <w:rPr>
          <w:rFonts w:ascii="Times New Roman" w:hAnsi="Times New Roman" w:cs="Times New Roman"/>
        </w:rPr>
        <w:t xml:space="preserve">.  </w:t>
      </w:r>
      <w:r w:rsidR="00AF04A5">
        <w:rPr>
          <w:rFonts w:ascii="Times New Roman" w:hAnsi="Times New Roman" w:cs="Times New Roman"/>
        </w:rPr>
        <w:t xml:space="preserve">The </w:t>
      </w:r>
      <w:r w:rsidRPr="0087366D">
        <w:rPr>
          <w:rFonts w:ascii="Times New Roman" w:hAnsi="Times New Roman" w:cs="Times New Roman"/>
        </w:rPr>
        <w:t>resulting</w:t>
      </w:r>
      <w:r>
        <w:rPr>
          <w:rFonts w:ascii="Times New Roman" w:hAnsi="Times New Roman" w:cs="Times New Roman"/>
        </w:rPr>
        <w:t xml:space="preserve"> overall revenue increase </w:t>
      </w:r>
      <w:r w:rsidR="00AF04A5">
        <w:rPr>
          <w:rFonts w:ascii="Times New Roman" w:hAnsi="Times New Roman" w:cs="Times New Roman"/>
        </w:rPr>
        <w:t>for the schedule is 2.7%</w:t>
      </w:r>
      <w:r w:rsidRPr="005540EB">
        <w:rPr>
          <w:rFonts w:ascii="Times New Roman" w:hAnsi="Times New Roman" w:cs="Times New Roman"/>
        </w:rPr>
        <w:t>.</w:t>
      </w:r>
    </w:p>
    <w:p w:rsidR="005540EB" w:rsidRPr="005540EB" w:rsidRDefault="005540EB"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proofErr w:type="gramStart"/>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w:t>
      </w:r>
      <w:r w:rsidR="00D35291">
        <w:rPr>
          <w:rFonts w:ascii="Times New Roman" w:hAnsi="Times New Roman" w:cs="Times New Roman"/>
          <w:b/>
          <w:bCs/>
        </w:rPr>
        <w:t>6</w:t>
      </w:r>
      <w:r w:rsidR="0082656C" w:rsidRPr="00BA66BC">
        <w:rPr>
          <w:rFonts w:ascii="Times New Roman" w:hAnsi="Times New Roman" w:cs="Times New Roman"/>
          <w:b/>
          <w:bCs/>
        </w:rPr>
        <w:t>,000</w:t>
      </w:r>
      <w:r w:rsidRPr="00BA66BC">
        <w:rPr>
          <w:rFonts w:ascii="Times New Roman" w:hAnsi="Times New Roman" w:cs="Times New Roman"/>
          <w:b/>
          <w:bCs/>
        </w:rPr>
        <w:t xml:space="preserve"> </w:t>
      </w:r>
      <w:r w:rsidRPr="00BA66BC">
        <w:rPr>
          <w:rFonts w:ascii="Times New Roman" w:hAnsi="Times New Roman" w:cs="Times New Roman"/>
          <w:b/>
          <w:bCs/>
        </w:rPr>
        <w:lastRenderedPageBreak/>
        <w:t>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roofErr w:type="gramEnd"/>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w:t>
      </w:r>
      <w:r w:rsidR="00D35291">
        <w:rPr>
          <w:rFonts w:ascii="Times New Roman" w:hAnsi="Times New Roman" w:cs="Times New Roman"/>
        </w:rPr>
        <w:t>first three</w:t>
      </w:r>
      <w:r w:rsidRPr="0030773D">
        <w:rPr>
          <w:rFonts w:ascii="Times New Roman" w:hAnsi="Times New Roman" w:cs="Times New Roman"/>
        </w:rPr>
        <w:t xml:space="preserve"> block rates under the schedule by a uniform percentage increase of </w:t>
      </w:r>
      <w:r w:rsidR="00337649" w:rsidRPr="002558EB">
        <w:rPr>
          <w:rFonts w:ascii="Times New Roman" w:hAnsi="Times New Roman" w:cs="Times New Roman"/>
        </w:rPr>
        <w:t xml:space="preserve">approximately </w:t>
      </w:r>
      <w:r w:rsidR="00D35291">
        <w:rPr>
          <w:rFonts w:ascii="Times New Roman" w:hAnsi="Times New Roman" w:cs="Times New Roman"/>
        </w:rPr>
        <w:t>4.3</w:t>
      </w:r>
      <w:r w:rsidRPr="002558EB">
        <w:rPr>
          <w:rFonts w:ascii="Times New Roman" w:hAnsi="Times New Roman" w:cs="Times New Roman"/>
        </w:rPr>
        <w:t>%.</w:t>
      </w:r>
      <w:r w:rsidR="00D35291">
        <w:rPr>
          <w:rFonts w:ascii="Times New Roman" w:hAnsi="Times New Roman" w:cs="Times New Roman"/>
        </w:rPr>
        <w:t xml:space="preserve">  The Company is not proposing to change the fourth block on Schedules 131/132 in order to provide for a more meaningful spread between the blocks.</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sidR="00891F68">
        <w:rPr>
          <w:rFonts w:ascii="Times New Roman" w:hAnsi="Times New Roman" w:cs="Times New Roman"/>
          <w:b/>
          <w:bCs/>
        </w:rPr>
        <w:t>P</w:t>
      </w:r>
      <w:r w:rsidRPr="005540EB">
        <w:rPr>
          <w:rFonts w:ascii="Times New Roman" w:hAnsi="Times New Roman" w:cs="Times New Roman"/>
          <w:b/>
          <w:bCs/>
        </w:rPr>
        <w:t xml:space="preserve">lease explain the proposed changes in the rates for </w:t>
      </w:r>
      <w:r w:rsidR="00891F68">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CF1C5E">
        <w:rPr>
          <w:rFonts w:ascii="Times New Roman" w:hAnsi="Times New Roman" w:cs="Times New Roman"/>
        </w:rPr>
        <w:t xml:space="preserve">The </w:t>
      </w:r>
      <w:r w:rsidR="00CF1C5E" w:rsidRPr="002558EB">
        <w:rPr>
          <w:rFonts w:ascii="Times New Roman" w:hAnsi="Times New Roman" w:cs="Times New Roman"/>
        </w:rPr>
        <w:t xml:space="preserve">Company is proposing to adjust the basic charge </w:t>
      </w:r>
      <w:r w:rsidR="0087366D" w:rsidRPr="002558EB">
        <w:rPr>
          <w:rFonts w:ascii="Times New Roman" w:hAnsi="Times New Roman" w:cs="Times New Roman"/>
        </w:rPr>
        <w:t>by $</w:t>
      </w:r>
      <w:r w:rsidR="00D35291">
        <w:rPr>
          <w:rFonts w:ascii="Times New Roman" w:hAnsi="Times New Roman" w:cs="Times New Roman"/>
        </w:rPr>
        <w:t>25</w:t>
      </w:r>
      <w:r w:rsidR="0087366D" w:rsidRPr="002558EB">
        <w:rPr>
          <w:rFonts w:ascii="Times New Roman" w:hAnsi="Times New Roman" w:cs="Times New Roman"/>
        </w:rPr>
        <w:t xml:space="preserve"> per month</w:t>
      </w:r>
      <w:r w:rsidR="00CF1C5E" w:rsidRPr="002558EB">
        <w:rPr>
          <w:rFonts w:ascii="Times New Roman" w:hAnsi="Times New Roman" w:cs="Times New Roman"/>
        </w:rPr>
        <w:t xml:space="preserve">, </w:t>
      </w:r>
      <w:r w:rsidR="0087366D" w:rsidRPr="002558EB">
        <w:rPr>
          <w:rFonts w:ascii="Times New Roman" w:hAnsi="Times New Roman" w:cs="Times New Roman"/>
        </w:rPr>
        <w:t>which is</w:t>
      </w:r>
      <w:r w:rsidR="00CF1C5E" w:rsidRPr="002558EB">
        <w:rPr>
          <w:rFonts w:ascii="Times New Roman" w:hAnsi="Times New Roman" w:cs="Times New Roman"/>
        </w:rPr>
        <w:t xml:space="preserve"> an </w:t>
      </w:r>
      <w:r w:rsidR="007E74EA" w:rsidRPr="002558EB">
        <w:rPr>
          <w:rFonts w:ascii="Times New Roman" w:hAnsi="Times New Roman" w:cs="Times New Roman"/>
        </w:rPr>
        <w:t>increase from $</w:t>
      </w:r>
      <w:r w:rsidR="00D35291">
        <w:rPr>
          <w:rFonts w:ascii="Times New Roman" w:hAnsi="Times New Roman" w:cs="Times New Roman"/>
        </w:rPr>
        <w:t>500</w:t>
      </w:r>
      <w:r w:rsidR="002558EB" w:rsidRPr="002558EB">
        <w:rPr>
          <w:rFonts w:ascii="Times New Roman" w:hAnsi="Times New Roman" w:cs="Times New Roman"/>
        </w:rPr>
        <w:t xml:space="preserve"> to </w:t>
      </w:r>
      <w:r w:rsidR="00377B55">
        <w:rPr>
          <w:rFonts w:ascii="Times New Roman" w:hAnsi="Times New Roman" w:cs="Times New Roman"/>
        </w:rPr>
        <w:t>$</w:t>
      </w:r>
      <w:r w:rsidR="00D35291">
        <w:rPr>
          <w:rFonts w:ascii="Times New Roman" w:hAnsi="Times New Roman" w:cs="Times New Roman"/>
        </w:rPr>
        <w:t>525</w:t>
      </w:r>
      <w:r w:rsidR="00A11C96" w:rsidRPr="002558EB">
        <w:rPr>
          <w:rFonts w:ascii="Times New Roman" w:hAnsi="Times New Roman" w:cs="Times New Roman"/>
        </w:rPr>
        <w:t xml:space="preserve"> per month.  For the remaining revenue requirement, t</w:t>
      </w:r>
      <w:r w:rsidRPr="002558EB">
        <w:rPr>
          <w:rFonts w:ascii="Times New Roman" w:hAnsi="Times New Roman" w:cs="Times New Roman"/>
        </w:rPr>
        <w:t xml:space="preserve">he Company is proposing to spread the increase on a uniform percentage basis </w:t>
      </w:r>
      <w:r w:rsidR="0087366D" w:rsidRPr="002558EB">
        <w:rPr>
          <w:rFonts w:ascii="Times New Roman" w:hAnsi="Times New Roman" w:cs="Times New Roman"/>
        </w:rPr>
        <w:t xml:space="preserve">of </w:t>
      </w:r>
      <w:r w:rsidR="00337649" w:rsidRPr="002558EB">
        <w:rPr>
          <w:rFonts w:ascii="Times New Roman" w:hAnsi="Times New Roman" w:cs="Times New Roman"/>
        </w:rPr>
        <w:t xml:space="preserve">approximately </w:t>
      </w:r>
      <w:r w:rsidR="00D35291">
        <w:rPr>
          <w:rFonts w:ascii="Times New Roman" w:hAnsi="Times New Roman" w:cs="Times New Roman"/>
        </w:rPr>
        <w:t>24.7</w:t>
      </w:r>
      <w:r w:rsidR="0087366D" w:rsidRPr="002558EB">
        <w:rPr>
          <w:rFonts w:ascii="Times New Roman" w:hAnsi="Times New Roman" w:cs="Times New Roman"/>
        </w:rPr>
        <w:t xml:space="preserve">% </w:t>
      </w:r>
      <w:r w:rsidRPr="002558EB">
        <w:rPr>
          <w:rFonts w:ascii="Times New Roman" w:hAnsi="Times New Roman" w:cs="Times New Roman"/>
        </w:rPr>
        <w:t>to each of the present five block rates under the schedule.  The proposed increase to each of the block rates, as well as the present and proposed rates, are shown at the bottom of page 3 of Exhibit No.__</w:t>
      </w:r>
      <w:r w:rsidR="00667220" w:rsidRPr="002558EB">
        <w:rPr>
          <w:rFonts w:ascii="Times New Roman" w:hAnsi="Times New Roman" w:cs="Times New Roman"/>
        </w:rPr>
        <w:t>_</w:t>
      </w:r>
      <w:proofErr w:type="gramStart"/>
      <w:r w:rsidR="00667220" w:rsidRPr="002558EB">
        <w:rPr>
          <w:rFonts w:ascii="Times New Roman" w:hAnsi="Times New Roman" w:cs="Times New Roman"/>
        </w:rPr>
        <w:t>_</w:t>
      </w:r>
      <w:r w:rsidRPr="002558EB">
        <w:rPr>
          <w:rFonts w:ascii="Times New Roman" w:hAnsi="Times New Roman" w:cs="Times New Roman"/>
        </w:rPr>
        <w:t>(</w:t>
      </w:r>
      <w:proofErr w:type="gramEnd"/>
      <w:r w:rsidR="00D8699E" w:rsidRPr="002558EB">
        <w:rPr>
          <w:rFonts w:ascii="Times New Roman" w:hAnsi="Times New Roman" w:cs="Times New Roman"/>
        </w:rPr>
        <w:t>PDE</w:t>
      </w:r>
      <w:r w:rsidRPr="002558EB">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558EB"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6A39AB">
        <w:rPr>
          <w:rFonts w:ascii="Times New Roman" w:hAnsi="Times New Roman" w:cs="Times New Roman"/>
        </w:rPr>
        <w:t>No, it is not.</w:t>
      </w:r>
    </w:p>
    <w:p w:rsidR="002558EB" w:rsidRDefault="002558EB" w:rsidP="0027643C">
      <w:pPr>
        <w:pStyle w:val="P105"/>
        <w:jc w:val="both"/>
        <w:rPr>
          <w:rFonts w:ascii="Times New Roman" w:hAnsi="Times New Roman" w:cs="Times New Roman"/>
        </w:rPr>
      </w:pPr>
    </w:p>
    <w:p w:rsidR="003B278C" w:rsidRPr="008B41AB" w:rsidRDefault="00AA7417" w:rsidP="003B278C">
      <w:pPr>
        <w:pStyle w:val="P267"/>
        <w:tabs>
          <w:tab w:val="clear" w:pos="360"/>
          <w:tab w:val="left" w:pos="0"/>
        </w:tabs>
        <w:ind w:left="0"/>
        <w:jc w:val="center"/>
        <w:rPr>
          <w:rFonts w:ascii="Times New Roman" w:hAnsi="Times New Roman" w:cs="Times New Roman"/>
        </w:rPr>
      </w:pPr>
      <w:r>
        <w:rPr>
          <w:rFonts w:ascii="Times New Roman" w:hAnsi="Times New Roman" w:cs="Times New Roman"/>
        </w:rPr>
        <w:t xml:space="preserve">V. </w:t>
      </w:r>
      <w:r w:rsidR="003B278C" w:rsidRPr="008B41AB">
        <w:rPr>
          <w:rFonts w:ascii="Times New Roman" w:hAnsi="Times New Roman" w:cs="Times New Roman"/>
        </w:rPr>
        <w:t>BASIC CHARGE</w:t>
      </w:r>
      <w:r>
        <w:rPr>
          <w:rFonts w:ascii="Times New Roman" w:hAnsi="Times New Roman" w:cs="Times New Roman"/>
        </w:rPr>
        <w:t xml:space="preserve"> FOR SCHEDULES 1 &amp; 101</w:t>
      </w:r>
    </w:p>
    <w:p w:rsidR="003B278C" w:rsidRPr="008B41AB" w:rsidRDefault="003B278C" w:rsidP="003B278C">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w:t>
      </w:r>
      <w:proofErr w:type="gramStart"/>
      <w:r w:rsidRPr="008B41AB">
        <w:rPr>
          <w:b/>
          <w:bCs/>
        </w:rPr>
        <w:t>charge</w:t>
      </w:r>
      <w:proofErr w:type="gramEnd"/>
      <w:r w:rsidRPr="008B41AB">
        <w:rPr>
          <w:b/>
          <w:bCs/>
        </w:rPr>
        <w:t xml:space="preserve"> </w:t>
      </w:r>
      <w:r>
        <w:rPr>
          <w:b/>
          <w:bCs/>
        </w:rPr>
        <w:t xml:space="preserve">for Schedule 1 </w:t>
      </w:r>
      <w:r w:rsidRPr="008B41AB">
        <w:rPr>
          <w:b/>
          <w:bCs/>
        </w:rPr>
        <w:t>from $</w:t>
      </w:r>
      <w:r>
        <w:rPr>
          <w:b/>
          <w:bCs/>
        </w:rPr>
        <w:t>8</w:t>
      </w:r>
      <w:r w:rsidRPr="008B41AB">
        <w:rPr>
          <w:b/>
          <w:bCs/>
        </w:rPr>
        <w:t>.</w:t>
      </w:r>
      <w:r w:rsidR="00F96B2B">
        <w:rPr>
          <w:b/>
          <w:bCs/>
        </w:rPr>
        <w:t>5</w:t>
      </w:r>
      <w:r w:rsidRPr="008B41AB">
        <w:rPr>
          <w:b/>
          <w:bCs/>
        </w:rPr>
        <w:t xml:space="preserve">0 to </w:t>
      </w:r>
      <w:r w:rsidR="00F234BF">
        <w:rPr>
          <w:b/>
          <w:bCs/>
        </w:rPr>
        <w:t>$14</w:t>
      </w:r>
      <w:r w:rsidRPr="008B41AB">
        <w:rPr>
          <w:b/>
          <w:bCs/>
        </w:rPr>
        <w:t>.00 per month?</w:t>
      </w:r>
    </w:p>
    <w:p w:rsidR="003B278C" w:rsidRPr="00D6449A" w:rsidRDefault="003B278C" w:rsidP="003B278C">
      <w:pPr>
        <w:pStyle w:val="BodyText2"/>
        <w:tabs>
          <w:tab w:val="left" w:pos="810"/>
          <w:tab w:val="left" w:pos="1440"/>
        </w:tabs>
        <w:ind w:firstLine="720"/>
        <w:rPr>
          <w:highlight w:val="yellow"/>
        </w:rPr>
      </w:pPr>
      <w:r w:rsidRPr="008B41AB">
        <w:t>A.</w:t>
      </w:r>
      <w:r w:rsidRPr="008B41AB">
        <w:tab/>
        <w:t xml:space="preserve">A significant portion of </w:t>
      </w:r>
      <w:r w:rsidRPr="00E27E81">
        <w:t>the Company’s costs are fixed and do not vary with customer usage.  These costs include</w:t>
      </w:r>
      <w:r w:rsidR="00D6388A">
        <w:t>, among other costs,</w:t>
      </w:r>
      <w:r w:rsidRPr="00E27E81">
        <w:t xml:space="preserve"> distribution plant and operating costs to provide reliable service to customers.  </w:t>
      </w:r>
      <w:r w:rsidR="006C2E1E" w:rsidRPr="006C2E1E">
        <w:rPr>
          <w:u w:val="single"/>
        </w:rPr>
        <w:t>T</w:t>
      </w:r>
      <w:r w:rsidRPr="00E27E81">
        <w:rPr>
          <w:u w:val="single"/>
        </w:rPr>
        <w:t>otal customer allocated costs</w:t>
      </w:r>
      <w:r w:rsidRPr="00E27E81">
        <w:t xml:space="preserve"> for </w:t>
      </w:r>
      <w:r w:rsidRPr="00D4544A">
        <w:t xml:space="preserve">Schedule 1, </w:t>
      </w:r>
      <w:r w:rsidRPr="00D4544A">
        <w:lastRenderedPageBreak/>
        <w:t>as shown in Knox Exhibit No. _</w:t>
      </w:r>
      <w:proofErr w:type="gramStart"/>
      <w:r w:rsidRPr="00D4544A">
        <w:t>_(</w:t>
      </w:r>
      <w:proofErr w:type="gramEnd"/>
      <w:r w:rsidRPr="00D4544A">
        <w:t>TLK-</w:t>
      </w:r>
      <w:r w:rsidR="00D4544A" w:rsidRPr="00D4544A">
        <w:t>3</w:t>
      </w:r>
      <w:r w:rsidRPr="00D4544A">
        <w:t>), page 4, line 2</w:t>
      </w:r>
      <w:r w:rsidR="00D4544A" w:rsidRPr="00D4544A">
        <w:t>6</w:t>
      </w:r>
      <w:r w:rsidRPr="00D4544A">
        <w:t xml:space="preserve">, </w:t>
      </w:r>
      <w:r w:rsidR="006C2E1E">
        <w:t>is</w:t>
      </w:r>
      <w:r w:rsidRPr="00D4544A">
        <w:t xml:space="preserve"> </w:t>
      </w:r>
      <w:r w:rsidR="00D4544A" w:rsidRPr="00D4544A">
        <w:rPr>
          <w:u w:val="single"/>
        </w:rPr>
        <w:t>$14.73</w:t>
      </w:r>
      <w:r w:rsidR="002B1B54" w:rsidRPr="00D4544A">
        <w:t xml:space="preserve"> </w:t>
      </w:r>
      <w:r w:rsidRPr="00D4544A">
        <w:t>per</w:t>
      </w:r>
      <w:r w:rsidRPr="00E27E81">
        <w:t xml:space="preserve"> customer per month.  </w:t>
      </w:r>
      <w:proofErr w:type="gramStart"/>
      <w:r w:rsidRPr="00E27E81">
        <w:t xml:space="preserve">Factoring in </w:t>
      </w:r>
      <w:r w:rsidRPr="00E27E81">
        <w:rPr>
          <w:u w:val="single"/>
        </w:rPr>
        <w:t>distribution demand cost</w:t>
      </w:r>
      <w:r w:rsidRPr="00E27E81">
        <w:t xml:space="preserve"> per customer per month of </w:t>
      </w:r>
      <w:r w:rsidRPr="00E27E81">
        <w:rPr>
          <w:u w:val="single"/>
        </w:rPr>
        <w:t>$</w:t>
      </w:r>
      <w:r w:rsidR="00D4544A">
        <w:rPr>
          <w:u w:val="single"/>
        </w:rPr>
        <w:t>25.07</w:t>
      </w:r>
      <w:r w:rsidRPr="00E27E81">
        <w:t xml:space="preserve"> as shown in Knox Exhibit No.</w:t>
      </w:r>
      <w:proofErr w:type="gramEnd"/>
      <w:r w:rsidRPr="00E27E81">
        <w:t xml:space="preserve"> _</w:t>
      </w:r>
      <w:proofErr w:type="gramStart"/>
      <w:r w:rsidRPr="00E27E81">
        <w:t>_(</w:t>
      </w:r>
      <w:proofErr w:type="gramEnd"/>
      <w:r w:rsidRPr="00E27E81">
        <w:t>TLK-</w:t>
      </w:r>
      <w:r w:rsidR="00D4544A">
        <w:t>3</w:t>
      </w:r>
      <w:r w:rsidRPr="00E27E81">
        <w:t>), page 4, line 2</w:t>
      </w:r>
      <w:r w:rsidR="00D4544A">
        <w:t>8</w:t>
      </w:r>
      <w:r w:rsidRPr="00E27E81">
        <w:t xml:space="preserve">, the total customer and distribution demand monthly cost </w:t>
      </w:r>
      <w:r w:rsidR="00D4544A">
        <w:t xml:space="preserve">is </w:t>
      </w:r>
      <w:r w:rsidR="00D4544A" w:rsidRPr="00D4544A">
        <w:rPr>
          <w:u w:val="single"/>
        </w:rPr>
        <w:t>$39.80</w:t>
      </w:r>
      <w:r w:rsidR="00D4544A">
        <w:t>.</w:t>
      </w:r>
      <w:r w:rsidRPr="00E27E81">
        <w:t xml:space="preserve">  These are</w:t>
      </w:r>
      <w:r w:rsidRPr="0027643C">
        <w:t xml:space="preserve"> essentially</w:t>
      </w:r>
      <w:r w:rsidRPr="008B41AB">
        <w:t xml:space="preserve"> fixed costs that are allocated based on the number of customers served.  Given the large disparity between the level of customer and demand costs</w:t>
      </w:r>
      <w:r w:rsidR="000B6139">
        <w:t>,</w:t>
      </w:r>
      <w:r w:rsidRPr="008B41AB">
        <w:t xml:space="preserve"> and the present level of the basic charge, the Company believes that it is appropriate to recover a more reasonable level of these fixed customer costs through the basic charge.  </w:t>
      </w:r>
    </w:p>
    <w:p w:rsidR="003B278C" w:rsidRPr="008B41AB" w:rsidRDefault="003B278C" w:rsidP="003B278C">
      <w:pPr>
        <w:pStyle w:val="BodyText2"/>
        <w:tabs>
          <w:tab w:val="left" w:pos="720"/>
          <w:tab w:val="left" w:pos="1440"/>
        </w:tabs>
        <w:ind w:firstLine="720"/>
        <w:rPr>
          <w:b/>
          <w:bCs/>
        </w:rPr>
      </w:pPr>
      <w:proofErr w:type="gramStart"/>
      <w:r w:rsidRPr="008B41AB">
        <w:rPr>
          <w:b/>
          <w:bCs/>
        </w:rPr>
        <w:t>Q.</w:t>
      </w:r>
      <w:r w:rsidRPr="008B41AB">
        <w:rPr>
          <w:b/>
          <w:bCs/>
        </w:rPr>
        <w:tab/>
        <w:t xml:space="preserve">Why is the Company now proposing an increase of </w:t>
      </w:r>
      <w:r w:rsidR="00F234BF">
        <w:rPr>
          <w:b/>
          <w:bCs/>
        </w:rPr>
        <w:t>$5.50</w:t>
      </w:r>
      <w:r w:rsidRPr="008B41AB">
        <w:rPr>
          <w:b/>
          <w:bCs/>
        </w:rPr>
        <w:t xml:space="preserve"> per month in this filing?</w:t>
      </w:r>
      <w:proofErr w:type="gramEnd"/>
    </w:p>
    <w:p w:rsidR="003B278C" w:rsidRPr="008B41AB" w:rsidRDefault="003B278C" w:rsidP="003B278C">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Pr>
          <w:bCs/>
        </w:rPr>
        <w:t>W</w:t>
      </w:r>
      <w:r w:rsidRPr="008B41AB">
        <w:rPr>
          <w:bCs/>
        </w:rPr>
        <w:t>e believe it is increasingly important that our charges to customers more accurately reflect the actual costs to serve customers. With regard to fixed charges, many other utility assessments (phone,</w:t>
      </w:r>
      <w:r w:rsidR="005E2247">
        <w:rPr>
          <w:bCs/>
        </w:rPr>
        <w:t xml:space="preserve"> water, sewer, solid waste, </w:t>
      </w:r>
      <w:r w:rsidRPr="008B41AB">
        <w:rPr>
          <w:bCs/>
        </w:rPr>
        <w:t>television, internet</w:t>
      </w:r>
      <w:r w:rsidR="005E2247">
        <w:rPr>
          <w:bCs/>
        </w:rPr>
        <w:t>, etc.</w:t>
      </w:r>
      <w:r w:rsidRPr="008B41AB">
        <w:rPr>
          <w:bCs/>
        </w:rPr>
        <w:t xml:space="preserve">)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have become accustomed to paying a relatively constant monthly fee for service.  </w:t>
      </w:r>
    </w:p>
    <w:p w:rsidR="003B278C" w:rsidRPr="00294B78" w:rsidRDefault="003B278C" w:rsidP="003B278C">
      <w:pPr>
        <w:pStyle w:val="BodyText2"/>
        <w:tabs>
          <w:tab w:val="left" w:pos="720"/>
          <w:tab w:val="left" w:pos="1440"/>
        </w:tabs>
        <w:ind w:firstLine="720"/>
        <w:rPr>
          <w:bCs/>
        </w:rPr>
      </w:pPr>
      <w:r w:rsidRPr="008B41AB">
        <w:rPr>
          <w:bCs/>
        </w:rPr>
        <w:t xml:space="preserve">Publicly-owned electric utilities have been charging higher monthly customer charges for years in order to more accurately reflect (and recover) the fixed costs of providing service.  For example, </w:t>
      </w:r>
      <w:r w:rsidRPr="00791C2B">
        <w:rPr>
          <w:bCs/>
        </w:rPr>
        <w:t>Avista’s</w:t>
      </w:r>
      <w:r w:rsidRPr="00791C2B">
        <w:rPr>
          <w:rFonts w:hint="eastAsia"/>
          <w:bCs/>
        </w:rPr>
        <w:t xml:space="preserve"> </w:t>
      </w:r>
      <w:r w:rsidRPr="00791C2B">
        <w:rPr>
          <w:bCs/>
        </w:rPr>
        <w:t>nearest neighbor in Eastern Washington, Inland Power and Light, has a residential mont</w:t>
      </w:r>
      <w:r w:rsidR="000B6139">
        <w:rPr>
          <w:bCs/>
        </w:rPr>
        <w:t xml:space="preserve">hly basic charge of $19.23 </w:t>
      </w:r>
      <w:r w:rsidRPr="00791C2B">
        <w:rPr>
          <w:bCs/>
        </w:rPr>
        <w:t>per month.  Avista</w:t>
      </w:r>
      <w:r w:rsidRPr="00791C2B">
        <w:rPr>
          <w:rFonts w:hint="eastAsia"/>
          <w:bCs/>
        </w:rPr>
        <w:t>’</w:t>
      </w:r>
      <w:r w:rsidRPr="00791C2B">
        <w:rPr>
          <w:bCs/>
        </w:rPr>
        <w:t xml:space="preserve">s nearest neighbor in North </w:t>
      </w:r>
      <w:r w:rsidRPr="00791C2B">
        <w:rPr>
          <w:bCs/>
        </w:rPr>
        <w:lastRenderedPageBreak/>
        <w:t>Idaho, Kootenai Electric Cooperative, has a residential monthly basic charge of $19.50, and a minimum charge of $25.00 per month.</w:t>
      </w:r>
      <w:r w:rsidR="00337798">
        <w:rPr>
          <w:bCs/>
        </w:rPr>
        <w:t xml:space="preserve">    </w:t>
      </w:r>
      <w:r w:rsidRPr="00294B78">
        <w:rPr>
          <w:rStyle w:val="apple-style-span"/>
          <w:rFonts w:ascii="ITC Zapf Dingbats" w:hAnsi="ITC Zapf Dingbats"/>
          <w:color w:val="000000"/>
        </w:rPr>
        <w:t xml:space="preserve">   </w:t>
      </w:r>
    </w:p>
    <w:p w:rsidR="003B278C" w:rsidRPr="00D52594" w:rsidRDefault="003B278C" w:rsidP="003B278C">
      <w:pPr>
        <w:pStyle w:val="BodyText2"/>
        <w:tabs>
          <w:tab w:val="left" w:pos="720"/>
          <w:tab w:val="left" w:pos="1440"/>
        </w:tabs>
        <w:ind w:firstLine="720"/>
        <w:rPr>
          <w:b/>
          <w:bCs/>
        </w:rPr>
      </w:pPr>
      <w:proofErr w:type="gramStart"/>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Pr>
          <w:b/>
          <w:bCs/>
        </w:rPr>
        <w:t xml:space="preserve">the Schedule 101 </w:t>
      </w:r>
      <w:r w:rsidRPr="00D52594">
        <w:rPr>
          <w:b/>
          <w:bCs/>
        </w:rPr>
        <w:t>monthly customer charge from $</w:t>
      </w:r>
      <w:r w:rsidR="00337798">
        <w:rPr>
          <w:b/>
          <w:bCs/>
        </w:rPr>
        <w:t>9</w:t>
      </w:r>
      <w:r w:rsidRPr="00D52594">
        <w:rPr>
          <w:b/>
          <w:bCs/>
        </w:rPr>
        <w:t>.00 to $</w:t>
      </w:r>
      <w:r w:rsidR="00843D43">
        <w:rPr>
          <w:b/>
          <w:bCs/>
        </w:rPr>
        <w:t>12</w:t>
      </w:r>
      <w:r w:rsidRPr="00D52594">
        <w:rPr>
          <w:b/>
          <w:bCs/>
        </w:rPr>
        <w:t>.00 per month?</w:t>
      </w:r>
      <w:proofErr w:type="gramEnd"/>
    </w:p>
    <w:p w:rsidR="003B278C" w:rsidRDefault="000F0F87" w:rsidP="003B278C">
      <w:pPr>
        <w:pStyle w:val="BodyText2"/>
        <w:tabs>
          <w:tab w:val="left" w:pos="810"/>
          <w:tab w:val="left" w:pos="1440"/>
        </w:tabs>
        <w:ind w:firstLine="720"/>
      </w:pPr>
      <w:r>
        <w:t>A.</w:t>
      </w:r>
      <w:r>
        <w:tab/>
      </w:r>
      <w:r w:rsidR="003B278C">
        <w:t>Schedule 101</w:t>
      </w:r>
      <w:r w:rsidR="003B278C" w:rsidRPr="00D52594">
        <w:t xml:space="preserve"> </w:t>
      </w:r>
      <w:r w:rsidR="003B278C" w:rsidRPr="00D52594">
        <w:rPr>
          <w:u w:val="single"/>
        </w:rPr>
        <w:t>total customer allocated costs</w:t>
      </w:r>
      <w:r w:rsidR="003B278C" w:rsidRPr="00D52594">
        <w:t xml:space="preserve">, as shown in </w:t>
      </w:r>
      <w:r w:rsidR="00891F68">
        <w:t xml:space="preserve">Mr. </w:t>
      </w:r>
      <w:r w:rsidR="003B278C">
        <w:t>Miller</w:t>
      </w:r>
      <w:r w:rsidR="00891F68">
        <w:t>’s</w:t>
      </w:r>
      <w:r w:rsidR="003B278C" w:rsidRPr="00D52594">
        <w:t xml:space="preserve"> Exhibit </w:t>
      </w:r>
      <w:r w:rsidR="003B278C" w:rsidRPr="002C1009">
        <w:t>No. _</w:t>
      </w:r>
      <w:proofErr w:type="gramStart"/>
      <w:r w:rsidR="003B278C" w:rsidRPr="002C1009">
        <w:t>_(</w:t>
      </w:r>
      <w:proofErr w:type="gramEnd"/>
      <w:r w:rsidR="003B278C" w:rsidRPr="002C1009">
        <w:t>JDM-</w:t>
      </w:r>
      <w:r w:rsidR="002C1009" w:rsidRPr="002C1009">
        <w:t>3</w:t>
      </w:r>
      <w:r w:rsidR="003B278C" w:rsidRPr="002C1009">
        <w:t xml:space="preserve">), page 4, </w:t>
      </w:r>
      <w:r w:rsidR="003B278C" w:rsidRPr="007C10C8">
        <w:t>line 2</w:t>
      </w:r>
      <w:r w:rsidR="00DB7660" w:rsidRPr="007C10C8">
        <w:t>5</w:t>
      </w:r>
      <w:r w:rsidR="003B278C" w:rsidRPr="007C10C8">
        <w:t xml:space="preserve">, </w:t>
      </w:r>
      <w:r w:rsidRPr="007C10C8">
        <w:t>is</w:t>
      </w:r>
      <w:r w:rsidR="00946E99" w:rsidRPr="007C10C8">
        <w:t xml:space="preserve"> $</w:t>
      </w:r>
      <w:r w:rsidR="00946E99" w:rsidRPr="007C10C8">
        <w:rPr>
          <w:u w:val="single"/>
        </w:rPr>
        <w:t>27.07</w:t>
      </w:r>
      <w:r w:rsidR="003B278C" w:rsidRPr="002C1009">
        <w:t xml:space="preserve"> per customer per month.  </w:t>
      </w:r>
      <w:r w:rsidR="00EF2458">
        <w:t xml:space="preserve">$12.17 of the </w:t>
      </w:r>
      <w:r w:rsidR="00946E99">
        <w:t>$27.07</w:t>
      </w:r>
      <w:r w:rsidR="00AF6076">
        <w:t xml:space="preserve"> noted above are related to the</w:t>
      </w:r>
      <w:r w:rsidR="003B278C" w:rsidRPr="002C1009">
        <w:t xml:space="preserve"> cost of the meter and service, billing</w:t>
      </w:r>
      <w:r w:rsidR="00AF6076">
        <w:t>,</w:t>
      </w:r>
      <w:r w:rsidR="003B278C" w:rsidRPr="002C1009">
        <w:t xml:space="preserve"> and providing customer service, as shown in </w:t>
      </w:r>
      <w:r w:rsidR="00AD4FD5" w:rsidRPr="002C1009">
        <w:t>Miller</w:t>
      </w:r>
      <w:r w:rsidR="003B278C" w:rsidRPr="002C1009">
        <w:t xml:space="preserve"> Exhibit No. _</w:t>
      </w:r>
      <w:proofErr w:type="gramStart"/>
      <w:r w:rsidR="003B278C" w:rsidRPr="002C1009">
        <w:t>_(</w:t>
      </w:r>
      <w:proofErr w:type="gramEnd"/>
      <w:r w:rsidR="00AD4FD5" w:rsidRPr="002C1009">
        <w:t>JDM</w:t>
      </w:r>
      <w:r w:rsidR="003B278C" w:rsidRPr="002C1009">
        <w:t>-</w:t>
      </w:r>
      <w:r w:rsidR="002C1009" w:rsidRPr="002C1009">
        <w:t>3</w:t>
      </w:r>
      <w:r w:rsidR="00946E99">
        <w:t>), page 4 line 23</w:t>
      </w:r>
      <w:r w:rsidR="003B278C" w:rsidRPr="002C1009">
        <w:t>.</w:t>
      </w:r>
      <w:r w:rsidR="003B278C" w:rsidRPr="00D52594">
        <w:t xml:space="preserve">  </w:t>
      </w:r>
    </w:p>
    <w:p w:rsidR="003B278C" w:rsidRPr="008B41AB" w:rsidRDefault="003B278C" w:rsidP="003B278C">
      <w:pPr>
        <w:pStyle w:val="BodyText2"/>
        <w:tabs>
          <w:tab w:val="left" w:pos="720"/>
          <w:tab w:val="left" w:pos="1440"/>
        </w:tabs>
        <w:ind w:firstLine="720"/>
        <w:rPr>
          <w:b/>
        </w:rPr>
      </w:pPr>
      <w:r w:rsidRPr="008B41AB">
        <w:rPr>
          <w:b/>
        </w:rPr>
        <w:t>Q.</w:t>
      </w:r>
      <w:r w:rsidRPr="008B41AB">
        <w:rPr>
          <w:b/>
        </w:rPr>
        <w:tab/>
        <w:t>What is the consequence to a</w:t>
      </w:r>
      <w:r w:rsidR="00891F68">
        <w:rPr>
          <w:b/>
        </w:rPr>
        <w:t>n electric or natural gas</w:t>
      </w:r>
      <w:r w:rsidRPr="008B41AB">
        <w:rPr>
          <w:b/>
        </w:rPr>
        <w:t xml:space="preserve"> customer of a Basic Charge that is priced below cost?</w:t>
      </w:r>
    </w:p>
    <w:p w:rsidR="003B278C" w:rsidRPr="008B41AB" w:rsidRDefault="003B278C" w:rsidP="003B278C">
      <w:pPr>
        <w:pStyle w:val="BodyText2"/>
        <w:tabs>
          <w:tab w:val="left" w:pos="720"/>
          <w:tab w:val="left" w:pos="810"/>
          <w:tab w:val="left" w:pos="1440"/>
        </w:tabs>
        <w:ind w:firstLine="720"/>
      </w:pPr>
      <w:r w:rsidRPr="008B41AB">
        <w:t>A.</w:t>
      </w:r>
      <w:r w:rsidRPr="008B41AB">
        <w:tab/>
        <w:t>Because rate design is a “zero sum game”, if customer charges are set below the cost,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3B278C" w:rsidRPr="008B41AB" w:rsidRDefault="003B278C" w:rsidP="00C2766D">
      <w:pPr>
        <w:pStyle w:val="BodyText2"/>
        <w:numPr>
          <w:ilvl w:val="0"/>
          <w:numId w:val="35"/>
        </w:numPr>
        <w:tabs>
          <w:tab w:val="left" w:pos="810"/>
          <w:tab w:val="left" w:pos="1440"/>
        </w:tabs>
      </w:pPr>
      <w:r w:rsidRPr="008B41AB">
        <w:t xml:space="preserve">It results in almost all customers paying more </w:t>
      </w:r>
      <w:r>
        <w:t>“</w:t>
      </w:r>
      <w:r w:rsidRPr="008B41AB">
        <w:t>per-customer</w:t>
      </w:r>
      <w:r>
        <w:t>”</w:t>
      </w:r>
      <w:r w:rsidRPr="008B41AB">
        <w:t xml:space="preserve"> related costs in the winter, even though their customer costs are not higher in the winte</w:t>
      </w:r>
      <w:r w:rsidR="005E2247">
        <w:t>r</w:t>
      </w:r>
      <w:r w:rsidR="00AF6076">
        <w:t xml:space="preserve"> su</w:t>
      </w:r>
      <w:r w:rsidR="005E2247">
        <w:t>mmer.</w:t>
      </w:r>
    </w:p>
    <w:p w:rsidR="003B278C" w:rsidRPr="008B41AB" w:rsidRDefault="003B278C" w:rsidP="00C2766D">
      <w:pPr>
        <w:pStyle w:val="BodyText2"/>
        <w:numPr>
          <w:ilvl w:val="0"/>
          <w:numId w:val="35"/>
        </w:numPr>
        <w:tabs>
          <w:tab w:val="left" w:pos="810"/>
          <w:tab w:val="left" w:pos="1440"/>
        </w:tabs>
      </w:pPr>
      <w:r w:rsidRPr="008B41AB">
        <w:t>It results in the amount of customer costs a customer pays being unpredictable, even though customer costs are actually very predictable.</w:t>
      </w:r>
    </w:p>
    <w:p w:rsidR="003B278C" w:rsidRPr="008B41AB" w:rsidRDefault="003B278C" w:rsidP="00C2766D">
      <w:pPr>
        <w:pStyle w:val="BodyText2"/>
        <w:numPr>
          <w:ilvl w:val="0"/>
          <w:numId w:val="35"/>
        </w:numPr>
        <w:tabs>
          <w:tab w:val="left" w:pos="810"/>
          <w:tab w:val="left" w:pos="1440"/>
        </w:tabs>
      </w:pPr>
      <w:r w:rsidRPr="008B41AB">
        <w:t>A portion of fixed costs of providing service to low usage customers is actually recovered from other higher usage customers served under the same schedule.</w:t>
      </w:r>
    </w:p>
    <w:p w:rsidR="00AF6076" w:rsidRDefault="00891F68" w:rsidP="00AF6076">
      <w:pPr>
        <w:pStyle w:val="answer"/>
        <w:widowControl w:val="0"/>
        <w:spacing w:before="0" w:after="0"/>
        <w:ind w:left="0" w:firstLine="720"/>
        <w:jc w:val="both"/>
      </w:pPr>
      <w:r>
        <w:t>Ideally, to properly match revenues with the cost of service</w:t>
      </w:r>
      <w:r w:rsidR="003B278C">
        <w:t xml:space="preserve">, </w:t>
      </w:r>
      <w:r w:rsidR="003B278C" w:rsidRPr="00B37259">
        <w:t xml:space="preserve">the fixed costs of providing service would be recovered through a fixed </w:t>
      </w:r>
      <w:r w:rsidR="003B278C">
        <w:t xml:space="preserve">monthly </w:t>
      </w:r>
      <w:r w:rsidR="003B278C" w:rsidRPr="00B37259">
        <w:t>charge</w:t>
      </w:r>
      <w:r w:rsidR="003B278C">
        <w:t xml:space="preserve">, paid by each customer </w:t>
      </w:r>
      <w:r w:rsidR="003B278C">
        <w:lastRenderedPageBreak/>
        <w:t>irrespective of actual usage.  The rationale for that type of rate design is that a utility’s</w:t>
      </w:r>
      <w:r w:rsidR="003B278C" w:rsidRPr="00B37259">
        <w:t xml:space="preserve"> facilities and support </w:t>
      </w:r>
      <w:r w:rsidR="003B278C">
        <w:t xml:space="preserve">functions are made available to its customers </w:t>
      </w:r>
      <w:r w:rsidR="003B278C" w:rsidRPr="00B37259">
        <w:t xml:space="preserve">irrespective of how much energy they use.  </w:t>
      </w:r>
    </w:p>
    <w:p w:rsidR="003B278C" w:rsidRPr="008B41AB" w:rsidRDefault="003B278C" w:rsidP="00AF6076">
      <w:pPr>
        <w:pStyle w:val="answer"/>
        <w:widowControl w:val="0"/>
        <w:spacing w:before="0" w:after="0"/>
        <w:ind w:left="0" w:firstLine="720"/>
        <w:jc w:val="both"/>
      </w:pPr>
      <w:r w:rsidRPr="008B41AB">
        <w:t xml:space="preserve">In summary, setting the basic charge at a rate substantially less than an amount that covers annual customer costs </w:t>
      </w:r>
      <w:r>
        <w:t xml:space="preserve">can </w:t>
      </w:r>
      <w:r w:rsidRPr="008B41AB">
        <w:t xml:space="preserve">result in rates that are not </w:t>
      </w:r>
      <w:proofErr w:type="gramStart"/>
      <w:r w:rsidRPr="008B41AB">
        <w:t>equitable</w:t>
      </w:r>
      <w:r w:rsidR="00891F68">
        <w:t>,</w:t>
      </w:r>
      <w:proofErr w:type="gramEnd"/>
      <w:r w:rsidRPr="008B41AB">
        <w:t xml:space="preserve"> and </w:t>
      </w:r>
      <w:r w:rsidR="00891F68">
        <w:t xml:space="preserve">monthly bills that </w:t>
      </w:r>
      <w:r w:rsidRPr="008B41AB">
        <w:t xml:space="preserve">are unnecessarily </w:t>
      </w:r>
      <w:r>
        <w:t>volatile</w:t>
      </w:r>
      <w:r w:rsidRPr="008B41AB">
        <w:t>.</w:t>
      </w:r>
    </w:p>
    <w:p w:rsidR="003B278C" w:rsidRPr="008B41AB" w:rsidRDefault="003B278C" w:rsidP="003B278C">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3B278C" w:rsidRPr="002C1009" w:rsidRDefault="003B278C" w:rsidP="003B278C">
      <w:pPr>
        <w:pStyle w:val="BodyText2"/>
        <w:tabs>
          <w:tab w:val="left" w:pos="720"/>
          <w:tab w:val="left" w:pos="810"/>
          <w:tab w:val="left" w:pos="1440"/>
        </w:tabs>
        <w:ind w:firstLine="720"/>
      </w:pPr>
      <w:r w:rsidRPr="008B41AB">
        <w:rPr>
          <w:bCs/>
        </w:rPr>
        <w:t xml:space="preserve">A.  </w:t>
      </w:r>
      <w:r w:rsidRPr="008B41AB">
        <w:rPr>
          <w:bCs/>
        </w:rPr>
        <w:tab/>
      </w:r>
      <w:r>
        <w:rPr>
          <w:bCs/>
        </w:rPr>
        <w:t xml:space="preserve">No.  </w:t>
      </w:r>
      <w:r w:rsidRPr="008B41AB">
        <w:rPr>
          <w:bCs/>
        </w:rPr>
        <w:t xml:space="preserve">Conservation of electricity and natural gas is important for customers and for the Company, and one might argue that a lower basic charge results in higher commodity </w:t>
      </w:r>
      <w:r w:rsidR="00891F68">
        <w:rPr>
          <w:bCs/>
        </w:rPr>
        <w:t>charge</w:t>
      </w:r>
      <w:r w:rsidRPr="008B41AB">
        <w:rPr>
          <w:bCs/>
        </w:rPr>
        <w:t>s and a stronger price signal related to volume usage.  However, sending a price signal to customers through a residential rate design that contains a three</w:t>
      </w:r>
      <w:r>
        <w:rPr>
          <w:bCs/>
        </w:rPr>
        <w:t>-</w:t>
      </w:r>
      <w:r w:rsidRPr="008B41AB">
        <w:rPr>
          <w:bCs/>
        </w:rPr>
        <w:t xml:space="preserve">tier increasing block rate for electric (natural gas </w:t>
      </w:r>
      <w:r>
        <w:rPr>
          <w:bCs/>
        </w:rPr>
        <w:t>has two</w:t>
      </w:r>
      <w:r w:rsidRPr="008B41AB">
        <w:rPr>
          <w:bCs/>
        </w:rPr>
        <w:t xml:space="preserve"> volumetric </w:t>
      </w:r>
      <w:r>
        <w:rPr>
          <w:bCs/>
        </w:rPr>
        <w:t>tiers</w:t>
      </w:r>
      <w:r w:rsidRPr="008B41AB">
        <w:rPr>
          <w:bCs/>
        </w:rPr>
        <w:t>) was developed for just such a reason</w:t>
      </w:r>
      <w:r w:rsidRPr="002C1009">
        <w:rPr>
          <w:bCs/>
        </w:rPr>
        <w:t xml:space="preserve">.  </w:t>
      </w:r>
      <w:proofErr w:type="gramStart"/>
      <w:r w:rsidRPr="002C1009">
        <w:rPr>
          <w:bCs/>
        </w:rPr>
        <w:t>The more electricity that is used, the higher the rate, and therefore the higher the overall customer bill.</w:t>
      </w:r>
      <w:proofErr w:type="gramEnd"/>
      <w:r w:rsidRPr="002C1009">
        <w:rPr>
          <w:bCs/>
        </w:rPr>
        <w:t xml:space="preserve">  </w:t>
      </w:r>
      <w:r w:rsidR="002C1009" w:rsidRPr="002C1009">
        <w:t>T</w:t>
      </w:r>
      <w:r w:rsidRPr="002C1009">
        <w:t xml:space="preserve">he volumetric pricing components </w:t>
      </w:r>
      <w:r w:rsidR="00BE4355" w:rsidRPr="002C1009">
        <w:t>will still send a very clear price signal to conserve</w:t>
      </w:r>
      <w:r w:rsidR="00AF6076">
        <w:t>,</w:t>
      </w:r>
      <w:r w:rsidR="00BE4355" w:rsidRPr="002C1009">
        <w:t xml:space="preserve"> </w:t>
      </w:r>
      <w:r w:rsidR="002C1009" w:rsidRPr="002C1009">
        <w:t>even with the Company’s proposed basic charge increase</w:t>
      </w:r>
      <w:r w:rsidR="00843D43" w:rsidRPr="002C1009">
        <w:t>.</w:t>
      </w:r>
    </w:p>
    <w:p w:rsidR="00AF6076" w:rsidRPr="00AF6076" w:rsidRDefault="00BE4355" w:rsidP="00AF6076">
      <w:pPr>
        <w:tabs>
          <w:tab w:val="left" w:pos="720"/>
        </w:tabs>
        <w:spacing w:line="480" w:lineRule="auto"/>
        <w:ind w:firstLine="720"/>
        <w:jc w:val="both"/>
        <w:rPr>
          <w:bCs/>
        </w:rPr>
      </w:pPr>
      <w:r>
        <w:rPr>
          <w:bCs/>
        </w:rPr>
        <w:t>T</w:t>
      </w:r>
      <w:r w:rsidR="003B278C" w:rsidRPr="008B41AB">
        <w:rPr>
          <w:bCs/>
        </w:rPr>
        <w:t xml:space="preserve">he Company’s </w:t>
      </w:r>
      <w:r w:rsidR="00AD4FD5">
        <w:rPr>
          <w:bCs/>
        </w:rPr>
        <w:t xml:space="preserve">Integrated Resource </w:t>
      </w:r>
      <w:r w:rsidR="003B278C" w:rsidRPr="008B41AB">
        <w:rPr>
          <w:bCs/>
        </w:rPr>
        <w:t>P</w:t>
      </w:r>
      <w:r w:rsidR="00AD4FD5">
        <w:rPr>
          <w:bCs/>
        </w:rPr>
        <w:t>lans</w:t>
      </w:r>
      <w:r w:rsidR="003B278C" w:rsidRPr="008B41AB">
        <w:rPr>
          <w:bCs/>
        </w:rPr>
        <w:t xml:space="preserve"> </w:t>
      </w:r>
      <w:r>
        <w:rPr>
          <w:bCs/>
        </w:rPr>
        <w:t xml:space="preserve">provide a perspective of </w:t>
      </w:r>
      <w:r w:rsidR="003B278C" w:rsidRPr="008B41AB">
        <w:rPr>
          <w:bCs/>
        </w:rPr>
        <w:t xml:space="preserve">the incremental cost of electricity and natural gas on a forward looking basis, as compared to retail rates.  </w:t>
      </w:r>
      <w:r w:rsidR="0076151E">
        <w:rPr>
          <w:bCs/>
        </w:rPr>
        <w:t xml:space="preserve">Illustration </w:t>
      </w:r>
      <w:r w:rsidR="008C51DB">
        <w:rPr>
          <w:bCs/>
        </w:rPr>
        <w:t xml:space="preserve">No. </w:t>
      </w:r>
      <w:r w:rsidR="007F1D69">
        <w:rPr>
          <w:bCs/>
        </w:rPr>
        <w:t>4</w:t>
      </w:r>
      <w:r w:rsidR="0076151E">
        <w:rPr>
          <w:bCs/>
        </w:rPr>
        <w:t xml:space="preserve"> b</w:t>
      </w:r>
      <w:r w:rsidR="00D66DF0">
        <w:rPr>
          <w:bCs/>
        </w:rPr>
        <w:t xml:space="preserve">elow shows the average or melded </w:t>
      </w:r>
      <w:r w:rsidR="00CA4E13">
        <w:rPr>
          <w:bCs/>
        </w:rPr>
        <w:t xml:space="preserve">Schedule 1 </w:t>
      </w:r>
      <w:r w:rsidR="00D66DF0">
        <w:rPr>
          <w:bCs/>
        </w:rPr>
        <w:t>volumetric rate per kWh, at varying usage levels, and with varying basic charges.</w:t>
      </w:r>
      <w:r w:rsidR="00AF6076">
        <w:rPr>
          <w:b/>
          <w:bCs/>
          <w:u w:val="single"/>
        </w:rPr>
        <w:br w:type="page"/>
      </w:r>
    </w:p>
    <w:p w:rsidR="0076151E" w:rsidRPr="0076151E" w:rsidRDefault="002E7F3A" w:rsidP="0076151E">
      <w:pPr>
        <w:tabs>
          <w:tab w:val="left" w:pos="720"/>
        </w:tabs>
        <w:spacing w:line="480" w:lineRule="auto"/>
        <w:rPr>
          <w:b/>
          <w:bCs/>
          <w:u w:val="single"/>
        </w:rPr>
      </w:pPr>
      <w:r w:rsidRPr="00397844">
        <w:rPr>
          <w:b/>
          <w:bCs/>
          <w:u w:val="single"/>
        </w:rPr>
        <w:lastRenderedPageBreak/>
        <w:t xml:space="preserve">Illustration No. </w:t>
      </w:r>
      <w:r w:rsidR="007F1D69" w:rsidRPr="00397844">
        <w:rPr>
          <w:b/>
          <w:bCs/>
          <w:u w:val="single"/>
        </w:rPr>
        <w:t>4</w:t>
      </w:r>
    </w:p>
    <w:p w:rsidR="002C1009" w:rsidRDefault="00397844" w:rsidP="003B278C">
      <w:pPr>
        <w:tabs>
          <w:tab w:val="left" w:pos="720"/>
        </w:tabs>
        <w:spacing w:line="480" w:lineRule="auto"/>
        <w:ind w:firstLine="720"/>
        <w:jc w:val="both"/>
        <w:rPr>
          <w:bCs/>
        </w:rPr>
      </w:pPr>
      <w:r w:rsidRPr="00397844">
        <w:rPr>
          <w:noProof/>
        </w:rPr>
        <w:drawing>
          <wp:anchor distT="0" distB="0" distL="114300" distR="114300" simplePos="0" relativeHeight="251962880" behindDoc="1" locked="0" layoutInCell="1" allowOverlap="1">
            <wp:simplePos x="0" y="0"/>
            <wp:positionH relativeFrom="column">
              <wp:posOffset>322700</wp:posOffset>
            </wp:positionH>
            <wp:positionV relativeFrom="paragraph">
              <wp:posOffset>3163</wp:posOffset>
            </wp:positionV>
            <wp:extent cx="5320438" cy="301924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320438" cy="3019245"/>
                    </a:xfrm>
                    <a:prstGeom prst="rect">
                      <a:avLst/>
                    </a:prstGeom>
                    <a:noFill/>
                    <a:ln w="9525">
                      <a:noFill/>
                      <a:miter lim="800000"/>
                      <a:headEnd/>
                      <a:tailEnd/>
                    </a:ln>
                  </pic:spPr>
                </pic:pic>
              </a:graphicData>
            </a:graphic>
          </wp:anchor>
        </w:drawing>
      </w:r>
    </w:p>
    <w:p w:rsidR="002C1009" w:rsidRDefault="002C1009" w:rsidP="003B278C">
      <w:pPr>
        <w:tabs>
          <w:tab w:val="left" w:pos="720"/>
        </w:tabs>
        <w:spacing w:line="480" w:lineRule="auto"/>
        <w:ind w:firstLine="720"/>
        <w:jc w:val="both"/>
        <w:rPr>
          <w:bCs/>
        </w:rPr>
      </w:pPr>
    </w:p>
    <w:p w:rsidR="002B1B54" w:rsidRDefault="00D66DF0" w:rsidP="00344D41">
      <w:pPr>
        <w:tabs>
          <w:tab w:val="left" w:pos="720"/>
          <w:tab w:val="center" w:pos="4824"/>
        </w:tabs>
        <w:spacing w:line="480" w:lineRule="auto"/>
        <w:ind w:firstLine="720"/>
        <w:jc w:val="both"/>
        <w:rPr>
          <w:bCs/>
        </w:rPr>
      </w:pPr>
      <w:r>
        <w:rPr>
          <w:bCs/>
        </w:rPr>
        <w:t xml:space="preserve">  </w:t>
      </w: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04E63" w:rsidRDefault="00344D41" w:rsidP="00344D41">
      <w:pPr>
        <w:tabs>
          <w:tab w:val="left" w:pos="720"/>
          <w:tab w:val="center" w:pos="4824"/>
        </w:tabs>
        <w:spacing w:line="480" w:lineRule="auto"/>
        <w:ind w:firstLine="720"/>
        <w:jc w:val="both"/>
        <w:rPr>
          <w:bCs/>
        </w:rPr>
      </w:pPr>
      <w:r>
        <w:rPr>
          <w:bCs/>
        </w:rPr>
        <w:tab/>
      </w:r>
    </w:p>
    <w:p w:rsidR="00204E63" w:rsidRDefault="00204E63" w:rsidP="003B278C">
      <w:pPr>
        <w:tabs>
          <w:tab w:val="left" w:pos="720"/>
        </w:tabs>
        <w:spacing w:line="480" w:lineRule="auto"/>
        <w:ind w:firstLine="720"/>
        <w:jc w:val="both"/>
        <w:rPr>
          <w:bCs/>
        </w:rPr>
      </w:pPr>
    </w:p>
    <w:p w:rsidR="00375BB2" w:rsidRDefault="00375BB2" w:rsidP="00204E63">
      <w:pPr>
        <w:tabs>
          <w:tab w:val="left" w:pos="720"/>
        </w:tabs>
        <w:spacing w:line="480" w:lineRule="auto"/>
        <w:ind w:firstLine="720"/>
        <w:jc w:val="both"/>
        <w:rPr>
          <w:bCs/>
        </w:rPr>
      </w:pPr>
    </w:p>
    <w:p w:rsidR="00204E63" w:rsidRDefault="00D66DF0" w:rsidP="00204E63">
      <w:pPr>
        <w:tabs>
          <w:tab w:val="left" w:pos="720"/>
        </w:tabs>
        <w:spacing w:line="480" w:lineRule="auto"/>
        <w:ind w:firstLine="720"/>
        <w:jc w:val="both"/>
        <w:rPr>
          <w:bCs/>
        </w:rPr>
      </w:pPr>
      <w:r>
        <w:rPr>
          <w:bCs/>
        </w:rPr>
        <w:t>The dotted line</w:t>
      </w:r>
      <w:r w:rsidR="00EA75E7">
        <w:rPr>
          <w:bCs/>
        </w:rPr>
        <w:t xml:space="preserve"> at the top of the graph</w:t>
      </w:r>
      <w:r>
        <w:rPr>
          <w:bCs/>
        </w:rPr>
        <w:t xml:space="preserve"> shows the</w:t>
      </w:r>
      <w:r w:rsidR="000A19F4">
        <w:rPr>
          <w:bCs/>
        </w:rPr>
        <w:t xml:space="preserve"> </w:t>
      </w:r>
      <w:r w:rsidR="00AF6076">
        <w:rPr>
          <w:bCs/>
          <w:u w:val="single"/>
        </w:rPr>
        <w:t>proposed</w:t>
      </w:r>
      <w:r>
        <w:rPr>
          <w:bCs/>
        </w:rPr>
        <w:t xml:space="preserve"> melded volumetric rate per kWh with an $8</w:t>
      </w:r>
      <w:r w:rsidR="00337798">
        <w:rPr>
          <w:bCs/>
        </w:rPr>
        <w:t>.50</w:t>
      </w:r>
      <w:r>
        <w:rPr>
          <w:bCs/>
        </w:rPr>
        <w:t xml:space="preserve"> per month basic charge.  The </w:t>
      </w:r>
      <w:r w:rsidR="000A19F4">
        <w:rPr>
          <w:bCs/>
        </w:rPr>
        <w:t>second</w:t>
      </w:r>
      <w:r>
        <w:rPr>
          <w:bCs/>
        </w:rPr>
        <w:t xml:space="preserve"> </w:t>
      </w:r>
      <w:r w:rsidR="000F0F87">
        <w:rPr>
          <w:bCs/>
        </w:rPr>
        <w:t>solid</w:t>
      </w:r>
      <w:r>
        <w:rPr>
          <w:bCs/>
        </w:rPr>
        <w:t xml:space="preserve"> line shows the</w:t>
      </w:r>
      <w:r w:rsidR="000A19F4">
        <w:rPr>
          <w:bCs/>
        </w:rPr>
        <w:t xml:space="preserve"> </w:t>
      </w:r>
      <w:r w:rsidR="000A19F4" w:rsidRPr="005E2247">
        <w:rPr>
          <w:bCs/>
          <w:u w:val="single"/>
        </w:rPr>
        <w:t>proposed</w:t>
      </w:r>
      <w:r>
        <w:rPr>
          <w:bCs/>
        </w:rPr>
        <w:t xml:space="preserve"> melded volumetric rate per kWh with a </w:t>
      </w:r>
      <w:r w:rsidR="00F234BF">
        <w:rPr>
          <w:bCs/>
        </w:rPr>
        <w:t>$14</w:t>
      </w:r>
      <w:r>
        <w:rPr>
          <w:bCs/>
        </w:rPr>
        <w:t xml:space="preserve"> basic charge.  </w:t>
      </w:r>
      <w:r w:rsidR="00EA75E7">
        <w:rPr>
          <w:bCs/>
        </w:rPr>
        <w:t>At the bottom of the graph is a solid line which shows the levelized 20-year avoided cost from the Company’s 2013 electric Integrated Resource Plan</w:t>
      </w:r>
      <w:r w:rsidR="004032B9">
        <w:rPr>
          <w:bCs/>
        </w:rPr>
        <w:t xml:space="preserve"> ($0.05520 per kWh)</w:t>
      </w:r>
      <w:r w:rsidR="00EA75E7">
        <w:rPr>
          <w:bCs/>
        </w:rPr>
        <w:t xml:space="preserve">.  </w:t>
      </w:r>
      <w:r w:rsidR="00AF6076">
        <w:rPr>
          <w:bCs/>
        </w:rPr>
        <w:t>By</w:t>
      </w:r>
      <w:r w:rsidR="00EA75E7">
        <w:rPr>
          <w:bCs/>
        </w:rPr>
        <w:t xml:space="preserve"> adjusting the basic charge from its current $8</w:t>
      </w:r>
      <w:r w:rsidR="00337798">
        <w:rPr>
          <w:bCs/>
        </w:rPr>
        <w:t>.50</w:t>
      </w:r>
      <w:r w:rsidR="0030040F">
        <w:rPr>
          <w:bCs/>
        </w:rPr>
        <w:t xml:space="preserve"> per month</w:t>
      </w:r>
      <w:r w:rsidR="00EA75E7">
        <w:rPr>
          <w:bCs/>
        </w:rPr>
        <w:t xml:space="preserve"> level to </w:t>
      </w:r>
      <w:r w:rsidR="00F234BF">
        <w:rPr>
          <w:bCs/>
        </w:rPr>
        <w:t>$14</w:t>
      </w:r>
      <w:r w:rsidR="0030040F">
        <w:rPr>
          <w:bCs/>
        </w:rPr>
        <w:t xml:space="preserve"> per month</w:t>
      </w:r>
      <w:r w:rsidR="004032B9">
        <w:rPr>
          <w:bCs/>
        </w:rPr>
        <w:t>, the</w:t>
      </w:r>
      <w:r w:rsidR="00EA75E7">
        <w:rPr>
          <w:bCs/>
        </w:rPr>
        <w:t xml:space="preserve"> result</w:t>
      </w:r>
      <w:r w:rsidR="000A19F4">
        <w:rPr>
          <w:bCs/>
        </w:rPr>
        <w:t>ing</w:t>
      </w:r>
      <w:r w:rsidR="00EA75E7">
        <w:rPr>
          <w:bCs/>
        </w:rPr>
        <w:t xml:space="preserve"> melded volumetric rate</w:t>
      </w:r>
      <w:r w:rsidR="000A19F4">
        <w:rPr>
          <w:bCs/>
        </w:rPr>
        <w:t xml:space="preserve">, </w:t>
      </w:r>
      <w:r w:rsidR="00247DEE">
        <w:rPr>
          <w:bCs/>
        </w:rPr>
        <w:t xml:space="preserve">is </w:t>
      </w:r>
      <w:r w:rsidR="00EA75E7">
        <w:rPr>
          <w:bCs/>
        </w:rPr>
        <w:t>well above the 20</w:t>
      </w:r>
      <w:r w:rsidR="005E2247">
        <w:rPr>
          <w:bCs/>
        </w:rPr>
        <w:t>-</w:t>
      </w:r>
      <w:r w:rsidR="00EA75E7">
        <w:rPr>
          <w:bCs/>
        </w:rPr>
        <w:t xml:space="preserve">year levelized avoided cost.  With a basic charge of </w:t>
      </w:r>
      <w:r w:rsidR="00F234BF">
        <w:rPr>
          <w:bCs/>
        </w:rPr>
        <w:t>$14</w:t>
      </w:r>
      <w:r w:rsidR="00EA75E7">
        <w:rPr>
          <w:bCs/>
        </w:rPr>
        <w:t xml:space="preserve"> per month, customers w</w:t>
      </w:r>
      <w:r w:rsidR="000A19F4">
        <w:rPr>
          <w:bCs/>
        </w:rPr>
        <w:t>ill</w:t>
      </w:r>
      <w:r w:rsidR="00EA75E7">
        <w:rPr>
          <w:bCs/>
        </w:rPr>
        <w:t xml:space="preserve"> still pay a volumetric rate, regardless of usage, that exceeds the Company’s avoided cost</w:t>
      </w:r>
      <w:r w:rsidR="004032B9">
        <w:rPr>
          <w:bCs/>
        </w:rPr>
        <w:t xml:space="preserve"> and</w:t>
      </w:r>
      <w:r w:rsidR="00AF6076">
        <w:rPr>
          <w:bCs/>
        </w:rPr>
        <w:t>,</w:t>
      </w:r>
      <w:r w:rsidR="00204E63">
        <w:rPr>
          <w:bCs/>
        </w:rPr>
        <w:t xml:space="preserve"> </w:t>
      </w:r>
      <w:r w:rsidR="000A19F4">
        <w:rPr>
          <w:bCs/>
        </w:rPr>
        <w:t>therefore</w:t>
      </w:r>
      <w:r w:rsidR="00AF6076">
        <w:rPr>
          <w:bCs/>
        </w:rPr>
        <w:t>,</w:t>
      </w:r>
      <w:r w:rsidR="000A19F4">
        <w:rPr>
          <w:bCs/>
        </w:rPr>
        <w:t xml:space="preserve"> </w:t>
      </w:r>
      <w:r w:rsidR="00204E63">
        <w:rPr>
          <w:bCs/>
        </w:rPr>
        <w:t xml:space="preserve">sends a very clear price signal.  </w:t>
      </w:r>
    </w:p>
    <w:p w:rsidR="003B278C" w:rsidRPr="007F3749" w:rsidRDefault="003B278C" w:rsidP="00204E63">
      <w:pPr>
        <w:tabs>
          <w:tab w:val="left" w:pos="720"/>
        </w:tabs>
        <w:spacing w:line="480" w:lineRule="auto"/>
        <w:ind w:firstLine="720"/>
        <w:jc w:val="both"/>
      </w:pPr>
      <w:r w:rsidRPr="008B41AB">
        <w:rPr>
          <w:bCs/>
        </w:rPr>
        <w:t xml:space="preserve">For natural gas, the Company included several forecasts in </w:t>
      </w:r>
      <w:r>
        <w:rPr>
          <w:bCs/>
        </w:rPr>
        <w:t>i</w:t>
      </w:r>
      <w:r w:rsidRPr="008B41AB">
        <w:rPr>
          <w:bCs/>
        </w:rPr>
        <w:t>ts 2</w:t>
      </w:r>
      <w:r w:rsidR="00337798">
        <w:rPr>
          <w:bCs/>
        </w:rPr>
        <w:t>014</w:t>
      </w:r>
      <w:r w:rsidRPr="008B41AB">
        <w:rPr>
          <w:bCs/>
        </w:rPr>
        <w:t xml:space="preserve"> </w:t>
      </w:r>
      <w:r w:rsidR="00AF6449">
        <w:rPr>
          <w:bCs/>
        </w:rPr>
        <w:t>Integrated Resource Plan which a</w:t>
      </w:r>
      <w:r w:rsidRPr="008B41AB">
        <w:rPr>
          <w:bCs/>
        </w:rPr>
        <w:t>ll show</w:t>
      </w:r>
      <w:r w:rsidR="000A19F4">
        <w:rPr>
          <w:bCs/>
        </w:rPr>
        <w:t>ed</w:t>
      </w:r>
      <w:r w:rsidR="00AF6076">
        <w:rPr>
          <w:bCs/>
        </w:rPr>
        <w:t xml:space="preserve"> forecast</w:t>
      </w:r>
      <w:r w:rsidRPr="008B41AB">
        <w:rPr>
          <w:bCs/>
        </w:rPr>
        <w:t xml:space="preserve"> natural gas prices at Henry Hub over the next </w:t>
      </w:r>
      <w:r w:rsidR="00E85E66">
        <w:rPr>
          <w:bCs/>
        </w:rPr>
        <w:t>20</w:t>
      </w:r>
      <w:r w:rsidRPr="007F3749">
        <w:rPr>
          <w:bCs/>
        </w:rPr>
        <w:t xml:space="preserve"> years being lower than Avista’s retail rate</w:t>
      </w:r>
      <w:r w:rsidRPr="007F3749">
        <w:rPr>
          <w:rStyle w:val="FootnoteReference"/>
          <w:bCs/>
        </w:rPr>
        <w:footnoteReference w:id="9"/>
      </w:r>
      <w:r w:rsidRPr="007F3749">
        <w:rPr>
          <w:bCs/>
        </w:rPr>
        <w:t xml:space="preserve">.   </w:t>
      </w:r>
    </w:p>
    <w:p w:rsidR="00337798" w:rsidRPr="007F3749" w:rsidRDefault="00337798" w:rsidP="00337798">
      <w:pPr>
        <w:pStyle w:val="BodyText2"/>
        <w:tabs>
          <w:tab w:val="left" w:pos="720"/>
          <w:tab w:val="left" w:pos="810"/>
          <w:tab w:val="left" w:pos="1440"/>
        </w:tabs>
        <w:ind w:firstLine="720"/>
        <w:rPr>
          <w:b/>
          <w:bCs/>
        </w:rPr>
      </w:pPr>
      <w:r w:rsidRPr="007F3749">
        <w:rPr>
          <w:b/>
          <w:bCs/>
        </w:rPr>
        <w:lastRenderedPageBreak/>
        <w:t>Q.</w:t>
      </w:r>
      <w:r w:rsidRPr="007F3749">
        <w:rPr>
          <w:b/>
          <w:bCs/>
        </w:rPr>
        <w:tab/>
        <w:t>Does the fact that that Avista now has electric and natural gas decoupling change the Company’s view of the appropriate level of the basic charge?</w:t>
      </w:r>
    </w:p>
    <w:p w:rsidR="00337798" w:rsidRDefault="00E85E66" w:rsidP="00337798">
      <w:pPr>
        <w:pStyle w:val="BodyText2"/>
        <w:tabs>
          <w:tab w:val="left" w:pos="720"/>
          <w:tab w:val="left" w:pos="810"/>
          <w:tab w:val="left" w:pos="1440"/>
        </w:tabs>
        <w:ind w:firstLine="720"/>
        <w:rPr>
          <w:bCs/>
        </w:rPr>
      </w:pPr>
      <w:r>
        <w:rPr>
          <w:bCs/>
        </w:rPr>
        <w:t xml:space="preserve">A.  </w:t>
      </w:r>
      <w:r>
        <w:rPr>
          <w:bCs/>
        </w:rPr>
        <w:tab/>
        <w:t>No</w:t>
      </w:r>
      <w:r w:rsidR="00247DEE">
        <w:rPr>
          <w:bCs/>
        </w:rPr>
        <w:t>,</w:t>
      </w:r>
      <w:r w:rsidR="00337798" w:rsidRPr="007F3749">
        <w:rPr>
          <w:bCs/>
        </w:rPr>
        <w:t xml:space="preserve"> </w:t>
      </w:r>
      <w:r>
        <w:rPr>
          <w:bCs/>
        </w:rPr>
        <w:t>it does not</w:t>
      </w:r>
      <w:r w:rsidR="00AF6449" w:rsidRPr="007F3749">
        <w:rPr>
          <w:bCs/>
        </w:rPr>
        <w:t>.  Decoupling is</w:t>
      </w:r>
      <w:r w:rsidR="00AF6449">
        <w:rPr>
          <w:bCs/>
        </w:rPr>
        <w:t xml:space="preserve"> an important mechanism which allows the Company to recover, on a per customer basis, the fixed costs of providing service to customers which are not otherwise recovered in the basic charge. Decoupling</w:t>
      </w:r>
      <w:r w:rsidR="007F3749">
        <w:rPr>
          <w:bCs/>
        </w:rPr>
        <w:t>, however,</w:t>
      </w:r>
      <w:r w:rsidR="00AF6449">
        <w:rPr>
          <w:bCs/>
        </w:rPr>
        <w:t xml:space="preserve"> does not fix the </w:t>
      </w:r>
      <w:r w:rsidR="007F3749">
        <w:rPr>
          <w:bCs/>
        </w:rPr>
        <w:t>problem</w:t>
      </w:r>
      <w:r w:rsidR="00AF6449">
        <w:rPr>
          <w:bCs/>
        </w:rPr>
        <w:t xml:space="preserve"> of intra-schedule cross subsidization.  </w:t>
      </w:r>
      <w:r w:rsidR="005F75EE">
        <w:rPr>
          <w:bCs/>
        </w:rPr>
        <w:t xml:space="preserve">As long as a portion of the Company’s fixed costs are recovered in volumetric rates, ultimately some customers in a rate schedule are being subsidized by other customers.  </w:t>
      </w:r>
      <w:r w:rsidR="00AF6449">
        <w:rPr>
          <w:bCs/>
        </w:rPr>
        <w:t>The Company believes that progress needs to be made in reducing the amount of</w:t>
      </w:r>
      <w:r w:rsidR="005F75EE">
        <w:rPr>
          <w:bCs/>
        </w:rPr>
        <w:t xml:space="preserve"> intra</w:t>
      </w:r>
      <w:r w:rsidR="005869EC">
        <w:rPr>
          <w:bCs/>
        </w:rPr>
        <w:t>-</w:t>
      </w:r>
      <w:r w:rsidR="005F75EE">
        <w:rPr>
          <w:bCs/>
        </w:rPr>
        <w:t>schedule</w:t>
      </w:r>
      <w:r w:rsidR="00AF6449">
        <w:rPr>
          <w:bCs/>
        </w:rPr>
        <w:t xml:space="preserve"> subsidization,</w:t>
      </w:r>
      <w:r w:rsidR="005F75EE">
        <w:rPr>
          <w:bCs/>
        </w:rPr>
        <w:t xml:space="preserve"> and the $1</w:t>
      </w:r>
      <w:r w:rsidR="00F234BF">
        <w:rPr>
          <w:bCs/>
        </w:rPr>
        <w:t>4</w:t>
      </w:r>
      <w:r w:rsidR="005F75EE">
        <w:rPr>
          <w:bCs/>
        </w:rPr>
        <w:t xml:space="preserve"> per month basic charge proposal helps to do just that.</w:t>
      </w:r>
      <w:r w:rsidR="00AF6449">
        <w:rPr>
          <w:bCs/>
        </w:rPr>
        <w:t xml:space="preserve">  </w:t>
      </w:r>
    </w:p>
    <w:p w:rsidR="005F75EE" w:rsidRPr="007F3749" w:rsidRDefault="005F75EE" w:rsidP="005F75EE">
      <w:pPr>
        <w:pStyle w:val="BodyText2"/>
        <w:tabs>
          <w:tab w:val="left" w:pos="720"/>
          <w:tab w:val="left" w:pos="810"/>
          <w:tab w:val="left" w:pos="1440"/>
        </w:tabs>
        <w:ind w:firstLine="720"/>
        <w:rPr>
          <w:b/>
          <w:bCs/>
        </w:rPr>
      </w:pPr>
      <w:r w:rsidRPr="007F3749">
        <w:rPr>
          <w:b/>
          <w:bCs/>
        </w:rPr>
        <w:t>Q.</w:t>
      </w:r>
      <w:r w:rsidRPr="007F3749">
        <w:rPr>
          <w:b/>
          <w:bCs/>
        </w:rPr>
        <w:tab/>
      </w:r>
      <w:r>
        <w:rPr>
          <w:b/>
          <w:bCs/>
        </w:rPr>
        <w:t xml:space="preserve">Has the Company </w:t>
      </w:r>
      <w:r w:rsidR="00247DEE">
        <w:rPr>
          <w:b/>
          <w:bCs/>
        </w:rPr>
        <w:t xml:space="preserve">considered </w:t>
      </w:r>
      <w:r>
        <w:rPr>
          <w:b/>
          <w:bCs/>
        </w:rPr>
        <w:t>other rate design changes other than increasing the basic charge to address fixed cost recovery issues</w:t>
      </w:r>
      <w:r w:rsidRPr="007F3749">
        <w:rPr>
          <w:b/>
          <w:bCs/>
        </w:rPr>
        <w:t>?</w:t>
      </w:r>
    </w:p>
    <w:p w:rsidR="00337798" w:rsidRDefault="005F75EE" w:rsidP="005F75EE">
      <w:pPr>
        <w:pStyle w:val="BodyText2"/>
        <w:tabs>
          <w:tab w:val="left" w:pos="720"/>
          <w:tab w:val="left" w:pos="810"/>
          <w:tab w:val="left" w:pos="1440"/>
        </w:tabs>
        <w:ind w:firstLine="720"/>
        <w:rPr>
          <w:bCs/>
        </w:rPr>
      </w:pPr>
      <w:r w:rsidRPr="007F3749">
        <w:rPr>
          <w:bCs/>
        </w:rPr>
        <w:t xml:space="preserve">A.  </w:t>
      </w:r>
      <w:r w:rsidRPr="007F3749">
        <w:rPr>
          <w:bCs/>
        </w:rPr>
        <w:tab/>
      </w:r>
      <w:r>
        <w:rPr>
          <w:bCs/>
        </w:rPr>
        <w:t>Yes.  In the Company’s electric cost of service study, costs are ultimately classified into three main categories: energy, demand, and customer.  As shown on Ms. Knox’s Exhibit No.__</w:t>
      </w:r>
      <w:proofErr w:type="gramStart"/>
      <w:r>
        <w:rPr>
          <w:bCs/>
        </w:rPr>
        <w:t>_(</w:t>
      </w:r>
      <w:proofErr w:type="gramEnd"/>
      <w:r>
        <w:rPr>
          <w:bCs/>
        </w:rPr>
        <w:t>TLK-4), the costs associated with customers (meters, meter reading, billing, etc.) would be recovered in a monthly customer charge of $</w:t>
      </w:r>
      <w:r w:rsidR="00F234BF">
        <w:rPr>
          <w:bCs/>
        </w:rPr>
        <w:t>14.73</w:t>
      </w:r>
      <w:r>
        <w:rPr>
          <w:bCs/>
        </w:rPr>
        <w:t xml:space="preserve">.  Costs associated with energy would be recovered in a variable energy rate of $0.04131/kWh.  All other costs which are related to </w:t>
      </w:r>
      <w:proofErr w:type="gramStart"/>
      <w:r>
        <w:rPr>
          <w:bCs/>
        </w:rPr>
        <w:t>demand,</w:t>
      </w:r>
      <w:proofErr w:type="gramEnd"/>
      <w:r>
        <w:rPr>
          <w:bCs/>
        </w:rPr>
        <w:t xml:space="preserve"> would be recovered in a demand charge </w:t>
      </w:r>
      <w:r w:rsidR="00F234BF">
        <w:rPr>
          <w:bCs/>
        </w:rPr>
        <w:t>in the range of $4 to $</w:t>
      </w:r>
      <w:r w:rsidR="006E75AB">
        <w:rPr>
          <w:bCs/>
        </w:rPr>
        <w:t>6</w:t>
      </w:r>
      <w:r w:rsidR="00F234BF">
        <w:rPr>
          <w:bCs/>
        </w:rPr>
        <w:t xml:space="preserve"> per kW</w:t>
      </w:r>
      <w:r w:rsidR="00F234BF">
        <w:rPr>
          <w:rStyle w:val="FootnoteReference"/>
          <w:bCs/>
        </w:rPr>
        <w:footnoteReference w:id="10"/>
      </w:r>
      <w:r>
        <w:rPr>
          <w:bCs/>
        </w:rPr>
        <w:t>.  These</w:t>
      </w:r>
      <w:r w:rsidR="00F234BF">
        <w:rPr>
          <w:bCs/>
        </w:rPr>
        <w:t xml:space="preserve"> demand costs include costs </w:t>
      </w:r>
      <w:r>
        <w:rPr>
          <w:bCs/>
        </w:rPr>
        <w:t>associated with the generation facilities</w:t>
      </w:r>
      <w:r w:rsidR="00F234BF">
        <w:rPr>
          <w:bCs/>
        </w:rPr>
        <w:t>,</w:t>
      </w:r>
      <w:r>
        <w:rPr>
          <w:bCs/>
        </w:rPr>
        <w:t xml:space="preserve"> transmission and distribution.</w:t>
      </w:r>
      <w:r w:rsidR="00F234BF">
        <w:rPr>
          <w:bCs/>
        </w:rPr>
        <w:t xml:space="preserve">  Three-tier pricing, if correctly implemented, would provide for </w:t>
      </w:r>
      <w:r w:rsidR="00F234BF">
        <w:rPr>
          <w:bCs/>
        </w:rPr>
        <w:lastRenderedPageBreak/>
        <w:t>a better rate design</w:t>
      </w:r>
      <w:r w:rsidR="00AF6076">
        <w:rPr>
          <w:bCs/>
        </w:rPr>
        <w:t>,</w:t>
      </w:r>
      <w:r w:rsidR="00F234BF">
        <w:rPr>
          <w:bCs/>
        </w:rPr>
        <w:t xml:space="preserve"> as customers would be able to see and pay for the true cost of their utility service.</w:t>
      </w:r>
    </w:p>
    <w:p w:rsidR="00AC43BC" w:rsidRPr="007F3749" w:rsidRDefault="00AC43BC" w:rsidP="00AC43BC">
      <w:pPr>
        <w:pStyle w:val="BodyText2"/>
        <w:tabs>
          <w:tab w:val="left" w:pos="720"/>
          <w:tab w:val="left" w:pos="810"/>
          <w:tab w:val="left" w:pos="1440"/>
        </w:tabs>
        <w:ind w:firstLine="720"/>
        <w:rPr>
          <w:b/>
          <w:bCs/>
        </w:rPr>
      </w:pPr>
      <w:r w:rsidRPr="007F3749">
        <w:rPr>
          <w:b/>
          <w:bCs/>
        </w:rPr>
        <w:t>Q.</w:t>
      </w:r>
      <w:r w:rsidRPr="007F3749">
        <w:rPr>
          <w:b/>
          <w:bCs/>
        </w:rPr>
        <w:tab/>
      </w:r>
      <w:r>
        <w:rPr>
          <w:b/>
          <w:bCs/>
        </w:rPr>
        <w:t>Why hasn’t the Company filed for residential demand charges</w:t>
      </w:r>
      <w:r w:rsidRPr="007F3749">
        <w:rPr>
          <w:b/>
          <w:bCs/>
        </w:rPr>
        <w:t>?</w:t>
      </w:r>
    </w:p>
    <w:p w:rsidR="00AC43BC" w:rsidRDefault="00AC43BC" w:rsidP="00AC43BC">
      <w:pPr>
        <w:pStyle w:val="BodyText2"/>
        <w:tabs>
          <w:tab w:val="left" w:pos="720"/>
          <w:tab w:val="left" w:pos="810"/>
          <w:tab w:val="left" w:pos="1440"/>
        </w:tabs>
        <w:ind w:firstLine="720"/>
        <w:rPr>
          <w:bCs/>
        </w:rPr>
      </w:pPr>
      <w:r w:rsidRPr="007F3749">
        <w:rPr>
          <w:bCs/>
        </w:rPr>
        <w:t xml:space="preserve">A.  </w:t>
      </w:r>
      <w:r w:rsidRPr="007F3749">
        <w:rPr>
          <w:bCs/>
        </w:rPr>
        <w:tab/>
      </w:r>
      <w:r>
        <w:rPr>
          <w:bCs/>
        </w:rPr>
        <w:t xml:space="preserve">The simple answer is that the Company does not have the metering </w:t>
      </w:r>
      <w:r w:rsidR="00BE4355">
        <w:rPr>
          <w:bCs/>
        </w:rPr>
        <w:t>infrastructure</w:t>
      </w:r>
      <w:r>
        <w:rPr>
          <w:bCs/>
        </w:rPr>
        <w:t xml:space="preserve"> to do so.  As discussed in Company witness Mr. Kopczynski’s Exhibit No. DFK-2 related to Advanced Metering Infrastructure (“AMI”), at page 10:</w:t>
      </w:r>
    </w:p>
    <w:p w:rsidR="00AC43BC" w:rsidRDefault="00AC43BC" w:rsidP="00AC43BC">
      <w:pPr>
        <w:pStyle w:val="BodyText2"/>
        <w:tabs>
          <w:tab w:val="left" w:pos="720"/>
          <w:tab w:val="left" w:pos="810"/>
          <w:tab w:val="left" w:pos="1440"/>
        </w:tabs>
        <w:spacing w:line="240" w:lineRule="auto"/>
        <w:ind w:left="720"/>
        <w:rPr>
          <w:bCs/>
        </w:rPr>
      </w:pPr>
      <w:r>
        <w:rPr>
          <w:bCs/>
        </w:rPr>
        <w:t xml:space="preserve">Advanced metering is a foundational technology for enabling the utility to implement rate structures that require interval metering capabilities.  Some of these rate options include time-of-use pricing, critical peak pricing, </w:t>
      </w:r>
      <w:r w:rsidRPr="00E90849">
        <w:rPr>
          <w:bCs/>
          <w:u w:val="single"/>
        </w:rPr>
        <w:t>and demand pricing</w:t>
      </w:r>
      <w:r>
        <w:rPr>
          <w:bCs/>
        </w:rPr>
        <w:t>.  Of these options, demand pricing is emerging as a likely means to ensure customer’s rates more accurately reflect the value of the system they use.</w:t>
      </w:r>
      <w:r w:rsidR="00E90849">
        <w:rPr>
          <w:bCs/>
        </w:rPr>
        <w:t xml:space="preserve"> (</w:t>
      </w:r>
      <w:proofErr w:type="gramStart"/>
      <w:r w:rsidR="00E90849">
        <w:rPr>
          <w:bCs/>
        </w:rPr>
        <w:t>emphasis</w:t>
      </w:r>
      <w:proofErr w:type="gramEnd"/>
      <w:r w:rsidR="00E90849">
        <w:rPr>
          <w:bCs/>
        </w:rPr>
        <w:t xml:space="preserve"> added)</w:t>
      </w:r>
    </w:p>
    <w:p w:rsidR="00AC43BC" w:rsidRDefault="00AC43BC" w:rsidP="00AC43BC">
      <w:pPr>
        <w:pStyle w:val="BodyText2"/>
        <w:tabs>
          <w:tab w:val="left" w:pos="720"/>
          <w:tab w:val="left" w:pos="810"/>
          <w:tab w:val="left" w:pos="1440"/>
        </w:tabs>
        <w:spacing w:line="240" w:lineRule="auto"/>
        <w:ind w:left="720"/>
        <w:rPr>
          <w:bCs/>
        </w:rPr>
      </w:pPr>
    </w:p>
    <w:p w:rsidR="00AC43BC" w:rsidRDefault="00AC43BC" w:rsidP="00AC43BC">
      <w:pPr>
        <w:pStyle w:val="BodyText2"/>
        <w:tabs>
          <w:tab w:val="left" w:pos="720"/>
          <w:tab w:val="left" w:pos="810"/>
          <w:tab w:val="left" w:pos="1440"/>
        </w:tabs>
        <w:ind w:firstLine="720"/>
        <w:rPr>
          <w:bCs/>
        </w:rPr>
      </w:pPr>
      <w:r>
        <w:rPr>
          <w:bCs/>
        </w:rPr>
        <w:t>Once the Company has deployed AMI throughout its Washington electric service territory, it may then seek to add demand charges to its residential rate design.</w:t>
      </w:r>
    </w:p>
    <w:p w:rsidR="003B278C" w:rsidRPr="00894834" w:rsidRDefault="003B278C" w:rsidP="003B278C">
      <w:pPr>
        <w:pStyle w:val="BodyText2"/>
        <w:tabs>
          <w:tab w:val="left" w:pos="720"/>
          <w:tab w:val="left" w:pos="810"/>
          <w:tab w:val="left" w:pos="1440"/>
        </w:tabs>
        <w:ind w:firstLine="720"/>
        <w:rPr>
          <w:b/>
          <w:bCs/>
        </w:rPr>
      </w:pPr>
      <w:r w:rsidRPr="00894834">
        <w:rPr>
          <w:b/>
          <w:bCs/>
        </w:rPr>
        <w:t>Q.</w:t>
      </w:r>
      <w:r w:rsidRPr="00894834">
        <w:rPr>
          <w:b/>
          <w:bCs/>
        </w:rPr>
        <w:tab/>
        <w:t>Have you prepared an analysis to show what impact the proposed rate design changes would have on customers</w:t>
      </w:r>
      <w:r w:rsidR="00D52400">
        <w:rPr>
          <w:b/>
          <w:bCs/>
        </w:rPr>
        <w:t xml:space="preserve"> on electric Schedule 1 and natural gas Schedule 101, including the proposed increases to the monthly basic charges</w:t>
      </w:r>
      <w:r w:rsidRPr="00894834">
        <w:rPr>
          <w:b/>
          <w:bCs/>
        </w:rPr>
        <w:t>?</w:t>
      </w:r>
    </w:p>
    <w:p w:rsidR="003B278C" w:rsidRPr="00894834" w:rsidRDefault="003B278C" w:rsidP="003B278C">
      <w:pPr>
        <w:pStyle w:val="BodyText2"/>
        <w:tabs>
          <w:tab w:val="left" w:pos="720"/>
          <w:tab w:val="left" w:pos="810"/>
          <w:tab w:val="left" w:pos="1440"/>
        </w:tabs>
        <w:ind w:firstLine="720"/>
        <w:rPr>
          <w:bCs/>
        </w:rPr>
      </w:pPr>
      <w:r w:rsidRPr="00894834">
        <w:rPr>
          <w:bCs/>
        </w:rPr>
        <w:t xml:space="preserve">A.  </w:t>
      </w:r>
      <w:r w:rsidRPr="00894834">
        <w:rPr>
          <w:bCs/>
        </w:rPr>
        <w:tab/>
        <w:t>Yes.  The Company completed an analysis showing the impact on low, average, and high use electric and natural gas customers.  The comparison shows the difference in a customer’s bill (only including base rates) based on the Basic Charge and volume</w:t>
      </w:r>
      <w:bookmarkStart w:id="1" w:name="_GoBack"/>
      <w:bookmarkEnd w:id="1"/>
      <w:r w:rsidRPr="00894834">
        <w:rPr>
          <w:bCs/>
        </w:rPr>
        <w:t xml:space="preserve">tric rates being increased on a uniform percentage basis, versus the Company’s proposed changes.  Table </w:t>
      </w:r>
      <w:r w:rsidR="00066399">
        <w:rPr>
          <w:bCs/>
        </w:rPr>
        <w:t>10</w:t>
      </w:r>
      <w:r w:rsidRPr="00894834">
        <w:rPr>
          <w:bCs/>
        </w:rPr>
        <w:t xml:space="preserve"> below details results of that analysis for </w:t>
      </w:r>
      <w:r w:rsidR="00D52400">
        <w:rPr>
          <w:bCs/>
        </w:rPr>
        <w:t xml:space="preserve">residential </w:t>
      </w:r>
      <w:r w:rsidRPr="00894834">
        <w:rPr>
          <w:bCs/>
          <w:u w:val="single"/>
        </w:rPr>
        <w:t>electric</w:t>
      </w:r>
      <w:r w:rsidRPr="00894834">
        <w:rPr>
          <w:bCs/>
        </w:rPr>
        <w:t xml:space="preserve"> customers</w:t>
      </w:r>
      <w:r w:rsidR="00D52400">
        <w:rPr>
          <w:bCs/>
        </w:rPr>
        <w:t xml:space="preserve"> on Schedule 1</w:t>
      </w:r>
      <w:r w:rsidRPr="00894834">
        <w:rPr>
          <w:bCs/>
        </w:rPr>
        <w:t>:</w:t>
      </w:r>
    </w:p>
    <w:p w:rsidR="00AF6076" w:rsidRDefault="00AF6076">
      <w:pPr>
        <w:autoSpaceDE/>
        <w:autoSpaceDN/>
        <w:rPr>
          <w:b/>
          <w:bCs/>
          <w:u w:val="single"/>
        </w:rPr>
      </w:pPr>
      <w:r>
        <w:rPr>
          <w:b/>
          <w:bCs/>
          <w:u w:val="single"/>
        </w:rPr>
        <w:br w:type="page"/>
      </w:r>
    </w:p>
    <w:p w:rsidR="003B278C" w:rsidRPr="00737CA1" w:rsidRDefault="00251F92" w:rsidP="003B278C">
      <w:pPr>
        <w:pStyle w:val="BodyText2"/>
        <w:tabs>
          <w:tab w:val="left" w:pos="810"/>
          <w:tab w:val="left" w:pos="1440"/>
        </w:tabs>
        <w:outlineLvl w:val="0"/>
        <w:rPr>
          <w:b/>
          <w:bCs/>
          <w:u w:val="single"/>
        </w:rPr>
      </w:pPr>
      <w:r>
        <w:rPr>
          <w:b/>
          <w:bCs/>
          <w:noProof/>
          <w:u w:val="single"/>
        </w:rPr>
        <w:lastRenderedPageBreak/>
        <w:drawing>
          <wp:anchor distT="0" distB="0" distL="114300" distR="114300" simplePos="0" relativeHeight="251950592" behindDoc="1" locked="0" layoutInCell="1" allowOverlap="1">
            <wp:simplePos x="0" y="0"/>
            <wp:positionH relativeFrom="column">
              <wp:posOffset>20955</wp:posOffset>
            </wp:positionH>
            <wp:positionV relativeFrom="paragraph">
              <wp:posOffset>305435</wp:posOffset>
            </wp:positionV>
            <wp:extent cx="5762625" cy="1314450"/>
            <wp:effectExtent l="19050" t="0" r="9525"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762625" cy="1314450"/>
                    </a:xfrm>
                    <a:prstGeom prst="rect">
                      <a:avLst/>
                    </a:prstGeom>
                    <a:noFill/>
                    <a:ln w="9525">
                      <a:noFill/>
                      <a:miter lim="800000"/>
                      <a:headEnd/>
                      <a:tailEnd/>
                    </a:ln>
                  </pic:spPr>
                </pic:pic>
              </a:graphicData>
            </a:graphic>
          </wp:anchor>
        </w:drawing>
      </w:r>
      <w:r w:rsidR="00D52400">
        <w:rPr>
          <w:b/>
          <w:bCs/>
          <w:u w:val="single"/>
        </w:rPr>
        <w:t xml:space="preserve">Table </w:t>
      </w:r>
      <w:r w:rsidR="00066399">
        <w:rPr>
          <w:b/>
          <w:bCs/>
          <w:u w:val="single"/>
        </w:rPr>
        <w:t>10</w:t>
      </w:r>
    </w:p>
    <w:p w:rsidR="003B278C" w:rsidRDefault="003B278C" w:rsidP="003B278C">
      <w:pPr>
        <w:pStyle w:val="BodyText2"/>
        <w:tabs>
          <w:tab w:val="left" w:pos="810"/>
          <w:tab w:val="left" w:pos="1440"/>
        </w:tabs>
        <w:outlineLvl w:val="0"/>
        <w:rPr>
          <w:bCs/>
        </w:rPr>
      </w:pPr>
    </w:p>
    <w:p w:rsidR="003B278C" w:rsidRDefault="003B278C" w:rsidP="003B278C">
      <w:pPr>
        <w:spacing w:line="480" w:lineRule="auto"/>
        <w:jc w:val="both"/>
        <w:rPr>
          <w:bCs/>
        </w:rPr>
      </w:pPr>
    </w:p>
    <w:p w:rsidR="003B278C" w:rsidRDefault="003B278C" w:rsidP="003B278C">
      <w:pPr>
        <w:spacing w:line="480" w:lineRule="auto"/>
        <w:jc w:val="both"/>
        <w:rPr>
          <w:bCs/>
        </w:rPr>
      </w:pPr>
    </w:p>
    <w:p w:rsidR="003B278C" w:rsidRDefault="003B278C" w:rsidP="003B278C">
      <w:pPr>
        <w:spacing w:line="480" w:lineRule="auto"/>
        <w:jc w:val="both"/>
        <w:rPr>
          <w:bCs/>
        </w:rPr>
      </w:pPr>
    </w:p>
    <w:p w:rsidR="00AF6076" w:rsidRDefault="00AF6076" w:rsidP="00BE4355">
      <w:pPr>
        <w:spacing w:line="480" w:lineRule="auto"/>
        <w:jc w:val="both"/>
        <w:rPr>
          <w:bCs/>
        </w:rPr>
      </w:pPr>
    </w:p>
    <w:p w:rsidR="00BE4355" w:rsidRDefault="003B278C" w:rsidP="00BE4355">
      <w:pPr>
        <w:spacing w:line="480" w:lineRule="auto"/>
        <w:jc w:val="both"/>
        <w:rPr>
          <w:b/>
          <w:bCs/>
          <w:u w:val="single"/>
        </w:rPr>
      </w:pPr>
      <w:r w:rsidRPr="00894834">
        <w:rPr>
          <w:bCs/>
        </w:rPr>
        <w:t>Table 1</w:t>
      </w:r>
      <w:r w:rsidR="00066399">
        <w:rPr>
          <w:bCs/>
        </w:rPr>
        <w:t>1</w:t>
      </w:r>
      <w:r w:rsidRPr="00894834">
        <w:rPr>
          <w:bCs/>
        </w:rPr>
        <w:t xml:space="preserve"> below details the analysis for </w:t>
      </w:r>
      <w:r w:rsidRPr="00894834">
        <w:rPr>
          <w:bCs/>
          <w:u w:val="single"/>
        </w:rPr>
        <w:t>natural gas</w:t>
      </w:r>
      <w:r w:rsidRPr="00894834">
        <w:rPr>
          <w:bCs/>
        </w:rPr>
        <w:t xml:space="preserve"> customers</w:t>
      </w:r>
      <w:r w:rsidR="00D52400">
        <w:rPr>
          <w:bCs/>
        </w:rPr>
        <w:t xml:space="preserve"> on Schedule 101</w:t>
      </w:r>
      <w:r w:rsidRPr="00894834">
        <w:rPr>
          <w:bCs/>
        </w:rPr>
        <w:t>:</w:t>
      </w:r>
    </w:p>
    <w:p w:rsidR="003B278C" w:rsidRPr="00737CA1" w:rsidRDefault="003C1C3E" w:rsidP="003B278C">
      <w:pPr>
        <w:spacing w:line="480" w:lineRule="auto"/>
        <w:jc w:val="both"/>
        <w:rPr>
          <w:b/>
          <w:bCs/>
          <w:u w:val="single"/>
        </w:rPr>
      </w:pPr>
      <w:r>
        <w:rPr>
          <w:b/>
          <w:bCs/>
          <w:noProof/>
          <w:u w:val="single"/>
        </w:rPr>
        <w:drawing>
          <wp:anchor distT="0" distB="0" distL="114300" distR="114300" simplePos="0" relativeHeight="251943424" behindDoc="1" locked="0" layoutInCell="1" allowOverlap="1">
            <wp:simplePos x="0" y="0"/>
            <wp:positionH relativeFrom="column">
              <wp:posOffset>20955</wp:posOffset>
            </wp:positionH>
            <wp:positionV relativeFrom="paragraph">
              <wp:posOffset>316230</wp:posOffset>
            </wp:positionV>
            <wp:extent cx="5669280" cy="1485900"/>
            <wp:effectExtent l="19050" t="0" r="762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5669280" cy="1485900"/>
                    </a:xfrm>
                    <a:prstGeom prst="rect">
                      <a:avLst/>
                    </a:prstGeom>
                    <a:noFill/>
                    <a:ln w="9525">
                      <a:noFill/>
                      <a:miter lim="800000"/>
                      <a:headEnd/>
                      <a:tailEnd/>
                    </a:ln>
                  </pic:spPr>
                </pic:pic>
              </a:graphicData>
            </a:graphic>
          </wp:anchor>
        </w:drawing>
      </w:r>
      <w:r w:rsidR="002C1009">
        <w:rPr>
          <w:b/>
          <w:bCs/>
          <w:u w:val="single"/>
        </w:rPr>
        <w:t xml:space="preserve">Table </w:t>
      </w:r>
      <w:r w:rsidR="00066399">
        <w:rPr>
          <w:b/>
          <w:bCs/>
          <w:u w:val="single"/>
        </w:rPr>
        <w:t>11</w:t>
      </w:r>
    </w:p>
    <w:p w:rsidR="003B278C" w:rsidRPr="00D6449A" w:rsidRDefault="003B278C" w:rsidP="003B278C">
      <w:pPr>
        <w:spacing w:line="480" w:lineRule="auto"/>
        <w:jc w:val="both"/>
        <w:rPr>
          <w:b/>
          <w:bCs/>
          <w:highlight w:val="yellow"/>
          <w:u w:val="single"/>
        </w:rPr>
      </w:pPr>
    </w:p>
    <w:p w:rsidR="003B278C" w:rsidRPr="00D6449A" w:rsidRDefault="003B278C" w:rsidP="003B278C">
      <w:pPr>
        <w:pStyle w:val="BodyText2"/>
        <w:tabs>
          <w:tab w:val="left" w:pos="810"/>
          <w:tab w:val="left" w:pos="1440"/>
        </w:tabs>
        <w:rPr>
          <w:b/>
          <w:bCs/>
          <w:highlight w:val="yellow"/>
        </w:rPr>
      </w:pPr>
    </w:p>
    <w:p w:rsidR="003B278C" w:rsidRPr="008B41AB" w:rsidRDefault="003B278C" w:rsidP="003B278C">
      <w:pPr>
        <w:pStyle w:val="BodyText2"/>
        <w:tabs>
          <w:tab w:val="left" w:pos="810"/>
          <w:tab w:val="left" w:pos="1440"/>
        </w:tabs>
        <w:rPr>
          <w:b/>
          <w:bCs/>
        </w:rPr>
      </w:pPr>
    </w:p>
    <w:p w:rsidR="003B278C" w:rsidRPr="008B41AB" w:rsidRDefault="003B278C" w:rsidP="003B278C">
      <w:pPr>
        <w:pStyle w:val="BodyText2"/>
        <w:tabs>
          <w:tab w:val="left" w:pos="810"/>
          <w:tab w:val="left" w:pos="1440"/>
        </w:tabs>
        <w:rPr>
          <w:b/>
          <w:bCs/>
        </w:rPr>
      </w:pPr>
      <w:r w:rsidRPr="008B41AB">
        <w:rPr>
          <w:b/>
          <w:bCs/>
        </w:rPr>
        <w:tab/>
      </w:r>
    </w:p>
    <w:p w:rsidR="0022502F" w:rsidRDefault="0022502F" w:rsidP="003B278C">
      <w:pPr>
        <w:pStyle w:val="BodyText2"/>
        <w:tabs>
          <w:tab w:val="left" w:pos="810"/>
          <w:tab w:val="left" w:pos="1440"/>
        </w:tabs>
        <w:rPr>
          <w:bCs/>
        </w:rPr>
      </w:pPr>
    </w:p>
    <w:p w:rsidR="003B278C" w:rsidRPr="00294B78" w:rsidRDefault="00AF6076" w:rsidP="003B278C">
      <w:pPr>
        <w:pStyle w:val="BodyText2"/>
        <w:tabs>
          <w:tab w:val="left" w:pos="810"/>
          <w:tab w:val="left" w:pos="1440"/>
        </w:tabs>
        <w:rPr>
          <w:bCs/>
        </w:rPr>
      </w:pPr>
      <w:r>
        <w:rPr>
          <w:bCs/>
        </w:rPr>
        <w:tab/>
      </w:r>
      <w:r w:rsidR="004043D5">
        <w:rPr>
          <w:bCs/>
        </w:rPr>
        <w:t>T</w:t>
      </w:r>
      <w:r w:rsidR="003B278C" w:rsidRPr="00294B78">
        <w:rPr>
          <w:bCs/>
        </w:rPr>
        <w:t xml:space="preserve">he impact of the Company’s proposed change to the basic charge varies based on monthly consumption.  For an electric customer who uses </w:t>
      </w:r>
      <w:r w:rsidR="003B278C" w:rsidRPr="00294B78">
        <w:rPr>
          <w:bCs/>
          <w:u w:val="single"/>
        </w:rPr>
        <w:t>less</w:t>
      </w:r>
      <w:r w:rsidR="003B278C" w:rsidRPr="00294B78">
        <w:rPr>
          <w:bCs/>
        </w:rPr>
        <w:t xml:space="preserve"> than the average </w:t>
      </w:r>
      <w:r w:rsidR="005869EC">
        <w:rPr>
          <w:bCs/>
        </w:rPr>
        <w:t>966</w:t>
      </w:r>
      <w:r w:rsidR="0022502F">
        <w:rPr>
          <w:bCs/>
        </w:rPr>
        <w:t xml:space="preserve"> </w:t>
      </w:r>
      <w:r w:rsidR="00247DEE">
        <w:rPr>
          <w:bCs/>
        </w:rPr>
        <w:t>kWh</w:t>
      </w:r>
      <w:r w:rsidR="003B278C" w:rsidRPr="00294B78">
        <w:rPr>
          <w:bCs/>
        </w:rPr>
        <w:t>s</w:t>
      </w:r>
      <w:r w:rsidR="00247DEE">
        <w:rPr>
          <w:bCs/>
        </w:rPr>
        <w:t xml:space="preserve"> per month,</w:t>
      </w:r>
      <w:r w:rsidR="003B278C" w:rsidRPr="00294B78">
        <w:rPr>
          <w:bCs/>
        </w:rPr>
        <w:t xml:space="preserve"> and</w:t>
      </w:r>
      <w:r w:rsidR="003B278C" w:rsidRPr="00BA66BC">
        <w:rPr>
          <w:bCs/>
        </w:rPr>
        <w:t>/or</w:t>
      </w:r>
      <w:r w:rsidR="00247DEE">
        <w:rPr>
          <w:bCs/>
        </w:rPr>
        <w:t xml:space="preserve"> </w:t>
      </w:r>
      <w:proofErr w:type="gramStart"/>
      <w:r w:rsidR="00247DEE">
        <w:rPr>
          <w:bCs/>
        </w:rPr>
        <w:t>a natural gas customers</w:t>
      </w:r>
      <w:proofErr w:type="gramEnd"/>
      <w:r w:rsidR="00247DEE">
        <w:rPr>
          <w:bCs/>
        </w:rPr>
        <w:t xml:space="preserve"> who uses </w:t>
      </w:r>
      <w:r w:rsidR="00247DEE" w:rsidRPr="00247DEE">
        <w:rPr>
          <w:bCs/>
          <w:u w:val="single"/>
        </w:rPr>
        <w:t>less</w:t>
      </w:r>
      <w:r w:rsidR="00247DEE">
        <w:rPr>
          <w:bCs/>
        </w:rPr>
        <w:t xml:space="preserve"> than</w:t>
      </w:r>
      <w:r w:rsidR="003B278C" w:rsidRPr="00BA66BC">
        <w:rPr>
          <w:bCs/>
        </w:rPr>
        <w:t xml:space="preserve"> </w:t>
      </w:r>
      <w:r w:rsidR="005869EC">
        <w:rPr>
          <w:bCs/>
        </w:rPr>
        <w:t>68</w:t>
      </w:r>
      <w:r w:rsidR="003B278C" w:rsidRPr="00BA66BC">
        <w:rPr>
          <w:bCs/>
        </w:rPr>
        <w:t xml:space="preserve"> therms</w:t>
      </w:r>
      <w:r w:rsidR="003B278C" w:rsidRPr="00294B78">
        <w:rPr>
          <w:bCs/>
        </w:rPr>
        <w:t xml:space="preserve"> per month, the percentage impact will be slightly higher than for those customers who use </w:t>
      </w:r>
      <w:r w:rsidR="003B278C" w:rsidRPr="00294B78">
        <w:rPr>
          <w:bCs/>
          <w:u w:val="single"/>
        </w:rPr>
        <w:t>more</w:t>
      </w:r>
      <w:r w:rsidR="003B278C" w:rsidRPr="00294B78">
        <w:rPr>
          <w:bCs/>
        </w:rPr>
        <w:t xml:space="preserve"> than the average.  </w:t>
      </w:r>
      <w:r w:rsidR="003B278C">
        <w:rPr>
          <w:bCs/>
        </w:rPr>
        <w:t xml:space="preserve">That makes sense in that, with fixed costs being recovered in variable energy rates, </w:t>
      </w:r>
      <w:r w:rsidR="003B278C" w:rsidRPr="00E85E66">
        <w:rPr>
          <w:bCs/>
          <w:u w:val="single"/>
        </w:rPr>
        <w:t>customers with higher use are subsidizing lower use customers</w:t>
      </w:r>
      <w:r w:rsidR="003B278C">
        <w:rPr>
          <w:bCs/>
        </w:rPr>
        <w:t xml:space="preserve">.  </w:t>
      </w:r>
      <w:r w:rsidR="003B278C" w:rsidRPr="00294B78">
        <w:rPr>
          <w:bCs/>
        </w:rPr>
        <w:t>We believe the improvement in matching customer payment of fixed costs with the fixed costs to serve customers, together with removing part of the inequity among customers on the amount of fixed costs paid, warrants this relatively small bill impact.</w:t>
      </w:r>
    </w:p>
    <w:p w:rsidR="00BE4355" w:rsidRPr="00BE4355" w:rsidRDefault="003B278C" w:rsidP="00BE4355">
      <w:pPr>
        <w:pStyle w:val="BodyText2"/>
        <w:tabs>
          <w:tab w:val="left" w:pos="810"/>
          <w:tab w:val="left" w:pos="1440"/>
        </w:tabs>
        <w:ind w:firstLine="720"/>
        <w:outlineLvl w:val="0"/>
        <w:rPr>
          <w:bCs/>
        </w:rPr>
      </w:pPr>
      <w:r>
        <w:rPr>
          <w:bCs/>
        </w:rPr>
        <w:lastRenderedPageBreak/>
        <w:t xml:space="preserve">Table </w:t>
      </w:r>
      <w:r w:rsidR="00066399">
        <w:rPr>
          <w:bCs/>
        </w:rPr>
        <w:t>12</w:t>
      </w:r>
      <w:r w:rsidRPr="00294B78">
        <w:rPr>
          <w:bCs/>
        </w:rPr>
        <w:t xml:space="preserve"> below shows a comparison of monthly bills for an electric customer with average usage for a 12-month period.  It shows the difference in the monthly bills with a uniform percentage increase to the basic charge and </w:t>
      </w:r>
      <w:r>
        <w:rPr>
          <w:bCs/>
        </w:rPr>
        <w:t>a uniform cent</w:t>
      </w:r>
      <w:r w:rsidR="004043D5">
        <w:rPr>
          <w:bCs/>
        </w:rPr>
        <w:t>s/kWh</w:t>
      </w:r>
      <w:r>
        <w:rPr>
          <w:bCs/>
        </w:rPr>
        <w:t xml:space="preserve"> increase to the </w:t>
      </w:r>
      <w:r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w:t>
      </w:r>
      <w:r w:rsidRPr="0055278A">
        <w:rPr>
          <w:bCs/>
        </w:rPr>
        <w:t xml:space="preserve">costs to serve customers, </w:t>
      </w:r>
      <w:r w:rsidR="00CB153A">
        <w:rPr>
          <w:bCs/>
        </w:rPr>
        <w:t>with a 0.</w:t>
      </w:r>
      <w:r w:rsidR="00251F92">
        <w:rPr>
          <w:bCs/>
        </w:rPr>
        <w:t>3</w:t>
      </w:r>
      <w:r w:rsidR="00CB153A">
        <w:rPr>
          <w:bCs/>
        </w:rPr>
        <w:t>%</w:t>
      </w:r>
      <w:r w:rsidRPr="0055278A">
        <w:rPr>
          <w:bCs/>
        </w:rPr>
        <w:t xml:space="preserve"> annual difference in overall payment.</w:t>
      </w:r>
    </w:p>
    <w:p w:rsidR="003B278C" w:rsidRDefault="003B278C" w:rsidP="005E2247">
      <w:pPr>
        <w:pStyle w:val="BodyText2"/>
        <w:tabs>
          <w:tab w:val="left" w:pos="810"/>
          <w:tab w:val="left" w:pos="1440"/>
        </w:tabs>
        <w:spacing w:line="240" w:lineRule="auto"/>
        <w:outlineLvl w:val="0"/>
        <w:rPr>
          <w:b/>
          <w:bCs/>
          <w:u w:val="single"/>
        </w:rPr>
      </w:pPr>
      <w:r w:rsidRPr="0055278A">
        <w:rPr>
          <w:b/>
          <w:bCs/>
          <w:u w:val="single"/>
        </w:rPr>
        <w:t xml:space="preserve">Table </w:t>
      </w:r>
      <w:r w:rsidR="00066399">
        <w:rPr>
          <w:b/>
          <w:bCs/>
          <w:u w:val="single"/>
        </w:rPr>
        <w:t>12</w:t>
      </w:r>
      <w:r w:rsidR="005E2247">
        <w:rPr>
          <w:b/>
          <w:bCs/>
          <w:u w:val="single"/>
        </w:rPr>
        <w:t xml:space="preserve"> – Monthly Bills for a</w:t>
      </w:r>
      <w:r w:rsidR="004043D5">
        <w:rPr>
          <w:b/>
          <w:bCs/>
          <w:u w:val="single"/>
        </w:rPr>
        <w:t xml:space="preserve"> Residential Schedule 1</w:t>
      </w:r>
      <w:r w:rsidR="005E2247">
        <w:rPr>
          <w:b/>
          <w:bCs/>
          <w:u w:val="single"/>
        </w:rPr>
        <w:t xml:space="preserve"> Electric Customer using an Average of </w:t>
      </w:r>
      <w:r w:rsidR="005869EC">
        <w:rPr>
          <w:b/>
          <w:bCs/>
          <w:u w:val="single"/>
        </w:rPr>
        <w:t>966</w:t>
      </w:r>
      <w:r w:rsidR="005E2247">
        <w:rPr>
          <w:b/>
          <w:bCs/>
          <w:u w:val="single"/>
        </w:rPr>
        <w:t xml:space="preserve"> kWhs per Month</w:t>
      </w:r>
    </w:p>
    <w:p w:rsidR="005E2247" w:rsidRDefault="005E2247" w:rsidP="005E2247">
      <w:pPr>
        <w:pStyle w:val="BodyText2"/>
        <w:tabs>
          <w:tab w:val="left" w:pos="810"/>
          <w:tab w:val="left" w:pos="1440"/>
        </w:tabs>
        <w:spacing w:line="240" w:lineRule="auto"/>
        <w:outlineLvl w:val="0"/>
        <w:rPr>
          <w:b/>
          <w:bCs/>
          <w:u w:val="single"/>
        </w:rPr>
      </w:pPr>
    </w:p>
    <w:p w:rsidR="003B278C" w:rsidRPr="00737CA1" w:rsidRDefault="00251F92" w:rsidP="003B278C">
      <w:pPr>
        <w:pStyle w:val="BodyText2"/>
        <w:tabs>
          <w:tab w:val="left" w:pos="810"/>
          <w:tab w:val="left" w:pos="1440"/>
        </w:tabs>
        <w:outlineLvl w:val="0"/>
        <w:rPr>
          <w:b/>
          <w:bCs/>
          <w:u w:val="single"/>
        </w:rPr>
      </w:pPr>
      <w:r w:rsidRPr="00251F92">
        <w:rPr>
          <w:noProof/>
        </w:rPr>
        <w:drawing>
          <wp:anchor distT="0" distB="0" distL="114300" distR="114300" simplePos="0" relativeHeight="251951616" behindDoc="1" locked="0" layoutInCell="1" allowOverlap="1">
            <wp:simplePos x="0" y="0"/>
            <wp:positionH relativeFrom="column">
              <wp:posOffset>20955</wp:posOffset>
            </wp:positionH>
            <wp:positionV relativeFrom="paragraph">
              <wp:posOffset>-1905</wp:posOffset>
            </wp:positionV>
            <wp:extent cx="5295900" cy="3486150"/>
            <wp:effectExtent l="19050" t="0" r="0" b="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5295900" cy="3486150"/>
                    </a:xfrm>
                    <a:prstGeom prst="rect">
                      <a:avLst/>
                    </a:prstGeom>
                    <a:noFill/>
                    <a:ln w="9525">
                      <a:noFill/>
                      <a:miter lim="800000"/>
                      <a:headEnd/>
                      <a:tailEnd/>
                    </a:ln>
                  </pic:spPr>
                </pic:pic>
              </a:graphicData>
            </a:graphic>
          </wp:anchor>
        </w:drawing>
      </w: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Default="003B278C" w:rsidP="003B278C">
      <w:pPr>
        <w:spacing w:line="480" w:lineRule="auto"/>
        <w:jc w:val="both"/>
        <w:rPr>
          <w:bCs/>
        </w:rPr>
      </w:pPr>
    </w:p>
    <w:p w:rsidR="00BE4355" w:rsidRPr="00BE4355" w:rsidRDefault="003B278C" w:rsidP="00BE4355">
      <w:pPr>
        <w:spacing w:line="480" w:lineRule="auto"/>
        <w:ind w:firstLine="720"/>
        <w:jc w:val="both"/>
        <w:rPr>
          <w:bCs/>
        </w:rPr>
      </w:pPr>
      <w:r>
        <w:rPr>
          <w:bCs/>
        </w:rPr>
        <w:t xml:space="preserve">Table </w:t>
      </w:r>
      <w:r w:rsidR="00066399">
        <w:rPr>
          <w:bCs/>
        </w:rPr>
        <w:t xml:space="preserve">13 </w:t>
      </w:r>
      <w:r w:rsidRPr="00294B78">
        <w:rPr>
          <w:bCs/>
        </w:rPr>
        <w:t xml:space="preserve">below provides a similar comparison for a 12-month period for a natural gas customer with </w:t>
      </w:r>
      <w:r w:rsidRPr="00BA66BC">
        <w:rPr>
          <w:bCs/>
        </w:rPr>
        <w:t xml:space="preserve">average usage.  The net result is similar to the electric results above, namely a better alignment of payment of fixed costs by customers with the fixed costs to </w:t>
      </w:r>
      <w:r w:rsidRPr="00A522F4">
        <w:rPr>
          <w:bCs/>
        </w:rPr>
        <w:t>serve customers.</w:t>
      </w:r>
    </w:p>
    <w:p w:rsidR="003B278C" w:rsidRPr="00737CA1" w:rsidRDefault="003B278C" w:rsidP="005E2247">
      <w:pPr>
        <w:jc w:val="both"/>
        <w:outlineLvl w:val="0"/>
        <w:rPr>
          <w:b/>
          <w:bCs/>
          <w:u w:val="single"/>
        </w:rPr>
      </w:pPr>
      <w:r w:rsidRPr="00A522F4">
        <w:rPr>
          <w:b/>
          <w:bCs/>
          <w:u w:val="single"/>
        </w:rPr>
        <w:lastRenderedPageBreak/>
        <w:t xml:space="preserve">Table </w:t>
      </w:r>
      <w:r w:rsidR="00066399">
        <w:rPr>
          <w:b/>
          <w:bCs/>
          <w:u w:val="single"/>
        </w:rPr>
        <w:t>13</w:t>
      </w:r>
      <w:r w:rsidR="005E2247">
        <w:rPr>
          <w:b/>
          <w:bCs/>
          <w:u w:val="single"/>
        </w:rPr>
        <w:t xml:space="preserve"> – Monthly Bills for a </w:t>
      </w:r>
      <w:r w:rsidR="004043D5">
        <w:rPr>
          <w:b/>
          <w:bCs/>
          <w:u w:val="single"/>
        </w:rPr>
        <w:t xml:space="preserve">Schedule 101 </w:t>
      </w:r>
      <w:r w:rsidR="005E2247">
        <w:rPr>
          <w:b/>
          <w:bCs/>
          <w:u w:val="single"/>
        </w:rPr>
        <w:t>Natural Gas Customer using an Average of 6</w:t>
      </w:r>
      <w:r w:rsidR="0085002C">
        <w:rPr>
          <w:b/>
          <w:bCs/>
          <w:u w:val="single"/>
        </w:rPr>
        <w:t>8</w:t>
      </w:r>
      <w:r w:rsidR="005E2247">
        <w:rPr>
          <w:b/>
          <w:bCs/>
          <w:u w:val="single"/>
        </w:rPr>
        <w:t xml:space="preserve"> therms per Month</w:t>
      </w:r>
    </w:p>
    <w:p w:rsidR="003B278C" w:rsidRPr="00D6449A" w:rsidRDefault="0085002C" w:rsidP="003B278C">
      <w:pPr>
        <w:spacing w:line="480" w:lineRule="auto"/>
        <w:jc w:val="both"/>
        <w:outlineLvl w:val="0"/>
        <w:rPr>
          <w:b/>
          <w:bCs/>
          <w:highlight w:val="yellow"/>
          <w:u w:val="single"/>
        </w:rPr>
      </w:pPr>
      <w:r w:rsidRPr="0085002C">
        <w:rPr>
          <w:noProof/>
        </w:rPr>
        <w:drawing>
          <wp:anchor distT="0" distB="0" distL="114300" distR="114300" simplePos="0" relativeHeight="251942400" behindDoc="1" locked="0" layoutInCell="1" allowOverlap="1">
            <wp:simplePos x="0" y="0"/>
            <wp:positionH relativeFrom="column">
              <wp:posOffset>230505</wp:posOffset>
            </wp:positionH>
            <wp:positionV relativeFrom="paragraph">
              <wp:posOffset>144780</wp:posOffset>
            </wp:positionV>
            <wp:extent cx="5324475" cy="3409950"/>
            <wp:effectExtent l="19050" t="0" r="9525" b="0"/>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324475" cy="3409950"/>
                    </a:xfrm>
                    <a:prstGeom prst="rect">
                      <a:avLst/>
                    </a:prstGeom>
                    <a:noFill/>
                    <a:ln w="9525">
                      <a:noFill/>
                      <a:miter lim="800000"/>
                      <a:headEnd/>
                      <a:tailEnd/>
                    </a:ln>
                  </pic:spPr>
                </pic:pic>
              </a:graphicData>
            </a:graphic>
          </wp:anchor>
        </w:drawing>
      </w:r>
    </w:p>
    <w:p w:rsidR="003B278C" w:rsidRPr="00D6449A" w:rsidRDefault="003B278C" w:rsidP="003B278C">
      <w:pPr>
        <w:spacing w:line="480" w:lineRule="auto"/>
        <w:jc w:val="both"/>
        <w:outlineLvl w:val="0"/>
        <w:rPr>
          <w:b/>
          <w:bCs/>
          <w:highlight w:val="yellow"/>
          <w:u w:val="single"/>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720"/>
          <w:tab w:val="left" w:pos="1440"/>
        </w:tabs>
        <w:rPr>
          <w:b/>
          <w:bCs/>
        </w:rPr>
      </w:pPr>
    </w:p>
    <w:p w:rsidR="003E71B4" w:rsidRDefault="003E71B4" w:rsidP="003B278C">
      <w:pPr>
        <w:pStyle w:val="BodyText2"/>
        <w:tabs>
          <w:tab w:val="left" w:pos="720"/>
          <w:tab w:val="left" w:pos="1440"/>
        </w:tabs>
        <w:ind w:firstLine="720"/>
        <w:rPr>
          <w:b/>
          <w:bCs/>
        </w:rPr>
      </w:pPr>
    </w:p>
    <w:p w:rsidR="003B278C" w:rsidRPr="00F557D5" w:rsidRDefault="003B278C" w:rsidP="003B278C">
      <w:pPr>
        <w:pStyle w:val="BodyText2"/>
        <w:tabs>
          <w:tab w:val="left" w:pos="720"/>
          <w:tab w:val="left" w:pos="1440"/>
        </w:tabs>
        <w:ind w:firstLine="720"/>
        <w:rPr>
          <w:b/>
          <w:bCs/>
        </w:rPr>
      </w:pPr>
      <w:r w:rsidRPr="00F557D5">
        <w:rPr>
          <w:b/>
          <w:bCs/>
        </w:rPr>
        <w:t>Q.</w:t>
      </w:r>
      <w:r w:rsidRPr="00F557D5">
        <w:rPr>
          <w:b/>
          <w:bCs/>
        </w:rPr>
        <w:tab/>
      </w:r>
      <w:r w:rsidR="001B0AC2">
        <w:rPr>
          <w:b/>
          <w:bCs/>
        </w:rPr>
        <w:t>How will the proposed change in the residential basic charge affect limited income customers?</w:t>
      </w:r>
    </w:p>
    <w:p w:rsidR="003B278C" w:rsidRPr="00F557D5" w:rsidRDefault="003B278C" w:rsidP="003B278C">
      <w:pPr>
        <w:pStyle w:val="BodyText2"/>
        <w:tabs>
          <w:tab w:val="left" w:pos="720"/>
          <w:tab w:val="left" w:pos="1440"/>
        </w:tabs>
        <w:ind w:firstLine="720"/>
        <w:rPr>
          <w:bCs/>
        </w:rPr>
      </w:pPr>
      <w:r w:rsidRPr="00F557D5">
        <w:rPr>
          <w:bCs/>
        </w:rPr>
        <w:t xml:space="preserve">A.  </w:t>
      </w:r>
      <w:r>
        <w:rPr>
          <w:bCs/>
        </w:rPr>
        <w:tab/>
      </w:r>
      <w:r w:rsidRPr="00F557D5">
        <w:rPr>
          <w:bCs/>
        </w:rPr>
        <w:t>Traditional thinking might lead one to believe that a l</w:t>
      </w:r>
      <w:r>
        <w:rPr>
          <w:bCs/>
        </w:rPr>
        <w:t>imited</w:t>
      </w:r>
      <w:r w:rsidRPr="00F557D5">
        <w:rPr>
          <w:bCs/>
        </w:rPr>
        <w:t xml:space="preserve"> income electric customer would tend to be a low user of electricity.  </w:t>
      </w:r>
      <w:r w:rsidR="00247DEE">
        <w:rPr>
          <w:bCs/>
        </w:rPr>
        <w:t xml:space="preserve">As explained below, </w:t>
      </w:r>
      <w:r w:rsidRPr="00F557D5">
        <w:rPr>
          <w:bCs/>
        </w:rPr>
        <w:t>the</w:t>
      </w:r>
      <w:r w:rsidR="00247DEE">
        <w:rPr>
          <w:bCs/>
        </w:rPr>
        <w:t xml:space="preserve"> available</w:t>
      </w:r>
      <w:r w:rsidRPr="00F557D5">
        <w:rPr>
          <w:bCs/>
        </w:rPr>
        <w:t xml:space="preserve"> data that we have suggest</w:t>
      </w:r>
      <w:r w:rsidR="001B0AC2">
        <w:rPr>
          <w:bCs/>
        </w:rPr>
        <w:t>s</w:t>
      </w:r>
      <w:r w:rsidRPr="00F557D5">
        <w:rPr>
          <w:bCs/>
        </w:rPr>
        <w:t xml:space="preserve"> that just the opposite is true.  </w:t>
      </w:r>
    </w:p>
    <w:p w:rsidR="0022502F" w:rsidRDefault="003B278C" w:rsidP="003B278C">
      <w:pPr>
        <w:pStyle w:val="BodyText2"/>
        <w:tabs>
          <w:tab w:val="left" w:pos="720"/>
          <w:tab w:val="left" w:pos="1440"/>
        </w:tabs>
        <w:ind w:firstLine="720"/>
        <w:rPr>
          <w:bCs/>
        </w:rPr>
      </w:pPr>
      <w:r w:rsidRPr="00F557D5">
        <w:rPr>
          <w:bCs/>
        </w:rPr>
        <w:t>A majority of our customers have natural gas for space and water heating, and therefore may have</w:t>
      </w:r>
      <w:r w:rsidR="0030040F">
        <w:rPr>
          <w:bCs/>
        </w:rPr>
        <w:t>, on average, lower</w:t>
      </w:r>
      <w:r w:rsidRPr="00F557D5">
        <w:rPr>
          <w:bCs/>
        </w:rPr>
        <w:t xml:space="preserve"> electric usage during the winter.  However, many </w:t>
      </w:r>
      <w:r>
        <w:rPr>
          <w:bCs/>
          <w:u w:val="single"/>
        </w:rPr>
        <w:t>limited</w:t>
      </w:r>
      <w:r w:rsidRPr="00F557D5">
        <w:rPr>
          <w:bCs/>
          <w:u w:val="single"/>
        </w:rPr>
        <w:t xml:space="preserve"> </w:t>
      </w:r>
      <w:r w:rsidRPr="00247DEE">
        <w:rPr>
          <w:bCs/>
          <w:u w:val="single"/>
        </w:rPr>
        <w:t>income customers</w:t>
      </w:r>
      <w:r w:rsidR="001B0AC2" w:rsidRPr="00247DEE">
        <w:rPr>
          <w:bCs/>
          <w:u w:val="single"/>
        </w:rPr>
        <w:t xml:space="preserve"> </w:t>
      </w:r>
      <w:r w:rsidRPr="00247DEE">
        <w:rPr>
          <w:bCs/>
          <w:u w:val="single"/>
        </w:rPr>
        <w:t>still use electricity</w:t>
      </w:r>
      <w:r w:rsidRPr="00F557D5">
        <w:rPr>
          <w:bCs/>
          <w:u w:val="single"/>
        </w:rPr>
        <w:t xml:space="preserve"> for space and water heating</w:t>
      </w:r>
      <w:r w:rsidRPr="00F557D5">
        <w:rPr>
          <w:bCs/>
        </w:rPr>
        <w:t xml:space="preserve">.  </w:t>
      </w:r>
      <w:r w:rsidR="001B0AC2">
        <w:rPr>
          <w:bCs/>
        </w:rPr>
        <w:t>Many of t</w:t>
      </w:r>
      <w:r w:rsidRPr="00F557D5">
        <w:rPr>
          <w:bCs/>
        </w:rPr>
        <w:t xml:space="preserve">hese customers live in apartments (which in Avista’s service territory predominantly have electric space and water heat), live in areas where natural gas is not available, or live in areas </w:t>
      </w:r>
      <w:r w:rsidR="00284C92">
        <w:rPr>
          <w:bCs/>
        </w:rPr>
        <w:t>where natural gas is available</w:t>
      </w:r>
      <w:r w:rsidRPr="00F557D5">
        <w:rPr>
          <w:bCs/>
        </w:rPr>
        <w:t xml:space="preserve">, </w:t>
      </w:r>
      <w:r w:rsidR="001E48C8">
        <w:rPr>
          <w:bCs/>
        </w:rPr>
        <w:t xml:space="preserve">but </w:t>
      </w:r>
      <w:r w:rsidR="00BE4355">
        <w:rPr>
          <w:bCs/>
        </w:rPr>
        <w:t>conversion is not affordable</w:t>
      </w:r>
      <w:r w:rsidRPr="00F557D5">
        <w:rPr>
          <w:bCs/>
        </w:rPr>
        <w:t>.  These l</w:t>
      </w:r>
      <w:r>
        <w:rPr>
          <w:bCs/>
        </w:rPr>
        <w:t>imited</w:t>
      </w:r>
      <w:r w:rsidRPr="00F557D5">
        <w:rPr>
          <w:bCs/>
        </w:rPr>
        <w:t xml:space="preserve"> income customers, </w:t>
      </w:r>
      <w:r w:rsidRPr="00F557D5">
        <w:rPr>
          <w:bCs/>
        </w:rPr>
        <w:lastRenderedPageBreak/>
        <w:t>with electric space and water heat, can have electric usage in the tail-block (above 1,</w:t>
      </w:r>
      <w:r>
        <w:rPr>
          <w:bCs/>
        </w:rPr>
        <w:t>5</w:t>
      </w:r>
      <w:r w:rsidR="00A07B81">
        <w:rPr>
          <w:bCs/>
        </w:rPr>
        <w:t>00 kWh</w:t>
      </w:r>
      <w:r w:rsidRPr="00F557D5">
        <w:rPr>
          <w:bCs/>
        </w:rPr>
        <w:t xml:space="preserve">s) during the winter months.  </w:t>
      </w:r>
    </w:p>
    <w:p w:rsidR="004D7861" w:rsidRPr="004D7861" w:rsidRDefault="004D7861" w:rsidP="003B278C">
      <w:pPr>
        <w:pStyle w:val="BodyText2"/>
        <w:tabs>
          <w:tab w:val="left" w:pos="720"/>
          <w:tab w:val="left" w:pos="1440"/>
        </w:tabs>
        <w:ind w:firstLine="720"/>
        <w:rPr>
          <w:b/>
          <w:bCs/>
        </w:rPr>
      </w:pPr>
      <w:r w:rsidRPr="004D7861">
        <w:rPr>
          <w:b/>
          <w:bCs/>
        </w:rPr>
        <w:t>Q.</w:t>
      </w:r>
      <w:r w:rsidRPr="004D7861">
        <w:rPr>
          <w:b/>
          <w:bCs/>
        </w:rPr>
        <w:tab/>
        <w:t xml:space="preserve">Does the Company </w:t>
      </w:r>
      <w:proofErr w:type="gramStart"/>
      <w:r w:rsidRPr="004D7861">
        <w:rPr>
          <w:b/>
          <w:bCs/>
        </w:rPr>
        <w:t>have</w:t>
      </w:r>
      <w:proofErr w:type="gramEnd"/>
      <w:r w:rsidRPr="004D7861">
        <w:rPr>
          <w:b/>
          <w:bCs/>
        </w:rPr>
        <w:t xml:space="preserve"> any analysis showing that limited income customers tend to use more electricity than </w:t>
      </w:r>
      <w:r w:rsidR="0022502F">
        <w:rPr>
          <w:b/>
          <w:bCs/>
        </w:rPr>
        <w:t>other residential</w:t>
      </w:r>
      <w:r w:rsidRPr="004D7861">
        <w:rPr>
          <w:b/>
          <w:bCs/>
        </w:rPr>
        <w:t xml:space="preserve"> customers?</w:t>
      </w:r>
    </w:p>
    <w:p w:rsidR="00375BB2" w:rsidRPr="00375BB2" w:rsidRDefault="004D7861" w:rsidP="00375BB2">
      <w:pPr>
        <w:pStyle w:val="BodyText2"/>
        <w:tabs>
          <w:tab w:val="left" w:pos="720"/>
          <w:tab w:val="left" w:pos="1440"/>
        </w:tabs>
        <w:ind w:firstLine="720"/>
        <w:rPr>
          <w:bCs/>
        </w:rPr>
      </w:pPr>
      <w:r>
        <w:rPr>
          <w:bCs/>
        </w:rPr>
        <w:t>A.</w:t>
      </w:r>
      <w:r>
        <w:rPr>
          <w:bCs/>
        </w:rPr>
        <w:tab/>
        <w:t>Yes.</w:t>
      </w:r>
      <w:r w:rsidR="008B0C99">
        <w:rPr>
          <w:bCs/>
        </w:rPr>
        <w:t xml:space="preserve"> </w:t>
      </w:r>
      <w:r>
        <w:rPr>
          <w:bCs/>
        </w:rPr>
        <w:t xml:space="preserve"> The Company recently conducted </w:t>
      </w:r>
      <w:r w:rsidR="00284C92">
        <w:rPr>
          <w:bCs/>
        </w:rPr>
        <w:t xml:space="preserve">an </w:t>
      </w:r>
      <w:r>
        <w:rPr>
          <w:bCs/>
        </w:rPr>
        <w:t xml:space="preserve">analysis which shows that limited income customers, on average, do use more electricity than </w:t>
      </w:r>
      <w:r w:rsidR="0022502F">
        <w:rPr>
          <w:bCs/>
        </w:rPr>
        <w:t xml:space="preserve">other residential </w:t>
      </w:r>
      <w:r>
        <w:rPr>
          <w:bCs/>
        </w:rPr>
        <w:t xml:space="preserve">customers.  For the analysis, the Company looked at those limited income customers who received a LIHEAP or LIRAP grant during the </w:t>
      </w:r>
      <w:r w:rsidR="0085002C">
        <w:rPr>
          <w:bCs/>
        </w:rPr>
        <w:t>January 2014</w:t>
      </w:r>
      <w:r>
        <w:rPr>
          <w:bCs/>
        </w:rPr>
        <w:t xml:space="preserve"> through </w:t>
      </w:r>
      <w:r w:rsidR="0085002C">
        <w:rPr>
          <w:bCs/>
        </w:rPr>
        <w:t>December 2014</w:t>
      </w:r>
      <w:r>
        <w:rPr>
          <w:bCs/>
        </w:rPr>
        <w:t xml:space="preserve"> time period, and compared their annual usage to </w:t>
      </w:r>
      <w:r w:rsidR="0022502F">
        <w:rPr>
          <w:bCs/>
        </w:rPr>
        <w:t>the usage of all other residential customers</w:t>
      </w:r>
      <w:r>
        <w:rPr>
          <w:bCs/>
        </w:rPr>
        <w:t>.</w:t>
      </w:r>
      <w:r w:rsidR="0022502F">
        <w:rPr>
          <w:rStyle w:val="FootnoteReference"/>
          <w:bCs/>
        </w:rPr>
        <w:footnoteReference w:id="11"/>
      </w:r>
      <w:r>
        <w:rPr>
          <w:bCs/>
        </w:rPr>
        <w:t xml:space="preserve">  The results of the analysis are shown in the </w:t>
      </w:r>
      <w:r w:rsidR="001B0AC2">
        <w:rPr>
          <w:bCs/>
        </w:rPr>
        <w:t>Table 1</w:t>
      </w:r>
      <w:r w:rsidR="00A07B81">
        <w:rPr>
          <w:bCs/>
        </w:rPr>
        <w:t>4</w:t>
      </w:r>
      <w:r>
        <w:rPr>
          <w:bCs/>
        </w:rPr>
        <w:t xml:space="preserve"> below:</w:t>
      </w:r>
    </w:p>
    <w:p w:rsidR="0017074B" w:rsidRPr="002C1009" w:rsidRDefault="002C1009" w:rsidP="002C1009">
      <w:pPr>
        <w:spacing w:line="480" w:lineRule="auto"/>
        <w:jc w:val="both"/>
        <w:outlineLvl w:val="0"/>
        <w:rPr>
          <w:b/>
          <w:bCs/>
          <w:u w:val="single"/>
        </w:rPr>
      </w:pPr>
      <w:r w:rsidRPr="00A07B81">
        <w:rPr>
          <w:b/>
          <w:bCs/>
          <w:u w:val="single"/>
        </w:rPr>
        <w:t xml:space="preserve">Table </w:t>
      </w:r>
      <w:r w:rsidR="00066399" w:rsidRPr="00A07B81">
        <w:rPr>
          <w:b/>
          <w:bCs/>
          <w:u w:val="single"/>
        </w:rPr>
        <w:t>14</w:t>
      </w:r>
      <w:r w:rsidR="00A07B81">
        <w:rPr>
          <w:b/>
          <w:bCs/>
          <w:u w:val="single"/>
        </w:rPr>
        <w:t xml:space="preserve"> </w:t>
      </w:r>
    </w:p>
    <w:p w:rsidR="0022502F" w:rsidRDefault="001E48C8" w:rsidP="003B278C">
      <w:pPr>
        <w:pStyle w:val="BodyText2"/>
        <w:tabs>
          <w:tab w:val="left" w:pos="720"/>
          <w:tab w:val="left" w:pos="1440"/>
        </w:tabs>
        <w:ind w:firstLine="720"/>
        <w:rPr>
          <w:bCs/>
        </w:rPr>
      </w:pPr>
      <w:r w:rsidRPr="001E48C8">
        <w:rPr>
          <w:noProof/>
        </w:rPr>
        <w:drawing>
          <wp:anchor distT="0" distB="0" distL="114300" distR="114300" simplePos="0" relativeHeight="251961856" behindDoc="1" locked="0" layoutInCell="1" allowOverlap="1">
            <wp:simplePos x="0" y="0"/>
            <wp:positionH relativeFrom="column">
              <wp:posOffset>-39610</wp:posOffset>
            </wp:positionH>
            <wp:positionV relativeFrom="paragraph">
              <wp:posOffset>923</wp:posOffset>
            </wp:positionV>
            <wp:extent cx="5760648" cy="271732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760648" cy="2717320"/>
                    </a:xfrm>
                    <a:prstGeom prst="rect">
                      <a:avLst/>
                    </a:prstGeom>
                    <a:noFill/>
                    <a:ln w="9525">
                      <a:noFill/>
                      <a:miter lim="800000"/>
                      <a:headEnd/>
                      <a:tailEnd/>
                    </a:ln>
                  </pic:spPr>
                </pic:pic>
              </a:graphicData>
            </a:graphic>
          </wp:anchor>
        </w:drawing>
      </w: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1B0AC2" w:rsidRDefault="001B0AC2" w:rsidP="003B278C">
      <w:pPr>
        <w:pStyle w:val="BodyText2"/>
        <w:tabs>
          <w:tab w:val="left" w:pos="720"/>
          <w:tab w:val="left" w:pos="1440"/>
        </w:tabs>
        <w:ind w:firstLine="720"/>
        <w:rPr>
          <w:bCs/>
        </w:rPr>
      </w:pPr>
    </w:p>
    <w:p w:rsidR="004D7861" w:rsidRDefault="004D7861" w:rsidP="003B278C">
      <w:pPr>
        <w:pStyle w:val="BodyText2"/>
        <w:tabs>
          <w:tab w:val="left" w:pos="720"/>
          <w:tab w:val="left" w:pos="1440"/>
        </w:tabs>
        <w:ind w:firstLine="720"/>
        <w:rPr>
          <w:bCs/>
        </w:rPr>
      </w:pPr>
      <w:r w:rsidRPr="001A58EA">
        <w:rPr>
          <w:bCs/>
        </w:rPr>
        <w:lastRenderedPageBreak/>
        <w:t xml:space="preserve">The analysis shows that limited income customers who only have electric service use </w:t>
      </w:r>
      <w:r w:rsidR="001A58EA" w:rsidRPr="001A58EA">
        <w:rPr>
          <w:bCs/>
        </w:rPr>
        <w:t xml:space="preserve">711 </w:t>
      </w:r>
      <w:r w:rsidRPr="001A58EA">
        <w:rPr>
          <w:bCs/>
        </w:rPr>
        <w:t>kWhs more</w:t>
      </w:r>
      <w:r>
        <w:rPr>
          <w:bCs/>
        </w:rPr>
        <w:t xml:space="preserve"> per year than the </w:t>
      </w:r>
      <w:r w:rsidR="00CF4E3A">
        <w:rPr>
          <w:bCs/>
        </w:rPr>
        <w:t xml:space="preserve">residential </w:t>
      </w:r>
      <w:r>
        <w:rPr>
          <w:bCs/>
        </w:rPr>
        <w:t>population</w:t>
      </w:r>
      <w:r w:rsidR="001A58EA">
        <w:rPr>
          <w:bCs/>
        </w:rPr>
        <w:t>, and limited income customers in general use 766 kWhs per year more than the residential population</w:t>
      </w:r>
      <w:r>
        <w:rPr>
          <w:bCs/>
        </w:rPr>
        <w:t>.</w:t>
      </w:r>
      <w:r w:rsidR="00754AF6">
        <w:rPr>
          <w:bCs/>
        </w:rPr>
        <w:t xml:space="preserve">  </w:t>
      </w:r>
    </w:p>
    <w:p w:rsidR="00B17703" w:rsidRDefault="00B17703" w:rsidP="00B17703">
      <w:pPr>
        <w:pStyle w:val="BodyText2"/>
        <w:tabs>
          <w:tab w:val="left" w:pos="720"/>
          <w:tab w:val="left" w:pos="1440"/>
        </w:tabs>
        <w:ind w:firstLine="720"/>
        <w:rPr>
          <w:bCs/>
        </w:rPr>
      </w:pPr>
      <w:r>
        <w:rPr>
          <w:bCs/>
        </w:rPr>
        <w:t xml:space="preserve">This analysis shows that limited income customers may be harmed by having a rate design with a lower basic </w:t>
      </w:r>
      <w:r w:rsidRPr="00F557D5">
        <w:rPr>
          <w:bCs/>
        </w:rPr>
        <w:t xml:space="preserve">charge and </w:t>
      </w:r>
      <w:r>
        <w:rPr>
          <w:bCs/>
        </w:rPr>
        <w:t xml:space="preserve">a </w:t>
      </w:r>
      <w:r w:rsidRPr="00F557D5">
        <w:rPr>
          <w:bCs/>
        </w:rPr>
        <w:t xml:space="preserve">higher tail-block rate, as these customers are more susceptible to use in the tail-block.  A higher basic charge, on the other hand, would result in lower volumetric rates (than </w:t>
      </w:r>
      <w:r>
        <w:rPr>
          <w:bCs/>
        </w:rPr>
        <w:t xml:space="preserve">would </w:t>
      </w:r>
      <w:r w:rsidRPr="00F557D5">
        <w:rPr>
          <w:bCs/>
        </w:rPr>
        <w:t xml:space="preserve">otherwise be </w:t>
      </w:r>
      <w:r w:rsidRPr="0017074B">
        <w:rPr>
          <w:bCs/>
        </w:rPr>
        <w:t xml:space="preserve">the case), providing some relief to these high use customers during the winter months (as demonstrated </w:t>
      </w:r>
      <w:r w:rsidR="0017074B">
        <w:rPr>
          <w:bCs/>
        </w:rPr>
        <w:t xml:space="preserve">earlier </w:t>
      </w:r>
      <w:r w:rsidRPr="0017074B">
        <w:rPr>
          <w:bCs/>
        </w:rPr>
        <w:t xml:space="preserve">in Table </w:t>
      </w:r>
      <w:r w:rsidR="002C1009">
        <w:rPr>
          <w:bCs/>
        </w:rPr>
        <w:t xml:space="preserve">10 </w:t>
      </w:r>
      <w:r w:rsidRPr="0017074B">
        <w:rPr>
          <w:bCs/>
        </w:rPr>
        <w:t xml:space="preserve">where higher use customers would have less of an overall bill impact with a </w:t>
      </w:r>
      <w:r w:rsidR="00F234BF">
        <w:rPr>
          <w:bCs/>
        </w:rPr>
        <w:t>$14</w:t>
      </w:r>
      <w:r w:rsidRPr="0017074B">
        <w:rPr>
          <w:bCs/>
        </w:rPr>
        <w:t xml:space="preserve"> basic charge).</w:t>
      </w:r>
    </w:p>
    <w:p w:rsidR="003B278C" w:rsidRPr="00F557D5" w:rsidRDefault="003B278C" w:rsidP="003B278C">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1E48C8" w:rsidRDefault="003B278C" w:rsidP="001E48C8">
      <w:pPr>
        <w:pStyle w:val="BodyText2"/>
        <w:tabs>
          <w:tab w:val="left" w:pos="720"/>
          <w:tab w:val="left" w:pos="1440"/>
        </w:tabs>
        <w:rPr>
          <w:bCs/>
        </w:rPr>
      </w:pPr>
      <w:r w:rsidRPr="00F557D5">
        <w:rPr>
          <w:bCs/>
        </w:rPr>
        <w:tab/>
        <w:t xml:space="preserve">A.  </w:t>
      </w:r>
      <w:r w:rsidRPr="00F557D5">
        <w:rPr>
          <w:bCs/>
        </w:rPr>
        <w:tab/>
        <w:t>Average</w:t>
      </w:r>
      <w:r>
        <w:rPr>
          <w:bCs/>
        </w:rPr>
        <w:t>-</w:t>
      </w:r>
      <w:r w:rsidRPr="00F557D5">
        <w:rPr>
          <w:bCs/>
        </w:rPr>
        <w:t xml:space="preserve">use limited income natural gas customers would tend to pay slightly higher natural gas bills </w:t>
      </w:r>
      <w:r>
        <w:rPr>
          <w:bCs/>
        </w:rPr>
        <w:t>under the Company’s proposed rate design (i.e., $1</w:t>
      </w:r>
      <w:r w:rsidR="00B17703">
        <w:rPr>
          <w:bCs/>
        </w:rPr>
        <w:t>2</w:t>
      </w:r>
      <w:r>
        <w:rPr>
          <w:bCs/>
        </w:rPr>
        <w:t xml:space="preserve"> basic charge) than if the basic charge and volumetric rate were increased by a uniform or equal percentage.  </w:t>
      </w:r>
      <w:r w:rsidRPr="00F557D5">
        <w:rPr>
          <w:bCs/>
        </w:rPr>
        <w:t xml:space="preserve">Data gathered as part of the review of the Company’s </w:t>
      </w:r>
      <w:r>
        <w:rPr>
          <w:bCs/>
        </w:rPr>
        <w:t>N</w:t>
      </w:r>
      <w:r w:rsidRPr="00F557D5">
        <w:rPr>
          <w:bCs/>
        </w:rPr>
        <w:t xml:space="preserve">atural </w:t>
      </w:r>
      <w:r>
        <w:rPr>
          <w:bCs/>
        </w:rPr>
        <w:t>G</w:t>
      </w:r>
      <w:r w:rsidRPr="00F557D5">
        <w:rPr>
          <w:bCs/>
        </w:rPr>
        <w:t xml:space="preserve">as Decoupling Mechanism showed that limited income natural </w:t>
      </w:r>
      <w:r w:rsidRPr="0017074B">
        <w:rPr>
          <w:bCs/>
        </w:rPr>
        <w:t>gas customers tend to use slightly less natural gas (58 therms per month</w:t>
      </w:r>
      <w:r w:rsidRPr="0017074B">
        <w:rPr>
          <w:rStyle w:val="FootnoteReference"/>
          <w:bCs/>
        </w:rPr>
        <w:footnoteReference w:id="12"/>
      </w:r>
      <w:r w:rsidRPr="0017074B">
        <w:rPr>
          <w:bCs/>
        </w:rPr>
        <w:t>) than the residential customer</w:t>
      </w:r>
      <w:r w:rsidR="001B0AC2">
        <w:rPr>
          <w:bCs/>
        </w:rPr>
        <w:t xml:space="preserve"> population</w:t>
      </w:r>
      <w:r w:rsidRPr="0017074B">
        <w:rPr>
          <w:bCs/>
        </w:rPr>
        <w:t xml:space="preserve"> (</w:t>
      </w:r>
      <w:r w:rsidR="0085002C">
        <w:rPr>
          <w:bCs/>
        </w:rPr>
        <w:t>68</w:t>
      </w:r>
      <w:r w:rsidRPr="0017074B">
        <w:rPr>
          <w:bCs/>
        </w:rPr>
        <w:t xml:space="preserve"> therms per month).  As shown in Table </w:t>
      </w:r>
      <w:r w:rsidR="002C1009">
        <w:rPr>
          <w:bCs/>
        </w:rPr>
        <w:t>1</w:t>
      </w:r>
      <w:r w:rsidR="00A07B81">
        <w:rPr>
          <w:bCs/>
        </w:rPr>
        <w:t>5</w:t>
      </w:r>
      <w:r w:rsidRPr="0017074B">
        <w:rPr>
          <w:bCs/>
        </w:rPr>
        <w:t xml:space="preserve"> below, while there is an impact, it is relatively </w:t>
      </w:r>
      <w:r w:rsidRPr="0017074B">
        <w:rPr>
          <w:bCs/>
          <w:u w:val="single"/>
        </w:rPr>
        <w:t>small</w:t>
      </w:r>
      <w:r w:rsidRPr="0017074B">
        <w:rPr>
          <w:bCs/>
        </w:rPr>
        <w:t xml:space="preserve"> both on a dollar and percentage basis (between 0.</w:t>
      </w:r>
      <w:r w:rsidR="0085002C">
        <w:rPr>
          <w:bCs/>
        </w:rPr>
        <w:t>1</w:t>
      </w:r>
      <w:r w:rsidRPr="0017074B">
        <w:rPr>
          <w:bCs/>
        </w:rPr>
        <w:t>% and 0</w:t>
      </w:r>
      <w:r w:rsidR="0085002C">
        <w:rPr>
          <w:bCs/>
        </w:rPr>
        <w:t>.6</w:t>
      </w:r>
      <w:r w:rsidRPr="0017074B">
        <w:rPr>
          <w:bCs/>
        </w:rPr>
        <w:t>%).</w:t>
      </w:r>
      <w:r w:rsidR="00375BB2">
        <w:rPr>
          <w:bCs/>
        </w:rPr>
        <w:t xml:space="preserve">  </w:t>
      </w:r>
      <w:r w:rsidR="001E48C8">
        <w:rPr>
          <w:bCs/>
        </w:rPr>
        <w:br w:type="page"/>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lastRenderedPageBreak/>
        <w:t>Table</w:t>
      </w:r>
      <w:r w:rsidR="001B0AC2">
        <w:rPr>
          <w:b/>
          <w:bCs/>
          <w:u w:val="single"/>
        </w:rPr>
        <w:t xml:space="preserve"> </w:t>
      </w:r>
      <w:r w:rsidR="003728BA">
        <w:rPr>
          <w:b/>
          <w:bCs/>
          <w:u w:val="single"/>
        </w:rPr>
        <w:t>15</w:t>
      </w:r>
    </w:p>
    <w:p w:rsidR="00F10C1F" w:rsidRPr="00D6449A" w:rsidRDefault="0085002C" w:rsidP="00F10C1F">
      <w:pPr>
        <w:pStyle w:val="BodyText2"/>
        <w:tabs>
          <w:tab w:val="left" w:pos="810"/>
          <w:tab w:val="left" w:pos="1440"/>
        </w:tabs>
        <w:rPr>
          <w:bCs/>
          <w:highlight w:val="yellow"/>
        </w:rPr>
      </w:pPr>
      <w:r w:rsidRPr="0085002C">
        <w:rPr>
          <w:noProof/>
        </w:rPr>
        <w:drawing>
          <wp:anchor distT="0" distB="0" distL="114300" distR="114300" simplePos="0" relativeHeight="251941376" behindDoc="1" locked="0" layoutInCell="1" allowOverlap="1">
            <wp:simplePos x="0" y="0"/>
            <wp:positionH relativeFrom="column">
              <wp:posOffset>20955</wp:posOffset>
            </wp:positionH>
            <wp:positionV relativeFrom="paragraph">
              <wp:posOffset>0</wp:posOffset>
            </wp:positionV>
            <wp:extent cx="5669280" cy="1123950"/>
            <wp:effectExtent l="19050" t="0" r="762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5669280" cy="112395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B220C2" w:rsidRPr="005410BB" w:rsidRDefault="00F10C1F" w:rsidP="005410BB">
      <w:pPr>
        <w:pStyle w:val="BodyText2"/>
        <w:tabs>
          <w:tab w:val="left" w:pos="720"/>
          <w:tab w:val="left" w:pos="1440"/>
        </w:tabs>
        <w:rPr>
          <w:b/>
          <w:bCs/>
        </w:rPr>
      </w:pPr>
      <w:r w:rsidRPr="00F557D5">
        <w:rPr>
          <w:b/>
          <w:bCs/>
        </w:rPr>
        <w:tab/>
      </w:r>
    </w:p>
    <w:p w:rsidR="00BC1E00" w:rsidRDefault="00BC1E00" w:rsidP="00976DDC">
      <w:pPr>
        <w:pStyle w:val="P267"/>
        <w:tabs>
          <w:tab w:val="clear" w:pos="360"/>
          <w:tab w:val="left" w:pos="0"/>
        </w:tabs>
        <w:ind w:left="0"/>
        <w:jc w:val="center"/>
        <w:rPr>
          <w:rFonts w:ascii="Times New Roman" w:hAnsi="Times New Roman" w:cs="Times New Roman"/>
        </w:rPr>
      </w:pPr>
    </w:p>
    <w:p w:rsidR="00976DDC" w:rsidRPr="00AD03A5" w:rsidRDefault="0085002C" w:rsidP="00976DDC">
      <w:pPr>
        <w:pStyle w:val="P267"/>
        <w:tabs>
          <w:tab w:val="clear" w:pos="360"/>
          <w:tab w:val="left" w:pos="0"/>
        </w:tabs>
        <w:ind w:left="0"/>
        <w:jc w:val="center"/>
        <w:rPr>
          <w:rFonts w:ascii="Times New Roman" w:hAnsi="Times New Roman" w:cs="Times New Roman"/>
        </w:rPr>
      </w:pPr>
      <w:r>
        <w:rPr>
          <w:rFonts w:ascii="Times New Roman" w:hAnsi="Times New Roman" w:cs="Times New Roman"/>
        </w:rPr>
        <w:t>VI</w:t>
      </w:r>
      <w:r w:rsidR="00976DDC" w:rsidRPr="00AD03A5">
        <w:rPr>
          <w:rFonts w:ascii="Times New Roman" w:hAnsi="Times New Roman" w:cs="Times New Roman"/>
        </w:rPr>
        <w:t xml:space="preserve">. SUMMARY OF </w:t>
      </w:r>
      <w:r w:rsidR="00007085">
        <w:rPr>
          <w:rFonts w:ascii="Times New Roman" w:hAnsi="Times New Roman" w:cs="Times New Roman"/>
        </w:rPr>
        <w:t xml:space="preserve">DOCKET NOS. </w:t>
      </w:r>
      <w:r w:rsidR="00976DDC" w:rsidRPr="00AD03A5">
        <w:rPr>
          <w:rFonts w:ascii="Times New Roman" w:hAnsi="Times New Roman" w:cs="Times New Roman"/>
        </w:rPr>
        <w:t>UE-</w:t>
      </w:r>
      <w:r w:rsidR="00007085">
        <w:rPr>
          <w:rFonts w:ascii="Times New Roman" w:hAnsi="Times New Roman" w:cs="Times New Roman"/>
        </w:rPr>
        <w:t>140188</w:t>
      </w:r>
      <w:r w:rsidR="00976DDC" w:rsidRPr="00AD03A5">
        <w:rPr>
          <w:rFonts w:ascii="Times New Roman" w:hAnsi="Times New Roman" w:cs="Times New Roman"/>
        </w:rPr>
        <w:t>/UG-</w:t>
      </w:r>
      <w:r w:rsidR="00976DDC">
        <w:rPr>
          <w:rFonts w:ascii="Times New Roman" w:hAnsi="Times New Roman" w:cs="Times New Roman"/>
        </w:rPr>
        <w:t>1</w:t>
      </w:r>
      <w:r w:rsidR="00007085">
        <w:rPr>
          <w:rFonts w:ascii="Times New Roman" w:hAnsi="Times New Roman" w:cs="Times New Roman"/>
        </w:rPr>
        <w:t>40189</w:t>
      </w:r>
      <w:r w:rsidR="00976DDC" w:rsidRPr="00AD03A5">
        <w:rPr>
          <w:rFonts w:ascii="Times New Roman" w:hAnsi="Times New Roman" w:cs="Times New Roman"/>
        </w:rPr>
        <w:t xml:space="preserve"> ORDER </w:t>
      </w:r>
      <w:r w:rsidR="00976DDC">
        <w:rPr>
          <w:rFonts w:ascii="Times New Roman" w:hAnsi="Times New Roman" w:cs="Times New Roman"/>
        </w:rPr>
        <w:t>No. 0</w:t>
      </w:r>
      <w:r w:rsidR="00007085">
        <w:rPr>
          <w:rFonts w:ascii="Times New Roman" w:hAnsi="Times New Roman" w:cs="Times New Roman"/>
        </w:rPr>
        <w:t>5</w:t>
      </w:r>
      <w:r w:rsidR="00976DDC" w:rsidRPr="00AD03A5">
        <w:rPr>
          <w:rFonts w:ascii="Times New Roman" w:hAnsi="Times New Roman" w:cs="Times New Roman"/>
        </w:rPr>
        <w:t xml:space="preserve"> REQUIREMENTS</w:t>
      </w:r>
    </w:p>
    <w:p w:rsidR="00976DDC" w:rsidRDefault="00976DDC" w:rsidP="00976DDC">
      <w:pPr>
        <w:spacing w:line="480" w:lineRule="auto"/>
        <w:ind w:firstLine="720"/>
        <w:jc w:val="both"/>
        <w:rPr>
          <w:b/>
        </w:rPr>
      </w:pPr>
      <w:r w:rsidRPr="00AD03A5">
        <w:rPr>
          <w:b/>
        </w:rPr>
        <w:t>Q.</w:t>
      </w:r>
      <w:r w:rsidRPr="00AD03A5">
        <w:rPr>
          <w:b/>
        </w:rPr>
        <w:tab/>
      </w:r>
      <w:r w:rsidR="002A7493">
        <w:rPr>
          <w:b/>
        </w:rPr>
        <w:t xml:space="preserve">Please </w:t>
      </w:r>
      <w:proofErr w:type="gramStart"/>
      <w:r w:rsidR="002A7493">
        <w:rPr>
          <w:b/>
        </w:rPr>
        <w:t>summarize</w:t>
      </w:r>
      <w:proofErr w:type="gramEnd"/>
      <w:r w:rsidR="002A7493">
        <w:rPr>
          <w:b/>
        </w:rPr>
        <w:t xml:space="preserve"> the Company’s compliance </w:t>
      </w:r>
      <w:r w:rsidR="00C95E6C">
        <w:rPr>
          <w:b/>
        </w:rPr>
        <w:t xml:space="preserve">with the requirements of the Commission’s </w:t>
      </w:r>
      <w:r>
        <w:rPr>
          <w:b/>
        </w:rPr>
        <w:t>Order No. 0</w:t>
      </w:r>
      <w:r w:rsidR="00007085">
        <w:rPr>
          <w:b/>
        </w:rPr>
        <w:t>5</w:t>
      </w:r>
      <w:r>
        <w:rPr>
          <w:b/>
        </w:rPr>
        <w:t xml:space="preserve"> (and Set</w:t>
      </w:r>
      <w:r w:rsidR="00007085">
        <w:rPr>
          <w:b/>
        </w:rPr>
        <w:t xml:space="preserve">tlement Stipulation) in Docket Nos. </w:t>
      </w:r>
      <w:proofErr w:type="gramStart"/>
      <w:r>
        <w:rPr>
          <w:b/>
        </w:rPr>
        <w:t>UE-</w:t>
      </w:r>
      <w:r w:rsidR="00007085">
        <w:rPr>
          <w:b/>
        </w:rPr>
        <w:t>140188</w:t>
      </w:r>
      <w:r>
        <w:rPr>
          <w:b/>
        </w:rPr>
        <w:t xml:space="preserve"> and UG-1</w:t>
      </w:r>
      <w:r w:rsidR="00007085">
        <w:rPr>
          <w:b/>
        </w:rPr>
        <w:t>40189</w:t>
      </w:r>
      <w:r>
        <w:rPr>
          <w:b/>
        </w:rPr>
        <w:t>?</w:t>
      </w:r>
      <w:proofErr w:type="gramEnd"/>
    </w:p>
    <w:p w:rsidR="00976DDC" w:rsidRDefault="00976DDC" w:rsidP="00976DDC">
      <w:pPr>
        <w:spacing w:line="480" w:lineRule="auto"/>
        <w:ind w:firstLine="720"/>
        <w:jc w:val="both"/>
        <w:rPr>
          <w:rFonts w:eastAsia="Calibri"/>
        </w:rPr>
      </w:pPr>
      <w:r w:rsidRPr="00206BDE">
        <w:rPr>
          <w:rFonts w:eastAsia="Calibri"/>
        </w:rPr>
        <w:t>A.</w:t>
      </w:r>
      <w:r w:rsidRPr="00206BDE">
        <w:rPr>
          <w:rFonts w:eastAsia="Calibri"/>
        </w:rPr>
        <w:tab/>
      </w:r>
      <w:r w:rsidR="00007085">
        <w:rPr>
          <w:rFonts w:eastAsia="Calibri"/>
        </w:rPr>
        <w:t xml:space="preserve">Many of the requirements from the last general rate case were completed prior to new rates going into effect January 1, 2015.  Other items are requirements to the future.  </w:t>
      </w:r>
      <w:r>
        <w:rPr>
          <w:rFonts w:eastAsia="Calibri"/>
        </w:rPr>
        <w:t>Detailed below are</w:t>
      </w:r>
      <w:r w:rsidR="00007085">
        <w:rPr>
          <w:rFonts w:eastAsia="Calibri"/>
        </w:rPr>
        <w:t xml:space="preserve"> the </w:t>
      </w:r>
      <w:r w:rsidRPr="006753D1">
        <w:rPr>
          <w:rFonts w:eastAsia="Calibri"/>
        </w:rPr>
        <w:t>items</w:t>
      </w:r>
      <w:r w:rsidRPr="00266EF0">
        <w:rPr>
          <w:rFonts w:eastAsia="Calibri"/>
        </w:rPr>
        <w:t xml:space="preserve"> that the Company </w:t>
      </w:r>
      <w:r>
        <w:rPr>
          <w:rFonts w:eastAsia="Calibri"/>
        </w:rPr>
        <w:t xml:space="preserve">was required to address </w:t>
      </w:r>
      <w:r w:rsidR="00007085">
        <w:rPr>
          <w:rFonts w:eastAsia="Calibri"/>
        </w:rPr>
        <w:t>in this general rate case</w:t>
      </w:r>
      <w:r>
        <w:rPr>
          <w:rFonts w:eastAsia="Calibri"/>
        </w:rPr>
        <w:t>.  Shown below</w:t>
      </w:r>
      <w:r w:rsidR="00451C4F">
        <w:rPr>
          <w:rFonts w:eastAsia="Calibri"/>
        </w:rPr>
        <w:t>,</w:t>
      </w:r>
      <w:r>
        <w:rPr>
          <w:rFonts w:eastAsia="Calibri"/>
        </w:rPr>
        <w:t xml:space="preserve"> in no particular order</w:t>
      </w:r>
      <w:r w:rsidR="00451C4F">
        <w:rPr>
          <w:rFonts w:eastAsia="Calibri"/>
        </w:rPr>
        <w:t>,</w:t>
      </w:r>
      <w:r>
        <w:rPr>
          <w:rFonts w:eastAsia="Calibri"/>
        </w:rPr>
        <w:t xml:space="preserve"> are the requirements, </w:t>
      </w:r>
      <w:r w:rsidRPr="00266EF0">
        <w:rPr>
          <w:rFonts w:eastAsia="Calibri"/>
        </w:rPr>
        <w:t xml:space="preserve">the page number </w:t>
      </w:r>
      <w:r>
        <w:rPr>
          <w:rFonts w:eastAsia="Calibri"/>
        </w:rPr>
        <w:t xml:space="preserve">and paragraph where the items are located </w:t>
      </w:r>
      <w:r w:rsidRPr="00266EF0">
        <w:rPr>
          <w:rFonts w:eastAsia="Calibri"/>
        </w:rPr>
        <w:t xml:space="preserve">in the </w:t>
      </w:r>
      <w:r>
        <w:rPr>
          <w:rFonts w:eastAsia="Calibri"/>
        </w:rPr>
        <w:t>Order</w:t>
      </w:r>
      <w:r w:rsidR="00E85E66">
        <w:rPr>
          <w:rFonts w:eastAsia="Calibri"/>
        </w:rPr>
        <w:t xml:space="preserve"> or Stipulation</w:t>
      </w:r>
      <w:r w:rsidRPr="00266EF0">
        <w:rPr>
          <w:rFonts w:eastAsia="Calibri"/>
        </w:rPr>
        <w:t xml:space="preserve">, </w:t>
      </w:r>
      <w:r w:rsidR="00C26773">
        <w:rPr>
          <w:rFonts w:eastAsia="Calibri"/>
        </w:rPr>
        <w:t xml:space="preserve">the status of the requirement </w:t>
      </w:r>
      <w:r w:rsidRPr="00266EF0">
        <w:rPr>
          <w:rFonts w:eastAsia="Calibri"/>
        </w:rPr>
        <w:t>and</w:t>
      </w:r>
      <w:r w:rsidR="00C26773">
        <w:rPr>
          <w:rFonts w:eastAsia="Calibri"/>
        </w:rPr>
        <w:t>/or</w:t>
      </w:r>
      <w:r w:rsidRPr="00266EF0">
        <w:rPr>
          <w:rFonts w:eastAsia="Calibri"/>
        </w:rPr>
        <w:t xml:space="preserve"> </w:t>
      </w:r>
      <w:r>
        <w:rPr>
          <w:rFonts w:eastAsia="Calibri"/>
        </w:rPr>
        <w:t>the witnesses that address the issues in this docket.</w:t>
      </w:r>
    </w:p>
    <w:p w:rsidR="00976DDC" w:rsidRDefault="00976DDC" w:rsidP="00212B99">
      <w:pPr>
        <w:ind w:left="720"/>
        <w:jc w:val="both"/>
        <w:rPr>
          <w:rFonts w:eastAsia="Calibri"/>
        </w:rPr>
      </w:pPr>
      <w:r w:rsidRPr="008B7E2A">
        <w:rPr>
          <w:rFonts w:eastAsia="Calibri"/>
          <w:b/>
        </w:rPr>
        <w:t xml:space="preserve">Item 1 – </w:t>
      </w:r>
      <w:r w:rsidR="00C26773">
        <w:rPr>
          <w:rFonts w:eastAsia="Calibri"/>
          <w:b/>
        </w:rPr>
        <w:t>ERM Rebate</w:t>
      </w:r>
      <w:r w:rsidR="00451C4F">
        <w:rPr>
          <w:rFonts w:eastAsia="Calibri"/>
          <w:b/>
        </w:rPr>
        <w:t xml:space="preserve"> Mechanism (</w:t>
      </w:r>
      <w:r w:rsidR="00C26773">
        <w:rPr>
          <w:rFonts w:eastAsia="Calibri"/>
          <w:b/>
        </w:rPr>
        <w:t>Stipulation Page</w:t>
      </w:r>
      <w:r w:rsidRPr="008B7E2A">
        <w:rPr>
          <w:rFonts w:eastAsia="Calibri"/>
          <w:b/>
        </w:rPr>
        <w:t xml:space="preserve"> </w:t>
      </w:r>
      <w:r w:rsidR="00C26773">
        <w:rPr>
          <w:rFonts w:eastAsia="Calibri"/>
          <w:b/>
        </w:rPr>
        <w:t>12</w:t>
      </w:r>
      <w:r w:rsidRPr="008B7E2A">
        <w:rPr>
          <w:rFonts w:eastAsia="Calibri"/>
          <w:b/>
        </w:rPr>
        <w:t>, Paragraph</w:t>
      </w:r>
      <w:r w:rsidR="00C26773">
        <w:rPr>
          <w:rFonts w:eastAsia="Calibri"/>
          <w:b/>
        </w:rPr>
        <w:t xml:space="preserve"> 23</w:t>
      </w:r>
      <w:r w:rsidR="00451C4F">
        <w:rPr>
          <w:rFonts w:eastAsia="Calibri"/>
          <w:b/>
        </w:rPr>
        <w:t>)</w:t>
      </w:r>
      <w:r>
        <w:rPr>
          <w:rFonts w:eastAsia="Calibri"/>
        </w:rPr>
        <w:t>:</w:t>
      </w:r>
    </w:p>
    <w:p w:rsidR="00C26773" w:rsidRDefault="00C26773" w:rsidP="00212B99">
      <w:pPr>
        <w:ind w:left="720"/>
        <w:jc w:val="both"/>
        <w:rPr>
          <w:rFonts w:eastAsia="Calibri"/>
        </w:rPr>
      </w:pPr>
    </w:p>
    <w:p w:rsidR="00976DDC" w:rsidRPr="00451C4F" w:rsidRDefault="00976DDC" w:rsidP="00212B99">
      <w:pPr>
        <w:tabs>
          <w:tab w:val="left" w:pos="1710"/>
        </w:tabs>
        <w:ind w:left="720"/>
        <w:jc w:val="both"/>
        <w:rPr>
          <w:rFonts w:eastAsia="Calibri"/>
          <w:i/>
        </w:rPr>
      </w:pPr>
      <w:r w:rsidRPr="00451C4F">
        <w:rPr>
          <w:rFonts w:eastAsia="Calibri"/>
          <w:i/>
        </w:rPr>
        <w:t>"</w:t>
      </w:r>
      <w:r w:rsidR="00C26773" w:rsidRPr="00C26773">
        <w:rPr>
          <w:rFonts w:eastAsia="Calibri"/>
          <w:i/>
        </w:rPr>
        <w:t>The Parties agree to address in the next general rate case alternative methods to rebate or recover ERM balances.</w:t>
      </w:r>
      <w:r w:rsidRPr="00451C4F">
        <w:rPr>
          <w:rFonts w:eastAsia="Calibri"/>
          <w:i/>
        </w:rPr>
        <w:t>”</w:t>
      </w:r>
    </w:p>
    <w:p w:rsidR="00976DDC" w:rsidRDefault="00976DDC" w:rsidP="00212B99">
      <w:pPr>
        <w:tabs>
          <w:tab w:val="left" w:pos="1710"/>
        </w:tabs>
        <w:ind w:left="720"/>
        <w:jc w:val="both"/>
        <w:rPr>
          <w:rFonts w:eastAsia="Calibri"/>
        </w:rPr>
      </w:pPr>
    </w:p>
    <w:p w:rsidR="00451C4F" w:rsidRDefault="00451C4F" w:rsidP="00212B99">
      <w:pPr>
        <w:tabs>
          <w:tab w:val="left" w:pos="1710"/>
        </w:tabs>
        <w:ind w:left="720"/>
        <w:jc w:val="both"/>
        <w:rPr>
          <w:rFonts w:eastAsia="Calibri"/>
        </w:rPr>
      </w:pPr>
      <w:r>
        <w:rPr>
          <w:rFonts w:eastAsia="Calibri"/>
        </w:rPr>
        <w:t>This item is addressed by Mr. Johnson in Exhibit No.__</w:t>
      </w:r>
      <w:proofErr w:type="gramStart"/>
      <w:r>
        <w:rPr>
          <w:rFonts w:eastAsia="Calibri"/>
        </w:rPr>
        <w:t>_(</w:t>
      </w:r>
      <w:proofErr w:type="gramEnd"/>
      <w:r>
        <w:rPr>
          <w:rFonts w:eastAsia="Calibri"/>
        </w:rPr>
        <w:t>WGJ-1T).</w:t>
      </w:r>
    </w:p>
    <w:p w:rsidR="00451C4F" w:rsidRDefault="00451C4F" w:rsidP="00212B99">
      <w:pPr>
        <w:tabs>
          <w:tab w:val="left" w:pos="1710"/>
        </w:tabs>
        <w:ind w:left="720"/>
        <w:jc w:val="both"/>
        <w:rPr>
          <w:rFonts w:eastAsia="Calibri"/>
        </w:rPr>
      </w:pPr>
    </w:p>
    <w:p w:rsidR="00976DDC" w:rsidRDefault="00976DDC" w:rsidP="00212B99">
      <w:pPr>
        <w:ind w:left="720"/>
        <w:jc w:val="both"/>
        <w:rPr>
          <w:rFonts w:eastAsia="Calibri"/>
        </w:rPr>
      </w:pPr>
      <w:r w:rsidRPr="008B7E2A">
        <w:rPr>
          <w:rFonts w:eastAsia="Calibri"/>
          <w:b/>
        </w:rPr>
        <w:t xml:space="preserve">Item </w:t>
      </w:r>
      <w:r>
        <w:rPr>
          <w:rFonts w:eastAsia="Calibri"/>
          <w:b/>
        </w:rPr>
        <w:t>2</w:t>
      </w:r>
      <w:r w:rsidRPr="008B7E2A">
        <w:rPr>
          <w:rFonts w:eastAsia="Calibri"/>
          <w:b/>
        </w:rPr>
        <w:t xml:space="preserve"> – </w:t>
      </w:r>
      <w:r w:rsidR="00C26773">
        <w:rPr>
          <w:rFonts w:eastAsia="Calibri"/>
          <w:b/>
        </w:rPr>
        <w:t>Service Quality and Reliability Program</w:t>
      </w:r>
      <w:r w:rsidR="00451C4F">
        <w:rPr>
          <w:rFonts w:eastAsia="Calibri"/>
          <w:b/>
        </w:rPr>
        <w:t xml:space="preserve"> (</w:t>
      </w:r>
      <w:r w:rsidR="00C26773">
        <w:rPr>
          <w:rFonts w:eastAsia="Calibri"/>
          <w:b/>
        </w:rPr>
        <w:t xml:space="preserve">Stipulation </w:t>
      </w:r>
      <w:r w:rsidRPr="008B7E2A">
        <w:rPr>
          <w:rFonts w:eastAsia="Calibri"/>
          <w:b/>
        </w:rPr>
        <w:t xml:space="preserve">Page </w:t>
      </w:r>
      <w:r w:rsidR="00C26773">
        <w:rPr>
          <w:rFonts w:eastAsia="Calibri"/>
          <w:b/>
        </w:rPr>
        <w:t>11</w:t>
      </w:r>
      <w:r w:rsidRPr="008B7E2A">
        <w:rPr>
          <w:rFonts w:eastAsia="Calibri"/>
          <w:b/>
        </w:rPr>
        <w:t>, Paragraph</w:t>
      </w:r>
      <w:r>
        <w:rPr>
          <w:rFonts w:eastAsia="Calibri"/>
          <w:b/>
        </w:rPr>
        <w:t xml:space="preserve"> </w:t>
      </w:r>
      <w:r w:rsidR="00C26773">
        <w:rPr>
          <w:rFonts w:eastAsia="Calibri"/>
          <w:b/>
        </w:rPr>
        <w:t>16</w:t>
      </w:r>
      <w:r w:rsidR="00451C4F">
        <w:rPr>
          <w:rFonts w:eastAsia="Calibri"/>
          <w:b/>
        </w:rPr>
        <w:t>)</w:t>
      </w:r>
      <w:r>
        <w:rPr>
          <w:rFonts w:eastAsia="Calibri"/>
        </w:rPr>
        <w:t>:</w:t>
      </w:r>
    </w:p>
    <w:p w:rsidR="00976DDC" w:rsidRPr="00451C4F" w:rsidRDefault="00976DDC" w:rsidP="00212B99">
      <w:pPr>
        <w:ind w:left="720"/>
        <w:jc w:val="both"/>
        <w:rPr>
          <w:rFonts w:eastAsia="Calibri"/>
          <w:i/>
        </w:rPr>
      </w:pPr>
      <w:r w:rsidRPr="00451C4F">
        <w:rPr>
          <w:rFonts w:eastAsia="Calibri"/>
          <w:i/>
        </w:rPr>
        <w:t>“</w:t>
      </w:r>
      <w:r w:rsidR="00C26773" w:rsidRPr="00C26773">
        <w:rPr>
          <w:rFonts w:eastAsia="Calibri"/>
          <w:i/>
        </w:rPr>
        <w:t xml:space="preserve">Avista agrees to meet with Staff and interested parties to develop and implement appropriate service quality metrics, customer guarantees and reporting, with the </w:t>
      </w:r>
      <w:r w:rsidR="00C26773" w:rsidRPr="00C26773">
        <w:rPr>
          <w:rFonts w:eastAsia="Calibri"/>
          <w:i/>
        </w:rPr>
        <w:lastRenderedPageBreak/>
        <w:t>agreed upon tariff revisions filed on or before June 1, 2015, with a program in place on July 1, 2015</w:t>
      </w:r>
      <w:r w:rsidRPr="00451C4F">
        <w:rPr>
          <w:rFonts w:eastAsia="Calibri"/>
          <w:i/>
        </w:rPr>
        <w:t>”</w:t>
      </w:r>
    </w:p>
    <w:p w:rsidR="00451C4F" w:rsidRDefault="00451C4F" w:rsidP="00212B99">
      <w:pPr>
        <w:ind w:left="720"/>
        <w:jc w:val="both"/>
        <w:rPr>
          <w:rFonts w:eastAsia="Calibri"/>
        </w:rPr>
      </w:pPr>
    </w:p>
    <w:p w:rsidR="00E85E66" w:rsidRDefault="002A7493" w:rsidP="00E85E66">
      <w:pPr>
        <w:tabs>
          <w:tab w:val="left" w:pos="1710"/>
        </w:tabs>
        <w:ind w:left="720"/>
        <w:jc w:val="both"/>
        <w:rPr>
          <w:rFonts w:eastAsia="Calibri"/>
        </w:rPr>
      </w:pPr>
      <w:r>
        <w:rPr>
          <w:rFonts w:eastAsia="Calibri"/>
        </w:rPr>
        <w:t xml:space="preserve">Work on this item is in progress and </w:t>
      </w:r>
      <w:r w:rsidR="00E85E66">
        <w:rPr>
          <w:rFonts w:eastAsia="Calibri"/>
        </w:rPr>
        <w:t>is addressed by Company witness Mr. Kopczynski in Exhibit No.__</w:t>
      </w:r>
      <w:proofErr w:type="gramStart"/>
      <w:r w:rsidR="00E85E66">
        <w:rPr>
          <w:rFonts w:eastAsia="Calibri"/>
        </w:rPr>
        <w:t>_(</w:t>
      </w:r>
      <w:proofErr w:type="gramEnd"/>
      <w:r w:rsidR="00E85E66">
        <w:rPr>
          <w:rFonts w:eastAsia="Calibri"/>
        </w:rPr>
        <w:t>DFK-1T).</w:t>
      </w:r>
    </w:p>
    <w:p w:rsidR="00451C4F" w:rsidRDefault="00451C4F" w:rsidP="00212B99">
      <w:pPr>
        <w:ind w:left="720"/>
        <w:jc w:val="both"/>
        <w:rPr>
          <w:rFonts w:eastAsia="Calibri"/>
        </w:rPr>
      </w:pPr>
    </w:p>
    <w:p w:rsidR="00976DDC" w:rsidRDefault="00976DDC" w:rsidP="00212B99">
      <w:pPr>
        <w:ind w:left="720"/>
        <w:jc w:val="both"/>
        <w:rPr>
          <w:rFonts w:eastAsia="Calibri"/>
        </w:rPr>
      </w:pPr>
      <w:r w:rsidRPr="008B7E2A">
        <w:rPr>
          <w:rFonts w:eastAsia="Calibri"/>
          <w:b/>
        </w:rPr>
        <w:t xml:space="preserve">Item </w:t>
      </w:r>
      <w:r>
        <w:rPr>
          <w:rFonts w:eastAsia="Calibri"/>
          <w:b/>
        </w:rPr>
        <w:t>3</w:t>
      </w:r>
      <w:r w:rsidRPr="008B7E2A">
        <w:rPr>
          <w:rFonts w:eastAsia="Calibri"/>
          <w:b/>
        </w:rPr>
        <w:t xml:space="preserve"> – </w:t>
      </w:r>
      <w:r w:rsidR="005E0D2F">
        <w:rPr>
          <w:rFonts w:eastAsia="Calibri"/>
          <w:b/>
        </w:rPr>
        <w:t>Low Income Rate Assistance Program</w:t>
      </w:r>
      <w:r w:rsidR="00451C4F">
        <w:rPr>
          <w:rFonts w:eastAsia="Calibri"/>
          <w:b/>
        </w:rPr>
        <w:t xml:space="preserve"> (</w:t>
      </w:r>
      <w:r w:rsidRPr="008B7E2A">
        <w:rPr>
          <w:rFonts w:eastAsia="Calibri"/>
          <w:b/>
        </w:rPr>
        <w:t xml:space="preserve">Order </w:t>
      </w:r>
      <w:r>
        <w:rPr>
          <w:rFonts w:eastAsia="Calibri"/>
          <w:b/>
        </w:rPr>
        <w:t xml:space="preserve">Page </w:t>
      </w:r>
      <w:r w:rsidR="005E0D2F">
        <w:rPr>
          <w:rFonts w:eastAsia="Calibri"/>
          <w:b/>
        </w:rPr>
        <w:t>4,</w:t>
      </w:r>
      <w:r w:rsidRPr="008B7E2A">
        <w:rPr>
          <w:rFonts w:eastAsia="Calibri"/>
          <w:b/>
        </w:rPr>
        <w:t xml:space="preserve"> Paragraph</w:t>
      </w:r>
      <w:r w:rsidR="005E0D2F">
        <w:rPr>
          <w:rFonts w:eastAsia="Calibri"/>
          <w:b/>
        </w:rPr>
        <w:t xml:space="preserve"> </w:t>
      </w:r>
      <w:r>
        <w:rPr>
          <w:rFonts w:eastAsia="Calibri"/>
          <w:b/>
        </w:rPr>
        <w:t>5</w:t>
      </w:r>
      <w:r w:rsidR="00451C4F">
        <w:rPr>
          <w:rFonts w:eastAsia="Calibri"/>
          <w:b/>
        </w:rPr>
        <w:t>)</w:t>
      </w:r>
      <w:r>
        <w:rPr>
          <w:rFonts w:eastAsia="Calibri"/>
        </w:rPr>
        <w:t>:</w:t>
      </w:r>
    </w:p>
    <w:p w:rsidR="00976DDC" w:rsidRDefault="00C26773" w:rsidP="00212B99">
      <w:pPr>
        <w:tabs>
          <w:tab w:val="left" w:pos="1710"/>
        </w:tabs>
        <w:ind w:left="720"/>
        <w:jc w:val="both"/>
        <w:rPr>
          <w:rFonts w:eastAsia="Calibri"/>
          <w:i/>
        </w:rPr>
      </w:pPr>
      <w:r>
        <w:rPr>
          <w:rFonts w:eastAsia="Calibri"/>
          <w:i/>
        </w:rPr>
        <w:t>“</w:t>
      </w:r>
      <w:r w:rsidR="00E60660" w:rsidRPr="00E60660">
        <w:rPr>
          <w:rFonts w:eastAsia="Calibri"/>
          <w:i/>
        </w:rPr>
        <w:t>Using Staff’s proposed pilot program as a basis, the parties should work together to file mutually agreed upon additions and modifications to the LIRAP.  If the parties cannot agree upon modifications or additions to the program they should file alternative or competing proposals with the Commission no later than June 1, 2015.</w:t>
      </w:r>
      <w:r>
        <w:rPr>
          <w:rFonts w:eastAsia="Calibri"/>
          <w:i/>
        </w:rPr>
        <w:t>”</w:t>
      </w:r>
    </w:p>
    <w:p w:rsidR="00E85E66" w:rsidRDefault="00E85E66" w:rsidP="00E85E66">
      <w:pPr>
        <w:ind w:left="720"/>
        <w:jc w:val="both"/>
        <w:rPr>
          <w:rFonts w:eastAsia="Calibri"/>
        </w:rPr>
      </w:pPr>
    </w:p>
    <w:p w:rsidR="00E85E66" w:rsidRDefault="002A7493" w:rsidP="00E85E66">
      <w:pPr>
        <w:tabs>
          <w:tab w:val="left" w:pos="1710"/>
        </w:tabs>
        <w:ind w:left="720"/>
        <w:jc w:val="both"/>
        <w:rPr>
          <w:rFonts w:eastAsia="Calibri"/>
        </w:rPr>
      </w:pPr>
      <w:r>
        <w:rPr>
          <w:rFonts w:eastAsia="Calibri"/>
        </w:rPr>
        <w:t xml:space="preserve">Work on this item is in progress and is </w:t>
      </w:r>
      <w:r w:rsidR="00E85E66">
        <w:rPr>
          <w:rFonts w:eastAsia="Calibri"/>
        </w:rPr>
        <w:t>addressed by Company witness Mr. Kopczynski in Exhibit No.__</w:t>
      </w:r>
      <w:proofErr w:type="gramStart"/>
      <w:r w:rsidR="00E85E66">
        <w:rPr>
          <w:rFonts w:eastAsia="Calibri"/>
        </w:rPr>
        <w:t>_(</w:t>
      </w:r>
      <w:proofErr w:type="gramEnd"/>
      <w:r w:rsidR="00E85E66">
        <w:rPr>
          <w:rFonts w:eastAsia="Calibri"/>
        </w:rPr>
        <w:t>DFK-1T).</w:t>
      </w:r>
    </w:p>
    <w:p w:rsidR="00451C4F" w:rsidRDefault="00451C4F" w:rsidP="00212B99">
      <w:pPr>
        <w:ind w:left="720"/>
        <w:jc w:val="both"/>
        <w:rPr>
          <w:rFonts w:eastAsia="Calibri"/>
          <w:b/>
        </w:rPr>
      </w:pPr>
    </w:p>
    <w:p w:rsidR="00976DDC" w:rsidRDefault="00976DDC" w:rsidP="00212B99">
      <w:pPr>
        <w:ind w:left="720"/>
        <w:jc w:val="both"/>
        <w:rPr>
          <w:rFonts w:eastAsia="Calibri"/>
        </w:rPr>
      </w:pPr>
      <w:r w:rsidRPr="008B7E2A">
        <w:rPr>
          <w:rFonts w:eastAsia="Calibri"/>
          <w:b/>
        </w:rPr>
        <w:t xml:space="preserve">Item </w:t>
      </w:r>
      <w:r>
        <w:rPr>
          <w:rFonts w:eastAsia="Calibri"/>
          <w:b/>
        </w:rPr>
        <w:t>4</w:t>
      </w:r>
      <w:r w:rsidRPr="008B7E2A">
        <w:rPr>
          <w:rFonts w:eastAsia="Calibri"/>
          <w:b/>
        </w:rPr>
        <w:t xml:space="preserve"> – </w:t>
      </w:r>
      <w:r w:rsidR="00212B99">
        <w:rPr>
          <w:rFonts w:eastAsia="Calibri"/>
          <w:b/>
        </w:rPr>
        <w:t xml:space="preserve">Natural Gas Project Compass Deferral </w:t>
      </w:r>
      <w:r w:rsidR="00451C4F">
        <w:rPr>
          <w:rFonts w:eastAsia="Calibri"/>
          <w:b/>
        </w:rPr>
        <w:t>(</w:t>
      </w:r>
      <w:r>
        <w:rPr>
          <w:rFonts w:eastAsia="Calibri"/>
          <w:b/>
        </w:rPr>
        <w:t xml:space="preserve">Stipulation </w:t>
      </w:r>
      <w:r w:rsidRPr="008B7E2A">
        <w:rPr>
          <w:rFonts w:eastAsia="Calibri"/>
          <w:b/>
        </w:rPr>
        <w:t xml:space="preserve">Page </w:t>
      </w:r>
      <w:r w:rsidR="00212B99">
        <w:rPr>
          <w:rFonts w:eastAsia="Calibri"/>
          <w:b/>
        </w:rPr>
        <w:t>4</w:t>
      </w:r>
      <w:r w:rsidRPr="008B7E2A">
        <w:rPr>
          <w:rFonts w:eastAsia="Calibri"/>
          <w:b/>
        </w:rPr>
        <w:t>, Paragraph</w:t>
      </w:r>
      <w:r w:rsidR="00212B99">
        <w:rPr>
          <w:rFonts w:eastAsia="Calibri"/>
          <w:b/>
        </w:rPr>
        <w:t xml:space="preserve"> </w:t>
      </w:r>
      <w:r>
        <w:rPr>
          <w:rFonts w:eastAsia="Calibri"/>
          <w:b/>
        </w:rPr>
        <w:t>7</w:t>
      </w:r>
      <w:r w:rsidR="00451C4F">
        <w:rPr>
          <w:rFonts w:eastAsia="Calibri"/>
          <w:b/>
        </w:rPr>
        <w:t>)</w:t>
      </w:r>
      <w:r>
        <w:rPr>
          <w:rFonts w:eastAsia="Calibri"/>
        </w:rPr>
        <w:t>:</w:t>
      </w:r>
    </w:p>
    <w:p w:rsidR="00976DDC" w:rsidRPr="00451C4F" w:rsidRDefault="00451C4F" w:rsidP="002A7493">
      <w:pPr>
        <w:tabs>
          <w:tab w:val="left" w:pos="1710"/>
        </w:tabs>
        <w:ind w:left="720"/>
        <w:jc w:val="both"/>
        <w:rPr>
          <w:rFonts w:eastAsia="Calibri"/>
          <w:i/>
        </w:rPr>
      </w:pPr>
      <w:r w:rsidRPr="00451C4F">
        <w:rPr>
          <w:rFonts w:eastAsia="Calibri"/>
          <w:i/>
        </w:rPr>
        <w:t>“</w:t>
      </w:r>
      <w:r w:rsidR="002A7493" w:rsidRPr="002A7493">
        <w:rPr>
          <w:rFonts w:eastAsia="Calibri"/>
          <w:i/>
        </w:rPr>
        <w:t>The Parties agree the natural gas revenue requirement associated with the Project Compass Customer Information System for the calendar year 2015 will be deferred for recovery in a future proceeding, based on the actual costs of the Project at the time the Project goes into service.</w:t>
      </w:r>
      <w:r w:rsidR="002A7493">
        <w:rPr>
          <w:rFonts w:eastAsia="Calibri"/>
          <w:i/>
        </w:rPr>
        <w:t>”</w:t>
      </w:r>
      <w:r w:rsidR="002A7493" w:rsidRPr="002A7493">
        <w:rPr>
          <w:rFonts w:eastAsia="Calibri"/>
          <w:i/>
        </w:rPr>
        <w:t xml:space="preserve">  </w:t>
      </w:r>
    </w:p>
    <w:p w:rsidR="00451C4F" w:rsidRDefault="00451C4F" w:rsidP="00212B99">
      <w:pPr>
        <w:ind w:left="720"/>
        <w:jc w:val="both"/>
        <w:rPr>
          <w:rFonts w:eastAsia="Calibri"/>
        </w:rPr>
      </w:pPr>
    </w:p>
    <w:p w:rsidR="00451C4F" w:rsidRDefault="00451C4F" w:rsidP="00212B99">
      <w:pPr>
        <w:ind w:left="720"/>
        <w:jc w:val="both"/>
        <w:rPr>
          <w:b/>
        </w:rPr>
      </w:pPr>
      <w:r>
        <w:rPr>
          <w:rFonts w:eastAsia="Calibri"/>
        </w:rPr>
        <w:t xml:space="preserve">This item is addressed by </w:t>
      </w:r>
      <w:r w:rsidR="00352572">
        <w:rPr>
          <w:rFonts w:eastAsia="Calibri"/>
        </w:rPr>
        <w:t>Company witness Ms. Andrews in Exhibit No.__</w:t>
      </w:r>
      <w:proofErr w:type="gramStart"/>
      <w:r w:rsidR="00352572">
        <w:rPr>
          <w:rFonts w:eastAsia="Calibri"/>
        </w:rPr>
        <w:t>_(</w:t>
      </w:r>
      <w:proofErr w:type="gramEnd"/>
      <w:r w:rsidR="00352572">
        <w:rPr>
          <w:rFonts w:eastAsia="Calibri"/>
        </w:rPr>
        <w:t>EMA-1T) and</w:t>
      </w:r>
      <w:r w:rsidR="00212B99">
        <w:rPr>
          <w:rFonts w:eastAsia="Calibri"/>
        </w:rPr>
        <w:t xml:space="preserve"> </w:t>
      </w:r>
      <w:r w:rsidR="00352572">
        <w:rPr>
          <w:rFonts w:eastAsia="Calibri"/>
        </w:rPr>
        <w:t xml:space="preserve">Company witness </w:t>
      </w:r>
      <w:r>
        <w:rPr>
          <w:rFonts w:eastAsia="Calibri"/>
        </w:rPr>
        <w:t xml:space="preserve">Ms. </w:t>
      </w:r>
      <w:r w:rsidR="00212B99">
        <w:rPr>
          <w:rFonts w:eastAsia="Calibri"/>
        </w:rPr>
        <w:t>Smith</w:t>
      </w:r>
      <w:r>
        <w:rPr>
          <w:rFonts w:eastAsia="Calibri"/>
        </w:rPr>
        <w:t xml:space="preserve"> in Exhibit No.___(</w:t>
      </w:r>
      <w:r w:rsidR="00212B99">
        <w:rPr>
          <w:rFonts w:eastAsia="Calibri"/>
        </w:rPr>
        <w:t>JSS</w:t>
      </w:r>
      <w:r>
        <w:rPr>
          <w:rFonts w:eastAsia="Calibri"/>
        </w:rPr>
        <w:t>-1T).</w:t>
      </w:r>
    </w:p>
    <w:p w:rsidR="0085002C" w:rsidRDefault="0085002C" w:rsidP="005E0D2F">
      <w:pPr>
        <w:ind w:left="720"/>
        <w:jc w:val="both"/>
        <w:rPr>
          <w:rFonts w:eastAsia="Calibri"/>
          <w:b/>
        </w:rPr>
      </w:pPr>
    </w:p>
    <w:p w:rsidR="005E0D2F" w:rsidRDefault="005E0D2F" w:rsidP="005E0D2F">
      <w:pPr>
        <w:ind w:left="720"/>
        <w:jc w:val="both"/>
        <w:rPr>
          <w:rFonts w:eastAsia="Calibri"/>
        </w:rPr>
      </w:pPr>
      <w:r w:rsidRPr="008B7E2A">
        <w:rPr>
          <w:rFonts w:eastAsia="Calibri"/>
          <w:b/>
        </w:rPr>
        <w:t xml:space="preserve">Item </w:t>
      </w:r>
      <w:r>
        <w:rPr>
          <w:rFonts w:eastAsia="Calibri"/>
          <w:b/>
        </w:rPr>
        <w:t>5</w:t>
      </w:r>
      <w:r w:rsidRPr="008B7E2A">
        <w:rPr>
          <w:rFonts w:eastAsia="Calibri"/>
          <w:b/>
        </w:rPr>
        <w:t xml:space="preserve"> – </w:t>
      </w:r>
      <w:r w:rsidR="002A7493">
        <w:rPr>
          <w:rFonts w:eastAsia="Calibri"/>
          <w:b/>
        </w:rPr>
        <w:t>Capital Reporting</w:t>
      </w:r>
      <w:r>
        <w:rPr>
          <w:rFonts w:eastAsia="Calibri"/>
          <w:b/>
        </w:rPr>
        <w:t xml:space="preserve"> (Stipulation </w:t>
      </w:r>
      <w:r w:rsidRPr="008B7E2A">
        <w:rPr>
          <w:rFonts w:eastAsia="Calibri"/>
          <w:b/>
        </w:rPr>
        <w:t xml:space="preserve">Page </w:t>
      </w:r>
      <w:r>
        <w:rPr>
          <w:rFonts w:eastAsia="Calibri"/>
          <w:b/>
        </w:rPr>
        <w:t>12</w:t>
      </w:r>
      <w:r w:rsidRPr="008B7E2A">
        <w:rPr>
          <w:rFonts w:eastAsia="Calibri"/>
          <w:b/>
        </w:rPr>
        <w:t>, Paragraph</w:t>
      </w:r>
      <w:r>
        <w:rPr>
          <w:rFonts w:eastAsia="Calibri"/>
          <w:b/>
        </w:rPr>
        <w:t xml:space="preserve"> 20)</w:t>
      </w:r>
      <w:r>
        <w:rPr>
          <w:rFonts w:eastAsia="Calibri"/>
        </w:rPr>
        <w:t>:</w:t>
      </w:r>
    </w:p>
    <w:p w:rsidR="005E0D2F" w:rsidRPr="00451C4F" w:rsidRDefault="005E0D2F" w:rsidP="005E0D2F">
      <w:pPr>
        <w:tabs>
          <w:tab w:val="left" w:pos="1710"/>
        </w:tabs>
        <w:ind w:left="720"/>
        <w:jc w:val="both"/>
        <w:rPr>
          <w:rFonts w:eastAsia="Calibri"/>
          <w:i/>
        </w:rPr>
      </w:pPr>
      <w:r w:rsidRPr="00451C4F">
        <w:rPr>
          <w:rFonts w:eastAsia="Calibri"/>
          <w:i/>
        </w:rPr>
        <w:t>“</w:t>
      </w:r>
      <w:r w:rsidRPr="005E0D2F">
        <w:rPr>
          <w:rFonts w:eastAsia="Calibri"/>
          <w:i/>
        </w:rPr>
        <w:t>The Company agrees to provide detailed semi-annual reporting of 2014 and 2015 capital expenditures with actual data by expenditure request, in the categories provided in its pro forma “cross check” plant adjustments.  The Parties agree to meet and confer by no later than January 31, 2015 to establish any additional details of the capital reporting requirements.</w:t>
      </w:r>
      <w:r w:rsidRPr="00451C4F">
        <w:rPr>
          <w:rFonts w:eastAsia="Calibri"/>
          <w:i/>
        </w:rPr>
        <w:t xml:space="preserve">"   </w:t>
      </w:r>
    </w:p>
    <w:p w:rsidR="005E0D2F" w:rsidRDefault="005E0D2F" w:rsidP="005E0D2F">
      <w:pPr>
        <w:ind w:left="720"/>
        <w:jc w:val="both"/>
        <w:rPr>
          <w:rFonts w:eastAsia="Calibri"/>
        </w:rPr>
      </w:pPr>
    </w:p>
    <w:p w:rsidR="005E0D2F" w:rsidRDefault="002A7493" w:rsidP="005E0D2F">
      <w:pPr>
        <w:ind w:left="720"/>
        <w:jc w:val="both"/>
        <w:rPr>
          <w:b/>
        </w:rPr>
      </w:pPr>
      <w:r>
        <w:rPr>
          <w:rFonts w:eastAsia="Calibri"/>
        </w:rPr>
        <w:t xml:space="preserve">Discussions occurred among the parties prior to January 31, 2015.  </w:t>
      </w:r>
      <w:r w:rsidR="005E0D2F">
        <w:rPr>
          <w:rFonts w:eastAsia="Calibri"/>
        </w:rPr>
        <w:t>This item is addressed by Company witness Ms. Schuh in Exhibit No.__</w:t>
      </w:r>
      <w:proofErr w:type="gramStart"/>
      <w:r w:rsidR="005E0D2F">
        <w:rPr>
          <w:rFonts w:eastAsia="Calibri"/>
        </w:rPr>
        <w:t>_(</w:t>
      </w:r>
      <w:proofErr w:type="gramEnd"/>
      <w:r w:rsidR="005E0D2F">
        <w:rPr>
          <w:rFonts w:eastAsia="Calibri"/>
        </w:rPr>
        <w:t>KKS-1T).</w:t>
      </w:r>
    </w:p>
    <w:p w:rsidR="005E0D2F" w:rsidRDefault="005E0D2F" w:rsidP="00976DDC">
      <w:pPr>
        <w:spacing w:line="480" w:lineRule="auto"/>
        <w:ind w:firstLine="720"/>
        <w:jc w:val="both"/>
        <w:rPr>
          <w:b/>
        </w:rPr>
      </w:pPr>
    </w:p>
    <w:p w:rsidR="00976DDC" w:rsidRPr="0020672A" w:rsidRDefault="00976DDC" w:rsidP="00976DDC">
      <w:pPr>
        <w:spacing w:line="480" w:lineRule="auto"/>
        <w:ind w:firstLine="720"/>
        <w:jc w:val="both"/>
        <w:rPr>
          <w:b/>
        </w:rPr>
      </w:pPr>
      <w:proofErr w:type="gramStart"/>
      <w:r w:rsidRPr="0020672A">
        <w:rPr>
          <w:b/>
        </w:rPr>
        <w:t xml:space="preserve">Q.  </w:t>
      </w:r>
      <w:r>
        <w:rPr>
          <w:b/>
        </w:rPr>
        <w:tab/>
        <w:t>Were all the requirements in Order No. 0</w:t>
      </w:r>
      <w:r w:rsidR="006234CA">
        <w:rPr>
          <w:b/>
        </w:rPr>
        <w:t>5</w:t>
      </w:r>
      <w:r>
        <w:rPr>
          <w:b/>
        </w:rPr>
        <w:t xml:space="preserve"> and the Settlement Stipulation met by the Company prior to filing, or included in, this general rate case?</w:t>
      </w:r>
      <w:proofErr w:type="gramEnd"/>
    </w:p>
    <w:p w:rsidR="001E48C8" w:rsidRDefault="00976DDC" w:rsidP="001E48C8">
      <w:pPr>
        <w:spacing w:line="480" w:lineRule="auto"/>
        <w:ind w:firstLine="720"/>
        <w:jc w:val="both"/>
        <w:rPr>
          <w:rFonts w:eastAsia="Calibri"/>
        </w:rPr>
      </w:pPr>
      <w:r w:rsidRPr="0020672A">
        <w:t>A.</w:t>
      </w:r>
      <w:r w:rsidRPr="0020672A">
        <w:rPr>
          <w:b/>
        </w:rPr>
        <w:t xml:space="preserve">  </w:t>
      </w:r>
      <w:r>
        <w:rPr>
          <w:b/>
        </w:rPr>
        <w:tab/>
      </w:r>
      <w:r>
        <w:t>Yes, a</w:t>
      </w:r>
      <w:r>
        <w:rPr>
          <w:rFonts w:eastAsia="Calibri"/>
        </w:rPr>
        <w:t>ll of the items that were required of the Company in Order No. 0</w:t>
      </w:r>
      <w:r w:rsidR="006234CA">
        <w:rPr>
          <w:rFonts w:eastAsia="Calibri"/>
        </w:rPr>
        <w:t>5</w:t>
      </w:r>
      <w:r>
        <w:rPr>
          <w:rFonts w:eastAsia="Calibri"/>
        </w:rPr>
        <w:t xml:space="preserve"> and the Settlement Stipulation were either completed prior to filing this general rate case</w:t>
      </w:r>
      <w:r w:rsidR="006234CA">
        <w:rPr>
          <w:rFonts w:eastAsia="Calibri"/>
        </w:rPr>
        <w:t xml:space="preserve">, </w:t>
      </w:r>
      <w:r>
        <w:rPr>
          <w:rFonts w:eastAsia="Calibri"/>
        </w:rPr>
        <w:t xml:space="preserve"> </w:t>
      </w:r>
      <w:r>
        <w:rPr>
          <w:rFonts w:eastAsia="Calibri"/>
        </w:rPr>
        <w:lastRenderedPageBreak/>
        <w:t>addressed in this docket as required</w:t>
      </w:r>
      <w:r w:rsidR="006234CA">
        <w:rPr>
          <w:rFonts w:eastAsia="Calibri"/>
        </w:rPr>
        <w:t>, or are future requirements and not otherwise addressed in this case (such as the Decoupling Evaluation required after 2017)</w:t>
      </w:r>
      <w:r>
        <w:rPr>
          <w:rFonts w:eastAsia="Calibri"/>
        </w:rPr>
        <w:t>.</w:t>
      </w:r>
    </w:p>
    <w:p w:rsidR="002A7493" w:rsidRDefault="002A7493" w:rsidP="001E48C8">
      <w:pPr>
        <w:spacing w:line="480" w:lineRule="auto"/>
        <w:ind w:firstLine="720"/>
        <w:jc w:val="both"/>
        <w:rPr>
          <w:rFonts w:eastAsia="Calibri"/>
        </w:rPr>
      </w:pPr>
    </w:p>
    <w:p w:rsidR="0042464B" w:rsidRPr="001D76D1" w:rsidRDefault="0042464B" w:rsidP="0042464B">
      <w:pPr>
        <w:pStyle w:val="P267"/>
        <w:tabs>
          <w:tab w:val="clear" w:pos="360"/>
          <w:tab w:val="left" w:pos="0"/>
        </w:tabs>
        <w:ind w:left="0"/>
        <w:jc w:val="center"/>
        <w:rPr>
          <w:rFonts w:ascii="Times New Roman" w:hAnsi="Times New Roman" w:cs="Times New Roman"/>
        </w:rPr>
      </w:pPr>
      <w:r>
        <w:rPr>
          <w:rFonts w:ascii="Times New Roman" w:hAnsi="Times New Roman" w:cs="Times New Roman"/>
        </w:rPr>
        <w:t>VI</w:t>
      </w:r>
      <w:r w:rsidRPr="001D76D1">
        <w:rPr>
          <w:rFonts w:ascii="Times New Roman" w:hAnsi="Times New Roman" w:cs="Times New Roman"/>
        </w:rPr>
        <w:t xml:space="preserve">I. </w:t>
      </w:r>
      <w:r>
        <w:rPr>
          <w:rFonts w:ascii="Times New Roman" w:hAnsi="Times New Roman" w:cs="Times New Roman"/>
        </w:rPr>
        <w:t>OTHER ITEMS</w:t>
      </w:r>
    </w:p>
    <w:p w:rsidR="006234CA" w:rsidRPr="0020672A" w:rsidRDefault="006234CA" w:rsidP="006234CA">
      <w:pPr>
        <w:spacing w:line="480" w:lineRule="auto"/>
        <w:ind w:firstLine="720"/>
        <w:jc w:val="both"/>
        <w:rPr>
          <w:b/>
        </w:rPr>
      </w:pPr>
      <w:r w:rsidRPr="0020672A">
        <w:rPr>
          <w:b/>
        </w:rPr>
        <w:t xml:space="preserve">Q.  </w:t>
      </w:r>
      <w:r w:rsidR="00007085">
        <w:rPr>
          <w:b/>
        </w:rPr>
        <w:tab/>
        <w:t>Has the Co</w:t>
      </w:r>
      <w:r>
        <w:rPr>
          <w:b/>
        </w:rPr>
        <w:t>mpany filed electric rate Schedule 93, Power Cost Surcharge – Washington, in this case to implement the proposed Energy Recovery Mechanism rebate mechanism discussed by Mr. Johnson?</w:t>
      </w:r>
    </w:p>
    <w:p w:rsidR="0042464B" w:rsidRDefault="006234CA" w:rsidP="006234CA">
      <w:pPr>
        <w:spacing w:line="480" w:lineRule="auto"/>
        <w:ind w:firstLine="720"/>
        <w:jc w:val="both"/>
        <w:rPr>
          <w:rFonts w:eastAsia="Calibri"/>
        </w:rPr>
      </w:pPr>
      <w:r w:rsidRPr="0020672A">
        <w:t>A.</w:t>
      </w:r>
      <w:r w:rsidRPr="0020672A">
        <w:rPr>
          <w:b/>
        </w:rPr>
        <w:t xml:space="preserve">  </w:t>
      </w:r>
      <w:r>
        <w:rPr>
          <w:b/>
        </w:rPr>
        <w:tab/>
      </w:r>
      <w:r>
        <w:t xml:space="preserve">No, the Company has not filed Schedule 93 in this case.  As Mr. Johnson states, </w:t>
      </w:r>
      <w:r w:rsidRPr="006234CA">
        <w:t>on or before Ap</w:t>
      </w:r>
      <w:r>
        <w:t>ril 1 of each year</w:t>
      </w:r>
      <w:r w:rsidR="002A7493">
        <w:t xml:space="preserve"> Avista would</w:t>
      </w:r>
      <w:r w:rsidR="00BE4355">
        <w:t xml:space="preserve"> submit</w:t>
      </w:r>
      <w:r w:rsidRPr="006234CA">
        <w:t xml:space="preserve"> a proposed rate adjustment to recover or rebate the </w:t>
      </w:r>
      <w:r>
        <w:t xml:space="preserve">ERM </w:t>
      </w:r>
      <w:r w:rsidRPr="006234CA">
        <w:t>deferral balance over a twelve-month period</w:t>
      </w:r>
      <w:r>
        <w:t>, starting July 1, 2016</w:t>
      </w:r>
      <w:r w:rsidRPr="006234CA">
        <w:t>.</w:t>
      </w:r>
      <w:r>
        <w:t xml:space="preserve">  As such, if the Commission approves this modification to the ERM, the</w:t>
      </w:r>
      <w:r w:rsidR="002A7493">
        <w:t xml:space="preserve"> Company would file the tariff on or before</w:t>
      </w:r>
      <w:r>
        <w:t xml:space="preserve"> to April 1, 2016.</w:t>
      </w:r>
      <w:r w:rsidRPr="006234CA">
        <w:t xml:space="preserve">  </w:t>
      </w:r>
    </w:p>
    <w:p w:rsidR="006234CA" w:rsidRPr="0020672A" w:rsidRDefault="006234CA" w:rsidP="006234CA">
      <w:pPr>
        <w:spacing w:line="480" w:lineRule="auto"/>
        <w:ind w:firstLine="720"/>
        <w:jc w:val="both"/>
        <w:rPr>
          <w:b/>
        </w:rPr>
      </w:pPr>
      <w:r w:rsidRPr="0020672A">
        <w:rPr>
          <w:b/>
        </w:rPr>
        <w:t xml:space="preserve">Q.  </w:t>
      </w:r>
      <w:r>
        <w:rPr>
          <w:b/>
        </w:rPr>
        <w:tab/>
        <w:t xml:space="preserve">Did the Company </w:t>
      </w:r>
      <w:proofErr w:type="gramStart"/>
      <w:r>
        <w:rPr>
          <w:b/>
        </w:rPr>
        <w:t>file</w:t>
      </w:r>
      <w:proofErr w:type="gramEnd"/>
      <w:r>
        <w:rPr>
          <w:b/>
        </w:rPr>
        <w:t xml:space="preserve"> new electric and natural gas decoupling mechanism baseline information?</w:t>
      </w:r>
    </w:p>
    <w:p w:rsidR="002A7493" w:rsidRDefault="006234CA" w:rsidP="00976DDC">
      <w:pPr>
        <w:spacing w:line="480" w:lineRule="auto"/>
        <w:ind w:firstLine="720"/>
        <w:jc w:val="both"/>
      </w:pPr>
      <w:r w:rsidRPr="0020672A">
        <w:t>A.</w:t>
      </w:r>
      <w:r w:rsidRPr="0020672A">
        <w:rPr>
          <w:b/>
        </w:rPr>
        <w:t xml:space="preserve">  </w:t>
      </w:r>
      <w:r>
        <w:rPr>
          <w:b/>
        </w:rPr>
        <w:tab/>
      </w:r>
      <w:r>
        <w:t xml:space="preserve">No, the Company did not file exhibits detailing the new electric and natural gas decoupling baseline values.  </w:t>
      </w:r>
      <w:r w:rsidR="00A07B81">
        <w:t>The reason why new baseline values were not filed is because the final approved revenue requirement will be different from the Company’s request.  Therefore, t</w:t>
      </w:r>
      <w:r>
        <w:t xml:space="preserve">he Company would, as a part of </w:t>
      </w:r>
      <w:r w:rsidR="00E85E66">
        <w:t xml:space="preserve">the </w:t>
      </w:r>
      <w:r>
        <w:t xml:space="preserve">Compliance Filing, provide the final </w:t>
      </w:r>
      <w:r w:rsidR="00E85E66">
        <w:t>b</w:t>
      </w:r>
      <w:r>
        <w:t>aseline values prior to new rates going into effect as a result of this general rate case.</w:t>
      </w:r>
      <w:r w:rsidR="00F90494">
        <w:t xml:space="preserve">  </w:t>
      </w:r>
    </w:p>
    <w:p w:rsidR="00976DDC" w:rsidRPr="0020672A" w:rsidRDefault="00976DDC" w:rsidP="00976DDC">
      <w:pPr>
        <w:spacing w:line="480" w:lineRule="auto"/>
        <w:ind w:firstLine="720"/>
        <w:jc w:val="both"/>
        <w:rPr>
          <w:b/>
        </w:rPr>
      </w:pPr>
      <w:r w:rsidRPr="0020672A">
        <w:rPr>
          <w:b/>
        </w:rPr>
        <w:t xml:space="preserve">Q.  </w:t>
      </w:r>
      <w:r>
        <w:rPr>
          <w:b/>
        </w:rPr>
        <w:tab/>
        <w:t>Does this conclude your pre-filed, direct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3E19C9">
      <w:pgSz w:w="12240" w:h="15840" w:code="1"/>
      <w:pgMar w:top="1440" w:right="1296" w:bottom="1728" w:left="1872" w:header="720" w:footer="43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660" w:rsidRDefault="00DB7660">
      <w:r>
        <w:separator/>
      </w:r>
    </w:p>
  </w:endnote>
  <w:endnote w:type="continuationSeparator" w:id="0">
    <w:p w:rsidR="00DB7660" w:rsidRDefault="00DB7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Pr="00C372CC" w:rsidRDefault="00DB7660">
    <w:pPr>
      <w:pStyle w:val="Footer"/>
      <w:tabs>
        <w:tab w:val="clear" w:pos="4320"/>
        <w:tab w:val="clear" w:pos="8640"/>
        <w:tab w:val="left" w:pos="180"/>
        <w:tab w:val="right" w:pos="9360"/>
      </w:tabs>
    </w:pPr>
    <w:r w:rsidRPr="00C372CC">
      <w:t>Direct Testimony of Patrick D. Ehrbar</w:t>
    </w:r>
  </w:p>
  <w:p w:rsidR="00DB7660" w:rsidRPr="00C372CC" w:rsidRDefault="00DB7660">
    <w:pPr>
      <w:pStyle w:val="Footer"/>
      <w:tabs>
        <w:tab w:val="clear" w:pos="4320"/>
        <w:tab w:val="clear" w:pos="8640"/>
        <w:tab w:val="left" w:pos="180"/>
        <w:tab w:val="right" w:pos="9360"/>
      </w:tabs>
    </w:pPr>
    <w:r w:rsidRPr="00C372CC">
      <w:t>Avista Corporation</w:t>
    </w:r>
  </w:p>
  <w:p w:rsidR="00DB7660" w:rsidRPr="008B0C99" w:rsidRDefault="00DB7660" w:rsidP="008B0C99">
    <w:pPr>
      <w:pStyle w:val="Footer"/>
      <w:tabs>
        <w:tab w:val="clear" w:pos="4320"/>
        <w:tab w:val="clear" w:pos="8640"/>
        <w:tab w:val="left" w:pos="180"/>
        <w:tab w:val="right" w:pos="8910"/>
      </w:tabs>
    </w:pPr>
    <w:r w:rsidRPr="00C372CC">
      <w:t>Docket Nos. UE-1</w:t>
    </w:r>
    <w:r>
      <w:t>5</w:t>
    </w:r>
    <w:r w:rsidRPr="00C372CC">
      <w:t>____ and UG-</w:t>
    </w:r>
    <w:r>
      <w:t>15</w:t>
    </w:r>
    <w:r w:rsidRPr="00C372CC">
      <w:t>____</w:t>
    </w:r>
    <w:r w:rsidRPr="00C372CC">
      <w:tab/>
      <w:t xml:space="preserve">Page </w:t>
    </w:r>
    <w:r w:rsidRPr="00C372CC">
      <w:rPr>
        <w:rStyle w:val="PageNumber"/>
      </w:rPr>
      <w:fldChar w:fldCharType="begin"/>
    </w:r>
    <w:r w:rsidRPr="00C372CC">
      <w:rPr>
        <w:rStyle w:val="PageNumber"/>
      </w:rPr>
      <w:instrText xml:space="preserve"> PAGE </w:instrText>
    </w:r>
    <w:r w:rsidRPr="00C372CC">
      <w:rPr>
        <w:rStyle w:val="PageNumber"/>
      </w:rPr>
      <w:fldChar w:fldCharType="separate"/>
    </w:r>
    <w:r w:rsidR="007C10C8">
      <w:rPr>
        <w:rStyle w:val="PageNumber"/>
        <w:noProof/>
      </w:rPr>
      <w:t>26</w:t>
    </w:r>
    <w:r w:rsidRPr="00C372C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Default="00DB7660">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660" w:rsidRDefault="00DB7660">
      <w:r>
        <w:separator/>
      </w:r>
    </w:p>
  </w:footnote>
  <w:footnote w:type="continuationSeparator" w:id="0">
    <w:p w:rsidR="00DB7660" w:rsidRDefault="00DB7660">
      <w:r>
        <w:continuationSeparator/>
      </w:r>
    </w:p>
  </w:footnote>
  <w:footnote w:id="1">
    <w:p w:rsidR="00DB7660" w:rsidRDefault="00DB7660" w:rsidP="00F03E78">
      <w:pPr>
        <w:pStyle w:val="FootnoteText"/>
        <w:jc w:val="both"/>
      </w:pPr>
      <w:r>
        <w:rPr>
          <w:rStyle w:val="FootnoteReference"/>
        </w:rPr>
        <w:footnoteRef/>
      </w:r>
      <w:r>
        <w:t xml:space="preserve"> With a proposed effective date of March 12, 2015, the increase in billing rates does not include the effect of the expiration of Energy Recovery Mechanism rebate customers are receiving in 2015 (through Schedule 93).</w:t>
      </w:r>
    </w:p>
  </w:footnote>
  <w:footnote w:id="2">
    <w:p w:rsidR="00DB7660" w:rsidRDefault="00DB7660" w:rsidP="003A16ED">
      <w:pPr>
        <w:pStyle w:val="FootnoteText"/>
        <w:jc w:val="both"/>
      </w:pPr>
      <w:r>
        <w:rPr>
          <w:rStyle w:val="FootnoteReference"/>
        </w:rPr>
        <w:footnoteRef/>
      </w:r>
      <w:r>
        <w:t xml:space="preserve"> The proposed increase in natural gas revenues of 7.0% includes revenues from base tariffs as well as the current cost of natural gas included in Schedule 150.</w:t>
      </w:r>
    </w:p>
  </w:footnote>
  <w:footnote w:id="3">
    <w:p w:rsidR="00DB7660" w:rsidRPr="009D7F10" w:rsidRDefault="00DB7660" w:rsidP="006C7E37">
      <w:pPr>
        <w:pStyle w:val="TestBody"/>
        <w:widowControl w:val="0"/>
        <w:tabs>
          <w:tab w:val="left" w:pos="1440"/>
        </w:tabs>
        <w:spacing w:line="240" w:lineRule="auto"/>
        <w:ind w:left="0"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w:t>
      </w:r>
      <w:r>
        <w:rPr>
          <w:rFonts w:ascii="Times New Roman" w:hAnsi="Times New Roman" w:cs="Times New Roman"/>
          <w:sz w:val="20"/>
          <w:szCs w:val="20"/>
        </w:rPr>
        <w:t>45</w:t>
      </w:r>
      <w:r w:rsidRPr="009D7F10">
        <w:rPr>
          <w:rFonts w:ascii="Times New Roman" w:hAnsi="Times New Roman" w:cs="Times New Roman"/>
          <w:sz w:val="20"/>
          <w:szCs w:val="20"/>
        </w:rPr>
        <w:t xml:space="preserve">.0 cents per therm for the cost of natural gas and pipeline transportation, the proposed increase to Schedule 146 rates represents an average increase of </w:t>
      </w:r>
      <w:r>
        <w:rPr>
          <w:rFonts w:ascii="Times New Roman" w:hAnsi="Times New Roman" w:cs="Times New Roman"/>
          <w:sz w:val="20"/>
          <w:szCs w:val="20"/>
        </w:rPr>
        <w:t>3.4</w:t>
      </w:r>
      <w:r w:rsidRPr="009D7F10">
        <w:rPr>
          <w:rFonts w:ascii="Times New Roman" w:hAnsi="Times New Roman" w:cs="Times New Roman"/>
          <w:sz w:val="20"/>
          <w:szCs w:val="20"/>
        </w:rPr>
        <w:t>% in those customers’ total natural gas bill.</w:t>
      </w:r>
    </w:p>
    <w:p w:rsidR="00DB7660" w:rsidRDefault="00DB7660" w:rsidP="006C7E37">
      <w:pPr>
        <w:pStyle w:val="FootnoteText"/>
        <w:jc w:val="both"/>
      </w:pPr>
    </w:p>
  </w:footnote>
  <w:footnote w:id="4">
    <w:p w:rsidR="00DB7660" w:rsidRDefault="00DB7660" w:rsidP="00E66914">
      <w:pPr>
        <w:pStyle w:val="FootnoteText"/>
        <w:jc w:val="both"/>
      </w:pPr>
      <w:r w:rsidRPr="00287B1F">
        <w:rPr>
          <w:rStyle w:val="FootnoteReference"/>
        </w:rPr>
        <w:footnoteRef/>
      </w:r>
      <w:r w:rsidRPr="00287B1F">
        <w:t xml:space="preserve"> </w:t>
      </w:r>
      <w:proofErr w:type="gramStart"/>
      <w:r w:rsidRPr="00287B1F">
        <w:t>Knox Exhibit No.</w:t>
      </w:r>
      <w:proofErr w:type="gramEnd"/>
      <w:r w:rsidRPr="00287B1F">
        <w:t xml:space="preserve"> __</w:t>
      </w:r>
      <w:proofErr w:type="gramStart"/>
      <w:r w:rsidRPr="00287B1F">
        <w:t>_(</w:t>
      </w:r>
      <w:proofErr w:type="gramEnd"/>
      <w:r w:rsidRPr="00287B1F">
        <w:t xml:space="preserve">TLK-4), at 3 </w:t>
      </w:r>
      <w:proofErr w:type="spellStart"/>
      <w:r w:rsidRPr="00287B1F">
        <w:t>ln</w:t>
      </w:r>
      <w:proofErr w:type="spellEnd"/>
      <w:r w:rsidRPr="00287B1F">
        <w:t>.</w:t>
      </w:r>
      <w:r>
        <w:t xml:space="preserve"> </w:t>
      </w:r>
      <w:r w:rsidRPr="00287B1F">
        <w:t>28</w:t>
      </w:r>
    </w:p>
  </w:footnote>
  <w:footnote w:id="5">
    <w:p w:rsidR="00DB7660" w:rsidRDefault="00DB7660" w:rsidP="0008235E">
      <w:pPr>
        <w:pStyle w:val="FootnoteText"/>
        <w:jc w:val="both"/>
      </w:pPr>
      <w:r>
        <w:rPr>
          <w:rStyle w:val="FootnoteReference"/>
        </w:rPr>
        <w:footnoteRef/>
      </w:r>
      <w:r>
        <w:t xml:space="preserve"> The components would be updated with the final approved capital structure, gross-up factor, and depreciation factor as ordered by the Commission at the culmination of this general rate case.</w:t>
      </w:r>
    </w:p>
  </w:footnote>
  <w:footnote w:id="6">
    <w:p w:rsidR="00DB7660" w:rsidRDefault="00DB7660" w:rsidP="0008235E">
      <w:pPr>
        <w:pStyle w:val="FootnoteText"/>
        <w:jc w:val="both"/>
      </w:pPr>
      <w:r>
        <w:rPr>
          <w:rStyle w:val="FootnoteReference"/>
        </w:rPr>
        <w:footnoteRef/>
      </w:r>
      <w:r>
        <w:t xml:space="preserve"> The Capital Recovery Factor is derived by adding together the Company’s weighted Cost of Capital, grossed up for revenue-related expenses, and the effective depreciation rate for all Street and Area Lights (FERC Account 373) from the Company’s Cost of Service study.</w:t>
      </w:r>
    </w:p>
  </w:footnote>
  <w:footnote w:id="7">
    <w:p w:rsidR="00DB7660" w:rsidRDefault="00DB7660" w:rsidP="0008235E">
      <w:pPr>
        <w:pStyle w:val="FootnoteText"/>
        <w:jc w:val="both"/>
      </w:pPr>
      <w:r>
        <w:rPr>
          <w:rStyle w:val="FootnoteReference"/>
        </w:rPr>
        <w:footnoteRef/>
      </w:r>
      <w:r>
        <w:t xml:space="preserve"> </w:t>
      </w:r>
      <w:r w:rsidRPr="00FE74A8">
        <w:t xml:space="preserve">The </w:t>
      </w:r>
      <w:r>
        <w:t>maintenance component</w:t>
      </w:r>
      <w:r w:rsidRPr="00FE74A8">
        <w:t xml:space="preserve"> for an </w:t>
      </w:r>
      <w:r w:rsidRPr="002A7002">
        <w:rPr>
          <w:u w:val="single"/>
        </w:rPr>
        <w:t>existing</w:t>
      </w:r>
      <w:r w:rsidRPr="00FE74A8">
        <w:t xml:space="preserve"> light can be derived by subtracting the</w:t>
      </w:r>
      <w:r>
        <w:t xml:space="preserve"> Schedule 46 (energy) light code monthly charge from the same Schedule 44 light code monthly charge (</w:t>
      </w:r>
      <w:r w:rsidRPr="00FE74A8">
        <w:t>maintenance and energy</w:t>
      </w:r>
      <w:r>
        <w:t>)</w:t>
      </w:r>
      <w:r w:rsidRPr="00FE74A8">
        <w:t xml:space="preserve">.  </w:t>
      </w:r>
      <w:r w:rsidRPr="00D37769">
        <w:t xml:space="preserve">The maintenance component for a </w:t>
      </w:r>
      <w:r w:rsidRPr="002A7002">
        <w:rPr>
          <w:u w:val="single"/>
        </w:rPr>
        <w:t>new</w:t>
      </w:r>
      <w:r w:rsidRPr="00D37769">
        <w:t xml:space="preserve"> lighting standard that is outside of what is in the Company’s present offerings will be based on an engineering estimate of the monthly maintenance cost grossed up for revenue</w:t>
      </w:r>
      <w:r>
        <w:t>-</w:t>
      </w:r>
      <w:r w:rsidRPr="00D37769">
        <w:t>related expenses.</w:t>
      </w:r>
    </w:p>
  </w:footnote>
  <w:footnote w:id="8">
    <w:p w:rsidR="00DB7660" w:rsidRDefault="00DB7660" w:rsidP="00247DEE">
      <w:pPr>
        <w:pStyle w:val="FootnoteText"/>
        <w:jc w:val="both"/>
      </w:pPr>
      <w:r>
        <w:rPr>
          <w:rStyle w:val="FootnoteReference"/>
        </w:rPr>
        <w:footnoteRef/>
      </w:r>
      <w:r>
        <w:t xml:space="preserve"> The calculation of the minimum charge for Schedule 111 is equal to the total bill for 200 therms priced at Schedule 101 base rates (excluding Schedule 150 gas costs).</w:t>
      </w:r>
    </w:p>
  </w:footnote>
  <w:footnote w:id="9">
    <w:p w:rsidR="00DB7660" w:rsidRDefault="00DB7660" w:rsidP="00E66914">
      <w:pPr>
        <w:pStyle w:val="FootnoteText"/>
        <w:jc w:val="both"/>
      </w:pPr>
      <w:r w:rsidRPr="00EB082C">
        <w:rPr>
          <w:rStyle w:val="FootnoteReference"/>
        </w:rPr>
        <w:footnoteRef/>
      </w:r>
      <w:r w:rsidRPr="00EB082C">
        <w:t xml:space="preserve"> </w:t>
      </w:r>
      <w:proofErr w:type="gramStart"/>
      <w:r>
        <w:t xml:space="preserve">Morehouse </w:t>
      </w:r>
      <w:r w:rsidRPr="00EB082C">
        <w:t>Exhibit No.</w:t>
      </w:r>
      <w:proofErr w:type="gramEnd"/>
      <w:r w:rsidRPr="00EB082C">
        <w:t xml:space="preserve"> </w:t>
      </w:r>
      <w:r w:rsidRPr="0031526F">
        <w:t>__</w:t>
      </w:r>
      <w:proofErr w:type="gramStart"/>
      <w:r w:rsidRPr="0031526F">
        <w:t>_(</w:t>
      </w:r>
      <w:proofErr w:type="gramEnd"/>
      <w:r>
        <w:t>JM</w:t>
      </w:r>
      <w:r w:rsidRPr="00EA75E7">
        <w:t>-2)</w:t>
      </w:r>
      <w:r>
        <w:t>, p</w:t>
      </w:r>
      <w:r w:rsidRPr="00EB082C">
        <w:t xml:space="preserve"> </w:t>
      </w:r>
      <w:r>
        <w:t>6.</w:t>
      </w:r>
    </w:p>
  </w:footnote>
  <w:footnote w:id="10">
    <w:p w:rsidR="00DB7660" w:rsidRDefault="00DB7660" w:rsidP="00E85E66">
      <w:pPr>
        <w:pStyle w:val="FootnoteText"/>
        <w:jc w:val="both"/>
      </w:pPr>
      <w:r>
        <w:rPr>
          <w:rStyle w:val="FootnoteReference"/>
        </w:rPr>
        <w:footnoteRef/>
      </w:r>
      <w:r>
        <w:t xml:space="preserve"> Because the Company does not have Advanced Metering Infrastructure (AMI), residential demand billing determinants are not available. Simply using an estimate of 5 kW per residence, and only the </w:t>
      </w:r>
      <w:r w:rsidRPr="006E75AB">
        <w:rPr>
          <w:u w:val="single"/>
        </w:rPr>
        <w:t>Distribution</w:t>
      </w:r>
      <w:r>
        <w:t xml:space="preserve"> Demand Related Unit Cost per Month of $25.07 from Ms. Knox’s Exhibit No.__</w:t>
      </w:r>
      <w:proofErr w:type="gramStart"/>
      <w:r>
        <w:t>_(</w:t>
      </w:r>
      <w:proofErr w:type="gramEnd"/>
      <w:r>
        <w:t>TLK-3), page 4, line 28, one could estimate a monthly demand charge of $5.01/kW.</w:t>
      </w:r>
    </w:p>
  </w:footnote>
  <w:footnote w:id="11">
    <w:p w:rsidR="00DB7660" w:rsidRDefault="00DB7660" w:rsidP="00CF4E3A">
      <w:pPr>
        <w:pStyle w:val="FootnoteText"/>
        <w:jc w:val="both"/>
      </w:pPr>
      <w:r>
        <w:rPr>
          <w:rStyle w:val="FootnoteReference"/>
        </w:rPr>
        <w:footnoteRef/>
      </w:r>
      <w:r>
        <w:t xml:space="preserve"> Customer usage extracted from the Company’s billing system was from Schedule 1 customers that had their account open during the entire year, i.e., from January 1, 2014 through December 31, 2014.  Any accounts opened for a partial year were excluded.  Further, the Company is aware that the limited income population used for this analysis is not </w:t>
      </w:r>
      <w:proofErr w:type="gramStart"/>
      <w:r>
        <w:t>comprehensive,</w:t>
      </w:r>
      <w:proofErr w:type="gramEnd"/>
      <w:r>
        <w:t xml:space="preserve"> however the Company does not track customer incomes and therefore could only rely upon LIHEAP and LIRAP participants to be the proxy group for the limited income population.</w:t>
      </w:r>
    </w:p>
  </w:footnote>
  <w:footnote w:id="12">
    <w:p w:rsidR="00DB7660" w:rsidRDefault="00DB7660" w:rsidP="00E66914">
      <w:pPr>
        <w:pStyle w:val="FootnoteText"/>
        <w:jc w:val="both"/>
      </w:pPr>
      <w:r>
        <w:rPr>
          <w:rStyle w:val="FootnoteReference"/>
        </w:rPr>
        <w:footnoteRef/>
      </w:r>
      <w:r>
        <w:t xml:space="preserve"> </w:t>
      </w:r>
      <w:proofErr w:type="gramStart"/>
      <w:r>
        <w:t>Avista Docket UG-060518, “Evaluation of Avista Gas Decoupling Mechanism Pilot”, p. 81, Table K-10.</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Default="00DB7660">
    <w:pPr>
      <w:pStyle w:val="Header"/>
      <w:jc w:val="right"/>
    </w:pPr>
    <w:r>
      <w:t>Exhibit No. __</w:t>
    </w:r>
    <w:proofErr w:type="gramStart"/>
    <w:r>
      <w:t>_(</w:t>
    </w:r>
    <w:proofErr w:type="gramEnd"/>
    <w:r>
      <w:t>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Default="00DB7660" w:rsidP="007B58C5">
    <w:pPr>
      <w:pStyle w:val="Header"/>
      <w:jc w:val="right"/>
    </w:pPr>
    <w:r>
      <w:t>Exhibit No. __</w:t>
    </w:r>
    <w:proofErr w:type="gramStart"/>
    <w:r>
      <w:t>_(</w:t>
    </w:r>
    <w:proofErr w:type="gramEnd"/>
    <w:r>
      <w:t>PDE-1T)</w:t>
    </w:r>
  </w:p>
  <w:p w:rsidR="00DB7660" w:rsidRDefault="00DB7660"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1">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6">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7">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9">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2">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nsid w:val="235E76F7"/>
    <w:multiLevelType w:val="multilevel"/>
    <w:tmpl w:val="7736C418"/>
    <w:styleLink w:val="RTF5fNum2027"/>
    <w:lvl w:ilvl="0">
      <w:start w:val="17"/>
      <w:numFmt w:val="upperLetter"/>
      <w:lvlText w:val="%1."/>
      <w:lvlJc w:val="left"/>
      <w:pPr>
        <w:tabs>
          <w:tab w:val="num" w:pos="1680"/>
        </w:tabs>
        <w:ind w:left="1530" w:hanging="72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0"/>
        </w:tabs>
        <w:ind w:left="6930" w:hanging="180"/>
      </w:pPr>
      <w:rPr>
        <w:rFonts w:cs="Times New Roman"/>
      </w:rPr>
    </w:lvl>
  </w:abstractNum>
  <w:abstractNum w:abstractNumId="14">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5">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9">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0">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3">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4">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5">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7">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28">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1">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2">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3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4">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1"/>
  </w:num>
  <w:num w:numId="2">
    <w:abstractNumId w:val="23"/>
  </w:num>
  <w:num w:numId="3">
    <w:abstractNumId w:val="1"/>
  </w:num>
  <w:num w:numId="4">
    <w:abstractNumId w:val="17"/>
  </w:num>
  <w:num w:numId="5">
    <w:abstractNumId w:val="4"/>
  </w:num>
  <w:num w:numId="6">
    <w:abstractNumId w:val="16"/>
  </w:num>
  <w:num w:numId="7">
    <w:abstractNumId w:val="8"/>
  </w:num>
  <w:num w:numId="8">
    <w:abstractNumId w:val="12"/>
  </w:num>
  <w:num w:numId="9">
    <w:abstractNumId w:val="20"/>
  </w:num>
  <w:num w:numId="10">
    <w:abstractNumId w:val="14"/>
  </w:num>
  <w:num w:numId="11">
    <w:abstractNumId w:val="6"/>
  </w:num>
  <w:num w:numId="12">
    <w:abstractNumId w:val="33"/>
  </w:num>
  <w:num w:numId="13">
    <w:abstractNumId w:val="31"/>
  </w:num>
  <w:num w:numId="14">
    <w:abstractNumId w:val="34"/>
  </w:num>
  <w:num w:numId="15">
    <w:abstractNumId w:val="11"/>
  </w:num>
  <w:num w:numId="16">
    <w:abstractNumId w:val="13"/>
  </w:num>
  <w:num w:numId="17">
    <w:abstractNumId w:val="19"/>
  </w:num>
  <w:num w:numId="18">
    <w:abstractNumId w:val="32"/>
  </w:num>
  <w:num w:numId="19">
    <w:abstractNumId w:val="15"/>
  </w:num>
  <w:num w:numId="20">
    <w:abstractNumId w:val="27"/>
  </w:num>
  <w:num w:numId="21">
    <w:abstractNumId w:val="0"/>
  </w:num>
  <w:num w:numId="22">
    <w:abstractNumId w:val="26"/>
  </w:num>
  <w:num w:numId="23">
    <w:abstractNumId w:val="22"/>
  </w:num>
  <w:num w:numId="24">
    <w:abstractNumId w:val="18"/>
  </w:num>
  <w:num w:numId="25">
    <w:abstractNumId w:val="3"/>
  </w:num>
  <w:num w:numId="26">
    <w:abstractNumId w:val="2"/>
  </w:num>
  <w:num w:numId="27">
    <w:abstractNumId w:val="10"/>
  </w:num>
  <w:num w:numId="28">
    <w:abstractNumId w:val="30"/>
  </w:num>
  <w:num w:numId="29">
    <w:abstractNumId w:val="9"/>
  </w:num>
  <w:num w:numId="30">
    <w:abstractNumId w:val="24"/>
  </w:num>
  <w:num w:numId="31">
    <w:abstractNumId w:val="28"/>
  </w:num>
  <w:num w:numId="32">
    <w:abstractNumId w:val="29"/>
  </w:num>
  <w:num w:numId="33">
    <w:abstractNumId w:val="25"/>
  </w:num>
  <w:num w:numId="34">
    <w:abstractNumId w:val="5"/>
  </w:num>
  <w:num w:numId="35">
    <w:abstractNumId w:val="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0480"/>
    <w:rsid w:val="00003068"/>
    <w:rsid w:val="00004003"/>
    <w:rsid w:val="00005690"/>
    <w:rsid w:val="000061C2"/>
    <w:rsid w:val="00006E2F"/>
    <w:rsid w:val="00007085"/>
    <w:rsid w:val="00007E94"/>
    <w:rsid w:val="00010A41"/>
    <w:rsid w:val="00010FB3"/>
    <w:rsid w:val="00011D1C"/>
    <w:rsid w:val="0001379A"/>
    <w:rsid w:val="00013EB7"/>
    <w:rsid w:val="0001498B"/>
    <w:rsid w:val="00015AD9"/>
    <w:rsid w:val="00016F05"/>
    <w:rsid w:val="00022EA9"/>
    <w:rsid w:val="00024AC8"/>
    <w:rsid w:val="0003051A"/>
    <w:rsid w:val="0003347A"/>
    <w:rsid w:val="0003621B"/>
    <w:rsid w:val="00042739"/>
    <w:rsid w:val="00045827"/>
    <w:rsid w:val="00045C70"/>
    <w:rsid w:val="00046323"/>
    <w:rsid w:val="000504EF"/>
    <w:rsid w:val="000547A1"/>
    <w:rsid w:val="00054A99"/>
    <w:rsid w:val="000568B0"/>
    <w:rsid w:val="00060FF5"/>
    <w:rsid w:val="00064145"/>
    <w:rsid w:val="00065523"/>
    <w:rsid w:val="00066399"/>
    <w:rsid w:val="00066C73"/>
    <w:rsid w:val="0006733F"/>
    <w:rsid w:val="00067420"/>
    <w:rsid w:val="00070A2E"/>
    <w:rsid w:val="00071706"/>
    <w:rsid w:val="0007197F"/>
    <w:rsid w:val="000725F5"/>
    <w:rsid w:val="00075515"/>
    <w:rsid w:val="00075612"/>
    <w:rsid w:val="00081958"/>
    <w:rsid w:val="0008235E"/>
    <w:rsid w:val="000831A6"/>
    <w:rsid w:val="00083D6D"/>
    <w:rsid w:val="000844DB"/>
    <w:rsid w:val="0008527C"/>
    <w:rsid w:val="00085E52"/>
    <w:rsid w:val="000925D0"/>
    <w:rsid w:val="000926C0"/>
    <w:rsid w:val="000926CF"/>
    <w:rsid w:val="0009624A"/>
    <w:rsid w:val="0009730E"/>
    <w:rsid w:val="000A0894"/>
    <w:rsid w:val="000A19F4"/>
    <w:rsid w:val="000A204F"/>
    <w:rsid w:val="000A2244"/>
    <w:rsid w:val="000A232B"/>
    <w:rsid w:val="000A2AD6"/>
    <w:rsid w:val="000A3548"/>
    <w:rsid w:val="000A497F"/>
    <w:rsid w:val="000A4A15"/>
    <w:rsid w:val="000A4C44"/>
    <w:rsid w:val="000A502C"/>
    <w:rsid w:val="000A6665"/>
    <w:rsid w:val="000A6734"/>
    <w:rsid w:val="000A6860"/>
    <w:rsid w:val="000A6BBC"/>
    <w:rsid w:val="000B2F0A"/>
    <w:rsid w:val="000B55F7"/>
    <w:rsid w:val="000B567E"/>
    <w:rsid w:val="000B5939"/>
    <w:rsid w:val="000B5DDE"/>
    <w:rsid w:val="000B6139"/>
    <w:rsid w:val="000B6A29"/>
    <w:rsid w:val="000B7DDE"/>
    <w:rsid w:val="000C0177"/>
    <w:rsid w:val="000C19AD"/>
    <w:rsid w:val="000C21C5"/>
    <w:rsid w:val="000C64E4"/>
    <w:rsid w:val="000D3A30"/>
    <w:rsid w:val="000D4B96"/>
    <w:rsid w:val="000D5132"/>
    <w:rsid w:val="000D6ABC"/>
    <w:rsid w:val="000D6BFD"/>
    <w:rsid w:val="000D7C83"/>
    <w:rsid w:val="000E2E27"/>
    <w:rsid w:val="000E62F6"/>
    <w:rsid w:val="000E6F31"/>
    <w:rsid w:val="000F0B81"/>
    <w:rsid w:val="000F0F87"/>
    <w:rsid w:val="000F15F3"/>
    <w:rsid w:val="000F2A4D"/>
    <w:rsid w:val="000F3263"/>
    <w:rsid w:val="000F3897"/>
    <w:rsid w:val="000F3DC4"/>
    <w:rsid w:val="000F4153"/>
    <w:rsid w:val="000F5D38"/>
    <w:rsid w:val="000F6CFB"/>
    <w:rsid w:val="00100091"/>
    <w:rsid w:val="001020C1"/>
    <w:rsid w:val="00102C9F"/>
    <w:rsid w:val="00102DA5"/>
    <w:rsid w:val="00103076"/>
    <w:rsid w:val="00103E4A"/>
    <w:rsid w:val="0010527D"/>
    <w:rsid w:val="00106FF3"/>
    <w:rsid w:val="00110785"/>
    <w:rsid w:val="001121FA"/>
    <w:rsid w:val="00112801"/>
    <w:rsid w:val="00113A3C"/>
    <w:rsid w:val="001210ED"/>
    <w:rsid w:val="00121B28"/>
    <w:rsid w:val="0012232D"/>
    <w:rsid w:val="00122BB9"/>
    <w:rsid w:val="0012369E"/>
    <w:rsid w:val="001279B7"/>
    <w:rsid w:val="00131A33"/>
    <w:rsid w:val="00131E05"/>
    <w:rsid w:val="00132707"/>
    <w:rsid w:val="00133769"/>
    <w:rsid w:val="0013455F"/>
    <w:rsid w:val="00135AD1"/>
    <w:rsid w:val="00137989"/>
    <w:rsid w:val="00141F88"/>
    <w:rsid w:val="001448F1"/>
    <w:rsid w:val="00146C46"/>
    <w:rsid w:val="001473F1"/>
    <w:rsid w:val="00147D24"/>
    <w:rsid w:val="00150518"/>
    <w:rsid w:val="00156D28"/>
    <w:rsid w:val="0015701E"/>
    <w:rsid w:val="00162D05"/>
    <w:rsid w:val="001634DE"/>
    <w:rsid w:val="00164150"/>
    <w:rsid w:val="00165004"/>
    <w:rsid w:val="001665DB"/>
    <w:rsid w:val="0017074B"/>
    <w:rsid w:val="00170A22"/>
    <w:rsid w:val="00171B4C"/>
    <w:rsid w:val="00174854"/>
    <w:rsid w:val="00174FCE"/>
    <w:rsid w:val="0017674C"/>
    <w:rsid w:val="00177866"/>
    <w:rsid w:val="00177CFC"/>
    <w:rsid w:val="00177FF7"/>
    <w:rsid w:val="00180519"/>
    <w:rsid w:val="001813D8"/>
    <w:rsid w:val="001827B6"/>
    <w:rsid w:val="00185D46"/>
    <w:rsid w:val="0019267A"/>
    <w:rsid w:val="0019453A"/>
    <w:rsid w:val="00197176"/>
    <w:rsid w:val="001A1483"/>
    <w:rsid w:val="001A3017"/>
    <w:rsid w:val="001A315C"/>
    <w:rsid w:val="001A4278"/>
    <w:rsid w:val="001A58EA"/>
    <w:rsid w:val="001A60D6"/>
    <w:rsid w:val="001A786F"/>
    <w:rsid w:val="001B0AC2"/>
    <w:rsid w:val="001B23F5"/>
    <w:rsid w:val="001B2DA2"/>
    <w:rsid w:val="001B3343"/>
    <w:rsid w:val="001B3BF7"/>
    <w:rsid w:val="001C15C7"/>
    <w:rsid w:val="001C4645"/>
    <w:rsid w:val="001C57DE"/>
    <w:rsid w:val="001C5F10"/>
    <w:rsid w:val="001C6565"/>
    <w:rsid w:val="001D224A"/>
    <w:rsid w:val="001D2BD3"/>
    <w:rsid w:val="001D2DC2"/>
    <w:rsid w:val="001D76D1"/>
    <w:rsid w:val="001E12F2"/>
    <w:rsid w:val="001E22ED"/>
    <w:rsid w:val="001E427B"/>
    <w:rsid w:val="001E455B"/>
    <w:rsid w:val="001E48C8"/>
    <w:rsid w:val="001E65B2"/>
    <w:rsid w:val="001E6D70"/>
    <w:rsid w:val="001E7D9F"/>
    <w:rsid w:val="001F0D77"/>
    <w:rsid w:val="001F4EC4"/>
    <w:rsid w:val="00200521"/>
    <w:rsid w:val="00203679"/>
    <w:rsid w:val="002041A4"/>
    <w:rsid w:val="00204C48"/>
    <w:rsid w:val="00204E63"/>
    <w:rsid w:val="00204EB2"/>
    <w:rsid w:val="00206BDE"/>
    <w:rsid w:val="002079A8"/>
    <w:rsid w:val="00207D6E"/>
    <w:rsid w:val="00212B99"/>
    <w:rsid w:val="00214D76"/>
    <w:rsid w:val="0021578E"/>
    <w:rsid w:val="00216493"/>
    <w:rsid w:val="00216BB6"/>
    <w:rsid w:val="00221538"/>
    <w:rsid w:val="0022220E"/>
    <w:rsid w:val="0022502F"/>
    <w:rsid w:val="00226A86"/>
    <w:rsid w:val="00230326"/>
    <w:rsid w:val="00231169"/>
    <w:rsid w:val="00232747"/>
    <w:rsid w:val="002329CD"/>
    <w:rsid w:val="002336F1"/>
    <w:rsid w:val="00233F30"/>
    <w:rsid w:val="002369E0"/>
    <w:rsid w:val="00240544"/>
    <w:rsid w:val="00240E36"/>
    <w:rsid w:val="00244590"/>
    <w:rsid w:val="002467E2"/>
    <w:rsid w:val="00247DEE"/>
    <w:rsid w:val="00251F92"/>
    <w:rsid w:val="0025349A"/>
    <w:rsid w:val="0025427B"/>
    <w:rsid w:val="002543B2"/>
    <w:rsid w:val="002558EB"/>
    <w:rsid w:val="00257659"/>
    <w:rsid w:val="00260171"/>
    <w:rsid w:val="0026350D"/>
    <w:rsid w:val="00265299"/>
    <w:rsid w:val="00265A10"/>
    <w:rsid w:val="00266EF0"/>
    <w:rsid w:val="00267E54"/>
    <w:rsid w:val="00272E6B"/>
    <w:rsid w:val="002734F6"/>
    <w:rsid w:val="002746C1"/>
    <w:rsid w:val="002750A1"/>
    <w:rsid w:val="0027643C"/>
    <w:rsid w:val="00280678"/>
    <w:rsid w:val="00284453"/>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7002"/>
    <w:rsid w:val="002A7493"/>
    <w:rsid w:val="002B0DA7"/>
    <w:rsid w:val="002B1B54"/>
    <w:rsid w:val="002B3375"/>
    <w:rsid w:val="002B68A1"/>
    <w:rsid w:val="002B6EA3"/>
    <w:rsid w:val="002B738D"/>
    <w:rsid w:val="002C0C2F"/>
    <w:rsid w:val="002C1009"/>
    <w:rsid w:val="002C1940"/>
    <w:rsid w:val="002C60CB"/>
    <w:rsid w:val="002C625F"/>
    <w:rsid w:val="002D35C8"/>
    <w:rsid w:val="002D398E"/>
    <w:rsid w:val="002E0B86"/>
    <w:rsid w:val="002E3123"/>
    <w:rsid w:val="002E3552"/>
    <w:rsid w:val="002E35D8"/>
    <w:rsid w:val="002E7F3A"/>
    <w:rsid w:val="002F0D16"/>
    <w:rsid w:val="002F3BC3"/>
    <w:rsid w:val="002F5AD7"/>
    <w:rsid w:val="0030040F"/>
    <w:rsid w:val="00301EC5"/>
    <w:rsid w:val="00303750"/>
    <w:rsid w:val="0030773D"/>
    <w:rsid w:val="00310EBD"/>
    <w:rsid w:val="00311F09"/>
    <w:rsid w:val="00313EFD"/>
    <w:rsid w:val="0031526F"/>
    <w:rsid w:val="003162C7"/>
    <w:rsid w:val="00324DBB"/>
    <w:rsid w:val="003279B2"/>
    <w:rsid w:val="00334F95"/>
    <w:rsid w:val="00336CAF"/>
    <w:rsid w:val="003370D8"/>
    <w:rsid w:val="0033746D"/>
    <w:rsid w:val="00337649"/>
    <w:rsid w:val="00337798"/>
    <w:rsid w:val="00337BB3"/>
    <w:rsid w:val="00344D41"/>
    <w:rsid w:val="00346019"/>
    <w:rsid w:val="00352572"/>
    <w:rsid w:val="00352B85"/>
    <w:rsid w:val="003538D4"/>
    <w:rsid w:val="00356E89"/>
    <w:rsid w:val="00357DE8"/>
    <w:rsid w:val="00362A42"/>
    <w:rsid w:val="003636C6"/>
    <w:rsid w:val="00364F2D"/>
    <w:rsid w:val="00371D94"/>
    <w:rsid w:val="003728BA"/>
    <w:rsid w:val="003730D2"/>
    <w:rsid w:val="00375BB2"/>
    <w:rsid w:val="00377B55"/>
    <w:rsid w:val="00377BBA"/>
    <w:rsid w:val="00381013"/>
    <w:rsid w:val="00384DAD"/>
    <w:rsid w:val="003956A9"/>
    <w:rsid w:val="0039709C"/>
    <w:rsid w:val="00397844"/>
    <w:rsid w:val="003A16ED"/>
    <w:rsid w:val="003B133A"/>
    <w:rsid w:val="003B278C"/>
    <w:rsid w:val="003B42EC"/>
    <w:rsid w:val="003C1C3E"/>
    <w:rsid w:val="003C1E67"/>
    <w:rsid w:val="003C3120"/>
    <w:rsid w:val="003C50D7"/>
    <w:rsid w:val="003C53DB"/>
    <w:rsid w:val="003D2E9A"/>
    <w:rsid w:val="003D665D"/>
    <w:rsid w:val="003D716B"/>
    <w:rsid w:val="003E19C9"/>
    <w:rsid w:val="003E2C1F"/>
    <w:rsid w:val="003E339D"/>
    <w:rsid w:val="003E3A36"/>
    <w:rsid w:val="003E52DF"/>
    <w:rsid w:val="003E654B"/>
    <w:rsid w:val="003E71B4"/>
    <w:rsid w:val="003E7ABF"/>
    <w:rsid w:val="003F11AC"/>
    <w:rsid w:val="003F5EB7"/>
    <w:rsid w:val="003F6BFD"/>
    <w:rsid w:val="003F766B"/>
    <w:rsid w:val="0040013A"/>
    <w:rsid w:val="004032B9"/>
    <w:rsid w:val="004034D5"/>
    <w:rsid w:val="004043D5"/>
    <w:rsid w:val="00407743"/>
    <w:rsid w:val="00411FE6"/>
    <w:rsid w:val="004163BA"/>
    <w:rsid w:val="00416D8E"/>
    <w:rsid w:val="00417744"/>
    <w:rsid w:val="00423244"/>
    <w:rsid w:val="004233FE"/>
    <w:rsid w:val="0042464B"/>
    <w:rsid w:val="0043473F"/>
    <w:rsid w:val="00434EE0"/>
    <w:rsid w:val="0043608E"/>
    <w:rsid w:val="00437376"/>
    <w:rsid w:val="00437F07"/>
    <w:rsid w:val="004414DA"/>
    <w:rsid w:val="00443386"/>
    <w:rsid w:val="00444CC5"/>
    <w:rsid w:val="00444CEA"/>
    <w:rsid w:val="004461E9"/>
    <w:rsid w:val="0044635D"/>
    <w:rsid w:val="004477EA"/>
    <w:rsid w:val="00451B1C"/>
    <w:rsid w:val="00451C4F"/>
    <w:rsid w:val="004568E4"/>
    <w:rsid w:val="00460A8B"/>
    <w:rsid w:val="00460FCB"/>
    <w:rsid w:val="004621CA"/>
    <w:rsid w:val="00462682"/>
    <w:rsid w:val="004627E0"/>
    <w:rsid w:val="00466E60"/>
    <w:rsid w:val="004713C9"/>
    <w:rsid w:val="004729E4"/>
    <w:rsid w:val="00474CF8"/>
    <w:rsid w:val="00475FB0"/>
    <w:rsid w:val="00476E35"/>
    <w:rsid w:val="00482455"/>
    <w:rsid w:val="004868D1"/>
    <w:rsid w:val="004910B1"/>
    <w:rsid w:val="004921AA"/>
    <w:rsid w:val="00492441"/>
    <w:rsid w:val="004940D3"/>
    <w:rsid w:val="00497EDA"/>
    <w:rsid w:val="004A0973"/>
    <w:rsid w:val="004A14EC"/>
    <w:rsid w:val="004A3FBB"/>
    <w:rsid w:val="004A43E9"/>
    <w:rsid w:val="004A5E75"/>
    <w:rsid w:val="004A5E9F"/>
    <w:rsid w:val="004A7A4C"/>
    <w:rsid w:val="004B1B0F"/>
    <w:rsid w:val="004B1D0C"/>
    <w:rsid w:val="004B23F1"/>
    <w:rsid w:val="004B4017"/>
    <w:rsid w:val="004B402E"/>
    <w:rsid w:val="004B5594"/>
    <w:rsid w:val="004B650C"/>
    <w:rsid w:val="004B6F76"/>
    <w:rsid w:val="004C1B9A"/>
    <w:rsid w:val="004C2025"/>
    <w:rsid w:val="004C3392"/>
    <w:rsid w:val="004C3DE4"/>
    <w:rsid w:val="004C58FC"/>
    <w:rsid w:val="004C5C79"/>
    <w:rsid w:val="004C6D99"/>
    <w:rsid w:val="004C715C"/>
    <w:rsid w:val="004C7198"/>
    <w:rsid w:val="004D0644"/>
    <w:rsid w:val="004D081B"/>
    <w:rsid w:val="004D0E04"/>
    <w:rsid w:val="004D102F"/>
    <w:rsid w:val="004D1B1A"/>
    <w:rsid w:val="004D207D"/>
    <w:rsid w:val="004D28F2"/>
    <w:rsid w:val="004D772E"/>
    <w:rsid w:val="004D7861"/>
    <w:rsid w:val="004E2D52"/>
    <w:rsid w:val="004E3BE5"/>
    <w:rsid w:val="004E4650"/>
    <w:rsid w:val="004E5181"/>
    <w:rsid w:val="004E793A"/>
    <w:rsid w:val="004E7C36"/>
    <w:rsid w:val="004F713F"/>
    <w:rsid w:val="004F7514"/>
    <w:rsid w:val="004F7C90"/>
    <w:rsid w:val="0050216C"/>
    <w:rsid w:val="0050474D"/>
    <w:rsid w:val="005100B9"/>
    <w:rsid w:val="005141FE"/>
    <w:rsid w:val="00514E80"/>
    <w:rsid w:val="00515008"/>
    <w:rsid w:val="00516F25"/>
    <w:rsid w:val="00517717"/>
    <w:rsid w:val="00520565"/>
    <w:rsid w:val="00524793"/>
    <w:rsid w:val="00524E01"/>
    <w:rsid w:val="00524EA6"/>
    <w:rsid w:val="00531D60"/>
    <w:rsid w:val="005369BB"/>
    <w:rsid w:val="00536E7C"/>
    <w:rsid w:val="005410BB"/>
    <w:rsid w:val="00541BEB"/>
    <w:rsid w:val="0054237D"/>
    <w:rsid w:val="005426B3"/>
    <w:rsid w:val="00543395"/>
    <w:rsid w:val="00545B95"/>
    <w:rsid w:val="00551C2D"/>
    <w:rsid w:val="0055278A"/>
    <w:rsid w:val="005540EB"/>
    <w:rsid w:val="0055620C"/>
    <w:rsid w:val="00562193"/>
    <w:rsid w:val="00562C12"/>
    <w:rsid w:val="0056366E"/>
    <w:rsid w:val="005678FA"/>
    <w:rsid w:val="00571787"/>
    <w:rsid w:val="005777CE"/>
    <w:rsid w:val="00577848"/>
    <w:rsid w:val="00580834"/>
    <w:rsid w:val="005819D4"/>
    <w:rsid w:val="00583438"/>
    <w:rsid w:val="0058469D"/>
    <w:rsid w:val="00585860"/>
    <w:rsid w:val="005869EC"/>
    <w:rsid w:val="00586BE2"/>
    <w:rsid w:val="00586CB3"/>
    <w:rsid w:val="00592BD1"/>
    <w:rsid w:val="00593603"/>
    <w:rsid w:val="00593B68"/>
    <w:rsid w:val="00596611"/>
    <w:rsid w:val="005A10A8"/>
    <w:rsid w:val="005A200C"/>
    <w:rsid w:val="005A37F6"/>
    <w:rsid w:val="005A38EB"/>
    <w:rsid w:val="005A47CB"/>
    <w:rsid w:val="005A55AE"/>
    <w:rsid w:val="005A6FE5"/>
    <w:rsid w:val="005A6FF9"/>
    <w:rsid w:val="005B0B41"/>
    <w:rsid w:val="005B1AA3"/>
    <w:rsid w:val="005B4C72"/>
    <w:rsid w:val="005B5994"/>
    <w:rsid w:val="005C1AB9"/>
    <w:rsid w:val="005C251E"/>
    <w:rsid w:val="005C26D3"/>
    <w:rsid w:val="005C2C88"/>
    <w:rsid w:val="005C37F4"/>
    <w:rsid w:val="005C3EE2"/>
    <w:rsid w:val="005C4E2C"/>
    <w:rsid w:val="005C4F7B"/>
    <w:rsid w:val="005D0943"/>
    <w:rsid w:val="005D45EC"/>
    <w:rsid w:val="005D6CC2"/>
    <w:rsid w:val="005D7A9E"/>
    <w:rsid w:val="005E0D2F"/>
    <w:rsid w:val="005E12E5"/>
    <w:rsid w:val="005E2247"/>
    <w:rsid w:val="005E25D7"/>
    <w:rsid w:val="005E61D1"/>
    <w:rsid w:val="005E79A4"/>
    <w:rsid w:val="005F0B42"/>
    <w:rsid w:val="005F1CE5"/>
    <w:rsid w:val="005F3BDA"/>
    <w:rsid w:val="005F4B1C"/>
    <w:rsid w:val="005F52EE"/>
    <w:rsid w:val="005F75EE"/>
    <w:rsid w:val="00600A93"/>
    <w:rsid w:val="00601C28"/>
    <w:rsid w:val="006057DA"/>
    <w:rsid w:val="0061080A"/>
    <w:rsid w:val="006130C6"/>
    <w:rsid w:val="00614DB9"/>
    <w:rsid w:val="0061606F"/>
    <w:rsid w:val="0061684F"/>
    <w:rsid w:val="00620985"/>
    <w:rsid w:val="006234CA"/>
    <w:rsid w:val="00625666"/>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507E2"/>
    <w:rsid w:val="00651416"/>
    <w:rsid w:val="00652AC9"/>
    <w:rsid w:val="00657437"/>
    <w:rsid w:val="0065749C"/>
    <w:rsid w:val="00664B41"/>
    <w:rsid w:val="00667220"/>
    <w:rsid w:val="006676B9"/>
    <w:rsid w:val="006712D4"/>
    <w:rsid w:val="00671CFD"/>
    <w:rsid w:val="00672D65"/>
    <w:rsid w:val="006753D1"/>
    <w:rsid w:val="00675C4E"/>
    <w:rsid w:val="0067797B"/>
    <w:rsid w:val="00677B7B"/>
    <w:rsid w:val="00680941"/>
    <w:rsid w:val="006848C3"/>
    <w:rsid w:val="0068497F"/>
    <w:rsid w:val="00685D0C"/>
    <w:rsid w:val="00686872"/>
    <w:rsid w:val="00690866"/>
    <w:rsid w:val="006A2A4B"/>
    <w:rsid w:val="006A2C7D"/>
    <w:rsid w:val="006A2F58"/>
    <w:rsid w:val="006A39AB"/>
    <w:rsid w:val="006A4BDB"/>
    <w:rsid w:val="006A4CE9"/>
    <w:rsid w:val="006B0FBF"/>
    <w:rsid w:val="006B1DF5"/>
    <w:rsid w:val="006B4092"/>
    <w:rsid w:val="006B6BC2"/>
    <w:rsid w:val="006C1681"/>
    <w:rsid w:val="006C2E1E"/>
    <w:rsid w:val="006C2F60"/>
    <w:rsid w:val="006C6690"/>
    <w:rsid w:val="006C681F"/>
    <w:rsid w:val="006C72E6"/>
    <w:rsid w:val="006C7E37"/>
    <w:rsid w:val="006D0B08"/>
    <w:rsid w:val="006D0C1F"/>
    <w:rsid w:val="006D1C8A"/>
    <w:rsid w:val="006D3C1A"/>
    <w:rsid w:val="006E11B2"/>
    <w:rsid w:val="006E2663"/>
    <w:rsid w:val="006E2F83"/>
    <w:rsid w:val="006E3755"/>
    <w:rsid w:val="006E75AB"/>
    <w:rsid w:val="006E7C1D"/>
    <w:rsid w:val="006F42EC"/>
    <w:rsid w:val="006F6605"/>
    <w:rsid w:val="006F6763"/>
    <w:rsid w:val="006F681C"/>
    <w:rsid w:val="006F730C"/>
    <w:rsid w:val="00701425"/>
    <w:rsid w:val="00702E30"/>
    <w:rsid w:val="00704982"/>
    <w:rsid w:val="00704EEB"/>
    <w:rsid w:val="007055A8"/>
    <w:rsid w:val="007077ED"/>
    <w:rsid w:val="007100B2"/>
    <w:rsid w:val="00711833"/>
    <w:rsid w:val="00712A9B"/>
    <w:rsid w:val="00716C13"/>
    <w:rsid w:val="00720D05"/>
    <w:rsid w:val="00720F15"/>
    <w:rsid w:val="00721F40"/>
    <w:rsid w:val="00722C46"/>
    <w:rsid w:val="007267F6"/>
    <w:rsid w:val="00733A66"/>
    <w:rsid w:val="00736360"/>
    <w:rsid w:val="00737207"/>
    <w:rsid w:val="00737CA1"/>
    <w:rsid w:val="00742B9F"/>
    <w:rsid w:val="00743B59"/>
    <w:rsid w:val="00744D65"/>
    <w:rsid w:val="0074529E"/>
    <w:rsid w:val="0075372F"/>
    <w:rsid w:val="00754AF6"/>
    <w:rsid w:val="007559C8"/>
    <w:rsid w:val="00757728"/>
    <w:rsid w:val="007579AD"/>
    <w:rsid w:val="0076151E"/>
    <w:rsid w:val="007645E8"/>
    <w:rsid w:val="00772721"/>
    <w:rsid w:val="00774CC3"/>
    <w:rsid w:val="00775966"/>
    <w:rsid w:val="00777ABD"/>
    <w:rsid w:val="0078116B"/>
    <w:rsid w:val="00781C4B"/>
    <w:rsid w:val="00782766"/>
    <w:rsid w:val="007836C7"/>
    <w:rsid w:val="00786A12"/>
    <w:rsid w:val="00787FB4"/>
    <w:rsid w:val="007917C5"/>
    <w:rsid w:val="00791C2B"/>
    <w:rsid w:val="007928C1"/>
    <w:rsid w:val="00794403"/>
    <w:rsid w:val="00794492"/>
    <w:rsid w:val="00796789"/>
    <w:rsid w:val="00797C30"/>
    <w:rsid w:val="007A2A98"/>
    <w:rsid w:val="007A2F03"/>
    <w:rsid w:val="007A5DCF"/>
    <w:rsid w:val="007A73E1"/>
    <w:rsid w:val="007A7BE0"/>
    <w:rsid w:val="007B04C8"/>
    <w:rsid w:val="007B5402"/>
    <w:rsid w:val="007B58C5"/>
    <w:rsid w:val="007B5B92"/>
    <w:rsid w:val="007B60A4"/>
    <w:rsid w:val="007B7B22"/>
    <w:rsid w:val="007B7C07"/>
    <w:rsid w:val="007C10C8"/>
    <w:rsid w:val="007C1D7F"/>
    <w:rsid w:val="007C32EE"/>
    <w:rsid w:val="007C504B"/>
    <w:rsid w:val="007C54AA"/>
    <w:rsid w:val="007C57D8"/>
    <w:rsid w:val="007C7320"/>
    <w:rsid w:val="007C7911"/>
    <w:rsid w:val="007D05D4"/>
    <w:rsid w:val="007D16EF"/>
    <w:rsid w:val="007E1AF4"/>
    <w:rsid w:val="007E208F"/>
    <w:rsid w:val="007E6EA3"/>
    <w:rsid w:val="007E74EA"/>
    <w:rsid w:val="007F042B"/>
    <w:rsid w:val="007F095E"/>
    <w:rsid w:val="007F101D"/>
    <w:rsid w:val="007F1D69"/>
    <w:rsid w:val="007F213C"/>
    <w:rsid w:val="007F2423"/>
    <w:rsid w:val="007F3749"/>
    <w:rsid w:val="007F6B5E"/>
    <w:rsid w:val="00802819"/>
    <w:rsid w:val="00804381"/>
    <w:rsid w:val="00806C7F"/>
    <w:rsid w:val="0080740D"/>
    <w:rsid w:val="00807FC4"/>
    <w:rsid w:val="00812DE4"/>
    <w:rsid w:val="00814123"/>
    <w:rsid w:val="008147B1"/>
    <w:rsid w:val="00815D50"/>
    <w:rsid w:val="00816DD9"/>
    <w:rsid w:val="00817342"/>
    <w:rsid w:val="0081738C"/>
    <w:rsid w:val="00817ECB"/>
    <w:rsid w:val="008202A5"/>
    <w:rsid w:val="00820881"/>
    <w:rsid w:val="00822186"/>
    <w:rsid w:val="0082229C"/>
    <w:rsid w:val="00822621"/>
    <w:rsid w:val="00824F12"/>
    <w:rsid w:val="0082656C"/>
    <w:rsid w:val="0082661B"/>
    <w:rsid w:val="00830886"/>
    <w:rsid w:val="0083229F"/>
    <w:rsid w:val="00833CE1"/>
    <w:rsid w:val="008354EE"/>
    <w:rsid w:val="00843D43"/>
    <w:rsid w:val="00846B6E"/>
    <w:rsid w:val="0085002C"/>
    <w:rsid w:val="008503A2"/>
    <w:rsid w:val="008555E4"/>
    <w:rsid w:val="00872D83"/>
    <w:rsid w:val="0087366D"/>
    <w:rsid w:val="00874B82"/>
    <w:rsid w:val="008779F0"/>
    <w:rsid w:val="00881754"/>
    <w:rsid w:val="00882549"/>
    <w:rsid w:val="008832F2"/>
    <w:rsid w:val="00883F6F"/>
    <w:rsid w:val="00886C9D"/>
    <w:rsid w:val="00886E4E"/>
    <w:rsid w:val="008918EA"/>
    <w:rsid w:val="00891D48"/>
    <w:rsid w:val="00891F68"/>
    <w:rsid w:val="00892413"/>
    <w:rsid w:val="00892523"/>
    <w:rsid w:val="00892BAC"/>
    <w:rsid w:val="0089410F"/>
    <w:rsid w:val="00894834"/>
    <w:rsid w:val="00894CE2"/>
    <w:rsid w:val="008970B3"/>
    <w:rsid w:val="00897B8E"/>
    <w:rsid w:val="008A52E8"/>
    <w:rsid w:val="008A7469"/>
    <w:rsid w:val="008B0C99"/>
    <w:rsid w:val="008B41AB"/>
    <w:rsid w:val="008B4398"/>
    <w:rsid w:val="008B536F"/>
    <w:rsid w:val="008B5C02"/>
    <w:rsid w:val="008B744B"/>
    <w:rsid w:val="008B7D0B"/>
    <w:rsid w:val="008B7E2A"/>
    <w:rsid w:val="008C2923"/>
    <w:rsid w:val="008C49C5"/>
    <w:rsid w:val="008C51DB"/>
    <w:rsid w:val="008C59AC"/>
    <w:rsid w:val="008C630F"/>
    <w:rsid w:val="008D18B6"/>
    <w:rsid w:val="008D1B9E"/>
    <w:rsid w:val="008D2D75"/>
    <w:rsid w:val="008D308F"/>
    <w:rsid w:val="008D5C91"/>
    <w:rsid w:val="008E1B2E"/>
    <w:rsid w:val="008E48B0"/>
    <w:rsid w:val="008E49DF"/>
    <w:rsid w:val="008E580F"/>
    <w:rsid w:val="008E7886"/>
    <w:rsid w:val="008F0D0B"/>
    <w:rsid w:val="008F5275"/>
    <w:rsid w:val="008F62BD"/>
    <w:rsid w:val="008F6E36"/>
    <w:rsid w:val="008F70B5"/>
    <w:rsid w:val="009026B3"/>
    <w:rsid w:val="00903213"/>
    <w:rsid w:val="00904ACA"/>
    <w:rsid w:val="0090528A"/>
    <w:rsid w:val="00905F79"/>
    <w:rsid w:val="00910A6F"/>
    <w:rsid w:val="0091181E"/>
    <w:rsid w:val="0091216A"/>
    <w:rsid w:val="00912886"/>
    <w:rsid w:val="0091322F"/>
    <w:rsid w:val="00914F08"/>
    <w:rsid w:val="00916D0F"/>
    <w:rsid w:val="00921304"/>
    <w:rsid w:val="00922002"/>
    <w:rsid w:val="00923A17"/>
    <w:rsid w:val="00923D5A"/>
    <w:rsid w:val="00925CE2"/>
    <w:rsid w:val="00931621"/>
    <w:rsid w:val="009331EA"/>
    <w:rsid w:val="009334AE"/>
    <w:rsid w:val="0093530C"/>
    <w:rsid w:val="00935CE0"/>
    <w:rsid w:val="00936BE1"/>
    <w:rsid w:val="00944313"/>
    <w:rsid w:val="00946E99"/>
    <w:rsid w:val="00947A07"/>
    <w:rsid w:val="00956624"/>
    <w:rsid w:val="00956860"/>
    <w:rsid w:val="009577D0"/>
    <w:rsid w:val="009605C7"/>
    <w:rsid w:val="00961303"/>
    <w:rsid w:val="00964427"/>
    <w:rsid w:val="00966A3C"/>
    <w:rsid w:val="00973290"/>
    <w:rsid w:val="00974F03"/>
    <w:rsid w:val="00975FB9"/>
    <w:rsid w:val="00976DDC"/>
    <w:rsid w:val="0098231D"/>
    <w:rsid w:val="00983877"/>
    <w:rsid w:val="00987E07"/>
    <w:rsid w:val="00996D9A"/>
    <w:rsid w:val="009979AF"/>
    <w:rsid w:val="009A0AA1"/>
    <w:rsid w:val="009A1846"/>
    <w:rsid w:val="009A6E1D"/>
    <w:rsid w:val="009B388A"/>
    <w:rsid w:val="009B6AD6"/>
    <w:rsid w:val="009C289B"/>
    <w:rsid w:val="009C4EF9"/>
    <w:rsid w:val="009C52C8"/>
    <w:rsid w:val="009C54AD"/>
    <w:rsid w:val="009D3196"/>
    <w:rsid w:val="009D7F10"/>
    <w:rsid w:val="009E002D"/>
    <w:rsid w:val="009E1E4A"/>
    <w:rsid w:val="009E29E5"/>
    <w:rsid w:val="009E6376"/>
    <w:rsid w:val="009E6CD4"/>
    <w:rsid w:val="009F116E"/>
    <w:rsid w:val="009F186A"/>
    <w:rsid w:val="009F3201"/>
    <w:rsid w:val="009F36FA"/>
    <w:rsid w:val="009F4D51"/>
    <w:rsid w:val="009F5837"/>
    <w:rsid w:val="009F69BF"/>
    <w:rsid w:val="009F6A4B"/>
    <w:rsid w:val="00A001E8"/>
    <w:rsid w:val="00A05EB6"/>
    <w:rsid w:val="00A06D3D"/>
    <w:rsid w:val="00A07AB7"/>
    <w:rsid w:val="00A07B81"/>
    <w:rsid w:val="00A11C96"/>
    <w:rsid w:val="00A13A68"/>
    <w:rsid w:val="00A152BC"/>
    <w:rsid w:val="00A309B9"/>
    <w:rsid w:val="00A310C9"/>
    <w:rsid w:val="00A31942"/>
    <w:rsid w:val="00A33643"/>
    <w:rsid w:val="00A3375D"/>
    <w:rsid w:val="00A33792"/>
    <w:rsid w:val="00A355FE"/>
    <w:rsid w:val="00A359BB"/>
    <w:rsid w:val="00A4037C"/>
    <w:rsid w:val="00A429FD"/>
    <w:rsid w:val="00A42AF9"/>
    <w:rsid w:val="00A42F19"/>
    <w:rsid w:val="00A43F4C"/>
    <w:rsid w:val="00A44669"/>
    <w:rsid w:val="00A47B5B"/>
    <w:rsid w:val="00A522F4"/>
    <w:rsid w:val="00A539B1"/>
    <w:rsid w:val="00A54220"/>
    <w:rsid w:val="00A55DC6"/>
    <w:rsid w:val="00A6021E"/>
    <w:rsid w:val="00A63164"/>
    <w:rsid w:val="00A64306"/>
    <w:rsid w:val="00A64E45"/>
    <w:rsid w:val="00A65961"/>
    <w:rsid w:val="00A67FB6"/>
    <w:rsid w:val="00A74FBD"/>
    <w:rsid w:val="00A769E3"/>
    <w:rsid w:val="00A85884"/>
    <w:rsid w:val="00A8627C"/>
    <w:rsid w:val="00A879CD"/>
    <w:rsid w:val="00A91003"/>
    <w:rsid w:val="00A931A6"/>
    <w:rsid w:val="00AA0324"/>
    <w:rsid w:val="00AA41A9"/>
    <w:rsid w:val="00AA7417"/>
    <w:rsid w:val="00AB59BB"/>
    <w:rsid w:val="00AC1B51"/>
    <w:rsid w:val="00AC1DAD"/>
    <w:rsid w:val="00AC32BF"/>
    <w:rsid w:val="00AC3ADC"/>
    <w:rsid w:val="00AC43BC"/>
    <w:rsid w:val="00AC6208"/>
    <w:rsid w:val="00AD03A5"/>
    <w:rsid w:val="00AD03EF"/>
    <w:rsid w:val="00AD1968"/>
    <w:rsid w:val="00AD2C96"/>
    <w:rsid w:val="00AD2FA3"/>
    <w:rsid w:val="00AD4FD5"/>
    <w:rsid w:val="00AE0842"/>
    <w:rsid w:val="00AE0E9E"/>
    <w:rsid w:val="00AE4671"/>
    <w:rsid w:val="00AF0066"/>
    <w:rsid w:val="00AF04A5"/>
    <w:rsid w:val="00AF0FEB"/>
    <w:rsid w:val="00AF12CC"/>
    <w:rsid w:val="00AF2573"/>
    <w:rsid w:val="00AF5996"/>
    <w:rsid w:val="00AF6076"/>
    <w:rsid w:val="00AF6449"/>
    <w:rsid w:val="00B028C8"/>
    <w:rsid w:val="00B03C54"/>
    <w:rsid w:val="00B03DF0"/>
    <w:rsid w:val="00B065DD"/>
    <w:rsid w:val="00B07C8E"/>
    <w:rsid w:val="00B10A70"/>
    <w:rsid w:val="00B10EE8"/>
    <w:rsid w:val="00B11A3B"/>
    <w:rsid w:val="00B15B30"/>
    <w:rsid w:val="00B17425"/>
    <w:rsid w:val="00B17703"/>
    <w:rsid w:val="00B21F13"/>
    <w:rsid w:val="00B220C2"/>
    <w:rsid w:val="00B232F9"/>
    <w:rsid w:val="00B26158"/>
    <w:rsid w:val="00B26691"/>
    <w:rsid w:val="00B312FA"/>
    <w:rsid w:val="00B313D9"/>
    <w:rsid w:val="00B319D8"/>
    <w:rsid w:val="00B346E1"/>
    <w:rsid w:val="00B34EAB"/>
    <w:rsid w:val="00B361D5"/>
    <w:rsid w:val="00B36F8C"/>
    <w:rsid w:val="00B40081"/>
    <w:rsid w:val="00B44612"/>
    <w:rsid w:val="00B46884"/>
    <w:rsid w:val="00B50A07"/>
    <w:rsid w:val="00B5246C"/>
    <w:rsid w:val="00B54997"/>
    <w:rsid w:val="00B56F17"/>
    <w:rsid w:val="00B57941"/>
    <w:rsid w:val="00B605E8"/>
    <w:rsid w:val="00B60D79"/>
    <w:rsid w:val="00B62488"/>
    <w:rsid w:val="00B632D5"/>
    <w:rsid w:val="00B63D21"/>
    <w:rsid w:val="00B6598F"/>
    <w:rsid w:val="00B707E0"/>
    <w:rsid w:val="00B71BE8"/>
    <w:rsid w:val="00B73EB1"/>
    <w:rsid w:val="00B83A07"/>
    <w:rsid w:val="00B85AB9"/>
    <w:rsid w:val="00B9198A"/>
    <w:rsid w:val="00B9227F"/>
    <w:rsid w:val="00B96536"/>
    <w:rsid w:val="00B96DF1"/>
    <w:rsid w:val="00B96E2B"/>
    <w:rsid w:val="00BA0836"/>
    <w:rsid w:val="00BA3C7B"/>
    <w:rsid w:val="00BA66BC"/>
    <w:rsid w:val="00BB1AEE"/>
    <w:rsid w:val="00BB28F9"/>
    <w:rsid w:val="00BB4B20"/>
    <w:rsid w:val="00BC1E00"/>
    <w:rsid w:val="00BC29D3"/>
    <w:rsid w:val="00BC395A"/>
    <w:rsid w:val="00BC4EEE"/>
    <w:rsid w:val="00BC5C99"/>
    <w:rsid w:val="00BD11DE"/>
    <w:rsid w:val="00BD4FCB"/>
    <w:rsid w:val="00BD66D3"/>
    <w:rsid w:val="00BE3A17"/>
    <w:rsid w:val="00BE4355"/>
    <w:rsid w:val="00BE592C"/>
    <w:rsid w:val="00BE67DE"/>
    <w:rsid w:val="00BE7011"/>
    <w:rsid w:val="00BE7DBC"/>
    <w:rsid w:val="00BF0B67"/>
    <w:rsid w:val="00BF1E04"/>
    <w:rsid w:val="00BF220C"/>
    <w:rsid w:val="00BF3494"/>
    <w:rsid w:val="00BF36C1"/>
    <w:rsid w:val="00BF3B9A"/>
    <w:rsid w:val="00BF6CAC"/>
    <w:rsid w:val="00BF7A34"/>
    <w:rsid w:val="00C01292"/>
    <w:rsid w:val="00C0218F"/>
    <w:rsid w:val="00C02270"/>
    <w:rsid w:val="00C03760"/>
    <w:rsid w:val="00C04BCF"/>
    <w:rsid w:val="00C05050"/>
    <w:rsid w:val="00C057A2"/>
    <w:rsid w:val="00C06F9C"/>
    <w:rsid w:val="00C07A93"/>
    <w:rsid w:val="00C14052"/>
    <w:rsid w:val="00C142F0"/>
    <w:rsid w:val="00C14E85"/>
    <w:rsid w:val="00C17302"/>
    <w:rsid w:val="00C17D7D"/>
    <w:rsid w:val="00C20044"/>
    <w:rsid w:val="00C207BF"/>
    <w:rsid w:val="00C21346"/>
    <w:rsid w:val="00C21F4B"/>
    <w:rsid w:val="00C226BE"/>
    <w:rsid w:val="00C227DF"/>
    <w:rsid w:val="00C22D33"/>
    <w:rsid w:val="00C26773"/>
    <w:rsid w:val="00C2766D"/>
    <w:rsid w:val="00C33B67"/>
    <w:rsid w:val="00C372CC"/>
    <w:rsid w:val="00C37C56"/>
    <w:rsid w:val="00C42FEB"/>
    <w:rsid w:val="00C47E03"/>
    <w:rsid w:val="00C53F95"/>
    <w:rsid w:val="00C55F2A"/>
    <w:rsid w:val="00C62791"/>
    <w:rsid w:val="00C647CD"/>
    <w:rsid w:val="00C66B50"/>
    <w:rsid w:val="00C67525"/>
    <w:rsid w:val="00C67759"/>
    <w:rsid w:val="00C679F4"/>
    <w:rsid w:val="00C73089"/>
    <w:rsid w:val="00C73F56"/>
    <w:rsid w:val="00C84E4F"/>
    <w:rsid w:val="00C86EA5"/>
    <w:rsid w:val="00C86EB1"/>
    <w:rsid w:val="00C91091"/>
    <w:rsid w:val="00C92A6D"/>
    <w:rsid w:val="00C92E0A"/>
    <w:rsid w:val="00C9379A"/>
    <w:rsid w:val="00C94D90"/>
    <w:rsid w:val="00C951DC"/>
    <w:rsid w:val="00C95E6C"/>
    <w:rsid w:val="00CA1321"/>
    <w:rsid w:val="00CA394A"/>
    <w:rsid w:val="00CA4E13"/>
    <w:rsid w:val="00CA565F"/>
    <w:rsid w:val="00CA7EA4"/>
    <w:rsid w:val="00CB03C2"/>
    <w:rsid w:val="00CB153A"/>
    <w:rsid w:val="00CB3A2C"/>
    <w:rsid w:val="00CB4B74"/>
    <w:rsid w:val="00CB6133"/>
    <w:rsid w:val="00CB616E"/>
    <w:rsid w:val="00CB6730"/>
    <w:rsid w:val="00CB6B66"/>
    <w:rsid w:val="00CB6B6A"/>
    <w:rsid w:val="00CB77AB"/>
    <w:rsid w:val="00CD3B0C"/>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5A0A"/>
    <w:rsid w:val="00D05FDA"/>
    <w:rsid w:val="00D07D43"/>
    <w:rsid w:val="00D114C4"/>
    <w:rsid w:val="00D13BAA"/>
    <w:rsid w:val="00D211CA"/>
    <w:rsid w:val="00D22D26"/>
    <w:rsid w:val="00D23105"/>
    <w:rsid w:val="00D23716"/>
    <w:rsid w:val="00D24629"/>
    <w:rsid w:val="00D2673C"/>
    <w:rsid w:val="00D26BFF"/>
    <w:rsid w:val="00D30451"/>
    <w:rsid w:val="00D32A7D"/>
    <w:rsid w:val="00D33F64"/>
    <w:rsid w:val="00D34F06"/>
    <w:rsid w:val="00D35291"/>
    <w:rsid w:val="00D37769"/>
    <w:rsid w:val="00D37C2D"/>
    <w:rsid w:val="00D408D9"/>
    <w:rsid w:val="00D41DAB"/>
    <w:rsid w:val="00D431A2"/>
    <w:rsid w:val="00D448D9"/>
    <w:rsid w:val="00D44A55"/>
    <w:rsid w:val="00D44C2E"/>
    <w:rsid w:val="00D4544A"/>
    <w:rsid w:val="00D469C0"/>
    <w:rsid w:val="00D503E1"/>
    <w:rsid w:val="00D52400"/>
    <w:rsid w:val="00D52594"/>
    <w:rsid w:val="00D52BEC"/>
    <w:rsid w:val="00D57309"/>
    <w:rsid w:val="00D57644"/>
    <w:rsid w:val="00D602F1"/>
    <w:rsid w:val="00D60AAA"/>
    <w:rsid w:val="00D60C38"/>
    <w:rsid w:val="00D6388A"/>
    <w:rsid w:val="00D6449A"/>
    <w:rsid w:val="00D64945"/>
    <w:rsid w:val="00D65965"/>
    <w:rsid w:val="00D65F38"/>
    <w:rsid w:val="00D665C6"/>
    <w:rsid w:val="00D66BCF"/>
    <w:rsid w:val="00D66DF0"/>
    <w:rsid w:val="00D72036"/>
    <w:rsid w:val="00D74916"/>
    <w:rsid w:val="00D7592A"/>
    <w:rsid w:val="00D76B2E"/>
    <w:rsid w:val="00D77281"/>
    <w:rsid w:val="00D81685"/>
    <w:rsid w:val="00D8198E"/>
    <w:rsid w:val="00D84EFB"/>
    <w:rsid w:val="00D84FF1"/>
    <w:rsid w:val="00D86546"/>
    <w:rsid w:val="00D8699E"/>
    <w:rsid w:val="00D8771A"/>
    <w:rsid w:val="00D90448"/>
    <w:rsid w:val="00D90ACA"/>
    <w:rsid w:val="00D9113E"/>
    <w:rsid w:val="00D9150B"/>
    <w:rsid w:val="00D91979"/>
    <w:rsid w:val="00D92562"/>
    <w:rsid w:val="00D94D79"/>
    <w:rsid w:val="00D951AB"/>
    <w:rsid w:val="00D95326"/>
    <w:rsid w:val="00D9742D"/>
    <w:rsid w:val="00DA1FA5"/>
    <w:rsid w:val="00DA3323"/>
    <w:rsid w:val="00DA4A2B"/>
    <w:rsid w:val="00DB0086"/>
    <w:rsid w:val="00DB02B8"/>
    <w:rsid w:val="00DB40E5"/>
    <w:rsid w:val="00DB7660"/>
    <w:rsid w:val="00DB780C"/>
    <w:rsid w:val="00DB7F95"/>
    <w:rsid w:val="00DD0A5E"/>
    <w:rsid w:val="00DD318C"/>
    <w:rsid w:val="00DD4AC7"/>
    <w:rsid w:val="00DE00E2"/>
    <w:rsid w:val="00DE2D27"/>
    <w:rsid w:val="00DE33BF"/>
    <w:rsid w:val="00DE62CA"/>
    <w:rsid w:val="00DF0F9A"/>
    <w:rsid w:val="00DF12F7"/>
    <w:rsid w:val="00DF1AB0"/>
    <w:rsid w:val="00DF5CDD"/>
    <w:rsid w:val="00E000F4"/>
    <w:rsid w:val="00E01006"/>
    <w:rsid w:val="00E01674"/>
    <w:rsid w:val="00E0406D"/>
    <w:rsid w:val="00E05E04"/>
    <w:rsid w:val="00E10C3E"/>
    <w:rsid w:val="00E11984"/>
    <w:rsid w:val="00E13701"/>
    <w:rsid w:val="00E14F63"/>
    <w:rsid w:val="00E1520D"/>
    <w:rsid w:val="00E15C86"/>
    <w:rsid w:val="00E16771"/>
    <w:rsid w:val="00E16CAE"/>
    <w:rsid w:val="00E177B5"/>
    <w:rsid w:val="00E204C6"/>
    <w:rsid w:val="00E228B0"/>
    <w:rsid w:val="00E23CFF"/>
    <w:rsid w:val="00E23F70"/>
    <w:rsid w:val="00E24E2A"/>
    <w:rsid w:val="00E252B9"/>
    <w:rsid w:val="00E27E81"/>
    <w:rsid w:val="00E355F1"/>
    <w:rsid w:val="00E35684"/>
    <w:rsid w:val="00E35B37"/>
    <w:rsid w:val="00E42AAE"/>
    <w:rsid w:val="00E43526"/>
    <w:rsid w:val="00E50228"/>
    <w:rsid w:val="00E5022E"/>
    <w:rsid w:val="00E50FA4"/>
    <w:rsid w:val="00E54BA8"/>
    <w:rsid w:val="00E60660"/>
    <w:rsid w:val="00E64A57"/>
    <w:rsid w:val="00E657FC"/>
    <w:rsid w:val="00E65A4C"/>
    <w:rsid w:val="00E66914"/>
    <w:rsid w:val="00E726ED"/>
    <w:rsid w:val="00E745DE"/>
    <w:rsid w:val="00E74B3E"/>
    <w:rsid w:val="00E759B3"/>
    <w:rsid w:val="00E82144"/>
    <w:rsid w:val="00E828FA"/>
    <w:rsid w:val="00E8422E"/>
    <w:rsid w:val="00E844AB"/>
    <w:rsid w:val="00E85E66"/>
    <w:rsid w:val="00E87A5E"/>
    <w:rsid w:val="00E90849"/>
    <w:rsid w:val="00E90A92"/>
    <w:rsid w:val="00E90E6D"/>
    <w:rsid w:val="00E94D31"/>
    <w:rsid w:val="00EA2588"/>
    <w:rsid w:val="00EA3898"/>
    <w:rsid w:val="00EA52CF"/>
    <w:rsid w:val="00EA75E7"/>
    <w:rsid w:val="00EB082C"/>
    <w:rsid w:val="00EB1E66"/>
    <w:rsid w:val="00EB338C"/>
    <w:rsid w:val="00EB4421"/>
    <w:rsid w:val="00EB681F"/>
    <w:rsid w:val="00EB6F55"/>
    <w:rsid w:val="00EC06E6"/>
    <w:rsid w:val="00EC11AD"/>
    <w:rsid w:val="00EC4770"/>
    <w:rsid w:val="00EC7BFB"/>
    <w:rsid w:val="00ED3B60"/>
    <w:rsid w:val="00ED435A"/>
    <w:rsid w:val="00EE2BCD"/>
    <w:rsid w:val="00EE3D44"/>
    <w:rsid w:val="00EE498A"/>
    <w:rsid w:val="00EF07BA"/>
    <w:rsid w:val="00EF2458"/>
    <w:rsid w:val="00EF3C1A"/>
    <w:rsid w:val="00EF723C"/>
    <w:rsid w:val="00F02AD8"/>
    <w:rsid w:val="00F03E78"/>
    <w:rsid w:val="00F043CB"/>
    <w:rsid w:val="00F04603"/>
    <w:rsid w:val="00F04E95"/>
    <w:rsid w:val="00F05529"/>
    <w:rsid w:val="00F058FA"/>
    <w:rsid w:val="00F10C1F"/>
    <w:rsid w:val="00F10E61"/>
    <w:rsid w:val="00F125B2"/>
    <w:rsid w:val="00F13D1C"/>
    <w:rsid w:val="00F14CC5"/>
    <w:rsid w:val="00F152A2"/>
    <w:rsid w:val="00F161AD"/>
    <w:rsid w:val="00F16DBE"/>
    <w:rsid w:val="00F17A6C"/>
    <w:rsid w:val="00F17ED7"/>
    <w:rsid w:val="00F20CDF"/>
    <w:rsid w:val="00F22C45"/>
    <w:rsid w:val="00F2314D"/>
    <w:rsid w:val="00F234BF"/>
    <w:rsid w:val="00F24A6E"/>
    <w:rsid w:val="00F270B6"/>
    <w:rsid w:val="00F303A1"/>
    <w:rsid w:val="00F318AD"/>
    <w:rsid w:val="00F31A4E"/>
    <w:rsid w:val="00F31BEF"/>
    <w:rsid w:val="00F33810"/>
    <w:rsid w:val="00F34EA0"/>
    <w:rsid w:val="00F40195"/>
    <w:rsid w:val="00F4098D"/>
    <w:rsid w:val="00F40EED"/>
    <w:rsid w:val="00F4142D"/>
    <w:rsid w:val="00F46CE8"/>
    <w:rsid w:val="00F50CC2"/>
    <w:rsid w:val="00F50FF3"/>
    <w:rsid w:val="00F51458"/>
    <w:rsid w:val="00F51504"/>
    <w:rsid w:val="00F539AB"/>
    <w:rsid w:val="00F553EF"/>
    <w:rsid w:val="00F557D5"/>
    <w:rsid w:val="00F61FC8"/>
    <w:rsid w:val="00F63B78"/>
    <w:rsid w:val="00F64806"/>
    <w:rsid w:val="00F71538"/>
    <w:rsid w:val="00F7271F"/>
    <w:rsid w:val="00F72F9A"/>
    <w:rsid w:val="00F7412B"/>
    <w:rsid w:val="00F76380"/>
    <w:rsid w:val="00F765C1"/>
    <w:rsid w:val="00F76726"/>
    <w:rsid w:val="00F820B5"/>
    <w:rsid w:val="00F829AF"/>
    <w:rsid w:val="00F84743"/>
    <w:rsid w:val="00F85036"/>
    <w:rsid w:val="00F90494"/>
    <w:rsid w:val="00F9270A"/>
    <w:rsid w:val="00F957E5"/>
    <w:rsid w:val="00F95B65"/>
    <w:rsid w:val="00F96B2B"/>
    <w:rsid w:val="00F97D0D"/>
    <w:rsid w:val="00F97F00"/>
    <w:rsid w:val="00FA6D7F"/>
    <w:rsid w:val="00FA79E5"/>
    <w:rsid w:val="00FA7C1F"/>
    <w:rsid w:val="00FA7F94"/>
    <w:rsid w:val="00FB0DE4"/>
    <w:rsid w:val="00FB214D"/>
    <w:rsid w:val="00FB30C0"/>
    <w:rsid w:val="00FB67D0"/>
    <w:rsid w:val="00FB789D"/>
    <w:rsid w:val="00FC3CEF"/>
    <w:rsid w:val="00FC74FC"/>
    <w:rsid w:val="00FC7B01"/>
    <w:rsid w:val="00FD0445"/>
    <w:rsid w:val="00FD0FCC"/>
    <w:rsid w:val="00FD3616"/>
    <w:rsid w:val="00FD5ADD"/>
    <w:rsid w:val="00FE07FB"/>
    <w:rsid w:val="00FE0C74"/>
    <w:rsid w:val="00FE19A9"/>
    <w:rsid w:val="00FE31C3"/>
    <w:rsid w:val="00FE3A52"/>
    <w:rsid w:val="00FE74A8"/>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8918EA"/>
    <w:rPr>
      <w:sz w:val="20"/>
      <w:szCs w:val="20"/>
    </w:rPr>
  </w:style>
  <w:style w:type="character" w:styleId="FootnoteReference">
    <w:name w:val="footnote reference"/>
    <w:aliases w:val="o,fr,Style 3"/>
    <w:basedOn w:val="DefaultParagraphFont"/>
    <w:uiPriority w:val="99"/>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s>
</file>

<file path=word/webSettings.xml><?xml version="1.0" encoding="utf-8"?>
<w:webSettings xmlns:r="http://schemas.openxmlformats.org/officeDocument/2006/relationships" xmlns:w="http://schemas.openxmlformats.org/wordprocessingml/2006/main">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95632670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195539232">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e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D1E6DC-F81C-4F56-A8DF-3146E4E6E54B}"/>
</file>

<file path=customXml/itemProps2.xml><?xml version="1.0" encoding="utf-8"?>
<ds:datastoreItem xmlns:ds="http://schemas.openxmlformats.org/officeDocument/2006/customXml" ds:itemID="{4D7E28AC-490F-45A8-AE90-924070FD8A53}"/>
</file>

<file path=customXml/itemProps3.xml><?xml version="1.0" encoding="utf-8"?>
<ds:datastoreItem xmlns:ds="http://schemas.openxmlformats.org/officeDocument/2006/customXml" ds:itemID="{B660A96E-F2E3-4DB8-B3AF-1C59390F4C8A}"/>
</file>

<file path=customXml/itemProps4.xml><?xml version="1.0" encoding="utf-8"?>
<ds:datastoreItem xmlns:ds="http://schemas.openxmlformats.org/officeDocument/2006/customXml" ds:itemID="{0732743B-272B-4777-A7A4-2BB3ED243EC4}"/>
</file>

<file path=customXml/itemProps5.xml><?xml version="1.0" encoding="utf-8"?>
<ds:datastoreItem xmlns:ds="http://schemas.openxmlformats.org/officeDocument/2006/customXml" ds:itemID="{443483D6-C41B-4CA6-91F2-4093EE0ED1BB}"/>
</file>

<file path=docProps/app.xml><?xml version="1.0" encoding="utf-8"?>
<Properties xmlns="http://schemas.openxmlformats.org/officeDocument/2006/extended-properties" xmlns:vt="http://schemas.openxmlformats.org/officeDocument/2006/docPropsVTypes">
  <Template>Normal.dotm</Template>
  <TotalTime>493</TotalTime>
  <Pages>39</Pages>
  <Words>8200</Words>
  <Characters>46745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48</cp:revision>
  <cp:lastPrinted>2015-02-04T00:58:00Z</cp:lastPrinted>
  <dcterms:created xsi:type="dcterms:W3CDTF">2015-01-25T22:26:00Z</dcterms:created>
  <dcterms:modified xsi:type="dcterms:W3CDTF">2015-02-04T23:37:00Z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