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78" w:rsidRPr="007E75CC" w:rsidRDefault="005421F1" w:rsidP="00FC2378">
      <w:pPr>
        <w:rPr>
          <w:sz w:val="24"/>
          <w:szCs w:val="24"/>
        </w:rPr>
      </w:pPr>
      <w:r>
        <w:rPr>
          <w:sz w:val="24"/>
          <w:szCs w:val="24"/>
        </w:rPr>
        <w:t>June 30, 201</w:t>
      </w:r>
      <w:r w:rsidR="00A044DC">
        <w:rPr>
          <w:sz w:val="24"/>
          <w:szCs w:val="24"/>
        </w:rPr>
        <w:t>5</w:t>
      </w:r>
    </w:p>
    <w:p w:rsidR="00FC2378" w:rsidRPr="007E75CC" w:rsidRDefault="00FC2378" w:rsidP="00FC2378">
      <w:pPr>
        <w:rPr>
          <w:sz w:val="24"/>
          <w:szCs w:val="24"/>
        </w:rPr>
      </w:pPr>
    </w:p>
    <w:p w:rsidR="00FC2378" w:rsidRPr="007E75CC" w:rsidRDefault="00FC2378" w:rsidP="00FC2378">
      <w:pPr>
        <w:rPr>
          <w:sz w:val="24"/>
          <w:szCs w:val="24"/>
        </w:rPr>
      </w:pPr>
      <w:r w:rsidRPr="007E75CC">
        <w:rPr>
          <w:sz w:val="24"/>
          <w:szCs w:val="24"/>
          <w:u w:val="single"/>
        </w:rPr>
        <w:t>By Electronic Mail and Overnight Mail</w:t>
      </w:r>
    </w:p>
    <w:p w:rsidR="00FC2378" w:rsidRPr="007E75CC" w:rsidRDefault="00FC2378" w:rsidP="00FC2378">
      <w:pPr>
        <w:rPr>
          <w:sz w:val="24"/>
          <w:szCs w:val="24"/>
        </w:rPr>
      </w:pPr>
    </w:p>
    <w:p w:rsidR="007A7127" w:rsidRPr="007E75CC" w:rsidRDefault="008C1EF7" w:rsidP="007A7127">
      <w:pPr>
        <w:rPr>
          <w:sz w:val="24"/>
          <w:szCs w:val="24"/>
        </w:rPr>
      </w:pPr>
      <w:r>
        <w:rPr>
          <w:sz w:val="24"/>
          <w:szCs w:val="24"/>
        </w:rPr>
        <w:t>Steven King</w:t>
      </w:r>
    </w:p>
    <w:p w:rsidR="007A7127" w:rsidRPr="007E75CC" w:rsidRDefault="007A7127" w:rsidP="007A7127">
      <w:pPr>
        <w:rPr>
          <w:sz w:val="24"/>
          <w:szCs w:val="24"/>
        </w:rPr>
      </w:pPr>
      <w:r w:rsidRPr="007E75CC">
        <w:rPr>
          <w:sz w:val="24"/>
          <w:szCs w:val="24"/>
        </w:rPr>
        <w:t>Executive Director and Secretary</w:t>
      </w:r>
    </w:p>
    <w:p w:rsidR="007A7127" w:rsidRPr="007E75CC" w:rsidRDefault="007A7127" w:rsidP="007A7127">
      <w:pPr>
        <w:rPr>
          <w:sz w:val="24"/>
          <w:szCs w:val="24"/>
        </w:rPr>
      </w:pPr>
      <w:r w:rsidRPr="007E75CC">
        <w:rPr>
          <w:sz w:val="24"/>
          <w:szCs w:val="24"/>
        </w:rPr>
        <w:t xml:space="preserve">Washington Utilities and Transportation Commission </w:t>
      </w:r>
    </w:p>
    <w:p w:rsidR="007A7127" w:rsidRPr="007E75CC" w:rsidRDefault="007A7127" w:rsidP="007A7127">
      <w:pPr>
        <w:rPr>
          <w:sz w:val="24"/>
          <w:szCs w:val="24"/>
        </w:rPr>
      </w:pPr>
      <w:r w:rsidRPr="007E75CC">
        <w:rPr>
          <w:sz w:val="24"/>
          <w:szCs w:val="24"/>
        </w:rPr>
        <w:t>1300 S. Evergreen Park Dr. SW</w:t>
      </w:r>
    </w:p>
    <w:p w:rsidR="007A7127" w:rsidRPr="007E75CC" w:rsidRDefault="007A7127" w:rsidP="007A7127">
      <w:pPr>
        <w:rPr>
          <w:sz w:val="24"/>
          <w:szCs w:val="24"/>
        </w:rPr>
      </w:pPr>
      <w:r w:rsidRPr="007E75CC">
        <w:rPr>
          <w:sz w:val="24"/>
          <w:szCs w:val="24"/>
        </w:rPr>
        <w:t>Olympia, WA  98504-7250</w:t>
      </w:r>
    </w:p>
    <w:p w:rsidR="00FC2378" w:rsidRPr="007E75CC" w:rsidRDefault="00FC2378" w:rsidP="00FC2378">
      <w:pPr>
        <w:rPr>
          <w:sz w:val="24"/>
          <w:szCs w:val="24"/>
        </w:rPr>
      </w:pPr>
    </w:p>
    <w:p w:rsidR="00FC2378" w:rsidRDefault="00FC2378" w:rsidP="00FC2378">
      <w:pPr>
        <w:ind w:left="720" w:hanging="720"/>
        <w:rPr>
          <w:b/>
          <w:sz w:val="24"/>
          <w:szCs w:val="24"/>
        </w:rPr>
      </w:pPr>
      <w:r w:rsidRPr="007E75CC">
        <w:rPr>
          <w:b/>
          <w:sz w:val="24"/>
          <w:szCs w:val="24"/>
        </w:rPr>
        <w:t>RE:</w:t>
      </w:r>
      <w:r w:rsidRPr="007E75CC">
        <w:rPr>
          <w:b/>
          <w:sz w:val="24"/>
          <w:szCs w:val="24"/>
        </w:rPr>
        <w:tab/>
      </w:r>
      <w:r w:rsidR="00537549" w:rsidRPr="00537549">
        <w:rPr>
          <w:b/>
          <w:sz w:val="24"/>
          <w:szCs w:val="24"/>
        </w:rPr>
        <w:t>Annual ETC Recertification Reports r</w:t>
      </w:r>
      <w:r w:rsidR="00537549">
        <w:rPr>
          <w:b/>
          <w:sz w:val="24"/>
          <w:szCs w:val="24"/>
        </w:rPr>
        <w:t>equired by FCC of AT&amp;T Mobility</w:t>
      </w:r>
    </w:p>
    <w:p w:rsidR="00A44981" w:rsidRPr="007E75CC" w:rsidRDefault="00A44981" w:rsidP="00FC2378">
      <w:pPr>
        <w:ind w:left="720" w:hanging="720"/>
        <w:rPr>
          <w:b/>
          <w:sz w:val="24"/>
          <w:szCs w:val="24"/>
        </w:rPr>
      </w:pPr>
      <w:r>
        <w:rPr>
          <w:b/>
          <w:sz w:val="24"/>
          <w:szCs w:val="24"/>
        </w:rPr>
        <w:tab/>
        <w:t>Docket UT-1</w:t>
      </w:r>
      <w:r w:rsidR="00A044DC">
        <w:rPr>
          <w:b/>
          <w:sz w:val="24"/>
          <w:szCs w:val="24"/>
        </w:rPr>
        <w:t>5</w:t>
      </w:r>
      <w:r w:rsidR="00D0034C">
        <w:rPr>
          <w:b/>
          <w:sz w:val="24"/>
          <w:szCs w:val="24"/>
        </w:rPr>
        <w:t>0063</w:t>
      </w:r>
      <w:bookmarkStart w:id="0" w:name="_GoBack"/>
      <w:bookmarkEnd w:id="0"/>
    </w:p>
    <w:p w:rsidR="00FC2378" w:rsidRPr="007E75CC" w:rsidRDefault="00FC2378" w:rsidP="00FC2378">
      <w:pPr>
        <w:rPr>
          <w:sz w:val="24"/>
          <w:szCs w:val="24"/>
        </w:rPr>
      </w:pPr>
    </w:p>
    <w:p w:rsidR="00FC2378" w:rsidRPr="007E75CC" w:rsidRDefault="00FC2378" w:rsidP="00FC2378">
      <w:pPr>
        <w:rPr>
          <w:sz w:val="24"/>
          <w:szCs w:val="24"/>
        </w:rPr>
      </w:pPr>
      <w:r w:rsidRPr="007E75CC">
        <w:rPr>
          <w:sz w:val="24"/>
          <w:szCs w:val="24"/>
        </w:rPr>
        <w:t xml:space="preserve">Dear </w:t>
      </w:r>
      <w:r w:rsidR="007A7127" w:rsidRPr="007E75CC">
        <w:rPr>
          <w:sz w:val="24"/>
          <w:szCs w:val="24"/>
        </w:rPr>
        <w:t xml:space="preserve">Mr. </w:t>
      </w:r>
      <w:r w:rsidR="008C1EF7">
        <w:rPr>
          <w:sz w:val="24"/>
          <w:szCs w:val="24"/>
        </w:rPr>
        <w:t>King:</w:t>
      </w:r>
    </w:p>
    <w:p w:rsidR="00FC2378" w:rsidRPr="007E75CC" w:rsidRDefault="00FC2378" w:rsidP="00FC2378">
      <w:pPr>
        <w:rPr>
          <w:sz w:val="24"/>
          <w:szCs w:val="24"/>
        </w:rPr>
      </w:pPr>
    </w:p>
    <w:p w:rsidR="00D561A2" w:rsidRDefault="00D561A2" w:rsidP="00D561A2">
      <w:pPr>
        <w:autoSpaceDE w:val="0"/>
        <w:autoSpaceDN w:val="0"/>
        <w:adjustRightInd w:val="0"/>
        <w:jc w:val="both"/>
        <w:rPr>
          <w:sz w:val="24"/>
          <w:szCs w:val="24"/>
        </w:rPr>
      </w:pPr>
      <w:r w:rsidRPr="00D561A2">
        <w:rPr>
          <w:sz w:val="24"/>
          <w:szCs w:val="24"/>
        </w:rPr>
        <w:t>Pursuant to section 54.313(i) of the Federal Communications Commission’s (“FCC’s”) rules,</w:t>
      </w:r>
      <w:r w:rsidRPr="00D561A2">
        <w:rPr>
          <w:rFonts w:eastAsia="Calibri"/>
          <w:sz w:val="24"/>
          <w:szCs w:val="24"/>
          <w:vertAlign w:val="superscript"/>
        </w:rPr>
        <w:footnoteReference w:id="1"/>
      </w:r>
      <w:r w:rsidRPr="00D561A2">
        <w:rPr>
          <w:sz w:val="24"/>
          <w:szCs w:val="24"/>
        </w:rPr>
        <w:t xml:space="preserve">  </w:t>
      </w:r>
      <w:r>
        <w:rPr>
          <w:sz w:val="24"/>
          <w:szCs w:val="24"/>
        </w:rPr>
        <w:t>AT&amp;T Mobility LLC</w:t>
      </w:r>
      <w:r w:rsidRPr="00D561A2">
        <w:rPr>
          <w:sz w:val="24"/>
          <w:szCs w:val="24"/>
        </w:rPr>
        <w:t xml:space="preserve"> hereby provides a copy of its FCC Form 481, Carrier Annual Reporting Data Collection Form that it filed with the FCC on or before </w:t>
      </w:r>
      <w:r w:rsidR="00A044DC">
        <w:rPr>
          <w:sz w:val="24"/>
          <w:szCs w:val="24"/>
        </w:rPr>
        <w:t>June 30, 2015</w:t>
      </w:r>
      <w:r w:rsidRPr="00D561A2">
        <w:rPr>
          <w:sz w:val="24"/>
          <w:szCs w:val="24"/>
        </w:rPr>
        <w:t xml:space="preserve">.  All eligible telecommunication carriers that receive high-cost and/or low income support must file Form 481 with the FCC in order to continue receiving such support by July 1. </w:t>
      </w:r>
    </w:p>
    <w:p w:rsidR="00D561A2" w:rsidRPr="00D561A2" w:rsidRDefault="00D561A2" w:rsidP="00D561A2">
      <w:pPr>
        <w:autoSpaceDE w:val="0"/>
        <w:autoSpaceDN w:val="0"/>
        <w:adjustRightInd w:val="0"/>
        <w:jc w:val="both"/>
        <w:rPr>
          <w:sz w:val="24"/>
          <w:szCs w:val="24"/>
        </w:rPr>
      </w:pPr>
    </w:p>
    <w:p w:rsidR="00537549" w:rsidRDefault="00D561A2" w:rsidP="00D561A2">
      <w:pPr>
        <w:jc w:val="both"/>
        <w:rPr>
          <w:sz w:val="24"/>
          <w:szCs w:val="24"/>
        </w:rPr>
      </w:pPr>
      <w:r w:rsidRPr="00D561A2">
        <w:rPr>
          <w:sz w:val="24"/>
          <w:szCs w:val="24"/>
        </w:rPr>
        <w:t>The collection of data and information contained in FCC Form 481 is done under the FCC's authority in section 254 of the Communications Act of 1934, as amended, 47 U.S.C. § 254, and sections 54.313 and 54.422 of the Commission’s rules, 47 C.F.R. §§ 54.313 and 54.422.  The FCC anticipates that state commissions will use the data contained in carriers’ FCC Form 481 filings to develop their section 54.314 certifications.</w:t>
      </w:r>
      <w:r w:rsidRPr="00D561A2">
        <w:rPr>
          <w:rFonts w:eastAsia="Calibri"/>
          <w:sz w:val="24"/>
          <w:szCs w:val="24"/>
          <w:vertAlign w:val="superscript"/>
        </w:rPr>
        <w:footnoteReference w:id="2"/>
      </w:r>
    </w:p>
    <w:p w:rsidR="00D561A2" w:rsidRPr="00E9490A" w:rsidRDefault="00D561A2" w:rsidP="00D561A2">
      <w:pPr>
        <w:jc w:val="both"/>
        <w:rPr>
          <w:sz w:val="24"/>
          <w:szCs w:val="24"/>
        </w:rPr>
      </w:pPr>
    </w:p>
    <w:p w:rsidR="00EC6ACC" w:rsidRPr="007E75CC" w:rsidRDefault="00EC6ACC" w:rsidP="00537549">
      <w:pPr>
        <w:rPr>
          <w:sz w:val="24"/>
          <w:szCs w:val="24"/>
        </w:rPr>
      </w:pPr>
      <w:r w:rsidRPr="007E75CC">
        <w:rPr>
          <w:sz w:val="24"/>
          <w:szCs w:val="24"/>
        </w:rPr>
        <w:t xml:space="preserve">A portion of </w:t>
      </w:r>
      <w:r w:rsidR="00FC2378" w:rsidRPr="007E75CC">
        <w:rPr>
          <w:sz w:val="24"/>
          <w:szCs w:val="24"/>
        </w:rPr>
        <w:t>AT&amp;T Mobility’s Report contains certain confidential and proprietary information for which AT&amp;T Mobility seeks confidential treatment pursuant to</w:t>
      </w:r>
      <w:r w:rsidRPr="007E75CC">
        <w:rPr>
          <w:sz w:val="24"/>
          <w:szCs w:val="24"/>
        </w:rPr>
        <w:t xml:space="preserve"> WAC 480-07-160</w:t>
      </w:r>
      <w:r w:rsidR="00FC2378" w:rsidRPr="007E75CC">
        <w:rPr>
          <w:sz w:val="24"/>
          <w:szCs w:val="24"/>
        </w:rPr>
        <w:t xml:space="preserve"> </w:t>
      </w:r>
      <w:r w:rsidRPr="007E75CC">
        <w:rPr>
          <w:sz w:val="24"/>
          <w:szCs w:val="24"/>
        </w:rPr>
        <w:t xml:space="preserve">and </w:t>
      </w:r>
      <w:r w:rsidR="00FC2378" w:rsidRPr="007E75CC">
        <w:rPr>
          <w:sz w:val="24"/>
          <w:szCs w:val="24"/>
        </w:rPr>
        <w:t xml:space="preserve">RCW 80.04.095.  Consistent with </w:t>
      </w:r>
      <w:r w:rsidRPr="007E75CC">
        <w:rPr>
          <w:sz w:val="24"/>
          <w:szCs w:val="24"/>
        </w:rPr>
        <w:t xml:space="preserve">the </w:t>
      </w:r>
      <w:r w:rsidR="00FC2378" w:rsidRPr="007E75CC">
        <w:rPr>
          <w:sz w:val="24"/>
          <w:szCs w:val="24"/>
        </w:rPr>
        <w:t>Commission</w:t>
      </w:r>
      <w:r w:rsidRPr="007E75CC">
        <w:rPr>
          <w:sz w:val="24"/>
          <w:szCs w:val="24"/>
        </w:rPr>
        <w:t>’s</w:t>
      </w:r>
      <w:r w:rsidR="00FC2378" w:rsidRPr="007E75CC">
        <w:rPr>
          <w:sz w:val="24"/>
          <w:szCs w:val="24"/>
        </w:rPr>
        <w:t xml:space="preserve"> </w:t>
      </w:r>
      <w:r w:rsidRPr="007E75CC">
        <w:rPr>
          <w:sz w:val="24"/>
          <w:szCs w:val="24"/>
        </w:rPr>
        <w:t xml:space="preserve">rules, </w:t>
      </w:r>
      <w:r w:rsidR="00FC2378" w:rsidRPr="007E75CC">
        <w:rPr>
          <w:sz w:val="24"/>
          <w:szCs w:val="24"/>
        </w:rPr>
        <w:t xml:space="preserve">AT&amp;T Mobility has specifically designated the information that is confidential and provided both the complete responses </w:t>
      </w:r>
      <w:r w:rsidR="00361A46" w:rsidRPr="007E75CC">
        <w:rPr>
          <w:sz w:val="24"/>
          <w:szCs w:val="24"/>
        </w:rPr>
        <w:t xml:space="preserve">and </w:t>
      </w:r>
      <w:r w:rsidR="00F471C0" w:rsidRPr="007E75CC">
        <w:rPr>
          <w:sz w:val="24"/>
          <w:szCs w:val="24"/>
        </w:rPr>
        <w:t>r</w:t>
      </w:r>
      <w:r w:rsidR="00361A46" w:rsidRPr="007E75CC">
        <w:rPr>
          <w:sz w:val="24"/>
          <w:szCs w:val="24"/>
        </w:rPr>
        <w:t xml:space="preserve">edacted version.  Specifically AT&amp;T Mobility is claiming confidential treatment for </w:t>
      </w:r>
      <w:r w:rsidR="00537549" w:rsidRPr="00537549">
        <w:rPr>
          <w:sz w:val="24"/>
          <w:szCs w:val="24"/>
        </w:rPr>
        <w:t>Service Outage Reporting data.</w:t>
      </w:r>
      <w:r w:rsidR="00361A46" w:rsidRPr="007E75CC">
        <w:rPr>
          <w:sz w:val="24"/>
          <w:szCs w:val="24"/>
        </w:rPr>
        <w:t xml:space="preserve">  The </w:t>
      </w:r>
      <w:proofErr w:type="spellStart"/>
      <w:r w:rsidR="00361A46" w:rsidRPr="007E75CC">
        <w:rPr>
          <w:sz w:val="24"/>
          <w:szCs w:val="24"/>
        </w:rPr>
        <w:t>unredacted</w:t>
      </w:r>
      <w:proofErr w:type="spellEnd"/>
      <w:r w:rsidR="00361A46" w:rsidRPr="007E75CC">
        <w:rPr>
          <w:sz w:val="24"/>
          <w:szCs w:val="24"/>
        </w:rPr>
        <w:t xml:space="preserve"> confidential document ha</w:t>
      </w:r>
      <w:r w:rsidR="007C6658">
        <w:rPr>
          <w:sz w:val="24"/>
          <w:szCs w:val="24"/>
        </w:rPr>
        <w:t>s</w:t>
      </w:r>
      <w:r w:rsidR="00361A46" w:rsidRPr="007E75CC">
        <w:rPr>
          <w:sz w:val="24"/>
          <w:szCs w:val="24"/>
        </w:rPr>
        <w:t xml:space="preserve"> been </w:t>
      </w:r>
      <w:r w:rsidR="00FC2378" w:rsidRPr="007E75CC">
        <w:rPr>
          <w:sz w:val="24"/>
          <w:szCs w:val="24"/>
        </w:rPr>
        <w:t>printed on ye</w:t>
      </w:r>
      <w:r w:rsidRPr="007E75CC">
        <w:rPr>
          <w:sz w:val="24"/>
          <w:szCs w:val="24"/>
        </w:rPr>
        <w:t>llow paper, marked “Confidential per WAC 480-07-160</w:t>
      </w:r>
      <w:r w:rsidR="00FC2378" w:rsidRPr="007E75CC">
        <w:rPr>
          <w:sz w:val="24"/>
          <w:szCs w:val="24"/>
        </w:rPr>
        <w:t>” and enclosed in a separate envelope marked “C</w:t>
      </w:r>
      <w:r w:rsidRPr="007E75CC">
        <w:rPr>
          <w:sz w:val="24"/>
          <w:szCs w:val="24"/>
        </w:rPr>
        <w:t>onfidential per WAC 480-07-160</w:t>
      </w:r>
      <w:r w:rsidR="00FC2378" w:rsidRPr="007E75CC">
        <w:rPr>
          <w:sz w:val="24"/>
          <w:szCs w:val="24"/>
        </w:rPr>
        <w:t>”</w:t>
      </w:r>
      <w:r w:rsidRPr="007E75CC">
        <w:rPr>
          <w:sz w:val="24"/>
          <w:szCs w:val="24"/>
        </w:rPr>
        <w:t xml:space="preserve">.  </w:t>
      </w:r>
      <w:r w:rsidR="00FC2378" w:rsidRPr="007E75CC">
        <w:rPr>
          <w:sz w:val="24"/>
          <w:szCs w:val="24"/>
        </w:rPr>
        <w:t xml:space="preserve"> </w:t>
      </w:r>
    </w:p>
    <w:p w:rsidR="007C6658" w:rsidRDefault="00EC6ACC" w:rsidP="00C42D0B">
      <w:pPr>
        <w:rPr>
          <w:sz w:val="24"/>
          <w:szCs w:val="24"/>
        </w:rPr>
      </w:pPr>
      <w:r w:rsidRPr="007E75CC">
        <w:rPr>
          <w:sz w:val="24"/>
          <w:szCs w:val="24"/>
        </w:rPr>
        <w:lastRenderedPageBreak/>
        <w:t>AT&amp;T Mobility states as follows the legal basis under which the information is claimed to be</w:t>
      </w:r>
      <w:r w:rsidR="006D07C5" w:rsidRPr="007E75CC">
        <w:rPr>
          <w:sz w:val="24"/>
          <w:szCs w:val="24"/>
        </w:rPr>
        <w:t xml:space="preserve"> confidential.  Pursuant to WAC 480-07-160(2)(c) confidential treatment may be afforded to “valuable commercial information, including trade secrets… cost, or financial information, or customer-specific usage and network configuration and design </w:t>
      </w:r>
      <w:r w:rsidR="003A2F85" w:rsidRPr="007E75CC">
        <w:rPr>
          <w:sz w:val="24"/>
          <w:szCs w:val="24"/>
        </w:rPr>
        <w:t>i</w:t>
      </w:r>
      <w:r w:rsidR="006D07C5" w:rsidRPr="007E75CC">
        <w:rPr>
          <w:sz w:val="24"/>
          <w:szCs w:val="24"/>
        </w:rPr>
        <w:t xml:space="preserve">nformation, as provided in RCW 80.04.095.”   </w:t>
      </w:r>
    </w:p>
    <w:p w:rsidR="007C6658" w:rsidRDefault="007C6658" w:rsidP="00C42D0B">
      <w:pPr>
        <w:rPr>
          <w:sz w:val="24"/>
          <w:szCs w:val="24"/>
        </w:rPr>
      </w:pPr>
    </w:p>
    <w:p w:rsidR="00C42D0B" w:rsidRPr="007E75CC" w:rsidRDefault="00537549" w:rsidP="00C42D0B">
      <w:pPr>
        <w:rPr>
          <w:sz w:val="24"/>
          <w:szCs w:val="24"/>
        </w:rPr>
      </w:pPr>
      <w:r w:rsidRPr="00537549">
        <w:rPr>
          <w:sz w:val="24"/>
          <w:szCs w:val="24"/>
        </w:rPr>
        <w:t>The documents that AT&amp;T Mobility claims are confidential include</w:t>
      </w:r>
      <w:r w:rsidR="00E149EA">
        <w:rPr>
          <w:sz w:val="24"/>
          <w:szCs w:val="24"/>
        </w:rPr>
        <w:t xml:space="preserve"> the </w:t>
      </w:r>
      <w:r w:rsidRPr="00537549">
        <w:rPr>
          <w:sz w:val="24"/>
          <w:szCs w:val="24"/>
        </w:rPr>
        <w:t xml:space="preserve">Line 200 Attachments, which includes service Outage Reporting </w:t>
      </w:r>
      <w:proofErr w:type="gramStart"/>
      <w:r w:rsidRPr="00537549">
        <w:rPr>
          <w:sz w:val="24"/>
          <w:szCs w:val="24"/>
        </w:rPr>
        <w:t>data</w:t>
      </w:r>
      <w:proofErr w:type="gramEnd"/>
      <w:r w:rsidRPr="00537549">
        <w:rPr>
          <w:sz w:val="24"/>
          <w:szCs w:val="24"/>
        </w:rPr>
        <w:t xml:space="preserve"> and customer impact counts and resolution information not available to the public</w:t>
      </w:r>
      <w:r w:rsidR="007C6658">
        <w:rPr>
          <w:sz w:val="24"/>
          <w:szCs w:val="24"/>
        </w:rPr>
        <w:t xml:space="preserve">.  </w:t>
      </w:r>
      <w:r w:rsidRPr="00537549">
        <w:rPr>
          <w:sz w:val="24"/>
          <w:szCs w:val="24"/>
        </w:rPr>
        <w:t xml:space="preserve">AT&amp;T Mobility believes that </w:t>
      </w:r>
      <w:r w:rsidR="007C6658">
        <w:rPr>
          <w:sz w:val="24"/>
          <w:szCs w:val="24"/>
        </w:rPr>
        <w:t xml:space="preserve">the document </w:t>
      </w:r>
      <w:r w:rsidRPr="00537549">
        <w:rPr>
          <w:sz w:val="24"/>
          <w:szCs w:val="24"/>
        </w:rPr>
        <w:t>contain</w:t>
      </w:r>
      <w:r w:rsidR="007C6658">
        <w:rPr>
          <w:sz w:val="24"/>
          <w:szCs w:val="24"/>
        </w:rPr>
        <w:t>s</w:t>
      </w:r>
      <w:r w:rsidRPr="00537549">
        <w:rPr>
          <w:sz w:val="24"/>
          <w:szCs w:val="24"/>
        </w:rPr>
        <w:t xml:space="preserve"> proprietary business and technical information regarding AT&amp;T Mobility’s telecommunications network in </w:t>
      </w:r>
      <w:r>
        <w:rPr>
          <w:sz w:val="24"/>
          <w:szCs w:val="24"/>
        </w:rPr>
        <w:t>Washington</w:t>
      </w:r>
      <w:r w:rsidRPr="00537549">
        <w:rPr>
          <w:sz w:val="24"/>
          <w:szCs w:val="24"/>
        </w:rPr>
        <w:t xml:space="preserve">, the public disclosure of which would cause serious competitive harm to the company.  Disclosure of these materials would reveal confidential details pertaining to AT&amp;T Mobility’s customer base, marketing strategies and the company’s competitive position in the </w:t>
      </w:r>
      <w:r>
        <w:rPr>
          <w:sz w:val="24"/>
          <w:szCs w:val="24"/>
        </w:rPr>
        <w:t>Washington</w:t>
      </w:r>
      <w:r w:rsidRPr="00537549">
        <w:rPr>
          <w:sz w:val="24"/>
          <w:szCs w:val="24"/>
        </w:rPr>
        <w:t xml:space="preserve"> telecommunications marketplace.  Because this information goes to the heart of the company’s business planning and competitive strategy, its public disclosure would be both economically damaging to AT&amp;T Mobility and economically advantageous to its competitors.  The company does not generally disclose publicly this type of information.</w:t>
      </w:r>
    </w:p>
    <w:p w:rsidR="00C42D0B" w:rsidRDefault="00C42D0B" w:rsidP="00C42D0B">
      <w:pPr>
        <w:rPr>
          <w:sz w:val="24"/>
          <w:szCs w:val="24"/>
        </w:rPr>
      </w:pPr>
    </w:p>
    <w:p w:rsidR="00135DAD" w:rsidRDefault="00135DAD" w:rsidP="00C42D0B">
      <w:pPr>
        <w:rPr>
          <w:sz w:val="24"/>
          <w:szCs w:val="24"/>
        </w:rPr>
      </w:pPr>
      <w:r w:rsidRPr="00516207">
        <w:rPr>
          <w:sz w:val="24"/>
          <w:szCs w:val="24"/>
        </w:rPr>
        <w:t>Further, similar outage</w:t>
      </w:r>
      <w:r>
        <w:rPr>
          <w:sz w:val="24"/>
          <w:szCs w:val="24"/>
        </w:rPr>
        <w:t xml:space="preserve"> </w:t>
      </w:r>
      <w:r w:rsidRPr="00516207">
        <w:rPr>
          <w:sz w:val="24"/>
          <w:szCs w:val="24"/>
        </w:rPr>
        <w:t>information is afforded confidential protection by the FCC pursuant to 47 C.F.R. §4.2 for a</w:t>
      </w:r>
      <w:r>
        <w:rPr>
          <w:sz w:val="24"/>
          <w:szCs w:val="24"/>
        </w:rPr>
        <w:t xml:space="preserve"> </w:t>
      </w:r>
      <w:r w:rsidRPr="00516207">
        <w:rPr>
          <w:sz w:val="24"/>
          <w:szCs w:val="24"/>
        </w:rPr>
        <w:t>number of reasons including those regarding security of the telecommunications network.</w:t>
      </w:r>
    </w:p>
    <w:p w:rsidR="00135DAD" w:rsidRPr="007E75CC" w:rsidRDefault="00135DAD" w:rsidP="00C42D0B">
      <w:pPr>
        <w:rPr>
          <w:sz w:val="24"/>
          <w:szCs w:val="24"/>
        </w:rPr>
      </w:pPr>
    </w:p>
    <w:p w:rsidR="00C42D0B" w:rsidRPr="007E75CC" w:rsidRDefault="00C42D0B" w:rsidP="00C42D0B">
      <w:pPr>
        <w:rPr>
          <w:sz w:val="24"/>
          <w:szCs w:val="24"/>
        </w:rPr>
      </w:pPr>
      <w:r w:rsidRPr="007E75CC">
        <w:rPr>
          <w:sz w:val="24"/>
          <w:szCs w:val="24"/>
        </w:rPr>
        <w:t xml:space="preserve">If there are any questions, please do not hesitate to contact me. </w:t>
      </w:r>
    </w:p>
    <w:p w:rsidR="00C42D0B" w:rsidRPr="007E75CC" w:rsidRDefault="00C42D0B" w:rsidP="00C42D0B">
      <w:pPr>
        <w:rPr>
          <w:sz w:val="24"/>
          <w:szCs w:val="24"/>
        </w:rPr>
      </w:pPr>
    </w:p>
    <w:p w:rsidR="00C42D0B" w:rsidRPr="007E75CC" w:rsidRDefault="00C42D0B" w:rsidP="00C42D0B">
      <w:pPr>
        <w:rPr>
          <w:sz w:val="24"/>
          <w:szCs w:val="24"/>
        </w:rPr>
      </w:pPr>
      <w:r w:rsidRPr="007E75CC">
        <w:rPr>
          <w:sz w:val="24"/>
          <w:szCs w:val="24"/>
        </w:rPr>
        <w:t>Sincerely,</w:t>
      </w:r>
    </w:p>
    <w:p w:rsidR="00C42D0B" w:rsidRPr="007E75CC" w:rsidRDefault="00C42D0B" w:rsidP="00C42D0B">
      <w:pPr>
        <w:rPr>
          <w:sz w:val="24"/>
          <w:szCs w:val="24"/>
        </w:rPr>
      </w:pPr>
    </w:p>
    <w:p w:rsidR="00C42D0B" w:rsidRPr="007E75CC" w:rsidRDefault="00A44981" w:rsidP="00C42D0B">
      <w:pPr>
        <w:rPr>
          <w:sz w:val="24"/>
          <w:szCs w:val="24"/>
        </w:rPr>
      </w:pPr>
      <w:r w:rsidRPr="004B217F">
        <w:rPr>
          <w:noProof/>
          <w:sz w:val="24"/>
          <w:szCs w:val="24"/>
        </w:rPr>
        <w:drawing>
          <wp:inline distT="0" distB="0" distL="0" distR="0" wp14:anchorId="6AA6D7D0" wp14:editId="1DB24711">
            <wp:extent cx="1544891" cy="2286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44739" cy="228578"/>
                    </a:xfrm>
                    <a:prstGeom prst="rect">
                      <a:avLst/>
                    </a:prstGeom>
                    <a:noFill/>
                    <a:ln w="9525">
                      <a:noFill/>
                      <a:miter lim="800000"/>
                      <a:headEnd/>
                      <a:tailEnd/>
                    </a:ln>
                  </pic:spPr>
                </pic:pic>
              </a:graphicData>
            </a:graphic>
          </wp:inline>
        </w:drawing>
      </w:r>
    </w:p>
    <w:p w:rsidR="00C42D0B" w:rsidRPr="007E75CC" w:rsidRDefault="003E5957" w:rsidP="00C42D0B">
      <w:pPr>
        <w:rPr>
          <w:sz w:val="24"/>
          <w:szCs w:val="24"/>
        </w:rPr>
      </w:pPr>
      <w:r w:rsidRPr="007E75CC">
        <w:rPr>
          <w:sz w:val="24"/>
          <w:szCs w:val="24"/>
        </w:rPr>
        <w:t xml:space="preserve">Sharon Mullin </w:t>
      </w:r>
      <w:r w:rsidR="00C42D0B" w:rsidRPr="007E75CC">
        <w:rPr>
          <w:sz w:val="24"/>
          <w:szCs w:val="24"/>
        </w:rPr>
        <w:t xml:space="preserve">   </w:t>
      </w:r>
    </w:p>
    <w:p w:rsidR="00C42D0B" w:rsidRPr="007E75CC" w:rsidRDefault="00C42D0B" w:rsidP="00C42D0B">
      <w:pPr>
        <w:rPr>
          <w:sz w:val="24"/>
          <w:szCs w:val="24"/>
        </w:rPr>
      </w:pPr>
    </w:p>
    <w:p w:rsidR="00C42D0B" w:rsidRPr="006D07C5" w:rsidRDefault="00C42D0B" w:rsidP="00C42D0B">
      <w:pPr>
        <w:rPr>
          <w:sz w:val="24"/>
          <w:szCs w:val="24"/>
        </w:rPr>
      </w:pPr>
      <w:r w:rsidRPr="007E75CC">
        <w:rPr>
          <w:sz w:val="24"/>
          <w:szCs w:val="24"/>
        </w:rPr>
        <w:t>Enclosures</w:t>
      </w:r>
    </w:p>
    <w:p w:rsidR="001C387A" w:rsidRPr="00256BF7" w:rsidRDefault="001C387A" w:rsidP="00C42D0B">
      <w:pPr>
        <w:rPr>
          <w:sz w:val="16"/>
          <w:szCs w:val="16"/>
        </w:rPr>
      </w:pPr>
    </w:p>
    <w:sectPr w:rsidR="001C387A" w:rsidRPr="00256BF7" w:rsidSect="00C42D0B">
      <w:headerReference w:type="even" r:id="rId12"/>
      <w:headerReference w:type="default" r:id="rId13"/>
      <w:pgSz w:w="12240" w:h="15840"/>
      <w:pgMar w:top="244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E0" w:rsidRDefault="002321E0">
      <w:r>
        <w:separator/>
      </w:r>
    </w:p>
  </w:endnote>
  <w:endnote w:type="continuationSeparator" w:id="0">
    <w:p w:rsidR="002321E0" w:rsidRDefault="002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E0" w:rsidRDefault="002321E0">
      <w:r>
        <w:separator/>
      </w:r>
    </w:p>
  </w:footnote>
  <w:footnote w:type="continuationSeparator" w:id="0">
    <w:p w:rsidR="002321E0" w:rsidRDefault="002321E0">
      <w:r>
        <w:continuationSeparator/>
      </w:r>
    </w:p>
  </w:footnote>
  <w:footnote w:id="1">
    <w:p w:rsidR="00D561A2" w:rsidRPr="00410067" w:rsidRDefault="00D561A2" w:rsidP="00D561A2">
      <w:pPr>
        <w:pStyle w:val="FootnoteText"/>
      </w:pPr>
      <w:r>
        <w:tab/>
      </w:r>
      <w:r w:rsidRPr="00410067">
        <w:rPr>
          <w:rStyle w:val="FootnoteReference"/>
        </w:rPr>
        <w:footnoteRef/>
      </w:r>
      <w:r w:rsidRPr="00410067">
        <w:t xml:space="preserve"> </w:t>
      </w:r>
      <w:proofErr w:type="gramStart"/>
      <w:r w:rsidRPr="00410067">
        <w:t>47 C.F.R. § 54.313(i).</w:t>
      </w:r>
      <w:proofErr w:type="gramEnd"/>
    </w:p>
    <w:p w:rsidR="00D561A2" w:rsidRPr="00410067" w:rsidRDefault="00D561A2" w:rsidP="00D561A2">
      <w:pPr>
        <w:pStyle w:val="FootnoteText"/>
      </w:pPr>
    </w:p>
  </w:footnote>
  <w:footnote w:id="2">
    <w:p w:rsidR="00D561A2" w:rsidRDefault="00D561A2" w:rsidP="00D561A2">
      <w:pPr>
        <w:pStyle w:val="FootnoteText"/>
        <w:jc w:val="both"/>
      </w:pPr>
      <w:r w:rsidRPr="00410067">
        <w:tab/>
      </w:r>
      <w:r w:rsidRPr="00410067">
        <w:rPr>
          <w:rStyle w:val="FootnoteReference"/>
        </w:rPr>
        <w:footnoteRef/>
      </w:r>
      <w:r w:rsidRPr="00410067">
        <w:t xml:space="preserve"> </w:t>
      </w:r>
      <w:r w:rsidRPr="00410067">
        <w:rPr>
          <w:i/>
        </w:rPr>
        <w:t xml:space="preserve">See </w:t>
      </w:r>
      <w:r w:rsidRPr="00410067">
        <w:t xml:space="preserve">47 C.F.R. § 54.314(a); </w:t>
      </w:r>
      <w:r w:rsidRPr="00410067">
        <w:rPr>
          <w:i/>
        </w:rPr>
        <w:t>Connect America Fund</w:t>
      </w:r>
      <w:r w:rsidRPr="00410067">
        <w:t xml:space="preserve">, WC Docket No. 10-90 et al., Report and Order and Further Notice of Proposed Rulemaking, 26 FCC </w:t>
      </w:r>
      <w:proofErr w:type="spellStart"/>
      <w:r w:rsidRPr="00410067">
        <w:t>Rcd</w:t>
      </w:r>
      <w:proofErr w:type="spellEnd"/>
      <w:r w:rsidRPr="00410067">
        <w:t xml:space="preserve"> 17663, ¶ 612 (2011).</w:t>
      </w:r>
    </w:p>
    <w:p w:rsidR="00D561A2" w:rsidRPr="00410067" w:rsidRDefault="00D561A2" w:rsidP="00D561A2">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F7" w:rsidRDefault="008C1EF7">
    <w:pPr>
      <w:pStyle w:val="Header"/>
    </w:pPr>
    <w:r>
      <w:t>Mr. King</w:t>
    </w:r>
  </w:p>
  <w:p w:rsidR="007048B1" w:rsidRDefault="00BB30DB">
    <w:pPr>
      <w:pStyle w:val="Header"/>
    </w:pPr>
    <w:r>
      <w:t>June 30, 201</w:t>
    </w:r>
    <w:r w:rsidR="00A044DC">
      <w:t>5</w:t>
    </w:r>
  </w:p>
  <w:p w:rsidR="007048B1" w:rsidRDefault="007048B1">
    <w:pPr>
      <w:pStyle w:val="Header"/>
    </w:pPr>
    <w:r>
      <w:t>Page Two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C5" w:rsidRPr="00670704" w:rsidRDefault="00C53F6A">
    <w:pPr>
      <w:pStyle w:val="Header"/>
      <w:rPr>
        <w:color w:val="FF0000"/>
      </w:rPr>
    </w:pPr>
    <w:r>
      <w:rPr>
        <w:noProof/>
        <w:color w:val="FF0000"/>
      </w:rPr>
      <w:drawing>
        <wp:anchor distT="0" distB="0" distL="114300" distR="114300" simplePos="0" relativeHeight="251658752" behindDoc="1" locked="0" layoutInCell="1" allowOverlap="1" wp14:anchorId="524FF90A" wp14:editId="524FF90B">
          <wp:simplePos x="0" y="0"/>
          <wp:positionH relativeFrom="page">
            <wp:posOffset>571500</wp:posOffset>
          </wp:positionH>
          <wp:positionV relativeFrom="page">
            <wp:posOffset>411480</wp:posOffset>
          </wp:positionV>
          <wp:extent cx="1028700" cy="476250"/>
          <wp:effectExtent l="0" t="0" r="0" b="0"/>
          <wp:wrapNone/>
          <wp:docPr id="3" name="Picture 3"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_color_logo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pic:spPr>
              </pic:pic>
            </a:graphicData>
          </a:graphic>
        </wp:anchor>
      </w:drawing>
    </w:r>
    <w:r w:rsidR="001F5412">
      <w:rPr>
        <w:noProof/>
        <w:color w:val="FF0000"/>
      </w:rPr>
      <mc:AlternateContent>
        <mc:Choice Requires="wps">
          <w:drawing>
            <wp:anchor distT="0" distB="0" distL="114300" distR="114300" simplePos="0" relativeHeight="251656704" behindDoc="0" locked="0" layoutInCell="1" allowOverlap="1" wp14:anchorId="524FF90C" wp14:editId="623FA522">
              <wp:simplePos x="0" y="0"/>
              <wp:positionH relativeFrom="column">
                <wp:posOffset>3200400</wp:posOffset>
              </wp:positionH>
              <wp:positionV relativeFrom="paragraph">
                <wp:posOffset>12700</wp:posOffset>
              </wp:positionV>
              <wp:extent cx="1800225" cy="7334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7C5" w:rsidRDefault="003E5957">
                          <w:pPr>
                            <w:autoSpaceDE w:val="0"/>
                            <w:autoSpaceDN w:val="0"/>
                            <w:adjustRightInd w:val="0"/>
                            <w:rPr>
                              <w:rFonts w:ascii="Arial" w:hAnsi="Arial" w:cs="Arial"/>
                              <w:sz w:val="16"/>
                              <w:szCs w:val="16"/>
                            </w:rPr>
                          </w:pPr>
                          <w:r>
                            <w:rPr>
                              <w:rFonts w:ascii="Arial" w:hAnsi="Arial" w:cs="Arial"/>
                              <w:sz w:val="16"/>
                              <w:szCs w:val="16"/>
                            </w:rPr>
                            <w:t>Sharon Mullin</w:t>
                          </w:r>
                        </w:p>
                        <w:p w:rsidR="003E5957" w:rsidRDefault="003E5957">
                          <w:pPr>
                            <w:autoSpaceDE w:val="0"/>
                            <w:autoSpaceDN w:val="0"/>
                            <w:adjustRightInd w:val="0"/>
                            <w:rPr>
                              <w:rFonts w:ascii="Arial" w:hAnsi="Arial" w:cs="Arial"/>
                              <w:sz w:val="16"/>
                              <w:szCs w:val="16"/>
                            </w:rPr>
                          </w:pPr>
                          <w:r>
                            <w:rPr>
                              <w:rFonts w:ascii="Arial" w:hAnsi="Arial" w:cs="Arial"/>
                              <w:sz w:val="16"/>
                              <w:szCs w:val="16"/>
                            </w:rPr>
                            <w:t>Director – External Affairs</w:t>
                          </w:r>
                        </w:p>
                        <w:p w:rsidR="006D07C5" w:rsidRDefault="003E5957">
                          <w:pPr>
                            <w:autoSpaceDE w:val="0"/>
                            <w:autoSpaceDN w:val="0"/>
                            <w:adjustRightInd w:val="0"/>
                            <w:rPr>
                              <w:rFonts w:ascii="Arial" w:hAnsi="Arial" w:cs="Arial"/>
                              <w:sz w:val="16"/>
                              <w:szCs w:val="16"/>
                            </w:rPr>
                          </w:pPr>
                          <w:r>
                            <w:rPr>
                              <w:rFonts w:ascii="Arial" w:hAnsi="Arial" w:cs="Arial"/>
                              <w:sz w:val="16"/>
                              <w:szCs w:val="16"/>
                            </w:rPr>
                            <w:t>2003 Point Bluff</w:t>
                          </w:r>
                        </w:p>
                        <w:p w:rsidR="006D07C5" w:rsidRDefault="003E5957">
                          <w:pPr>
                            <w:spacing w:line="200" w:lineRule="exact"/>
                            <w:rPr>
                              <w:rFonts w:ascii="Arial" w:hAnsi="Arial" w:cs="Arial"/>
                              <w:sz w:val="16"/>
                              <w:szCs w:val="16"/>
                            </w:rPr>
                          </w:pPr>
                          <w:r>
                            <w:rPr>
                              <w:rFonts w:ascii="Arial" w:hAnsi="Arial" w:cs="Arial"/>
                              <w:sz w:val="16"/>
                              <w:szCs w:val="16"/>
                            </w:rPr>
                            <w:t>Austin, TX  78746</w:t>
                          </w:r>
                        </w:p>
                        <w:p w:rsidR="00670704" w:rsidRDefault="003E5957" w:rsidP="00670704">
                          <w:pPr>
                            <w:spacing w:line="200" w:lineRule="exact"/>
                            <w:rPr>
                              <w:rFonts w:ascii="Arial" w:hAnsi="Arial" w:cs="Arial"/>
                              <w:sz w:val="16"/>
                              <w:szCs w:val="16"/>
                            </w:rPr>
                          </w:pPr>
                          <w:r>
                            <w:rPr>
                              <w:rFonts w:ascii="Arial" w:hAnsi="Arial" w:cs="Arial"/>
                              <w:sz w:val="16"/>
                              <w:szCs w:val="16"/>
                            </w:rPr>
                            <w:t>Phone:</w:t>
                          </w:r>
                          <w:r>
                            <w:rPr>
                              <w:rFonts w:ascii="Arial" w:hAnsi="Arial" w:cs="Arial"/>
                              <w:sz w:val="16"/>
                              <w:szCs w:val="16"/>
                            </w:rPr>
                            <w:tab/>
                            <w:t>512 330-1698</w:t>
                          </w:r>
                        </w:p>
                        <w:p w:rsidR="00670704" w:rsidRDefault="00214279" w:rsidP="00670704">
                          <w:pPr>
                            <w:spacing w:line="200" w:lineRule="exact"/>
                            <w:rPr>
                              <w:rFonts w:ascii="Arial" w:hAnsi="Arial" w:cs="Arial"/>
                              <w:sz w:val="16"/>
                              <w:szCs w:val="16"/>
                            </w:rPr>
                          </w:pPr>
                          <w:r>
                            <w:rPr>
                              <w:rFonts w:ascii="Arial" w:hAnsi="Arial" w:cs="Arial"/>
                              <w:sz w:val="16"/>
                              <w:szCs w:val="16"/>
                            </w:rPr>
                            <w:t>Email:</w:t>
                          </w:r>
                          <w:r>
                            <w:rPr>
                              <w:rFonts w:ascii="Arial" w:hAnsi="Arial" w:cs="Arial"/>
                              <w:sz w:val="16"/>
                              <w:szCs w:val="16"/>
                            </w:rPr>
                            <w:tab/>
                          </w:r>
                          <w:r w:rsidR="003E5957">
                            <w:rPr>
                              <w:rFonts w:ascii="Arial" w:hAnsi="Arial" w:cs="Arial"/>
                              <w:sz w:val="16"/>
                              <w:szCs w:val="16"/>
                            </w:rPr>
                            <w:t>slmullin</w:t>
                          </w:r>
                          <w:r w:rsidR="00670704">
                            <w:rPr>
                              <w:rFonts w:ascii="Arial" w:hAnsi="Arial" w:cs="Arial"/>
                              <w:sz w:val="16"/>
                              <w:szCs w:val="16"/>
                            </w:rPr>
                            <w:t>@att.com</w:t>
                          </w:r>
                        </w:p>
                        <w:p w:rsidR="00670704" w:rsidRDefault="00670704">
                          <w:pPr>
                            <w:spacing w:line="200" w:lineRule="exact"/>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1pt;width:141.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XdrA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" filled="f" stroked="f">
              <v:textbox inset="0,0,0,0">
                <w:txbxContent>
                  <w:p w:rsidR="006D07C5" w:rsidRDefault="003E5957">
                    <w:pPr>
                      <w:autoSpaceDE w:val="0"/>
                      <w:autoSpaceDN w:val="0"/>
                      <w:adjustRightInd w:val="0"/>
                      <w:rPr>
                        <w:rFonts w:ascii="Arial" w:hAnsi="Arial" w:cs="Arial"/>
                        <w:sz w:val="16"/>
                        <w:szCs w:val="16"/>
                      </w:rPr>
                    </w:pPr>
                    <w:r>
                      <w:rPr>
                        <w:rFonts w:ascii="Arial" w:hAnsi="Arial" w:cs="Arial"/>
                        <w:sz w:val="16"/>
                        <w:szCs w:val="16"/>
                      </w:rPr>
                      <w:t>Sharon Mullin</w:t>
                    </w:r>
                  </w:p>
                  <w:p w:rsidR="003E5957" w:rsidRDefault="003E5957">
                    <w:pPr>
                      <w:autoSpaceDE w:val="0"/>
                      <w:autoSpaceDN w:val="0"/>
                      <w:adjustRightInd w:val="0"/>
                      <w:rPr>
                        <w:rFonts w:ascii="Arial" w:hAnsi="Arial" w:cs="Arial"/>
                        <w:sz w:val="16"/>
                        <w:szCs w:val="16"/>
                      </w:rPr>
                    </w:pPr>
                    <w:r>
                      <w:rPr>
                        <w:rFonts w:ascii="Arial" w:hAnsi="Arial" w:cs="Arial"/>
                        <w:sz w:val="16"/>
                        <w:szCs w:val="16"/>
                      </w:rPr>
                      <w:t>Director – External Affairs</w:t>
                    </w:r>
                  </w:p>
                  <w:p w:rsidR="006D07C5" w:rsidRDefault="003E5957">
                    <w:pPr>
                      <w:autoSpaceDE w:val="0"/>
                      <w:autoSpaceDN w:val="0"/>
                      <w:adjustRightInd w:val="0"/>
                      <w:rPr>
                        <w:rFonts w:ascii="Arial" w:hAnsi="Arial" w:cs="Arial"/>
                        <w:sz w:val="16"/>
                        <w:szCs w:val="16"/>
                      </w:rPr>
                    </w:pPr>
                    <w:r>
                      <w:rPr>
                        <w:rFonts w:ascii="Arial" w:hAnsi="Arial" w:cs="Arial"/>
                        <w:sz w:val="16"/>
                        <w:szCs w:val="16"/>
                      </w:rPr>
                      <w:t>2003 Point Bluff</w:t>
                    </w:r>
                  </w:p>
                  <w:p w:rsidR="006D07C5" w:rsidRDefault="003E5957">
                    <w:pPr>
                      <w:spacing w:line="200" w:lineRule="exact"/>
                      <w:rPr>
                        <w:rFonts w:ascii="Arial" w:hAnsi="Arial" w:cs="Arial"/>
                        <w:sz w:val="16"/>
                        <w:szCs w:val="16"/>
                      </w:rPr>
                    </w:pPr>
                    <w:r>
                      <w:rPr>
                        <w:rFonts w:ascii="Arial" w:hAnsi="Arial" w:cs="Arial"/>
                        <w:sz w:val="16"/>
                        <w:szCs w:val="16"/>
                      </w:rPr>
                      <w:t>Austin, TX  78746</w:t>
                    </w:r>
                  </w:p>
                  <w:p w:rsidR="00670704" w:rsidRDefault="003E5957" w:rsidP="00670704">
                    <w:pPr>
                      <w:spacing w:line="200" w:lineRule="exact"/>
                      <w:rPr>
                        <w:rFonts w:ascii="Arial" w:hAnsi="Arial" w:cs="Arial"/>
                        <w:sz w:val="16"/>
                        <w:szCs w:val="16"/>
                      </w:rPr>
                    </w:pPr>
                    <w:r>
                      <w:rPr>
                        <w:rFonts w:ascii="Arial" w:hAnsi="Arial" w:cs="Arial"/>
                        <w:sz w:val="16"/>
                        <w:szCs w:val="16"/>
                      </w:rPr>
                      <w:t>Phone:</w:t>
                    </w:r>
                    <w:r>
                      <w:rPr>
                        <w:rFonts w:ascii="Arial" w:hAnsi="Arial" w:cs="Arial"/>
                        <w:sz w:val="16"/>
                        <w:szCs w:val="16"/>
                      </w:rPr>
                      <w:tab/>
                      <w:t>512 330-1698</w:t>
                    </w:r>
                  </w:p>
                  <w:p w:rsidR="00670704" w:rsidRDefault="00214279" w:rsidP="00670704">
                    <w:pPr>
                      <w:spacing w:line="200" w:lineRule="exact"/>
                      <w:rPr>
                        <w:rFonts w:ascii="Arial" w:hAnsi="Arial" w:cs="Arial"/>
                        <w:sz w:val="16"/>
                        <w:szCs w:val="16"/>
                      </w:rPr>
                    </w:pPr>
                    <w:r>
                      <w:rPr>
                        <w:rFonts w:ascii="Arial" w:hAnsi="Arial" w:cs="Arial"/>
                        <w:sz w:val="16"/>
                        <w:szCs w:val="16"/>
                      </w:rPr>
                      <w:t>Email:</w:t>
                    </w:r>
                    <w:r>
                      <w:rPr>
                        <w:rFonts w:ascii="Arial" w:hAnsi="Arial" w:cs="Arial"/>
                        <w:sz w:val="16"/>
                        <w:szCs w:val="16"/>
                      </w:rPr>
                      <w:tab/>
                    </w:r>
                    <w:r w:rsidR="003E5957">
                      <w:rPr>
                        <w:rFonts w:ascii="Arial" w:hAnsi="Arial" w:cs="Arial"/>
                        <w:sz w:val="16"/>
                        <w:szCs w:val="16"/>
                      </w:rPr>
                      <w:t>slmullin</w:t>
                    </w:r>
                    <w:r w:rsidR="00670704">
                      <w:rPr>
                        <w:rFonts w:ascii="Arial" w:hAnsi="Arial" w:cs="Arial"/>
                        <w:sz w:val="16"/>
                        <w:szCs w:val="16"/>
                      </w:rPr>
                      <w:t>@att.com</w:t>
                    </w:r>
                  </w:p>
                  <w:p w:rsidR="00670704" w:rsidRDefault="00670704">
                    <w:pPr>
                      <w:spacing w:line="200" w:lineRule="exact"/>
                      <w:rPr>
                        <w:rFonts w:ascii="Arial" w:hAnsi="Arial" w:cs="Arial"/>
                        <w:sz w:val="16"/>
                        <w:szCs w:val="16"/>
                      </w:rPr>
                    </w:pPr>
                  </w:p>
                </w:txbxContent>
              </v:textbox>
            </v:shape>
          </w:pict>
        </mc:Fallback>
      </mc:AlternateContent>
    </w:r>
    <w:r w:rsidR="001F5412">
      <w:rPr>
        <w:noProof/>
        <w:color w:val="FF0000"/>
      </w:rPr>
      <mc:AlternateContent>
        <mc:Choice Requires="wps">
          <w:drawing>
            <wp:anchor distT="0" distB="0" distL="114300" distR="114300" simplePos="0" relativeHeight="251657728" behindDoc="0" locked="0" layoutInCell="1" allowOverlap="1" wp14:anchorId="524FF90D" wp14:editId="2DCFC0E1">
              <wp:simplePos x="0" y="0"/>
              <wp:positionH relativeFrom="column">
                <wp:posOffset>4343400</wp:posOffset>
              </wp:positionH>
              <wp:positionV relativeFrom="paragraph">
                <wp:posOffset>-45720</wp:posOffset>
              </wp:positionV>
              <wp:extent cx="171450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7C5" w:rsidRDefault="006D07C5">
                          <w:pPr>
                            <w:spacing w:line="200" w:lineRule="exact"/>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2pt;margin-top:-3.6pt;width:13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IArg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" filled="f" stroked="f">
              <v:textbox inset="0,0,0,0">
                <w:txbxContent>
                  <w:p w:rsidR="006D07C5" w:rsidRDefault="006D07C5">
                    <w:pPr>
                      <w:spacing w:line="200" w:lineRule="exact"/>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9CC"/>
    <w:multiLevelType w:val="hybridMultilevel"/>
    <w:tmpl w:val="F182C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2B"/>
    <w:rsid w:val="000D38EA"/>
    <w:rsid w:val="00135DAD"/>
    <w:rsid w:val="00140DF4"/>
    <w:rsid w:val="00160219"/>
    <w:rsid w:val="00185E59"/>
    <w:rsid w:val="001C387A"/>
    <w:rsid w:val="001F0AC5"/>
    <w:rsid w:val="001F5412"/>
    <w:rsid w:val="002119A7"/>
    <w:rsid w:val="00214279"/>
    <w:rsid w:val="002321E0"/>
    <w:rsid w:val="002D49C6"/>
    <w:rsid w:val="002D5BCC"/>
    <w:rsid w:val="003076CA"/>
    <w:rsid w:val="00361A46"/>
    <w:rsid w:val="003A2F85"/>
    <w:rsid w:val="003E5957"/>
    <w:rsid w:val="0041194B"/>
    <w:rsid w:val="0044392B"/>
    <w:rsid w:val="00446375"/>
    <w:rsid w:val="00465C64"/>
    <w:rsid w:val="004A3AFE"/>
    <w:rsid w:val="004D6397"/>
    <w:rsid w:val="00515EFF"/>
    <w:rsid w:val="00520D63"/>
    <w:rsid w:val="00536A5A"/>
    <w:rsid w:val="00537549"/>
    <w:rsid w:val="005421F1"/>
    <w:rsid w:val="00556F00"/>
    <w:rsid w:val="005C1C98"/>
    <w:rsid w:val="005C71C4"/>
    <w:rsid w:val="005E5026"/>
    <w:rsid w:val="005E5D99"/>
    <w:rsid w:val="005F1B68"/>
    <w:rsid w:val="00670704"/>
    <w:rsid w:val="006756A7"/>
    <w:rsid w:val="006D07C5"/>
    <w:rsid w:val="007048B1"/>
    <w:rsid w:val="00730911"/>
    <w:rsid w:val="007A7127"/>
    <w:rsid w:val="007C6658"/>
    <w:rsid w:val="007E75CC"/>
    <w:rsid w:val="00881AAC"/>
    <w:rsid w:val="008C1EF7"/>
    <w:rsid w:val="009654DA"/>
    <w:rsid w:val="00A044DC"/>
    <w:rsid w:val="00A37059"/>
    <w:rsid w:val="00A44981"/>
    <w:rsid w:val="00AD1FDB"/>
    <w:rsid w:val="00B120D7"/>
    <w:rsid w:val="00B24518"/>
    <w:rsid w:val="00B24CA8"/>
    <w:rsid w:val="00B41B03"/>
    <w:rsid w:val="00B47E65"/>
    <w:rsid w:val="00B674E4"/>
    <w:rsid w:val="00B75965"/>
    <w:rsid w:val="00BB30DB"/>
    <w:rsid w:val="00C42D0B"/>
    <w:rsid w:val="00C53F6A"/>
    <w:rsid w:val="00C651EC"/>
    <w:rsid w:val="00D0034C"/>
    <w:rsid w:val="00D44A72"/>
    <w:rsid w:val="00D561A2"/>
    <w:rsid w:val="00DB595B"/>
    <w:rsid w:val="00DF3449"/>
    <w:rsid w:val="00E149EA"/>
    <w:rsid w:val="00E23E11"/>
    <w:rsid w:val="00E908A5"/>
    <w:rsid w:val="00EC6ACC"/>
    <w:rsid w:val="00F471C0"/>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449"/>
    <w:rPr>
      <w:color w:val="0000FF"/>
      <w:u w:val="single"/>
    </w:rPr>
  </w:style>
  <w:style w:type="paragraph" w:styleId="BodyText">
    <w:name w:val="Body Text"/>
    <w:basedOn w:val="Normal"/>
    <w:rsid w:val="00DF3449"/>
  </w:style>
  <w:style w:type="paragraph" w:styleId="BalloonText">
    <w:name w:val="Balloon Text"/>
    <w:basedOn w:val="Normal"/>
    <w:semiHidden/>
    <w:rsid w:val="00DF3449"/>
    <w:rPr>
      <w:rFonts w:ascii="Tahoma" w:hAnsi="Tahoma" w:cs="Tahoma"/>
      <w:sz w:val="16"/>
      <w:szCs w:val="16"/>
    </w:rPr>
  </w:style>
  <w:style w:type="paragraph" w:styleId="Header">
    <w:name w:val="header"/>
    <w:basedOn w:val="Normal"/>
    <w:rsid w:val="00DF3449"/>
    <w:pPr>
      <w:tabs>
        <w:tab w:val="center" w:pos="4320"/>
        <w:tab w:val="right" w:pos="8640"/>
      </w:tabs>
    </w:pPr>
  </w:style>
  <w:style w:type="paragraph" w:styleId="Footer">
    <w:name w:val="footer"/>
    <w:basedOn w:val="Normal"/>
    <w:rsid w:val="00DF3449"/>
    <w:pPr>
      <w:tabs>
        <w:tab w:val="center" w:pos="4320"/>
        <w:tab w:val="right" w:pos="8640"/>
      </w:tabs>
    </w:pPr>
  </w:style>
  <w:style w:type="paragraph" w:styleId="FootnoteText">
    <w:name w:val="footnote text"/>
    <w:basedOn w:val="Normal"/>
    <w:link w:val="FootnoteTextChar"/>
    <w:uiPriority w:val="99"/>
    <w:unhideWhenUsed/>
    <w:rsid w:val="00537549"/>
    <w:rPr>
      <w:rFonts w:eastAsia="Calibri"/>
    </w:rPr>
  </w:style>
  <w:style w:type="character" w:customStyle="1" w:styleId="FootnoteTextChar">
    <w:name w:val="Footnote Text Char"/>
    <w:basedOn w:val="DefaultParagraphFont"/>
    <w:link w:val="FootnoteText"/>
    <w:uiPriority w:val="99"/>
    <w:rsid w:val="00537549"/>
    <w:rPr>
      <w:rFonts w:eastAsia="Calibri"/>
    </w:rPr>
  </w:style>
  <w:style w:type="character" w:styleId="FootnoteReference">
    <w:name w:val="footnote reference"/>
    <w:uiPriority w:val="99"/>
    <w:unhideWhenUsed/>
    <w:rsid w:val="005375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449"/>
    <w:rPr>
      <w:color w:val="0000FF"/>
      <w:u w:val="single"/>
    </w:rPr>
  </w:style>
  <w:style w:type="paragraph" w:styleId="BodyText">
    <w:name w:val="Body Text"/>
    <w:basedOn w:val="Normal"/>
    <w:rsid w:val="00DF3449"/>
  </w:style>
  <w:style w:type="paragraph" w:styleId="BalloonText">
    <w:name w:val="Balloon Text"/>
    <w:basedOn w:val="Normal"/>
    <w:semiHidden/>
    <w:rsid w:val="00DF3449"/>
    <w:rPr>
      <w:rFonts w:ascii="Tahoma" w:hAnsi="Tahoma" w:cs="Tahoma"/>
      <w:sz w:val="16"/>
      <w:szCs w:val="16"/>
    </w:rPr>
  </w:style>
  <w:style w:type="paragraph" w:styleId="Header">
    <w:name w:val="header"/>
    <w:basedOn w:val="Normal"/>
    <w:rsid w:val="00DF3449"/>
    <w:pPr>
      <w:tabs>
        <w:tab w:val="center" w:pos="4320"/>
        <w:tab w:val="right" w:pos="8640"/>
      </w:tabs>
    </w:pPr>
  </w:style>
  <w:style w:type="paragraph" w:styleId="Footer">
    <w:name w:val="footer"/>
    <w:basedOn w:val="Normal"/>
    <w:rsid w:val="00DF3449"/>
    <w:pPr>
      <w:tabs>
        <w:tab w:val="center" w:pos="4320"/>
        <w:tab w:val="right" w:pos="8640"/>
      </w:tabs>
    </w:pPr>
  </w:style>
  <w:style w:type="paragraph" w:styleId="FootnoteText">
    <w:name w:val="footnote text"/>
    <w:basedOn w:val="Normal"/>
    <w:link w:val="FootnoteTextChar"/>
    <w:uiPriority w:val="99"/>
    <w:unhideWhenUsed/>
    <w:rsid w:val="00537549"/>
    <w:rPr>
      <w:rFonts w:eastAsia="Calibri"/>
    </w:rPr>
  </w:style>
  <w:style w:type="character" w:customStyle="1" w:styleId="FootnoteTextChar">
    <w:name w:val="Footnote Text Char"/>
    <w:basedOn w:val="DefaultParagraphFont"/>
    <w:link w:val="FootnoteText"/>
    <w:uiPriority w:val="99"/>
    <w:rsid w:val="00537549"/>
    <w:rPr>
      <w:rFonts w:eastAsia="Calibri"/>
    </w:rPr>
  </w:style>
  <w:style w:type="character" w:styleId="FootnoteReference">
    <w:name w:val="footnote reference"/>
    <w:uiPriority w:val="99"/>
    <w:unhideWhenUsed/>
    <w:rsid w:val="00537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7865D-ABA4-4009-9656-8BB83BE4B5AB}"/>
</file>

<file path=customXml/itemProps2.xml><?xml version="1.0" encoding="utf-8"?>
<ds:datastoreItem xmlns:ds="http://schemas.openxmlformats.org/officeDocument/2006/customXml" ds:itemID="{946BBC54-EAA4-4E86-A110-09FB0EE4761B}"/>
</file>

<file path=customXml/itemProps3.xml><?xml version="1.0" encoding="utf-8"?>
<ds:datastoreItem xmlns:ds="http://schemas.openxmlformats.org/officeDocument/2006/customXml" ds:itemID="{271C892E-75F3-4BF1-8CDE-8E009B0C036E}"/>
</file>

<file path=customXml/itemProps4.xml><?xml version="1.0" encoding="utf-8"?>
<ds:datastoreItem xmlns:ds="http://schemas.openxmlformats.org/officeDocument/2006/customXml" ds:itemID="{2C6E2A79-66DE-45A8-B826-7385A50399C6}"/>
</file>

<file path=docProps/app.xml><?xml version="1.0" encoding="utf-8"?>
<Properties xmlns="http://schemas.openxmlformats.org/officeDocument/2006/extended-properties" xmlns:vt="http://schemas.openxmlformats.org/officeDocument/2006/docPropsVTypes">
  <Template>Normal.dotm</Template>
  <TotalTime>11</TotalTime>
  <Pages>2</Pages>
  <Words>500</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Sandra Hofstetter</vt:lpstr>
    </vt:vector>
  </TitlesOfParts>
  <Company>midwest</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Hofstetter</dc:title>
  <dc:creator>shofstetter</dc:creator>
  <cp:lastModifiedBy>David Collier</cp:lastModifiedBy>
  <cp:revision>5</cp:revision>
  <cp:lastPrinted>2011-07-28T19:51:00Z</cp:lastPrinted>
  <dcterms:created xsi:type="dcterms:W3CDTF">2015-06-30T03:02:00Z</dcterms:created>
  <dcterms:modified xsi:type="dcterms:W3CDTF">2015-06-30T18:38:00Z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