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705E"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1C46AB2F" w14:textId="1D6FA261" w:rsidR="0003084B" w:rsidRDefault="0003084B" w:rsidP="0003084B">
      <w:pPr>
        <w:pStyle w:val="Header"/>
        <w:widowControl w:val="0"/>
        <w:tabs>
          <w:tab w:val="clear" w:pos="4320"/>
          <w:tab w:val="clear" w:pos="8640"/>
        </w:tabs>
        <w:spacing w:line="240" w:lineRule="exact"/>
        <w:rPr>
          <w:rFonts w:ascii="Times New Roman" w:hAnsi="Times New Roman"/>
        </w:rPr>
      </w:pPr>
    </w:p>
    <w:p w14:paraId="2DF4A521"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5E3DCA85"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63D2745F"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5F25F394"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787D3837"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2953B8FD" w14:textId="77777777" w:rsidR="00DD5034" w:rsidRPr="009A1907" w:rsidRDefault="00DD5034" w:rsidP="0003084B">
      <w:pPr>
        <w:pStyle w:val="Header"/>
        <w:widowControl w:val="0"/>
        <w:tabs>
          <w:tab w:val="clear" w:pos="4320"/>
          <w:tab w:val="clear" w:pos="8640"/>
        </w:tabs>
        <w:spacing w:line="240" w:lineRule="exact"/>
        <w:rPr>
          <w:rFonts w:ascii="Times New Roman" w:hAnsi="Times New Roman"/>
        </w:rPr>
      </w:pPr>
      <w:r w:rsidRPr="009A1907">
        <w:rPr>
          <w:rFonts w:ascii="Times New Roman" w:hAnsi="Times New Roman"/>
        </w:rPr>
        <w:t>BEFORE THE WASHINGTON UTILITIES AND TRANSPORTATION COMMISSION</w:t>
      </w:r>
    </w:p>
    <w:p w14:paraId="0BEC8AAB" w14:textId="77777777" w:rsidR="00DD5034" w:rsidRPr="009A1907" w:rsidRDefault="00DD5034" w:rsidP="0003084B">
      <w:pPr>
        <w:pStyle w:val="Header"/>
        <w:widowControl w:val="0"/>
        <w:spacing w:line="240" w:lineRule="exact"/>
        <w:rPr>
          <w:rFonts w:ascii="Times New Roman" w:hAnsi="Times New Roman"/>
        </w:rPr>
      </w:pPr>
    </w:p>
    <w:p w14:paraId="0C9083E9" w14:textId="77777777" w:rsidR="00DD5034" w:rsidRPr="009A1907" w:rsidRDefault="00DD5034" w:rsidP="0003084B">
      <w:pPr>
        <w:pStyle w:val="Header"/>
        <w:widowControl w:val="0"/>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9A1907" w14:paraId="3AAF453E"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1F21478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WASHINGTON UTILITIES AND TRANSPORTATION COMMISSION,</w:t>
            </w:r>
          </w:p>
          <w:p w14:paraId="5AC2D81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7FE9E650"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Complainant,</w:t>
            </w:r>
          </w:p>
          <w:p w14:paraId="4B358F16"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60BF1AED"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v.</w:t>
            </w:r>
          </w:p>
          <w:p w14:paraId="1E78F16F"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20D2E20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WASTE CONTROL, INC.,</w:t>
            </w:r>
          </w:p>
          <w:p w14:paraId="5536E570"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360CD5ED"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Respondent.</w:t>
            </w:r>
          </w:p>
          <w:p w14:paraId="2577AF94"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B97895E" w14:textId="77777777" w:rsidR="00DD5034" w:rsidRPr="009A1907" w:rsidRDefault="00DD5034" w:rsidP="0003084B">
            <w:pPr>
              <w:pStyle w:val="Header"/>
              <w:widowControl w:val="0"/>
              <w:spacing w:line="240" w:lineRule="exact"/>
              <w:ind w:left="416"/>
              <w:rPr>
                <w:rFonts w:ascii="Times New Roman" w:hAnsi="Times New Roman"/>
              </w:rPr>
            </w:pPr>
            <w:r w:rsidRPr="009A1907">
              <w:rPr>
                <w:rFonts w:ascii="Times New Roman" w:hAnsi="Times New Roman"/>
              </w:rPr>
              <w:t>DOCKET TG-140560</w:t>
            </w:r>
          </w:p>
          <w:p w14:paraId="7F7DDBB9" w14:textId="77777777" w:rsidR="00DD5034" w:rsidRPr="009A1907" w:rsidRDefault="00DD5034" w:rsidP="0003084B">
            <w:pPr>
              <w:pStyle w:val="Header"/>
              <w:widowControl w:val="0"/>
              <w:spacing w:line="240" w:lineRule="exact"/>
              <w:ind w:left="416"/>
              <w:rPr>
                <w:rFonts w:ascii="Times New Roman" w:hAnsi="Times New Roman"/>
              </w:rPr>
            </w:pPr>
          </w:p>
          <w:p w14:paraId="6C1D4A10" w14:textId="3D423A7E" w:rsidR="00DD5034" w:rsidRPr="009A1907" w:rsidRDefault="0098282F" w:rsidP="0003084B">
            <w:pPr>
              <w:pStyle w:val="Header"/>
              <w:widowControl w:val="0"/>
              <w:spacing w:line="240" w:lineRule="exact"/>
              <w:ind w:left="416"/>
              <w:rPr>
                <w:rFonts w:ascii="Times New Roman" w:hAnsi="Times New Roman"/>
              </w:rPr>
            </w:pPr>
            <w:r>
              <w:rPr>
                <w:rFonts w:ascii="Times New Roman" w:hAnsi="Times New Roman"/>
              </w:rPr>
              <w:t>STAFF’S RESPONSE TO WASTE CONTROL</w:t>
            </w:r>
            <w:r w:rsidR="003961A6">
              <w:rPr>
                <w:rFonts w:ascii="Times New Roman" w:hAnsi="Times New Roman"/>
              </w:rPr>
              <w:t>,</w:t>
            </w:r>
            <w:r>
              <w:rPr>
                <w:rFonts w:ascii="Times New Roman" w:hAnsi="Times New Roman"/>
              </w:rPr>
              <w:t xml:space="preserve"> INC.’S MOTION FOR A</w:t>
            </w:r>
            <w:r w:rsidR="00E7138A">
              <w:rPr>
                <w:rFonts w:ascii="Times New Roman" w:hAnsi="Times New Roman"/>
              </w:rPr>
              <w:t>PPOINTMENT OF A</w:t>
            </w:r>
            <w:r>
              <w:rPr>
                <w:rFonts w:ascii="Times New Roman" w:hAnsi="Times New Roman"/>
              </w:rPr>
              <w:t xml:space="preserve"> </w:t>
            </w:r>
            <w:r w:rsidR="00E7138A">
              <w:rPr>
                <w:rFonts w:ascii="Times New Roman" w:hAnsi="Times New Roman"/>
              </w:rPr>
              <w:t>DISCOVERY MASTER AND/</w:t>
            </w:r>
            <w:r>
              <w:rPr>
                <w:rFonts w:ascii="Times New Roman" w:hAnsi="Times New Roman"/>
              </w:rPr>
              <w:t>OR</w:t>
            </w:r>
            <w:r w:rsidR="00E7138A">
              <w:rPr>
                <w:rFonts w:ascii="Times New Roman" w:hAnsi="Times New Roman"/>
              </w:rPr>
              <w:t xml:space="preserve">, ALTERNATIVELY, </w:t>
            </w:r>
            <w:r>
              <w:rPr>
                <w:rFonts w:ascii="Times New Roman" w:hAnsi="Times New Roman"/>
              </w:rPr>
              <w:t xml:space="preserve"> SCHEDULING A DISCOVERY CONFERENCE</w:t>
            </w:r>
          </w:p>
        </w:tc>
      </w:tr>
    </w:tbl>
    <w:p w14:paraId="7100380F" w14:textId="77777777" w:rsidR="00DD5034" w:rsidRPr="009A1907" w:rsidRDefault="00DD5034" w:rsidP="0003084B">
      <w:pPr>
        <w:pStyle w:val="Header"/>
        <w:widowControl w:val="0"/>
        <w:rPr>
          <w:rFonts w:ascii="Times New Roman" w:hAnsi="Times New Roman"/>
        </w:rPr>
      </w:pPr>
    </w:p>
    <w:p w14:paraId="30737DCD" w14:textId="3EEC333D" w:rsidR="00563EE5" w:rsidRPr="009A1907" w:rsidRDefault="000A4339" w:rsidP="0003084B">
      <w:pPr>
        <w:widowControl w:val="0"/>
        <w:spacing w:line="480" w:lineRule="auto"/>
        <w:jc w:val="center"/>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0F58DE" w:rsidRPr="009A1907">
        <w:rPr>
          <w:rFonts w:ascii="Times New Roman" w:hAnsi="Times New Roman" w:cs="Times New Roman"/>
          <w:b/>
        </w:rPr>
        <w:t>INTRODUCTION</w:t>
      </w:r>
    </w:p>
    <w:p w14:paraId="11D1D0CA" w14:textId="4FC065CF" w:rsidR="009A1907" w:rsidRPr="009A1907" w:rsidRDefault="009A1907" w:rsidP="0003084B">
      <w:pPr>
        <w:widowControl w:val="0"/>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Washington Utilities and Transportation Commission Staff (C</w:t>
      </w:r>
      <w:r w:rsidR="0098282F">
        <w:rPr>
          <w:rFonts w:ascii="Times New Roman" w:hAnsi="Times New Roman" w:cs="Times New Roman"/>
        </w:rPr>
        <w:t xml:space="preserve">ommission Staff or </w:t>
      </w:r>
      <w:r w:rsidR="00761125">
        <w:rPr>
          <w:rFonts w:ascii="Times New Roman" w:hAnsi="Times New Roman" w:cs="Times New Roman"/>
        </w:rPr>
        <w:t>Staff) files its response to</w:t>
      </w:r>
      <w:r w:rsidR="0098282F">
        <w:rPr>
          <w:rFonts w:ascii="Times New Roman" w:hAnsi="Times New Roman" w:cs="Times New Roman"/>
        </w:rPr>
        <w:t xml:space="preserve"> </w:t>
      </w:r>
      <w:r w:rsidR="001C5730">
        <w:rPr>
          <w:rFonts w:ascii="Times New Roman" w:hAnsi="Times New Roman" w:cs="Times New Roman"/>
        </w:rPr>
        <w:t>Waste Control</w:t>
      </w:r>
      <w:r w:rsidR="003961A6">
        <w:rPr>
          <w:rFonts w:ascii="Times New Roman" w:hAnsi="Times New Roman" w:cs="Times New Roman"/>
        </w:rPr>
        <w:t>,</w:t>
      </w:r>
      <w:r w:rsidR="001C5730">
        <w:rPr>
          <w:rFonts w:ascii="Times New Roman" w:hAnsi="Times New Roman" w:cs="Times New Roman"/>
        </w:rPr>
        <w:t xml:space="preserve"> Inc.’s (Waste Control or Company)</w:t>
      </w:r>
      <w:r w:rsidR="0098282F">
        <w:rPr>
          <w:rFonts w:ascii="Times New Roman" w:hAnsi="Times New Roman" w:cs="Times New Roman"/>
        </w:rPr>
        <w:t xml:space="preserve"> recent motion for appointment of a discovery master and/or scheduling of a discovery conference.  In light of the complexity of this case and the motion to compel currently before the Commission, Staff cautions that the appointment of a third party facilitator to resolve discovery disputes and/or a discovery conference may be an exercise in futility at this stage of the proceeding. </w:t>
      </w:r>
      <w:r w:rsidR="00761125">
        <w:rPr>
          <w:rFonts w:ascii="Times New Roman" w:hAnsi="Times New Roman" w:cs="Times New Roman"/>
        </w:rPr>
        <w:t xml:space="preserve"> </w:t>
      </w:r>
      <w:r w:rsidR="003961A6">
        <w:rPr>
          <w:rFonts w:ascii="Times New Roman" w:hAnsi="Times New Roman" w:cs="Times New Roman"/>
        </w:rPr>
        <w:t>Staff further posits that the appointment of a third party to resolve discovery disputes and/or scheduling a discovery conference is</w:t>
      </w:r>
      <w:r w:rsidR="00AE6806">
        <w:rPr>
          <w:rFonts w:ascii="Times New Roman" w:hAnsi="Times New Roman" w:cs="Times New Roman"/>
        </w:rPr>
        <w:t>:</w:t>
      </w:r>
      <w:r w:rsidR="003961A6">
        <w:rPr>
          <w:rFonts w:ascii="Times New Roman" w:hAnsi="Times New Roman" w:cs="Times New Roman"/>
        </w:rPr>
        <w:t xml:space="preserve"> </w:t>
      </w:r>
      <w:r w:rsidR="001400F6">
        <w:rPr>
          <w:rFonts w:ascii="Times New Roman" w:hAnsi="Times New Roman" w:cs="Times New Roman"/>
        </w:rPr>
        <w:t xml:space="preserve"> </w:t>
      </w:r>
      <w:r w:rsidR="003961A6">
        <w:rPr>
          <w:rFonts w:ascii="Times New Roman" w:hAnsi="Times New Roman" w:cs="Times New Roman"/>
        </w:rPr>
        <w:t xml:space="preserve">1) not a substitute for </w:t>
      </w:r>
      <w:r w:rsidR="00761125">
        <w:rPr>
          <w:rFonts w:ascii="Times New Roman" w:hAnsi="Times New Roman" w:cs="Times New Roman"/>
        </w:rPr>
        <w:t>Staff’s motion requesting</w:t>
      </w:r>
      <w:r w:rsidR="003961A6">
        <w:rPr>
          <w:rFonts w:ascii="Times New Roman" w:hAnsi="Times New Roman" w:cs="Times New Roman"/>
        </w:rPr>
        <w:t xml:space="preserve"> </w:t>
      </w:r>
      <w:r w:rsidR="00AE6806">
        <w:rPr>
          <w:rFonts w:ascii="Times New Roman" w:hAnsi="Times New Roman" w:cs="Times New Roman"/>
        </w:rPr>
        <w:t xml:space="preserve">that the </w:t>
      </w:r>
      <w:r w:rsidR="003961A6">
        <w:rPr>
          <w:rFonts w:ascii="Times New Roman" w:hAnsi="Times New Roman" w:cs="Times New Roman"/>
        </w:rPr>
        <w:t>Comm</w:t>
      </w:r>
      <w:r w:rsidR="00AE6806">
        <w:rPr>
          <w:rFonts w:ascii="Times New Roman" w:hAnsi="Times New Roman" w:cs="Times New Roman"/>
        </w:rPr>
        <w:t>ission</w:t>
      </w:r>
      <w:r w:rsidR="003961A6">
        <w:rPr>
          <w:rFonts w:ascii="Times New Roman" w:hAnsi="Times New Roman" w:cs="Times New Roman"/>
        </w:rPr>
        <w:t xml:space="preserve"> issue a ruling clarifying the scope of WAC 480-07-520(4) and compel discovery</w:t>
      </w:r>
      <w:r w:rsidR="001400F6">
        <w:rPr>
          <w:rFonts w:ascii="Times New Roman" w:hAnsi="Times New Roman" w:cs="Times New Roman"/>
        </w:rPr>
        <w:t>;</w:t>
      </w:r>
      <w:r w:rsidR="003961A6">
        <w:rPr>
          <w:rFonts w:ascii="Times New Roman" w:hAnsi="Times New Roman" w:cs="Times New Roman"/>
        </w:rPr>
        <w:t xml:space="preserve"> and 2) </w:t>
      </w:r>
      <w:r w:rsidR="00761125">
        <w:rPr>
          <w:rFonts w:ascii="Times New Roman" w:hAnsi="Times New Roman" w:cs="Times New Roman"/>
        </w:rPr>
        <w:t xml:space="preserve">further evidence </w:t>
      </w:r>
      <w:r w:rsidR="003961A6">
        <w:rPr>
          <w:rFonts w:ascii="Times New Roman" w:hAnsi="Times New Roman" w:cs="Times New Roman"/>
        </w:rPr>
        <w:t xml:space="preserve">that </w:t>
      </w:r>
      <w:r w:rsidR="00761125">
        <w:rPr>
          <w:rFonts w:ascii="Times New Roman" w:hAnsi="Times New Roman" w:cs="Times New Roman"/>
        </w:rPr>
        <w:t>several discovery disputes remain outstanding</w:t>
      </w:r>
      <w:r w:rsidR="00AE6806">
        <w:rPr>
          <w:rFonts w:ascii="Times New Roman" w:hAnsi="Times New Roman" w:cs="Times New Roman"/>
        </w:rPr>
        <w:t>,</w:t>
      </w:r>
      <w:r w:rsidR="00761125">
        <w:rPr>
          <w:rFonts w:ascii="Times New Roman" w:hAnsi="Times New Roman" w:cs="Times New Roman"/>
        </w:rPr>
        <w:t xml:space="preserve"> and </w:t>
      </w:r>
      <w:r w:rsidR="003961A6">
        <w:rPr>
          <w:rFonts w:ascii="Times New Roman" w:hAnsi="Times New Roman" w:cs="Times New Roman"/>
        </w:rPr>
        <w:t xml:space="preserve">the Commission should grant Staff’s motion for an extension of time. </w:t>
      </w:r>
    </w:p>
    <w:p w14:paraId="39439F6A" w14:textId="703ED762" w:rsidR="009A1907" w:rsidRPr="009A1907" w:rsidRDefault="000A4339" w:rsidP="0003084B">
      <w:pPr>
        <w:pStyle w:val="HeadingRomanAllCap"/>
        <w:numPr>
          <w:ilvl w:val="0"/>
          <w:numId w:val="0"/>
        </w:numPr>
      </w:pPr>
      <w:r>
        <w:t>II.</w:t>
      </w:r>
      <w:r>
        <w:tab/>
      </w:r>
      <w:r w:rsidR="00581742">
        <w:t>DISCOVERY MOTIONS</w:t>
      </w:r>
    </w:p>
    <w:p w14:paraId="72476AAA" w14:textId="77777777" w:rsidR="009A1907" w:rsidRPr="009A1907" w:rsidRDefault="009A1907" w:rsidP="0003084B">
      <w:pPr>
        <w:keepNext/>
        <w:rPr>
          <w:rFonts w:ascii="Times New Roman" w:hAnsi="Times New Roman" w:cs="Times New Roman"/>
        </w:rPr>
      </w:pPr>
    </w:p>
    <w:p w14:paraId="700DD89A" w14:textId="77777777" w:rsidR="00581742" w:rsidRDefault="009A1907" w:rsidP="0003084B">
      <w:pPr>
        <w:keepNext/>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r>
      <w:r w:rsidR="00581742">
        <w:rPr>
          <w:rFonts w:ascii="Times New Roman" w:hAnsi="Times New Roman" w:cs="Times New Roman"/>
        </w:rPr>
        <w:t xml:space="preserve">A motion under WAC 480-07-415 and 480-07-425 is a discovery motion.  Under WAC 480-07-380(1)(c), discovery motions include requests to promote or limit the exchange of information among the parties.  </w:t>
      </w:r>
    </w:p>
    <w:p w14:paraId="22D83EE1" w14:textId="77777777" w:rsidR="00F20597" w:rsidRDefault="00581742" w:rsidP="0003084B">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lastRenderedPageBreak/>
        <w:tab/>
        <w:t xml:space="preserve">Under WAC 480-07-415, a discovery conference is meant to allow parties to talk directly and informally and generally enhance the parties’ understanding of the positions and perspectives of other parties.  The Commission may designate a person to facilitate such a discovery conference. </w:t>
      </w:r>
    </w:p>
    <w:p w14:paraId="4436C077" w14:textId="6B72B5C3" w:rsidR="00F20597" w:rsidRDefault="00F20597" w:rsidP="0003084B">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ab/>
        <w:t>WAC 480-07-425 provides for resolution of discovery disputes.  The rule allows for the Commission to designate a person to assist the parties in resolving a discovery dispute.</w:t>
      </w:r>
    </w:p>
    <w:p w14:paraId="357914EE" w14:textId="015CDE67" w:rsidR="009A1907" w:rsidRDefault="000A4339" w:rsidP="0003084B">
      <w:pPr>
        <w:pStyle w:val="HeadingRomanAllCap"/>
        <w:keepNext w:val="0"/>
        <w:widowControl w:val="0"/>
        <w:numPr>
          <w:ilvl w:val="0"/>
          <w:numId w:val="0"/>
        </w:numPr>
      </w:pPr>
      <w:r>
        <w:t>III.</w:t>
      </w:r>
      <w:r>
        <w:tab/>
      </w:r>
      <w:r w:rsidR="000C0B12">
        <w:t>ARGUMENT</w:t>
      </w:r>
    </w:p>
    <w:p w14:paraId="01FAABC3" w14:textId="77777777" w:rsidR="00953648" w:rsidRPr="009A1907" w:rsidRDefault="00953648" w:rsidP="0003084B">
      <w:pPr>
        <w:pStyle w:val="HeadingRomanAllCap"/>
        <w:keepNext w:val="0"/>
        <w:widowControl w:val="0"/>
        <w:numPr>
          <w:ilvl w:val="0"/>
          <w:numId w:val="0"/>
        </w:numPr>
      </w:pPr>
    </w:p>
    <w:p w14:paraId="0124C861" w14:textId="2D0388E0" w:rsidR="009A1907" w:rsidRPr="00953648" w:rsidRDefault="000C0B12" w:rsidP="0003084B">
      <w:pPr>
        <w:widowControl w:val="0"/>
        <w:ind w:left="720" w:hanging="720"/>
        <w:rPr>
          <w:rFonts w:ascii="Times New Roman" w:hAnsi="Times New Roman" w:cs="Times New Roman"/>
          <w:b/>
        </w:rPr>
      </w:pPr>
      <w:r w:rsidRPr="00953648">
        <w:rPr>
          <w:rFonts w:ascii="Times New Roman" w:hAnsi="Times New Roman" w:cs="Times New Roman"/>
          <w:b/>
        </w:rPr>
        <w:t>A.</w:t>
      </w:r>
      <w:r w:rsidR="001400F6">
        <w:rPr>
          <w:rFonts w:ascii="Times New Roman" w:hAnsi="Times New Roman" w:cs="Times New Roman"/>
          <w:b/>
        </w:rPr>
        <w:tab/>
      </w:r>
      <w:r w:rsidRPr="00953648">
        <w:rPr>
          <w:rFonts w:ascii="Times New Roman" w:hAnsi="Times New Roman" w:cs="Times New Roman"/>
          <w:b/>
        </w:rPr>
        <w:t xml:space="preserve">Appointment of </w:t>
      </w:r>
      <w:r w:rsidR="0003084B">
        <w:rPr>
          <w:rFonts w:ascii="Times New Roman" w:hAnsi="Times New Roman" w:cs="Times New Roman"/>
          <w:b/>
        </w:rPr>
        <w:t>A</w:t>
      </w:r>
      <w:r w:rsidRPr="00953648">
        <w:rPr>
          <w:rFonts w:ascii="Times New Roman" w:hAnsi="Times New Roman" w:cs="Times New Roman"/>
          <w:b/>
        </w:rPr>
        <w:t xml:space="preserve">nother </w:t>
      </w:r>
      <w:r w:rsidR="0003084B">
        <w:rPr>
          <w:rFonts w:ascii="Times New Roman" w:hAnsi="Times New Roman" w:cs="Times New Roman"/>
          <w:b/>
        </w:rPr>
        <w:t>P</w:t>
      </w:r>
      <w:r w:rsidRPr="00953648">
        <w:rPr>
          <w:rFonts w:ascii="Times New Roman" w:hAnsi="Times New Roman" w:cs="Times New Roman"/>
          <w:b/>
        </w:rPr>
        <w:t xml:space="preserve">arty to </w:t>
      </w:r>
      <w:r w:rsidR="0003084B">
        <w:rPr>
          <w:rFonts w:ascii="Times New Roman" w:hAnsi="Times New Roman" w:cs="Times New Roman"/>
          <w:b/>
        </w:rPr>
        <w:t>A</w:t>
      </w:r>
      <w:r w:rsidRPr="00953648">
        <w:rPr>
          <w:rFonts w:ascii="Times New Roman" w:hAnsi="Times New Roman" w:cs="Times New Roman"/>
          <w:b/>
        </w:rPr>
        <w:t xml:space="preserve">ssist in </w:t>
      </w:r>
      <w:r w:rsidR="0003084B">
        <w:rPr>
          <w:rFonts w:ascii="Times New Roman" w:hAnsi="Times New Roman" w:cs="Times New Roman"/>
          <w:b/>
        </w:rPr>
        <w:t>R</w:t>
      </w:r>
      <w:r w:rsidRPr="00953648">
        <w:rPr>
          <w:rFonts w:ascii="Times New Roman" w:hAnsi="Times New Roman" w:cs="Times New Roman"/>
          <w:b/>
        </w:rPr>
        <w:t xml:space="preserve">esolving </w:t>
      </w:r>
      <w:r w:rsidR="0003084B">
        <w:rPr>
          <w:rFonts w:ascii="Times New Roman" w:hAnsi="Times New Roman" w:cs="Times New Roman"/>
          <w:b/>
        </w:rPr>
        <w:t>D</w:t>
      </w:r>
      <w:r w:rsidRPr="00953648">
        <w:rPr>
          <w:rFonts w:ascii="Times New Roman" w:hAnsi="Times New Roman" w:cs="Times New Roman"/>
          <w:b/>
        </w:rPr>
        <w:t xml:space="preserve">isputes may be </w:t>
      </w:r>
      <w:r w:rsidR="0003084B">
        <w:rPr>
          <w:rFonts w:ascii="Times New Roman" w:hAnsi="Times New Roman" w:cs="Times New Roman"/>
          <w:b/>
        </w:rPr>
        <w:t>P</w:t>
      </w:r>
      <w:r w:rsidRPr="00953648">
        <w:rPr>
          <w:rFonts w:ascii="Times New Roman" w:hAnsi="Times New Roman" w:cs="Times New Roman"/>
          <w:b/>
        </w:rPr>
        <w:t xml:space="preserve">ractically </w:t>
      </w:r>
      <w:r w:rsidR="0003084B">
        <w:rPr>
          <w:rFonts w:ascii="Times New Roman" w:hAnsi="Times New Roman" w:cs="Times New Roman"/>
          <w:b/>
        </w:rPr>
        <w:t>D</w:t>
      </w:r>
      <w:r w:rsidRPr="00953648">
        <w:rPr>
          <w:rFonts w:ascii="Times New Roman" w:hAnsi="Times New Roman" w:cs="Times New Roman"/>
          <w:b/>
        </w:rPr>
        <w:t xml:space="preserve">ifficult and </w:t>
      </w:r>
      <w:r w:rsidR="0003084B">
        <w:rPr>
          <w:rFonts w:ascii="Times New Roman" w:hAnsi="Times New Roman" w:cs="Times New Roman"/>
          <w:b/>
        </w:rPr>
        <w:t>C</w:t>
      </w:r>
      <w:r w:rsidRPr="00953648">
        <w:rPr>
          <w:rFonts w:ascii="Times New Roman" w:hAnsi="Times New Roman" w:cs="Times New Roman"/>
          <w:b/>
        </w:rPr>
        <w:t xml:space="preserve">ause </w:t>
      </w:r>
      <w:r w:rsidR="0003084B">
        <w:rPr>
          <w:rFonts w:ascii="Times New Roman" w:hAnsi="Times New Roman" w:cs="Times New Roman"/>
          <w:b/>
        </w:rPr>
        <w:t>A</w:t>
      </w:r>
      <w:r w:rsidRPr="00953648">
        <w:rPr>
          <w:rFonts w:ascii="Times New Roman" w:hAnsi="Times New Roman" w:cs="Times New Roman"/>
          <w:b/>
        </w:rPr>
        <w:t xml:space="preserve">dditional </w:t>
      </w:r>
      <w:r w:rsidR="0003084B">
        <w:rPr>
          <w:rFonts w:ascii="Times New Roman" w:hAnsi="Times New Roman" w:cs="Times New Roman"/>
          <w:b/>
        </w:rPr>
        <w:t>D</w:t>
      </w:r>
      <w:r w:rsidRPr="00953648">
        <w:rPr>
          <w:rFonts w:ascii="Times New Roman" w:hAnsi="Times New Roman" w:cs="Times New Roman"/>
          <w:b/>
        </w:rPr>
        <w:t>elay</w:t>
      </w:r>
    </w:p>
    <w:p w14:paraId="6288A8F9" w14:textId="77777777" w:rsidR="000C0B12" w:rsidRPr="009A1907" w:rsidRDefault="000C0B12" w:rsidP="0003084B">
      <w:pPr>
        <w:widowControl w:val="0"/>
        <w:rPr>
          <w:rFonts w:ascii="Times New Roman" w:hAnsi="Times New Roman" w:cs="Times New Roman"/>
        </w:rPr>
      </w:pPr>
    </w:p>
    <w:p w14:paraId="15707C08" w14:textId="77777777" w:rsidR="0003084B" w:rsidRDefault="009A1907" w:rsidP="0003084B">
      <w:pPr>
        <w:widowControl w:val="0"/>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r>
      <w:r w:rsidR="001C5730">
        <w:rPr>
          <w:rFonts w:ascii="Times New Roman" w:hAnsi="Times New Roman" w:cs="Times New Roman"/>
        </w:rPr>
        <w:t>Waste Control’s filing is complex, voluminous, and the relevant record extends back to the Company’s previous general rate filing.</w:t>
      </w:r>
      <w:r w:rsidR="001C5730">
        <w:rPr>
          <w:rStyle w:val="FootnoteReference"/>
          <w:rFonts w:ascii="Times New Roman" w:hAnsi="Times New Roman" w:cs="Times New Roman"/>
        </w:rPr>
        <w:footnoteReference w:id="2"/>
      </w:r>
      <w:r w:rsidR="001C5730">
        <w:rPr>
          <w:rFonts w:ascii="Times New Roman" w:hAnsi="Times New Roman" w:cs="Times New Roman"/>
        </w:rPr>
        <w:t xml:space="preserve">  As the Company acknowledges in its motion to appoint a discovery master, the present case includes, “thousands of pages of responses, supporting data and documents supplied so far by the Company in discovery in Docket</w:t>
      </w:r>
      <w:r w:rsidR="001400F6">
        <w:rPr>
          <w:rFonts w:ascii="Times New Roman" w:hAnsi="Times New Roman" w:cs="Times New Roman"/>
        </w:rPr>
        <w:t>s</w:t>
      </w:r>
      <w:r w:rsidR="001C5730">
        <w:rPr>
          <w:rFonts w:ascii="Times New Roman" w:hAnsi="Times New Roman" w:cs="Times New Roman"/>
        </w:rPr>
        <w:t xml:space="preserve"> TG-131794 and TG-140560.”</w:t>
      </w:r>
      <w:r w:rsidR="001C5730">
        <w:rPr>
          <w:rStyle w:val="FootnoteReference"/>
          <w:rFonts w:ascii="Times New Roman" w:hAnsi="Times New Roman" w:cs="Times New Roman"/>
        </w:rPr>
        <w:footnoteReference w:id="3"/>
      </w:r>
      <w:r w:rsidR="00953648">
        <w:rPr>
          <w:rFonts w:ascii="Times New Roman" w:hAnsi="Times New Roman" w:cs="Times New Roman"/>
        </w:rPr>
        <w:t xml:space="preserve">  It would</w:t>
      </w:r>
      <w:r w:rsidR="00533618">
        <w:rPr>
          <w:rFonts w:ascii="Times New Roman" w:hAnsi="Times New Roman" w:cs="Times New Roman"/>
        </w:rPr>
        <w:t xml:space="preserve"> be an extremely difficult</w:t>
      </w:r>
      <w:r w:rsidR="00953648">
        <w:rPr>
          <w:rFonts w:ascii="Times New Roman" w:hAnsi="Times New Roman" w:cs="Times New Roman"/>
        </w:rPr>
        <w:t xml:space="preserve"> and time</w:t>
      </w:r>
      <w:r w:rsidR="00E7138A">
        <w:rPr>
          <w:rFonts w:ascii="Times New Roman" w:hAnsi="Times New Roman" w:cs="Times New Roman"/>
        </w:rPr>
        <w:t>-</w:t>
      </w:r>
      <w:r w:rsidR="00953648">
        <w:rPr>
          <w:rFonts w:ascii="Times New Roman" w:hAnsi="Times New Roman" w:cs="Times New Roman"/>
        </w:rPr>
        <w:t>consuming</w:t>
      </w:r>
      <w:r w:rsidR="00533618">
        <w:rPr>
          <w:rFonts w:ascii="Times New Roman" w:hAnsi="Times New Roman" w:cs="Times New Roman"/>
        </w:rPr>
        <w:t xml:space="preserve"> task for any appointed facilitator to review the extensive amount of relevant information included in the above-referenced dockets.  Therefore, the appointment of a discovery master at this point in the adjudication may not serve to materially expedite this proceeding. </w:t>
      </w:r>
    </w:p>
    <w:p w14:paraId="234EA6D8" w14:textId="17530963" w:rsidR="00533618" w:rsidRDefault="00533618" w:rsidP="0003084B">
      <w:pPr>
        <w:keepNext/>
        <w:spacing w:line="480" w:lineRule="auto"/>
        <w:rPr>
          <w:rFonts w:ascii="Times New Roman" w:hAnsi="Times New Roman" w:cs="Times New Roman"/>
        </w:rPr>
      </w:pPr>
      <w:r w:rsidRPr="00953648">
        <w:rPr>
          <w:rFonts w:ascii="Times New Roman" w:hAnsi="Times New Roman" w:cs="Times New Roman"/>
          <w:b/>
        </w:rPr>
        <w:t>B.</w:t>
      </w:r>
      <w:r w:rsidR="001400F6">
        <w:rPr>
          <w:rFonts w:ascii="Times New Roman" w:hAnsi="Times New Roman" w:cs="Times New Roman"/>
          <w:b/>
        </w:rPr>
        <w:tab/>
      </w:r>
      <w:r w:rsidR="00A32519">
        <w:rPr>
          <w:rFonts w:ascii="Times New Roman" w:hAnsi="Times New Roman" w:cs="Times New Roman"/>
          <w:b/>
        </w:rPr>
        <w:t xml:space="preserve">A </w:t>
      </w:r>
      <w:r w:rsidRPr="00953648">
        <w:rPr>
          <w:rFonts w:ascii="Times New Roman" w:hAnsi="Times New Roman" w:cs="Times New Roman"/>
          <w:b/>
        </w:rPr>
        <w:t xml:space="preserve">Discovery Conference is a </w:t>
      </w:r>
      <w:r w:rsidR="0003084B">
        <w:rPr>
          <w:rFonts w:ascii="Times New Roman" w:hAnsi="Times New Roman" w:cs="Times New Roman"/>
          <w:b/>
        </w:rPr>
        <w:t>F</w:t>
      </w:r>
      <w:r w:rsidRPr="00953648">
        <w:rPr>
          <w:rFonts w:ascii="Times New Roman" w:hAnsi="Times New Roman" w:cs="Times New Roman"/>
          <w:b/>
        </w:rPr>
        <w:t xml:space="preserve">utile </w:t>
      </w:r>
      <w:r w:rsidR="0003084B">
        <w:rPr>
          <w:rFonts w:ascii="Times New Roman" w:hAnsi="Times New Roman" w:cs="Times New Roman"/>
          <w:b/>
        </w:rPr>
        <w:t>E</w:t>
      </w:r>
      <w:r w:rsidRPr="00953648">
        <w:rPr>
          <w:rFonts w:ascii="Times New Roman" w:hAnsi="Times New Roman" w:cs="Times New Roman"/>
          <w:b/>
        </w:rPr>
        <w:t>ndeavor</w:t>
      </w:r>
    </w:p>
    <w:p w14:paraId="0E429BB7" w14:textId="2AE06CE7" w:rsidR="00E2078C" w:rsidRDefault="00533618" w:rsidP="0003084B">
      <w:pPr>
        <w:keepNext/>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At this point in the proceeding, a discovery conference would likely be ineffective in resolving the parties’ discovery disputes.  </w:t>
      </w:r>
      <w:r w:rsidR="00E2078C">
        <w:rPr>
          <w:rFonts w:ascii="Times New Roman" w:hAnsi="Times New Roman" w:cs="Times New Roman"/>
        </w:rPr>
        <w:t>Since the Company’s initial filing in Docket TG-131794,</w:t>
      </w:r>
      <w:r>
        <w:rPr>
          <w:rFonts w:ascii="Times New Roman" w:hAnsi="Times New Roman" w:cs="Times New Roman"/>
        </w:rPr>
        <w:t xml:space="preserve"> </w:t>
      </w:r>
      <w:r w:rsidR="00E2078C">
        <w:rPr>
          <w:rFonts w:ascii="Times New Roman" w:hAnsi="Times New Roman" w:cs="Times New Roman"/>
        </w:rPr>
        <w:t>Waste Control’s</w:t>
      </w:r>
      <w:r>
        <w:rPr>
          <w:rFonts w:ascii="Times New Roman" w:hAnsi="Times New Roman" w:cs="Times New Roman"/>
        </w:rPr>
        <w:t xml:space="preserve"> general rate case has been suspended, dismissed, re-filed, and suspended again.  </w:t>
      </w:r>
      <w:r w:rsidR="00E2078C">
        <w:rPr>
          <w:rFonts w:ascii="Times New Roman" w:hAnsi="Times New Roman" w:cs="Times New Roman"/>
        </w:rPr>
        <w:t>Furthermore</w:t>
      </w:r>
      <w:r>
        <w:rPr>
          <w:rFonts w:ascii="Times New Roman" w:hAnsi="Times New Roman" w:cs="Times New Roman"/>
        </w:rPr>
        <w:t xml:space="preserve">, Staff and the Company engaged in a technical conference, </w:t>
      </w:r>
      <w:r>
        <w:rPr>
          <w:rFonts w:ascii="Times New Roman" w:hAnsi="Times New Roman" w:cs="Times New Roman"/>
        </w:rPr>
        <w:lastRenderedPageBreak/>
        <w:t xml:space="preserve">Staff issued several data requests to which the Company objected, and now a motion to compel is before the Commission.  </w:t>
      </w:r>
      <w:r w:rsidR="00E7138A">
        <w:rPr>
          <w:rFonts w:ascii="Times New Roman" w:hAnsi="Times New Roman" w:cs="Times New Roman"/>
        </w:rPr>
        <w:t>At this point in time, the Company has provoked exasperation among Staff; t</w:t>
      </w:r>
      <w:r w:rsidR="00E2078C">
        <w:rPr>
          <w:rFonts w:ascii="Times New Roman" w:hAnsi="Times New Roman" w:cs="Times New Roman"/>
        </w:rPr>
        <w:t xml:space="preserve">here is simply no longer substantial prospect for a discovery conference to save Staff or the Company effort or expense.  Moreover, after such an extended period of time and effort, it </w:t>
      </w:r>
      <w:r w:rsidR="00AE6806">
        <w:rPr>
          <w:rFonts w:ascii="Times New Roman" w:hAnsi="Times New Roman" w:cs="Times New Roman"/>
        </w:rPr>
        <w:t>seems unlikely that the parties</w:t>
      </w:r>
      <w:r w:rsidR="00E2078C">
        <w:rPr>
          <w:rFonts w:ascii="Times New Roman" w:hAnsi="Times New Roman" w:cs="Times New Roman"/>
        </w:rPr>
        <w:t xml:space="preserve"> would be able to reconcile their positions in a discovery conference. </w:t>
      </w:r>
      <w:r w:rsidR="00953648">
        <w:rPr>
          <w:rFonts w:ascii="Times New Roman" w:hAnsi="Times New Roman" w:cs="Times New Roman"/>
        </w:rPr>
        <w:t xml:space="preserve"> </w:t>
      </w:r>
      <w:r w:rsidR="00E2078C">
        <w:rPr>
          <w:rFonts w:ascii="Times New Roman" w:hAnsi="Times New Roman" w:cs="Times New Roman"/>
        </w:rPr>
        <w:t>Therefore, a discovery conference would likely end without resolution</w:t>
      </w:r>
      <w:r w:rsidR="00953648">
        <w:rPr>
          <w:rFonts w:ascii="Times New Roman" w:hAnsi="Times New Roman" w:cs="Times New Roman"/>
        </w:rPr>
        <w:t>,</w:t>
      </w:r>
      <w:r w:rsidR="00E2078C">
        <w:rPr>
          <w:rFonts w:ascii="Times New Roman" w:hAnsi="Times New Roman" w:cs="Times New Roman"/>
        </w:rPr>
        <w:t xml:space="preserve"> and the Commission would again be rendering a decision on a motion to compel.  Staff’s position is that a ruling on Staff’s present motion</w:t>
      </w:r>
      <w:r w:rsidR="00953648">
        <w:rPr>
          <w:rFonts w:ascii="Times New Roman" w:hAnsi="Times New Roman" w:cs="Times New Roman"/>
        </w:rPr>
        <w:t xml:space="preserve"> to compel</w:t>
      </w:r>
      <w:r w:rsidR="00E2078C">
        <w:rPr>
          <w:rFonts w:ascii="Times New Roman" w:hAnsi="Times New Roman" w:cs="Times New Roman"/>
        </w:rPr>
        <w:t xml:space="preserve"> would be the most expeditious and efficient way forward. </w:t>
      </w:r>
    </w:p>
    <w:p w14:paraId="3A0E4DC1" w14:textId="061D2F72" w:rsidR="00E07F35" w:rsidRPr="007854BB" w:rsidRDefault="007854BB" w:rsidP="0003084B">
      <w:pPr>
        <w:widowControl w:val="0"/>
        <w:ind w:left="720" w:hanging="720"/>
        <w:rPr>
          <w:rFonts w:ascii="Times New Roman" w:hAnsi="Times New Roman" w:cs="Times New Roman"/>
          <w:b/>
        </w:rPr>
      </w:pPr>
      <w:r w:rsidRPr="007854BB">
        <w:rPr>
          <w:rFonts w:ascii="Times New Roman" w:hAnsi="Times New Roman" w:cs="Times New Roman"/>
          <w:b/>
        </w:rPr>
        <w:t>C.</w:t>
      </w:r>
      <w:r w:rsidR="0003084B">
        <w:rPr>
          <w:rFonts w:ascii="Times New Roman" w:hAnsi="Times New Roman" w:cs="Times New Roman"/>
          <w:b/>
        </w:rPr>
        <w:tab/>
      </w:r>
      <w:r w:rsidRPr="007854BB">
        <w:rPr>
          <w:rFonts w:ascii="Times New Roman" w:hAnsi="Times New Roman" w:cs="Times New Roman"/>
          <w:b/>
        </w:rPr>
        <w:t xml:space="preserve">Waste Control’s </w:t>
      </w:r>
      <w:r w:rsidR="0003084B">
        <w:rPr>
          <w:rFonts w:ascii="Times New Roman" w:hAnsi="Times New Roman" w:cs="Times New Roman"/>
          <w:b/>
        </w:rPr>
        <w:t>P</w:t>
      </w:r>
      <w:r w:rsidRPr="007854BB">
        <w:rPr>
          <w:rFonts w:ascii="Times New Roman" w:hAnsi="Times New Roman" w:cs="Times New Roman"/>
          <w:b/>
        </w:rPr>
        <w:t xml:space="preserve">roposal does not </w:t>
      </w:r>
      <w:r w:rsidR="0003084B">
        <w:rPr>
          <w:rFonts w:ascii="Times New Roman" w:hAnsi="Times New Roman" w:cs="Times New Roman"/>
          <w:b/>
        </w:rPr>
        <w:t>C</w:t>
      </w:r>
      <w:r w:rsidRPr="007854BB">
        <w:rPr>
          <w:rFonts w:ascii="Times New Roman" w:hAnsi="Times New Roman" w:cs="Times New Roman"/>
          <w:b/>
        </w:rPr>
        <w:t xml:space="preserve">ontravene Staff’s </w:t>
      </w:r>
      <w:r w:rsidR="0003084B">
        <w:rPr>
          <w:rFonts w:ascii="Times New Roman" w:hAnsi="Times New Roman" w:cs="Times New Roman"/>
          <w:b/>
        </w:rPr>
        <w:t>M</w:t>
      </w:r>
      <w:r w:rsidRPr="007854BB">
        <w:rPr>
          <w:rFonts w:ascii="Times New Roman" w:hAnsi="Times New Roman" w:cs="Times New Roman"/>
          <w:b/>
        </w:rPr>
        <w:t xml:space="preserve">otion to </w:t>
      </w:r>
      <w:r w:rsidR="0003084B">
        <w:rPr>
          <w:rFonts w:ascii="Times New Roman" w:hAnsi="Times New Roman" w:cs="Times New Roman"/>
          <w:b/>
        </w:rPr>
        <w:t>C</w:t>
      </w:r>
      <w:r w:rsidRPr="007854BB">
        <w:rPr>
          <w:rFonts w:ascii="Times New Roman" w:hAnsi="Times New Roman" w:cs="Times New Roman"/>
          <w:b/>
        </w:rPr>
        <w:t xml:space="preserve">larify the </w:t>
      </w:r>
      <w:r w:rsidR="0003084B">
        <w:rPr>
          <w:rFonts w:ascii="Times New Roman" w:hAnsi="Times New Roman" w:cs="Times New Roman"/>
          <w:b/>
        </w:rPr>
        <w:t>S</w:t>
      </w:r>
      <w:r w:rsidRPr="007854BB">
        <w:rPr>
          <w:rFonts w:ascii="Times New Roman" w:hAnsi="Times New Roman" w:cs="Times New Roman"/>
          <w:b/>
        </w:rPr>
        <w:t xml:space="preserve">cope of WAC 480-07-520(4), </w:t>
      </w:r>
      <w:r w:rsidR="0003084B">
        <w:rPr>
          <w:rFonts w:ascii="Times New Roman" w:hAnsi="Times New Roman" w:cs="Times New Roman"/>
          <w:b/>
        </w:rPr>
        <w:t>C</w:t>
      </w:r>
      <w:r w:rsidRPr="007854BB">
        <w:rPr>
          <w:rFonts w:ascii="Times New Roman" w:hAnsi="Times New Roman" w:cs="Times New Roman"/>
          <w:b/>
        </w:rPr>
        <w:t xml:space="preserve">ompel </w:t>
      </w:r>
      <w:r w:rsidR="0003084B">
        <w:rPr>
          <w:rFonts w:ascii="Times New Roman" w:hAnsi="Times New Roman" w:cs="Times New Roman"/>
          <w:b/>
        </w:rPr>
        <w:t>D</w:t>
      </w:r>
      <w:r w:rsidRPr="007854BB">
        <w:rPr>
          <w:rFonts w:ascii="Times New Roman" w:hAnsi="Times New Roman" w:cs="Times New Roman"/>
          <w:b/>
        </w:rPr>
        <w:t xml:space="preserve">iscovery, and </w:t>
      </w:r>
      <w:r w:rsidR="0003084B">
        <w:rPr>
          <w:rFonts w:ascii="Times New Roman" w:hAnsi="Times New Roman" w:cs="Times New Roman"/>
          <w:b/>
        </w:rPr>
        <w:t>G</w:t>
      </w:r>
      <w:r w:rsidRPr="007854BB">
        <w:rPr>
          <w:rFonts w:ascii="Times New Roman" w:hAnsi="Times New Roman" w:cs="Times New Roman"/>
          <w:b/>
        </w:rPr>
        <w:t xml:space="preserve">rant Staff an </w:t>
      </w:r>
      <w:r w:rsidR="0003084B">
        <w:rPr>
          <w:rFonts w:ascii="Times New Roman" w:hAnsi="Times New Roman" w:cs="Times New Roman"/>
          <w:b/>
        </w:rPr>
        <w:t>E</w:t>
      </w:r>
      <w:r w:rsidRPr="007854BB">
        <w:rPr>
          <w:rFonts w:ascii="Times New Roman" w:hAnsi="Times New Roman" w:cs="Times New Roman"/>
          <w:b/>
        </w:rPr>
        <w:t xml:space="preserve">xtension of </w:t>
      </w:r>
      <w:r w:rsidR="0003084B">
        <w:rPr>
          <w:rFonts w:ascii="Times New Roman" w:hAnsi="Times New Roman" w:cs="Times New Roman"/>
          <w:b/>
        </w:rPr>
        <w:t>Time to P</w:t>
      </w:r>
      <w:r w:rsidRPr="007854BB">
        <w:rPr>
          <w:rFonts w:ascii="Times New Roman" w:hAnsi="Times New Roman" w:cs="Times New Roman"/>
          <w:b/>
        </w:rPr>
        <w:t xml:space="preserve">repare </w:t>
      </w:r>
      <w:r w:rsidR="0003084B">
        <w:rPr>
          <w:rFonts w:ascii="Times New Roman" w:hAnsi="Times New Roman" w:cs="Times New Roman"/>
          <w:b/>
        </w:rPr>
        <w:t>T</w:t>
      </w:r>
      <w:r w:rsidRPr="007854BB">
        <w:rPr>
          <w:rFonts w:ascii="Times New Roman" w:hAnsi="Times New Roman" w:cs="Times New Roman"/>
          <w:b/>
        </w:rPr>
        <w:t>estimony</w:t>
      </w:r>
    </w:p>
    <w:p w14:paraId="664C198E" w14:textId="77777777" w:rsidR="007854BB" w:rsidRDefault="007854BB" w:rsidP="0003084B">
      <w:pPr>
        <w:widowControl w:val="0"/>
        <w:rPr>
          <w:rFonts w:ascii="Times New Roman" w:hAnsi="Times New Roman" w:cs="Times New Roman"/>
        </w:rPr>
      </w:pPr>
    </w:p>
    <w:p w14:paraId="3F94D4C1" w14:textId="77875694" w:rsidR="007854BB" w:rsidRDefault="007854BB" w:rsidP="0003084B">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07F35">
        <w:rPr>
          <w:rFonts w:ascii="Times New Roman" w:hAnsi="Times New Roman" w:cs="Times New Roman"/>
        </w:rPr>
        <w:t>Regardless of any decision relating to a discovery master and/or a discovery conference, the Commission should clarify the filing requirements under WAC 480-07-520(4)</w:t>
      </w:r>
      <w:r>
        <w:rPr>
          <w:rFonts w:ascii="Times New Roman" w:hAnsi="Times New Roman" w:cs="Times New Roman"/>
        </w:rPr>
        <w:t xml:space="preserve"> and compel discovery</w:t>
      </w:r>
      <w:r w:rsidR="00E07F35">
        <w:rPr>
          <w:rFonts w:ascii="Times New Roman" w:hAnsi="Times New Roman" w:cs="Times New Roman"/>
        </w:rPr>
        <w:t>.  It is absolutely essential that regulated companies provide supporting calculations and documentation for all adjustments</w:t>
      </w:r>
      <w:r>
        <w:rPr>
          <w:rFonts w:ascii="Times New Roman" w:hAnsi="Times New Roman" w:cs="Times New Roman"/>
        </w:rPr>
        <w:t xml:space="preserve"> in a general rate filing</w:t>
      </w:r>
      <w:r w:rsidR="00E07F35">
        <w:rPr>
          <w:rFonts w:ascii="Times New Roman" w:hAnsi="Times New Roman" w:cs="Times New Roman"/>
        </w:rPr>
        <w:t>.  Absent supporting calculations, Staff cannot conduct an analysis and fulfill its regulatory function.  Staff’s fundamental position on requiring supporting calculations and documents will not change in the context of a discovery conference</w:t>
      </w:r>
      <w:r>
        <w:rPr>
          <w:rFonts w:ascii="Times New Roman" w:hAnsi="Times New Roman" w:cs="Times New Roman"/>
        </w:rPr>
        <w:t>.  Consequently, Waste Control’s proposal for a third party facilitator and/or a discovery conference is not a substitute for Staff’s motion to clarify filing requirements and compel discovery.  The Commission should still issue a ruling clarifying the scope of WAC 480-07-520(4) and compel discovery.</w:t>
      </w:r>
    </w:p>
    <w:p w14:paraId="2F1B3B62" w14:textId="4EF620BB" w:rsidR="00AE6806" w:rsidRDefault="00E07F35" w:rsidP="0003084B">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 xml:space="preserve"> </w:t>
      </w:r>
      <w:r w:rsidR="007854BB">
        <w:rPr>
          <w:rFonts w:ascii="Times New Roman" w:hAnsi="Times New Roman" w:cs="Times New Roman"/>
        </w:rPr>
        <w:t xml:space="preserve"> </w:t>
      </w:r>
      <w:r w:rsidR="007854BB">
        <w:rPr>
          <w:rFonts w:ascii="Times New Roman" w:hAnsi="Times New Roman" w:cs="Times New Roman"/>
        </w:rPr>
        <w:tab/>
        <w:t xml:space="preserve">Waste Control’s proposals for discovery also demonstrate the necessity to extend the procedural schedule in this matter.  The Company’s motion states that several discovery disputes remain outstanding.  The general purpose of discovery is to provide the parties additional information in preparing a case; in this instance, the fact that all parties recognize continuing discovery disputes strongly supports Staff’s position that the parties need more time to adequately gather information and prepare testimony. </w:t>
      </w:r>
    </w:p>
    <w:p w14:paraId="1F4395E7" w14:textId="22219709" w:rsidR="00E7138A" w:rsidRDefault="00E7138A" w:rsidP="0003084B">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Continuing discovery disputes also demonstrate the ongoing complexity in the Company’s filing.  A late, unanticipated</w:t>
      </w:r>
      <w:r>
        <w:rPr>
          <w:rStyle w:val="FootnoteReference"/>
          <w:rFonts w:ascii="Times New Roman" w:hAnsi="Times New Roman" w:cs="Times New Roman"/>
        </w:rPr>
        <w:footnoteReference w:id="4"/>
      </w:r>
      <w:r>
        <w:rPr>
          <w:rFonts w:ascii="Times New Roman" w:hAnsi="Times New Roman" w:cs="Times New Roman"/>
        </w:rPr>
        <w:t xml:space="preserve"> substitution of counsel in this type of proceeding poses significant potential prejudice to Staff’</w:t>
      </w:r>
      <w:r w:rsidR="00D94758">
        <w:rPr>
          <w:rFonts w:ascii="Times New Roman" w:hAnsi="Times New Roman" w:cs="Times New Roman"/>
        </w:rPr>
        <w:t>s case, further supporting Staff’s position to extend the procedural schedule.</w:t>
      </w:r>
      <w:r w:rsidR="00D94758">
        <w:rPr>
          <w:rStyle w:val="FootnoteReference"/>
          <w:rFonts w:ascii="Times New Roman" w:hAnsi="Times New Roman" w:cs="Times New Roman"/>
        </w:rPr>
        <w:footnoteReference w:id="5"/>
      </w:r>
      <w:r w:rsidR="00D94758">
        <w:rPr>
          <w:rFonts w:ascii="Times New Roman" w:hAnsi="Times New Roman" w:cs="Times New Roman"/>
        </w:rPr>
        <w:t xml:space="preserve"> </w:t>
      </w:r>
    </w:p>
    <w:p w14:paraId="44501439" w14:textId="30D2B4B4" w:rsidR="009A1907" w:rsidRPr="009A1907" w:rsidRDefault="000A4339" w:rsidP="0003084B">
      <w:pPr>
        <w:pStyle w:val="HeadingRomanAllCap"/>
        <w:keepNext w:val="0"/>
        <w:widowControl w:val="0"/>
        <w:numPr>
          <w:ilvl w:val="0"/>
          <w:numId w:val="0"/>
        </w:numPr>
      </w:pPr>
      <w:r>
        <w:t>IV.</w:t>
      </w:r>
      <w:r>
        <w:tab/>
      </w:r>
      <w:r w:rsidR="009A1907" w:rsidRPr="009A1907">
        <w:t>CONCLUSION</w:t>
      </w:r>
    </w:p>
    <w:p w14:paraId="4F24A8D8" w14:textId="77777777" w:rsidR="009A1907" w:rsidRPr="009A1907" w:rsidRDefault="009A1907" w:rsidP="0003084B">
      <w:pPr>
        <w:pStyle w:val="HeadingRomanAllCap"/>
        <w:keepNext w:val="0"/>
        <w:widowControl w:val="0"/>
        <w:numPr>
          <w:ilvl w:val="0"/>
          <w:numId w:val="0"/>
        </w:numPr>
        <w:jc w:val="left"/>
      </w:pPr>
    </w:p>
    <w:p w14:paraId="4C6E5403" w14:textId="53528744" w:rsidR="009A1907" w:rsidRPr="009A1907" w:rsidRDefault="009A1907" w:rsidP="0003084B">
      <w:pPr>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r>
      <w:r w:rsidR="00953648">
        <w:rPr>
          <w:rFonts w:ascii="Times New Roman" w:hAnsi="Times New Roman" w:cs="Times New Roman"/>
        </w:rPr>
        <w:t xml:space="preserve">Although not adamantly opposed to Waste Control’s proposal for a discovery master and/or a discovery conference, Staff views both endeavors as simply adding further expense and delay.  </w:t>
      </w:r>
      <w:r w:rsidR="00761125">
        <w:rPr>
          <w:rFonts w:ascii="Times New Roman" w:hAnsi="Times New Roman" w:cs="Times New Roman"/>
        </w:rPr>
        <w:t>Regardless of any decision relating to a discovery master and/or a discovery conference, the Commission should clarify the filing requirements under WAC 480-07-520(4) and compel Waste Control to provide additional information as outlined in Staff’s motion.</w:t>
      </w:r>
      <w:r w:rsidR="00761125">
        <w:rPr>
          <w:rStyle w:val="FootnoteReference"/>
          <w:rFonts w:ascii="Times New Roman" w:hAnsi="Times New Roman" w:cs="Times New Roman"/>
        </w:rPr>
        <w:footnoteReference w:id="6"/>
      </w:r>
      <w:r w:rsidR="00761125" w:rsidRPr="009A1907">
        <w:rPr>
          <w:rFonts w:ascii="Times New Roman" w:hAnsi="Times New Roman" w:cs="Times New Roman"/>
        </w:rPr>
        <w:t xml:space="preserve"> </w:t>
      </w:r>
      <w:r w:rsidR="00761125">
        <w:rPr>
          <w:rFonts w:ascii="Times New Roman" w:hAnsi="Times New Roman" w:cs="Times New Roman"/>
        </w:rPr>
        <w:t xml:space="preserve">The Company’s proposal for further discovery also demonstrates the necessity to grant Staff’s motion for an extension of time.  </w:t>
      </w:r>
    </w:p>
    <w:p w14:paraId="3F99E65C" w14:textId="4D360A01" w:rsidR="009A1907" w:rsidRPr="009A1907" w:rsidRDefault="009A1907" w:rsidP="0003084B">
      <w:pPr>
        <w:widowControl w:val="0"/>
        <w:rPr>
          <w:rFonts w:ascii="Times New Roman" w:hAnsi="Times New Roman" w:cs="Times New Roman"/>
        </w:rPr>
      </w:pPr>
      <w:r>
        <w:rPr>
          <w:rFonts w:ascii="Times New Roman" w:hAnsi="Times New Roman" w:cs="Times New Roman"/>
        </w:rPr>
        <w:tab/>
      </w:r>
      <w:r w:rsidRPr="009A1907">
        <w:rPr>
          <w:rFonts w:ascii="Times New Roman" w:hAnsi="Times New Roman" w:cs="Times New Roman"/>
        </w:rPr>
        <w:t>DATED this 1</w:t>
      </w:r>
      <w:r w:rsidR="0003084B">
        <w:rPr>
          <w:rFonts w:ascii="Times New Roman" w:hAnsi="Times New Roman" w:cs="Times New Roman"/>
        </w:rPr>
        <w:t>8</w:t>
      </w:r>
      <w:r w:rsidRPr="009A1907">
        <w:rPr>
          <w:rFonts w:ascii="Times New Roman" w:hAnsi="Times New Roman" w:cs="Times New Roman"/>
        </w:rPr>
        <w:t>th day of June 2014.</w:t>
      </w:r>
    </w:p>
    <w:p w14:paraId="0E272726" w14:textId="77777777" w:rsidR="009A1907" w:rsidRPr="009A1907" w:rsidRDefault="009A1907" w:rsidP="0003084B">
      <w:pPr>
        <w:widowControl w:val="0"/>
        <w:rPr>
          <w:rFonts w:ascii="Times New Roman" w:hAnsi="Times New Roman" w:cs="Times New Roman"/>
        </w:rPr>
      </w:pPr>
    </w:p>
    <w:p w14:paraId="0F159A7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Respectfully submitted, </w:t>
      </w:r>
    </w:p>
    <w:p w14:paraId="4AD3DA3D" w14:textId="77777777" w:rsidR="009A1907" w:rsidRPr="009A1907" w:rsidRDefault="009A1907" w:rsidP="0003084B">
      <w:pPr>
        <w:widowControl w:val="0"/>
        <w:ind w:left="4320"/>
        <w:rPr>
          <w:rFonts w:ascii="Times New Roman" w:hAnsi="Times New Roman" w:cs="Times New Roman"/>
        </w:rPr>
      </w:pPr>
    </w:p>
    <w:p w14:paraId="3C683E8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ROBERT W. FERGUSON </w:t>
      </w:r>
    </w:p>
    <w:p w14:paraId="0633E896" w14:textId="77777777" w:rsidR="009A1907" w:rsidRDefault="009A1907" w:rsidP="0003084B">
      <w:pPr>
        <w:widowControl w:val="0"/>
        <w:ind w:left="4320"/>
        <w:rPr>
          <w:rFonts w:ascii="Times New Roman" w:hAnsi="Times New Roman" w:cs="Times New Roman"/>
        </w:rPr>
      </w:pPr>
      <w:r w:rsidRPr="009A1907">
        <w:rPr>
          <w:rFonts w:ascii="Times New Roman" w:hAnsi="Times New Roman" w:cs="Times New Roman"/>
        </w:rPr>
        <w:t>Attorney General</w:t>
      </w:r>
    </w:p>
    <w:p w14:paraId="2AB7CD8D" w14:textId="77777777" w:rsidR="0003084B" w:rsidRPr="009A1907" w:rsidRDefault="0003084B" w:rsidP="0003084B">
      <w:pPr>
        <w:widowControl w:val="0"/>
        <w:ind w:left="4320"/>
        <w:rPr>
          <w:rFonts w:ascii="Times New Roman" w:hAnsi="Times New Roman" w:cs="Times New Roman"/>
        </w:rPr>
      </w:pPr>
      <w:bookmarkStart w:id="0" w:name="_GoBack"/>
      <w:bookmarkEnd w:id="0"/>
    </w:p>
    <w:p w14:paraId="798AF2EF" w14:textId="77777777" w:rsidR="009A1907" w:rsidRPr="009A1907" w:rsidRDefault="009A1907" w:rsidP="0003084B">
      <w:pPr>
        <w:widowControl w:val="0"/>
        <w:ind w:left="4320"/>
        <w:rPr>
          <w:rFonts w:ascii="Times New Roman" w:hAnsi="Times New Roman" w:cs="Times New Roman"/>
        </w:rPr>
      </w:pPr>
    </w:p>
    <w:p w14:paraId="4CB27025"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______________________________________</w:t>
      </w:r>
    </w:p>
    <w:p w14:paraId="74851AD2"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BRETT SHEARER </w:t>
      </w:r>
    </w:p>
    <w:p w14:paraId="3162F342"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Assistant Attorney General</w:t>
      </w:r>
    </w:p>
    <w:p w14:paraId="73CE1502"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Counsel for Washington Utilities and</w:t>
      </w:r>
    </w:p>
    <w:p w14:paraId="018DFBB2" w14:textId="60BB86CB" w:rsidR="00A9023E"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Transportation Commission Staff</w:t>
      </w:r>
    </w:p>
    <w:sectPr w:rsidR="00A9023E" w:rsidRPr="009A1907" w:rsidSect="00FB2BD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3035E" w14:textId="77777777" w:rsidR="00AB45AB" w:rsidRDefault="00AB45AB" w:rsidP="00A2173A">
      <w:r>
        <w:separator/>
      </w:r>
    </w:p>
  </w:endnote>
  <w:endnote w:type="continuationSeparator" w:id="0">
    <w:p w14:paraId="0B44F8FE" w14:textId="77777777" w:rsidR="00AB45AB" w:rsidRDefault="00AB45AB" w:rsidP="00A2173A">
      <w:r>
        <w:continuationSeparator/>
      </w:r>
    </w:p>
  </w:endnote>
  <w:endnote w:type="continuationNotice" w:id="1">
    <w:p w14:paraId="517AAA0B" w14:textId="77777777" w:rsidR="00AB45AB" w:rsidRDefault="00AB4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E010" w14:textId="77777777" w:rsidR="00C83B86" w:rsidRDefault="00C83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1B7F" w14:textId="16FDBAAF" w:rsidR="00E7138A" w:rsidRDefault="00E7138A">
    <w:pPr>
      <w:pStyle w:val="Footer"/>
      <w:rPr>
        <w:rFonts w:ascii="Times New Roman" w:hAnsi="Times New Roman"/>
        <w:sz w:val="20"/>
        <w:szCs w:val="20"/>
      </w:rPr>
    </w:pPr>
    <w:r>
      <w:rPr>
        <w:rFonts w:ascii="Times New Roman" w:hAnsi="Times New Roman"/>
        <w:sz w:val="20"/>
        <w:szCs w:val="20"/>
      </w:rPr>
      <w:t>STAFF’S RESPONSE</w:t>
    </w:r>
    <w:r w:rsidR="00C83B86">
      <w:rPr>
        <w:rFonts w:ascii="Times New Roman" w:hAnsi="Times New Roman"/>
        <w:sz w:val="20"/>
        <w:szCs w:val="20"/>
      </w:rPr>
      <w:t xml:space="preserve"> </w:t>
    </w:r>
    <w:r>
      <w:rPr>
        <w:rFonts w:ascii="Times New Roman" w:hAnsi="Times New Roman"/>
        <w:sz w:val="20"/>
        <w:szCs w:val="20"/>
      </w:rPr>
      <w:t xml:space="preserve">TO WASTE CONTROL, INC.’S MOTION </w:t>
    </w:r>
  </w:p>
  <w:p w14:paraId="21999303" w14:textId="77777777" w:rsidR="00E7138A" w:rsidRDefault="00E7138A">
    <w:pPr>
      <w:pStyle w:val="Footer"/>
      <w:rPr>
        <w:rFonts w:ascii="Times New Roman" w:hAnsi="Times New Roman"/>
        <w:sz w:val="20"/>
        <w:szCs w:val="20"/>
      </w:rPr>
    </w:pPr>
    <w:r>
      <w:rPr>
        <w:rFonts w:ascii="Times New Roman" w:hAnsi="Times New Roman"/>
        <w:sz w:val="20"/>
        <w:szCs w:val="20"/>
      </w:rPr>
      <w:t xml:space="preserve">FOR APPOINTMENT OF DISCOVERY MASTER AND/OR, ALTERNATIVELY, </w:t>
    </w:r>
  </w:p>
  <w:p w14:paraId="326E7DC1" w14:textId="1BA98BC5" w:rsidR="000E45A4" w:rsidRPr="00E7138A" w:rsidRDefault="00E7138A">
    <w:pPr>
      <w:pStyle w:val="Footer"/>
      <w:rPr>
        <w:rFonts w:ascii="Times New Roman" w:hAnsi="Times New Roman"/>
        <w:sz w:val="20"/>
        <w:szCs w:val="20"/>
      </w:rPr>
    </w:pPr>
    <w:r>
      <w:rPr>
        <w:rFonts w:ascii="Times New Roman" w:hAnsi="Times New Roman"/>
        <w:sz w:val="20"/>
        <w:szCs w:val="20"/>
      </w:rPr>
      <w:t>SCHEDULING OF A DISCOVERY CONFERENCE</w:t>
    </w:r>
    <w:r w:rsidR="000E45A4">
      <w:rPr>
        <w:rFonts w:ascii="Times New Roman" w:hAnsi="Times New Roman"/>
        <w:sz w:val="20"/>
        <w:szCs w:val="20"/>
      </w:rPr>
      <w:t xml:space="preserve"> - </w:t>
    </w:r>
    <w:r w:rsidR="000E45A4" w:rsidRPr="00590F7A">
      <w:rPr>
        <w:rFonts w:ascii="Times New Roman" w:hAnsi="Times New Roman"/>
        <w:sz w:val="20"/>
        <w:szCs w:val="20"/>
      </w:rPr>
      <w:fldChar w:fldCharType="begin"/>
    </w:r>
    <w:r w:rsidR="000E45A4" w:rsidRPr="00590F7A">
      <w:rPr>
        <w:rFonts w:ascii="Times New Roman" w:hAnsi="Times New Roman"/>
        <w:sz w:val="20"/>
        <w:szCs w:val="20"/>
      </w:rPr>
      <w:instrText xml:space="preserve"> PAGE   \* MERGEFORMAT </w:instrText>
    </w:r>
    <w:r w:rsidR="000E45A4" w:rsidRPr="00590F7A">
      <w:rPr>
        <w:rFonts w:ascii="Times New Roman" w:hAnsi="Times New Roman"/>
        <w:sz w:val="20"/>
        <w:szCs w:val="20"/>
      </w:rPr>
      <w:fldChar w:fldCharType="separate"/>
    </w:r>
    <w:r w:rsidR="0003084B">
      <w:rPr>
        <w:rFonts w:ascii="Times New Roman" w:hAnsi="Times New Roman"/>
        <w:noProof/>
        <w:sz w:val="20"/>
        <w:szCs w:val="20"/>
      </w:rPr>
      <w:t>5</w:t>
    </w:r>
    <w:r w:rsidR="000E45A4" w:rsidRPr="00590F7A">
      <w:rPr>
        <w:rFonts w:ascii="Times New Roman" w:hAnsi="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3398" w14:textId="77777777" w:rsidR="00C83B86" w:rsidRDefault="00C8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5570C" w14:textId="77777777" w:rsidR="00AB45AB" w:rsidRDefault="00AB45AB" w:rsidP="00A2173A">
      <w:r>
        <w:separator/>
      </w:r>
    </w:p>
  </w:footnote>
  <w:footnote w:type="continuationSeparator" w:id="0">
    <w:p w14:paraId="3BE1E68B" w14:textId="77777777" w:rsidR="00AB45AB" w:rsidRDefault="00AB45AB" w:rsidP="00A2173A">
      <w:r>
        <w:continuationSeparator/>
      </w:r>
    </w:p>
  </w:footnote>
  <w:footnote w:type="continuationNotice" w:id="1">
    <w:p w14:paraId="593BF919" w14:textId="77777777" w:rsidR="00AB45AB" w:rsidRDefault="00AB45AB"/>
  </w:footnote>
  <w:footnote w:id="2">
    <w:p w14:paraId="1E6C75F6" w14:textId="0E34294D" w:rsidR="001C5730" w:rsidRPr="001C5730" w:rsidRDefault="001C5730">
      <w:pPr>
        <w:pStyle w:val="FootnoteText"/>
      </w:pPr>
      <w:r>
        <w:rPr>
          <w:rStyle w:val="FootnoteReference"/>
        </w:rPr>
        <w:footnoteRef/>
      </w:r>
      <w:r>
        <w:t xml:space="preserve"> </w:t>
      </w:r>
      <w:r>
        <w:rPr>
          <w:i/>
        </w:rPr>
        <w:t xml:space="preserve">See </w:t>
      </w:r>
      <w:r>
        <w:t xml:space="preserve">Commission Docket No. TG-131794, which the Commission dismissed on March 25, 2014. </w:t>
      </w:r>
    </w:p>
  </w:footnote>
  <w:footnote w:id="3">
    <w:p w14:paraId="43D7A7BA" w14:textId="7776A4A6" w:rsidR="001C5730" w:rsidRDefault="001C5730">
      <w:pPr>
        <w:pStyle w:val="FootnoteText"/>
      </w:pPr>
      <w:r>
        <w:rPr>
          <w:rStyle w:val="FootnoteReference"/>
        </w:rPr>
        <w:footnoteRef/>
      </w:r>
      <w:r>
        <w:t xml:space="preserve"> Waste Control Motion, p. 2</w:t>
      </w:r>
      <w:r w:rsidR="0003084B">
        <w:t>,</w:t>
      </w:r>
      <w:r>
        <w:t xml:space="preserve"> at </w:t>
      </w:r>
      <w:r>
        <w:rPr>
          <w:rFonts w:cs="Times New Roman"/>
        </w:rPr>
        <w:t>¶</w:t>
      </w:r>
      <w:r>
        <w:t>3.</w:t>
      </w:r>
    </w:p>
  </w:footnote>
  <w:footnote w:id="4">
    <w:p w14:paraId="271A2D11" w14:textId="13FE426A" w:rsidR="00E7138A" w:rsidRDefault="00E7138A">
      <w:pPr>
        <w:pStyle w:val="FootnoteText"/>
      </w:pPr>
      <w:r>
        <w:rPr>
          <w:rStyle w:val="FootnoteReference"/>
        </w:rPr>
        <w:footnoteRef/>
      </w:r>
      <w:r>
        <w:t xml:space="preserve"> Substitution of counsel was unanticipated because of the date.  Former Assistant Attorney General Steve Smith had planned t</w:t>
      </w:r>
      <w:r w:rsidR="00D94758">
        <w:t>o retire effective May 31, 2014.  Due to an error in the state’s personnel system, Mr. Smith’s retirement date was moved up to May 22, 2014</w:t>
      </w:r>
      <w:r w:rsidR="0003084B">
        <w:t>,</w:t>
      </w:r>
      <w:r w:rsidR="00D94758">
        <w:t xml:space="preserve"> with less than 48 hour</w:t>
      </w:r>
      <w:r w:rsidR="0003084B">
        <w:t>’</w:t>
      </w:r>
      <w:r w:rsidR="00D94758">
        <w:t xml:space="preserve">s notice.  This removed any possible gradual transition to new counsel. </w:t>
      </w:r>
    </w:p>
  </w:footnote>
  <w:footnote w:id="5">
    <w:p w14:paraId="7DAC0484" w14:textId="69FF731D" w:rsidR="00D94758" w:rsidRDefault="00D94758">
      <w:pPr>
        <w:pStyle w:val="FootnoteText"/>
      </w:pPr>
      <w:r>
        <w:rPr>
          <w:rStyle w:val="FootnoteReference"/>
        </w:rPr>
        <w:footnoteRef/>
      </w:r>
      <w:r>
        <w:t xml:space="preserve"> </w:t>
      </w:r>
      <w:r>
        <w:rPr>
          <w:i/>
        </w:rPr>
        <w:t xml:space="preserve">See </w:t>
      </w:r>
      <w:r>
        <w:t>Staff’s Motion to Clarify the Scope of WAC 480-07-520(4), Compel Discovery, and Expedited Motion for an Extension of Time, pp. 15-17</w:t>
      </w:r>
    </w:p>
  </w:footnote>
  <w:footnote w:id="6">
    <w:p w14:paraId="56966F10" w14:textId="1CCE6315" w:rsidR="00761125" w:rsidRDefault="00761125" w:rsidP="00761125">
      <w:pPr>
        <w:pStyle w:val="FootnoteText"/>
      </w:pPr>
      <w:r>
        <w:rPr>
          <w:rStyle w:val="FootnoteReference"/>
        </w:rPr>
        <w:footnoteRef/>
      </w:r>
      <w:r>
        <w:t xml:space="preserve"> </w:t>
      </w:r>
      <w:r w:rsidR="00D94758">
        <w:rPr>
          <w:i/>
        </w:rPr>
        <w:t xml:space="preserve">See generally </w:t>
      </w:r>
      <w:r>
        <w:t xml:space="preserve">Staff’s Motion.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FD2B" w14:textId="77777777" w:rsidR="00C83B86" w:rsidRDefault="00C83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6FEB" w14:textId="77777777" w:rsidR="00C83B86" w:rsidRDefault="00C83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2E7B" w14:textId="77777777" w:rsidR="00C83B86" w:rsidRDefault="00C83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67CDA"/>
    <w:multiLevelType w:val="hybridMultilevel"/>
    <w:tmpl w:val="44969D92"/>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043FCF"/>
    <w:multiLevelType w:val="hybridMultilevel"/>
    <w:tmpl w:val="D39E0EFE"/>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9"/>
  </w:num>
  <w:num w:numId="4">
    <w:abstractNumId w:val="11"/>
  </w:num>
  <w:num w:numId="5">
    <w:abstractNumId w:val="14"/>
  </w:num>
  <w:num w:numId="6">
    <w:abstractNumId w:val="5"/>
  </w:num>
  <w:num w:numId="7">
    <w:abstractNumId w:val="12"/>
  </w:num>
  <w:num w:numId="8">
    <w:abstractNumId w:val="15"/>
  </w:num>
  <w:num w:numId="9">
    <w:abstractNumId w:val="17"/>
  </w:num>
  <w:num w:numId="10">
    <w:abstractNumId w:val="8"/>
  </w:num>
  <w:num w:numId="11">
    <w:abstractNumId w:val="1"/>
  </w:num>
  <w:num w:numId="12">
    <w:abstractNumId w:val="0"/>
  </w:num>
  <w:num w:numId="13">
    <w:abstractNumId w:val="3"/>
  </w:num>
  <w:num w:numId="14">
    <w:abstractNumId w:val="13"/>
  </w:num>
  <w:num w:numId="15">
    <w:abstractNumId w:val="4"/>
  </w:num>
  <w:num w:numId="16">
    <w:abstractNumId w:val="7"/>
  </w:num>
  <w:num w:numId="17">
    <w:abstractNumId w:val="18"/>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A"/>
    <w:rsid w:val="0003084B"/>
    <w:rsid w:val="00040935"/>
    <w:rsid w:val="00093E89"/>
    <w:rsid w:val="000A4339"/>
    <w:rsid w:val="000C0B12"/>
    <w:rsid w:val="000E45A4"/>
    <w:rsid w:val="000F0C2A"/>
    <w:rsid w:val="000F58DE"/>
    <w:rsid w:val="00111488"/>
    <w:rsid w:val="0011234F"/>
    <w:rsid w:val="001400F6"/>
    <w:rsid w:val="00142017"/>
    <w:rsid w:val="00153587"/>
    <w:rsid w:val="00157C76"/>
    <w:rsid w:val="001748B1"/>
    <w:rsid w:val="00181032"/>
    <w:rsid w:val="001A3C17"/>
    <w:rsid w:val="001A79DE"/>
    <w:rsid w:val="001B38BC"/>
    <w:rsid w:val="001C5135"/>
    <w:rsid w:val="001C5730"/>
    <w:rsid w:val="001C7E2B"/>
    <w:rsid w:val="001F0C51"/>
    <w:rsid w:val="001F7AC4"/>
    <w:rsid w:val="00226EBC"/>
    <w:rsid w:val="00237659"/>
    <w:rsid w:val="00245BF2"/>
    <w:rsid w:val="00254C2E"/>
    <w:rsid w:val="00281E1C"/>
    <w:rsid w:val="002E2F6D"/>
    <w:rsid w:val="003130E6"/>
    <w:rsid w:val="00320BC8"/>
    <w:rsid w:val="00351108"/>
    <w:rsid w:val="00360D0C"/>
    <w:rsid w:val="003669CA"/>
    <w:rsid w:val="0038240C"/>
    <w:rsid w:val="003961A6"/>
    <w:rsid w:val="003C4EC2"/>
    <w:rsid w:val="003E5E2F"/>
    <w:rsid w:val="003F2270"/>
    <w:rsid w:val="003F2ECA"/>
    <w:rsid w:val="003F3CA0"/>
    <w:rsid w:val="003F49E6"/>
    <w:rsid w:val="004023C1"/>
    <w:rsid w:val="0042090D"/>
    <w:rsid w:val="004349F1"/>
    <w:rsid w:val="00462BF5"/>
    <w:rsid w:val="004638CB"/>
    <w:rsid w:val="00473C62"/>
    <w:rsid w:val="004A3277"/>
    <w:rsid w:val="004E3050"/>
    <w:rsid w:val="00511252"/>
    <w:rsid w:val="0052588D"/>
    <w:rsid w:val="00527FD4"/>
    <w:rsid w:val="00531E5C"/>
    <w:rsid w:val="00533618"/>
    <w:rsid w:val="00563EE5"/>
    <w:rsid w:val="0057304D"/>
    <w:rsid w:val="00581742"/>
    <w:rsid w:val="00585BE2"/>
    <w:rsid w:val="00590F7A"/>
    <w:rsid w:val="005A5F9A"/>
    <w:rsid w:val="005C1B88"/>
    <w:rsid w:val="005E3496"/>
    <w:rsid w:val="00615293"/>
    <w:rsid w:val="00615DA7"/>
    <w:rsid w:val="00620785"/>
    <w:rsid w:val="00633595"/>
    <w:rsid w:val="0067004B"/>
    <w:rsid w:val="006862FC"/>
    <w:rsid w:val="006C5484"/>
    <w:rsid w:val="006F7F37"/>
    <w:rsid w:val="007047BF"/>
    <w:rsid w:val="007164DB"/>
    <w:rsid w:val="007209CA"/>
    <w:rsid w:val="007367C3"/>
    <w:rsid w:val="007536ED"/>
    <w:rsid w:val="00761125"/>
    <w:rsid w:val="0077578E"/>
    <w:rsid w:val="00781DE2"/>
    <w:rsid w:val="007854BB"/>
    <w:rsid w:val="00787C77"/>
    <w:rsid w:val="007A4B58"/>
    <w:rsid w:val="007C6E95"/>
    <w:rsid w:val="00864DE4"/>
    <w:rsid w:val="008928D5"/>
    <w:rsid w:val="008E5979"/>
    <w:rsid w:val="00903393"/>
    <w:rsid w:val="00915EB8"/>
    <w:rsid w:val="00917840"/>
    <w:rsid w:val="00940C54"/>
    <w:rsid w:val="00953648"/>
    <w:rsid w:val="00955FBB"/>
    <w:rsid w:val="00977168"/>
    <w:rsid w:val="0098282F"/>
    <w:rsid w:val="009A1907"/>
    <w:rsid w:val="009B065D"/>
    <w:rsid w:val="009B5DB3"/>
    <w:rsid w:val="009C4223"/>
    <w:rsid w:val="009C4755"/>
    <w:rsid w:val="009F2A96"/>
    <w:rsid w:val="00A2173A"/>
    <w:rsid w:val="00A32519"/>
    <w:rsid w:val="00A35C6A"/>
    <w:rsid w:val="00A72011"/>
    <w:rsid w:val="00A9023E"/>
    <w:rsid w:val="00AA3400"/>
    <w:rsid w:val="00AB055A"/>
    <w:rsid w:val="00AB08EC"/>
    <w:rsid w:val="00AB45AB"/>
    <w:rsid w:val="00AE6806"/>
    <w:rsid w:val="00AF1CAB"/>
    <w:rsid w:val="00B043F8"/>
    <w:rsid w:val="00B26A78"/>
    <w:rsid w:val="00B47685"/>
    <w:rsid w:val="00B634A7"/>
    <w:rsid w:val="00B660F1"/>
    <w:rsid w:val="00B703CF"/>
    <w:rsid w:val="00B93D2B"/>
    <w:rsid w:val="00BC03CD"/>
    <w:rsid w:val="00C32E86"/>
    <w:rsid w:val="00C43E84"/>
    <w:rsid w:val="00C56884"/>
    <w:rsid w:val="00C76498"/>
    <w:rsid w:val="00C80C1C"/>
    <w:rsid w:val="00C83B86"/>
    <w:rsid w:val="00C97269"/>
    <w:rsid w:val="00CB02B0"/>
    <w:rsid w:val="00CC1A93"/>
    <w:rsid w:val="00CD47A3"/>
    <w:rsid w:val="00CE2EFA"/>
    <w:rsid w:val="00D0645F"/>
    <w:rsid w:val="00D1067B"/>
    <w:rsid w:val="00D76890"/>
    <w:rsid w:val="00D83F49"/>
    <w:rsid w:val="00D91A42"/>
    <w:rsid w:val="00D94758"/>
    <w:rsid w:val="00DD293C"/>
    <w:rsid w:val="00DD5034"/>
    <w:rsid w:val="00DE2644"/>
    <w:rsid w:val="00DF3E2D"/>
    <w:rsid w:val="00DF6A6A"/>
    <w:rsid w:val="00E07F35"/>
    <w:rsid w:val="00E1636A"/>
    <w:rsid w:val="00E206A5"/>
    <w:rsid w:val="00E2078C"/>
    <w:rsid w:val="00E351F4"/>
    <w:rsid w:val="00E35ADE"/>
    <w:rsid w:val="00E35B3E"/>
    <w:rsid w:val="00E35DB7"/>
    <w:rsid w:val="00E511ED"/>
    <w:rsid w:val="00E70155"/>
    <w:rsid w:val="00E7138A"/>
    <w:rsid w:val="00EA78FD"/>
    <w:rsid w:val="00ED5F49"/>
    <w:rsid w:val="00EF57A6"/>
    <w:rsid w:val="00F20597"/>
    <w:rsid w:val="00F26BCA"/>
    <w:rsid w:val="00F32138"/>
    <w:rsid w:val="00F37CFA"/>
    <w:rsid w:val="00F53D01"/>
    <w:rsid w:val="00FB2B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2014-06-18T07:00:00+00:00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3E51-D7D7-4604-BBF4-445A66E31F14}"/>
</file>

<file path=customXml/itemProps2.xml><?xml version="1.0" encoding="utf-8"?>
<ds:datastoreItem xmlns:ds="http://schemas.openxmlformats.org/officeDocument/2006/customXml" ds:itemID="{EFC67877-F264-4424-9B9D-856D0C8F6AA0}"/>
</file>

<file path=customXml/itemProps3.xml><?xml version="1.0" encoding="utf-8"?>
<ds:datastoreItem xmlns:ds="http://schemas.openxmlformats.org/officeDocument/2006/customXml" ds:itemID="{FFBB022B-B648-42FB-806A-26738DDA40C6}"/>
</file>

<file path=customXml/itemProps4.xml><?xml version="1.0" encoding="utf-8"?>
<ds:datastoreItem xmlns:ds="http://schemas.openxmlformats.org/officeDocument/2006/customXml" ds:itemID="{97A025B3-B6D1-469A-9B9A-A402E02AC4CE}"/>
</file>

<file path=customXml/itemProps5.xml><?xml version="1.0" encoding="utf-8"?>
<ds:datastoreItem xmlns:ds="http://schemas.openxmlformats.org/officeDocument/2006/customXml" ds:itemID="{0975A2ED-6DE2-4A5E-88A1-6C8B4DCEA859}"/>
</file>

<file path=docProps/app.xml><?xml version="1.0" encoding="utf-8"?>
<Properties xmlns="http://schemas.openxmlformats.org/officeDocument/2006/extended-properties" xmlns:vt="http://schemas.openxmlformats.org/officeDocument/2006/docPropsVTypes">
  <Template>Normal.dotm</Template>
  <TotalTime>237</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Shearer</dc:creator>
  <cp:lastModifiedBy>DeMarco, Betsy (UTC)</cp:lastModifiedBy>
  <cp:revision>11</cp:revision>
  <cp:lastPrinted>2014-06-17T21:45:00Z</cp:lastPrinted>
  <dcterms:created xsi:type="dcterms:W3CDTF">2014-06-17T16:36:00Z</dcterms:created>
  <dcterms:modified xsi:type="dcterms:W3CDTF">2014-06-18T15:32:00Z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