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35" w:rsidRPr="001F1935" w:rsidRDefault="001F1935" w:rsidP="001F1935">
      <w:pPr>
        <w:tabs>
          <w:tab w:val="center" w:pos="4680"/>
        </w:tabs>
        <w:ind w:right="-108" w:hanging="180"/>
        <w:jc w:val="both"/>
        <w:rPr>
          <w:rFonts w:cs="Times New Roman"/>
        </w:rPr>
      </w:pPr>
      <w:bookmarkStart w:id="0" w:name="_GoBack"/>
      <w:bookmarkEnd w:id="0"/>
    </w:p>
    <w:p w:rsidR="001F1935" w:rsidRPr="001F1935" w:rsidRDefault="001F1935" w:rsidP="001F1935">
      <w:pPr>
        <w:tabs>
          <w:tab w:val="center" w:pos="4680"/>
        </w:tabs>
        <w:ind w:right="-108" w:hanging="180"/>
        <w:jc w:val="both"/>
        <w:rPr>
          <w:rFonts w:cs="Times New Roman"/>
        </w:rPr>
      </w:pPr>
    </w:p>
    <w:p w:rsidR="001F1935" w:rsidRPr="001F1935" w:rsidRDefault="001F1935" w:rsidP="001F1935">
      <w:pPr>
        <w:tabs>
          <w:tab w:val="center" w:pos="4680"/>
        </w:tabs>
        <w:ind w:right="-108" w:hanging="180"/>
        <w:jc w:val="both"/>
        <w:rPr>
          <w:rFonts w:cs="Times New Roman"/>
        </w:rPr>
      </w:pPr>
    </w:p>
    <w:p w:rsidR="001F1935" w:rsidRPr="001F1935" w:rsidRDefault="001F1935" w:rsidP="001F1935">
      <w:pPr>
        <w:tabs>
          <w:tab w:val="center" w:pos="4680"/>
        </w:tabs>
        <w:ind w:right="-108" w:hanging="180"/>
        <w:jc w:val="both"/>
        <w:rPr>
          <w:rFonts w:cs="Times New Roman"/>
        </w:rPr>
      </w:pPr>
    </w:p>
    <w:p w:rsidR="001F1935" w:rsidRPr="001F1935" w:rsidRDefault="001F1935" w:rsidP="001F1935">
      <w:pPr>
        <w:tabs>
          <w:tab w:val="center" w:pos="4680"/>
        </w:tabs>
        <w:ind w:right="18" w:hanging="180"/>
        <w:jc w:val="both"/>
        <w:rPr>
          <w:rFonts w:cs="Times New Roman"/>
        </w:rPr>
      </w:pPr>
    </w:p>
    <w:p w:rsidR="001F1935" w:rsidRPr="001F1935" w:rsidRDefault="001F1935" w:rsidP="001F1935">
      <w:pPr>
        <w:ind w:left="-180" w:right="-162"/>
        <w:jc w:val="center"/>
        <w:rPr>
          <w:rFonts w:cs="Times New Roman"/>
        </w:rPr>
      </w:pPr>
      <w:r w:rsidRPr="001F1935">
        <w:rPr>
          <w:rFonts w:cs="Times New Roman"/>
        </w:rPr>
        <w:t>BEFORE THE WASHINGTON UTILITIES AND TRANSPORTATION COMMISSION</w:t>
      </w:r>
    </w:p>
    <w:p w:rsidR="001F1935" w:rsidRPr="001F1935" w:rsidRDefault="001F1935" w:rsidP="001F1935">
      <w:pPr>
        <w:ind w:right="18"/>
        <w:jc w:val="both"/>
        <w:rPr>
          <w:rFonts w:cs="Times New Roman"/>
        </w:rPr>
      </w:pPr>
    </w:p>
    <w:p w:rsidR="001F1935" w:rsidRPr="001F1935" w:rsidRDefault="001F1935" w:rsidP="001F1935">
      <w:pPr>
        <w:ind w:right="18"/>
        <w:jc w:val="both"/>
        <w:rPr>
          <w:rFonts w:cs="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1F1935" w:rsidRPr="001F1935" w:rsidTr="005535BF">
        <w:tc>
          <w:tcPr>
            <w:tcW w:w="4590" w:type="dxa"/>
            <w:tcBorders>
              <w:top w:val="single" w:sz="6" w:space="0" w:color="FFFFFF"/>
              <w:left w:val="single" w:sz="6" w:space="0" w:color="FFFFFF"/>
              <w:bottom w:val="single" w:sz="7" w:space="0" w:color="000000"/>
              <w:right w:val="single" w:sz="6" w:space="0" w:color="FFFFFF"/>
            </w:tcBorders>
          </w:tcPr>
          <w:p w:rsidR="001F1935" w:rsidRPr="001F1935" w:rsidRDefault="001F1935" w:rsidP="005535BF">
            <w:pPr>
              <w:ind w:right="18"/>
              <w:rPr>
                <w:rFonts w:cs="Times New Roman"/>
              </w:rPr>
            </w:pPr>
            <w:r w:rsidRPr="001F1935">
              <w:rPr>
                <w:rFonts w:cs="Times New Roman"/>
              </w:rPr>
              <w:t xml:space="preserve">WASHINGTON UTILITIES AND TRANSPORTATION COMMISSION, </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ab/>
            </w:r>
            <w:r w:rsidRPr="001F1935">
              <w:rPr>
                <w:rFonts w:cs="Times New Roman"/>
              </w:rPr>
              <w:tab/>
              <w:t>Complainant,</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ab/>
              <w:t>v.</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 xml:space="preserve">PACIFICORP d/b/a PACIFIC POWER &amp; LIGHT COMPANY, </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ab/>
            </w:r>
            <w:r w:rsidRPr="001F1935">
              <w:rPr>
                <w:rFonts w:cs="Times New Roman"/>
              </w:rPr>
              <w:tab/>
              <w:t>Respondent.</w:t>
            </w:r>
          </w:p>
          <w:p w:rsidR="001F1935" w:rsidRPr="001F1935" w:rsidRDefault="001F1935" w:rsidP="005535BF">
            <w:pPr>
              <w:ind w:right="18"/>
              <w:rPr>
                <w:rFonts w:cs="Times New Roman"/>
              </w:rPr>
            </w:pPr>
          </w:p>
        </w:tc>
        <w:tc>
          <w:tcPr>
            <w:tcW w:w="4590" w:type="dxa"/>
            <w:tcBorders>
              <w:top w:val="single" w:sz="6" w:space="0" w:color="FFFFFF"/>
              <w:left w:val="single" w:sz="7" w:space="0" w:color="000000"/>
              <w:bottom w:val="single" w:sz="6" w:space="0" w:color="FFFFFF"/>
              <w:right w:val="single" w:sz="6" w:space="0" w:color="FFFFFF"/>
            </w:tcBorders>
          </w:tcPr>
          <w:p w:rsidR="001F1935" w:rsidRPr="001F1935" w:rsidRDefault="001F1935" w:rsidP="005535BF">
            <w:pPr>
              <w:ind w:right="18" w:firstLine="416"/>
              <w:rPr>
                <w:rFonts w:cs="Times New Roman"/>
              </w:rPr>
            </w:pPr>
            <w:r w:rsidRPr="001F1935">
              <w:rPr>
                <w:rFonts w:cs="Times New Roman"/>
              </w:rPr>
              <w:t xml:space="preserve">DOCKET UE-100749 </w:t>
            </w:r>
          </w:p>
          <w:p w:rsidR="001F1935" w:rsidRPr="001F1935" w:rsidRDefault="001F1935" w:rsidP="005535BF">
            <w:pPr>
              <w:ind w:right="18" w:firstLine="416"/>
              <w:rPr>
                <w:rFonts w:cs="Times New Roman"/>
              </w:rPr>
            </w:pPr>
          </w:p>
          <w:p w:rsidR="001F1935" w:rsidRPr="001F1935" w:rsidRDefault="001F1935" w:rsidP="005535BF">
            <w:pPr>
              <w:ind w:left="416"/>
              <w:rPr>
                <w:rFonts w:cs="Times New Roman"/>
              </w:rPr>
            </w:pPr>
            <w:r>
              <w:rPr>
                <w:rFonts w:cs="Times New Roman"/>
              </w:rPr>
              <w:t>COMMISSION STAFF RESPONSE TO PACIFICORP’S MOTION TO AMEND ORDER 06</w:t>
            </w:r>
          </w:p>
          <w:p w:rsidR="001F1935" w:rsidRPr="001F1935" w:rsidRDefault="001F1935" w:rsidP="001F1935">
            <w:pPr>
              <w:ind w:right="18"/>
              <w:rPr>
                <w:rFonts w:cs="Times New Roman"/>
              </w:rPr>
            </w:pPr>
          </w:p>
        </w:tc>
      </w:tr>
    </w:tbl>
    <w:p w:rsidR="001F1935" w:rsidRPr="001F1935" w:rsidRDefault="001F1935" w:rsidP="001F1935">
      <w:pPr>
        <w:ind w:right="18"/>
        <w:jc w:val="both"/>
        <w:rPr>
          <w:rFonts w:cs="Times New Roman"/>
        </w:rPr>
      </w:pPr>
    </w:p>
    <w:p w:rsidR="001F1935" w:rsidRPr="001F1935" w:rsidRDefault="001F1935" w:rsidP="001F1935">
      <w:pPr>
        <w:ind w:right="18"/>
        <w:jc w:val="both"/>
        <w:rPr>
          <w:rFonts w:cs="Times New Roman"/>
        </w:rPr>
      </w:pPr>
    </w:p>
    <w:p w:rsidR="00B74343" w:rsidRDefault="009E7D38" w:rsidP="009E7D38">
      <w:pPr>
        <w:pStyle w:val="ListParagraph"/>
        <w:numPr>
          <w:ilvl w:val="0"/>
          <w:numId w:val="5"/>
        </w:numPr>
        <w:spacing w:line="480" w:lineRule="auto"/>
      </w:pPr>
      <w:r>
        <w:tab/>
      </w:r>
      <w:r w:rsidR="00CD7731">
        <w:t>In PacifiCorp’s “Motion to Amend Order 06”, the Company seeks a Commission order</w:t>
      </w:r>
      <w:r w:rsidR="006254B7">
        <w:t xml:space="preserve"> </w:t>
      </w:r>
      <w:r w:rsidR="0051437E">
        <w:t xml:space="preserve">granting relief </w:t>
      </w:r>
      <w:r w:rsidR="006254B7">
        <w:t>in three parts</w:t>
      </w:r>
      <w:r w:rsidR="0051437E">
        <w:t>:</w:t>
      </w:r>
    </w:p>
    <w:p w:rsidR="00CD7731" w:rsidRDefault="0016185C" w:rsidP="00C233B5">
      <w:pPr>
        <w:ind w:left="1440" w:hanging="720"/>
        <w:rPr>
          <w:szCs w:val="24"/>
        </w:rPr>
      </w:pPr>
      <w:r>
        <w:rPr>
          <w:szCs w:val="24"/>
        </w:rPr>
        <w:t xml:space="preserve">Part 1: </w:t>
      </w:r>
      <w:r w:rsidR="00CD7731" w:rsidRPr="008E128F">
        <w:rPr>
          <w:szCs w:val="24"/>
        </w:rPr>
        <w:t> </w:t>
      </w:r>
      <w:r w:rsidR="0051437E">
        <w:t>PacifiCorp would</w:t>
      </w:r>
      <w:r w:rsidR="0051437E">
        <w:rPr>
          <w:szCs w:val="24"/>
        </w:rPr>
        <w:t xml:space="preserve"> i</w:t>
      </w:r>
      <w:r w:rsidR="00CD7731">
        <w:rPr>
          <w:szCs w:val="24"/>
        </w:rPr>
        <w:t xml:space="preserve">mmediately zero out the Schedule 95 </w:t>
      </w:r>
      <w:r w:rsidR="0051437E">
        <w:rPr>
          <w:szCs w:val="24"/>
        </w:rPr>
        <w:t xml:space="preserve">REC </w:t>
      </w:r>
      <w:r w:rsidR="00CD7731">
        <w:rPr>
          <w:szCs w:val="24"/>
        </w:rPr>
        <w:t>credit to ratepayers;</w:t>
      </w:r>
    </w:p>
    <w:p w:rsidR="00B36724" w:rsidRDefault="00B36724" w:rsidP="00B36724">
      <w:pPr>
        <w:ind w:left="720"/>
        <w:rPr>
          <w:szCs w:val="24"/>
        </w:rPr>
      </w:pPr>
    </w:p>
    <w:p w:rsidR="00CD7731" w:rsidRDefault="0016185C" w:rsidP="00B36724">
      <w:pPr>
        <w:ind w:left="1440" w:hanging="720"/>
        <w:rPr>
          <w:szCs w:val="24"/>
        </w:rPr>
      </w:pPr>
      <w:r>
        <w:rPr>
          <w:szCs w:val="24"/>
        </w:rPr>
        <w:t xml:space="preserve">Part 2:  </w:t>
      </w:r>
      <w:r w:rsidR="0051437E">
        <w:rPr>
          <w:szCs w:val="24"/>
        </w:rPr>
        <w:t xml:space="preserve">The Commission would </w:t>
      </w:r>
      <w:r w:rsidR="00CD7731">
        <w:rPr>
          <w:szCs w:val="24"/>
        </w:rPr>
        <w:t>A</w:t>
      </w:r>
      <w:r w:rsidR="00CD7731" w:rsidRPr="008E128F">
        <w:rPr>
          <w:szCs w:val="24"/>
        </w:rPr>
        <w:t xml:space="preserve">mend Order 06 </w:t>
      </w:r>
      <w:r w:rsidR="0051437E">
        <w:rPr>
          <w:szCs w:val="24"/>
        </w:rPr>
        <w:t>to  “</w:t>
      </w:r>
      <w:r w:rsidR="00CD7731">
        <w:rPr>
          <w:szCs w:val="24"/>
        </w:rPr>
        <w:t xml:space="preserve">clarify that the </w:t>
      </w:r>
      <w:r w:rsidR="00CD7731" w:rsidRPr="008E128F">
        <w:rPr>
          <w:szCs w:val="24"/>
        </w:rPr>
        <w:t>REC revenue bill credit established in that order does not pertain to historical REC proceeds, meaning those received from January 1, 2009</w:t>
      </w:r>
      <w:r w:rsidR="00CD7731">
        <w:rPr>
          <w:szCs w:val="24"/>
        </w:rPr>
        <w:t>,</w:t>
      </w:r>
      <w:r w:rsidR="00CD7731" w:rsidRPr="008E128F">
        <w:rPr>
          <w:szCs w:val="24"/>
        </w:rPr>
        <w:t xml:space="preserve"> through April 2, 2011</w:t>
      </w:r>
      <w:r w:rsidR="00CD7731">
        <w:rPr>
          <w:szCs w:val="24"/>
        </w:rPr>
        <w:t>”</w:t>
      </w:r>
      <w:r w:rsidR="00CD7731" w:rsidRPr="008E128F">
        <w:rPr>
          <w:szCs w:val="24"/>
        </w:rPr>
        <w:t xml:space="preserve">; and </w:t>
      </w:r>
    </w:p>
    <w:p w:rsidR="00B36724" w:rsidRDefault="00B36724" w:rsidP="00B36724">
      <w:pPr>
        <w:ind w:left="720"/>
        <w:rPr>
          <w:szCs w:val="24"/>
        </w:rPr>
      </w:pPr>
    </w:p>
    <w:p w:rsidR="00CD7731" w:rsidRDefault="0016185C" w:rsidP="00B36724">
      <w:pPr>
        <w:ind w:left="1440" w:hanging="720"/>
      </w:pPr>
      <w:r>
        <w:rPr>
          <w:szCs w:val="24"/>
        </w:rPr>
        <w:t xml:space="preserve">Part 3: </w:t>
      </w:r>
      <w:r w:rsidR="00CD7731" w:rsidRPr="008E128F">
        <w:rPr>
          <w:szCs w:val="24"/>
        </w:rPr>
        <w:t xml:space="preserve"> </w:t>
      </w:r>
      <w:r w:rsidR="0051437E">
        <w:rPr>
          <w:szCs w:val="24"/>
        </w:rPr>
        <w:t>The Commission would a</w:t>
      </w:r>
      <w:r>
        <w:rPr>
          <w:szCs w:val="24"/>
        </w:rPr>
        <w:t>uthorize</w:t>
      </w:r>
      <w:r w:rsidR="0051437E">
        <w:rPr>
          <w:szCs w:val="24"/>
        </w:rPr>
        <w:t xml:space="preserve"> PacifiCorp to use</w:t>
      </w:r>
      <w:r>
        <w:rPr>
          <w:szCs w:val="24"/>
        </w:rPr>
        <w:t xml:space="preserve"> </w:t>
      </w:r>
      <w:r w:rsidR="00CD7731" w:rsidRPr="008E128F">
        <w:rPr>
          <w:szCs w:val="24"/>
        </w:rPr>
        <w:t>deferred accounting for REC revenues in excess of those actually owed to customers for the period from April 3, 2011, through the date that the</w:t>
      </w:r>
      <w:r w:rsidR="00CD7731">
        <w:rPr>
          <w:szCs w:val="24"/>
        </w:rPr>
        <w:t xml:space="preserve"> Company’s proposed</w:t>
      </w:r>
      <w:r w:rsidR="00CD7731" w:rsidRPr="008E128F">
        <w:rPr>
          <w:szCs w:val="24"/>
        </w:rPr>
        <w:t xml:space="preserve"> revisions to Schedule 95 become effective.</w:t>
      </w:r>
      <w:r w:rsidR="00CD7731">
        <w:rPr>
          <w:rStyle w:val="FootnoteReference"/>
          <w:szCs w:val="24"/>
        </w:rPr>
        <w:footnoteReference w:id="1"/>
      </w:r>
      <w:r w:rsidR="00CD7731" w:rsidRPr="008E128F">
        <w:rPr>
          <w:szCs w:val="24"/>
        </w:rPr>
        <w:t xml:space="preserve">  </w:t>
      </w:r>
    </w:p>
    <w:p w:rsidR="00F33707" w:rsidRDefault="00F33707"/>
    <w:p w:rsidR="00F33707" w:rsidRDefault="009E7D38" w:rsidP="009E7D38">
      <w:pPr>
        <w:pStyle w:val="ListParagraph"/>
        <w:numPr>
          <w:ilvl w:val="0"/>
          <w:numId w:val="5"/>
        </w:numPr>
        <w:spacing w:line="480" w:lineRule="auto"/>
      </w:pPr>
      <w:r>
        <w:lastRenderedPageBreak/>
        <w:tab/>
      </w:r>
      <w:r w:rsidR="00CD7731">
        <w:t>The main reason the Company offers for all this is that between April</w:t>
      </w:r>
      <w:r w:rsidR="006254B7">
        <w:t xml:space="preserve"> </w:t>
      </w:r>
      <w:r w:rsidR="00CD7731">
        <w:t>3, 2011</w:t>
      </w:r>
      <w:r w:rsidR="0051437E">
        <w:t>,</w:t>
      </w:r>
      <w:r w:rsidR="00CD7731">
        <w:t xml:space="preserve"> and December</w:t>
      </w:r>
      <w:r w:rsidR="006254B7">
        <w:t xml:space="preserve"> 31</w:t>
      </w:r>
      <w:r w:rsidR="00CD7731">
        <w:t xml:space="preserve">, 2012, the Schedule 95 credit </w:t>
      </w:r>
      <w:r w:rsidR="006254B7">
        <w:t xml:space="preserve">allegedly </w:t>
      </w:r>
      <w:r w:rsidR="00CD7731">
        <w:t>will have refunded $2.6 million more than the Company received in REC revenues for th</w:t>
      </w:r>
      <w:r w:rsidR="006254B7">
        <w:t>at</w:t>
      </w:r>
      <w:r w:rsidR="00CD7731">
        <w:t xml:space="preserve"> same </w:t>
      </w:r>
      <w:r w:rsidR="006254B7">
        <w:t xml:space="preserve">21 month </w:t>
      </w:r>
      <w:r w:rsidR="00CD7731">
        <w:t>period.</w:t>
      </w:r>
      <w:r w:rsidR="00CD7731">
        <w:rPr>
          <w:rStyle w:val="FootnoteReference"/>
        </w:rPr>
        <w:footnoteReference w:id="2"/>
      </w:r>
      <w:r w:rsidR="00CD7731">
        <w:t xml:space="preserve"> </w:t>
      </w:r>
    </w:p>
    <w:p w:rsidR="00CD7731" w:rsidRDefault="009E7D38" w:rsidP="009E7D38">
      <w:pPr>
        <w:pStyle w:val="ListParagraph"/>
        <w:numPr>
          <w:ilvl w:val="0"/>
          <w:numId w:val="5"/>
        </w:numPr>
        <w:spacing w:line="480" w:lineRule="auto"/>
      </w:pPr>
      <w:r>
        <w:tab/>
      </w:r>
      <w:r w:rsidR="0016185C">
        <w:t xml:space="preserve">In fact, the </w:t>
      </w:r>
      <w:r w:rsidR="006254B7">
        <w:t xml:space="preserve">cause of this situation </w:t>
      </w:r>
      <w:r w:rsidR="00CD7731">
        <w:t xml:space="preserve">is that the Company has not complied with Order 06.  For the reasons stated below, the Commission should deny </w:t>
      </w:r>
      <w:r w:rsidR="006254B7">
        <w:t xml:space="preserve">Part 1 of </w:t>
      </w:r>
      <w:r w:rsidR="00CD7731">
        <w:t>PacifiCorp’s Motion</w:t>
      </w:r>
      <w:r w:rsidR="006254B7">
        <w:t xml:space="preserve">, </w:t>
      </w:r>
      <w:r w:rsidR="00CD7731">
        <w:t>and insist the Company comply with Order 06</w:t>
      </w:r>
      <w:r w:rsidR="006254B7">
        <w:t>; the Commission should grant Part 2 of PacifiCorp’s Mot</w:t>
      </w:r>
      <w:r w:rsidR="0016185C">
        <w:t>i</w:t>
      </w:r>
      <w:r w:rsidR="006254B7">
        <w:t xml:space="preserve">on; and the Commission should deny Part 3 of PacifiCorp’s Motion as </w:t>
      </w:r>
      <w:r w:rsidR="00843075">
        <w:t>unnecessary</w:t>
      </w:r>
      <w:r w:rsidR="006254B7">
        <w:t>.</w:t>
      </w:r>
    </w:p>
    <w:p w:rsidR="00F33707" w:rsidRPr="00CD7731" w:rsidRDefault="00CD7731" w:rsidP="00966249">
      <w:pPr>
        <w:ind w:left="720" w:hanging="720"/>
        <w:rPr>
          <w:b/>
        </w:rPr>
      </w:pPr>
      <w:r>
        <w:rPr>
          <w:b/>
        </w:rPr>
        <w:t>1.</w:t>
      </w:r>
      <w:r>
        <w:rPr>
          <w:b/>
        </w:rPr>
        <w:tab/>
        <w:t>Order 06 Required PacifiCorp to Institute a Series of 12 Month Credits</w:t>
      </w:r>
      <w:r w:rsidR="0016185C">
        <w:rPr>
          <w:b/>
        </w:rPr>
        <w:t xml:space="preserve"> of REC Revenues</w:t>
      </w:r>
      <w:r w:rsidR="00E259B1">
        <w:rPr>
          <w:b/>
        </w:rPr>
        <w:t xml:space="preserve">, Subject to </w:t>
      </w:r>
      <w:r>
        <w:rPr>
          <w:b/>
        </w:rPr>
        <w:t xml:space="preserve">True-up </w:t>
      </w:r>
    </w:p>
    <w:p w:rsidR="00F33707" w:rsidRDefault="00F33707"/>
    <w:p w:rsidR="00F33707" w:rsidRDefault="009E7D38" w:rsidP="009E7D38">
      <w:pPr>
        <w:pStyle w:val="ListParagraph"/>
        <w:numPr>
          <w:ilvl w:val="0"/>
          <w:numId w:val="5"/>
        </w:numPr>
        <w:spacing w:line="480" w:lineRule="auto"/>
      </w:pPr>
      <w:r>
        <w:tab/>
      </w:r>
      <w:r w:rsidR="00F33707">
        <w:t xml:space="preserve">In Order 06, the Commission ordered </w:t>
      </w:r>
      <w:r w:rsidR="006254B7">
        <w:t>a transitional mechanism</w:t>
      </w:r>
      <w:r w:rsidR="00C12B7D">
        <w:t xml:space="preserve"> under which </w:t>
      </w:r>
      <w:r w:rsidR="00F33707">
        <w:t xml:space="preserve">PacifiCorp </w:t>
      </w:r>
      <w:r w:rsidR="00C12B7D">
        <w:t xml:space="preserve">would </w:t>
      </w:r>
      <w:r w:rsidR="006254B7">
        <w:t xml:space="preserve">to </w:t>
      </w:r>
      <w:r w:rsidR="00F33707">
        <w:t>give back to ratepayers $4.8 million in REC revenues by means of “12 monthly credits”</w:t>
      </w:r>
      <w:r w:rsidR="00F33707">
        <w:rPr>
          <w:rStyle w:val="FootnoteReference"/>
        </w:rPr>
        <w:footnoteReference w:id="3"/>
      </w:r>
      <w:r w:rsidR="0059772E">
        <w:t xml:space="preserve"> spread over the rate year</w:t>
      </w:r>
      <w:r w:rsidR="005F6408">
        <w:t xml:space="preserve">, i.e., the twelve months ending </w:t>
      </w:r>
      <w:r w:rsidR="00CD7731">
        <w:t>April 2, 2012</w:t>
      </w:r>
      <w:r w:rsidR="0059772E">
        <w:t>.</w:t>
      </w:r>
      <w:r w:rsidR="005F6408">
        <w:rPr>
          <w:rStyle w:val="FootnoteReference"/>
        </w:rPr>
        <w:footnoteReference w:id="4"/>
      </w:r>
      <w:r w:rsidR="00F33707">
        <w:t xml:space="preserve">  At the end of the rate year</w:t>
      </w:r>
      <w:r w:rsidR="0059772E">
        <w:t xml:space="preserve">, </w:t>
      </w:r>
      <w:r w:rsidR="00CD7731">
        <w:t>i.e., on or about April 2, 201</w:t>
      </w:r>
      <w:r w:rsidR="00C12B7D">
        <w:t>2</w:t>
      </w:r>
      <w:r w:rsidR="00CD7731">
        <w:t xml:space="preserve">, </w:t>
      </w:r>
      <w:r w:rsidR="0059772E">
        <w:t>PacifiCorp was required to “submit a full accounting of REC proceeds actually received during the preceding 12 months.”</w:t>
      </w:r>
      <w:r w:rsidR="0059772E">
        <w:rPr>
          <w:rStyle w:val="FootnoteReference"/>
        </w:rPr>
        <w:footnoteReference w:id="5"/>
      </w:r>
      <w:r w:rsidR="0059772E">
        <w:t xml:space="preserve">  This accounting </w:t>
      </w:r>
      <w:r w:rsidR="00C233B5">
        <w:t xml:space="preserve">“will be considered in light of other information to determine if the amount of credits that should be returned to customers exceeds or falls short of the estimated $4.8 million upon which the initial credits are based.  In other words, the Commission will authorize </w:t>
      </w:r>
      <w:r w:rsidR="0059772E">
        <w:t>a true-up of the initial credits that can be reconciled as credits are paid during the following 12 months.”</w:t>
      </w:r>
      <w:r w:rsidR="0059772E">
        <w:rPr>
          <w:rStyle w:val="FootnoteReference"/>
        </w:rPr>
        <w:footnoteReference w:id="6"/>
      </w:r>
      <w:r w:rsidR="0059772E">
        <w:t xml:space="preserve"> </w:t>
      </w:r>
    </w:p>
    <w:p w:rsidR="0059772E" w:rsidRDefault="009E7D38" w:rsidP="009E7D38">
      <w:pPr>
        <w:pStyle w:val="ListParagraph"/>
        <w:numPr>
          <w:ilvl w:val="0"/>
          <w:numId w:val="5"/>
        </w:numPr>
        <w:spacing w:line="480" w:lineRule="auto"/>
      </w:pPr>
      <w:r>
        <w:lastRenderedPageBreak/>
        <w:tab/>
      </w:r>
      <w:r w:rsidR="00C233B5">
        <w:t xml:space="preserve">At the end of the rate year (i.e., around April 2, 2012), </w:t>
      </w:r>
      <w:r w:rsidR="006254B7">
        <w:t xml:space="preserve">the </w:t>
      </w:r>
      <w:r w:rsidR="0059772E">
        <w:t>Com</w:t>
      </w:r>
      <w:r w:rsidR="002C7F9A">
        <w:t xml:space="preserve">pany was </w:t>
      </w:r>
      <w:r w:rsidR="0059772E">
        <w:t>required to “provide an estimate of the REC proceeds its [sic] expects to receive</w:t>
      </w:r>
      <w:r w:rsidR="005F6408">
        <w:t xml:space="preserve"> during the [12 months following the end of the rate year]</w:t>
      </w:r>
      <w:r w:rsidR="00D82C99">
        <w:t>”,</w:t>
      </w:r>
      <w:r w:rsidR="0059772E">
        <w:t xml:space="preserve"> which would form the basis for the </w:t>
      </w:r>
      <w:r w:rsidR="005F6408">
        <w:t xml:space="preserve">REC </w:t>
      </w:r>
      <w:r w:rsidR="0059772E">
        <w:t>credit for that subsequent 12-month period.</w:t>
      </w:r>
      <w:r w:rsidR="0059772E">
        <w:rPr>
          <w:rStyle w:val="FootnoteReference"/>
        </w:rPr>
        <w:footnoteReference w:id="7"/>
      </w:r>
      <w:r w:rsidR="005F6408">
        <w:t xml:space="preserve">  The Commission required this </w:t>
      </w:r>
      <w:r w:rsidR="006254B7">
        <w:t xml:space="preserve">type of </w:t>
      </w:r>
      <w:r w:rsidR="005F6408">
        <w:t>filing every 12 months thereafter.</w:t>
      </w:r>
      <w:r w:rsidR="005F6408">
        <w:rPr>
          <w:rStyle w:val="FootnoteReference"/>
        </w:rPr>
        <w:footnoteReference w:id="8"/>
      </w:r>
      <w:r w:rsidR="005F6408">
        <w:t xml:space="preserve"> </w:t>
      </w:r>
      <w:r w:rsidR="006254B7">
        <w:t xml:space="preserve"> </w:t>
      </w:r>
    </w:p>
    <w:p w:rsidR="006254B7" w:rsidRDefault="009E7D38" w:rsidP="009E7D38">
      <w:pPr>
        <w:pStyle w:val="ListParagraph"/>
        <w:numPr>
          <w:ilvl w:val="0"/>
          <w:numId w:val="5"/>
        </w:numPr>
        <w:spacing w:line="480" w:lineRule="auto"/>
      </w:pPr>
      <w:r>
        <w:tab/>
      </w:r>
      <w:r w:rsidR="006254B7">
        <w:t xml:space="preserve">This mechanism was transitional because the Commission had not yet determined the full extent to which PacifiCorp would be required to return REC revenues to ratepayers.  In Order 06, the Commission set up a process for </w:t>
      </w:r>
      <w:r w:rsidR="0016185C">
        <w:t xml:space="preserve">making </w:t>
      </w:r>
      <w:r w:rsidR="006254B7">
        <w:t>such a determination.</w:t>
      </w:r>
      <w:r w:rsidR="006254B7">
        <w:rPr>
          <w:rStyle w:val="FootnoteReference"/>
        </w:rPr>
        <w:footnoteReference w:id="9"/>
      </w:r>
    </w:p>
    <w:p w:rsidR="0096189E" w:rsidRPr="0096189E" w:rsidRDefault="0096189E" w:rsidP="00F33707">
      <w:pPr>
        <w:spacing w:line="480" w:lineRule="auto"/>
        <w:rPr>
          <w:b/>
        </w:rPr>
      </w:pPr>
      <w:r>
        <w:rPr>
          <w:b/>
        </w:rPr>
        <w:t>2.</w:t>
      </w:r>
      <w:r>
        <w:rPr>
          <w:b/>
        </w:rPr>
        <w:tab/>
        <w:t>PacifiCorp Failed to Comply With Order 06</w:t>
      </w:r>
    </w:p>
    <w:p w:rsidR="005F6408" w:rsidRDefault="009E7D38" w:rsidP="009E7D38">
      <w:pPr>
        <w:pStyle w:val="ListParagraph"/>
        <w:numPr>
          <w:ilvl w:val="0"/>
          <w:numId w:val="5"/>
        </w:numPr>
        <w:spacing w:line="480" w:lineRule="auto"/>
      </w:pPr>
      <w:r>
        <w:tab/>
      </w:r>
      <w:r w:rsidR="006254B7">
        <w:t xml:space="preserve">The simple fact is that </w:t>
      </w:r>
      <w:r w:rsidR="0059772E">
        <w:t xml:space="preserve">PacifiCorp failed to </w:t>
      </w:r>
      <w:r w:rsidR="005F6408">
        <w:t>comply with Order 06</w:t>
      </w:r>
      <w:r w:rsidR="0096189E">
        <w:t xml:space="preserve">.  </w:t>
      </w:r>
      <w:r w:rsidR="006254B7">
        <w:t>Specifically, a</w:t>
      </w:r>
      <w:r w:rsidR="0096189E">
        <w:t xml:space="preserve">t the end of the rate year (April 2, </w:t>
      </w:r>
      <w:r w:rsidR="00F84AC7">
        <w:t>2012</w:t>
      </w:r>
      <w:r w:rsidR="0096189E">
        <w:t xml:space="preserve">), </w:t>
      </w:r>
      <w:r w:rsidR="005F6408">
        <w:t xml:space="preserve">PacifiCorp failed to submit to the Commission </w:t>
      </w:r>
      <w:r w:rsidR="0059772E">
        <w:t xml:space="preserve">the “full accounting” </w:t>
      </w:r>
      <w:r w:rsidR="005F6408">
        <w:t xml:space="preserve">of REC revenues it </w:t>
      </w:r>
      <w:r w:rsidR="00C233B5">
        <w:t xml:space="preserve">“actually </w:t>
      </w:r>
      <w:r w:rsidR="005F6408">
        <w:t>received</w:t>
      </w:r>
      <w:r w:rsidR="00C233B5">
        <w:t>”</w:t>
      </w:r>
      <w:r w:rsidR="005F6408">
        <w:t xml:space="preserve"> during the rate year</w:t>
      </w:r>
      <w:r w:rsidR="0096189E">
        <w:t xml:space="preserve">, and </w:t>
      </w:r>
      <w:r w:rsidR="005F6408">
        <w:t xml:space="preserve">PacifiCorp failed to </w:t>
      </w:r>
      <w:r w:rsidR="0059772E">
        <w:t xml:space="preserve">provide </w:t>
      </w:r>
      <w:r w:rsidR="005F6408">
        <w:t xml:space="preserve">the Commission </w:t>
      </w:r>
      <w:r w:rsidR="0059772E">
        <w:t xml:space="preserve">an estimate of REC revenues for the ensuing 12-month period.  </w:t>
      </w:r>
    </w:p>
    <w:p w:rsidR="0096189E" w:rsidRDefault="009E7D38" w:rsidP="009E7D38">
      <w:pPr>
        <w:pStyle w:val="ListParagraph"/>
        <w:numPr>
          <w:ilvl w:val="0"/>
          <w:numId w:val="5"/>
        </w:numPr>
        <w:spacing w:line="480" w:lineRule="auto"/>
      </w:pPr>
      <w:r>
        <w:tab/>
      </w:r>
      <w:r w:rsidR="005F6408">
        <w:t xml:space="preserve">As a </w:t>
      </w:r>
      <w:r w:rsidR="006254B7">
        <w:t>consequence</w:t>
      </w:r>
      <w:r w:rsidR="006254B7" w:rsidDel="006254B7">
        <w:t xml:space="preserve"> </w:t>
      </w:r>
      <w:r w:rsidR="005F6408">
        <w:t xml:space="preserve">, </w:t>
      </w:r>
      <w:r w:rsidR="0016185C">
        <w:t xml:space="preserve">PacifiCorp never made </w:t>
      </w:r>
      <w:r w:rsidR="006254B7">
        <w:t xml:space="preserve">the rate </w:t>
      </w:r>
      <w:r w:rsidR="005F6408">
        <w:t xml:space="preserve">change to the </w:t>
      </w:r>
      <w:r w:rsidR="0096189E">
        <w:t xml:space="preserve">Schedule 95 </w:t>
      </w:r>
      <w:r w:rsidR="005F6408">
        <w:t>credit</w:t>
      </w:r>
      <w:r w:rsidR="0096189E">
        <w:t xml:space="preserve"> based on anticipated </w:t>
      </w:r>
      <w:r w:rsidR="005F6408">
        <w:t>REC sales for the 12 months following the rate year</w:t>
      </w:r>
      <w:r w:rsidR="006254B7">
        <w:t xml:space="preserve">, and there was </w:t>
      </w:r>
      <w:r w:rsidR="005F6408">
        <w:t>no true-up determined</w:t>
      </w:r>
      <w:r w:rsidR="0096189E">
        <w:t xml:space="preserve"> based on any difference between the amount PacifiCorp credited during the rate year and the amount of REC revenues PacifiCorp </w:t>
      </w:r>
      <w:r w:rsidR="00C233B5">
        <w:t>“should have … returned to customers”</w:t>
      </w:r>
      <w:r w:rsidR="005F6408">
        <w:t xml:space="preserve">.  </w:t>
      </w:r>
    </w:p>
    <w:p w:rsidR="0059772E" w:rsidRDefault="009E7D38" w:rsidP="009E7D38">
      <w:pPr>
        <w:pStyle w:val="ListParagraph"/>
        <w:numPr>
          <w:ilvl w:val="0"/>
          <w:numId w:val="5"/>
        </w:numPr>
        <w:spacing w:line="480" w:lineRule="auto"/>
      </w:pPr>
      <w:r>
        <w:tab/>
      </w:r>
      <w:r w:rsidR="0059772E">
        <w:t xml:space="preserve">Instead, PacifiCorp </w:t>
      </w:r>
      <w:r w:rsidR="005F6408">
        <w:t>simply kept the initial REC payback tariff in place</w:t>
      </w:r>
      <w:r w:rsidR="00C12B7D">
        <w:t xml:space="preserve">.  Now, PacifiCorp </w:t>
      </w:r>
      <w:r w:rsidR="005F6408">
        <w:t>claims it has returned too much REC revenues to ratepayers</w:t>
      </w:r>
      <w:r w:rsidR="0096189E">
        <w:t xml:space="preserve">, and hopes </w:t>
      </w:r>
      <w:r w:rsidR="006254B7">
        <w:t xml:space="preserve">the Commission will </w:t>
      </w:r>
      <w:r w:rsidR="00F84AC7">
        <w:t>set the</w:t>
      </w:r>
      <w:r w:rsidR="0016185C">
        <w:t xml:space="preserve"> </w:t>
      </w:r>
      <w:r w:rsidR="0096189E">
        <w:t>Schedule 95</w:t>
      </w:r>
      <w:r w:rsidR="00F84AC7">
        <w:t xml:space="preserve"> rate to zero</w:t>
      </w:r>
      <w:r w:rsidR="005F6408">
        <w:t>.</w:t>
      </w:r>
      <w:r w:rsidR="0096189E">
        <w:t xml:space="preserve">  </w:t>
      </w:r>
    </w:p>
    <w:p w:rsidR="0096189E" w:rsidRDefault="0096189E" w:rsidP="009E7D38">
      <w:pPr>
        <w:spacing w:line="480" w:lineRule="auto"/>
        <w:rPr>
          <w:b/>
        </w:rPr>
      </w:pPr>
      <w:r>
        <w:rPr>
          <w:b/>
        </w:rPr>
        <w:lastRenderedPageBreak/>
        <w:t>3.</w:t>
      </w:r>
      <w:r>
        <w:rPr>
          <w:b/>
        </w:rPr>
        <w:tab/>
      </w:r>
      <w:r w:rsidR="006254B7">
        <w:rPr>
          <w:b/>
        </w:rPr>
        <w:t>T</w:t>
      </w:r>
      <w:r>
        <w:rPr>
          <w:b/>
        </w:rPr>
        <w:t>he Commission Should Insist PacifiCorp</w:t>
      </w:r>
      <w:r w:rsidR="00966249">
        <w:rPr>
          <w:b/>
        </w:rPr>
        <w:t xml:space="preserve"> </w:t>
      </w:r>
      <w:r>
        <w:rPr>
          <w:b/>
        </w:rPr>
        <w:t>Comply With Order 06</w:t>
      </w:r>
    </w:p>
    <w:p w:rsidR="00C12B7D" w:rsidRDefault="009E7D38" w:rsidP="009E7D38">
      <w:pPr>
        <w:pStyle w:val="ListParagraph"/>
        <w:numPr>
          <w:ilvl w:val="0"/>
          <w:numId w:val="5"/>
        </w:numPr>
        <w:spacing w:line="480" w:lineRule="auto"/>
      </w:pPr>
      <w:r>
        <w:tab/>
      </w:r>
      <w:r w:rsidR="00C12B7D">
        <w:t>The Commission should deny Part 1 of PacifiCorp’s Motion, because z</w:t>
      </w:r>
      <w:r w:rsidR="0096189E">
        <w:t xml:space="preserve">eroing out Schedule 95 </w:t>
      </w:r>
      <w:r w:rsidR="00F90C54">
        <w:t>violates Order 06</w:t>
      </w:r>
      <w:r w:rsidR="00C12B7D">
        <w:t>.  A</w:t>
      </w:r>
      <w:r w:rsidR="00F90C54">
        <w:t xml:space="preserve">s we have explained, Order 06 contemplates an ongoing REC credit tariff.  </w:t>
      </w:r>
    </w:p>
    <w:p w:rsidR="00415807" w:rsidRDefault="009E7D38" w:rsidP="009E7D38">
      <w:pPr>
        <w:pStyle w:val="ListParagraph"/>
        <w:numPr>
          <w:ilvl w:val="0"/>
          <w:numId w:val="5"/>
        </w:numPr>
        <w:spacing w:line="480" w:lineRule="auto"/>
      </w:pPr>
      <w:r>
        <w:tab/>
      </w:r>
      <w:r w:rsidR="0016185C">
        <w:t xml:space="preserve">The Commission should </w:t>
      </w:r>
      <w:r w:rsidR="00F90C54">
        <w:t xml:space="preserve">order PacifiCorp to comply with Order 06 by: 1) submitting </w:t>
      </w:r>
      <w:r w:rsidR="00C233B5">
        <w:t xml:space="preserve">the amount of REC revenues the Company returned to customers during the rate year; and 2) submitting </w:t>
      </w:r>
      <w:r w:rsidR="00F90C54">
        <w:t xml:space="preserve">a </w:t>
      </w:r>
      <w:r w:rsidR="00C233B5">
        <w:t>“</w:t>
      </w:r>
      <w:r w:rsidR="00F90C54">
        <w:t>full accounting of the REC proceeds actually received during the rate year</w:t>
      </w:r>
      <w:r w:rsidR="00C233B5">
        <w:t>”.  The Commission can then determine, “in light of other information” whether PacifiCorp has returned the correct amount of REC revenues, and if not, the amount of a true-up (plus or minus)</w:t>
      </w:r>
      <w:r w:rsidR="00843075">
        <w:t>.</w:t>
      </w:r>
      <w:r w:rsidR="00596474">
        <w:t xml:space="preserve">  Finally, the Commission should order PacifiCorp to: </w:t>
      </w:r>
      <w:r w:rsidR="00F90C54">
        <w:t xml:space="preserve">3) </w:t>
      </w:r>
      <w:r w:rsidR="006254B7">
        <w:t>p</w:t>
      </w:r>
      <w:r w:rsidR="00415807">
        <w:t>rovid</w:t>
      </w:r>
      <w:r w:rsidR="00E259B1">
        <w:t>e</w:t>
      </w:r>
      <w:r w:rsidR="00415807">
        <w:t xml:space="preserve"> an estimate of the REC proceeds PacifiCorp expects to receive during the 12 months after the end of the rate year.</w:t>
      </w:r>
      <w:r w:rsidR="00F90C54">
        <w:t xml:space="preserve"> </w:t>
      </w:r>
      <w:r w:rsidR="00415807">
        <w:t xml:space="preserve"> The </w:t>
      </w:r>
      <w:r w:rsidR="006254B7">
        <w:t xml:space="preserve">amount of the </w:t>
      </w:r>
      <w:r w:rsidR="009A2DDE">
        <w:t xml:space="preserve">new </w:t>
      </w:r>
      <w:r w:rsidR="00415807">
        <w:t>Schedule 95 credit would be based on that estimate, net of any true-up from the rate year.</w:t>
      </w:r>
    </w:p>
    <w:p w:rsidR="00415807" w:rsidRDefault="009E7D38" w:rsidP="009E7D38">
      <w:pPr>
        <w:pStyle w:val="ListParagraph"/>
        <w:numPr>
          <w:ilvl w:val="0"/>
          <w:numId w:val="5"/>
        </w:numPr>
        <w:spacing w:line="480" w:lineRule="auto"/>
      </w:pPr>
      <w:r>
        <w:tab/>
      </w:r>
      <w:r w:rsidR="00966249">
        <w:t xml:space="preserve">Looking </w:t>
      </w:r>
      <w:r w:rsidR="00415807">
        <w:t>ahead to the end of that second 12-month period (i.e., the 12 months after the end of the rate year</w:t>
      </w:r>
      <w:r w:rsidR="00C12B7D">
        <w:t>:</w:t>
      </w:r>
      <w:r w:rsidR="00415807">
        <w:t xml:space="preserve"> the 12 months ended April 2, 2013), </w:t>
      </w:r>
      <w:r w:rsidR="006254B7">
        <w:t xml:space="preserve">around April 2, 2013, </w:t>
      </w:r>
      <w:r w:rsidR="00415807">
        <w:t xml:space="preserve">the Company would file a “full accounting” of what it paid out under </w:t>
      </w:r>
      <w:r w:rsidR="00B36724">
        <w:t xml:space="preserve">that new </w:t>
      </w:r>
      <w:r w:rsidR="00415807">
        <w:t xml:space="preserve">Schedule 95 </w:t>
      </w:r>
      <w:r w:rsidR="00B36724">
        <w:t xml:space="preserve">rate </w:t>
      </w:r>
      <w:r w:rsidR="00415807">
        <w:t xml:space="preserve">and what REC revenues </w:t>
      </w:r>
      <w:r w:rsidR="00596474">
        <w:t xml:space="preserve">it </w:t>
      </w:r>
      <w:r w:rsidR="00C12B7D">
        <w:t>“actually received”</w:t>
      </w:r>
      <w:r w:rsidR="00415807">
        <w:t xml:space="preserve"> during that period.  </w:t>
      </w:r>
      <w:r w:rsidR="0016185C">
        <w:t>The Commission would establish a</w:t>
      </w:r>
      <w:r w:rsidR="00415807">
        <w:t xml:space="preserve"> new Schedule 95 rate at that point</w:t>
      </w:r>
      <w:r w:rsidR="00596474">
        <w:t>, with whatever true-up is necessary at that time</w:t>
      </w:r>
      <w:r w:rsidR="00415807">
        <w:t xml:space="preserve">.  </w:t>
      </w:r>
      <w:r w:rsidR="0016185C">
        <w:t>Of course, t</w:t>
      </w:r>
      <w:r w:rsidR="00415807">
        <w:t xml:space="preserve">he Commission may or may not have a different mechanism in place by that time, pursuant to </w:t>
      </w:r>
      <w:r w:rsidR="00B36724">
        <w:t>Order 10</w:t>
      </w:r>
      <w:r w:rsidR="00415807">
        <w:t xml:space="preserve">.  However, </w:t>
      </w:r>
      <w:r w:rsidR="00C12B7D">
        <w:t xml:space="preserve">in the meantime, Order 06 provides the </w:t>
      </w:r>
      <w:r w:rsidR="00415807">
        <w:t xml:space="preserve">Commission-ordered process, and </w:t>
      </w:r>
      <w:r w:rsidR="009A2DDE">
        <w:t xml:space="preserve">PacifiCorp </w:t>
      </w:r>
      <w:r w:rsidR="00415807">
        <w:t>should follow</w:t>
      </w:r>
      <w:r w:rsidR="009A2DDE">
        <w:t xml:space="preserve"> it </w:t>
      </w:r>
      <w:r w:rsidR="0016185C">
        <w:t xml:space="preserve">until </w:t>
      </w:r>
      <w:r w:rsidR="009A2DDE">
        <w:t xml:space="preserve">that process is </w:t>
      </w:r>
      <w:r w:rsidR="0016185C">
        <w:t>changed</w:t>
      </w:r>
      <w:r w:rsidR="00415807">
        <w:t>.  Notably, PacifiCorp asks for no change in th</w:t>
      </w:r>
      <w:r w:rsidR="0016185C">
        <w:t>is</w:t>
      </w:r>
      <w:r w:rsidR="00415807">
        <w:t xml:space="preserve"> process</w:t>
      </w:r>
      <w:r w:rsidR="009A2DDE">
        <w:t>.  There is no reason to abandon it</w:t>
      </w:r>
      <w:r w:rsidR="00415807">
        <w:t xml:space="preserve">. </w:t>
      </w:r>
    </w:p>
    <w:p w:rsidR="00415807" w:rsidRDefault="00415807" w:rsidP="005732D4">
      <w:pPr>
        <w:keepNext/>
        <w:ind w:left="720" w:hanging="720"/>
        <w:rPr>
          <w:b/>
        </w:rPr>
      </w:pPr>
      <w:r>
        <w:rPr>
          <w:b/>
        </w:rPr>
        <w:lastRenderedPageBreak/>
        <w:t>4.</w:t>
      </w:r>
      <w:r>
        <w:rPr>
          <w:b/>
        </w:rPr>
        <w:tab/>
        <w:t xml:space="preserve">The Commission </w:t>
      </w:r>
      <w:r w:rsidR="0016185C">
        <w:rPr>
          <w:b/>
        </w:rPr>
        <w:t>C</w:t>
      </w:r>
      <w:r w:rsidR="00D82C99">
        <w:rPr>
          <w:b/>
        </w:rPr>
        <w:t>an</w:t>
      </w:r>
      <w:r>
        <w:rPr>
          <w:b/>
        </w:rPr>
        <w:t xml:space="preserve"> </w:t>
      </w:r>
      <w:r w:rsidR="0016185C">
        <w:rPr>
          <w:b/>
        </w:rPr>
        <w:t>C</w:t>
      </w:r>
      <w:r w:rsidR="00D82C99">
        <w:rPr>
          <w:b/>
        </w:rPr>
        <w:t>larify</w:t>
      </w:r>
      <w:r>
        <w:rPr>
          <w:b/>
        </w:rPr>
        <w:t xml:space="preserve"> that </w:t>
      </w:r>
      <w:r w:rsidR="00D82C99">
        <w:rPr>
          <w:b/>
        </w:rPr>
        <w:t>Order</w:t>
      </w:r>
      <w:r>
        <w:rPr>
          <w:b/>
        </w:rPr>
        <w:t xml:space="preserve"> 06 </w:t>
      </w:r>
      <w:r w:rsidR="0016185C">
        <w:rPr>
          <w:b/>
        </w:rPr>
        <w:t>P</w:t>
      </w:r>
      <w:r>
        <w:rPr>
          <w:b/>
        </w:rPr>
        <w:t xml:space="preserve">ertained </w:t>
      </w:r>
      <w:r w:rsidR="0016185C">
        <w:rPr>
          <w:b/>
        </w:rPr>
        <w:t>O</w:t>
      </w:r>
      <w:r>
        <w:rPr>
          <w:b/>
        </w:rPr>
        <w:t xml:space="preserve">nly to Rate </w:t>
      </w:r>
      <w:r w:rsidR="00D82C99">
        <w:rPr>
          <w:b/>
        </w:rPr>
        <w:t>Year REC</w:t>
      </w:r>
      <w:r>
        <w:rPr>
          <w:b/>
        </w:rPr>
        <w:t xml:space="preserve"> Revenues</w:t>
      </w:r>
    </w:p>
    <w:p w:rsidR="00415807" w:rsidRDefault="00415807" w:rsidP="00B36724">
      <w:pPr>
        <w:rPr>
          <w:b/>
        </w:rPr>
      </w:pPr>
    </w:p>
    <w:p w:rsidR="0016185C" w:rsidRDefault="009E7D38" w:rsidP="009E7D38">
      <w:pPr>
        <w:pStyle w:val="ListParagraph"/>
        <w:numPr>
          <w:ilvl w:val="0"/>
          <w:numId w:val="5"/>
        </w:numPr>
        <w:spacing w:line="480" w:lineRule="auto"/>
      </w:pPr>
      <w:r>
        <w:tab/>
      </w:r>
      <w:r w:rsidR="00415807" w:rsidRPr="00415807">
        <w:t>Staff agrees with PacifiCorp that the Sched</w:t>
      </w:r>
      <w:r w:rsidR="00415807">
        <w:t>u</w:t>
      </w:r>
      <w:r w:rsidR="00415807" w:rsidRPr="00415807">
        <w:t xml:space="preserve">le 95 </w:t>
      </w:r>
      <w:r w:rsidR="00415807">
        <w:t>rate credit est</w:t>
      </w:r>
      <w:r w:rsidR="00D82C99">
        <w:t>ablished in Order 06, Paragraphs 204 -206</w:t>
      </w:r>
      <w:r w:rsidR="0016185C">
        <w:t>,</w:t>
      </w:r>
      <w:r w:rsidR="00D82C99">
        <w:t xml:space="preserve"> was for REC revenues </w:t>
      </w:r>
      <w:r w:rsidR="00E259B1">
        <w:t xml:space="preserve">attributable to </w:t>
      </w:r>
      <w:r w:rsidR="00D82C99">
        <w:t xml:space="preserve">the rate year and </w:t>
      </w:r>
      <w:r w:rsidR="0016185C">
        <w:t xml:space="preserve">in </w:t>
      </w:r>
      <w:r w:rsidR="00D82C99">
        <w:t>subsequent 12-month periods</w:t>
      </w:r>
      <w:r w:rsidR="00C66F33">
        <w:t>,</w:t>
      </w:r>
      <w:r w:rsidR="0016185C">
        <w:t xml:space="preserve"> for as long as the transitional mechanism would last</w:t>
      </w:r>
      <w:r w:rsidR="00D82C99">
        <w:t xml:space="preserve">.  That is the only sensible reading because of the true-up process </w:t>
      </w:r>
      <w:r w:rsidR="00B36724">
        <w:t xml:space="preserve">described </w:t>
      </w:r>
      <w:r w:rsidR="00D82C99">
        <w:t xml:space="preserve">in Paragraph 205.  </w:t>
      </w:r>
      <w:r w:rsidR="00C66F33">
        <w:t xml:space="preserve">In other words, </w:t>
      </w:r>
      <w:r w:rsidR="0016185C">
        <w:t xml:space="preserve">it makes no sense </w:t>
      </w:r>
      <w:r w:rsidR="00596474">
        <w:t>for PacifiCorp to submit a “full accounting</w:t>
      </w:r>
      <w:r w:rsidR="00E259B1">
        <w:t>”</w:t>
      </w:r>
      <w:r w:rsidR="00596474">
        <w:t xml:space="preserve"> of </w:t>
      </w:r>
      <w:r w:rsidR="00B36724">
        <w:t xml:space="preserve">REC revenues “actually received” </w:t>
      </w:r>
      <w:r w:rsidR="00596474">
        <w:t xml:space="preserve">during the rate year </w:t>
      </w:r>
      <w:r w:rsidR="0016185C">
        <w:t xml:space="preserve">if the Commission intended the Company to pay out REC revenues </w:t>
      </w:r>
      <w:r w:rsidR="00596474">
        <w:t>attributable to other periods</w:t>
      </w:r>
      <w:r w:rsidR="0016185C">
        <w:t>.</w:t>
      </w:r>
      <w:r w:rsidR="009A2DDE">
        <w:rPr>
          <w:rStyle w:val="FootnoteReference"/>
        </w:rPr>
        <w:footnoteReference w:id="10"/>
      </w:r>
      <w:r w:rsidR="0016185C">
        <w:t xml:space="preserve">  </w:t>
      </w:r>
    </w:p>
    <w:p w:rsidR="00D82C99" w:rsidRDefault="009E7D38" w:rsidP="009E7D38">
      <w:pPr>
        <w:pStyle w:val="ListParagraph"/>
        <w:numPr>
          <w:ilvl w:val="0"/>
          <w:numId w:val="5"/>
        </w:numPr>
        <w:spacing w:line="480" w:lineRule="auto"/>
      </w:pPr>
      <w:r>
        <w:tab/>
      </w:r>
      <w:r w:rsidR="00D82C99">
        <w:t>Notably, in Paragraph 207</w:t>
      </w:r>
      <w:r w:rsidR="009A2DDE">
        <w:t xml:space="preserve"> of Order 06</w:t>
      </w:r>
      <w:r w:rsidR="00D82C99">
        <w:t xml:space="preserve">, the Commission specifically requested additional briefing on the REC revenue vintage issue, </w:t>
      </w:r>
      <w:r w:rsidR="0016185C">
        <w:t xml:space="preserve">and other issues, </w:t>
      </w:r>
      <w:r w:rsidR="00D82C99">
        <w:t>but indicated that “we do not finally resolve these questions in this Order.”</w:t>
      </w:r>
      <w:r w:rsidR="00D82C99">
        <w:rPr>
          <w:rStyle w:val="FootnoteReference"/>
        </w:rPr>
        <w:footnoteReference w:id="11"/>
      </w:r>
      <w:r w:rsidR="00D82C99">
        <w:t xml:space="preserve">  The Commission recently has resolved these questions, but has yet to decide the mechanism for passing back the appropriate amount of REC revenues to ratepayers.  Thus, </w:t>
      </w:r>
      <w:r w:rsidR="009A2DDE">
        <w:t xml:space="preserve">while </w:t>
      </w:r>
      <w:r w:rsidR="00D82C99">
        <w:t xml:space="preserve">the </w:t>
      </w:r>
      <w:r w:rsidR="00C66F33">
        <w:t xml:space="preserve">REC </w:t>
      </w:r>
      <w:r w:rsidR="00D82C99">
        <w:t xml:space="preserve">rate credit mechanism </w:t>
      </w:r>
      <w:r w:rsidR="0016185C">
        <w:t xml:space="preserve">in Order 06 is </w:t>
      </w:r>
      <w:r w:rsidR="00D82C99">
        <w:t xml:space="preserve">a </w:t>
      </w:r>
      <w:r w:rsidR="0016185C">
        <w:t xml:space="preserve">transitional </w:t>
      </w:r>
      <w:r w:rsidR="00D82C99">
        <w:t>me</w:t>
      </w:r>
      <w:r w:rsidR="0016185C">
        <w:t>chanism,</w:t>
      </w:r>
      <w:r w:rsidR="009A2DDE">
        <w:t xml:space="preserve"> it should be followed</w:t>
      </w:r>
      <w:r w:rsidR="00C66F33">
        <w:t xml:space="preserve"> as long as it is in effect,</w:t>
      </w:r>
      <w:r w:rsidR="009A2DDE">
        <w:t xml:space="preserve"> </w:t>
      </w:r>
      <w:r w:rsidR="00D82C99">
        <w:t>subject to reconciliation in the final mechanism.</w:t>
      </w:r>
    </w:p>
    <w:p w:rsidR="0096189E" w:rsidRDefault="00D82C99" w:rsidP="005F6408">
      <w:pPr>
        <w:spacing w:line="480" w:lineRule="auto"/>
      </w:pPr>
      <w:r>
        <w:rPr>
          <w:b/>
        </w:rPr>
        <w:t>5.</w:t>
      </w:r>
      <w:r>
        <w:rPr>
          <w:b/>
        </w:rPr>
        <w:tab/>
        <w:t xml:space="preserve">PacifiCorp’s Request for Deferred Accounting is </w:t>
      </w:r>
      <w:r w:rsidR="00843075">
        <w:rPr>
          <w:b/>
        </w:rPr>
        <w:t>Unnecessary</w:t>
      </w:r>
      <w:r>
        <w:t xml:space="preserve"> </w:t>
      </w:r>
    </w:p>
    <w:p w:rsidR="00D82C99" w:rsidRDefault="009E7D38" w:rsidP="009E7D38">
      <w:pPr>
        <w:pStyle w:val="ListParagraph"/>
        <w:numPr>
          <w:ilvl w:val="0"/>
          <w:numId w:val="5"/>
        </w:numPr>
        <w:spacing w:line="480" w:lineRule="auto"/>
      </w:pPr>
      <w:r>
        <w:tab/>
      </w:r>
      <w:r w:rsidR="00D82C99">
        <w:t xml:space="preserve">The Commission does not need to grant </w:t>
      </w:r>
      <w:r w:rsidR="0016185C">
        <w:t xml:space="preserve">Part 3 of the </w:t>
      </w:r>
      <w:r w:rsidR="00C66F33">
        <w:t xml:space="preserve">Company’s </w:t>
      </w:r>
      <w:r w:rsidR="0016185C">
        <w:t xml:space="preserve">Motion, in which </w:t>
      </w:r>
      <w:r w:rsidR="00D82C99">
        <w:t xml:space="preserve">PacifiCorp </w:t>
      </w:r>
      <w:r w:rsidR="0016185C">
        <w:t xml:space="preserve">seeks </w:t>
      </w:r>
      <w:r w:rsidR="00D82C99">
        <w:t xml:space="preserve">permission </w:t>
      </w:r>
      <w:r w:rsidR="0016185C">
        <w:t xml:space="preserve">to use </w:t>
      </w:r>
      <w:r w:rsidR="00D82C99">
        <w:t xml:space="preserve">deferred accounting </w:t>
      </w:r>
      <w:r w:rsidR="0016185C">
        <w:t xml:space="preserve">for </w:t>
      </w:r>
      <w:r w:rsidR="00D82C99">
        <w:t xml:space="preserve">any excess of REC payments </w:t>
      </w:r>
      <w:r w:rsidR="00D82C99">
        <w:lastRenderedPageBreak/>
        <w:t xml:space="preserve">over REC proceeds.  </w:t>
      </w:r>
      <w:r w:rsidR="0016185C">
        <w:t xml:space="preserve">As we have explained, </w:t>
      </w:r>
      <w:r w:rsidR="00D82C99">
        <w:t xml:space="preserve">Order 06 </w:t>
      </w:r>
      <w:r w:rsidR="0016185C">
        <w:t xml:space="preserve">specifically calls for </w:t>
      </w:r>
      <w:r w:rsidR="00D82C99">
        <w:t>a “true-up”.  Th</w:t>
      </w:r>
      <w:r w:rsidR="0016185C">
        <w:t xml:space="preserve">erefore, </w:t>
      </w:r>
      <w:r w:rsidR="00C12B7D">
        <w:t>Order 06</w:t>
      </w:r>
      <w:r w:rsidR="0016185C">
        <w:t xml:space="preserve"> </w:t>
      </w:r>
      <w:r w:rsidR="00D82C99">
        <w:t>contemplates deferral</w:t>
      </w:r>
      <w:r w:rsidR="00596474">
        <w:t>s</w:t>
      </w:r>
      <w:r w:rsidR="00D82C99">
        <w:t xml:space="preserve"> of any difference between the amount of REC monies credited to ratepayers </w:t>
      </w:r>
      <w:r w:rsidR="009A2DDE">
        <w:t xml:space="preserve">through Schedule 95 </w:t>
      </w:r>
      <w:r w:rsidR="00D82C99">
        <w:t xml:space="preserve">and the amount of REC revenues the </w:t>
      </w:r>
      <w:r w:rsidR="00596474">
        <w:t xml:space="preserve">Commission determines the </w:t>
      </w:r>
      <w:r w:rsidR="00D82C99">
        <w:t xml:space="preserve">Company </w:t>
      </w:r>
      <w:r w:rsidR="00596474">
        <w:t>should have credited</w:t>
      </w:r>
      <w:r w:rsidR="00D82C99">
        <w:t>.  Further Commission authorization is unnecessary.</w:t>
      </w:r>
    </w:p>
    <w:p w:rsidR="00C40D8B" w:rsidRPr="00D335A3" w:rsidRDefault="00C40D8B" w:rsidP="00C40D8B">
      <w:pPr>
        <w:ind w:left="720"/>
        <w:rPr>
          <w:rFonts w:cs="Times New Roman"/>
        </w:rPr>
      </w:pPr>
      <w:r w:rsidRPr="00D335A3">
        <w:rPr>
          <w:rFonts w:cs="Times New Roman"/>
        </w:rPr>
        <w:t xml:space="preserve">DATED this </w:t>
      </w:r>
      <w:r>
        <w:rPr>
          <w:rFonts w:cs="Times New Roman"/>
        </w:rPr>
        <w:t>20</w:t>
      </w:r>
      <w:r w:rsidRPr="00D335A3">
        <w:rPr>
          <w:rFonts w:cs="Times New Roman"/>
          <w:vertAlign w:val="superscript"/>
        </w:rPr>
        <w:t>th</w:t>
      </w:r>
      <w:r w:rsidRPr="00D335A3">
        <w:rPr>
          <w:rFonts w:cs="Times New Roman"/>
        </w:rPr>
        <w:t xml:space="preserve"> day of </w:t>
      </w:r>
      <w:r>
        <w:rPr>
          <w:rFonts w:cs="Times New Roman"/>
        </w:rPr>
        <w:t>Dec</w:t>
      </w:r>
      <w:r w:rsidRPr="00D335A3">
        <w:rPr>
          <w:rFonts w:cs="Times New Roman"/>
        </w:rPr>
        <w:t>ember 2012.</w:t>
      </w:r>
    </w:p>
    <w:p w:rsidR="00C40D8B" w:rsidRPr="00D335A3" w:rsidRDefault="00C40D8B" w:rsidP="00C40D8B">
      <w:pPr>
        <w:ind w:left="720"/>
        <w:rPr>
          <w:rFonts w:cs="Times New Roman"/>
        </w:rPr>
      </w:pPr>
    </w:p>
    <w:p w:rsidR="00C40D8B" w:rsidRPr="00D335A3" w:rsidRDefault="00C40D8B" w:rsidP="00C40D8B">
      <w:pPr>
        <w:ind w:left="720"/>
        <w:rPr>
          <w:rFonts w:cs="Times New Roman"/>
        </w:rPr>
      </w:pPr>
      <w:r w:rsidRPr="00D335A3">
        <w:rPr>
          <w:rFonts w:cs="Times New Roman"/>
        </w:rPr>
        <w:tab/>
      </w:r>
      <w:r w:rsidRPr="00D335A3">
        <w:rPr>
          <w:rFonts w:cs="Times New Roman"/>
        </w:rPr>
        <w:tab/>
      </w:r>
      <w:r w:rsidRPr="00D335A3">
        <w:rPr>
          <w:rFonts w:cs="Times New Roman"/>
        </w:rPr>
        <w:tab/>
      </w:r>
      <w:r w:rsidRPr="00D335A3">
        <w:rPr>
          <w:rFonts w:cs="Times New Roman"/>
        </w:rPr>
        <w:tab/>
      </w:r>
      <w:r w:rsidRPr="00D335A3">
        <w:rPr>
          <w:rFonts w:cs="Times New Roman"/>
        </w:rPr>
        <w:tab/>
      </w:r>
      <w:r w:rsidRPr="00D335A3">
        <w:rPr>
          <w:rFonts w:cs="Times New Roman"/>
        </w:rPr>
        <w:tab/>
        <w:t xml:space="preserve">Respectfully submitted, </w:t>
      </w:r>
    </w:p>
    <w:p w:rsidR="00C40D8B" w:rsidRPr="00D335A3" w:rsidRDefault="00C40D8B" w:rsidP="00C40D8B">
      <w:pPr>
        <w:pStyle w:val="BodyTextIndent2"/>
        <w:rPr>
          <w:rFonts w:ascii="Times New Roman" w:hAnsi="Times New Roman"/>
        </w:rPr>
      </w:pPr>
    </w:p>
    <w:p w:rsidR="00C40D8B" w:rsidRPr="00D335A3" w:rsidRDefault="00C40D8B" w:rsidP="00C40D8B">
      <w:pPr>
        <w:ind w:left="5040"/>
        <w:jc w:val="both"/>
        <w:rPr>
          <w:rFonts w:cs="Times New Roman"/>
        </w:rPr>
      </w:pPr>
      <w:r w:rsidRPr="00D335A3">
        <w:rPr>
          <w:rFonts w:cs="Times New Roman"/>
        </w:rPr>
        <w:t xml:space="preserve">ROBERT M. MCKENNA </w:t>
      </w:r>
    </w:p>
    <w:p w:rsidR="00C40D8B" w:rsidRPr="00D335A3" w:rsidRDefault="00C40D8B" w:rsidP="00C40D8B">
      <w:pPr>
        <w:ind w:firstLine="5040"/>
        <w:jc w:val="both"/>
        <w:rPr>
          <w:rFonts w:cs="Times New Roman"/>
        </w:rPr>
      </w:pPr>
      <w:r w:rsidRPr="00D335A3">
        <w:rPr>
          <w:rFonts w:cs="Times New Roman"/>
        </w:rPr>
        <w:t>Attorney General</w:t>
      </w:r>
    </w:p>
    <w:p w:rsidR="00C40D8B" w:rsidRPr="00D335A3" w:rsidRDefault="00C40D8B" w:rsidP="00C40D8B">
      <w:pPr>
        <w:jc w:val="both"/>
        <w:rPr>
          <w:rFonts w:cs="Times New Roman"/>
        </w:rPr>
      </w:pPr>
    </w:p>
    <w:p w:rsidR="00C40D8B" w:rsidRPr="00D335A3" w:rsidRDefault="00C40D8B" w:rsidP="00C40D8B">
      <w:pPr>
        <w:jc w:val="both"/>
        <w:rPr>
          <w:rFonts w:cs="Times New Roman"/>
        </w:rPr>
      </w:pPr>
    </w:p>
    <w:p w:rsidR="00C40D8B" w:rsidRPr="00D335A3" w:rsidRDefault="00C40D8B" w:rsidP="00C40D8B">
      <w:pPr>
        <w:jc w:val="both"/>
        <w:rPr>
          <w:rFonts w:cs="Times New Roman"/>
        </w:rPr>
      </w:pPr>
    </w:p>
    <w:p w:rsidR="00C40D8B" w:rsidRPr="00D335A3" w:rsidRDefault="00C40D8B" w:rsidP="00C40D8B">
      <w:pPr>
        <w:ind w:left="1440" w:firstLine="3600"/>
        <w:jc w:val="both"/>
        <w:rPr>
          <w:rFonts w:cs="Times New Roman"/>
        </w:rPr>
      </w:pPr>
      <w:r w:rsidRPr="00D335A3">
        <w:rPr>
          <w:rFonts w:cs="Times New Roman"/>
        </w:rPr>
        <w:t>______________________________</w:t>
      </w:r>
    </w:p>
    <w:p w:rsidR="00C40D8B" w:rsidRPr="00D335A3" w:rsidRDefault="00C40D8B" w:rsidP="00C40D8B">
      <w:pPr>
        <w:ind w:firstLine="5040"/>
        <w:jc w:val="both"/>
        <w:rPr>
          <w:rFonts w:cs="Times New Roman"/>
        </w:rPr>
      </w:pPr>
      <w:r w:rsidRPr="00D335A3">
        <w:rPr>
          <w:rFonts w:cs="Times New Roman"/>
        </w:rPr>
        <w:t xml:space="preserve">DONALD T. TROTTER </w:t>
      </w:r>
    </w:p>
    <w:p w:rsidR="00C40D8B" w:rsidRPr="00D335A3" w:rsidRDefault="00C40D8B" w:rsidP="00C40D8B">
      <w:pPr>
        <w:ind w:left="1440" w:firstLine="3600"/>
        <w:jc w:val="both"/>
        <w:rPr>
          <w:rFonts w:cs="Times New Roman"/>
        </w:rPr>
      </w:pPr>
      <w:r w:rsidRPr="00D335A3">
        <w:rPr>
          <w:rFonts w:cs="Times New Roman"/>
        </w:rPr>
        <w:t>Assistant Attorney General</w:t>
      </w:r>
    </w:p>
    <w:p w:rsidR="00C40D8B" w:rsidRPr="00D335A3" w:rsidRDefault="00C40D8B" w:rsidP="00C40D8B">
      <w:pPr>
        <w:ind w:left="2160" w:firstLine="2880"/>
        <w:jc w:val="both"/>
        <w:rPr>
          <w:rFonts w:cs="Times New Roman"/>
        </w:rPr>
      </w:pPr>
      <w:r w:rsidRPr="00D335A3">
        <w:rPr>
          <w:rFonts w:cs="Times New Roman"/>
        </w:rPr>
        <w:t>Counsel for Washington Utilities and</w:t>
      </w:r>
    </w:p>
    <w:p w:rsidR="00C40D8B" w:rsidRPr="00D335A3" w:rsidRDefault="00C40D8B" w:rsidP="00C40D8B">
      <w:pPr>
        <w:ind w:left="2880" w:firstLine="2160"/>
        <w:jc w:val="both"/>
        <w:rPr>
          <w:rFonts w:cs="Times New Roman"/>
        </w:rPr>
      </w:pPr>
      <w:r w:rsidRPr="00D335A3">
        <w:rPr>
          <w:rFonts w:cs="Times New Roman"/>
        </w:rPr>
        <w:t>Transportation Commission Staff</w:t>
      </w:r>
    </w:p>
    <w:p w:rsidR="00C40D8B" w:rsidRPr="00D82C99" w:rsidRDefault="00C40D8B" w:rsidP="005F6408">
      <w:pPr>
        <w:spacing w:line="480" w:lineRule="auto"/>
      </w:pPr>
    </w:p>
    <w:sectPr w:rsidR="00C40D8B" w:rsidRPr="00D82C99" w:rsidSect="009E7D38">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93" w:rsidRDefault="00A62E93" w:rsidP="00F33707">
      <w:r>
        <w:separator/>
      </w:r>
    </w:p>
  </w:endnote>
  <w:endnote w:type="continuationSeparator" w:id="0">
    <w:p w:rsidR="00A62E93" w:rsidRDefault="00A62E93" w:rsidP="00F3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35" w:rsidRPr="001F1935" w:rsidRDefault="001F1935">
    <w:pPr>
      <w:pStyle w:val="Footer"/>
      <w:rPr>
        <w:sz w:val="20"/>
        <w:szCs w:val="20"/>
      </w:rPr>
    </w:pPr>
  </w:p>
  <w:p w:rsidR="001F1935" w:rsidRPr="001F1935" w:rsidRDefault="001F1935">
    <w:pPr>
      <w:pStyle w:val="Footer"/>
      <w:rPr>
        <w:sz w:val="20"/>
        <w:szCs w:val="20"/>
      </w:rPr>
    </w:pPr>
    <w:r w:rsidRPr="001F1935">
      <w:rPr>
        <w:sz w:val="20"/>
        <w:szCs w:val="20"/>
      </w:rPr>
      <w:t xml:space="preserve">COMMISSION STAFF RESPONSE TO </w:t>
    </w:r>
  </w:p>
  <w:p w:rsidR="001F1935" w:rsidRPr="001F1935" w:rsidRDefault="001F1935">
    <w:pPr>
      <w:pStyle w:val="Footer"/>
      <w:rPr>
        <w:sz w:val="20"/>
        <w:szCs w:val="20"/>
      </w:rPr>
    </w:pPr>
    <w:r w:rsidRPr="001F1935">
      <w:rPr>
        <w:sz w:val="20"/>
        <w:szCs w:val="20"/>
      </w:rPr>
      <w:t xml:space="preserve">PACIFICORP’S MOTION TO AMEND ORDER 06 - </w:t>
    </w:r>
    <w:r w:rsidRPr="001F1935">
      <w:rPr>
        <w:sz w:val="20"/>
        <w:szCs w:val="20"/>
      </w:rPr>
      <w:fldChar w:fldCharType="begin"/>
    </w:r>
    <w:r w:rsidRPr="001F1935">
      <w:rPr>
        <w:sz w:val="20"/>
        <w:szCs w:val="20"/>
      </w:rPr>
      <w:instrText xml:space="preserve"> PAGE   \* MERGEFORMAT </w:instrText>
    </w:r>
    <w:r w:rsidRPr="001F1935">
      <w:rPr>
        <w:sz w:val="20"/>
        <w:szCs w:val="20"/>
      </w:rPr>
      <w:fldChar w:fldCharType="separate"/>
    </w:r>
    <w:r w:rsidR="00E139B1">
      <w:rPr>
        <w:noProof/>
        <w:sz w:val="20"/>
        <w:szCs w:val="20"/>
      </w:rPr>
      <w:t>1</w:t>
    </w:r>
    <w:r w:rsidRPr="001F193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93" w:rsidRDefault="00A62E93" w:rsidP="00F33707">
      <w:r>
        <w:separator/>
      </w:r>
    </w:p>
  </w:footnote>
  <w:footnote w:type="continuationSeparator" w:id="0">
    <w:p w:rsidR="00A62E93" w:rsidRDefault="00A62E93" w:rsidP="00F33707">
      <w:r>
        <w:continuationSeparator/>
      </w:r>
    </w:p>
  </w:footnote>
  <w:footnote w:id="1">
    <w:p w:rsidR="00C12B7D" w:rsidRDefault="00C12B7D">
      <w:pPr>
        <w:pStyle w:val="FootnoteText"/>
      </w:pPr>
      <w:r>
        <w:rPr>
          <w:rStyle w:val="FootnoteReference"/>
        </w:rPr>
        <w:footnoteRef/>
      </w:r>
      <w:r>
        <w:t xml:space="preserve"> Motion at 7, </w:t>
      </w:r>
      <w:r>
        <w:rPr>
          <w:rFonts w:cs="Times New Roman"/>
        </w:rPr>
        <w:t>¶</w:t>
      </w:r>
      <w:r>
        <w:t xml:space="preserve"> 18.</w:t>
      </w:r>
    </w:p>
  </w:footnote>
  <w:footnote w:id="2">
    <w:p w:rsidR="00C12B7D" w:rsidRDefault="00C12B7D">
      <w:pPr>
        <w:pStyle w:val="FootnoteText"/>
      </w:pPr>
      <w:r>
        <w:rPr>
          <w:rStyle w:val="FootnoteReference"/>
        </w:rPr>
        <w:footnoteRef/>
      </w:r>
      <w:r>
        <w:t xml:space="preserve"> Id at 2, </w:t>
      </w:r>
      <w:r>
        <w:rPr>
          <w:rFonts w:cs="Times New Roman"/>
        </w:rPr>
        <w:t>¶</w:t>
      </w:r>
      <w:r>
        <w:t xml:space="preserve"> 3.</w:t>
      </w:r>
    </w:p>
  </w:footnote>
  <w:footnote w:id="3">
    <w:p w:rsidR="00C12B7D" w:rsidRPr="00F33707" w:rsidRDefault="00C12B7D">
      <w:pPr>
        <w:pStyle w:val="FootnoteText"/>
      </w:pPr>
      <w:r>
        <w:rPr>
          <w:rStyle w:val="FootnoteReference"/>
        </w:rPr>
        <w:footnoteRef/>
      </w:r>
      <w:r>
        <w:t xml:space="preserve"> </w:t>
      </w:r>
      <w:r>
        <w:rPr>
          <w:i/>
        </w:rPr>
        <w:t xml:space="preserve">Utilities and Transp. Comm’n v. PacifiCorp, </w:t>
      </w:r>
      <w:r>
        <w:t xml:space="preserve">Docket UE-100749, Order 06 (March 25, 2011) at 72, </w:t>
      </w:r>
      <w:r>
        <w:rPr>
          <w:rFonts w:cs="Times New Roman"/>
        </w:rPr>
        <w:t>¶</w:t>
      </w:r>
      <w:r>
        <w:t xml:space="preserve"> 204.</w:t>
      </w:r>
    </w:p>
  </w:footnote>
  <w:footnote w:id="4">
    <w:p w:rsidR="00C12B7D" w:rsidRDefault="00C12B7D" w:rsidP="005F6408">
      <w:pPr>
        <w:pStyle w:val="FootnoteText"/>
      </w:pPr>
      <w:r>
        <w:rPr>
          <w:rStyle w:val="FootnoteReference"/>
        </w:rPr>
        <w:footnoteRef/>
      </w:r>
      <w:r>
        <w:t xml:space="preserve"> Id. at 72, </w:t>
      </w:r>
      <w:r>
        <w:rPr>
          <w:rFonts w:cs="Times New Roman"/>
        </w:rPr>
        <w:t>¶</w:t>
      </w:r>
      <w:r>
        <w:t xml:space="preserve"> 203: “the rate year (i.e., the “12 months form the effective date of the rates following approval of PacifiCorp’s compliance filing …”  The effective date of the rates was April 3, 2011.</w:t>
      </w:r>
    </w:p>
  </w:footnote>
  <w:footnote w:id="5">
    <w:p w:rsidR="00C12B7D" w:rsidRDefault="00C12B7D">
      <w:pPr>
        <w:pStyle w:val="FootnoteText"/>
      </w:pPr>
      <w:r>
        <w:rPr>
          <w:rStyle w:val="FootnoteReference"/>
        </w:rPr>
        <w:footnoteRef/>
      </w:r>
      <w:r>
        <w:t xml:space="preserve"> Id. at </w:t>
      </w:r>
      <w:r>
        <w:rPr>
          <w:rFonts w:cs="Times New Roman"/>
        </w:rPr>
        <w:t>¶</w:t>
      </w:r>
      <w:r>
        <w:t xml:space="preserve"> 20</w:t>
      </w:r>
      <w:r w:rsidR="00C233B5">
        <w:t>5</w:t>
      </w:r>
      <w:r>
        <w:t xml:space="preserve">. </w:t>
      </w:r>
    </w:p>
  </w:footnote>
  <w:footnote w:id="6">
    <w:p w:rsidR="00C12B7D" w:rsidRDefault="00C12B7D">
      <w:pPr>
        <w:pStyle w:val="FootnoteText"/>
      </w:pPr>
      <w:r>
        <w:rPr>
          <w:rStyle w:val="FootnoteReference"/>
        </w:rPr>
        <w:footnoteRef/>
      </w:r>
      <w:r>
        <w:t xml:space="preserve"> Id.</w:t>
      </w:r>
    </w:p>
  </w:footnote>
  <w:footnote w:id="7">
    <w:p w:rsidR="00C12B7D" w:rsidRDefault="00C12B7D">
      <w:pPr>
        <w:pStyle w:val="FootnoteText"/>
      </w:pPr>
      <w:r>
        <w:rPr>
          <w:rStyle w:val="FootnoteReference"/>
        </w:rPr>
        <w:footnoteRef/>
      </w:r>
      <w:r>
        <w:t xml:space="preserve"> Id. at </w:t>
      </w:r>
      <w:r>
        <w:rPr>
          <w:rFonts w:cs="Times New Roman"/>
        </w:rPr>
        <w:t>¶</w:t>
      </w:r>
      <w:r>
        <w:t xml:space="preserve"> 205.</w:t>
      </w:r>
    </w:p>
  </w:footnote>
  <w:footnote w:id="8">
    <w:p w:rsidR="00C12B7D" w:rsidRDefault="00C12B7D">
      <w:pPr>
        <w:pStyle w:val="FootnoteText"/>
      </w:pPr>
      <w:r>
        <w:rPr>
          <w:rStyle w:val="FootnoteReference"/>
        </w:rPr>
        <w:footnoteRef/>
      </w:r>
      <w:r>
        <w:t xml:space="preserve"> Id.</w:t>
      </w:r>
    </w:p>
  </w:footnote>
  <w:footnote w:id="9">
    <w:p w:rsidR="00C12B7D" w:rsidRDefault="00C12B7D">
      <w:pPr>
        <w:pStyle w:val="FootnoteText"/>
      </w:pPr>
      <w:r>
        <w:rPr>
          <w:rStyle w:val="FootnoteReference"/>
        </w:rPr>
        <w:footnoteRef/>
      </w:r>
      <w:r>
        <w:t xml:space="preserve"> Id. at </w:t>
      </w:r>
      <w:r>
        <w:rPr>
          <w:rFonts w:cs="Times New Roman"/>
        </w:rPr>
        <w:t>¶</w:t>
      </w:r>
      <w:r>
        <w:t xml:space="preserve"> 207-08.</w:t>
      </w:r>
    </w:p>
  </w:footnote>
  <w:footnote w:id="10">
    <w:p w:rsidR="00C12B7D" w:rsidRDefault="00C12B7D">
      <w:pPr>
        <w:pStyle w:val="FootnoteText"/>
      </w:pPr>
      <w:r>
        <w:rPr>
          <w:rStyle w:val="FootnoteReference"/>
        </w:rPr>
        <w:footnoteRef/>
      </w:r>
      <w:r>
        <w:t xml:space="preserve"> In Staff’s Post Hearing Brief on Behalf of Commission Staff (November 4, 2011) (Post Hearing Brief), Staff addressed the language in Paragraph 204 of Order 06 that states</w:t>
      </w:r>
      <w:r w:rsidR="00966249">
        <w:t>:</w:t>
      </w:r>
      <w:r>
        <w:t xml:space="preserve"> “[the Commission] will accept for purposes of establishing 2011 credits the amount of REC revenues to which Staff and Company agree, approximately $4.8 million.”  As </w:t>
      </w:r>
      <w:r w:rsidR="00966249">
        <w:t>we</w:t>
      </w:r>
      <w:r>
        <w:t xml:space="preserve"> explained</w:t>
      </w:r>
      <w:r w:rsidR="00B36724">
        <w:t xml:space="preserve"> then</w:t>
      </w:r>
      <w:r>
        <w:t xml:space="preserve">, Staff considered that $4.8 million figure to be the </w:t>
      </w:r>
      <w:r w:rsidRPr="0051437E">
        <w:rPr>
          <w:i/>
        </w:rPr>
        <w:t xml:space="preserve">test-period </w:t>
      </w:r>
      <w:r w:rsidRPr="00966249">
        <w:rPr>
          <w:i/>
        </w:rPr>
        <w:t>actual</w:t>
      </w:r>
      <w:r w:rsidRPr="0051437E">
        <w:rPr>
          <w:i/>
        </w:rPr>
        <w:t xml:space="preserve"> REC revenues</w:t>
      </w:r>
      <w:r>
        <w:t xml:space="preserve">, before imputation of </w:t>
      </w:r>
      <w:r w:rsidR="00525538">
        <w:t xml:space="preserve">monetary value to </w:t>
      </w:r>
      <w:r>
        <w:t xml:space="preserve">Washington </w:t>
      </w:r>
      <w:r w:rsidR="00525538">
        <w:t xml:space="preserve">for </w:t>
      </w:r>
      <w:r>
        <w:t xml:space="preserve">RECs PacifiCorp held for compliance in other states.  Staff Post Hearing Brief at 3-4.  Staff understands PacifiCorp </w:t>
      </w:r>
      <w:r w:rsidR="00966249">
        <w:t xml:space="preserve">was using </w:t>
      </w:r>
      <w:r>
        <w:t xml:space="preserve">that same figure as its </w:t>
      </w:r>
      <w:r w:rsidRPr="00966249">
        <w:rPr>
          <w:i/>
        </w:rPr>
        <w:t>forecast</w:t>
      </w:r>
      <w:r w:rsidRPr="0051437E">
        <w:rPr>
          <w:i/>
        </w:rPr>
        <w:t xml:space="preserve"> of rate year REC revenue levels</w:t>
      </w:r>
      <w:r>
        <w:t xml:space="preserve">.  Id.  Nonetheless, Staff interprets Order 06 as using the $4.8 million figure as the rate year level, </w:t>
      </w:r>
      <w:r w:rsidR="008C5543">
        <w:t>and that</w:t>
      </w:r>
      <w:r>
        <w:t xml:space="preserve"> the Commission would address prior period REC revenues and other calculation issues in future orders.  See Order 06 at 207-08.</w:t>
      </w:r>
      <w:r w:rsidR="00CE285E">
        <w:t xml:space="preserve">  </w:t>
      </w:r>
    </w:p>
  </w:footnote>
  <w:footnote w:id="11">
    <w:p w:rsidR="00C12B7D" w:rsidRDefault="00C12B7D">
      <w:pPr>
        <w:pStyle w:val="FootnoteText"/>
      </w:pPr>
      <w:r>
        <w:rPr>
          <w:rStyle w:val="FootnoteReference"/>
        </w:rPr>
        <w:footnoteRef/>
      </w:r>
      <w:r>
        <w:t xml:space="preserve"> Order 06 at 73, </w:t>
      </w:r>
      <w:r>
        <w:rPr>
          <w:rFonts w:cs="Times New Roman"/>
        </w:rPr>
        <w:t>¶</w:t>
      </w:r>
      <w:r>
        <w:t xml:space="preserve"> 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2944"/>
    <w:multiLevelType w:val="hybridMultilevel"/>
    <w:tmpl w:val="742677AA"/>
    <w:lvl w:ilvl="0" w:tplc="6ADE525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87470"/>
    <w:multiLevelType w:val="hybridMultilevel"/>
    <w:tmpl w:val="8CF65A56"/>
    <w:lvl w:ilvl="0" w:tplc="6ADE5250">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A40BE7"/>
    <w:multiLevelType w:val="hybridMultilevel"/>
    <w:tmpl w:val="AC9A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D768E"/>
    <w:multiLevelType w:val="hybridMultilevel"/>
    <w:tmpl w:val="0F42BB26"/>
    <w:lvl w:ilvl="0" w:tplc="6ADE5250">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07"/>
    <w:rsid w:val="0016185C"/>
    <w:rsid w:val="001F1935"/>
    <w:rsid w:val="00255BC5"/>
    <w:rsid w:val="002C7F9A"/>
    <w:rsid w:val="003D550A"/>
    <w:rsid w:val="00415807"/>
    <w:rsid w:val="0051437E"/>
    <w:rsid w:val="00525538"/>
    <w:rsid w:val="005732D4"/>
    <w:rsid w:val="00596474"/>
    <w:rsid w:val="0059772E"/>
    <w:rsid w:val="005A4525"/>
    <w:rsid w:val="005F6408"/>
    <w:rsid w:val="00602619"/>
    <w:rsid w:val="006254B7"/>
    <w:rsid w:val="00642F6D"/>
    <w:rsid w:val="00843075"/>
    <w:rsid w:val="008C5543"/>
    <w:rsid w:val="0096189E"/>
    <w:rsid w:val="00966249"/>
    <w:rsid w:val="00996F42"/>
    <w:rsid w:val="009A2DDE"/>
    <w:rsid w:val="009C3E6D"/>
    <w:rsid w:val="009E7D38"/>
    <w:rsid w:val="00A4497A"/>
    <w:rsid w:val="00A62E93"/>
    <w:rsid w:val="00B36724"/>
    <w:rsid w:val="00B54847"/>
    <w:rsid w:val="00B74343"/>
    <w:rsid w:val="00C12B7D"/>
    <w:rsid w:val="00C233B5"/>
    <w:rsid w:val="00C40D8B"/>
    <w:rsid w:val="00C66F33"/>
    <w:rsid w:val="00CD7731"/>
    <w:rsid w:val="00CE285E"/>
    <w:rsid w:val="00D808C5"/>
    <w:rsid w:val="00D82C99"/>
    <w:rsid w:val="00D97C48"/>
    <w:rsid w:val="00DE1B5E"/>
    <w:rsid w:val="00DF3C0B"/>
    <w:rsid w:val="00E139B1"/>
    <w:rsid w:val="00E259B1"/>
    <w:rsid w:val="00EC5E96"/>
    <w:rsid w:val="00EF0A2B"/>
    <w:rsid w:val="00F33707"/>
    <w:rsid w:val="00F63D55"/>
    <w:rsid w:val="00F84AC7"/>
    <w:rsid w:val="00F9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3707"/>
    <w:rPr>
      <w:sz w:val="20"/>
      <w:szCs w:val="20"/>
    </w:rPr>
  </w:style>
  <w:style w:type="character" w:customStyle="1" w:styleId="FootnoteTextChar">
    <w:name w:val="Footnote Text Char"/>
    <w:basedOn w:val="DefaultParagraphFont"/>
    <w:link w:val="FootnoteText"/>
    <w:uiPriority w:val="99"/>
    <w:semiHidden/>
    <w:rsid w:val="00F33707"/>
    <w:rPr>
      <w:sz w:val="20"/>
      <w:szCs w:val="20"/>
    </w:rPr>
  </w:style>
  <w:style w:type="character" w:styleId="FootnoteReference">
    <w:name w:val="footnote reference"/>
    <w:basedOn w:val="DefaultParagraphFont"/>
    <w:uiPriority w:val="99"/>
    <w:semiHidden/>
    <w:unhideWhenUsed/>
    <w:rsid w:val="00F33707"/>
    <w:rPr>
      <w:vertAlign w:val="superscript"/>
    </w:rPr>
  </w:style>
  <w:style w:type="paragraph" w:styleId="ListParagraph">
    <w:name w:val="List Paragraph"/>
    <w:basedOn w:val="Normal"/>
    <w:uiPriority w:val="34"/>
    <w:qFormat/>
    <w:rsid w:val="005F6408"/>
    <w:pPr>
      <w:ind w:left="720"/>
      <w:contextualSpacing/>
    </w:pPr>
  </w:style>
  <w:style w:type="paragraph" w:styleId="BalloonText">
    <w:name w:val="Balloon Text"/>
    <w:basedOn w:val="Normal"/>
    <w:link w:val="BalloonTextChar"/>
    <w:uiPriority w:val="99"/>
    <w:semiHidden/>
    <w:unhideWhenUsed/>
    <w:rsid w:val="0016185C"/>
    <w:rPr>
      <w:rFonts w:ascii="Tahoma" w:hAnsi="Tahoma" w:cs="Tahoma"/>
      <w:sz w:val="16"/>
      <w:szCs w:val="16"/>
    </w:rPr>
  </w:style>
  <w:style w:type="character" w:customStyle="1" w:styleId="BalloonTextChar">
    <w:name w:val="Balloon Text Char"/>
    <w:basedOn w:val="DefaultParagraphFont"/>
    <w:link w:val="BalloonText"/>
    <w:uiPriority w:val="99"/>
    <w:semiHidden/>
    <w:rsid w:val="0016185C"/>
    <w:rPr>
      <w:rFonts w:ascii="Tahoma" w:hAnsi="Tahoma" w:cs="Tahoma"/>
      <w:sz w:val="16"/>
      <w:szCs w:val="16"/>
    </w:rPr>
  </w:style>
  <w:style w:type="character" w:styleId="CommentReference">
    <w:name w:val="annotation reference"/>
    <w:basedOn w:val="DefaultParagraphFont"/>
    <w:uiPriority w:val="99"/>
    <w:semiHidden/>
    <w:unhideWhenUsed/>
    <w:rsid w:val="009A2DDE"/>
    <w:rPr>
      <w:sz w:val="16"/>
      <w:szCs w:val="16"/>
    </w:rPr>
  </w:style>
  <w:style w:type="paragraph" w:styleId="CommentText">
    <w:name w:val="annotation text"/>
    <w:basedOn w:val="Normal"/>
    <w:link w:val="CommentTextChar"/>
    <w:uiPriority w:val="99"/>
    <w:semiHidden/>
    <w:unhideWhenUsed/>
    <w:rsid w:val="009A2DDE"/>
    <w:rPr>
      <w:sz w:val="20"/>
      <w:szCs w:val="20"/>
    </w:rPr>
  </w:style>
  <w:style w:type="character" w:customStyle="1" w:styleId="CommentTextChar">
    <w:name w:val="Comment Text Char"/>
    <w:basedOn w:val="DefaultParagraphFont"/>
    <w:link w:val="CommentText"/>
    <w:uiPriority w:val="99"/>
    <w:semiHidden/>
    <w:rsid w:val="009A2DDE"/>
    <w:rPr>
      <w:sz w:val="20"/>
      <w:szCs w:val="20"/>
    </w:rPr>
  </w:style>
  <w:style w:type="paragraph" w:styleId="CommentSubject">
    <w:name w:val="annotation subject"/>
    <w:basedOn w:val="CommentText"/>
    <w:next w:val="CommentText"/>
    <w:link w:val="CommentSubjectChar"/>
    <w:uiPriority w:val="99"/>
    <w:semiHidden/>
    <w:unhideWhenUsed/>
    <w:rsid w:val="009A2DDE"/>
    <w:rPr>
      <w:b/>
      <w:bCs/>
    </w:rPr>
  </w:style>
  <w:style w:type="character" w:customStyle="1" w:styleId="CommentSubjectChar">
    <w:name w:val="Comment Subject Char"/>
    <w:basedOn w:val="CommentTextChar"/>
    <w:link w:val="CommentSubject"/>
    <w:uiPriority w:val="99"/>
    <w:semiHidden/>
    <w:rsid w:val="009A2DDE"/>
    <w:rPr>
      <w:b/>
      <w:bCs/>
      <w:sz w:val="20"/>
      <w:szCs w:val="20"/>
    </w:rPr>
  </w:style>
  <w:style w:type="paragraph" w:styleId="Header">
    <w:name w:val="header"/>
    <w:basedOn w:val="Normal"/>
    <w:link w:val="HeaderChar"/>
    <w:uiPriority w:val="99"/>
    <w:unhideWhenUsed/>
    <w:rsid w:val="001F1935"/>
    <w:pPr>
      <w:tabs>
        <w:tab w:val="center" w:pos="4680"/>
        <w:tab w:val="right" w:pos="9360"/>
      </w:tabs>
    </w:pPr>
  </w:style>
  <w:style w:type="character" w:customStyle="1" w:styleId="HeaderChar">
    <w:name w:val="Header Char"/>
    <w:basedOn w:val="DefaultParagraphFont"/>
    <w:link w:val="Header"/>
    <w:uiPriority w:val="99"/>
    <w:rsid w:val="001F1935"/>
  </w:style>
  <w:style w:type="paragraph" w:styleId="Footer">
    <w:name w:val="footer"/>
    <w:basedOn w:val="Normal"/>
    <w:link w:val="FooterChar"/>
    <w:uiPriority w:val="99"/>
    <w:unhideWhenUsed/>
    <w:rsid w:val="001F1935"/>
    <w:pPr>
      <w:tabs>
        <w:tab w:val="center" w:pos="4680"/>
        <w:tab w:val="right" w:pos="9360"/>
      </w:tabs>
    </w:pPr>
  </w:style>
  <w:style w:type="character" w:customStyle="1" w:styleId="FooterChar">
    <w:name w:val="Footer Char"/>
    <w:basedOn w:val="DefaultParagraphFont"/>
    <w:link w:val="Footer"/>
    <w:uiPriority w:val="99"/>
    <w:rsid w:val="001F1935"/>
  </w:style>
  <w:style w:type="paragraph" w:styleId="BodyTextIndent2">
    <w:name w:val="Body Text Indent 2"/>
    <w:basedOn w:val="Normal"/>
    <w:link w:val="BodyTextIndent2Char"/>
    <w:rsid w:val="00C40D8B"/>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C40D8B"/>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3707"/>
    <w:rPr>
      <w:sz w:val="20"/>
      <w:szCs w:val="20"/>
    </w:rPr>
  </w:style>
  <w:style w:type="character" w:customStyle="1" w:styleId="FootnoteTextChar">
    <w:name w:val="Footnote Text Char"/>
    <w:basedOn w:val="DefaultParagraphFont"/>
    <w:link w:val="FootnoteText"/>
    <w:uiPriority w:val="99"/>
    <w:semiHidden/>
    <w:rsid w:val="00F33707"/>
    <w:rPr>
      <w:sz w:val="20"/>
      <w:szCs w:val="20"/>
    </w:rPr>
  </w:style>
  <w:style w:type="character" w:styleId="FootnoteReference">
    <w:name w:val="footnote reference"/>
    <w:basedOn w:val="DefaultParagraphFont"/>
    <w:uiPriority w:val="99"/>
    <w:semiHidden/>
    <w:unhideWhenUsed/>
    <w:rsid w:val="00F33707"/>
    <w:rPr>
      <w:vertAlign w:val="superscript"/>
    </w:rPr>
  </w:style>
  <w:style w:type="paragraph" w:styleId="ListParagraph">
    <w:name w:val="List Paragraph"/>
    <w:basedOn w:val="Normal"/>
    <w:uiPriority w:val="34"/>
    <w:qFormat/>
    <w:rsid w:val="005F6408"/>
    <w:pPr>
      <w:ind w:left="720"/>
      <w:contextualSpacing/>
    </w:pPr>
  </w:style>
  <w:style w:type="paragraph" w:styleId="BalloonText">
    <w:name w:val="Balloon Text"/>
    <w:basedOn w:val="Normal"/>
    <w:link w:val="BalloonTextChar"/>
    <w:uiPriority w:val="99"/>
    <w:semiHidden/>
    <w:unhideWhenUsed/>
    <w:rsid w:val="0016185C"/>
    <w:rPr>
      <w:rFonts w:ascii="Tahoma" w:hAnsi="Tahoma" w:cs="Tahoma"/>
      <w:sz w:val="16"/>
      <w:szCs w:val="16"/>
    </w:rPr>
  </w:style>
  <w:style w:type="character" w:customStyle="1" w:styleId="BalloonTextChar">
    <w:name w:val="Balloon Text Char"/>
    <w:basedOn w:val="DefaultParagraphFont"/>
    <w:link w:val="BalloonText"/>
    <w:uiPriority w:val="99"/>
    <w:semiHidden/>
    <w:rsid w:val="0016185C"/>
    <w:rPr>
      <w:rFonts w:ascii="Tahoma" w:hAnsi="Tahoma" w:cs="Tahoma"/>
      <w:sz w:val="16"/>
      <w:szCs w:val="16"/>
    </w:rPr>
  </w:style>
  <w:style w:type="character" w:styleId="CommentReference">
    <w:name w:val="annotation reference"/>
    <w:basedOn w:val="DefaultParagraphFont"/>
    <w:uiPriority w:val="99"/>
    <w:semiHidden/>
    <w:unhideWhenUsed/>
    <w:rsid w:val="009A2DDE"/>
    <w:rPr>
      <w:sz w:val="16"/>
      <w:szCs w:val="16"/>
    </w:rPr>
  </w:style>
  <w:style w:type="paragraph" w:styleId="CommentText">
    <w:name w:val="annotation text"/>
    <w:basedOn w:val="Normal"/>
    <w:link w:val="CommentTextChar"/>
    <w:uiPriority w:val="99"/>
    <w:semiHidden/>
    <w:unhideWhenUsed/>
    <w:rsid w:val="009A2DDE"/>
    <w:rPr>
      <w:sz w:val="20"/>
      <w:szCs w:val="20"/>
    </w:rPr>
  </w:style>
  <w:style w:type="character" w:customStyle="1" w:styleId="CommentTextChar">
    <w:name w:val="Comment Text Char"/>
    <w:basedOn w:val="DefaultParagraphFont"/>
    <w:link w:val="CommentText"/>
    <w:uiPriority w:val="99"/>
    <w:semiHidden/>
    <w:rsid w:val="009A2DDE"/>
    <w:rPr>
      <w:sz w:val="20"/>
      <w:szCs w:val="20"/>
    </w:rPr>
  </w:style>
  <w:style w:type="paragraph" w:styleId="CommentSubject">
    <w:name w:val="annotation subject"/>
    <w:basedOn w:val="CommentText"/>
    <w:next w:val="CommentText"/>
    <w:link w:val="CommentSubjectChar"/>
    <w:uiPriority w:val="99"/>
    <w:semiHidden/>
    <w:unhideWhenUsed/>
    <w:rsid w:val="009A2DDE"/>
    <w:rPr>
      <w:b/>
      <w:bCs/>
    </w:rPr>
  </w:style>
  <w:style w:type="character" w:customStyle="1" w:styleId="CommentSubjectChar">
    <w:name w:val="Comment Subject Char"/>
    <w:basedOn w:val="CommentTextChar"/>
    <w:link w:val="CommentSubject"/>
    <w:uiPriority w:val="99"/>
    <w:semiHidden/>
    <w:rsid w:val="009A2DDE"/>
    <w:rPr>
      <w:b/>
      <w:bCs/>
      <w:sz w:val="20"/>
      <w:szCs w:val="20"/>
    </w:rPr>
  </w:style>
  <w:style w:type="paragraph" w:styleId="Header">
    <w:name w:val="header"/>
    <w:basedOn w:val="Normal"/>
    <w:link w:val="HeaderChar"/>
    <w:uiPriority w:val="99"/>
    <w:unhideWhenUsed/>
    <w:rsid w:val="001F1935"/>
    <w:pPr>
      <w:tabs>
        <w:tab w:val="center" w:pos="4680"/>
        <w:tab w:val="right" w:pos="9360"/>
      </w:tabs>
    </w:pPr>
  </w:style>
  <w:style w:type="character" w:customStyle="1" w:styleId="HeaderChar">
    <w:name w:val="Header Char"/>
    <w:basedOn w:val="DefaultParagraphFont"/>
    <w:link w:val="Header"/>
    <w:uiPriority w:val="99"/>
    <w:rsid w:val="001F1935"/>
  </w:style>
  <w:style w:type="paragraph" w:styleId="Footer">
    <w:name w:val="footer"/>
    <w:basedOn w:val="Normal"/>
    <w:link w:val="FooterChar"/>
    <w:uiPriority w:val="99"/>
    <w:unhideWhenUsed/>
    <w:rsid w:val="001F1935"/>
    <w:pPr>
      <w:tabs>
        <w:tab w:val="center" w:pos="4680"/>
        <w:tab w:val="right" w:pos="9360"/>
      </w:tabs>
    </w:pPr>
  </w:style>
  <w:style w:type="character" w:customStyle="1" w:styleId="FooterChar">
    <w:name w:val="Footer Char"/>
    <w:basedOn w:val="DefaultParagraphFont"/>
    <w:link w:val="Footer"/>
    <w:uiPriority w:val="99"/>
    <w:rsid w:val="001F1935"/>
  </w:style>
  <w:style w:type="paragraph" w:styleId="BodyTextIndent2">
    <w:name w:val="Body Text Indent 2"/>
    <w:basedOn w:val="Normal"/>
    <w:link w:val="BodyTextIndent2Char"/>
    <w:rsid w:val="00C40D8B"/>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C40D8B"/>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A336B-0403-490C-83AD-D83EDEEEB808}"/>
</file>

<file path=customXml/itemProps2.xml><?xml version="1.0" encoding="utf-8"?>
<ds:datastoreItem xmlns:ds="http://schemas.openxmlformats.org/officeDocument/2006/customXml" ds:itemID="{DF0B205A-397C-4D71-99C5-B6EF111A31DB}"/>
</file>

<file path=customXml/itemProps3.xml><?xml version="1.0" encoding="utf-8"?>
<ds:datastoreItem xmlns:ds="http://schemas.openxmlformats.org/officeDocument/2006/customXml" ds:itemID="{6BDD4A26-EC82-44DB-8A89-D61087EFE668}"/>
</file>

<file path=customXml/itemProps4.xml><?xml version="1.0" encoding="utf-8"?>
<ds:datastoreItem xmlns:ds="http://schemas.openxmlformats.org/officeDocument/2006/customXml" ds:itemID="{7CB755AF-890C-4939-B62D-2066D16636A7}"/>
</file>

<file path=customXml/itemProps5.xml><?xml version="1.0" encoding="utf-8"?>
<ds:datastoreItem xmlns:ds="http://schemas.openxmlformats.org/officeDocument/2006/customXml" ds:itemID="{84855CCA-193A-4060-B1A2-7F7C5F295BEA}"/>
</file>

<file path=docProps/app.xml><?xml version="1.0" encoding="utf-8"?>
<Properties xmlns="http://schemas.openxmlformats.org/officeDocument/2006/extended-properties" xmlns:vt="http://schemas.openxmlformats.org/officeDocument/2006/docPropsVTypes">
  <Template>Normal.dotm</Template>
  <TotalTime>2</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3</cp:revision>
  <cp:lastPrinted>2012-12-20T22:46:00Z</cp:lastPrinted>
  <dcterms:created xsi:type="dcterms:W3CDTF">2012-12-20T22:38:00Z</dcterms:created>
  <dcterms:modified xsi:type="dcterms:W3CDTF">2012-12-20T22:46:00Z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