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59" w:rsidRPr="000B4AA2" w:rsidRDefault="00E10359" w:rsidP="000B4AA2">
      <w:pPr>
        <w:tabs>
          <w:tab w:val="left" w:pos="8280"/>
        </w:tabs>
        <w:spacing w:line="360" w:lineRule="auto"/>
        <w:rPr>
          <w:sz w:val="22"/>
          <w:szCs w:val="22"/>
          <w:u w:val="single"/>
        </w:rPr>
      </w:pPr>
      <w:smartTag w:uri="urn:schemas-microsoft-com:office:smarttags" w:element="State">
        <w:smartTag w:uri="urn:schemas-microsoft-com:office:smarttags" w:element="place">
          <w:r w:rsidRPr="000B4AA2">
            <w:rPr>
              <w:sz w:val="22"/>
              <w:szCs w:val="22"/>
              <w:u w:val="single"/>
            </w:rPr>
            <w:t>Washington</w:t>
          </w:r>
        </w:smartTag>
      </w:smartTag>
      <w:r w:rsidRPr="000B4AA2">
        <w:rPr>
          <w:sz w:val="22"/>
          <w:szCs w:val="22"/>
          <w:u w:val="single"/>
        </w:rPr>
        <w:t xml:space="preserve"> Rural Broadband Service Expansion Final Report - August 31, 2011</w:t>
      </w:r>
    </w:p>
    <w:p w:rsidR="00E10359" w:rsidRPr="000B4AA2" w:rsidRDefault="00E10359" w:rsidP="000B4AA2">
      <w:pPr>
        <w:spacing w:line="360" w:lineRule="auto"/>
        <w:rPr>
          <w:sz w:val="22"/>
          <w:szCs w:val="22"/>
        </w:rPr>
      </w:pPr>
    </w:p>
    <w:p w:rsidR="00E10359" w:rsidRPr="000B4AA2" w:rsidRDefault="00E10359" w:rsidP="000B4AA2">
      <w:pPr>
        <w:spacing w:line="360" w:lineRule="auto"/>
        <w:rPr>
          <w:sz w:val="22"/>
          <w:szCs w:val="22"/>
        </w:rPr>
      </w:pPr>
      <w:r w:rsidRPr="000B4AA2">
        <w:rPr>
          <w:sz w:val="22"/>
          <w:szCs w:val="22"/>
        </w:rPr>
        <w:t>In response to Docket UT-061625, Order No. 6</w:t>
      </w:r>
      <w:r>
        <w:rPr>
          <w:sz w:val="22"/>
          <w:szCs w:val="22"/>
        </w:rPr>
        <w:t xml:space="preserve"> (“Order”)</w:t>
      </w:r>
      <w:r w:rsidRPr="000B4AA2">
        <w:rPr>
          <w:sz w:val="22"/>
          <w:szCs w:val="22"/>
        </w:rPr>
        <w:t xml:space="preserve">, paragraph 40, Qwest files this final Rural Broadband Service Expansion Plan Report.  </w:t>
      </w:r>
      <w:r>
        <w:rPr>
          <w:sz w:val="22"/>
          <w:szCs w:val="22"/>
        </w:rPr>
        <w:t>In accordance with</w:t>
      </w:r>
      <w:r w:rsidRPr="000B4AA2">
        <w:rPr>
          <w:sz w:val="22"/>
          <w:szCs w:val="22"/>
        </w:rPr>
        <w:t xml:space="preserve"> the plan</w:t>
      </w:r>
      <w:r>
        <w:rPr>
          <w:sz w:val="22"/>
          <w:szCs w:val="22"/>
        </w:rPr>
        <w:t>,</w:t>
      </w:r>
      <w:r w:rsidRPr="000B4AA2">
        <w:rPr>
          <w:sz w:val="22"/>
          <w:szCs w:val="22"/>
        </w:rPr>
        <w:t xml:space="preserve"> </w:t>
      </w:r>
      <w:bookmarkStart w:id="0" w:name="OLE_LINK1"/>
      <w:bookmarkStart w:id="1" w:name="OLE_LINK2"/>
      <w:r w:rsidRPr="000B4AA2">
        <w:rPr>
          <w:sz w:val="22"/>
          <w:szCs w:val="22"/>
        </w:rPr>
        <w:t xml:space="preserve">Qwest agreed to </w:t>
      </w:r>
      <w:bookmarkEnd w:id="0"/>
      <w:bookmarkEnd w:id="1"/>
      <w:r w:rsidRPr="000B4AA2">
        <w:rPr>
          <w:sz w:val="22"/>
          <w:szCs w:val="22"/>
        </w:rPr>
        <w:t xml:space="preserve">invest not less than four million dollars to make economical high-speed access to the internet available in the following targeted wire centers/communities:  </w:t>
      </w:r>
      <w:smartTag w:uri="urn:schemas-microsoft-com:office:smarttags" w:element="City">
        <w:r w:rsidRPr="000B4AA2">
          <w:rPr>
            <w:sz w:val="22"/>
            <w:szCs w:val="22"/>
          </w:rPr>
          <w:t>Roy</w:t>
        </w:r>
      </w:smartTag>
      <w:r w:rsidRPr="000B4AA2">
        <w:rPr>
          <w:sz w:val="22"/>
          <w:szCs w:val="22"/>
        </w:rPr>
        <w:t xml:space="preserve">, Northport, Pateros, </w:t>
      </w:r>
      <w:smartTag w:uri="urn:schemas-microsoft-com:office:smarttags" w:element="City">
        <w:r w:rsidRPr="000B4AA2">
          <w:rPr>
            <w:sz w:val="22"/>
            <w:szCs w:val="22"/>
          </w:rPr>
          <w:t>Springdale</w:t>
        </w:r>
      </w:smartTag>
      <w:r w:rsidRPr="000B4AA2">
        <w:rPr>
          <w:sz w:val="22"/>
          <w:szCs w:val="22"/>
        </w:rPr>
        <w:t xml:space="preserve">, Elk, </w:t>
      </w:r>
      <w:smartTag w:uri="urn:schemas-microsoft-com:office:smarttags" w:element="City">
        <w:r w:rsidRPr="000B4AA2">
          <w:rPr>
            <w:sz w:val="22"/>
            <w:szCs w:val="22"/>
          </w:rPr>
          <w:t>Easton</w:t>
        </w:r>
      </w:smartTag>
      <w:r w:rsidRPr="000B4AA2">
        <w:rPr>
          <w:sz w:val="22"/>
          <w:szCs w:val="22"/>
        </w:rPr>
        <w:t xml:space="preserve">, Waitsburg, </w:t>
      </w:r>
      <w:smartTag w:uri="urn:schemas-microsoft-com:office:smarttags" w:element="PlaceName">
        <w:r w:rsidRPr="000B4AA2">
          <w:rPr>
            <w:sz w:val="22"/>
            <w:szCs w:val="22"/>
          </w:rPr>
          <w:t>Steamboat</w:t>
        </w:r>
      </w:smartTag>
      <w:r w:rsidRPr="000B4AA2">
        <w:rPr>
          <w:sz w:val="22"/>
          <w:szCs w:val="22"/>
        </w:rPr>
        <w:t xml:space="preserve"> </w:t>
      </w:r>
      <w:smartTag w:uri="urn:schemas-microsoft-com:office:smarttags" w:element="PlaceType">
        <w:r w:rsidRPr="000B4AA2">
          <w:rPr>
            <w:sz w:val="22"/>
            <w:szCs w:val="22"/>
          </w:rPr>
          <w:t>Island</w:t>
        </w:r>
      </w:smartTag>
      <w:r w:rsidRPr="000B4AA2">
        <w:rPr>
          <w:sz w:val="22"/>
          <w:szCs w:val="22"/>
        </w:rPr>
        <w:t xml:space="preserve">, Joyce, Hoodsport, Napavine, Omak, </w:t>
      </w:r>
      <w:smartTag w:uri="urn:schemas-microsoft-com:office:smarttags" w:element="City">
        <w:r w:rsidRPr="000B4AA2">
          <w:rPr>
            <w:sz w:val="22"/>
            <w:szCs w:val="22"/>
          </w:rPr>
          <w:t>Shelton</w:t>
        </w:r>
      </w:smartTag>
      <w:r w:rsidRPr="000B4AA2">
        <w:rPr>
          <w:sz w:val="22"/>
          <w:szCs w:val="22"/>
        </w:rPr>
        <w:t xml:space="preserve">, </w:t>
      </w:r>
      <w:smartTag w:uri="urn:schemas-microsoft-com:office:smarttags" w:element="City">
        <w:r w:rsidRPr="000B4AA2">
          <w:rPr>
            <w:sz w:val="22"/>
            <w:szCs w:val="22"/>
          </w:rPr>
          <w:t>Rochester</w:t>
        </w:r>
      </w:smartTag>
      <w:r w:rsidRPr="000B4AA2">
        <w:rPr>
          <w:sz w:val="22"/>
          <w:szCs w:val="22"/>
        </w:rPr>
        <w:t xml:space="preserve">, </w:t>
      </w:r>
      <w:smartTag w:uri="urn:schemas-microsoft-com:office:smarttags" w:element="place">
        <w:smartTag w:uri="urn:schemas-microsoft-com:office:smarttags" w:element="City">
          <w:r w:rsidRPr="000B4AA2">
            <w:rPr>
              <w:sz w:val="22"/>
              <w:szCs w:val="22"/>
            </w:rPr>
            <w:t>Deer Park</w:t>
          </w:r>
        </w:smartTag>
      </w:smartTag>
      <w:r w:rsidRPr="000B4AA2">
        <w:rPr>
          <w:sz w:val="22"/>
          <w:szCs w:val="22"/>
        </w:rPr>
        <w:t>, Winlock and Belfair.  Also</w:t>
      </w:r>
      <w:r>
        <w:rPr>
          <w:sz w:val="22"/>
          <w:szCs w:val="22"/>
        </w:rPr>
        <w:t>,</w:t>
      </w:r>
      <w:r w:rsidRPr="000B4AA2">
        <w:rPr>
          <w:sz w:val="22"/>
          <w:szCs w:val="22"/>
        </w:rPr>
        <w:t xml:space="preserve"> </w:t>
      </w:r>
      <w:r>
        <w:rPr>
          <w:sz w:val="22"/>
          <w:szCs w:val="22"/>
        </w:rPr>
        <w:t>as noted in</w:t>
      </w:r>
      <w:r w:rsidRPr="000B4AA2">
        <w:rPr>
          <w:sz w:val="22"/>
          <w:szCs w:val="22"/>
        </w:rPr>
        <w:t xml:space="preserve"> paragraph 29 of </w:t>
      </w:r>
      <w:r>
        <w:rPr>
          <w:sz w:val="22"/>
          <w:szCs w:val="22"/>
        </w:rPr>
        <w:t xml:space="preserve">the </w:t>
      </w:r>
      <w:r w:rsidRPr="000B4AA2">
        <w:rPr>
          <w:sz w:val="22"/>
          <w:szCs w:val="22"/>
        </w:rPr>
        <w:t xml:space="preserve">Order, Qwest agreed to ensure that wire-line high-speed Internet service became available to at least 83% of consumers in Qwest’s </w:t>
      </w:r>
      <w:smartTag w:uri="urn:schemas-microsoft-com:office:smarttags" w:element="place">
        <w:smartTag w:uri="urn:schemas-microsoft-com:office:smarttags" w:element="State">
          <w:r w:rsidRPr="000B4AA2">
            <w:rPr>
              <w:sz w:val="22"/>
              <w:szCs w:val="22"/>
            </w:rPr>
            <w:t>Washington</w:t>
          </w:r>
        </w:smartTag>
      </w:smartTag>
      <w:r w:rsidRPr="000B4AA2">
        <w:rPr>
          <w:sz w:val="22"/>
          <w:szCs w:val="22"/>
        </w:rPr>
        <w:t xml:space="preserve"> serving area during the four-year period of the Alternative Form of Regulation</w:t>
      </w:r>
      <w:r>
        <w:rPr>
          <w:sz w:val="22"/>
          <w:szCs w:val="22"/>
        </w:rPr>
        <w:t xml:space="preserve"> (“AFOR”)</w:t>
      </w:r>
      <w:r w:rsidRPr="000B4AA2">
        <w:rPr>
          <w:sz w:val="22"/>
          <w:szCs w:val="22"/>
        </w:rPr>
        <w:t>.</w:t>
      </w:r>
    </w:p>
    <w:p w:rsidR="00E10359" w:rsidRPr="000B4AA2" w:rsidRDefault="00E10359" w:rsidP="000B4AA2">
      <w:pPr>
        <w:spacing w:line="360" w:lineRule="auto"/>
        <w:rPr>
          <w:sz w:val="22"/>
          <w:szCs w:val="22"/>
        </w:rPr>
      </w:pPr>
    </w:p>
    <w:p w:rsidR="00E10359" w:rsidRPr="000B4AA2" w:rsidRDefault="00E10359" w:rsidP="000B4AA2">
      <w:pPr>
        <w:spacing w:line="360" w:lineRule="auto"/>
        <w:rPr>
          <w:sz w:val="22"/>
          <w:szCs w:val="22"/>
        </w:rPr>
      </w:pPr>
      <w:r w:rsidRPr="000B4AA2">
        <w:rPr>
          <w:sz w:val="22"/>
          <w:szCs w:val="22"/>
        </w:rPr>
        <w:t xml:space="preserve">The attached Broadband Availability Report reflects </w:t>
      </w:r>
      <w:r w:rsidRPr="000B4AA2">
        <w:rPr>
          <w:b/>
          <w:sz w:val="22"/>
          <w:szCs w:val="22"/>
        </w:rPr>
        <w:t>90%</w:t>
      </w:r>
      <w:r w:rsidRPr="000B4AA2">
        <w:rPr>
          <w:sz w:val="22"/>
          <w:szCs w:val="22"/>
        </w:rPr>
        <w:t xml:space="preserve"> statewide broadband availability to Qwest’s customers which compares favorably with the broadband availability in other </w:t>
      </w:r>
      <w:r>
        <w:rPr>
          <w:sz w:val="22"/>
          <w:szCs w:val="22"/>
        </w:rPr>
        <w:t xml:space="preserve">Qwest </w:t>
      </w:r>
      <w:r w:rsidRPr="000B4AA2">
        <w:rPr>
          <w:sz w:val="22"/>
          <w:szCs w:val="22"/>
        </w:rPr>
        <w:t xml:space="preserve">states.   The Broadband Expansion Expenditures Report filed in August of 2010 reflected that $3,854,645, or 96% of the four million dollar target investment, had been spent halfway through 2010.  As of 9/30/10, a total of $4,093,942 had been invested.  At year-end 2010, $4,524,787 had been invested in these communities.    More has been invested since then. </w:t>
      </w:r>
    </w:p>
    <w:p w:rsidR="00E10359" w:rsidRPr="000B4AA2" w:rsidRDefault="00E10359" w:rsidP="000B4AA2">
      <w:pPr>
        <w:spacing w:line="360" w:lineRule="auto"/>
        <w:rPr>
          <w:sz w:val="22"/>
          <w:szCs w:val="22"/>
        </w:rPr>
      </w:pPr>
    </w:p>
    <w:p w:rsidR="00E10359" w:rsidRDefault="00E10359" w:rsidP="000B4AA2">
      <w:pPr>
        <w:spacing w:line="360" w:lineRule="auto"/>
        <w:rPr>
          <w:sz w:val="22"/>
          <w:szCs w:val="22"/>
        </w:rPr>
      </w:pPr>
      <w:r w:rsidRPr="000B4AA2">
        <w:rPr>
          <w:sz w:val="22"/>
          <w:szCs w:val="22"/>
        </w:rPr>
        <w:t>Beyond having invested more dollars in these communities than originally promised, Qwest deployed considerably more equipment in the targeted wire centers than originally planned.  This has resulted in much wider availability of service in these communities than was originally fo</w:t>
      </w:r>
      <w:r>
        <w:rPr>
          <w:sz w:val="22"/>
          <w:szCs w:val="22"/>
        </w:rPr>
        <w:t>re</w:t>
      </w:r>
      <w:r w:rsidRPr="000B4AA2">
        <w:rPr>
          <w:sz w:val="22"/>
          <w:szCs w:val="22"/>
        </w:rPr>
        <w:t>cast</w:t>
      </w:r>
      <w:r>
        <w:rPr>
          <w:sz w:val="22"/>
          <w:szCs w:val="22"/>
        </w:rPr>
        <w:t>ed</w:t>
      </w:r>
      <w:r w:rsidRPr="000B4AA2">
        <w:rPr>
          <w:sz w:val="22"/>
          <w:szCs w:val="22"/>
        </w:rPr>
        <w:t>.  This result is displayed in the table below</w:t>
      </w:r>
      <w:r>
        <w:rPr>
          <w:sz w:val="22"/>
          <w:szCs w:val="22"/>
        </w:rPr>
        <w:t>:</w:t>
      </w:r>
    </w:p>
    <w:p w:rsidR="00E10359" w:rsidRPr="000B4AA2" w:rsidRDefault="00E10359" w:rsidP="000B4AA2">
      <w:pPr>
        <w:spacing w:line="360" w:lineRule="auto"/>
        <w:rPr>
          <w:sz w:val="22"/>
          <w:szCs w:val="22"/>
        </w:rPr>
      </w:pPr>
    </w:p>
    <w:tbl>
      <w:tblPr>
        <w:tblW w:w="8382" w:type="dxa"/>
        <w:tblInd w:w="96" w:type="dxa"/>
        <w:tblLayout w:type="fixed"/>
        <w:tblLook w:val="0000"/>
      </w:tblPr>
      <w:tblGrid>
        <w:gridCol w:w="1812"/>
        <w:gridCol w:w="1620"/>
        <w:gridCol w:w="1800"/>
        <w:gridCol w:w="1402"/>
        <w:gridCol w:w="1748"/>
      </w:tblGrid>
      <w:tr w:rsidR="00E10359" w:rsidRPr="000B4AA2" w:rsidTr="00A55DB7">
        <w:trPr>
          <w:trHeight w:val="817"/>
        </w:trPr>
        <w:tc>
          <w:tcPr>
            <w:tcW w:w="1812" w:type="dxa"/>
            <w:tcBorders>
              <w:top w:val="single" w:sz="8" w:space="0" w:color="auto"/>
              <w:left w:val="single" w:sz="8" w:space="0" w:color="auto"/>
              <w:bottom w:val="single" w:sz="8" w:space="0" w:color="auto"/>
              <w:right w:val="single" w:sz="8" w:space="0" w:color="auto"/>
            </w:tcBorders>
            <w:shd w:val="clear" w:color="auto" w:fill="C0C0C0"/>
            <w:vAlign w:val="bottom"/>
          </w:tcPr>
          <w:p w:rsidR="00E10359" w:rsidRPr="000B4AA2" w:rsidRDefault="00E10359" w:rsidP="000B4AA2">
            <w:pPr>
              <w:spacing w:line="360" w:lineRule="auto"/>
              <w:rPr>
                <w:b/>
                <w:bCs/>
              </w:rPr>
            </w:pPr>
            <w:smartTag w:uri="urn:schemas-microsoft-com:office:smarttags" w:element="City">
              <w:smartTag w:uri="urn:schemas-microsoft-com:office:smarttags" w:element="City">
                <w:r w:rsidRPr="000B4AA2">
                  <w:rPr>
                    <w:b/>
                    <w:bCs/>
                    <w:sz w:val="22"/>
                    <w:szCs w:val="22"/>
                  </w:rPr>
                  <w:t>Wire</w:t>
                </w:r>
              </w:smartTag>
              <w:r w:rsidRPr="000B4AA2">
                <w:rPr>
                  <w:b/>
                  <w:bCs/>
                  <w:sz w:val="22"/>
                  <w:szCs w:val="22"/>
                </w:rPr>
                <w:t xml:space="preserve"> </w:t>
              </w:r>
              <w:smartTag w:uri="urn:schemas-microsoft-com:office:smarttags" w:element="City">
                <w:r w:rsidRPr="000B4AA2">
                  <w:rPr>
                    <w:b/>
                    <w:bCs/>
                    <w:sz w:val="22"/>
                    <w:szCs w:val="22"/>
                  </w:rPr>
                  <w:t>Center</w:t>
                </w:r>
              </w:smartTag>
            </w:smartTag>
            <w:r w:rsidRPr="000B4AA2">
              <w:rPr>
                <w:b/>
                <w:bCs/>
                <w:sz w:val="22"/>
                <w:szCs w:val="22"/>
              </w:rPr>
              <w:t>/ Community</w:t>
            </w:r>
          </w:p>
        </w:tc>
        <w:tc>
          <w:tcPr>
            <w:tcW w:w="1620" w:type="dxa"/>
            <w:tcBorders>
              <w:top w:val="single" w:sz="8" w:space="0" w:color="auto"/>
              <w:left w:val="nil"/>
              <w:bottom w:val="single" w:sz="8" w:space="0" w:color="auto"/>
              <w:right w:val="single" w:sz="8" w:space="0" w:color="auto"/>
            </w:tcBorders>
            <w:shd w:val="clear" w:color="auto" w:fill="C0C0C0"/>
            <w:vAlign w:val="bottom"/>
          </w:tcPr>
          <w:p w:rsidR="00E10359" w:rsidRPr="000B4AA2" w:rsidRDefault="00E10359" w:rsidP="000B4AA2">
            <w:pPr>
              <w:spacing w:line="360" w:lineRule="auto"/>
              <w:rPr>
                <w:b/>
                <w:bCs/>
              </w:rPr>
            </w:pPr>
            <w:r w:rsidRPr="000B4AA2">
              <w:rPr>
                <w:b/>
                <w:bCs/>
                <w:sz w:val="22"/>
                <w:szCs w:val="22"/>
              </w:rPr>
              <w:t xml:space="preserve">Central Office DSLAM </w:t>
            </w:r>
            <w:r w:rsidRPr="000B4AA2">
              <w:rPr>
                <w:bCs/>
                <w:sz w:val="22"/>
                <w:szCs w:val="22"/>
              </w:rPr>
              <w:t>(Plan/Actual)</w:t>
            </w:r>
          </w:p>
        </w:tc>
        <w:tc>
          <w:tcPr>
            <w:tcW w:w="1800" w:type="dxa"/>
            <w:tcBorders>
              <w:top w:val="single" w:sz="8" w:space="0" w:color="auto"/>
              <w:left w:val="nil"/>
              <w:bottom w:val="single" w:sz="8" w:space="0" w:color="auto"/>
              <w:right w:val="single" w:sz="8" w:space="0" w:color="auto"/>
            </w:tcBorders>
            <w:shd w:val="clear" w:color="auto" w:fill="C0C0C0"/>
            <w:vAlign w:val="bottom"/>
          </w:tcPr>
          <w:p w:rsidR="00E10359" w:rsidRPr="000B4AA2" w:rsidRDefault="00E10359" w:rsidP="000B4AA2">
            <w:pPr>
              <w:spacing w:line="360" w:lineRule="auto"/>
              <w:rPr>
                <w:b/>
                <w:bCs/>
              </w:rPr>
            </w:pPr>
            <w:r w:rsidRPr="000B4AA2">
              <w:rPr>
                <w:b/>
                <w:bCs/>
                <w:sz w:val="22"/>
                <w:szCs w:val="22"/>
              </w:rPr>
              <w:t xml:space="preserve">Remote Terminal DSLAM </w:t>
            </w:r>
            <w:r w:rsidRPr="000B4AA2">
              <w:rPr>
                <w:bCs/>
                <w:sz w:val="22"/>
                <w:szCs w:val="22"/>
              </w:rPr>
              <w:t>(Plan/Actual)</w:t>
            </w:r>
          </w:p>
        </w:tc>
        <w:tc>
          <w:tcPr>
            <w:tcW w:w="1402" w:type="dxa"/>
            <w:tcBorders>
              <w:top w:val="single" w:sz="8" w:space="0" w:color="auto"/>
              <w:left w:val="nil"/>
              <w:bottom w:val="single" w:sz="8" w:space="0" w:color="auto"/>
              <w:right w:val="single" w:sz="8" w:space="0" w:color="auto"/>
            </w:tcBorders>
            <w:shd w:val="clear" w:color="auto" w:fill="C0C0C0"/>
            <w:vAlign w:val="bottom"/>
          </w:tcPr>
          <w:p w:rsidR="00E10359" w:rsidRPr="000B4AA2" w:rsidRDefault="00E10359" w:rsidP="000B4AA2">
            <w:pPr>
              <w:spacing w:line="360" w:lineRule="auto"/>
              <w:rPr>
                <w:b/>
                <w:bCs/>
              </w:rPr>
            </w:pPr>
            <w:r w:rsidRPr="000B4AA2">
              <w:rPr>
                <w:b/>
                <w:bCs/>
                <w:sz w:val="22"/>
                <w:szCs w:val="22"/>
              </w:rPr>
              <w:t xml:space="preserve">Availability Before </w:t>
            </w:r>
            <w:r w:rsidRPr="000B4AA2">
              <w:rPr>
                <w:bCs/>
                <w:sz w:val="22"/>
                <w:szCs w:val="22"/>
              </w:rPr>
              <w:t>(%)</w:t>
            </w:r>
          </w:p>
        </w:tc>
        <w:tc>
          <w:tcPr>
            <w:tcW w:w="1748" w:type="dxa"/>
            <w:tcBorders>
              <w:top w:val="single" w:sz="8" w:space="0" w:color="auto"/>
              <w:left w:val="nil"/>
              <w:bottom w:val="single" w:sz="8" w:space="0" w:color="auto"/>
              <w:right w:val="single" w:sz="8" w:space="0" w:color="auto"/>
            </w:tcBorders>
            <w:shd w:val="clear" w:color="auto" w:fill="C0C0C0"/>
            <w:vAlign w:val="bottom"/>
          </w:tcPr>
          <w:p w:rsidR="00E10359" w:rsidRPr="000B4AA2" w:rsidRDefault="00E10359" w:rsidP="000B4AA2">
            <w:pPr>
              <w:spacing w:line="360" w:lineRule="auto"/>
              <w:rPr>
                <w:b/>
                <w:bCs/>
              </w:rPr>
            </w:pPr>
            <w:r w:rsidRPr="000B4AA2">
              <w:rPr>
                <w:b/>
                <w:bCs/>
                <w:sz w:val="22"/>
                <w:szCs w:val="22"/>
              </w:rPr>
              <w:t>Availability</w:t>
            </w:r>
          </w:p>
          <w:p w:rsidR="00E10359" w:rsidRPr="000B4AA2" w:rsidRDefault="00E10359" w:rsidP="000B4AA2">
            <w:pPr>
              <w:spacing w:line="360" w:lineRule="auto"/>
              <w:rPr>
                <w:b/>
                <w:bCs/>
              </w:rPr>
            </w:pPr>
            <w:r w:rsidRPr="000B4AA2">
              <w:rPr>
                <w:b/>
                <w:bCs/>
                <w:sz w:val="22"/>
                <w:szCs w:val="22"/>
              </w:rPr>
              <w:t xml:space="preserve"> After </w:t>
            </w:r>
            <w:r w:rsidRPr="000B4AA2">
              <w:rPr>
                <w:bCs/>
                <w:sz w:val="22"/>
                <w:szCs w:val="22"/>
              </w:rPr>
              <w:t>(%Plan/%Actual)</w:t>
            </w: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Roy</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NorthPort</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Pateros</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Springdale</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Elk</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Easton</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Waitsburg</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Joyce</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Hoodsport</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Napavine</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Omak</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Shelton</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Rochester</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smartTag w:uri="urn:schemas-microsoft-com:office:smarttags" w:element="City">
              <w:r w:rsidRPr="000B4AA2">
                <w:rPr>
                  <w:b/>
                  <w:sz w:val="22"/>
                  <w:szCs w:val="22"/>
                </w:rPr>
                <w:t>Deer Park</w:t>
              </w:r>
            </w:smartTag>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Winlock</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rPr>
            </w:pPr>
            <w:r w:rsidRPr="000B4AA2">
              <w:rPr>
                <w:b/>
                <w:sz w:val="22"/>
                <w:szCs w:val="22"/>
              </w:rPr>
              <w:t>Belfair</w:t>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rPr>
            </w:pPr>
          </w:p>
        </w:tc>
      </w:tr>
      <w:bookmarkStart w:id="2" w:name="RANGE!A18"/>
      <w:bookmarkEnd w:id="2"/>
      <w:tr w:rsidR="00E10359" w:rsidRPr="000B4AA2" w:rsidTr="00A55DB7">
        <w:trPr>
          <w:trHeight w:val="324"/>
        </w:trPr>
        <w:tc>
          <w:tcPr>
            <w:tcW w:w="1812" w:type="dxa"/>
            <w:tcBorders>
              <w:top w:val="nil"/>
              <w:left w:val="single" w:sz="8" w:space="0" w:color="auto"/>
              <w:bottom w:val="single" w:sz="8" w:space="0" w:color="auto"/>
              <w:right w:val="single" w:sz="8" w:space="0" w:color="auto"/>
            </w:tcBorders>
            <w:vAlign w:val="bottom"/>
          </w:tcPr>
          <w:p w:rsidR="00E10359" w:rsidRPr="000B4AA2" w:rsidRDefault="00E10359" w:rsidP="000B4AA2">
            <w:pPr>
              <w:spacing w:line="360" w:lineRule="auto"/>
              <w:rPr>
                <w:b/>
                <w:color w:val="000000"/>
                <w:u w:val="single"/>
              </w:rPr>
            </w:pPr>
            <w:r w:rsidRPr="000B4AA2">
              <w:rPr>
                <w:b/>
                <w:color w:val="000000"/>
                <w:sz w:val="22"/>
                <w:szCs w:val="22"/>
                <w:u w:val="single"/>
              </w:rPr>
              <w:fldChar w:fldCharType="begin"/>
            </w:r>
            <w:r w:rsidRPr="000B4AA2">
              <w:rPr>
                <w:b/>
                <w:color w:val="000000"/>
                <w:sz w:val="22"/>
                <w:szCs w:val="22"/>
                <w:u w:val="single"/>
              </w:rPr>
              <w:instrText xml:space="preserve"> HYPERLINK "file:///G:\\initiatives\\WA%20NIII\\third%20annual%20status%20report\\table%20plan%20v%20actual.xls" \l "RANGE!A22#RANGE!A22" </w:instrText>
            </w:r>
            <w:r w:rsidRPr="00A55DB7">
              <w:rPr>
                <w:b/>
                <w:color w:val="000000"/>
                <w:sz w:val="22"/>
                <w:szCs w:val="22"/>
                <w:u w:val="single"/>
              </w:rPr>
            </w:r>
            <w:r w:rsidRPr="000B4AA2">
              <w:rPr>
                <w:b/>
                <w:color w:val="000000"/>
                <w:sz w:val="22"/>
                <w:szCs w:val="22"/>
                <w:u w:val="single"/>
              </w:rPr>
              <w:fldChar w:fldCharType="separate"/>
            </w:r>
            <w:r w:rsidRPr="000B4AA2">
              <w:rPr>
                <w:rStyle w:val="Hyperlink"/>
                <w:b/>
                <w:color w:val="000000"/>
                <w:sz w:val="22"/>
                <w:szCs w:val="22"/>
              </w:rPr>
              <w:t>Steamboat</w:t>
            </w:r>
            <w:r w:rsidRPr="000B4AA2">
              <w:rPr>
                <w:rStyle w:val="Hyperlink"/>
                <w:color w:val="000000"/>
                <w:sz w:val="22"/>
                <w:szCs w:val="22"/>
                <w:vertAlign w:val="superscript"/>
              </w:rPr>
              <w:t>[1]</w:t>
            </w:r>
            <w:r w:rsidRPr="000B4AA2">
              <w:rPr>
                <w:b/>
                <w:color w:val="000000"/>
                <w:sz w:val="22"/>
                <w:szCs w:val="22"/>
                <w:u w:val="single"/>
              </w:rPr>
              <w:fldChar w:fldCharType="end"/>
            </w:r>
          </w:p>
        </w:tc>
        <w:tc>
          <w:tcPr>
            <w:tcW w:w="162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highlight w:val="black"/>
                <w:u w:val="single"/>
              </w:rPr>
            </w:pPr>
          </w:p>
        </w:tc>
        <w:tc>
          <w:tcPr>
            <w:tcW w:w="1800"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color w:val="000000"/>
                <w:highlight w:val="black"/>
                <w:u w:val="single"/>
              </w:rPr>
            </w:pPr>
          </w:p>
        </w:tc>
        <w:tc>
          <w:tcPr>
            <w:tcW w:w="1402"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color w:val="000000"/>
                <w:highlight w:val="black"/>
              </w:rPr>
            </w:pPr>
          </w:p>
        </w:tc>
        <w:tc>
          <w:tcPr>
            <w:tcW w:w="1748" w:type="dxa"/>
            <w:tcBorders>
              <w:top w:val="single" w:sz="8" w:space="0" w:color="auto"/>
              <w:left w:val="nil"/>
              <w:bottom w:val="single" w:sz="8" w:space="0" w:color="auto"/>
              <w:right w:val="single" w:sz="8" w:space="0" w:color="auto"/>
            </w:tcBorders>
            <w:shd w:val="clear" w:color="auto" w:fill="0C0C0C"/>
            <w:vAlign w:val="bottom"/>
          </w:tcPr>
          <w:p w:rsidR="00E10359" w:rsidRPr="00A55DB7" w:rsidRDefault="00E10359" w:rsidP="000B4AA2">
            <w:pPr>
              <w:spacing w:line="360" w:lineRule="auto"/>
              <w:rPr>
                <w:b/>
                <w:color w:val="000000"/>
                <w:highlight w:val="black"/>
              </w:rPr>
            </w:pPr>
          </w:p>
        </w:tc>
      </w:tr>
      <w:tr w:rsidR="00E10359" w:rsidRPr="000B4AA2" w:rsidTr="00A55DB7">
        <w:trPr>
          <w:trHeight w:val="312"/>
        </w:trPr>
        <w:tc>
          <w:tcPr>
            <w:tcW w:w="1812" w:type="dxa"/>
            <w:tcBorders>
              <w:top w:val="nil"/>
              <w:left w:val="nil"/>
              <w:bottom w:val="nil"/>
              <w:right w:val="nil"/>
            </w:tcBorders>
            <w:vAlign w:val="bottom"/>
          </w:tcPr>
          <w:p w:rsidR="00E10359" w:rsidRPr="000B4AA2" w:rsidRDefault="00E10359" w:rsidP="000B4AA2">
            <w:pPr>
              <w:spacing w:line="360" w:lineRule="auto"/>
              <w:rPr>
                <w:b/>
              </w:rPr>
            </w:pPr>
            <w:r w:rsidRPr="000B4AA2">
              <w:rPr>
                <w:b/>
                <w:sz w:val="22"/>
                <w:szCs w:val="22"/>
              </w:rPr>
              <w:t>Total</w:t>
            </w:r>
          </w:p>
        </w:tc>
        <w:tc>
          <w:tcPr>
            <w:tcW w:w="1620" w:type="dxa"/>
            <w:tcBorders>
              <w:top w:val="single" w:sz="8" w:space="0" w:color="auto"/>
              <w:left w:val="nil"/>
              <w:bottom w:val="nil"/>
              <w:right w:val="nil"/>
            </w:tcBorders>
            <w:shd w:val="clear" w:color="auto" w:fill="0C0C0C"/>
            <w:vAlign w:val="bottom"/>
          </w:tcPr>
          <w:p w:rsidR="00E10359" w:rsidRPr="00A55DB7" w:rsidRDefault="00E10359" w:rsidP="000B4AA2">
            <w:pPr>
              <w:spacing w:line="360" w:lineRule="auto"/>
              <w:rPr>
                <w:b/>
                <w:highlight w:val="black"/>
              </w:rPr>
            </w:pPr>
          </w:p>
        </w:tc>
        <w:tc>
          <w:tcPr>
            <w:tcW w:w="1800" w:type="dxa"/>
            <w:tcBorders>
              <w:top w:val="single" w:sz="8" w:space="0" w:color="auto"/>
              <w:left w:val="nil"/>
              <w:bottom w:val="nil"/>
              <w:right w:val="nil"/>
            </w:tcBorders>
            <w:shd w:val="clear" w:color="auto" w:fill="0C0C0C"/>
            <w:vAlign w:val="bottom"/>
          </w:tcPr>
          <w:p w:rsidR="00E10359" w:rsidRPr="00A55DB7" w:rsidRDefault="00E10359" w:rsidP="000B4AA2">
            <w:pPr>
              <w:spacing w:line="360" w:lineRule="auto"/>
              <w:rPr>
                <w:b/>
                <w:highlight w:val="black"/>
              </w:rPr>
            </w:pPr>
          </w:p>
        </w:tc>
        <w:tc>
          <w:tcPr>
            <w:tcW w:w="1402" w:type="dxa"/>
            <w:tcBorders>
              <w:top w:val="single" w:sz="8" w:space="0" w:color="auto"/>
              <w:left w:val="nil"/>
              <w:bottom w:val="nil"/>
              <w:right w:val="nil"/>
            </w:tcBorders>
            <w:shd w:val="clear" w:color="auto" w:fill="0C0C0C"/>
            <w:vAlign w:val="bottom"/>
          </w:tcPr>
          <w:p w:rsidR="00E10359" w:rsidRPr="00A55DB7" w:rsidRDefault="00E10359" w:rsidP="000B4AA2">
            <w:pPr>
              <w:spacing w:line="360" w:lineRule="auto"/>
              <w:rPr>
                <w:b/>
                <w:highlight w:val="black"/>
              </w:rPr>
            </w:pPr>
          </w:p>
        </w:tc>
        <w:tc>
          <w:tcPr>
            <w:tcW w:w="1748" w:type="dxa"/>
            <w:tcBorders>
              <w:top w:val="single" w:sz="8" w:space="0" w:color="auto"/>
              <w:left w:val="nil"/>
              <w:bottom w:val="nil"/>
              <w:right w:val="nil"/>
            </w:tcBorders>
            <w:shd w:val="clear" w:color="auto" w:fill="0C0C0C"/>
            <w:vAlign w:val="bottom"/>
          </w:tcPr>
          <w:p w:rsidR="00E10359" w:rsidRPr="00A55DB7" w:rsidRDefault="00E10359" w:rsidP="000B4AA2">
            <w:pPr>
              <w:spacing w:line="360" w:lineRule="auto"/>
              <w:rPr>
                <w:b/>
                <w:highlight w:val="black"/>
              </w:rPr>
            </w:pPr>
          </w:p>
        </w:tc>
      </w:tr>
    </w:tbl>
    <w:p w:rsidR="00E10359" w:rsidRPr="000B4AA2" w:rsidRDefault="00E10359" w:rsidP="000B4AA2">
      <w:pPr>
        <w:numPr>
          <w:ilvl w:val="0"/>
          <w:numId w:val="1"/>
        </w:numPr>
        <w:spacing w:line="360" w:lineRule="auto"/>
        <w:jc w:val="right"/>
        <w:rPr>
          <w:sz w:val="22"/>
          <w:szCs w:val="22"/>
        </w:rPr>
      </w:pPr>
      <w:smartTag w:uri="urn:schemas-microsoft-com:office:smarttags" w:element="City">
        <w:r w:rsidRPr="000B4AA2">
          <w:rPr>
            <w:sz w:val="22"/>
            <w:szCs w:val="22"/>
          </w:rPr>
          <w:t>Steamboat</w:t>
        </w:r>
      </w:smartTag>
      <w:r w:rsidRPr="000B4AA2">
        <w:rPr>
          <w:sz w:val="22"/>
          <w:szCs w:val="22"/>
        </w:rPr>
        <w:t xml:space="preserve"> </w:t>
      </w:r>
      <w:smartTag w:uri="urn:schemas-microsoft-com:office:smarttags" w:element="City">
        <w:r w:rsidRPr="000B4AA2">
          <w:rPr>
            <w:sz w:val="22"/>
            <w:szCs w:val="22"/>
          </w:rPr>
          <w:t>Island</w:t>
        </w:r>
      </w:smartTag>
      <w:r w:rsidRPr="000B4AA2">
        <w:rPr>
          <w:sz w:val="22"/>
          <w:szCs w:val="22"/>
        </w:rPr>
        <w:t xml:space="preserve"> is part of the </w:t>
      </w:r>
      <w:smartTag w:uri="urn:schemas-microsoft-com:office:smarttags" w:element="City">
        <w:smartTag w:uri="urn:schemas-microsoft-com:office:smarttags" w:element="City">
          <w:r w:rsidRPr="000B4AA2">
            <w:rPr>
              <w:sz w:val="22"/>
              <w:szCs w:val="22"/>
            </w:rPr>
            <w:t>Olympia</w:t>
          </w:r>
        </w:smartTag>
        <w:r w:rsidRPr="000B4AA2">
          <w:rPr>
            <w:sz w:val="22"/>
            <w:szCs w:val="22"/>
          </w:rPr>
          <w:t xml:space="preserve"> </w:t>
        </w:r>
        <w:smartTag w:uri="urn:schemas-microsoft-com:office:smarttags" w:element="City">
          <w:r w:rsidRPr="000B4AA2">
            <w:rPr>
              <w:sz w:val="22"/>
              <w:szCs w:val="22"/>
            </w:rPr>
            <w:t>Evergreen</w:t>
          </w:r>
        </w:smartTag>
        <w:r w:rsidRPr="000B4AA2">
          <w:rPr>
            <w:sz w:val="22"/>
            <w:szCs w:val="22"/>
          </w:rPr>
          <w:t xml:space="preserve"> </w:t>
        </w:r>
        <w:smartTag w:uri="urn:schemas-microsoft-com:office:smarttags" w:element="City">
          <w:r w:rsidRPr="000B4AA2">
            <w:rPr>
              <w:sz w:val="22"/>
              <w:szCs w:val="22"/>
            </w:rPr>
            <w:t>Wire</w:t>
          </w:r>
        </w:smartTag>
        <w:r w:rsidRPr="000B4AA2">
          <w:rPr>
            <w:sz w:val="22"/>
            <w:szCs w:val="22"/>
          </w:rPr>
          <w:t xml:space="preserve"> </w:t>
        </w:r>
        <w:smartTag w:uri="urn:schemas-microsoft-com:office:smarttags" w:element="City">
          <w:r w:rsidRPr="000B4AA2">
            <w:rPr>
              <w:sz w:val="22"/>
              <w:szCs w:val="22"/>
            </w:rPr>
            <w:t>Center</w:t>
          </w:r>
        </w:smartTag>
      </w:smartTag>
    </w:p>
    <w:p w:rsidR="00E10359" w:rsidRPr="000B4AA2" w:rsidRDefault="00E10359" w:rsidP="000B4AA2">
      <w:pPr>
        <w:spacing w:line="360" w:lineRule="auto"/>
        <w:ind w:left="360"/>
        <w:rPr>
          <w:sz w:val="22"/>
          <w:szCs w:val="22"/>
        </w:rPr>
      </w:pPr>
    </w:p>
    <w:p w:rsidR="00E10359" w:rsidRPr="000B4AA2" w:rsidRDefault="00E10359" w:rsidP="000B4AA2">
      <w:pPr>
        <w:spacing w:line="360" w:lineRule="auto"/>
        <w:rPr>
          <w:sz w:val="22"/>
          <w:szCs w:val="22"/>
        </w:rPr>
      </w:pPr>
      <w:r>
        <w:rPr>
          <w:sz w:val="22"/>
          <w:szCs w:val="22"/>
        </w:rPr>
        <w:t>As depicted in the table,</w:t>
      </w:r>
      <w:r w:rsidRPr="000B4AA2">
        <w:rPr>
          <w:sz w:val="22"/>
          <w:szCs w:val="22"/>
        </w:rPr>
        <w:t xml:space="preserve"> Qwest deployed 79 remote terminal sites as opposed to the 43 </w:t>
      </w:r>
      <w:r>
        <w:rPr>
          <w:sz w:val="22"/>
          <w:szCs w:val="22"/>
        </w:rPr>
        <w:t>initially</w:t>
      </w:r>
      <w:r w:rsidRPr="000B4AA2">
        <w:rPr>
          <w:sz w:val="22"/>
          <w:szCs w:val="22"/>
        </w:rPr>
        <w:t xml:space="preserve"> </w:t>
      </w:r>
      <w:r>
        <w:rPr>
          <w:sz w:val="22"/>
          <w:szCs w:val="22"/>
        </w:rPr>
        <w:t>proposed</w:t>
      </w:r>
      <w:r w:rsidRPr="000B4AA2">
        <w:rPr>
          <w:sz w:val="22"/>
          <w:szCs w:val="22"/>
        </w:rPr>
        <w:t xml:space="preserve"> </w:t>
      </w:r>
      <w:r>
        <w:rPr>
          <w:sz w:val="22"/>
          <w:szCs w:val="22"/>
        </w:rPr>
        <w:t xml:space="preserve">under </w:t>
      </w:r>
      <w:r w:rsidRPr="000B4AA2">
        <w:rPr>
          <w:sz w:val="22"/>
          <w:szCs w:val="22"/>
        </w:rPr>
        <w:t>the Plan.</w:t>
      </w:r>
      <w:r w:rsidRPr="000B4AA2">
        <w:rPr>
          <w:rStyle w:val="FootnoteReference"/>
          <w:sz w:val="22"/>
          <w:szCs w:val="22"/>
        </w:rPr>
        <w:footnoteReference w:id="1"/>
      </w:r>
      <w:r w:rsidRPr="000B4AA2">
        <w:rPr>
          <w:sz w:val="22"/>
          <w:szCs w:val="22"/>
        </w:rPr>
        <w:t xml:space="preserve">  </w:t>
      </w:r>
      <w:r w:rsidRPr="000B4AA2">
        <w:rPr>
          <w:color w:val="000000"/>
          <w:sz w:val="22"/>
          <w:szCs w:val="22"/>
        </w:rPr>
        <w:t xml:space="preserve">Two of the 79 sites remained under construction after submission of the third annual status report submitted a year ago.  One site was in </w:t>
      </w:r>
      <w:smartTag w:uri="urn:schemas-microsoft-com:office:smarttags" w:element="City">
        <w:r w:rsidRPr="000B4AA2">
          <w:rPr>
            <w:color w:val="000000"/>
            <w:sz w:val="22"/>
            <w:szCs w:val="22"/>
          </w:rPr>
          <w:t>Rochester</w:t>
        </w:r>
      </w:smartTag>
      <w:r w:rsidRPr="000B4AA2">
        <w:rPr>
          <w:color w:val="000000"/>
          <w:sz w:val="22"/>
          <w:szCs w:val="22"/>
        </w:rPr>
        <w:t xml:space="preserve"> and one in </w:t>
      </w:r>
      <w:smartTag w:uri="urn:schemas-microsoft-com:office:smarttags" w:element="City">
        <w:r w:rsidRPr="000B4AA2">
          <w:rPr>
            <w:color w:val="000000"/>
            <w:sz w:val="22"/>
            <w:szCs w:val="22"/>
          </w:rPr>
          <w:t>Deer Park</w:t>
        </w:r>
      </w:smartTag>
      <w:r w:rsidRPr="000B4AA2">
        <w:rPr>
          <w:color w:val="000000"/>
          <w:sz w:val="22"/>
          <w:szCs w:val="22"/>
        </w:rPr>
        <w:t xml:space="preserve">.  Negotiation of easement with the Bureau of Indian Affairs created a delay in </w:t>
      </w:r>
      <w:smartTag w:uri="urn:schemas-microsoft-com:office:smarttags" w:element="City">
        <w:r w:rsidRPr="000B4AA2">
          <w:rPr>
            <w:color w:val="000000"/>
            <w:sz w:val="22"/>
            <w:szCs w:val="22"/>
          </w:rPr>
          <w:t>Rochester</w:t>
        </w:r>
      </w:smartTag>
      <w:r w:rsidRPr="000B4AA2">
        <w:rPr>
          <w:color w:val="000000"/>
          <w:sz w:val="22"/>
          <w:szCs w:val="22"/>
        </w:rPr>
        <w:t xml:space="preserve">.  The </w:t>
      </w:r>
      <w:smartTag w:uri="urn:schemas-microsoft-com:office:smarttags" w:element="City">
        <w:r w:rsidRPr="000B4AA2">
          <w:rPr>
            <w:color w:val="000000"/>
            <w:sz w:val="22"/>
            <w:szCs w:val="22"/>
          </w:rPr>
          <w:t>Deer Park</w:t>
        </w:r>
      </w:smartTag>
      <w:r w:rsidRPr="000B4AA2">
        <w:rPr>
          <w:color w:val="000000"/>
          <w:sz w:val="22"/>
          <w:szCs w:val="22"/>
        </w:rPr>
        <w:t xml:space="preserve"> site required boring under a waterway.  As such, it required an Environmental Protection Agency permit and a Joint Aquatic Resource Permit approval that delayed completion.  These projects produced the dual benefit of supporting high-speed, fiber-optic-cable-based internet access as well as higher grade basic telephone service in the area.  </w:t>
      </w:r>
      <w:smartTag w:uri="urn:schemas-microsoft-com:office:smarttags" w:element="City">
        <w:r w:rsidRPr="000B4AA2">
          <w:rPr>
            <w:color w:val="000000"/>
            <w:sz w:val="22"/>
            <w:szCs w:val="22"/>
          </w:rPr>
          <w:t>Rochester</w:t>
        </w:r>
      </w:smartTag>
      <w:r w:rsidRPr="000B4AA2">
        <w:rPr>
          <w:color w:val="000000"/>
          <w:sz w:val="22"/>
          <w:szCs w:val="22"/>
        </w:rPr>
        <w:t xml:space="preserve"> now has fourteen Remote Terminal sites and </w:t>
      </w:r>
      <w:smartTag w:uri="urn:schemas-microsoft-com:office:smarttags" w:element="City">
        <w:r w:rsidRPr="000B4AA2">
          <w:rPr>
            <w:color w:val="000000"/>
            <w:sz w:val="22"/>
            <w:szCs w:val="22"/>
          </w:rPr>
          <w:t>Deer Park</w:t>
        </w:r>
      </w:smartTag>
      <w:r w:rsidRPr="000B4AA2">
        <w:rPr>
          <w:color w:val="000000"/>
          <w:sz w:val="22"/>
          <w:szCs w:val="22"/>
        </w:rPr>
        <w:t xml:space="preserve"> has three as reflected in the table above.  The table above also reflects that </w:t>
      </w:r>
      <w:r w:rsidRPr="000B4AA2">
        <w:rPr>
          <w:sz w:val="22"/>
          <w:szCs w:val="22"/>
        </w:rPr>
        <w:t xml:space="preserve">Qwest deployed 9 central office terminals as opposed to the 8 </w:t>
      </w:r>
      <w:r>
        <w:rPr>
          <w:sz w:val="22"/>
          <w:szCs w:val="22"/>
        </w:rPr>
        <w:t>initially proposed under</w:t>
      </w:r>
      <w:r w:rsidRPr="000B4AA2">
        <w:rPr>
          <w:sz w:val="22"/>
          <w:szCs w:val="22"/>
        </w:rPr>
        <w:t xml:space="preserve"> the Plan.  Not reflected in the table is the fact that this Plan has also had the effect of reinforcing interoffice backbone between the targeted Wire Centers and more centrally located Wire Centers.  This reinforcement was a critical prerequisite to introducing high-speed Internet access to customers in the targeted wire centers.</w:t>
      </w:r>
    </w:p>
    <w:p w:rsidR="00E10359" w:rsidRPr="000B4AA2" w:rsidRDefault="00E10359" w:rsidP="000B4AA2">
      <w:pPr>
        <w:spacing w:line="360" w:lineRule="auto"/>
        <w:rPr>
          <w:color w:val="000000"/>
          <w:sz w:val="22"/>
          <w:szCs w:val="22"/>
        </w:rPr>
      </w:pPr>
    </w:p>
    <w:p w:rsidR="00E10359" w:rsidRPr="000B4AA2" w:rsidRDefault="00E10359" w:rsidP="000B4AA2">
      <w:pPr>
        <w:widowControl w:val="0"/>
        <w:autoSpaceDE w:val="0"/>
        <w:autoSpaceDN w:val="0"/>
        <w:adjustRightInd w:val="0"/>
        <w:spacing w:line="360" w:lineRule="auto"/>
        <w:rPr>
          <w:color w:val="000000"/>
          <w:sz w:val="22"/>
          <w:szCs w:val="22"/>
        </w:rPr>
      </w:pPr>
      <w:r w:rsidRPr="000B4AA2">
        <w:rPr>
          <w:sz w:val="22"/>
          <w:szCs w:val="22"/>
        </w:rPr>
        <w:t>High-speed Internet access was available to customer</w:t>
      </w:r>
      <w:r w:rsidRPr="000B4AA2">
        <w:rPr>
          <w:color w:val="000000"/>
          <w:sz w:val="22"/>
          <w:szCs w:val="22"/>
        </w:rPr>
        <w:t xml:space="preserve">s from all sites on the original list well in advance of the deadlines of Docket UT-061625, Order No. 6.  The facilities deployed by Qwest through its investment commitment has made service available in a footprint far beyond what was originally proposed, yet within the same set of rural communities determined to be most in need.  </w:t>
      </w:r>
    </w:p>
    <w:p w:rsidR="00E10359" w:rsidRPr="000B4AA2" w:rsidRDefault="00E10359" w:rsidP="000B4AA2">
      <w:pPr>
        <w:widowControl w:val="0"/>
        <w:autoSpaceDE w:val="0"/>
        <w:autoSpaceDN w:val="0"/>
        <w:adjustRightInd w:val="0"/>
        <w:spacing w:line="360" w:lineRule="auto"/>
        <w:rPr>
          <w:color w:val="000000"/>
          <w:sz w:val="22"/>
          <w:szCs w:val="22"/>
        </w:rPr>
      </w:pPr>
    </w:p>
    <w:p w:rsidR="00E10359" w:rsidRPr="000B4AA2" w:rsidRDefault="00E10359" w:rsidP="000B4AA2">
      <w:pPr>
        <w:widowControl w:val="0"/>
        <w:autoSpaceDE w:val="0"/>
        <w:autoSpaceDN w:val="0"/>
        <w:adjustRightInd w:val="0"/>
        <w:spacing w:line="360" w:lineRule="auto"/>
        <w:rPr>
          <w:color w:val="000000"/>
          <w:sz w:val="22"/>
          <w:szCs w:val="22"/>
        </w:rPr>
      </w:pPr>
      <w:r w:rsidRPr="000B4AA2">
        <w:rPr>
          <w:color w:val="000000"/>
          <w:sz w:val="22"/>
          <w:szCs w:val="22"/>
        </w:rPr>
        <w:t xml:space="preserve">Finally, statewide availability of service at </w:t>
      </w:r>
      <w:r w:rsidRPr="000B4AA2">
        <w:rPr>
          <w:b/>
          <w:color w:val="000000"/>
          <w:sz w:val="22"/>
          <w:szCs w:val="22"/>
        </w:rPr>
        <w:t>90%</w:t>
      </w:r>
      <w:r w:rsidRPr="000B4AA2">
        <w:rPr>
          <w:color w:val="000000"/>
          <w:sz w:val="22"/>
          <w:szCs w:val="22"/>
        </w:rPr>
        <w:t xml:space="preserve"> is considerably above the 83% target set by the AFOR despite persistent wireline customer loss, competition and a very challenging economy.</w:t>
      </w:r>
      <w:r w:rsidRPr="000B4AA2">
        <w:rPr>
          <w:rStyle w:val="FootnoteReference"/>
          <w:color w:val="000000"/>
          <w:sz w:val="22"/>
          <w:szCs w:val="22"/>
        </w:rPr>
        <w:footnoteReference w:id="2"/>
      </w:r>
      <w:r w:rsidRPr="000B4AA2">
        <w:rPr>
          <w:color w:val="000000"/>
          <w:sz w:val="22"/>
          <w:szCs w:val="22"/>
        </w:rPr>
        <w:t xml:space="preserve">  In good faith, Qwest has fully satisfied this obligation and will not supply additional status reporting on rural broadband service expansion per </w:t>
      </w:r>
      <w:r w:rsidRPr="000B4AA2">
        <w:rPr>
          <w:sz w:val="22"/>
          <w:szCs w:val="22"/>
        </w:rPr>
        <w:t>Docket UT-061625</w:t>
      </w:r>
      <w:r w:rsidRPr="000B4AA2">
        <w:rPr>
          <w:color w:val="000000"/>
          <w:sz w:val="22"/>
          <w:szCs w:val="22"/>
        </w:rPr>
        <w:t>.  Similar, but more extensive, future reports will be submitted per the Qwest-CenturyLink Merger Agreement Approval Order from the WUTC.</w:t>
      </w:r>
    </w:p>
    <w:p w:rsidR="00E10359" w:rsidRPr="000B4AA2" w:rsidRDefault="00E10359">
      <w:pPr>
        <w:rPr>
          <w:sz w:val="22"/>
          <w:szCs w:val="22"/>
        </w:rPr>
      </w:pPr>
    </w:p>
    <w:p w:rsidR="00E10359" w:rsidRPr="000B4AA2" w:rsidRDefault="00E10359">
      <w:pPr>
        <w:rPr>
          <w:sz w:val="22"/>
          <w:szCs w:val="22"/>
        </w:rPr>
      </w:pPr>
      <w:r w:rsidRPr="000B4AA2">
        <w:rPr>
          <w:sz w:val="22"/>
          <w:szCs w:val="22"/>
        </w:rPr>
        <w:t xml:space="preserve"> </w:t>
      </w:r>
    </w:p>
    <w:p w:rsidR="00E10359" w:rsidRPr="000B4AA2" w:rsidRDefault="00E10359">
      <w:pPr>
        <w:rPr>
          <w:sz w:val="22"/>
          <w:szCs w:val="22"/>
        </w:rPr>
      </w:pPr>
      <w:r w:rsidRPr="000B4AA2">
        <w:rPr>
          <w:sz w:val="22"/>
          <w:szCs w:val="22"/>
        </w:rPr>
        <w:t xml:space="preserve">     </w:t>
      </w:r>
    </w:p>
    <w:p w:rsidR="00E10359" w:rsidRPr="000B4AA2" w:rsidRDefault="00E10359">
      <w:pPr>
        <w:rPr>
          <w:sz w:val="22"/>
          <w:szCs w:val="22"/>
        </w:rPr>
      </w:pPr>
    </w:p>
    <w:sectPr w:rsidR="00E10359" w:rsidRPr="000B4AA2" w:rsidSect="001F63F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59" w:rsidRDefault="00E10359">
      <w:r>
        <w:separator/>
      </w:r>
    </w:p>
  </w:endnote>
  <w:endnote w:type="continuationSeparator" w:id="0">
    <w:p w:rsidR="00E10359" w:rsidRDefault="00E10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59" w:rsidRDefault="00E10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0359" w:rsidRDefault="00E103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59" w:rsidRDefault="00E10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0359" w:rsidRDefault="00E10359">
    <w:pPr>
      <w:pStyle w:val="Footer"/>
      <w:ind w:right="360"/>
      <w:jc w:val="center"/>
      <w:rPr>
        <w:b/>
      </w:rPr>
    </w:pPr>
    <w:r>
      <w:rPr>
        <w:b/>
      </w:rPr>
      <w:t>Redacted</w:t>
    </w:r>
  </w:p>
  <w:p w:rsidR="00E10359" w:rsidRDefault="00E10359">
    <w:pPr>
      <w:pStyle w:val="Footer"/>
      <w:ind w:right="360"/>
      <w:jc w:val="center"/>
      <w:rPr>
        <w:b/>
      </w:rPr>
    </w:pPr>
    <w:r>
      <w:rPr>
        <w:b/>
      </w:rPr>
      <w:t>Confidential per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59" w:rsidRDefault="00E10359">
      <w:r>
        <w:separator/>
      </w:r>
    </w:p>
  </w:footnote>
  <w:footnote w:type="continuationSeparator" w:id="0">
    <w:p w:rsidR="00E10359" w:rsidRDefault="00E10359">
      <w:r>
        <w:continuationSeparator/>
      </w:r>
    </w:p>
  </w:footnote>
  <w:footnote w:id="1">
    <w:p w:rsidR="00E10359" w:rsidRDefault="00E10359">
      <w:pPr>
        <w:pStyle w:val="FootnoteText"/>
      </w:pPr>
      <w:r w:rsidRPr="000B4AA2">
        <w:rPr>
          <w:rStyle w:val="FootnoteReference"/>
          <w:rFonts w:ascii="Times New Roman" w:hAnsi="Times New Roman"/>
        </w:rPr>
        <w:footnoteRef/>
      </w:r>
      <w:r w:rsidRPr="000B4AA2">
        <w:rPr>
          <w:rFonts w:ascii="Times New Roman" w:hAnsi="Times New Roman"/>
        </w:rPr>
        <w:t xml:space="preserve">   WUTC Docket UT-061625, Order 16, </w:t>
      </w:r>
      <w:r w:rsidRPr="000B4AA2">
        <w:rPr>
          <w:rFonts w:ascii="Times New Roman" w:hAnsi="Times New Roman"/>
          <w:u w:val="single"/>
        </w:rPr>
        <w:t>Order Accepting Washington Rural Broadband Service Expansion Plan, On Condition, and Denying Request for Alternative Reporting</w:t>
      </w:r>
      <w:r w:rsidRPr="000B4AA2">
        <w:rPr>
          <w:rFonts w:ascii="Times New Roman" w:hAnsi="Times New Roman"/>
        </w:rPr>
        <w:t xml:space="preserve">, January 10, 2008. </w:t>
      </w:r>
    </w:p>
  </w:footnote>
  <w:footnote w:id="2">
    <w:p w:rsidR="00E10359" w:rsidRPr="000B4AA2" w:rsidRDefault="00E10359">
      <w:pPr>
        <w:pStyle w:val="FootnoteText"/>
        <w:rPr>
          <w:rFonts w:ascii="Times New Roman" w:hAnsi="Times New Roman"/>
          <w:color w:val="000000"/>
        </w:rPr>
      </w:pPr>
      <w:r w:rsidRPr="000B4AA2">
        <w:rPr>
          <w:rStyle w:val="FootnoteReference"/>
          <w:rFonts w:ascii="Times New Roman" w:hAnsi="Times New Roman"/>
        </w:rPr>
        <w:footnoteRef/>
      </w:r>
      <w:r w:rsidRPr="000B4AA2">
        <w:rPr>
          <w:rFonts w:ascii="Times New Roman" w:hAnsi="Times New Roman"/>
        </w:rPr>
        <w:t xml:space="preserve">   </w:t>
      </w:r>
      <w:r w:rsidRPr="000B4AA2">
        <w:rPr>
          <w:rFonts w:ascii="Times New Roman" w:hAnsi="Times New Roman"/>
          <w:color w:val="000000"/>
        </w:rPr>
        <w:t xml:space="preserve">Footnote 125 of Order 6 states, “In evaluating Qwest’s performance towards the goal of ensuring 83% high speed internet service availability in its </w:t>
      </w:r>
      <w:smartTag w:uri="urn:schemas-microsoft-com:office:smarttags" w:element="place">
        <w:smartTag w:uri="urn:schemas-microsoft-com:office:smarttags" w:element="State">
          <w:r w:rsidRPr="000B4AA2">
            <w:rPr>
              <w:rFonts w:ascii="Times New Roman" w:hAnsi="Times New Roman"/>
              <w:color w:val="000000"/>
            </w:rPr>
            <w:t>Washington</w:t>
          </w:r>
        </w:smartTag>
      </w:smartTag>
      <w:r w:rsidRPr="000B4AA2">
        <w:rPr>
          <w:rFonts w:ascii="Times New Roman" w:hAnsi="Times New Roman"/>
          <w:color w:val="000000"/>
        </w:rPr>
        <w:t xml:space="preserve"> service area during the review process, consideration shall be given to Qwest’s access line loss and the loss of high speed internet service customers to other broadband service providers operating in its territory.”     </w:t>
      </w:r>
    </w:p>
    <w:p w:rsidR="00E10359" w:rsidRDefault="00E1035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A7FE1"/>
    <w:multiLevelType w:val="hybridMultilevel"/>
    <w:tmpl w:val="A51C9528"/>
    <w:lvl w:ilvl="0" w:tplc="B756DA36">
      <w:start w:val="1"/>
      <w:numFmt w:val="decimal"/>
      <w:lvlText w:val="%1"/>
      <w:lvlJc w:val="left"/>
      <w:pPr>
        <w:tabs>
          <w:tab w:val="num" w:pos="720"/>
        </w:tabs>
        <w:ind w:left="720" w:hanging="360"/>
      </w:pPr>
      <w:rPr>
        <w:rFonts w:cs="Times New Roman" w:hint="default"/>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50D"/>
    <w:rsid w:val="000A6D48"/>
    <w:rsid w:val="000B4AA2"/>
    <w:rsid w:val="0017625A"/>
    <w:rsid w:val="001E4819"/>
    <w:rsid w:val="001F63FA"/>
    <w:rsid w:val="002C42FE"/>
    <w:rsid w:val="003777AB"/>
    <w:rsid w:val="00390221"/>
    <w:rsid w:val="0043163B"/>
    <w:rsid w:val="00566DAC"/>
    <w:rsid w:val="005F56B5"/>
    <w:rsid w:val="006F7385"/>
    <w:rsid w:val="0070550D"/>
    <w:rsid w:val="0083136E"/>
    <w:rsid w:val="0094365C"/>
    <w:rsid w:val="00946B3B"/>
    <w:rsid w:val="00977C51"/>
    <w:rsid w:val="00A55DB7"/>
    <w:rsid w:val="00AC426D"/>
    <w:rsid w:val="00B00289"/>
    <w:rsid w:val="00B43F44"/>
    <w:rsid w:val="00CC285B"/>
    <w:rsid w:val="00D330E3"/>
    <w:rsid w:val="00D52B6C"/>
    <w:rsid w:val="00D62F79"/>
    <w:rsid w:val="00E10359"/>
    <w:rsid w:val="00E32D4C"/>
    <w:rsid w:val="00EE7C20"/>
    <w:rsid w:val="00FA4E4E"/>
    <w:rsid w:val="00FC68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F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
    <w:basedOn w:val="Normal"/>
    <w:link w:val="FootnoteTextChar2"/>
    <w:uiPriority w:val="99"/>
    <w:semiHidden/>
    <w:rsid w:val="001F63FA"/>
    <w:rPr>
      <w:rFonts w:ascii="Palatino Linotype" w:hAnsi="Palatino Linotype"/>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uiPriority w:val="99"/>
    <w:semiHidden/>
    <w:rsid w:val="0099380F"/>
    <w:rPr>
      <w:sz w:val="20"/>
      <w:szCs w:val="20"/>
    </w:rPr>
  </w:style>
  <w:style w:type="character" w:customStyle="1" w:styleId="FootnoteTextChar12">
    <w:name w:val="Footnote Text Char12"/>
    <w:aliases w:val="Footnote Text Char Char3,Footnote Text Char1 Char Char3,Footnote Text Char Char Char Char3,Footnote Text Char1 Char Char Char Char3,Footnote Text Char Char Char Char Char Char3,Footnote Text Char Char1 Char Char3,ALTS FOOTNOTE Char3"/>
    <w:basedOn w:val="DefaultParagraphFont"/>
    <w:link w:val="FootnoteText"/>
    <w:uiPriority w:val="99"/>
    <w:semiHidden/>
    <w:locked/>
    <w:rPr>
      <w:rFonts w:cs="Times New Roman"/>
      <w:sz w:val="20"/>
      <w:szCs w:val="20"/>
    </w:rPr>
  </w:style>
  <w:style w:type="character" w:customStyle="1" w:styleId="FootnoteTextChar11">
    <w:name w:val="Footnote Text Char11"/>
    <w:aliases w:val="Footnote Text Char Char2,Footnote Text Char1 Char Char2,Footnote Text Char Char Char Char2,Footnote Text Char1 Char Char Char Char2,Footnote Text Char Char Char Char Char Char2,Footnote Text Char Char1 Char Char2,ALTS FOOTNOTE Char2"/>
    <w:basedOn w:val="DefaultParagraphFont"/>
    <w:link w:val="FootnoteText"/>
    <w:uiPriority w:val="99"/>
    <w:semiHidden/>
    <w:locked/>
    <w:rsid w:val="00FA4E4E"/>
    <w:rPr>
      <w:rFonts w:cs="Times New Roman"/>
      <w:sz w:val="20"/>
      <w:szCs w:val="20"/>
    </w:rPr>
  </w:style>
  <w:style w:type="character" w:styleId="FootnoteReference">
    <w:name w:val="footnote reference"/>
    <w:aliases w:val="fr,o,Style 6"/>
    <w:basedOn w:val="DefaultParagraphFont"/>
    <w:uiPriority w:val="99"/>
    <w:semiHidden/>
    <w:rsid w:val="001F63FA"/>
    <w:rPr>
      <w:rFonts w:cs="Times New Roman"/>
      <w:vertAlign w:val="superscript"/>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link w:val="FootnoteText"/>
    <w:uiPriority w:val="99"/>
    <w:locked/>
    <w:rsid w:val="001F63FA"/>
    <w:rPr>
      <w:rFonts w:ascii="Palatino Linotype" w:hAnsi="Palatino Linotype" w:cs="Times New Roman"/>
      <w:lang w:val="en-US" w:eastAsia="en-US" w:bidi="ar-SA"/>
    </w:rPr>
  </w:style>
  <w:style w:type="character" w:styleId="Hyperlink">
    <w:name w:val="Hyperlink"/>
    <w:basedOn w:val="DefaultParagraphFont"/>
    <w:uiPriority w:val="99"/>
    <w:rsid w:val="001F63FA"/>
    <w:rPr>
      <w:rFonts w:cs="Times New Roman"/>
      <w:color w:val="0000FF"/>
      <w:u w:val="single"/>
    </w:rPr>
  </w:style>
  <w:style w:type="paragraph" w:styleId="BalloonText">
    <w:name w:val="Balloon Text"/>
    <w:basedOn w:val="Normal"/>
    <w:link w:val="BalloonTextChar"/>
    <w:uiPriority w:val="99"/>
    <w:semiHidden/>
    <w:rsid w:val="001F63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E4E"/>
    <w:rPr>
      <w:rFonts w:cs="Times New Roman"/>
      <w:sz w:val="2"/>
    </w:rPr>
  </w:style>
  <w:style w:type="paragraph" w:styleId="Footer">
    <w:name w:val="footer"/>
    <w:basedOn w:val="Normal"/>
    <w:link w:val="FooterChar"/>
    <w:uiPriority w:val="99"/>
    <w:rsid w:val="001F63FA"/>
    <w:pPr>
      <w:tabs>
        <w:tab w:val="center" w:pos="4320"/>
        <w:tab w:val="right" w:pos="8640"/>
      </w:tabs>
    </w:pPr>
  </w:style>
  <w:style w:type="character" w:customStyle="1" w:styleId="FooterChar">
    <w:name w:val="Footer Char"/>
    <w:basedOn w:val="DefaultParagraphFont"/>
    <w:link w:val="Footer"/>
    <w:uiPriority w:val="99"/>
    <w:semiHidden/>
    <w:locked/>
    <w:rsid w:val="00FA4E4E"/>
    <w:rPr>
      <w:rFonts w:cs="Times New Roman"/>
      <w:sz w:val="24"/>
      <w:szCs w:val="24"/>
    </w:rPr>
  </w:style>
  <w:style w:type="character" w:styleId="PageNumber">
    <w:name w:val="page number"/>
    <w:basedOn w:val="DefaultParagraphFont"/>
    <w:uiPriority w:val="99"/>
    <w:rsid w:val="001F63FA"/>
    <w:rPr>
      <w:rFonts w:cs="Times New Roman"/>
    </w:rPr>
  </w:style>
  <w:style w:type="character" w:styleId="CommentReference">
    <w:name w:val="annotation reference"/>
    <w:basedOn w:val="DefaultParagraphFont"/>
    <w:uiPriority w:val="99"/>
    <w:semiHidden/>
    <w:rsid w:val="001F63FA"/>
    <w:rPr>
      <w:rFonts w:cs="Times New Roman"/>
      <w:sz w:val="16"/>
      <w:szCs w:val="16"/>
    </w:rPr>
  </w:style>
  <w:style w:type="paragraph" w:styleId="CommentText">
    <w:name w:val="annotation text"/>
    <w:basedOn w:val="Normal"/>
    <w:link w:val="CommentTextChar"/>
    <w:uiPriority w:val="99"/>
    <w:semiHidden/>
    <w:rsid w:val="001F63FA"/>
    <w:rPr>
      <w:sz w:val="20"/>
      <w:szCs w:val="20"/>
    </w:rPr>
  </w:style>
  <w:style w:type="character" w:customStyle="1" w:styleId="CommentTextChar">
    <w:name w:val="Comment Text Char"/>
    <w:basedOn w:val="DefaultParagraphFont"/>
    <w:link w:val="CommentText"/>
    <w:uiPriority w:val="99"/>
    <w:semiHidden/>
    <w:locked/>
    <w:rsid w:val="00FA4E4E"/>
    <w:rPr>
      <w:rFonts w:cs="Times New Roman"/>
      <w:sz w:val="20"/>
      <w:szCs w:val="20"/>
    </w:rPr>
  </w:style>
  <w:style w:type="paragraph" w:styleId="CommentSubject">
    <w:name w:val="annotation subject"/>
    <w:basedOn w:val="CommentText"/>
    <w:next w:val="CommentText"/>
    <w:link w:val="CommentSubjectChar"/>
    <w:uiPriority w:val="99"/>
    <w:semiHidden/>
    <w:rsid w:val="001F63FA"/>
    <w:rPr>
      <w:b/>
      <w:bCs/>
    </w:rPr>
  </w:style>
  <w:style w:type="character" w:customStyle="1" w:styleId="CommentSubjectChar">
    <w:name w:val="Comment Subject Char"/>
    <w:basedOn w:val="CommentTextChar"/>
    <w:link w:val="CommentSubject"/>
    <w:uiPriority w:val="99"/>
    <w:semiHidden/>
    <w:locked/>
    <w:rsid w:val="00FA4E4E"/>
    <w:rPr>
      <w:b/>
      <w:bCs/>
    </w:rPr>
  </w:style>
  <w:style w:type="paragraph" w:styleId="Header">
    <w:name w:val="header"/>
    <w:basedOn w:val="Normal"/>
    <w:link w:val="HeaderChar"/>
    <w:uiPriority w:val="99"/>
    <w:rsid w:val="001F63FA"/>
    <w:pPr>
      <w:tabs>
        <w:tab w:val="center" w:pos="4320"/>
        <w:tab w:val="right" w:pos="8640"/>
      </w:tabs>
    </w:pPr>
  </w:style>
  <w:style w:type="character" w:customStyle="1" w:styleId="HeaderChar">
    <w:name w:val="Header Char"/>
    <w:basedOn w:val="DefaultParagraphFont"/>
    <w:link w:val="Header"/>
    <w:uiPriority w:val="99"/>
    <w:semiHidden/>
    <w:locked/>
    <w:rsid w:val="00FA4E4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29397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2011-08-31T07:00:00+00:00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BB12B1-925C-4DE9-BFB0-6EE46683EB80}"/>
</file>

<file path=customXml/itemProps2.xml><?xml version="1.0" encoding="utf-8"?>
<ds:datastoreItem xmlns:ds="http://schemas.openxmlformats.org/officeDocument/2006/customXml" ds:itemID="{291CBE69-2F97-41EB-AF40-25AA5727082F}"/>
</file>

<file path=customXml/itemProps3.xml><?xml version="1.0" encoding="utf-8"?>
<ds:datastoreItem xmlns:ds="http://schemas.openxmlformats.org/officeDocument/2006/customXml" ds:itemID="{1833A29D-AA5D-4944-9BEC-0C57BE9A2A94}"/>
</file>

<file path=customXml/itemProps4.xml><?xml version="1.0" encoding="utf-8"?>
<ds:datastoreItem xmlns:ds="http://schemas.openxmlformats.org/officeDocument/2006/customXml" ds:itemID="{AC797695-F7BD-4987-B9FA-9C9ABA011475}"/>
</file>

<file path=docProps/app.xml><?xml version="1.0" encoding="utf-8"?>
<Properties xmlns="http://schemas.openxmlformats.org/officeDocument/2006/extended-properties" xmlns:vt="http://schemas.openxmlformats.org/officeDocument/2006/docPropsVTypes">
  <Template>Normal_Wordconv.dotm</Template>
  <TotalTime>3</TotalTime>
  <Pages>3</Pages>
  <Words>675</Words>
  <Characters>3852</Characters>
  <Application>Microsoft Office Outlook</Application>
  <DocSecurity>0</DocSecurity>
  <Lines>0</Lines>
  <Paragraphs>0</Paragraphs>
  <ScaleCrop>false</ScaleCrop>
  <Company>Qwest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Annual Washington Rural Broadband Service Expansion Project Status Report</dc:title>
  <dc:subject/>
  <dc:creator>tfreebe</dc:creator>
  <cp:keywords/>
  <dc:description/>
  <cp:lastModifiedBy>Mark Reynolds</cp:lastModifiedBy>
  <cp:revision>2</cp:revision>
  <cp:lastPrinted>2010-09-24T17:45:00Z</cp:lastPrinted>
  <dcterms:created xsi:type="dcterms:W3CDTF">2011-08-19T21:34:00Z</dcterms:created>
  <dcterms:modified xsi:type="dcterms:W3CDTF">2011-08-19T21:34:00Z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