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377" w:rsidRDefault="002F5186" w:rsidP="002F5186">
      <w:pPr>
        <w:jc w:val="center"/>
        <w:rPr>
          <w:rFonts w:ascii="Times New Roman" w:hAnsi="Times New Roman"/>
          <w:b/>
        </w:rPr>
      </w:pPr>
      <w:r w:rsidRPr="00835892">
        <w:rPr>
          <w:rFonts w:ascii="Times New Roman" w:hAnsi="Times New Roman"/>
          <w:b/>
        </w:rPr>
        <w:t xml:space="preserve">BEFORE THE WASHINGTON </w:t>
      </w:r>
    </w:p>
    <w:p w:rsidR="002F5186" w:rsidRPr="00835892" w:rsidRDefault="002F5186" w:rsidP="002F5186">
      <w:pPr>
        <w:jc w:val="center"/>
        <w:rPr>
          <w:rFonts w:ascii="Times New Roman" w:hAnsi="Times New Roman"/>
          <w:b/>
        </w:rPr>
      </w:pPr>
      <w:r w:rsidRPr="00835892">
        <w:rPr>
          <w:rFonts w:ascii="Times New Roman" w:hAnsi="Times New Roman"/>
          <w:b/>
        </w:rPr>
        <w:t xml:space="preserve">UTILITIES </w:t>
      </w:r>
      <w:smartTag w:uri="urn:schemas-microsoft-com:office:smarttags" w:element="stockticker">
        <w:r w:rsidRPr="00835892">
          <w:rPr>
            <w:rFonts w:ascii="Times New Roman" w:hAnsi="Times New Roman"/>
            <w:b/>
          </w:rPr>
          <w:t>AND</w:t>
        </w:r>
      </w:smartTag>
      <w:r w:rsidRPr="00835892">
        <w:rPr>
          <w:rFonts w:ascii="Times New Roman" w:hAnsi="Times New Roman"/>
          <w:b/>
        </w:rPr>
        <w:t xml:space="preserve"> TRANSPORTATION COMMISSION</w:t>
      </w:r>
    </w:p>
    <w:p w:rsidR="002F5186" w:rsidRPr="00835892" w:rsidRDefault="002F5186" w:rsidP="002F5186">
      <w:pPr>
        <w:jc w:val="center"/>
        <w:rPr>
          <w:rFonts w:ascii="Times New Roman" w:hAnsi="Times New Roman"/>
          <w:b/>
        </w:rPr>
      </w:pPr>
    </w:p>
    <w:p w:rsidR="002F5186" w:rsidRPr="00835892" w:rsidRDefault="002F5186" w:rsidP="002F5186">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2F5186" w:rsidRPr="00835892" w:rsidTr="005C54EB">
        <w:tc>
          <w:tcPr>
            <w:tcW w:w="4428" w:type="dxa"/>
            <w:tcBorders>
              <w:top w:val="nil"/>
              <w:left w:val="nil"/>
              <w:bottom w:val="nil"/>
            </w:tcBorders>
          </w:tcPr>
          <w:p w:rsidR="002F5186" w:rsidRPr="00835892" w:rsidRDefault="002F5186" w:rsidP="005C54EB">
            <w:pPr>
              <w:rPr>
                <w:rFonts w:ascii="Times New Roman" w:hAnsi="Times New Roman"/>
              </w:rPr>
            </w:pPr>
            <w:r w:rsidRPr="00835892">
              <w:rPr>
                <w:rFonts w:ascii="Times New Roman" w:hAnsi="Times New Roman"/>
              </w:rPr>
              <w:t xml:space="preserve">WASHINGTON UTILITIES </w:t>
            </w:r>
            <w:smartTag w:uri="urn:schemas-microsoft-com:office:smarttags" w:element="stockticker">
              <w:r w:rsidRPr="00835892">
                <w:rPr>
                  <w:rFonts w:ascii="Times New Roman" w:hAnsi="Times New Roman"/>
                </w:rPr>
                <w:t>AND</w:t>
              </w:r>
            </w:smartTag>
          </w:p>
          <w:p w:rsidR="002F5186" w:rsidRPr="00835892" w:rsidRDefault="002F5186" w:rsidP="005C54EB">
            <w:pPr>
              <w:rPr>
                <w:rFonts w:ascii="Times New Roman" w:hAnsi="Times New Roman"/>
              </w:rPr>
            </w:pPr>
            <w:r w:rsidRPr="00835892">
              <w:rPr>
                <w:rFonts w:ascii="Times New Roman" w:hAnsi="Times New Roman"/>
              </w:rPr>
              <w:t>TRANSPOR</w:t>
            </w:r>
            <w:r w:rsidR="001E5C7F" w:rsidRPr="00835892">
              <w:rPr>
                <w:rFonts w:ascii="Times New Roman" w:hAnsi="Times New Roman"/>
              </w:rPr>
              <w:t>T</w:t>
            </w:r>
            <w:r w:rsidRPr="00835892">
              <w:rPr>
                <w:rFonts w:ascii="Times New Roman" w:hAnsi="Times New Roman"/>
              </w:rPr>
              <w:t>ATION COMMISSION</w:t>
            </w:r>
          </w:p>
          <w:p w:rsidR="002F5186" w:rsidRPr="00835892" w:rsidRDefault="002F5186" w:rsidP="005C54EB">
            <w:pPr>
              <w:rPr>
                <w:rFonts w:ascii="Times New Roman" w:hAnsi="Times New Roman"/>
              </w:rPr>
            </w:pPr>
          </w:p>
          <w:p w:rsidR="002F5186" w:rsidRPr="00835892" w:rsidRDefault="002F5186" w:rsidP="005C54EB">
            <w:pPr>
              <w:rPr>
                <w:rFonts w:ascii="Times New Roman" w:hAnsi="Times New Roman"/>
              </w:rPr>
            </w:pPr>
            <w:r w:rsidRPr="00835892">
              <w:rPr>
                <w:rFonts w:ascii="Times New Roman" w:hAnsi="Times New Roman"/>
              </w:rPr>
              <w:t xml:space="preserve">                              Complainant,</w:t>
            </w:r>
          </w:p>
          <w:p w:rsidR="002F5186" w:rsidRPr="00835892" w:rsidRDefault="002F5186" w:rsidP="005C54EB">
            <w:pPr>
              <w:rPr>
                <w:rFonts w:ascii="Times New Roman" w:hAnsi="Times New Roman"/>
              </w:rPr>
            </w:pPr>
          </w:p>
          <w:p w:rsidR="002F5186" w:rsidRPr="00835892" w:rsidRDefault="002F5186" w:rsidP="005C54EB">
            <w:pPr>
              <w:rPr>
                <w:rFonts w:ascii="Times New Roman" w:hAnsi="Times New Roman"/>
              </w:rPr>
            </w:pPr>
            <w:r w:rsidRPr="00835892">
              <w:rPr>
                <w:rFonts w:ascii="Times New Roman" w:hAnsi="Times New Roman"/>
              </w:rPr>
              <w:t xml:space="preserve">           vs.</w:t>
            </w:r>
          </w:p>
          <w:p w:rsidR="002F5186" w:rsidRPr="00835892" w:rsidRDefault="002F5186" w:rsidP="005C54EB">
            <w:pPr>
              <w:rPr>
                <w:rFonts w:ascii="Times New Roman" w:hAnsi="Times New Roman"/>
              </w:rPr>
            </w:pPr>
          </w:p>
          <w:p w:rsidR="002F5186" w:rsidRPr="00835892" w:rsidRDefault="002F5186" w:rsidP="005C54EB">
            <w:pPr>
              <w:rPr>
                <w:rFonts w:ascii="Times New Roman" w:hAnsi="Times New Roman"/>
              </w:rPr>
            </w:pPr>
            <w:r w:rsidRPr="00835892">
              <w:rPr>
                <w:rFonts w:ascii="Times New Roman" w:hAnsi="Times New Roman"/>
              </w:rPr>
              <w:t>PACIFICORP d</w:t>
            </w:r>
            <w:r w:rsidR="00746CF0" w:rsidRPr="00835892">
              <w:rPr>
                <w:rFonts w:ascii="Times New Roman" w:hAnsi="Times New Roman"/>
              </w:rPr>
              <w:t>/</w:t>
            </w:r>
            <w:r w:rsidRPr="00835892">
              <w:rPr>
                <w:rFonts w:ascii="Times New Roman" w:hAnsi="Times New Roman"/>
              </w:rPr>
              <w:t>b</w:t>
            </w:r>
            <w:r w:rsidR="00746CF0" w:rsidRPr="00835892">
              <w:rPr>
                <w:rFonts w:ascii="Times New Roman" w:hAnsi="Times New Roman"/>
              </w:rPr>
              <w:t>/</w:t>
            </w:r>
            <w:r w:rsidRPr="00835892">
              <w:rPr>
                <w:rFonts w:ascii="Times New Roman" w:hAnsi="Times New Roman"/>
              </w:rPr>
              <w:t>a PACIFIC POWER</w:t>
            </w:r>
            <w:r w:rsidR="00746CF0" w:rsidRPr="00835892">
              <w:rPr>
                <w:rFonts w:ascii="Times New Roman" w:hAnsi="Times New Roman"/>
              </w:rPr>
              <w:t xml:space="preserve"> </w:t>
            </w:r>
            <w:r w:rsidR="00F00C80" w:rsidRPr="00F00C80">
              <w:rPr>
                <w:rFonts w:ascii="Times New Roman" w:hAnsi="Times New Roman"/>
              </w:rPr>
              <w:t>&amp; LIGHT COMPANY</w:t>
            </w:r>
            <w:r w:rsidRPr="00835892">
              <w:rPr>
                <w:rFonts w:ascii="Times New Roman" w:hAnsi="Times New Roman"/>
              </w:rPr>
              <w:t>,</w:t>
            </w:r>
          </w:p>
          <w:p w:rsidR="002F5186" w:rsidRPr="00835892" w:rsidRDefault="002F5186" w:rsidP="005C54EB">
            <w:pPr>
              <w:rPr>
                <w:rFonts w:ascii="Times New Roman" w:hAnsi="Times New Roman"/>
              </w:rPr>
            </w:pPr>
          </w:p>
          <w:p w:rsidR="002F5186" w:rsidRPr="00835892" w:rsidRDefault="002F5186" w:rsidP="005C54EB">
            <w:pPr>
              <w:rPr>
                <w:rFonts w:ascii="Times New Roman" w:hAnsi="Times New Roman"/>
              </w:rPr>
            </w:pPr>
            <w:r w:rsidRPr="00835892">
              <w:rPr>
                <w:rFonts w:ascii="Times New Roman" w:hAnsi="Times New Roman"/>
              </w:rPr>
              <w:t xml:space="preserve">                              Respondent.</w:t>
            </w:r>
          </w:p>
          <w:p w:rsidR="002F5186" w:rsidRPr="00835892" w:rsidRDefault="002F5186" w:rsidP="005C54EB">
            <w:pPr>
              <w:rPr>
                <w:rFonts w:ascii="Times New Roman" w:hAnsi="Times New Roman"/>
              </w:rPr>
            </w:pPr>
          </w:p>
        </w:tc>
        <w:tc>
          <w:tcPr>
            <w:tcW w:w="4428" w:type="dxa"/>
            <w:tcBorders>
              <w:top w:val="nil"/>
              <w:bottom w:val="nil"/>
              <w:right w:val="nil"/>
            </w:tcBorders>
          </w:tcPr>
          <w:p w:rsidR="002F5186" w:rsidRPr="00835892" w:rsidRDefault="002F5186" w:rsidP="005C54EB">
            <w:pPr>
              <w:rPr>
                <w:rFonts w:ascii="Times New Roman" w:hAnsi="Times New Roman"/>
              </w:rPr>
            </w:pPr>
          </w:p>
          <w:p w:rsidR="005852EA" w:rsidRDefault="005852EA" w:rsidP="005C54EB">
            <w:pPr>
              <w:rPr>
                <w:rFonts w:ascii="Times New Roman" w:hAnsi="Times New Roman"/>
                <w:b/>
              </w:rPr>
            </w:pPr>
          </w:p>
          <w:p w:rsidR="005852EA" w:rsidRDefault="005852EA" w:rsidP="005C54EB">
            <w:pPr>
              <w:rPr>
                <w:rFonts w:ascii="Times New Roman" w:hAnsi="Times New Roman"/>
                <w:b/>
              </w:rPr>
            </w:pPr>
          </w:p>
          <w:p w:rsidR="002F5186" w:rsidRPr="00835892" w:rsidRDefault="002F5186" w:rsidP="005852EA">
            <w:pPr>
              <w:ind w:left="252"/>
              <w:rPr>
                <w:rFonts w:ascii="Times New Roman" w:hAnsi="Times New Roman"/>
                <w:b/>
              </w:rPr>
            </w:pPr>
            <w:r w:rsidRPr="00835892">
              <w:rPr>
                <w:rFonts w:ascii="Times New Roman" w:hAnsi="Times New Roman"/>
                <w:b/>
              </w:rPr>
              <w:t>DOCKET UE-100749</w:t>
            </w:r>
          </w:p>
          <w:p w:rsidR="002F5186" w:rsidRPr="00835892" w:rsidRDefault="002F5186" w:rsidP="005852EA">
            <w:pPr>
              <w:ind w:left="252"/>
              <w:rPr>
                <w:rFonts w:ascii="Times New Roman" w:hAnsi="Times New Roman"/>
                <w:b/>
              </w:rPr>
            </w:pPr>
          </w:p>
          <w:p w:rsidR="002F5186" w:rsidRPr="00835892" w:rsidRDefault="002F5186" w:rsidP="005852EA">
            <w:pPr>
              <w:ind w:left="252"/>
              <w:rPr>
                <w:rFonts w:ascii="Times New Roman" w:hAnsi="Times New Roman"/>
                <w:b/>
              </w:rPr>
            </w:pPr>
          </w:p>
          <w:p w:rsidR="002F5186" w:rsidRPr="00835892" w:rsidRDefault="00120E91" w:rsidP="005852EA">
            <w:pPr>
              <w:ind w:left="252"/>
              <w:rPr>
                <w:rFonts w:ascii="Times New Roman" w:hAnsi="Times New Roman"/>
              </w:rPr>
            </w:pPr>
            <w:r w:rsidRPr="00835892">
              <w:rPr>
                <w:rFonts w:ascii="Times New Roman" w:hAnsi="Times New Roman"/>
                <w:b/>
              </w:rPr>
              <w:t xml:space="preserve">MOTION TO </w:t>
            </w:r>
            <w:r w:rsidR="00EB6250" w:rsidRPr="00835892">
              <w:rPr>
                <w:rFonts w:ascii="Times New Roman" w:hAnsi="Times New Roman"/>
                <w:b/>
              </w:rPr>
              <w:t>AMEND</w:t>
            </w:r>
            <w:r w:rsidRPr="00835892">
              <w:rPr>
                <w:rFonts w:ascii="Times New Roman" w:hAnsi="Times New Roman"/>
                <w:b/>
              </w:rPr>
              <w:t xml:space="preserve"> ORDER 06</w:t>
            </w:r>
          </w:p>
        </w:tc>
      </w:tr>
    </w:tbl>
    <w:p w:rsidR="003063C5" w:rsidRPr="00835892" w:rsidRDefault="003063C5" w:rsidP="003063C5">
      <w:pPr>
        <w:rPr>
          <w:rFonts w:ascii="Times New Roman" w:hAnsi="Times New Roman"/>
        </w:rPr>
      </w:pPr>
    </w:p>
    <w:p w:rsidR="00360F75" w:rsidRPr="00835892" w:rsidRDefault="006362CA" w:rsidP="006362CA">
      <w:pPr>
        <w:pStyle w:val="ListParagraph"/>
        <w:keepNext/>
        <w:tabs>
          <w:tab w:val="left" w:pos="720"/>
        </w:tabs>
        <w:spacing w:line="480" w:lineRule="auto"/>
        <w:ind w:left="0"/>
        <w:jc w:val="center"/>
        <w:rPr>
          <w:rFonts w:ascii="Times New Roman" w:hAnsi="Times New Roman"/>
          <w:b/>
          <w:szCs w:val="24"/>
        </w:rPr>
      </w:pPr>
      <w:r>
        <w:rPr>
          <w:rFonts w:ascii="Times New Roman" w:hAnsi="Times New Roman"/>
          <w:b/>
          <w:szCs w:val="24"/>
        </w:rPr>
        <w:t>I.</w:t>
      </w:r>
      <w:r>
        <w:rPr>
          <w:rFonts w:ascii="Times New Roman" w:hAnsi="Times New Roman"/>
          <w:b/>
          <w:szCs w:val="24"/>
        </w:rPr>
        <w:tab/>
      </w:r>
      <w:r w:rsidR="00F00C80" w:rsidRPr="00F00C80">
        <w:rPr>
          <w:rFonts w:ascii="Times New Roman" w:hAnsi="Times New Roman"/>
          <w:b/>
          <w:szCs w:val="24"/>
        </w:rPr>
        <w:t>RELIEF REQUESTED</w:t>
      </w:r>
    </w:p>
    <w:p w:rsidR="008C71CE" w:rsidRPr="00835892" w:rsidRDefault="00F00C80" w:rsidP="008C71CE">
      <w:pPr>
        <w:pStyle w:val="ListParagraph"/>
        <w:numPr>
          <w:ilvl w:val="0"/>
          <w:numId w:val="3"/>
        </w:numPr>
        <w:tabs>
          <w:tab w:val="num" w:pos="720"/>
        </w:tabs>
        <w:spacing w:line="480" w:lineRule="auto"/>
        <w:ind w:left="0"/>
        <w:rPr>
          <w:rFonts w:ascii="Times New Roman" w:hAnsi="Times New Roman"/>
          <w:szCs w:val="24"/>
        </w:rPr>
      </w:pPr>
      <w:r w:rsidRPr="00F00C80">
        <w:rPr>
          <w:rFonts w:ascii="Times New Roman" w:hAnsi="Times New Roman"/>
          <w:szCs w:val="24"/>
        </w:rPr>
        <w:tab/>
      </w:r>
      <w:r w:rsidR="00D07F6F" w:rsidRPr="00835892">
        <w:rPr>
          <w:rFonts w:ascii="Times New Roman" w:hAnsi="Times New Roman"/>
          <w:szCs w:val="24"/>
        </w:rPr>
        <w:t>In accordance with</w:t>
      </w:r>
      <w:r w:rsidR="00C610D3" w:rsidRPr="00835892">
        <w:rPr>
          <w:rFonts w:ascii="Times New Roman" w:hAnsi="Times New Roman"/>
          <w:szCs w:val="24"/>
        </w:rPr>
        <w:t xml:space="preserve"> RCW </w:t>
      </w:r>
      <w:r w:rsidR="00ED7F6A" w:rsidRPr="00835892">
        <w:rPr>
          <w:rFonts w:ascii="Times New Roman" w:hAnsi="Times New Roman"/>
          <w:szCs w:val="24"/>
        </w:rPr>
        <w:t xml:space="preserve">80.04.210, WAC 480-07-875, and WAC 480-07-375, </w:t>
      </w:r>
      <w:r w:rsidR="00C610D3" w:rsidRPr="00835892">
        <w:rPr>
          <w:rFonts w:ascii="Times New Roman" w:hAnsi="Times New Roman"/>
          <w:szCs w:val="24"/>
        </w:rPr>
        <w:t xml:space="preserve">PacifiCorp d/b/a Pacific Power </w:t>
      </w:r>
      <w:r w:rsidRPr="00F00C80">
        <w:rPr>
          <w:rFonts w:ascii="Times New Roman" w:hAnsi="Times New Roman"/>
        </w:rPr>
        <w:t xml:space="preserve">&amp; Light Company </w:t>
      </w:r>
      <w:r w:rsidR="00C610D3" w:rsidRPr="00835892">
        <w:rPr>
          <w:rFonts w:ascii="Times New Roman" w:hAnsi="Times New Roman"/>
          <w:szCs w:val="24"/>
        </w:rPr>
        <w:t>(</w:t>
      </w:r>
      <w:r w:rsidR="00A703FC" w:rsidRPr="00835892">
        <w:rPr>
          <w:rFonts w:ascii="Times New Roman" w:hAnsi="Times New Roman"/>
          <w:szCs w:val="24"/>
        </w:rPr>
        <w:t xml:space="preserve">PacifiCorp </w:t>
      </w:r>
      <w:r w:rsidR="00C610D3" w:rsidRPr="00835892">
        <w:rPr>
          <w:rFonts w:ascii="Times New Roman" w:hAnsi="Times New Roman"/>
          <w:szCs w:val="24"/>
        </w:rPr>
        <w:t xml:space="preserve">or the Company) </w:t>
      </w:r>
      <w:r w:rsidR="00521A3B" w:rsidRPr="00835892">
        <w:rPr>
          <w:rFonts w:ascii="Times New Roman" w:hAnsi="Times New Roman"/>
          <w:szCs w:val="24"/>
        </w:rPr>
        <w:t>moves</w:t>
      </w:r>
      <w:r w:rsidR="00C610D3" w:rsidRPr="00835892">
        <w:rPr>
          <w:rFonts w:ascii="Times New Roman" w:hAnsi="Times New Roman"/>
          <w:szCs w:val="24"/>
        </w:rPr>
        <w:t xml:space="preserve"> the Washington Utilities and Transportation Commission (Commission)</w:t>
      </w:r>
      <w:r w:rsidR="005A7590" w:rsidRPr="00835892">
        <w:rPr>
          <w:rFonts w:ascii="Times New Roman" w:hAnsi="Times New Roman"/>
          <w:szCs w:val="24"/>
        </w:rPr>
        <w:t xml:space="preserve"> </w:t>
      </w:r>
      <w:r w:rsidR="00521A3B" w:rsidRPr="00835892">
        <w:rPr>
          <w:rFonts w:ascii="Times New Roman" w:hAnsi="Times New Roman"/>
          <w:szCs w:val="24"/>
        </w:rPr>
        <w:t xml:space="preserve">for an order amending </w:t>
      </w:r>
      <w:r w:rsidR="00ED7F6A" w:rsidRPr="00835892">
        <w:rPr>
          <w:rFonts w:ascii="Times New Roman" w:hAnsi="Times New Roman"/>
          <w:szCs w:val="24"/>
        </w:rPr>
        <w:t>Order 06 issued in this proceeding on March 25, 2011.</w:t>
      </w:r>
      <w:r w:rsidR="00A703FC" w:rsidRPr="00835892">
        <w:rPr>
          <w:rFonts w:ascii="Times New Roman" w:hAnsi="Times New Roman"/>
          <w:szCs w:val="24"/>
        </w:rPr>
        <w:t xml:space="preserve"> </w:t>
      </w:r>
    </w:p>
    <w:p w:rsidR="008C71CE" w:rsidRPr="00835892" w:rsidRDefault="008C71CE" w:rsidP="008C71CE">
      <w:pPr>
        <w:pStyle w:val="ListParagraph"/>
        <w:numPr>
          <w:ilvl w:val="0"/>
          <w:numId w:val="3"/>
        </w:numPr>
        <w:tabs>
          <w:tab w:val="num" w:pos="720"/>
        </w:tabs>
        <w:spacing w:line="480" w:lineRule="auto"/>
        <w:ind w:left="0"/>
        <w:rPr>
          <w:rFonts w:ascii="Times New Roman" w:hAnsi="Times New Roman"/>
          <w:szCs w:val="24"/>
        </w:rPr>
      </w:pPr>
      <w:r w:rsidRPr="00835892">
        <w:rPr>
          <w:rFonts w:ascii="Times New Roman" w:hAnsi="Times New Roman"/>
          <w:szCs w:val="24"/>
        </w:rPr>
        <w:tab/>
        <w:t>In the last two months, PacifiCorp has made several filings</w:t>
      </w:r>
      <w:r w:rsidR="00D07F6F" w:rsidRPr="00835892">
        <w:rPr>
          <w:rFonts w:ascii="Times New Roman" w:hAnsi="Times New Roman"/>
          <w:szCs w:val="24"/>
        </w:rPr>
        <w:t xml:space="preserve"> intended to accomplish the same goal:  to </w:t>
      </w:r>
      <w:r w:rsidR="00C91385">
        <w:rPr>
          <w:rFonts w:ascii="Times New Roman" w:hAnsi="Times New Roman"/>
          <w:szCs w:val="24"/>
        </w:rPr>
        <w:t>mitigate</w:t>
      </w:r>
      <w:r w:rsidR="00D07F6F" w:rsidRPr="00835892">
        <w:rPr>
          <w:rFonts w:ascii="Times New Roman" w:hAnsi="Times New Roman"/>
          <w:szCs w:val="24"/>
        </w:rPr>
        <w:t xml:space="preserve"> a potential surcharge to customers to recoup the rate credits currently flowing to customers through Schedule 95 </w:t>
      </w:r>
      <w:r w:rsidR="000C7749" w:rsidRPr="00835892">
        <w:rPr>
          <w:rFonts w:ascii="Times New Roman" w:hAnsi="Times New Roman"/>
          <w:szCs w:val="24"/>
        </w:rPr>
        <w:t>(the Renewable Energy Revenue Adjustment)</w:t>
      </w:r>
      <w:r w:rsidR="00C91385">
        <w:rPr>
          <w:rFonts w:ascii="Times New Roman" w:hAnsi="Times New Roman"/>
          <w:szCs w:val="24"/>
        </w:rPr>
        <w:t xml:space="preserve"> </w:t>
      </w:r>
      <w:r w:rsidR="00D07F6F" w:rsidRPr="00835892">
        <w:rPr>
          <w:rFonts w:ascii="Times New Roman" w:hAnsi="Times New Roman"/>
          <w:szCs w:val="24"/>
        </w:rPr>
        <w:t>for the proceeds from the sale of renewable energy credits (REC revenues)</w:t>
      </w:r>
      <w:r w:rsidRPr="00835892">
        <w:rPr>
          <w:rFonts w:ascii="Times New Roman" w:hAnsi="Times New Roman"/>
          <w:szCs w:val="24"/>
        </w:rPr>
        <w:t xml:space="preserve"> </w:t>
      </w:r>
      <w:r w:rsidR="00D07F6F" w:rsidRPr="00835892">
        <w:rPr>
          <w:rFonts w:ascii="Times New Roman" w:hAnsi="Times New Roman"/>
          <w:szCs w:val="24"/>
        </w:rPr>
        <w:t xml:space="preserve">from April 3, 2011, to the present.  Schedule 95 </w:t>
      </w:r>
      <w:r w:rsidR="000C7749" w:rsidRPr="00835892">
        <w:rPr>
          <w:rFonts w:ascii="Times New Roman" w:hAnsi="Times New Roman"/>
          <w:szCs w:val="24"/>
        </w:rPr>
        <w:t>was filed in complianc</w:t>
      </w:r>
      <w:r w:rsidR="006362CA">
        <w:rPr>
          <w:rFonts w:ascii="Times New Roman" w:hAnsi="Times New Roman"/>
          <w:szCs w:val="24"/>
        </w:rPr>
        <w:t xml:space="preserve">e with Order 06 in this docket </w:t>
      </w:r>
      <w:r w:rsidR="000C7749" w:rsidRPr="00835892">
        <w:rPr>
          <w:rFonts w:ascii="Times New Roman" w:hAnsi="Times New Roman"/>
          <w:szCs w:val="24"/>
        </w:rPr>
        <w:t>and is a mechanism established to credit to customers a forecast amount of REC revenues, subject to later true-up to actual amounts.</w:t>
      </w:r>
      <w:r w:rsidR="00324E08">
        <w:rPr>
          <w:rStyle w:val="FootnoteReference"/>
          <w:rFonts w:ascii="Times New Roman" w:hAnsi="Times New Roman"/>
          <w:szCs w:val="24"/>
        </w:rPr>
        <w:footnoteReference w:id="1"/>
      </w:r>
      <w:r w:rsidR="000C7749" w:rsidRPr="00835892">
        <w:rPr>
          <w:rFonts w:ascii="Times New Roman" w:hAnsi="Times New Roman"/>
          <w:szCs w:val="24"/>
        </w:rPr>
        <w:t xml:space="preserve">  </w:t>
      </w:r>
    </w:p>
    <w:p w:rsidR="0088724F" w:rsidRDefault="00360F75">
      <w:pPr>
        <w:pStyle w:val="ListParagraph"/>
        <w:numPr>
          <w:ilvl w:val="0"/>
          <w:numId w:val="3"/>
        </w:numPr>
        <w:tabs>
          <w:tab w:val="num" w:pos="720"/>
        </w:tabs>
        <w:spacing w:line="480" w:lineRule="auto"/>
        <w:ind w:left="0"/>
      </w:pPr>
      <w:r w:rsidRPr="00835892">
        <w:rPr>
          <w:rFonts w:ascii="Times New Roman" w:hAnsi="Times New Roman"/>
          <w:szCs w:val="24"/>
        </w:rPr>
        <w:tab/>
      </w:r>
      <w:r w:rsidR="002B4594" w:rsidRPr="00835892">
        <w:rPr>
          <w:rFonts w:ascii="Times New Roman" w:hAnsi="Times New Roman"/>
          <w:szCs w:val="24"/>
        </w:rPr>
        <w:t xml:space="preserve">Under RCW 80.04.210 and WAC 480-07-875(1), the Commission may </w:t>
      </w:r>
      <w:r w:rsidR="00521A3B" w:rsidRPr="00835892">
        <w:rPr>
          <w:rFonts w:ascii="Times New Roman" w:hAnsi="Times New Roman"/>
          <w:szCs w:val="24"/>
        </w:rPr>
        <w:t xml:space="preserve">amend an order </w:t>
      </w:r>
      <w:r w:rsidR="002B4594" w:rsidRPr="00835892">
        <w:rPr>
          <w:rFonts w:ascii="Times New Roman" w:hAnsi="Times New Roman"/>
          <w:szCs w:val="24"/>
        </w:rPr>
        <w:t xml:space="preserve">at any time, upon notice to the public service company affected and to all parties in the </w:t>
      </w:r>
      <w:r w:rsidR="002B4594" w:rsidRPr="00835892">
        <w:rPr>
          <w:rFonts w:ascii="Times New Roman" w:hAnsi="Times New Roman"/>
          <w:szCs w:val="24"/>
        </w:rPr>
        <w:lastRenderedPageBreak/>
        <w:t xml:space="preserve">underlying proceeding, and after opportunity to be heard.  </w:t>
      </w:r>
      <w:r w:rsidR="00264358">
        <w:rPr>
          <w:rFonts w:ascii="Times New Roman" w:hAnsi="Times New Roman"/>
          <w:szCs w:val="24"/>
        </w:rPr>
        <w:t>Through</w:t>
      </w:r>
      <w:r w:rsidR="00CE13A6">
        <w:rPr>
          <w:rFonts w:ascii="Times New Roman" w:hAnsi="Times New Roman"/>
          <w:szCs w:val="24"/>
        </w:rPr>
        <w:t xml:space="preserve"> </w:t>
      </w:r>
      <w:r w:rsidR="00264358">
        <w:rPr>
          <w:rFonts w:ascii="Times New Roman" w:hAnsi="Times New Roman"/>
          <w:szCs w:val="24"/>
        </w:rPr>
        <w:t xml:space="preserve">Schedule 95, the </w:t>
      </w:r>
      <w:r w:rsidR="00F00C80" w:rsidRPr="00F00C80">
        <w:rPr>
          <w:rFonts w:ascii="Times New Roman" w:hAnsi="Times New Roman"/>
          <w:szCs w:val="24"/>
        </w:rPr>
        <w:t xml:space="preserve">Company </w:t>
      </w:r>
      <w:r w:rsidR="007F5313">
        <w:rPr>
          <w:rFonts w:ascii="Times New Roman" w:hAnsi="Times New Roman"/>
          <w:szCs w:val="24"/>
        </w:rPr>
        <w:t>estimates that it has credited $2.6 million more in</w:t>
      </w:r>
      <w:r w:rsidR="007F5313" w:rsidRPr="00F00C80">
        <w:rPr>
          <w:rFonts w:ascii="Times New Roman" w:hAnsi="Times New Roman"/>
          <w:szCs w:val="24"/>
        </w:rPr>
        <w:t xml:space="preserve"> </w:t>
      </w:r>
      <w:r w:rsidR="00F00C80" w:rsidRPr="00F00C80">
        <w:rPr>
          <w:rFonts w:ascii="Times New Roman" w:hAnsi="Times New Roman"/>
          <w:szCs w:val="24"/>
        </w:rPr>
        <w:t xml:space="preserve">REC revenues for the period from April 3, 2011, through </w:t>
      </w:r>
      <w:r w:rsidR="007F5313">
        <w:rPr>
          <w:rFonts w:ascii="Times New Roman" w:hAnsi="Times New Roman"/>
          <w:szCs w:val="24"/>
        </w:rPr>
        <w:t>December</w:t>
      </w:r>
      <w:r w:rsidR="00F00C80" w:rsidRPr="00F00C80">
        <w:rPr>
          <w:rFonts w:ascii="Times New Roman" w:hAnsi="Times New Roman"/>
          <w:szCs w:val="24"/>
        </w:rPr>
        <w:t xml:space="preserve"> 2012, than the Company actually received in REC revenues during the same period.</w:t>
      </w:r>
      <w:r w:rsidR="007F5313">
        <w:rPr>
          <w:rStyle w:val="FootnoteReference"/>
          <w:rFonts w:ascii="Times New Roman" w:hAnsi="Times New Roman"/>
          <w:szCs w:val="24"/>
        </w:rPr>
        <w:footnoteReference w:id="2"/>
      </w:r>
      <w:r w:rsidR="00F00C80" w:rsidRPr="00F00C80">
        <w:rPr>
          <w:rFonts w:ascii="Times New Roman" w:hAnsi="Times New Roman"/>
          <w:szCs w:val="24"/>
        </w:rPr>
        <w:t xml:space="preserve">  </w:t>
      </w:r>
      <w:r w:rsidR="00A86759">
        <w:rPr>
          <w:rFonts w:ascii="Times New Roman" w:hAnsi="Times New Roman"/>
          <w:szCs w:val="24"/>
        </w:rPr>
        <w:t xml:space="preserve">Without </w:t>
      </w:r>
      <w:r w:rsidR="00264358">
        <w:rPr>
          <w:rFonts w:ascii="Times New Roman" w:hAnsi="Times New Roman"/>
          <w:szCs w:val="24"/>
        </w:rPr>
        <w:t>modification,</w:t>
      </w:r>
      <w:r w:rsidR="00F00C80" w:rsidRPr="00F00C80">
        <w:rPr>
          <w:rFonts w:ascii="Times New Roman" w:hAnsi="Times New Roman"/>
          <w:szCs w:val="24"/>
        </w:rPr>
        <w:t xml:space="preserve"> Schedule 95 will continue to credit REC revenues to customers based on the forecast amount set in Order 06, which would result in the Company continuing to over</w:t>
      </w:r>
      <w:r w:rsidR="006362CA">
        <w:rPr>
          <w:rFonts w:ascii="Times New Roman" w:hAnsi="Times New Roman"/>
          <w:szCs w:val="24"/>
        </w:rPr>
        <w:t>-</w:t>
      </w:r>
      <w:r w:rsidR="00F00C80" w:rsidRPr="00F00C80">
        <w:rPr>
          <w:rFonts w:ascii="Times New Roman" w:hAnsi="Times New Roman"/>
          <w:szCs w:val="24"/>
        </w:rPr>
        <w:t xml:space="preserve">credit REC revenues to customers.  </w:t>
      </w:r>
      <w:r w:rsidR="00A86759" w:rsidRPr="00C91385">
        <w:rPr>
          <w:rFonts w:ascii="Times New Roman" w:hAnsi="Times New Roman"/>
          <w:szCs w:val="24"/>
        </w:rPr>
        <w:t xml:space="preserve">The Company </w:t>
      </w:r>
      <w:r w:rsidR="00A86759">
        <w:rPr>
          <w:rFonts w:ascii="Times New Roman" w:hAnsi="Times New Roman"/>
          <w:szCs w:val="24"/>
        </w:rPr>
        <w:t xml:space="preserve">therefore </w:t>
      </w:r>
      <w:r w:rsidR="00A86759" w:rsidRPr="00C91385">
        <w:rPr>
          <w:rFonts w:ascii="Times New Roman" w:hAnsi="Times New Roman"/>
          <w:szCs w:val="24"/>
        </w:rPr>
        <w:t xml:space="preserve">requests that the Commission </w:t>
      </w:r>
      <w:r w:rsidR="00A86759">
        <w:rPr>
          <w:rFonts w:ascii="Times New Roman" w:hAnsi="Times New Roman"/>
          <w:szCs w:val="24"/>
        </w:rPr>
        <w:t xml:space="preserve">amend Order 06 as necessary </w:t>
      </w:r>
      <w:r w:rsidR="00C326D7">
        <w:rPr>
          <w:rFonts w:ascii="Times New Roman" w:hAnsi="Times New Roman"/>
          <w:szCs w:val="24"/>
        </w:rPr>
        <w:t xml:space="preserve">to end the over-crediting to customers and </w:t>
      </w:r>
      <w:r w:rsidR="00A86759" w:rsidRPr="00C91385">
        <w:rPr>
          <w:rFonts w:ascii="Times New Roman" w:hAnsi="Times New Roman"/>
          <w:szCs w:val="24"/>
        </w:rPr>
        <w:t>approve revisions to Schedule 95, attached as Exhibit 1 to this motion, effective immediately.</w:t>
      </w:r>
    </w:p>
    <w:p w:rsidR="0088724F" w:rsidRDefault="00F00C80">
      <w:pPr>
        <w:pStyle w:val="ListParagraph"/>
        <w:numPr>
          <w:ilvl w:val="0"/>
          <w:numId w:val="3"/>
        </w:numPr>
        <w:tabs>
          <w:tab w:val="num" w:pos="720"/>
        </w:tabs>
        <w:spacing w:line="480" w:lineRule="auto"/>
        <w:ind w:left="0"/>
      </w:pPr>
      <w:r w:rsidRPr="00F00C80">
        <w:rPr>
          <w:rFonts w:ascii="Times New Roman" w:hAnsi="Times New Roman"/>
          <w:szCs w:val="24"/>
        </w:rPr>
        <w:tab/>
        <w:t xml:space="preserve">The Company </w:t>
      </w:r>
      <w:r w:rsidR="006362CA">
        <w:rPr>
          <w:rFonts w:ascii="Times New Roman" w:hAnsi="Times New Roman"/>
          <w:szCs w:val="24"/>
        </w:rPr>
        <w:t xml:space="preserve">also </w:t>
      </w:r>
      <w:r w:rsidRPr="00F00C80">
        <w:rPr>
          <w:rFonts w:ascii="Times New Roman" w:hAnsi="Times New Roman"/>
          <w:szCs w:val="24"/>
        </w:rPr>
        <w:t>requests that the Commission amend Order 06 to clarify that the bill credit established in paragraphs 204 through</w:t>
      </w:r>
      <w:r w:rsidR="00CE13A6">
        <w:rPr>
          <w:rFonts w:ascii="Times New Roman" w:hAnsi="Times New Roman"/>
          <w:szCs w:val="24"/>
        </w:rPr>
        <w:t xml:space="preserve"> </w:t>
      </w:r>
      <w:r w:rsidRPr="00F00C80">
        <w:rPr>
          <w:rFonts w:ascii="Times New Roman" w:hAnsi="Times New Roman"/>
          <w:szCs w:val="24"/>
        </w:rPr>
        <w:t xml:space="preserve">206 of that order pertains only to REC revenues accrued after the April 3, 2011 rate effective date and does not address REC revenues accrued between January 1, 2009 and April 2, 2011.  </w:t>
      </w:r>
      <w:r w:rsidR="00324E08">
        <w:rPr>
          <w:rFonts w:ascii="Times New Roman" w:hAnsi="Times New Roman"/>
          <w:szCs w:val="24"/>
        </w:rPr>
        <w:t>This is consistent with paragraph 38 of Order 11, clarifying that Order 10 required the Company to develop a new mechanism to address historical REC revenues.</w:t>
      </w:r>
      <w:r w:rsidR="00324E08">
        <w:rPr>
          <w:rStyle w:val="FootnoteReference"/>
          <w:rFonts w:ascii="Times New Roman" w:hAnsi="Times New Roman"/>
          <w:szCs w:val="24"/>
        </w:rPr>
        <w:footnoteReference w:id="3"/>
      </w:r>
    </w:p>
    <w:p w:rsidR="009E6732" w:rsidRPr="00835892" w:rsidRDefault="006362CA" w:rsidP="002B4594">
      <w:pPr>
        <w:pStyle w:val="Washingtonparagraph"/>
        <w:numPr>
          <w:ilvl w:val="0"/>
          <w:numId w:val="3"/>
        </w:numPr>
        <w:tabs>
          <w:tab w:val="num" w:pos="720"/>
        </w:tabs>
        <w:ind w:left="0"/>
      </w:pPr>
      <w:r>
        <w:tab/>
      </w:r>
      <w:r w:rsidR="009E6732" w:rsidRPr="00C91385">
        <w:t>Finally, the Company asks the Commission for an accounting order allowing the Company to defer any REC revenues credited to customers under Schedule 95 in excess of the REC revenues actually owed to customers</w:t>
      </w:r>
      <w:r w:rsidR="00324E08">
        <w:t xml:space="preserve"> for the period from April 3, 2011, to the present</w:t>
      </w:r>
      <w:r w:rsidR="009E6732" w:rsidRPr="00C91385">
        <w:t>.  Pacif</w:t>
      </w:r>
      <w:r w:rsidR="009E6732" w:rsidRPr="00835892">
        <w:t xml:space="preserve">iCorp separately petitioned for such an accounting order in Docket UE-121839; if the Commission grants this motion, </w:t>
      </w:r>
      <w:r w:rsidR="000C7749" w:rsidRPr="00835892">
        <w:t>PacifiCorp will withdraw the s</w:t>
      </w:r>
      <w:r w:rsidR="009E6732" w:rsidRPr="00835892">
        <w:t>eparate petition for an accounting order.</w:t>
      </w:r>
    </w:p>
    <w:p w:rsidR="00360F75" w:rsidRPr="00835892" w:rsidRDefault="006362CA" w:rsidP="006362CA">
      <w:pPr>
        <w:pStyle w:val="ListParagraph"/>
        <w:keepNext/>
        <w:tabs>
          <w:tab w:val="left" w:pos="360"/>
        </w:tabs>
        <w:spacing w:line="480" w:lineRule="auto"/>
        <w:ind w:left="0"/>
        <w:jc w:val="center"/>
        <w:rPr>
          <w:rFonts w:ascii="Times New Roman" w:hAnsi="Times New Roman"/>
          <w:b/>
          <w:szCs w:val="24"/>
        </w:rPr>
      </w:pPr>
      <w:r>
        <w:rPr>
          <w:rFonts w:ascii="Times New Roman" w:hAnsi="Times New Roman"/>
          <w:b/>
          <w:szCs w:val="24"/>
        </w:rPr>
        <w:lastRenderedPageBreak/>
        <w:t>II.</w:t>
      </w:r>
      <w:r>
        <w:rPr>
          <w:rFonts w:ascii="Times New Roman" w:hAnsi="Times New Roman"/>
          <w:b/>
          <w:szCs w:val="24"/>
        </w:rPr>
        <w:tab/>
      </w:r>
      <w:r w:rsidR="00360F75" w:rsidRPr="00835892">
        <w:rPr>
          <w:rFonts w:ascii="Times New Roman" w:hAnsi="Times New Roman"/>
          <w:b/>
          <w:szCs w:val="24"/>
        </w:rPr>
        <w:t>STATEMENT OF FACTS</w:t>
      </w:r>
    </w:p>
    <w:p w:rsidR="00360F75" w:rsidRPr="00835892" w:rsidRDefault="00F00C80" w:rsidP="00360F75">
      <w:pPr>
        <w:pStyle w:val="ListParagraph"/>
        <w:numPr>
          <w:ilvl w:val="0"/>
          <w:numId w:val="3"/>
        </w:numPr>
        <w:tabs>
          <w:tab w:val="num" w:pos="720"/>
        </w:tabs>
        <w:spacing w:line="480" w:lineRule="auto"/>
        <w:ind w:left="0"/>
        <w:rPr>
          <w:rFonts w:ascii="Times New Roman" w:hAnsi="Times New Roman"/>
        </w:rPr>
      </w:pPr>
      <w:r w:rsidRPr="00F00C80">
        <w:rPr>
          <w:rFonts w:ascii="Times New Roman" w:hAnsi="Times New Roman"/>
        </w:rPr>
        <w:tab/>
        <w:t xml:space="preserve">In </w:t>
      </w:r>
      <w:r w:rsidR="00360F75" w:rsidRPr="00835892">
        <w:rPr>
          <w:rFonts w:ascii="Times New Roman" w:hAnsi="Times New Roman"/>
          <w:szCs w:val="24"/>
        </w:rPr>
        <w:t>Order</w:t>
      </w:r>
      <w:r w:rsidRPr="00F00C80">
        <w:rPr>
          <w:rFonts w:ascii="Times New Roman" w:hAnsi="Times New Roman"/>
        </w:rPr>
        <w:t xml:space="preserve"> 06 in Docket UE-100749, the Commission ordered the Company to implement a rate credit for REC revenues.</w:t>
      </w:r>
      <w:r w:rsidRPr="00F00C80">
        <w:rPr>
          <w:rStyle w:val="FootnoteReference"/>
          <w:rFonts w:ascii="Times New Roman" w:hAnsi="Times New Roman"/>
        </w:rPr>
        <w:footnoteReference w:id="4"/>
      </w:r>
      <w:r w:rsidRPr="00F00C80">
        <w:rPr>
          <w:rFonts w:ascii="Times New Roman" w:hAnsi="Times New Roman"/>
        </w:rPr>
        <w:t xml:space="preserve">  The initial REC revenue rate credit was estimated at $4.8 million per year.  The Commission authorized a true-up of these initial credits to “be reconciled as credits are paid during the following 12 months.”</w:t>
      </w:r>
      <w:r w:rsidRPr="00F00C80">
        <w:rPr>
          <w:rFonts w:ascii="Times New Roman" w:hAnsi="Times New Roman"/>
          <w:vertAlign w:val="superscript"/>
        </w:rPr>
        <w:footnoteReference w:id="5"/>
      </w:r>
      <w:r w:rsidRPr="00F00C80">
        <w:rPr>
          <w:rFonts w:ascii="Times New Roman" w:hAnsi="Times New Roman"/>
        </w:rPr>
        <w:t xml:space="preserve">  In compliance with the Commission’s order, the Company began crediting customers REC revenues on April 3, 2011, under Schedule 95.</w:t>
      </w:r>
      <w:r w:rsidRPr="00F00C80">
        <w:rPr>
          <w:rStyle w:val="FootnoteReference"/>
          <w:rFonts w:ascii="Times New Roman" w:hAnsi="Times New Roman"/>
        </w:rPr>
        <w:footnoteReference w:id="6"/>
      </w:r>
      <w:r w:rsidRPr="00F00C80">
        <w:rPr>
          <w:rFonts w:ascii="Times New Roman" w:hAnsi="Times New Roman"/>
        </w:rPr>
        <w:t xml:space="preserve">  Since that time, the Company has credited approximately $7.0 million in REC revenues to customers.</w:t>
      </w:r>
      <w:r w:rsidRPr="00F00C80">
        <w:rPr>
          <w:rStyle w:val="FootnoteReference"/>
          <w:rFonts w:ascii="Times New Roman" w:hAnsi="Times New Roman"/>
        </w:rPr>
        <w:footnoteReference w:id="7"/>
      </w:r>
      <w:r w:rsidRPr="00F00C80">
        <w:rPr>
          <w:rFonts w:ascii="Times New Roman" w:hAnsi="Times New Roman"/>
        </w:rPr>
        <w:t xml:space="preserve">  </w:t>
      </w:r>
    </w:p>
    <w:p w:rsidR="00360F75" w:rsidRPr="00835892" w:rsidRDefault="00F00C80" w:rsidP="00360F75">
      <w:pPr>
        <w:pStyle w:val="ListParagraph"/>
        <w:numPr>
          <w:ilvl w:val="0"/>
          <w:numId w:val="3"/>
        </w:numPr>
        <w:tabs>
          <w:tab w:val="num" w:pos="720"/>
        </w:tabs>
        <w:spacing w:line="480" w:lineRule="auto"/>
        <w:ind w:left="0"/>
        <w:rPr>
          <w:rFonts w:ascii="Times New Roman" w:hAnsi="Times New Roman"/>
        </w:rPr>
      </w:pPr>
      <w:r w:rsidRPr="00F00C80">
        <w:rPr>
          <w:rFonts w:ascii="Times New Roman" w:hAnsi="Times New Roman"/>
        </w:rPr>
        <w:tab/>
        <w:t>In Order 06, the Commission opened Phase 2 of the docket to address the rate treatment of REC revenues received by the Company between January 1, 2009, and April 2, 2011.</w:t>
      </w:r>
      <w:r w:rsidRPr="00F00C80">
        <w:rPr>
          <w:rStyle w:val="FootnoteReference"/>
          <w:rFonts w:ascii="Times New Roman" w:hAnsi="Times New Roman"/>
        </w:rPr>
        <w:footnoteReference w:id="8"/>
      </w:r>
      <w:r w:rsidRPr="00F00C80">
        <w:rPr>
          <w:rFonts w:ascii="Times New Roman" w:hAnsi="Times New Roman"/>
        </w:rPr>
        <w:t xml:space="preserve">  On August 23, 2012, the Commission issued Order 10 in Phase 2 of Docket UE-100749.  Order 10 required the </w:t>
      </w:r>
      <w:r w:rsidR="00360F75" w:rsidRPr="00835892">
        <w:rPr>
          <w:rFonts w:ascii="Times New Roman" w:hAnsi="Times New Roman"/>
          <w:szCs w:val="24"/>
        </w:rPr>
        <w:t>Company</w:t>
      </w:r>
      <w:r w:rsidRPr="00F00C80">
        <w:rPr>
          <w:rFonts w:ascii="Times New Roman" w:hAnsi="Times New Roman"/>
        </w:rPr>
        <w:t xml:space="preserve"> to credit customers REC revenues booked on or after January 1, 2009, less the amount already included in rates by virtue of a 2009 rate case settlement.</w:t>
      </w:r>
      <w:r w:rsidRPr="00F00C80">
        <w:rPr>
          <w:rStyle w:val="FootnoteReference"/>
          <w:rFonts w:ascii="Times New Roman" w:hAnsi="Times New Roman"/>
        </w:rPr>
        <w:footnoteReference w:id="9"/>
      </w:r>
      <w:r w:rsidRPr="00F00C80">
        <w:rPr>
          <w:rFonts w:ascii="Times New Roman" w:hAnsi="Times New Roman"/>
        </w:rPr>
        <w:t xml:space="preserve">  Order 10 also required parties to file an agreed-upon mechanism for crediting historical and future REC proceeds to customers, or individual proposals with supporting documentation, within 90 days of the order.</w:t>
      </w:r>
      <w:r w:rsidRPr="00F00C80">
        <w:rPr>
          <w:rStyle w:val="FootnoteReference"/>
          <w:rFonts w:ascii="Times New Roman" w:hAnsi="Times New Roman"/>
        </w:rPr>
        <w:footnoteReference w:id="10"/>
      </w:r>
      <w:r w:rsidRPr="00F00C80">
        <w:rPr>
          <w:rFonts w:ascii="Times New Roman" w:hAnsi="Times New Roman"/>
        </w:rPr>
        <w:t xml:space="preserve">  </w:t>
      </w:r>
    </w:p>
    <w:p w:rsidR="00CC16C3" w:rsidRPr="00835892" w:rsidRDefault="00F00C80" w:rsidP="00360F75">
      <w:pPr>
        <w:pStyle w:val="ListParagraph"/>
        <w:numPr>
          <w:ilvl w:val="0"/>
          <w:numId w:val="3"/>
        </w:numPr>
        <w:tabs>
          <w:tab w:val="num" w:pos="720"/>
        </w:tabs>
        <w:spacing w:line="480" w:lineRule="auto"/>
        <w:ind w:left="0"/>
        <w:rPr>
          <w:rFonts w:ascii="Times New Roman" w:hAnsi="Times New Roman"/>
        </w:rPr>
      </w:pPr>
      <w:r w:rsidRPr="00F00C80">
        <w:rPr>
          <w:rFonts w:ascii="Times New Roman" w:hAnsi="Times New Roman"/>
        </w:rPr>
        <w:tab/>
        <w:t>On September 4, 2012, the Company filed petitions for reconsideration and stay of Order 10.  The Company challenged the Commission’s decision ordering a rate credit for REC revenues pre-dating April 3, 2011, and sought to stay the Company’s compliance obligations connected to the challenged aspects of Order 10.</w:t>
      </w:r>
      <w:r w:rsidRPr="00F00C80">
        <w:rPr>
          <w:rStyle w:val="FootnoteReference"/>
          <w:rFonts w:ascii="Times New Roman" w:hAnsi="Times New Roman"/>
        </w:rPr>
        <w:footnoteReference w:id="11"/>
      </w:r>
      <w:r w:rsidRPr="00F00C80">
        <w:rPr>
          <w:rFonts w:ascii="Times New Roman" w:hAnsi="Times New Roman"/>
        </w:rPr>
        <w:t xml:space="preserve">  The Commission granted the Company’s September 14, 2012 request to suspend the compliance deadlines in Order 10 in a September 17, 2012 notice.</w:t>
      </w:r>
      <w:r w:rsidRPr="00F00C80">
        <w:rPr>
          <w:rStyle w:val="FootnoteReference"/>
          <w:rFonts w:ascii="Times New Roman" w:hAnsi="Times New Roman"/>
        </w:rPr>
        <w:footnoteReference w:id="12"/>
      </w:r>
      <w:r w:rsidRPr="00F00C80">
        <w:rPr>
          <w:rFonts w:ascii="Times New Roman" w:hAnsi="Times New Roman"/>
        </w:rPr>
        <w:t xml:space="preserve">  </w:t>
      </w:r>
    </w:p>
    <w:p w:rsidR="00360F75" w:rsidRPr="00835892" w:rsidRDefault="00F00C80" w:rsidP="00360F75">
      <w:pPr>
        <w:pStyle w:val="ListParagraph"/>
        <w:numPr>
          <w:ilvl w:val="0"/>
          <w:numId w:val="3"/>
        </w:numPr>
        <w:tabs>
          <w:tab w:val="num" w:pos="720"/>
        </w:tabs>
        <w:spacing w:line="480" w:lineRule="auto"/>
        <w:ind w:left="0"/>
        <w:rPr>
          <w:rFonts w:ascii="Times New Roman" w:hAnsi="Times New Roman"/>
        </w:rPr>
      </w:pPr>
      <w:r w:rsidRPr="00F00C80">
        <w:rPr>
          <w:rFonts w:ascii="Times New Roman" w:hAnsi="Times New Roman"/>
        </w:rPr>
        <w:tab/>
        <w:t xml:space="preserve">In its Reply brief, the Company clarified that its request for stay pertained only to implementation of a </w:t>
      </w:r>
      <w:r w:rsidR="00360F75" w:rsidRPr="00835892">
        <w:rPr>
          <w:rFonts w:ascii="Times New Roman" w:hAnsi="Times New Roman"/>
          <w:szCs w:val="24"/>
        </w:rPr>
        <w:t>rate</w:t>
      </w:r>
      <w:r w:rsidRPr="00F00C80">
        <w:rPr>
          <w:rFonts w:ascii="Times New Roman" w:hAnsi="Times New Roman"/>
        </w:rPr>
        <w:t xml:space="preserve"> credit for REC revenues pre-dating April 3, 2011.</w:t>
      </w:r>
      <w:r w:rsidRPr="00F00C80">
        <w:rPr>
          <w:rStyle w:val="FootnoteReference"/>
          <w:rFonts w:ascii="Times New Roman" w:hAnsi="Times New Roman"/>
        </w:rPr>
        <w:footnoteReference w:id="13"/>
      </w:r>
      <w:r w:rsidRPr="00F00C80">
        <w:rPr>
          <w:rFonts w:ascii="Times New Roman" w:hAnsi="Times New Roman"/>
        </w:rPr>
        <w:t xml:space="preserve">  The Company indicated that it would make a compliance filing with an accounting of REC proceeds credited to date under Schedule 95, REC revenues accrued after April 3, 2011, and proposals for necessary revisions to Schedule 95.</w:t>
      </w:r>
      <w:r w:rsidRPr="00F00C80">
        <w:rPr>
          <w:rStyle w:val="FootnoteReference"/>
          <w:rFonts w:ascii="Times New Roman" w:hAnsi="Times New Roman"/>
        </w:rPr>
        <w:footnoteReference w:id="14"/>
      </w:r>
    </w:p>
    <w:p w:rsidR="00360F75" w:rsidRPr="00835892" w:rsidRDefault="00360F75" w:rsidP="00360F75">
      <w:pPr>
        <w:pStyle w:val="ListParagraph"/>
        <w:numPr>
          <w:ilvl w:val="0"/>
          <w:numId w:val="3"/>
        </w:numPr>
        <w:tabs>
          <w:tab w:val="num" w:pos="720"/>
        </w:tabs>
        <w:spacing w:line="480" w:lineRule="auto"/>
        <w:ind w:left="0"/>
        <w:rPr>
          <w:rFonts w:ascii="Times New Roman" w:hAnsi="Times New Roman"/>
          <w:szCs w:val="24"/>
        </w:rPr>
      </w:pPr>
      <w:r>
        <w:tab/>
      </w:r>
      <w:r w:rsidR="00F00C80" w:rsidRPr="00F00C80">
        <w:rPr>
          <w:rFonts w:ascii="Times New Roman" w:hAnsi="Times New Roman"/>
          <w:szCs w:val="24"/>
        </w:rPr>
        <w:t xml:space="preserve">The Company made this compliance filing </w:t>
      </w:r>
      <w:r w:rsidRPr="00835892">
        <w:rPr>
          <w:rFonts w:ascii="Times New Roman" w:hAnsi="Times New Roman"/>
          <w:szCs w:val="24"/>
        </w:rPr>
        <w:t>on</w:t>
      </w:r>
      <w:r w:rsidR="00F00C80" w:rsidRPr="00F00C80">
        <w:rPr>
          <w:rFonts w:ascii="Times New Roman" w:hAnsi="Times New Roman"/>
          <w:szCs w:val="24"/>
        </w:rPr>
        <w:t xml:space="preserve"> October 31, 2012.</w:t>
      </w:r>
      <w:r w:rsidR="00F00C80" w:rsidRPr="00F00C80">
        <w:rPr>
          <w:rStyle w:val="FootnoteReference"/>
          <w:rFonts w:ascii="Times New Roman" w:hAnsi="Times New Roman"/>
          <w:szCs w:val="24"/>
        </w:rPr>
        <w:footnoteReference w:id="15"/>
      </w:r>
      <w:r w:rsidR="00F00C80" w:rsidRPr="00F00C80">
        <w:rPr>
          <w:rFonts w:ascii="Times New Roman" w:hAnsi="Times New Roman"/>
          <w:szCs w:val="24"/>
        </w:rPr>
        <w:t xml:space="preserve">  The Company’s filing explained that the estimated net excess distribution of REC revenues to customers from April 3, 2011, through </w:t>
      </w:r>
      <w:r w:rsidR="00324E08">
        <w:rPr>
          <w:rFonts w:ascii="Times New Roman" w:hAnsi="Times New Roman"/>
          <w:szCs w:val="24"/>
        </w:rPr>
        <w:t>December</w:t>
      </w:r>
      <w:r w:rsidR="00F00C80" w:rsidRPr="00F00C80">
        <w:rPr>
          <w:rFonts w:ascii="Times New Roman" w:hAnsi="Times New Roman"/>
          <w:szCs w:val="24"/>
        </w:rPr>
        <w:t xml:space="preserve"> 2012, was approximately $2.6 million.</w:t>
      </w:r>
      <w:r w:rsidR="00F00C80" w:rsidRPr="00F00C80">
        <w:rPr>
          <w:rStyle w:val="FootnoteReference"/>
          <w:rFonts w:ascii="Times New Roman" w:hAnsi="Times New Roman"/>
          <w:szCs w:val="24"/>
        </w:rPr>
        <w:footnoteReference w:id="16"/>
      </w:r>
      <w:r w:rsidR="00F00C80" w:rsidRPr="00F00C80">
        <w:rPr>
          <w:rFonts w:ascii="Times New Roman" w:hAnsi="Times New Roman"/>
          <w:szCs w:val="24"/>
        </w:rPr>
        <w:t xml:space="preserve">  The Company therefore proposed to revise the applicable Schedule 95 rates for all rate schedules receiving the credits to zero cents per kWh.</w:t>
      </w:r>
      <w:r w:rsidR="00F00C80" w:rsidRPr="00F00C80">
        <w:rPr>
          <w:rStyle w:val="FootnoteReference"/>
          <w:rFonts w:ascii="Times New Roman" w:hAnsi="Times New Roman"/>
          <w:szCs w:val="24"/>
        </w:rPr>
        <w:footnoteReference w:id="17"/>
      </w:r>
      <w:r w:rsidR="00F00C80" w:rsidRPr="00F00C80">
        <w:rPr>
          <w:rFonts w:ascii="Times New Roman" w:hAnsi="Times New Roman"/>
          <w:szCs w:val="24"/>
        </w:rPr>
        <w:t xml:space="preserve">  The Company proposed making a filing on May 1, 2013, showing the actual REC revenues for calendar </w:t>
      </w:r>
      <w:r w:rsidR="008E128F">
        <w:rPr>
          <w:rFonts w:ascii="Times New Roman" w:hAnsi="Times New Roman"/>
          <w:szCs w:val="24"/>
        </w:rPr>
        <w:t>year 2012 and revising Schedule </w:t>
      </w:r>
      <w:r w:rsidR="00F00C80" w:rsidRPr="00F00C80">
        <w:rPr>
          <w:rFonts w:ascii="Times New Roman" w:hAnsi="Times New Roman"/>
          <w:szCs w:val="24"/>
        </w:rPr>
        <w:t>95 as necessary to account for 2012 REC revenues.</w:t>
      </w:r>
      <w:r w:rsidR="00F00C80" w:rsidRPr="00F00C80">
        <w:rPr>
          <w:rStyle w:val="FootnoteReference"/>
          <w:rFonts w:ascii="Times New Roman" w:hAnsi="Times New Roman"/>
          <w:szCs w:val="24"/>
        </w:rPr>
        <w:footnoteReference w:id="18"/>
      </w:r>
      <w:r w:rsidR="00F00C80" w:rsidRPr="00F00C80">
        <w:rPr>
          <w:rFonts w:ascii="Times New Roman" w:hAnsi="Times New Roman"/>
          <w:szCs w:val="24"/>
        </w:rPr>
        <w:t xml:space="preserve">  The Company’s compliance filing was intended to be consistent with paragraph </w:t>
      </w:r>
      <w:r w:rsidR="00835892" w:rsidRPr="00835892">
        <w:rPr>
          <w:rFonts w:ascii="Times New Roman" w:hAnsi="Times New Roman"/>
          <w:szCs w:val="24"/>
        </w:rPr>
        <w:t>58</w:t>
      </w:r>
      <w:r w:rsidR="00F00C80" w:rsidRPr="00F00C80">
        <w:rPr>
          <w:rFonts w:ascii="Times New Roman" w:hAnsi="Times New Roman"/>
          <w:szCs w:val="24"/>
        </w:rPr>
        <w:t xml:space="preserve"> of Order 10, </w:t>
      </w:r>
      <w:r w:rsidR="00835892" w:rsidRPr="00835892">
        <w:rPr>
          <w:rFonts w:ascii="Times New Roman" w:hAnsi="Times New Roman"/>
          <w:szCs w:val="24"/>
        </w:rPr>
        <w:t>which</w:t>
      </w:r>
      <w:r w:rsidR="00F00C80" w:rsidRPr="00F00C80">
        <w:rPr>
          <w:rFonts w:ascii="Times New Roman" w:hAnsi="Times New Roman"/>
          <w:szCs w:val="24"/>
        </w:rPr>
        <w:t xml:space="preserve"> stated that “the credits received by customers should be for the actual REC sales proceeds, rather than forecasted amounts with a true-up” and </w:t>
      </w:r>
      <w:r w:rsidR="00835892" w:rsidRPr="00835892">
        <w:rPr>
          <w:rFonts w:ascii="Times New Roman" w:hAnsi="Times New Roman"/>
          <w:szCs w:val="24"/>
        </w:rPr>
        <w:t>found</w:t>
      </w:r>
      <w:r w:rsidR="00F00C80" w:rsidRPr="00F00C80">
        <w:rPr>
          <w:rFonts w:ascii="Times New Roman" w:hAnsi="Times New Roman"/>
          <w:szCs w:val="24"/>
        </w:rPr>
        <w:t xml:space="preserve"> that “basing credits on actual sales amounts eliminates undue complexity, the opportunity for disputes over the accuracy of Company forecasts, and customer confusion with swings in the credit amount.”    </w:t>
      </w:r>
    </w:p>
    <w:p w:rsidR="00360F75" w:rsidRPr="00835892" w:rsidRDefault="00F00C80" w:rsidP="00360F75">
      <w:pPr>
        <w:pStyle w:val="ListParagraph"/>
        <w:numPr>
          <w:ilvl w:val="0"/>
          <w:numId w:val="3"/>
        </w:numPr>
        <w:tabs>
          <w:tab w:val="num" w:pos="720"/>
        </w:tabs>
        <w:spacing w:line="480" w:lineRule="auto"/>
        <w:ind w:left="0"/>
        <w:rPr>
          <w:rFonts w:ascii="Times New Roman" w:hAnsi="Times New Roman"/>
          <w:szCs w:val="24"/>
        </w:rPr>
      </w:pPr>
      <w:r w:rsidRPr="00F00C80">
        <w:rPr>
          <w:rFonts w:ascii="Times New Roman" w:hAnsi="Times New Roman"/>
          <w:szCs w:val="24"/>
        </w:rPr>
        <w:tab/>
        <w:t>On November 16, 2012, the Commission issued a Notice Clarifying Temporary Suspension of Compliance with Order 10.</w:t>
      </w:r>
      <w:r w:rsidRPr="00F00C80">
        <w:rPr>
          <w:rStyle w:val="FootnoteReference"/>
          <w:rFonts w:ascii="Times New Roman" w:hAnsi="Times New Roman"/>
          <w:szCs w:val="24"/>
        </w:rPr>
        <w:footnoteReference w:id="19"/>
      </w:r>
      <w:r w:rsidRPr="00F00C80">
        <w:rPr>
          <w:rFonts w:ascii="Times New Roman" w:hAnsi="Times New Roman"/>
          <w:szCs w:val="24"/>
        </w:rPr>
        <w:t xml:space="preserve">  The Commission explained that while its September 17 notice stated that it was suspending the compliance deadlines, the Commission’s intent was to suspend the compliance requirements, not just the deadlines for compliance.</w:t>
      </w:r>
      <w:r w:rsidRPr="00F00C80">
        <w:rPr>
          <w:rStyle w:val="FootnoteReference"/>
          <w:rFonts w:ascii="Times New Roman" w:hAnsi="Times New Roman"/>
          <w:szCs w:val="24"/>
        </w:rPr>
        <w:footnoteReference w:id="20"/>
      </w:r>
      <w:r w:rsidRPr="00F00C80">
        <w:rPr>
          <w:rFonts w:ascii="Times New Roman" w:hAnsi="Times New Roman"/>
          <w:szCs w:val="24"/>
        </w:rPr>
        <w:t xml:space="preserve">  The Commission stated that the current mechanism for crediting REC revenues that was established in Order 06 remains in effect.</w:t>
      </w:r>
      <w:r w:rsidRPr="00F00C80">
        <w:rPr>
          <w:rStyle w:val="FootnoteReference"/>
          <w:rFonts w:ascii="Times New Roman" w:hAnsi="Times New Roman"/>
          <w:szCs w:val="24"/>
        </w:rPr>
        <w:footnoteReference w:id="21"/>
      </w:r>
      <w:r w:rsidRPr="00F00C80">
        <w:rPr>
          <w:rFonts w:ascii="Times New Roman" w:hAnsi="Times New Roman"/>
          <w:szCs w:val="24"/>
        </w:rPr>
        <w:t xml:space="preserve">  </w:t>
      </w:r>
    </w:p>
    <w:p w:rsidR="00012F3E" w:rsidRPr="00835892" w:rsidRDefault="00F00C80" w:rsidP="00360F75">
      <w:pPr>
        <w:pStyle w:val="ListParagraph"/>
        <w:numPr>
          <w:ilvl w:val="0"/>
          <w:numId w:val="3"/>
        </w:numPr>
        <w:tabs>
          <w:tab w:val="num" w:pos="720"/>
        </w:tabs>
        <w:spacing w:line="480" w:lineRule="auto"/>
        <w:ind w:left="0"/>
        <w:rPr>
          <w:rFonts w:ascii="Times New Roman" w:hAnsi="Times New Roman"/>
          <w:szCs w:val="24"/>
        </w:rPr>
      </w:pPr>
      <w:r w:rsidRPr="00F00C80">
        <w:rPr>
          <w:rFonts w:ascii="Times New Roman" w:hAnsi="Times New Roman"/>
          <w:szCs w:val="24"/>
        </w:rPr>
        <w:tab/>
        <w:t>On November 19, the Company filed a Petition for an Accounting Order, seeking to defer any REC revenues credited to customers under Schedule 95 in excess of the REC revenues actually owed to customers</w:t>
      </w:r>
      <w:r w:rsidR="00324E08">
        <w:rPr>
          <w:rFonts w:ascii="Times New Roman" w:hAnsi="Times New Roman"/>
          <w:szCs w:val="24"/>
        </w:rPr>
        <w:t xml:space="preserve"> for the period from April 3, 2011, through the present</w:t>
      </w:r>
      <w:r w:rsidRPr="00F00C80">
        <w:rPr>
          <w:rFonts w:ascii="Times New Roman" w:hAnsi="Times New Roman"/>
          <w:szCs w:val="24"/>
        </w:rPr>
        <w:t>.</w:t>
      </w:r>
      <w:r w:rsidR="00324E08">
        <w:rPr>
          <w:rStyle w:val="FootnoteReference"/>
          <w:rFonts w:ascii="Times New Roman" w:hAnsi="Times New Roman"/>
          <w:szCs w:val="24"/>
        </w:rPr>
        <w:footnoteReference w:id="22"/>
      </w:r>
      <w:r w:rsidRPr="00F00C80">
        <w:rPr>
          <w:rFonts w:ascii="Times New Roman" w:hAnsi="Times New Roman"/>
          <w:szCs w:val="24"/>
        </w:rPr>
        <w:t xml:space="preserve">  This Petition was docketed as UE-121839.  </w:t>
      </w:r>
    </w:p>
    <w:p w:rsidR="00360F75" w:rsidRPr="00835892" w:rsidRDefault="00F00C80" w:rsidP="00360F75">
      <w:pPr>
        <w:pStyle w:val="ListParagraph"/>
        <w:numPr>
          <w:ilvl w:val="0"/>
          <w:numId w:val="3"/>
        </w:numPr>
        <w:tabs>
          <w:tab w:val="num" w:pos="720"/>
        </w:tabs>
        <w:spacing w:line="480" w:lineRule="auto"/>
        <w:ind w:left="0"/>
        <w:rPr>
          <w:rFonts w:ascii="Times New Roman" w:hAnsi="Times New Roman"/>
          <w:szCs w:val="24"/>
        </w:rPr>
      </w:pPr>
      <w:r w:rsidRPr="00F00C80">
        <w:rPr>
          <w:rFonts w:ascii="Times New Roman" w:hAnsi="Times New Roman"/>
          <w:szCs w:val="24"/>
        </w:rPr>
        <w:tab/>
        <w:t>On November 30, 2012, the Commission issued Order 11 denying the Company’s petition for reconsideration, motion to reopen record, and petition for stay.</w:t>
      </w:r>
      <w:r w:rsidRPr="00F00C80">
        <w:rPr>
          <w:rStyle w:val="FootnoteReference"/>
          <w:rFonts w:ascii="Times New Roman" w:hAnsi="Times New Roman"/>
          <w:szCs w:val="24"/>
        </w:rPr>
        <w:footnoteReference w:id="23"/>
      </w:r>
      <w:r w:rsidRPr="00F00C80">
        <w:rPr>
          <w:rFonts w:ascii="Times New Roman" w:hAnsi="Times New Roman"/>
          <w:szCs w:val="24"/>
        </w:rPr>
        <w:t xml:space="preserve">  In paragraph 38 of Order 11, the Commission stated that it denied the Company’s petition for stay because the Commission </w:t>
      </w:r>
      <w:r w:rsidR="007F5313" w:rsidRPr="00F00C80">
        <w:rPr>
          <w:rFonts w:ascii="Times New Roman" w:hAnsi="Times New Roman"/>
          <w:szCs w:val="24"/>
        </w:rPr>
        <w:t>ha</w:t>
      </w:r>
      <w:r w:rsidR="007F5313">
        <w:rPr>
          <w:rFonts w:ascii="Times New Roman" w:hAnsi="Times New Roman"/>
          <w:szCs w:val="24"/>
        </w:rPr>
        <w:t>d</w:t>
      </w:r>
      <w:r w:rsidR="007F5313" w:rsidRPr="00F00C80">
        <w:rPr>
          <w:rFonts w:ascii="Times New Roman" w:hAnsi="Times New Roman"/>
          <w:szCs w:val="24"/>
        </w:rPr>
        <w:t xml:space="preserve"> </w:t>
      </w:r>
      <w:r w:rsidRPr="00F00C80">
        <w:rPr>
          <w:rFonts w:ascii="Times New Roman" w:hAnsi="Times New Roman"/>
          <w:szCs w:val="24"/>
        </w:rPr>
        <w:t>not yet determined when to implement the crediting mechanism for historical REC revenues.</w:t>
      </w:r>
      <w:r w:rsidRPr="00F00C80">
        <w:rPr>
          <w:rStyle w:val="FootnoteReference"/>
          <w:rFonts w:ascii="Times New Roman" w:hAnsi="Times New Roman"/>
          <w:szCs w:val="24"/>
        </w:rPr>
        <w:footnoteReference w:id="24"/>
      </w:r>
      <w:r w:rsidRPr="00F00C80">
        <w:rPr>
          <w:rFonts w:ascii="Times New Roman" w:hAnsi="Times New Roman"/>
          <w:szCs w:val="24"/>
        </w:rPr>
        <w:t xml:space="preserve">  The Commission stated that the Company will not suffer any harm in complying with Order 10’s requirement to develop a crediting mechanism, because “[e]ven if the Commission determines not to require the Company to implement credits of historic REC sale proceeds until the conclusion of any judicial review,” having a crediting mechanism in place will minimize the delay in crediting RECs if the Commission’s order is upheld on appeal.</w:t>
      </w:r>
      <w:r w:rsidRPr="00F00C80">
        <w:rPr>
          <w:rStyle w:val="FootnoteReference"/>
          <w:rFonts w:ascii="Times New Roman" w:hAnsi="Times New Roman"/>
          <w:szCs w:val="24"/>
        </w:rPr>
        <w:footnoteReference w:id="25"/>
      </w:r>
      <w:r w:rsidRPr="00F00C80">
        <w:rPr>
          <w:rFonts w:ascii="Times New Roman" w:hAnsi="Times New Roman"/>
          <w:szCs w:val="24"/>
        </w:rPr>
        <w:t xml:space="preserve"> </w:t>
      </w:r>
    </w:p>
    <w:p w:rsidR="009E6732" w:rsidRPr="00835892" w:rsidRDefault="00F00C80" w:rsidP="00360F75">
      <w:pPr>
        <w:pStyle w:val="ListParagraph"/>
        <w:numPr>
          <w:ilvl w:val="0"/>
          <w:numId w:val="3"/>
        </w:numPr>
        <w:tabs>
          <w:tab w:val="num" w:pos="720"/>
        </w:tabs>
        <w:spacing w:line="480" w:lineRule="auto"/>
        <w:ind w:left="0"/>
        <w:rPr>
          <w:rFonts w:ascii="Times New Roman" w:hAnsi="Times New Roman"/>
          <w:szCs w:val="24"/>
        </w:rPr>
      </w:pPr>
      <w:r w:rsidRPr="00F00C80">
        <w:rPr>
          <w:rFonts w:ascii="Times New Roman" w:hAnsi="Times New Roman"/>
          <w:szCs w:val="24"/>
        </w:rPr>
        <w:tab/>
        <w:t>On December 4, 2012, the Company filed Advice 12-09 relating to Schedule 95.</w:t>
      </w:r>
      <w:r w:rsidRPr="00F00C80">
        <w:rPr>
          <w:rStyle w:val="FootnoteReference"/>
          <w:rFonts w:ascii="Times New Roman" w:hAnsi="Times New Roman"/>
          <w:szCs w:val="24"/>
        </w:rPr>
        <w:footnoteReference w:id="26"/>
      </w:r>
      <w:r w:rsidRPr="00F00C80">
        <w:rPr>
          <w:rFonts w:ascii="Times New Roman" w:hAnsi="Times New Roman"/>
          <w:szCs w:val="24"/>
        </w:rPr>
        <w:t xml:space="preserve">  In this advice filing, the Company again proposed revising Schedule 95 rates equal to zero cents per kWh for all rate schedules, effective December 14, 2012.</w:t>
      </w:r>
      <w:r w:rsidRPr="00F00C80">
        <w:rPr>
          <w:rStyle w:val="FootnoteReference"/>
          <w:rFonts w:ascii="Times New Roman" w:hAnsi="Times New Roman"/>
          <w:szCs w:val="24"/>
        </w:rPr>
        <w:footnoteReference w:id="27"/>
      </w:r>
      <w:r w:rsidRPr="00F00C80">
        <w:rPr>
          <w:rFonts w:ascii="Times New Roman" w:hAnsi="Times New Roman"/>
          <w:szCs w:val="24"/>
        </w:rPr>
        <w:t xml:space="preserve">  </w:t>
      </w:r>
    </w:p>
    <w:p w:rsidR="009B4945" w:rsidRPr="00835892" w:rsidRDefault="00F00C80" w:rsidP="00360F75">
      <w:pPr>
        <w:pStyle w:val="ListParagraph"/>
        <w:numPr>
          <w:ilvl w:val="0"/>
          <w:numId w:val="3"/>
        </w:numPr>
        <w:tabs>
          <w:tab w:val="num" w:pos="720"/>
        </w:tabs>
        <w:spacing w:line="480" w:lineRule="auto"/>
        <w:ind w:left="0"/>
        <w:rPr>
          <w:rFonts w:ascii="Times New Roman" w:hAnsi="Times New Roman"/>
          <w:szCs w:val="24"/>
        </w:rPr>
      </w:pPr>
      <w:r w:rsidRPr="00F00C80">
        <w:rPr>
          <w:rFonts w:ascii="Times New Roman" w:hAnsi="Times New Roman"/>
          <w:szCs w:val="24"/>
        </w:rPr>
        <w:tab/>
      </w:r>
      <w:r w:rsidR="00CB58CD">
        <w:rPr>
          <w:rFonts w:ascii="Times New Roman" w:hAnsi="Times New Roman"/>
          <w:szCs w:val="24"/>
        </w:rPr>
        <w:t xml:space="preserve">On December 11, 2012, </w:t>
      </w:r>
      <w:r w:rsidRPr="00F00C80">
        <w:rPr>
          <w:rFonts w:ascii="Times New Roman" w:hAnsi="Times New Roman"/>
          <w:szCs w:val="24"/>
        </w:rPr>
        <w:t xml:space="preserve">Administrative Law Judge </w:t>
      </w:r>
      <w:r w:rsidR="00CB58CD">
        <w:rPr>
          <w:rFonts w:ascii="Times New Roman" w:hAnsi="Times New Roman"/>
          <w:szCs w:val="24"/>
        </w:rPr>
        <w:t xml:space="preserve">Gregory J. </w:t>
      </w:r>
      <w:r w:rsidRPr="00F00C80">
        <w:rPr>
          <w:rFonts w:ascii="Times New Roman" w:hAnsi="Times New Roman"/>
          <w:szCs w:val="24"/>
        </w:rPr>
        <w:t xml:space="preserve">Kopta advised </w:t>
      </w:r>
      <w:r w:rsidR="00CB58CD">
        <w:rPr>
          <w:rFonts w:ascii="Times New Roman" w:hAnsi="Times New Roman"/>
          <w:szCs w:val="24"/>
        </w:rPr>
        <w:t xml:space="preserve">PacifiCorp </w:t>
      </w:r>
      <w:r w:rsidR="008E128F">
        <w:rPr>
          <w:rFonts w:ascii="Times New Roman" w:hAnsi="Times New Roman"/>
          <w:szCs w:val="24"/>
        </w:rPr>
        <w:t xml:space="preserve">by telephone </w:t>
      </w:r>
      <w:r w:rsidR="00CB58CD">
        <w:rPr>
          <w:rFonts w:ascii="Times New Roman" w:hAnsi="Times New Roman"/>
          <w:szCs w:val="24"/>
        </w:rPr>
        <w:t xml:space="preserve">that Advice 12-09 would be rejected by the Commission for procedural reasons and advised PacifiCorp </w:t>
      </w:r>
      <w:r w:rsidRPr="00F00C80">
        <w:rPr>
          <w:rFonts w:ascii="Times New Roman" w:hAnsi="Times New Roman"/>
          <w:szCs w:val="24"/>
        </w:rPr>
        <w:t xml:space="preserve">to file proposed changes to Schedule 95 in a motion to </w:t>
      </w:r>
      <w:r w:rsidR="00835892">
        <w:rPr>
          <w:rFonts w:ascii="Times New Roman" w:hAnsi="Times New Roman"/>
          <w:szCs w:val="24"/>
        </w:rPr>
        <w:t>amend</w:t>
      </w:r>
      <w:r w:rsidRPr="00F00C80">
        <w:rPr>
          <w:rFonts w:ascii="Times New Roman" w:hAnsi="Times New Roman"/>
          <w:szCs w:val="24"/>
        </w:rPr>
        <w:t xml:space="preserve"> Order 06, rather than as a separate advice filing.  </w:t>
      </w:r>
      <w:r w:rsidR="00835892">
        <w:rPr>
          <w:rFonts w:ascii="Times New Roman" w:hAnsi="Times New Roman"/>
          <w:szCs w:val="24"/>
        </w:rPr>
        <w:t xml:space="preserve">The Company withdrew Advice 12-09 by letter filed December 12, 2012, and </w:t>
      </w:r>
      <w:r w:rsidRPr="00F00C80">
        <w:rPr>
          <w:rFonts w:ascii="Times New Roman" w:hAnsi="Times New Roman"/>
          <w:szCs w:val="24"/>
        </w:rPr>
        <w:t xml:space="preserve">is resubmitting its revised Schedule 95 as an exhibit to this motion. </w:t>
      </w:r>
    </w:p>
    <w:p w:rsidR="00300863" w:rsidRPr="00835892" w:rsidRDefault="00360F75" w:rsidP="006362CA">
      <w:pPr>
        <w:pStyle w:val="ListParagraph"/>
        <w:keepNext/>
        <w:tabs>
          <w:tab w:val="left" w:pos="720"/>
        </w:tabs>
        <w:spacing w:line="480" w:lineRule="auto"/>
        <w:ind w:left="0"/>
        <w:jc w:val="center"/>
        <w:rPr>
          <w:rFonts w:ascii="Times New Roman" w:hAnsi="Times New Roman"/>
          <w:b/>
          <w:szCs w:val="24"/>
        </w:rPr>
      </w:pPr>
      <w:r w:rsidRPr="00835892">
        <w:rPr>
          <w:rFonts w:ascii="Times New Roman" w:hAnsi="Times New Roman"/>
          <w:b/>
          <w:szCs w:val="24"/>
        </w:rPr>
        <w:t>I</w:t>
      </w:r>
      <w:r w:rsidR="006362CA">
        <w:rPr>
          <w:rFonts w:ascii="Times New Roman" w:hAnsi="Times New Roman"/>
          <w:b/>
          <w:szCs w:val="24"/>
        </w:rPr>
        <w:t>II.</w:t>
      </w:r>
      <w:r w:rsidR="006362CA">
        <w:rPr>
          <w:rFonts w:ascii="Times New Roman" w:hAnsi="Times New Roman"/>
          <w:b/>
          <w:szCs w:val="24"/>
        </w:rPr>
        <w:tab/>
        <w:t>A</w:t>
      </w:r>
      <w:r w:rsidR="00300863" w:rsidRPr="00835892">
        <w:rPr>
          <w:rFonts w:ascii="Times New Roman" w:hAnsi="Times New Roman"/>
          <w:b/>
          <w:szCs w:val="24"/>
        </w:rPr>
        <w:t>RGUMENT</w:t>
      </w:r>
    </w:p>
    <w:p w:rsidR="008E128F" w:rsidRDefault="00452667" w:rsidP="00ED7F6A">
      <w:pPr>
        <w:pStyle w:val="ListParagraph"/>
        <w:numPr>
          <w:ilvl w:val="0"/>
          <w:numId w:val="3"/>
        </w:numPr>
        <w:tabs>
          <w:tab w:val="num" w:pos="720"/>
        </w:tabs>
        <w:spacing w:line="480" w:lineRule="auto"/>
        <w:ind w:left="0"/>
        <w:rPr>
          <w:rFonts w:ascii="Times New Roman" w:hAnsi="Times New Roman"/>
          <w:szCs w:val="24"/>
        </w:rPr>
      </w:pPr>
      <w:r w:rsidRPr="00835892">
        <w:rPr>
          <w:rFonts w:ascii="Times New Roman" w:hAnsi="Times New Roman"/>
          <w:szCs w:val="24"/>
        </w:rPr>
        <w:tab/>
      </w:r>
      <w:r w:rsidR="008E128F">
        <w:rPr>
          <w:rFonts w:ascii="Times New Roman" w:hAnsi="Times New Roman"/>
          <w:szCs w:val="24"/>
        </w:rPr>
        <w:t>The</w:t>
      </w:r>
      <w:r w:rsidR="008E128F" w:rsidRPr="00F00C80">
        <w:rPr>
          <w:rFonts w:ascii="Times New Roman" w:hAnsi="Times New Roman"/>
          <w:szCs w:val="24"/>
        </w:rPr>
        <w:t xml:space="preserve"> Company requests that the Commission approve the attached revisions to Schedule 95, which would establish rates equal to zero cents per kWh, effective immediately.  Without these revisions, the Company will add to the $2.6 million in over</w:t>
      </w:r>
      <w:r w:rsidR="008E128F">
        <w:rPr>
          <w:rFonts w:ascii="Times New Roman" w:hAnsi="Times New Roman"/>
          <w:szCs w:val="24"/>
        </w:rPr>
        <w:t>-</w:t>
      </w:r>
      <w:r w:rsidR="008E128F" w:rsidRPr="00F00C80">
        <w:rPr>
          <w:rFonts w:ascii="Times New Roman" w:hAnsi="Times New Roman"/>
          <w:szCs w:val="24"/>
        </w:rPr>
        <w:t xml:space="preserve">credits for non-historical REC revenues that it has already credited.  Rather than potentially subject customers to </w:t>
      </w:r>
      <w:r w:rsidR="008E128F">
        <w:rPr>
          <w:rFonts w:ascii="Times New Roman" w:hAnsi="Times New Roman"/>
          <w:szCs w:val="24"/>
        </w:rPr>
        <w:t xml:space="preserve">rate </w:t>
      </w:r>
      <w:r w:rsidR="008E128F" w:rsidRPr="00F00C80">
        <w:rPr>
          <w:rFonts w:ascii="Times New Roman" w:hAnsi="Times New Roman"/>
          <w:szCs w:val="24"/>
        </w:rPr>
        <w:t>surcharges in the future to balance out the REC tracker, the Company proposes stopping the credit until the amounts of historical REC revenues have been determined.  The Company also requests that it be allowed to defer any credits for REC revenues in excess of those actually owed to customers</w:t>
      </w:r>
      <w:r w:rsidR="008E128F">
        <w:rPr>
          <w:rFonts w:ascii="Times New Roman" w:hAnsi="Times New Roman"/>
          <w:szCs w:val="24"/>
        </w:rPr>
        <w:t xml:space="preserve"> for the period between April 3, 2011, and the date that the </w:t>
      </w:r>
      <w:r w:rsidR="007F5313">
        <w:rPr>
          <w:rFonts w:ascii="Times New Roman" w:hAnsi="Times New Roman"/>
          <w:szCs w:val="24"/>
        </w:rPr>
        <w:t xml:space="preserve">proposed </w:t>
      </w:r>
      <w:r w:rsidR="008E128F">
        <w:rPr>
          <w:rFonts w:ascii="Times New Roman" w:hAnsi="Times New Roman"/>
          <w:szCs w:val="24"/>
        </w:rPr>
        <w:t>revisions to Schedule 95 become effective.</w:t>
      </w:r>
      <w:r w:rsidR="008E128F" w:rsidRPr="00F00C80">
        <w:rPr>
          <w:rFonts w:ascii="Times New Roman" w:hAnsi="Times New Roman"/>
          <w:szCs w:val="24"/>
        </w:rPr>
        <w:t xml:space="preserve"> </w:t>
      </w:r>
    </w:p>
    <w:p w:rsidR="008E4196" w:rsidRPr="008E128F" w:rsidRDefault="008E128F" w:rsidP="008E128F">
      <w:pPr>
        <w:pStyle w:val="ListParagraph"/>
        <w:numPr>
          <w:ilvl w:val="0"/>
          <w:numId w:val="3"/>
        </w:numPr>
        <w:tabs>
          <w:tab w:val="num" w:pos="720"/>
        </w:tabs>
        <w:spacing w:line="480" w:lineRule="auto"/>
        <w:ind w:left="0"/>
        <w:rPr>
          <w:rFonts w:ascii="Times New Roman" w:hAnsi="Times New Roman"/>
          <w:szCs w:val="24"/>
        </w:rPr>
      </w:pPr>
      <w:r>
        <w:rPr>
          <w:rFonts w:ascii="Times New Roman" w:hAnsi="Times New Roman"/>
          <w:szCs w:val="24"/>
        </w:rPr>
        <w:tab/>
        <w:t>In addition, i</w:t>
      </w:r>
      <w:r w:rsidR="00F00C80" w:rsidRPr="00F00C80">
        <w:rPr>
          <w:rFonts w:ascii="Times New Roman" w:hAnsi="Times New Roman"/>
          <w:szCs w:val="24"/>
        </w:rPr>
        <w:t xml:space="preserve">n Paragraph 38 of Order 11, the Commission stated that historical REC revenues should not yet be returned to customers though the bill credit </w:t>
      </w:r>
      <w:r>
        <w:rPr>
          <w:rFonts w:ascii="Times New Roman" w:hAnsi="Times New Roman"/>
          <w:szCs w:val="24"/>
        </w:rPr>
        <w:t>established in Order 06.  Order </w:t>
      </w:r>
      <w:r w:rsidR="00F00C80" w:rsidRPr="00F00C80">
        <w:rPr>
          <w:rFonts w:ascii="Times New Roman" w:hAnsi="Times New Roman"/>
          <w:szCs w:val="24"/>
        </w:rPr>
        <w:t>06 is not clear on this point</w:t>
      </w:r>
      <w:r w:rsidR="00835892">
        <w:rPr>
          <w:rFonts w:ascii="Times New Roman" w:hAnsi="Times New Roman"/>
          <w:szCs w:val="24"/>
        </w:rPr>
        <w:t xml:space="preserve">, </w:t>
      </w:r>
      <w:r w:rsidR="00F00C80" w:rsidRPr="00F00C80">
        <w:rPr>
          <w:rFonts w:ascii="Times New Roman" w:hAnsi="Times New Roman"/>
          <w:szCs w:val="24"/>
        </w:rPr>
        <w:t xml:space="preserve">and </w:t>
      </w:r>
      <w:r w:rsidR="00835892">
        <w:rPr>
          <w:rFonts w:ascii="Times New Roman" w:hAnsi="Times New Roman"/>
          <w:szCs w:val="24"/>
        </w:rPr>
        <w:t xml:space="preserve">without revisions, </w:t>
      </w:r>
      <w:r w:rsidR="00F00C80" w:rsidRPr="00F00C80">
        <w:rPr>
          <w:rFonts w:ascii="Times New Roman" w:hAnsi="Times New Roman"/>
          <w:szCs w:val="24"/>
        </w:rPr>
        <w:t>Schedule 95 could undermine this objective.  The Company requests that the Commission amend Order 06 to state that historical REC revenues are outside the scope of current Schedule 95</w:t>
      </w:r>
      <w:r w:rsidR="00835892">
        <w:rPr>
          <w:rFonts w:ascii="Times New Roman" w:hAnsi="Times New Roman"/>
          <w:szCs w:val="24"/>
        </w:rPr>
        <w:t>,</w:t>
      </w:r>
      <w:r w:rsidR="00F00C80" w:rsidRPr="00F00C80">
        <w:rPr>
          <w:rFonts w:ascii="Times New Roman" w:hAnsi="Times New Roman"/>
          <w:szCs w:val="24"/>
        </w:rPr>
        <w:t xml:space="preserve"> and that rate credits for historical REC revenues will be addressed following final resolution of PacifiCorp’s petition for judicial review of Orders 10 and 11.</w:t>
      </w:r>
      <w:r w:rsidR="00F00C80" w:rsidRPr="008E128F">
        <w:rPr>
          <w:rFonts w:ascii="Times New Roman" w:hAnsi="Times New Roman"/>
          <w:szCs w:val="24"/>
        </w:rPr>
        <w:t xml:space="preserve"> </w:t>
      </w:r>
    </w:p>
    <w:p w:rsidR="002B7029" w:rsidRPr="00835892" w:rsidRDefault="002B7029" w:rsidP="006362CA">
      <w:pPr>
        <w:pStyle w:val="ListParagraph"/>
        <w:keepNext/>
        <w:tabs>
          <w:tab w:val="left" w:pos="720"/>
        </w:tabs>
        <w:spacing w:line="480" w:lineRule="auto"/>
        <w:ind w:left="0"/>
        <w:jc w:val="center"/>
        <w:rPr>
          <w:rFonts w:ascii="Times New Roman" w:hAnsi="Times New Roman"/>
          <w:b/>
          <w:szCs w:val="24"/>
        </w:rPr>
      </w:pPr>
      <w:r w:rsidRPr="00835892">
        <w:rPr>
          <w:rFonts w:ascii="Times New Roman" w:hAnsi="Times New Roman"/>
          <w:b/>
          <w:szCs w:val="24"/>
        </w:rPr>
        <w:t>I</w:t>
      </w:r>
      <w:r w:rsidR="00360F75" w:rsidRPr="00835892">
        <w:rPr>
          <w:rFonts w:ascii="Times New Roman" w:hAnsi="Times New Roman"/>
          <w:b/>
          <w:szCs w:val="24"/>
        </w:rPr>
        <w:t>V</w:t>
      </w:r>
      <w:r w:rsidR="006362CA">
        <w:rPr>
          <w:rFonts w:ascii="Times New Roman" w:hAnsi="Times New Roman"/>
          <w:b/>
          <w:szCs w:val="24"/>
        </w:rPr>
        <w:t>.</w:t>
      </w:r>
      <w:r w:rsidR="006362CA">
        <w:rPr>
          <w:rFonts w:ascii="Times New Roman" w:hAnsi="Times New Roman"/>
          <w:b/>
          <w:szCs w:val="24"/>
        </w:rPr>
        <w:tab/>
      </w:r>
      <w:r w:rsidRPr="00835892">
        <w:rPr>
          <w:rFonts w:ascii="Times New Roman" w:hAnsi="Times New Roman"/>
          <w:b/>
          <w:szCs w:val="24"/>
        </w:rPr>
        <w:t>CONCLUSION</w:t>
      </w:r>
    </w:p>
    <w:p w:rsidR="002B7029" w:rsidRPr="008E128F" w:rsidRDefault="00C610D3" w:rsidP="008E128F">
      <w:pPr>
        <w:pStyle w:val="ListParagraph"/>
        <w:numPr>
          <w:ilvl w:val="0"/>
          <w:numId w:val="1"/>
        </w:numPr>
        <w:tabs>
          <w:tab w:val="num" w:pos="720"/>
        </w:tabs>
        <w:spacing w:line="480" w:lineRule="auto"/>
        <w:ind w:left="0"/>
        <w:rPr>
          <w:rFonts w:ascii="Times New Roman" w:hAnsi="Times New Roman"/>
          <w:szCs w:val="24"/>
        </w:rPr>
      </w:pPr>
      <w:r w:rsidRPr="008E128F">
        <w:rPr>
          <w:rFonts w:ascii="Times New Roman" w:hAnsi="Times New Roman"/>
          <w:szCs w:val="24"/>
        </w:rPr>
        <w:tab/>
      </w:r>
      <w:r w:rsidR="00E40D64" w:rsidRPr="008E128F">
        <w:rPr>
          <w:rFonts w:ascii="Times New Roman" w:hAnsi="Times New Roman"/>
          <w:szCs w:val="24"/>
        </w:rPr>
        <w:t>The Company respectfully requests that the Commission (1) </w:t>
      </w:r>
      <w:r w:rsidR="008E128F" w:rsidRPr="008E128F">
        <w:rPr>
          <w:rFonts w:ascii="Times New Roman" w:hAnsi="Times New Roman"/>
          <w:szCs w:val="24"/>
        </w:rPr>
        <w:t>approve the revisions to Schedule 95</w:t>
      </w:r>
      <w:r w:rsidR="007F5313">
        <w:rPr>
          <w:rFonts w:ascii="Times New Roman" w:hAnsi="Times New Roman"/>
          <w:szCs w:val="24"/>
        </w:rPr>
        <w:t>, attached as Exhibit 1,</w:t>
      </w:r>
      <w:r w:rsidR="008E128F" w:rsidRPr="008E128F">
        <w:rPr>
          <w:rFonts w:ascii="Times New Roman" w:hAnsi="Times New Roman"/>
          <w:szCs w:val="24"/>
        </w:rPr>
        <w:t xml:space="preserve"> so that rates under that schedule will equal zero cents per kWh for all rate schedules effective immediately</w:t>
      </w:r>
      <w:r w:rsidR="00590F65" w:rsidRPr="008E128F">
        <w:rPr>
          <w:rFonts w:ascii="Times New Roman" w:hAnsi="Times New Roman"/>
          <w:szCs w:val="24"/>
        </w:rPr>
        <w:t>; (2) </w:t>
      </w:r>
      <w:r w:rsidR="008E128F" w:rsidRPr="008E128F">
        <w:rPr>
          <w:rFonts w:ascii="Times New Roman" w:hAnsi="Times New Roman"/>
          <w:szCs w:val="24"/>
        </w:rPr>
        <w:t>amend Order 06 to be consistent with paragraph 38 of Order 11 and clarify that the REC revenue bill credit established in that order does not pertain to historical REC proceeds, meaning those received from January 1, 2009</w:t>
      </w:r>
      <w:r w:rsidR="007F5313">
        <w:rPr>
          <w:rFonts w:ascii="Times New Roman" w:hAnsi="Times New Roman"/>
          <w:szCs w:val="24"/>
        </w:rPr>
        <w:t>,</w:t>
      </w:r>
      <w:r w:rsidR="008E128F" w:rsidRPr="008E128F">
        <w:rPr>
          <w:rFonts w:ascii="Times New Roman" w:hAnsi="Times New Roman"/>
          <w:szCs w:val="24"/>
        </w:rPr>
        <w:t xml:space="preserve"> through April 2, 2011; </w:t>
      </w:r>
      <w:r w:rsidR="00F00C80" w:rsidRPr="008E128F">
        <w:rPr>
          <w:rFonts w:ascii="Times New Roman" w:hAnsi="Times New Roman"/>
          <w:szCs w:val="24"/>
        </w:rPr>
        <w:t>and (3) allow deferred accounting for any credits for REC revenues in excess of those actually owed to customers</w:t>
      </w:r>
      <w:r w:rsidR="00C91385" w:rsidRPr="008E128F">
        <w:rPr>
          <w:rFonts w:ascii="Times New Roman" w:hAnsi="Times New Roman"/>
          <w:szCs w:val="24"/>
        </w:rPr>
        <w:t xml:space="preserve"> for the period from April 3, 2011, through the date that the</w:t>
      </w:r>
      <w:r w:rsidR="007F5313">
        <w:rPr>
          <w:rFonts w:ascii="Times New Roman" w:hAnsi="Times New Roman"/>
          <w:szCs w:val="24"/>
        </w:rPr>
        <w:t xml:space="preserve"> proposed</w:t>
      </w:r>
      <w:r w:rsidR="00C91385" w:rsidRPr="008E128F">
        <w:rPr>
          <w:rFonts w:ascii="Times New Roman" w:hAnsi="Times New Roman"/>
          <w:szCs w:val="24"/>
        </w:rPr>
        <w:t xml:space="preserve"> revisions to Schedule 95 become effective</w:t>
      </w:r>
      <w:r w:rsidR="00F00C80" w:rsidRPr="008E128F">
        <w:rPr>
          <w:rFonts w:ascii="Times New Roman" w:hAnsi="Times New Roman"/>
          <w:szCs w:val="24"/>
        </w:rPr>
        <w:t xml:space="preserve">.  </w:t>
      </w:r>
    </w:p>
    <w:p w:rsidR="004A72B4" w:rsidRDefault="004A72B4">
      <w:pPr>
        <w:rPr>
          <w:rFonts w:ascii="Times New Roman" w:hAnsi="Times New Roman"/>
          <w:szCs w:val="24"/>
        </w:rPr>
      </w:pPr>
      <w:r>
        <w:rPr>
          <w:rFonts w:ascii="Times New Roman" w:hAnsi="Times New Roman"/>
          <w:szCs w:val="24"/>
        </w:rPr>
        <w:br w:type="page"/>
      </w:r>
    </w:p>
    <w:p w:rsidR="002B7029" w:rsidRPr="00835892" w:rsidRDefault="002B7029" w:rsidP="002B7029">
      <w:pPr>
        <w:jc w:val="both"/>
        <w:rPr>
          <w:rFonts w:ascii="Times New Roman" w:hAnsi="Times New Roman"/>
          <w:szCs w:val="24"/>
        </w:rPr>
      </w:pPr>
      <w:r w:rsidRPr="00835892">
        <w:rPr>
          <w:rFonts w:ascii="Times New Roman" w:hAnsi="Times New Roman"/>
          <w:szCs w:val="24"/>
        </w:rPr>
        <w:t>DATED:</w:t>
      </w:r>
      <w:r w:rsidRPr="00835892">
        <w:rPr>
          <w:rFonts w:ascii="Times New Roman" w:hAnsi="Times New Roman"/>
          <w:szCs w:val="24"/>
        </w:rPr>
        <w:tab/>
      </w:r>
      <w:r w:rsidR="00ED7F6A" w:rsidRPr="00835892">
        <w:rPr>
          <w:rFonts w:ascii="Times New Roman" w:hAnsi="Times New Roman"/>
          <w:szCs w:val="24"/>
        </w:rPr>
        <w:t xml:space="preserve">December </w:t>
      </w:r>
      <w:r w:rsidR="00673E16">
        <w:rPr>
          <w:rFonts w:ascii="Times New Roman" w:hAnsi="Times New Roman"/>
          <w:szCs w:val="24"/>
        </w:rPr>
        <w:t>13</w:t>
      </w:r>
      <w:r w:rsidR="00B03176" w:rsidRPr="00835892">
        <w:rPr>
          <w:rFonts w:ascii="Times New Roman" w:hAnsi="Times New Roman"/>
          <w:szCs w:val="24"/>
        </w:rPr>
        <w:t>, 2012</w:t>
      </w:r>
      <w:r w:rsidRPr="00835892">
        <w:rPr>
          <w:rFonts w:ascii="Times New Roman" w:hAnsi="Times New Roman"/>
          <w:szCs w:val="24"/>
        </w:rPr>
        <w:t>.</w:t>
      </w:r>
      <w:r w:rsidRPr="00835892">
        <w:rPr>
          <w:rFonts w:ascii="Times New Roman" w:hAnsi="Times New Roman"/>
          <w:szCs w:val="24"/>
        </w:rPr>
        <w:tab/>
      </w:r>
      <w:r w:rsidRPr="00835892">
        <w:rPr>
          <w:rFonts w:ascii="Times New Roman" w:hAnsi="Times New Roman"/>
          <w:szCs w:val="24"/>
        </w:rPr>
        <w:tab/>
        <w:t>Respectfully Submitted,</w:t>
      </w:r>
      <w:r w:rsidRPr="00835892">
        <w:rPr>
          <w:rFonts w:ascii="Times New Roman" w:hAnsi="Times New Roman"/>
          <w:szCs w:val="24"/>
        </w:rPr>
        <w:tab/>
      </w:r>
      <w:r w:rsidRPr="00835892">
        <w:rPr>
          <w:rFonts w:ascii="Times New Roman" w:hAnsi="Times New Roman"/>
          <w:szCs w:val="24"/>
        </w:rPr>
        <w:tab/>
      </w:r>
    </w:p>
    <w:p w:rsidR="002B7029" w:rsidRPr="00835892" w:rsidRDefault="002B7029" w:rsidP="002B7029">
      <w:pPr>
        <w:tabs>
          <w:tab w:val="left" w:pos="4320"/>
        </w:tabs>
        <w:jc w:val="right"/>
        <w:rPr>
          <w:rFonts w:ascii="Times New Roman" w:hAnsi="Times New Roman"/>
          <w:szCs w:val="24"/>
        </w:rPr>
      </w:pPr>
    </w:p>
    <w:p w:rsidR="002B7029" w:rsidRPr="00835892" w:rsidRDefault="002B7029" w:rsidP="002B7029">
      <w:pPr>
        <w:tabs>
          <w:tab w:val="left" w:pos="4320"/>
        </w:tabs>
        <w:jc w:val="right"/>
        <w:rPr>
          <w:rFonts w:ascii="Times New Roman" w:hAnsi="Times New Roman"/>
          <w:szCs w:val="24"/>
        </w:rPr>
      </w:pPr>
    </w:p>
    <w:p w:rsidR="002B7029" w:rsidRPr="00835892" w:rsidRDefault="002B7029" w:rsidP="002B7029">
      <w:pPr>
        <w:tabs>
          <w:tab w:val="left" w:pos="4320"/>
        </w:tabs>
        <w:ind w:left="4320"/>
        <w:rPr>
          <w:rFonts w:ascii="Times New Roman" w:hAnsi="Times New Roman"/>
          <w:szCs w:val="24"/>
        </w:rPr>
      </w:pPr>
      <w:r w:rsidRPr="00835892">
        <w:rPr>
          <w:rFonts w:ascii="Times New Roman" w:hAnsi="Times New Roman"/>
          <w:szCs w:val="24"/>
        </w:rPr>
        <w:t>___________________________</w:t>
      </w:r>
    </w:p>
    <w:p w:rsidR="002B7029" w:rsidRPr="00835892" w:rsidRDefault="002B7029" w:rsidP="002B7029">
      <w:pPr>
        <w:ind w:left="2880" w:firstLine="1440"/>
        <w:rPr>
          <w:rFonts w:ascii="Times New Roman" w:hAnsi="Times New Roman"/>
          <w:szCs w:val="24"/>
        </w:rPr>
      </w:pPr>
      <w:r w:rsidRPr="00835892">
        <w:rPr>
          <w:rFonts w:ascii="Times New Roman" w:hAnsi="Times New Roman"/>
          <w:szCs w:val="24"/>
        </w:rPr>
        <w:t>Katherine A. McDowell</w:t>
      </w:r>
      <w:r w:rsidRPr="00835892">
        <w:rPr>
          <w:rFonts w:ascii="Times New Roman" w:hAnsi="Times New Roman"/>
          <w:szCs w:val="24"/>
        </w:rPr>
        <w:tab/>
      </w:r>
    </w:p>
    <w:p w:rsidR="00452667" w:rsidRPr="00CE13A6" w:rsidRDefault="00F00C80" w:rsidP="002B7029">
      <w:pPr>
        <w:ind w:left="2880" w:firstLine="1440"/>
        <w:rPr>
          <w:rFonts w:ascii="Times New Roman" w:hAnsi="Times New Roman"/>
          <w:szCs w:val="24"/>
        </w:rPr>
      </w:pPr>
      <w:r w:rsidRPr="00F00C80">
        <w:rPr>
          <w:rFonts w:ascii="Times New Roman" w:hAnsi="Times New Roman"/>
          <w:szCs w:val="24"/>
        </w:rPr>
        <w:t>Amie Jamieson</w:t>
      </w:r>
    </w:p>
    <w:p w:rsidR="002B7029" w:rsidRPr="00CE13A6" w:rsidRDefault="00F00C80" w:rsidP="002B7029">
      <w:pPr>
        <w:ind w:left="3600" w:firstLine="720"/>
        <w:jc w:val="both"/>
        <w:rPr>
          <w:rFonts w:ascii="Times New Roman" w:hAnsi="Times New Roman"/>
          <w:szCs w:val="24"/>
        </w:rPr>
      </w:pPr>
      <w:r w:rsidRPr="00F00C80">
        <w:rPr>
          <w:rFonts w:ascii="Times New Roman" w:hAnsi="Times New Roman"/>
          <w:szCs w:val="24"/>
        </w:rPr>
        <w:t>McDowell Rackner &amp; Gibson PC</w:t>
      </w:r>
    </w:p>
    <w:p w:rsidR="002B7029" w:rsidRPr="00CE13A6" w:rsidRDefault="00F00C80" w:rsidP="002B7029">
      <w:pPr>
        <w:ind w:left="3600" w:firstLine="720"/>
        <w:jc w:val="both"/>
        <w:rPr>
          <w:rFonts w:ascii="Times New Roman" w:hAnsi="Times New Roman"/>
          <w:szCs w:val="24"/>
        </w:rPr>
      </w:pPr>
      <w:r w:rsidRPr="00F00C80">
        <w:rPr>
          <w:rFonts w:ascii="Times New Roman" w:hAnsi="Times New Roman"/>
          <w:szCs w:val="24"/>
        </w:rPr>
        <w:t>419 SW 11</w:t>
      </w:r>
      <w:r w:rsidRPr="00F00C80">
        <w:rPr>
          <w:rFonts w:ascii="Times New Roman" w:hAnsi="Times New Roman"/>
          <w:szCs w:val="24"/>
          <w:vertAlign w:val="superscript"/>
        </w:rPr>
        <w:t>th</w:t>
      </w:r>
      <w:r w:rsidRPr="00F00C80">
        <w:rPr>
          <w:rFonts w:ascii="Times New Roman" w:hAnsi="Times New Roman"/>
          <w:szCs w:val="24"/>
        </w:rPr>
        <w:t xml:space="preserve"> Ave., Suite 400</w:t>
      </w:r>
    </w:p>
    <w:p w:rsidR="002B7029" w:rsidRPr="00CE13A6" w:rsidRDefault="00F00C80" w:rsidP="002B7029">
      <w:pPr>
        <w:ind w:left="3600" w:firstLine="720"/>
        <w:jc w:val="both"/>
        <w:rPr>
          <w:rFonts w:ascii="Times New Roman" w:hAnsi="Times New Roman"/>
          <w:szCs w:val="24"/>
        </w:rPr>
      </w:pPr>
      <w:r w:rsidRPr="00F00C80">
        <w:rPr>
          <w:rFonts w:ascii="Times New Roman" w:hAnsi="Times New Roman"/>
          <w:szCs w:val="24"/>
        </w:rPr>
        <w:t>Portland, OR 97205</w:t>
      </w:r>
    </w:p>
    <w:p w:rsidR="002B7029" w:rsidRPr="00CE13A6" w:rsidRDefault="00F00C80" w:rsidP="002B7029">
      <w:pPr>
        <w:ind w:left="3600" w:firstLine="720"/>
        <w:jc w:val="both"/>
        <w:rPr>
          <w:rFonts w:ascii="Times New Roman" w:hAnsi="Times New Roman"/>
          <w:szCs w:val="24"/>
        </w:rPr>
      </w:pPr>
      <w:r w:rsidRPr="00F00C80">
        <w:rPr>
          <w:rFonts w:ascii="Times New Roman" w:hAnsi="Times New Roman"/>
          <w:szCs w:val="24"/>
        </w:rPr>
        <w:t>Telephone: (503) 595-3924</w:t>
      </w:r>
    </w:p>
    <w:p w:rsidR="002B7029" w:rsidRPr="00CE13A6" w:rsidRDefault="00F00C80" w:rsidP="002B7029">
      <w:pPr>
        <w:ind w:left="3600" w:firstLine="720"/>
        <w:jc w:val="both"/>
        <w:rPr>
          <w:rFonts w:ascii="Times New Roman" w:hAnsi="Times New Roman"/>
          <w:szCs w:val="24"/>
        </w:rPr>
      </w:pPr>
      <w:r w:rsidRPr="00F00C80">
        <w:rPr>
          <w:rFonts w:ascii="Times New Roman" w:hAnsi="Times New Roman"/>
          <w:szCs w:val="24"/>
        </w:rPr>
        <w:t>Facsimile: (503) 595-3928</w:t>
      </w:r>
    </w:p>
    <w:p w:rsidR="002B7029" w:rsidRPr="00CE13A6" w:rsidRDefault="00F00C80" w:rsidP="002B7029">
      <w:pPr>
        <w:ind w:left="3600" w:firstLine="720"/>
        <w:jc w:val="both"/>
        <w:rPr>
          <w:rFonts w:ascii="Times New Roman" w:hAnsi="Times New Roman"/>
          <w:szCs w:val="24"/>
        </w:rPr>
      </w:pPr>
      <w:r w:rsidRPr="00F00C80">
        <w:rPr>
          <w:rFonts w:ascii="Times New Roman" w:hAnsi="Times New Roman"/>
          <w:szCs w:val="24"/>
        </w:rPr>
        <w:t>Email: katherine@mcd-law.com</w:t>
      </w:r>
    </w:p>
    <w:p w:rsidR="002B7029" w:rsidRPr="00CE13A6" w:rsidRDefault="002B7029" w:rsidP="002B7029">
      <w:pPr>
        <w:ind w:left="3600" w:firstLine="720"/>
        <w:jc w:val="right"/>
        <w:rPr>
          <w:rFonts w:ascii="Times New Roman" w:hAnsi="Times New Roman"/>
          <w:szCs w:val="24"/>
        </w:rPr>
      </w:pPr>
    </w:p>
    <w:p w:rsidR="00CF728A" w:rsidRPr="00CE13A6" w:rsidRDefault="00F00C80" w:rsidP="00CF728A">
      <w:pPr>
        <w:ind w:left="3600" w:firstLine="720"/>
        <w:rPr>
          <w:rFonts w:ascii="Times New Roman" w:hAnsi="Times New Roman"/>
          <w:szCs w:val="24"/>
        </w:rPr>
      </w:pPr>
      <w:r w:rsidRPr="00F00C80">
        <w:rPr>
          <w:rFonts w:ascii="Times New Roman" w:hAnsi="Times New Roman"/>
          <w:szCs w:val="24"/>
        </w:rPr>
        <w:t>Sarah K. Wallace</w:t>
      </w:r>
    </w:p>
    <w:p w:rsidR="00CF728A" w:rsidRPr="00CE13A6" w:rsidRDefault="00F00C80" w:rsidP="00CF728A">
      <w:pPr>
        <w:ind w:left="3600" w:firstLine="720"/>
        <w:rPr>
          <w:rFonts w:ascii="Times New Roman" w:hAnsi="Times New Roman"/>
          <w:szCs w:val="24"/>
        </w:rPr>
      </w:pPr>
      <w:r w:rsidRPr="00F00C80">
        <w:rPr>
          <w:rFonts w:ascii="Times New Roman" w:hAnsi="Times New Roman"/>
          <w:szCs w:val="24"/>
        </w:rPr>
        <w:t>Senior Counsel</w:t>
      </w:r>
    </w:p>
    <w:p w:rsidR="00CF728A" w:rsidRPr="00CE13A6" w:rsidRDefault="00F00C80" w:rsidP="00CF728A">
      <w:pPr>
        <w:ind w:left="3600" w:firstLine="720"/>
        <w:rPr>
          <w:rFonts w:ascii="Times New Roman" w:hAnsi="Times New Roman"/>
          <w:szCs w:val="24"/>
        </w:rPr>
      </w:pPr>
      <w:r w:rsidRPr="00F00C80">
        <w:rPr>
          <w:rFonts w:ascii="Times New Roman" w:hAnsi="Times New Roman"/>
          <w:szCs w:val="24"/>
        </w:rPr>
        <w:t>Pacific Power</w:t>
      </w:r>
    </w:p>
    <w:p w:rsidR="00CF728A" w:rsidRPr="00CE13A6" w:rsidRDefault="00F00C80" w:rsidP="00CF728A">
      <w:pPr>
        <w:ind w:left="4320"/>
        <w:rPr>
          <w:rFonts w:ascii="Times New Roman" w:hAnsi="Times New Roman"/>
          <w:szCs w:val="24"/>
        </w:rPr>
      </w:pPr>
      <w:r w:rsidRPr="00F00C80">
        <w:rPr>
          <w:rFonts w:ascii="Times New Roman" w:hAnsi="Times New Roman"/>
          <w:szCs w:val="24"/>
        </w:rPr>
        <w:t>825 NE Multnomah St. Ste. 1800</w:t>
      </w:r>
      <w:r w:rsidRPr="00F00C80">
        <w:rPr>
          <w:rFonts w:ascii="Times New Roman" w:hAnsi="Times New Roman"/>
          <w:szCs w:val="24"/>
        </w:rPr>
        <w:br/>
        <w:t>Portland, OR 97232</w:t>
      </w:r>
    </w:p>
    <w:p w:rsidR="00CF728A" w:rsidRPr="00CE13A6" w:rsidRDefault="00F00C80" w:rsidP="008E128F">
      <w:pPr>
        <w:spacing w:after="240"/>
        <w:ind w:left="3600" w:firstLine="720"/>
        <w:rPr>
          <w:rFonts w:ascii="Times New Roman" w:hAnsi="Times New Roman"/>
          <w:szCs w:val="24"/>
        </w:rPr>
      </w:pPr>
      <w:r w:rsidRPr="00F00C80">
        <w:rPr>
          <w:rFonts w:ascii="Times New Roman" w:hAnsi="Times New Roman"/>
          <w:szCs w:val="24"/>
        </w:rPr>
        <w:t>Phone: (503) 813-5865</w:t>
      </w:r>
    </w:p>
    <w:p w:rsidR="0000284F" w:rsidRPr="00835892" w:rsidRDefault="00F00C80" w:rsidP="008E128F">
      <w:pPr>
        <w:spacing w:after="240"/>
        <w:ind w:left="3600" w:firstLine="720"/>
        <w:rPr>
          <w:rFonts w:ascii="Times New Roman" w:hAnsi="Times New Roman"/>
          <w:szCs w:val="24"/>
        </w:rPr>
      </w:pPr>
      <w:r w:rsidRPr="00F00C80">
        <w:rPr>
          <w:rFonts w:ascii="Times New Roman" w:hAnsi="Times New Roman"/>
          <w:szCs w:val="24"/>
        </w:rPr>
        <w:t>Attorneys for PacifiCorp</w:t>
      </w:r>
      <w:r w:rsidRPr="00F00C80">
        <w:rPr>
          <w:rFonts w:ascii="Times New Roman" w:hAnsi="Times New Roman"/>
          <w:szCs w:val="24"/>
        </w:rPr>
        <w:tab/>
      </w:r>
    </w:p>
    <w:sectPr w:rsidR="0000284F" w:rsidRPr="00835892" w:rsidSect="006362C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1DC" w:rsidRDefault="003B61DC">
      <w:r>
        <w:separator/>
      </w:r>
    </w:p>
  </w:endnote>
  <w:endnote w:type="continuationSeparator" w:id="0">
    <w:p w:rsidR="003B61DC" w:rsidRDefault="003B61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CE8" w:rsidRDefault="00772377" w:rsidP="003063C5">
    <w:pPr>
      <w:pStyle w:val="Footer"/>
      <w:framePr w:wrap="around" w:vAnchor="text" w:hAnchor="margin" w:xAlign="right" w:y="1"/>
      <w:rPr>
        <w:rStyle w:val="PageNumber"/>
      </w:rPr>
    </w:pPr>
    <w:r>
      <w:rPr>
        <w:rStyle w:val="PageNumber"/>
      </w:rPr>
      <w:fldChar w:fldCharType="begin"/>
    </w:r>
    <w:r w:rsidR="009B5CE8">
      <w:rPr>
        <w:rStyle w:val="PageNumber"/>
      </w:rPr>
      <w:instrText xml:space="preserve">PAGE  </w:instrText>
    </w:r>
    <w:r>
      <w:rPr>
        <w:rStyle w:val="PageNumber"/>
      </w:rPr>
      <w:fldChar w:fldCharType="end"/>
    </w:r>
  </w:p>
  <w:p w:rsidR="009B5CE8" w:rsidRDefault="009B5CE8" w:rsidP="003063C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CE8" w:rsidRDefault="009B5CE8" w:rsidP="003063C5">
    <w:pPr>
      <w:pStyle w:val="Footer"/>
      <w:ind w:right="360"/>
    </w:pPr>
    <w:r>
      <w:t>PacifiCorp’s Motion to Amend Order 06</w:t>
    </w:r>
    <w:r>
      <w:tab/>
    </w:r>
    <w:r>
      <w:tab/>
      <w:t>Docket UE-100749</w:t>
    </w:r>
  </w:p>
  <w:p w:rsidR="009B5CE8" w:rsidRDefault="009B5CE8" w:rsidP="003063C5">
    <w:pPr>
      <w:pStyle w:val="Footer"/>
      <w:ind w:right="360"/>
    </w:pPr>
    <w:r>
      <w:t xml:space="preserve">Page </w:t>
    </w:r>
    <w:r w:rsidR="00772377">
      <w:rPr>
        <w:rStyle w:val="PageNumber"/>
      </w:rPr>
      <w:fldChar w:fldCharType="begin"/>
    </w:r>
    <w:r>
      <w:rPr>
        <w:rStyle w:val="PageNumber"/>
      </w:rPr>
      <w:instrText xml:space="preserve"> PAGE </w:instrText>
    </w:r>
    <w:r w:rsidR="00772377">
      <w:rPr>
        <w:rStyle w:val="PageNumber"/>
      </w:rPr>
      <w:fldChar w:fldCharType="separate"/>
    </w:r>
    <w:r w:rsidR="009668F7">
      <w:rPr>
        <w:rStyle w:val="PageNumber"/>
        <w:noProof/>
      </w:rPr>
      <w:t>1</w:t>
    </w:r>
    <w:r w:rsidR="00772377">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F7" w:rsidRDefault="009668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1DC" w:rsidRDefault="003B61DC">
      <w:r>
        <w:separator/>
      </w:r>
    </w:p>
  </w:footnote>
  <w:footnote w:type="continuationSeparator" w:id="0">
    <w:p w:rsidR="003B61DC" w:rsidRDefault="003B61DC">
      <w:r>
        <w:continuationSeparator/>
      </w:r>
    </w:p>
  </w:footnote>
  <w:footnote w:id="1">
    <w:p w:rsidR="00324E08" w:rsidRDefault="00324E08" w:rsidP="00324E08">
      <w:pPr>
        <w:pStyle w:val="FootnoteText"/>
      </w:pPr>
      <w:r>
        <w:rPr>
          <w:rStyle w:val="FootnoteReference"/>
        </w:rPr>
        <w:footnoteRef/>
      </w:r>
      <w:r>
        <w:t xml:space="preserve"> </w:t>
      </w:r>
      <w:r w:rsidRPr="005E7A57">
        <w:rPr>
          <w:rFonts w:ascii="Times New Roman" w:hAnsi="Times New Roman"/>
          <w:i/>
        </w:rPr>
        <w:t>Wash. Utils. &amp; Transp. Comm’n v. PacifiCorp</w:t>
      </w:r>
      <w:r>
        <w:t xml:space="preserve">, Docket UE-100749, Order 06 </w:t>
      </w:r>
      <w:r>
        <w:rPr>
          <w:rFonts w:cs="Times"/>
        </w:rPr>
        <w:t>¶</w:t>
      </w:r>
      <w:r>
        <w:t xml:space="preserve">205 (March 25, 2011). </w:t>
      </w:r>
    </w:p>
  </w:footnote>
  <w:footnote w:id="2">
    <w:p w:rsidR="007F5313" w:rsidRDefault="007F5313">
      <w:pPr>
        <w:pStyle w:val="FootnoteText"/>
      </w:pPr>
      <w:r>
        <w:rPr>
          <w:rStyle w:val="FootnoteReference"/>
        </w:rPr>
        <w:footnoteRef/>
      </w:r>
      <w:r>
        <w:t xml:space="preserve"> This amount is calculated assuming the existing credit in Schedule 95 remained in effect through November 30, 2012.</w:t>
      </w:r>
    </w:p>
  </w:footnote>
  <w:footnote w:id="3">
    <w:p w:rsidR="00324E08" w:rsidRDefault="00324E08" w:rsidP="00324E08">
      <w:pPr>
        <w:pStyle w:val="FootnoteText"/>
      </w:pPr>
      <w:r>
        <w:rPr>
          <w:rStyle w:val="FootnoteReference"/>
        </w:rPr>
        <w:footnoteRef/>
      </w:r>
      <w:r>
        <w:t xml:space="preserve"> </w:t>
      </w:r>
      <w:r>
        <w:rPr>
          <w:i/>
        </w:rPr>
        <w:t>Wash. Utils. &amp; Transp. Comm’n v. PacifiCorp</w:t>
      </w:r>
      <w:r>
        <w:t xml:space="preserve">, Docket UE-100749, Order 11 </w:t>
      </w:r>
      <w:r>
        <w:rPr>
          <w:rFonts w:cs="Times"/>
        </w:rPr>
        <w:t>¶</w:t>
      </w:r>
      <w:r>
        <w:t>38 (Nov. 30, 2012) (Order 11).</w:t>
      </w:r>
    </w:p>
  </w:footnote>
  <w:footnote w:id="4">
    <w:p w:rsidR="009B5CE8" w:rsidRDefault="009B5CE8" w:rsidP="00360F75">
      <w:pPr>
        <w:pStyle w:val="FootnoteText"/>
      </w:pPr>
      <w:r>
        <w:rPr>
          <w:rStyle w:val="FootnoteReference"/>
        </w:rPr>
        <w:footnoteRef/>
      </w:r>
      <w:r>
        <w:t xml:space="preserve"> Order 06, ¶ 204.</w:t>
      </w:r>
    </w:p>
  </w:footnote>
  <w:footnote w:id="5">
    <w:p w:rsidR="009B5CE8" w:rsidRPr="00040E60" w:rsidRDefault="009B5CE8" w:rsidP="00360F75">
      <w:pPr>
        <w:pStyle w:val="FootnoteText"/>
      </w:pPr>
      <w:r w:rsidRPr="00040E60">
        <w:rPr>
          <w:rStyle w:val="FootnoteReference"/>
        </w:rPr>
        <w:footnoteRef/>
      </w:r>
      <w:r w:rsidRPr="00040E60">
        <w:t xml:space="preserve"> </w:t>
      </w:r>
      <w:r w:rsidRPr="00487E7E">
        <w:rPr>
          <w:i/>
        </w:rPr>
        <w:t xml:space="preserve"> Id</w:t>
      </w:r>
      <w:r>
        <w:t>.</w:t>
      </w:r>
      <w:r w:rsidRPr="00040E60">
        <w:t xml:space="preserve"> ¶ 205.  </w:t>
      </w:r>
    </w:p>
  </w:footnote>
  <w:footnote w:id="6">
    <w:p w:rsidR="009B5CE8" w:rsidRPr="00A37DDF" w:rsidRDefault="009B5CE8" w:rsidP="00360F75">
      <w:pPr>
        <w:pStyle w:val="FootnoteText"/>
        <w:rPr>
          <w:i/>
        </w:rPr>
      </w:pPr>
      <w:r>
        <w:rPr>
          <w:rStyle w:val="FootnoteReference"/>
        </w:rPr>
        <w:footnoteRef/>
      </w:r>
      <w:r>
        <w:t xml:space="preserve"> </w:t>
      </w:r>
      <w:r>
        <w:rPr>
          <w:i/>
        </w:rPr>
        <w:t>See</w:t>
      </w:r>
      <w:r w:rsidRPr="00D627E7">
        <w:rPr>
          <w:i/>
        </w:rPr>
        <w:t xml:space="preserve"> id</w:t>
      </w:r>
      <w:r>
        <w:t xml:space="preserve">. </w:t>
      </w:r>
      <w:r>
        <w:rPr>
          <w:i/>
        </w:rPr>
        <w:t xml:space="preserve">¶ </w:t>
      </w:r>
      <w:r w:rsidRPr="00471D91">
        <w:t>204.</w:t>
      </w:r>
    </w:p>
  </w:footnote>
  <w:footnote w:id="7">
    <w:p w:rsidR="009B5CE8" w:rsidRDefault="009B5CE8" w:rsidP="00360F75">
      <w:pPr>
        <w:pStyle w:val="FootnoteText"/>
      </w:pPr>
      <w:r>
        <w:rPr>
          <w:rStyle w:val="FootnoteReference"/>
        </w:rPr>
        <w:footnoteRef/>
      </w:r>
      <w:r>
        <w:t xml:space="preserve"> The approximate per-month credit has been $0.4 million, which has been credited for the past 18 months under Schedule 95.</w:t>
      </w:r>
    </w:p>
  </w:footnote>
  <w:footnote w:id="8">
    <w:p w:rsidR="009B5CE8" w:rsidRPr="00A37DDF" w:rsidRDefault="009B5CE8" w:rsidP="00360F75">
      <w:pPr>
        <w:pStyle w:val="FootnoteText"/>
      </w:pPr>
      <w:r>
        <w:rPr>
          <w:rStyle w:val="FootnoteReference"/>
        </w:rPr>
        <w:footnoteRef/>
      </w:r>
      <w:r>
        <w:t xml:space="preserve"> </w:t>
      </w:r>
      <w:r>
        <w:rPr>
          <w:i/>
        </w:rPr>
        <w:t xml:space="preserve">Id. </w:t>
      </w:r>
      <w:r>
        <w:t>¶ 207.</w:t>
      </w:r>
    </w:p>
  </w:footnote>
  <w:footnote w:id="9">
    <w:p w:rsidR="009B5CE8" w:rsidRPr="00835892" w:rsidRDefault="00F00C80" w:rsidP="00360F75">
      <w:pPr>
        <w:pStyle w:val="FootnoteText"/>
        <w:rPr>
          <w:rFonts w:ascii="Times New Roman" w:hAnsi="Times New Roman"/>
        </w:rPr>
      </w:pPr>
      <w:r w:rsidRPr="00F00C80">
        <w:rPr>
          <w:rStyle w:val="FootnoteReference"/>
          <w:rFonts w:ascii="Times New Roman" w:hAnsi="Times New Roman"/>
        </w:rPr>
        <w:footnoteRef/>
      </w:r>
      <w:r w:rsidRPr="00F00C80">
        <w:rPr>
          <w:rFonts w:ascii="Times New Roman" w:hAnsi="Times New Roman"/>
        </w:rPr>
        <w:t xml:space="preserve"> </w:t>
      </w:r>
      <w:r w:rsidRPr="00F00C80">
        <w:rPr>
          <w:rFonts w:ascii="Times New Roman" w:hAnsi="Times New Roman"/>
          <w:i/>
        </w:rPr>
        <w:t>Wash. Utils. &amp; Transp. Comm’n v. PacifiCorp</w:t>
      </w:r>
      <w:r w:rsidRPr="00F00C80">
        <w:rPr>
          <w:rFonts w:ascii="Times New Roman" w:hAnsi="Times New Roman"/>
        </w:rPr>
        <w:t>, Docket UE-100749, Order 10 ¶ 74 (August 23, 2012).</w:t>
      </w:r>
    </w:p>
  </w:footnote>
  <w:footnote w:id="10">
    <w:p w:rsidR="009B5CE8" w:rsidRPr="00835892" w:rsidRDefault="00F00C80" w:rsidP="00360F75">
      <w:pPr>
        <w:pStyle w:val="FootnoteText"/>
        <w:rPr>
          <w:rFonts w:ascii="Times New Roman" w:hAnsi="Times New Roman"/>
        </w:rPr>
      </w:pPr>
      <w:r w:rsidRPr="00F00C80">
        <w:rPr>
          <w:rStyle w:val="FootnoteReference"/>
          <w:rFonts w:ascii="Times New Roman" w:hAnsi="Times New Roman"/>
        </w:rPr>
        <w:footnoteRef/>
      </w:r>
      <w:r w:rsidRPr="00F00C80">
        <w:rPr>
          <w:rFonts w:ascii="Times New Roman" w:hAnsi="Times New Roman"/>
        </w:rPr>
        <w:t xml:space="preserve"> Order 10 ¶ 75.</w:t>
      </w:r>
    </w:p>
  </w:footnote>
  <w:footnote w:id="11">
    <w:p w:rsidR="009B5CE8" w:rsidRPr="00835892" w:rsidRDefault="00F00C80" w:rsidP="00360F75">
      <w:pPr>
        <w:pStyle w:val="FootnoteText"/>
        <w:rPr>
          <w:rFonts w:ascii="Times New Roman" w:hAnsi="Times New Roman"/>
        </w:rPr>
      </w:pPr>
      <w:r w:rsidRPr="00F00C80">
        <w:rPr>
          <w:rStyle w:val="FootnoteReference"/>
          <w:rFonts w:ascii="Times New Roman" w:hAnsi="Times New Roman"/>
        </w:rPr>
        <w:footnoteRef/>
      </w:r>
      <w:r w:rsidRPr="00F00C80">
        <w:rPr>
          <w:rFonts w:ascii="Times New Roman" w:hAnsi="Times New Roman"/>
        </w:rPr>
        <w:t xml:space="preserve"> </w:t>
      </w:r>
      <w:r w:rsidRPr="00F00C80">
        <w:rPr>
          <w:rFonts w:ascii="Times New Roman" w:hAnsi="Times New Roman"/>
          <w:i/>
        </w:rPr>
        <w:t>Wash. Utils. &amp; Transp. Comm’n v. PacifiCorp</w:t>
      </w:r>
      <w:r w:rsidRPr="00F00C80">
        <w:rPr>
          <w:rFonts w:ascii="Times New Roman" w:hAnsi="Times New Roman"/>
        </w:rPr>
        <w:t>, Docket UE-100749, Petition for Stay ¶ 5 (Sept. 4, 2012).</w:t>
      </w:r>
    </w:p>
  </w:footnote>
  <w:footnote w:id="12">
    <w:p w:rsidR="009B5CE8" w:rsidRPr="00835892" w:rsidRDefault="00F00C80" w:rsidP="00360F75">
      <w:pPr>
        <w:pStyle w:val="FootnoteText"/>
        <w:rPr>
          <w:rFonts w:ascii="Times New Roman" w:hAnsi="Times New Roman"/>
        </w:rPr>
      </w:pPr>
      <w:r w:rsidRPr="00F00C80">
        <w:rPr>
          <w:rStyle w:val="FootnoteReference"/>
          <w:rFonts w:ascii="Times New Roman" w:hAnsi="Times New Roman"/>
        </w:rPr>
        <w:footnoteRef/>
      </w:r>
      <w:r w:rsidRPr="00F00C80">
        <w:rPr>
          <w:rFonts w:ascii="Times New Roman" w:hAnsi="Times New Roman"/>
        </w:rPr>
        <w:t xml:space="preserve"> </w:t>
      </w:r>
      <w:r w:rsidRPr="00F00C80">
        <w:rPr>
          <w:rFonts w:ascii="Times New Roman" w:hAnsi="Times New Roman"/>
          <w:i/>
        </w:rPr>
        <w:t>Wash. Utils. &amp; Transp. Comm’n v. PacifiCorp</w:t>
      </w:r>
      <w:r w:rsidRPr="00F00C80">
        <w:rPr>
          <w:rFonts w:ascii="Times New Roman" w:hAnsi="Times New Roman"/>
        </w:rPr>
        <w:t>, Docket UE-100749, Notice Temporarily Suspending Compliance Deadlines (Sept. 17, 2012).</w:t>
      </w:r>
    </w:p>
  </w:footnote>
  <w:footnote w:id="13">
    <w:p w:rsidR="009B5CE8" w:rsidRPr="00835892" w:rsidRDefault="00F00C80" w:rsidP="00360F75">
      <w:pPr>
        <w:pStyle w:val="FootnoteText"/>
        <w:rPr>
          <w:rFonts w:ascii="Times New Roman" w:hAnsi="Times New Roman"/>
        </w:rPr>
      </w:pPr>
      <w:r w:rsidRPr="00F00C80">
        <w:rPr>
          <w:rStyle w:val="FootnoteReference"/>
          <w:rFonts w:ascii="Times New Roman" w:hAnsi="Times New Roman"/>
        </w:rPr>
        <w:footnoteRef/>
      </w:r>
      <w:r w:rsidRPr="00F00C80">
        <w:rPr>
          <w:rFonts w:ascii="Times New Roman" w:hAnsi="Times New Roman"/>
        </w:rPr>
        <w:t xml:space="preserve"> </w:t>
      </w:r>
      <w:r w:rsidRPr="00F00C80">
        <w:rPr>
          <w:rFonts w:ascii="Times New Roman" w:hAnsi="Times New Roman"/>
          <w:i/>
        </w:rPr>
        <w:t>Wash. Utils. &amp; Transp. Comm’n v. PacifiCorp</w:t>
      </w:r>
      <w:r w:rsidRPr="00F00C80">
        <w:rPr>
          <w:rFonts w:ascii="Times New Roman" w:hAnsi="Times New Roman"/>
        </w:rPr>
        <w:t>, Docket UE-100749, PacifiCorp’s Reply to Answers to Petition for Reconsideration, Petition for Stay, and Motion to Reopen Record ¶ 29 (Oct. 10, 2012).</w:t>
      </w:r>
    </w:p>
  </w:footnote>
  <w:footnote w:id="14">
    <w:p w:rsidR="009B5CE8" w:rsidRPr="00AF410A" w:rsidRDefault="00F00C80" w:rsidP="00360F75">
      <w:pPr>
        <w:pStyle w:val="FootnoteText"/>
        <w:rPr>
          <w:i/>
        </w:rPr>
      </w:pPr>
      <w:r w:rsidRPr="00F00C80">
        <w:rPr>
          <w:rStyle w:val="FootnoteReference"/>
          <w:rFonts w:ascii="Times New Roman" w:hAnsi="Times New Roman"/>
        </w:rPr>
        <w:footnoteRef/>
      </w:r>
      <w:r w:rsidRPr="00F00C80">
        <w:rPr>
          <w:rFonts w:ascii="Times New Roman" w:hAnsi="Times New Roman"/>
        </w:rPr>
        <w:t xml:space="preserve"> </w:t>
      </w:r>
      <w:r w:rsidRPr="00F00C80">
        <w:rPr>
          <w:rFonts w:ascii="Times New Roman" w:hAnsi="Times New Roman"/>
          <w:i/>
        </w:rPr>
        <w:t>Id.</w:t>
      </w:r>
    </w:p>
  </w:footnote>
  <w:footnote w:id="15">
    <w:p w:rsidR="009B5CE8" w:rsidRDefault="009B5CE8" w:rsidP="00360F75">
      <w:pPr>
        <w:pStyle w:val="FootnoteText"/>
      </w:pPr>
      <w:r>
        <w:rPr>
          <w:rStyle w:val="FootnoteReference"/>
        </w:rPr>
        <w:footnoteRef/>
      </w:r>
      <w:r>
        <w:t xml:space="preserve"> </w:t>
      </w:r>
      <w:r>
        <w:rPr>
          <w:i/>
        </w:rPr>
        <w:t>Wash. Utils. &amp; Transp. Comm’n v. PacifiCorp</w:t>
      </w:r>
      <w:r>
        <w:t>, Docket UE-100749, Compliance Filing and Advice 12-07 (Oct. 31, 2012).</w:t>
      </w:r>
    </w:p>
  </w:footnote>
  <w:footnote w:id="16">
    <w:p w:rsidR="009B5CE8" w:rsidRPr="00AF410A" w:rsidRDefault="009B5CE8" w:rsidP="00360F75">
      <w:pPr>
        <w:pStyle w:val="FootnoteText"/>
      </w:pPr>
      <w:r>
        <w:rPr>
          <w:rStyle w:val="FootnoteReference"/>
        </w:rPr>
        <w:footnoteRef/>
      </w:r>
      <w:r>
        <w:t xml:space="preserve"> </w:t>
      </w:r>
      <w:r>
        <w:rPr>
          <w:i/>
        </w:rPr>
        <w:t xml:space="preserve">Id. </w:t>
      </w:r>
      <w:r>
        <w:t>at 4.</w:t>
      </w:r>
    </w:p>
  </w:footnote>
  <w:footnote w:id="17">
    <w:p w:rsidR="009B5CE8" w:rsidRPr="00FE1072" w:rsidRDefault="009B5CE8" w:rsidP="00360F75">
      <w:pPr>
        <w:pStyle w:val="FootnoteText"/>
        <w:rPr>
          <w:i/>
        </w:rPr>
      </w:pPr>
      <w:r>
        <w:rPr>
          <w:rStyle w:val="FootnoteReference"/>
        </w:rPr>
        <w:footnoteRef/>
      </w:r>
      <w:r>
        <w:t xml:space="preserve"> </w:t>
      </w:r>
      <w:r>
        <w:rPr>
          <w:i/>
        </w:rPr>
        <w:t>Id.</w:t>
      </w:r>
    </w:p>
  </w:footnote>
  <w:footnote w:id="18">
    <w:p w:rsidR="009B5CE8" w:rsidRPr="00781765" w:rsidRDefault="009B5CE8" w:rsidP="00360F75">
      <w:pPr>
        <w:pStyle w:val="FootnoteText"/>
        <w:rPr>
          <w:i/>
        </w:rPr>
      </w:pPr>
      <w:r>
        <w:rPr>
          <w:rStyle w:val="FootnoteReference"/>
        </w:rPr>
        <w:footnoteRef/>
      </w:r>
      <w:r>
        <w:t xml:space="preserve"> </w:t>
      </w:r>
      <w:r>
        <w:rPr>
          <w:i/>
        </w:rPr>
        <w:t>Id.</w:t>
      </w:r>
    </w:p>
  </w:footnote>
  <w:footnote w:id="19">
    <w:p w:rsidR="009B5CE8" w:rsidRDefault="009B5CE8" w:rsidP="00360F75">
      <w:pPr>
        <w:pStyle w:val="FootnoteText"/>
      </w:pPr>
      <w:r>
        <w:rPr>
          <w:rStyle w:val="FootnoteReference"/>
        </w:rPr>
        <w:footnoteRef/>
      </w:r>
      <w:r>
        <w:t xml:space="preserve"> </w:t>
      </w:r>
      <w:r>
        <w:rPr>
          <w:i/>
        </w:rPr>
        <w:t>Wash. Utils. &amp; Transp. Comm’n v. PacifiCorp</w:t>
      </w:r>
      <w:r>
        <w:t xml:space="preserve">, Docket UE-100749, </w:t>
      </w:r>
      <w:r w:rsidRPr="00910D09">
        <w:t>Notice Clarifying Temporary Suspension of Compliance with Order 10</w:t>
      </w:r>
      <w:r>
        <w:t xml:space="preserve"> (Nov. 16, 2012).</w:t>
      </w:r>
    </w:p>
  </w:footnote>
  <w:footnote w:id="20">
    <w:p w:rsidR="009B5CE8" w:rsidRPr="008302D5" w:rsidRDefault="009B5CE8" w:rsidP="00360F75">
      <w:pPr>
        <w:pStyle w:val="FootnoteText"/>
        <w:rPr>
          <w:i/>
        </w:rPr>
      </w:pPr>
      <w:r>
        <w:rPr>
          <w:rStyle w:val="FootnoteReference"/>
        </w:rPr>
        <w:footnoteRef/>
      </w:r>
      <w:r>
        <w:t xml:space="preserve"> </w:t>
      </w:r>
      <w:r>
        <w:rPr>
          <w:i/>
        </w:rPr>
        <w:t>Id.</w:t>
      </w:r>
    </w:p>
  </w:footnote>
  <w:footnote w:id="21">
    <w:p w:rsidR="009B5CE8" w:rsidRPr="00B72820" w:rsidRDefault="009B5CE8" w:rsidP="00360F75">
      <w:pPr>
        <w:pStyle w:val="FootnoteText"/>
        <w:rPr>
          <w:i/>
        </w:rPr>
      </w:pPr>
      <w:r>
        <w:rPr>
          <w:rStyle w:val="FootnoteReference"/>
        </w:rPr>
        <w:footnoteRef/>
      </w:r>
      <w:r>
        <w:t xml:space="preserve"> </w:t>
      </w:r>
      <w:r>
        <w:rPr>
          <w:i/>
        </w:rPr>
        <w:t>Id.</w:t>
      </w:r>
    </w:p>
  </w:footnote>
  <w:footnote w:id="22">
    <w:p w:rsidR="00324E08" w:rsidRDefault="00324E08" w:rsidP="00324E08">
      <w:pPr>
        <w:pStyle w:val="FootnoteText"/>
      </w:pPr>
      <w:r>
        <w:rPr>
          <w:rStyle w:val="FootnoteReference"/>
        </w:rPr>
        <w:footnoteRef/>
      </w:r>
      <w:r>
        <w:t xml:space="preserve"> </w:t>
      </w:r>
      <w:r w:rsidR="008531C9">
        <w:t>T</w:t>
      </w:r>
      <w:r w:rsidRPr="00C21F7F">
        <w:t>he Commission’s REC tracking mechanism adopted in Order 06 allow</w:t>
      </w:r>
      <w:r>
        <w:t>ed</w:t>
      </w:r>
      <w:r w:rsidRPr="00C21F7F">
        <w:t xml:space="preserve"> for a true-up of REC revenue credits paid to actual REC revenue credits owed.  Through operation of this balancing account, PacifiCorp expects that it will be permitted to recover REC revenues over-credited to customers.  </w:t>
      </w:r>
      <w:r>
        <w:t>T</w:t>
      </w:r>
      <w:r w:rsidRPr="00C21F7F">
        <w:t xml:space="preserve">he Commission has </w:t>
      </w:r>
      <w:r>
        <w:t xml:space="preserve">not, however, </w:t>
      </w:r>
      <w:r w:rsidRPr="00C21F7F">
        <w:t>confirmed that the current REC tracking mechanism will operate to allow PacifiCorp to recover over-credited REC revenues, and retroactive ratemaking principles could bar recovery.  To address these risks, PacifiCorp</w:t>
      </w:r>
      <w:r>
        <w:t>’s petition for an accounting order sought:</w:t>
      </w:r>
      <w:r w:rsidRPr="00C21F7F">
        <w:t xml:space="preserve">  (1) confirmation that the balancing account feature of the current REC tracking mechanism will operate symmetrically to protect customers from under-crediting of REC revenues and protect the Company from over-cre</w:t>
      </w:r>
      <w:r w:rsidR="007F5313">
        <w:t>diting of REC revenues; and (2) </w:t>
      </w:r>
      <w:r w:rsidRPr="00C21F7F">
        <w:t xml:space="preserve">approval of deferred accounting to ensure that the Commission will have the authority to order surcharges to customers for REC revenue rate credits previously ordered if the Commission ultimately determines that PacifiCorp has credited customers for REC revenues in excess of those owed to customers. </w:t>
      </w:r>
    </w:p>
  </w:footnote>
  <w:footnote w:id="23">
    <w:p w:rsidR="009B5CE8" w:rsidRDefault="009B5CE8">
      <w:pPr>
        <w:pStyle w:val="FootnoteText"/>
      </w:pPr>
      <w:r>
        <w:rPr>
          <w:rStyle w:val="FootnoteReference"/>
        </w:rPr>
        <w:footnoteRef/>
      </w:r>
      <w:r>
        <w:t xml:space="preserve"> Order 11 </w:t>
      </w:r>
      <w:r w:rsidR="007F5313">
        <w:t>¶¶ 39-40</w:t>
      </w:r>
      <w:r>
        <w:t>.</w:t>
      </w:r>
    </w:p>
  </w:footnote>
  <w:footnote w:id="24">
    <w:p w:rsidR="009B5CE8" w:rsidRPr="009A44E1" w:rsidRDefault="009B5CE8">
      <w:pPr>
        <w:pStyle w:val="FootnoteText"/>
      </w:pPr>
      <w:r>
        <w:rPr>
          <w:rStyle w:val="FootnoteReference"/>
        </w:rPr>
        <w:footnoteRef/>
      </w:r>
      <w:r>
        <w:t xml:space="preserve"> </w:t>
      </w:r>
      <w:r>
        <w:rPr>
          <w:i/>
        </w:rPr>
        <w:t>Id.</w:t>
      </w:r>
      <w:r>
        <w:t xml:space="preserve"> ¶ 38.</w:t>
      </w:r>
    </w:p>
  </w:footnote>
  <w:footnote w:id="25">
    <w:p w:rsidR="009B5CE8" w:rsidRPr="009B4945" w:rsidRDefault="009B5CE8">
      <w:pPr>
        <w:pStyle w:val="FootnoteText"/>
        <w:rPr>
          <w:i/>
        </w:rPr>
      </w:pPr>
      <w:r>
        <w:rPr>
          <w:rStyle w:val="FootnoteReference"/>
        </w:rPr>
        <w:footnoteRef/>
      </w:r>
      <w:r>
        <w:t xml:space="preserve"> </w:t>
      </w:r>
      <w:r>
        <w:rPr>
          <w:i/>
        </w:rPr>
        <w:t>Id.</w:t>
      </w:r>
    </w:p>
  </w:footnote>
  <w:footnote w:id="26">
    <w:p w:rsidR="009B5CE8" w:rsidRDefault="009B5CE8">
      <w:pPr>
        <w:pStyle w:val="FootnoteText"/>
      </w:pPr>
      <w:r>
        <w:rPr>
          <w:rStyle w:val="FootnoteReference"/>
        </w:rPr>
        <w:footnoteRef/>
      </w:r>
      <w:r>
        <w:t xml:space="preserve"> Advice 12-09 (Dec. 4, 2012).</w:t>
      </w:r>
    </w:p>
  </w:footnote>
  <w:footnote w:id="27">
    <w:p w:rsidR="009B5CE8" w:rsidRPr="00B01603" w:rsidRDefault="009B5CE8">
      <w:pPr>
        <w:pStyle w:val="FootnoteText"/>
        <w:rPr>
          <w:i/>
        </w:rPr>
      </w:pPr>
      <w:r>
        <w:rPr>
          <w:rStyle w:val="FootnoteReference"/>
        </w:rPr>
        <w:footnoteRef/>
      </w:r>
      <w:r>
        <w:t xml:space="preserve"> </w:t>
      </w:r>
      <w:r>
        <w:rPr>
          <w:i/>
        </w:rPr>
        <w:t>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F7" w:rsidRDefault="009668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F7" w:rsidRDefault="009668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F7" w:rsidRDefault="009668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A332C"/>
    <w:multiLevelType w:val="hybridMultilevel"/>
    <w:tmpl w:val="99D87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CDD26B6"/>
    <w:multiLevelType w:val="hybridMultilevel"/>
    <w:tmpl w:val="4672062C"/>
    <w:lvl w:ilvl="0" w:tplc="3CF02E10">
      <w:start w:val="1"/>
      <w:numFmt w:val="decimal"/>
      <w:lvlText w:val="%1."/>
      <w:lvlJc w:val="left"/>
      <w:pPr>
        <w:ind w:left="0" w:hanging="360"/>
      </w:pPr>
      <w:rPr>
        <w:b w:val="0"/>
        <w:i/>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54B72950"/>
    <w:multiLevelType w:val="multilevel"/>
    <w:tmpl w:val="0318ED56"/>
    <w:numStyleLink w:val="Style1"/>
  </w:abstractNum>
  <w:abstractNum w:abstractNumId="3">
    <w:nsid w:val="6A366301"/>
    <w:multiLevelType w:val="multilevel"/>
    <w:tmpl w:val="0318ED56"/>
    <w:styleLink w:val="Style1"/>
    <w:lvl w:ilvl="0">
      <w:start w:val="1"/>
      <w:numFmt w:val="decimal"/>
      <w:lvlText w:val="%1."/>
      <w:lvlJc w:val="left"/>
      <w:pPr>
        <w:tabs>
          <w:tab w:val="num" w:pos="1440"/>
        </w:tabs>
        <w:ind w:left="1440" w:hanging="1440"/>
      </w:pPr>
      <w:rPr>
        <w:rFonts w:ascii="Times New Roman" w:hAnsi="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4">
    <w:nsid w:val="776A6DD5"/>
    <w:multiLevelType w:val="multilevel"/>
    <w:tmpl w:val="33E2D7A8"/>
    <w:lvl w:ilvl="0">
      <w:start w:val="1"/>
      <w:numFmt w:val="decimal"/>
      <w:lvlText w:val="%1."/>
      <w:lvlJc w:val="left"/>
      <w:pPr>
        <w:tabs>
          <w:tab w:val="num" w:pos="4320"/>
        </w:tabs>
        <w:ind w:left="3600" w:hanging="720"/>
      </w:pPr>
      <w:rPr>
        <w:rFonts w:ascii="Times New Roman" w:hAnsi="Times New Roman" w:hint="default"/>
        <w:b w:val="0"/>
        <w:i/>
        <w:caps w:val="0"/>
        <w:strike w:val="0"/>
        <w:dstrike w:val="0"/>
        <w:vanish w:val="0"/>
        <w:color w:val="auto"/>
        <w:sz w:val="24"/>
        <w:vertAlign w:val="baseline"/>
      </w:rPr>
    </w:lvl>
    <w:lvl w:ilvl="1">
      <w:start w:val="1"/>
      <w:numFmt w:val="decimal"/>
      <w:lvlText w:val="%2."/>
      <w:lvlJc w:val="left"/>
      <w:pPr>
        <w:ind w:left="7920" w:hanging="720"/>
      </w:pPr>
      <w:rPr>
        <w:rFonts w:hint="default"/>
      </w:rPr>
    </w:lvl>
    <w:lvl w:ilvl="2">
      <w:start w:val="1"/>
      <w:numFmt w:val="decimal"/>
      <w:lvlText w:val="%3."/>
      <w:lvlJc w:val="left"/>
      <w:pPr>
        <w:tabs>
          <w:tab w:val="num" w:pos="7920"/>
        </w:tabs>
        <w:ind w:left="8640" w:hanging="720"/>
      </w:pPr>
      <w:rPr>
        <w:rFonts w:hint="default"/>
      </w:rPr>
    </w:lvl>
    <w:lvl w:ilvl="3">
      <w:start w:val="1"/>
      <w:numFmt w:val="lowerLetter"/>
      <w:lvlText w:val="%4."/>
      <w:lvlJc w:val="left"/>
      <w:pPr>
        <w:tabs>
          <w:tab w:val="num" w:pos="8640"/>
        </w:tabs>
        <w:ind w:left="9360" w:hanging="720"/>
      </w:pPr>
      <w:rPr>
        <w:rFonts w:hint="default"/>
      </w:rPr>
    </w:lvl>
    <w:lvl w:ilvl="4">
      <w:start w:val="1"/>
      <w:numFmt w:val="lowerRoman"/>
      <w:lvlText w:val="%5."/>
      <w:lvlJc w:val="left"/>
      <w:pPr>
        <w:ind w:left="10080" w:hanging="720"/>
      </w:pPr>
      <w:rPr>
        <w:rFonts w:hint="default"/>
      </w:rPr>
    </w:lvl>
    <w:lvl w:ilvl="5">
      <w:start w:val="1"/>
      <w:numFmt w:val="lowerRoman"/>
      <w:lvlText w:val="(%6)"/>
      <w:lvlJc w:val="left"/>
      <w:pPr>
        <w:ind w:left="8640" w:hanging="360"/>
      </w:pPr>
      <w:rPr>
        <w:rFonts w:hint="default"/>
      </w:rPr>
    </w:lvl>
    <w:lvl w:ilvl="6">
      <w:start w:val="1"/>
      <w:numFmt w:val="decimal"/>
      <w:lvlText w:val="%7."/>
      <w:lvlJc w:val="left"/>
      <w:pPr>
        <w:ind w:left="9000" w:hanging="360"/>
      </w:pPr>
      <w:rPr>
        <w:rFonts w:hint="default"/>
      </w:rPr>
    </w:lvl>
    <w:lvl w:ilvl="7">
      <w:start w:val="1"/>
      <w:numFmt w:val="lowerLetter"/>
      <w:lvlText w:val="%8."/>
      <w:lvlJc w:val="left"/>
      <w:pPr>
        <w:ind w:left="9360" w:hanging="360"/>
      </w:pPr>
      <w:rPr>
        <w:rFonts w:hint="default"/>
      </w:rPr>
    </w:lvl>
    <w:lvl w:ilvl="8">
      <w:start w:val="1"/>
      <w:numFmt w:val="lowerRoman"/>
      <w:lvlText w:val="%9."/>
      <w:lvlJc w:val="left"/>
      <w:pPr>
        <w:ind w:left="9720" w:hanging="360"/>
      </w:pPr>
      <w:rPr>
        <w:rFonts w:hint="default"/>
      </w:rPr>
    </w:lvl>
  </w:abstractNum>
  <w:num w:numId="1">
    <w:abstractNumId w:val="4"/>
  </w:num>
  <w:num w:numId="2">
    <w:abstractNumId w:val="0"/>
  </w:num>
  <w:num w:numId="3">
    <w:abstractNumId w:val="4"/>
  </w:num>
  <w:num w:numId="4">
    <w:abstractNumId w:val="3"/>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rsids>
    <w:rsidRoot w:val="007E4C49"/>
    <w:rsid w:val="00000BA6"/>
    <w:rsid w:val="0000284F"/>
    <w:rsid w:val="00003D0E"/>
    <w:rsid w:val="000074A3"/>
    <w:rsid w:val="00012F3E"/>
    <w:rsid w:val="000133A1"/>
    <w:rsid w:val="00026B34"/>
    <w:rsid w:val="00027145"/>
    <w:rsid w:val="00031690"/>
    <w:rsid w:val="00033410"/>
    <w:rsid w:val="00035A95"/>
    <w:rsid w:val="00041984"/>
    <w:rsid w:val="000431D0"/>
    <w:rsid w:val="000507D2"/>
    <w:rsid w:val="00061832"/>
    <w:rsid w:val="00064F55"/>
    <w:rsid w:val="00071DD4"/>
    <w:rsid w:val="00073DC2"/>
    <w:rsid w:val="0007423B"/>
    <w:rsid w:val="0008365E"/>
    <w:rsid w:val="000854CD"/>
    <w:rsid w:val="00085F54"/>
    <w:rsid w:val="00090C37"/>
    <w:rsid w:val="00096BA5"/>
    <w:rsid w:val="000A690D"/>
    <w:rsid w:val="000C0323"/>
    <w:rsid w:val="000C7749"/>
    <w:rsid w:val="000C7896"/>
    <w:rsid w:val="000D01C0"/>
    <w:rsid w:val="000D06D9"/>
    <w:rsid w:val="000D0E1A"/>
    <w:rsid w:val="000D291F"/>
    <w:rsid w:val="000D4A21"/>
    <w:rsid w:val="000E398B"/>
    <w:rsid w:val="000F19BF"/>
    <w:rsid w:val="000F7C94"/>
    <w:rsid w:val="0010019E"/>
    <w:rsid w:val="001006B9"/>
    <w:rsid w:val="00100B0F"/>
    <w:rsid w:val="0010625F"/>
    <w:rsid w:val="00107EDE"/>
    <w:rsid w:val="00120E91"/>
    <w:rsid w:val="001332B6"/>
    <w:rsid w:val="001337CD"/>
    <w:rsid w:val="00137FCE"/>
    <w:rsid w:val="001641A1"/>
    <w:rsid w:val="00177518"/>
    <w:rsid w:val="001907F5"/>
    <w:rsid w:val="00190AF5"/>
    <w:rsid w:val="00195AC2"/>
    <w:rsid w:val="001B142A"/>
    <w:rsid w:val="001B19BF"/>
    <w:rsid w:val="001B3631"/>
    <w:rsid w:val="001C468B"/>
    <w:rsid w:val="001C603D"/>
    <w:rsid w:val="001D1493"/>
    <w:rsid w:val="001D469A"/>
    <w:rsid w:val="001D6EFD"/>
    <w:rsid w:val="001E1EDB"/>
    <w:rsid w:val="001E5C7F"/>
    <w:rsid w:val="00211355"/>
    <w:rsid w:val="002121FC"/>
    <w:rsid w:val="00212931"/>
    <w:rsid w:val="00221F8A"/>
    <w:rsid w:val="002228E6"/>
    <w:rsid w:val="00222CD2"/>
    <w:rsid w:val="002250C1"/>
    <w:rsid w:val="00243785"/>
    <w:rsid w:val="002525E2"/>
    <w:rsid w:val="00252E0B"/>
    <w:rsid w:val="00257BD6"/>
    <w:rsid w:val="00257F1D"/>
    <w:rsid w:val="00263FCE"/>
    <w:rsid w:val="00264358"/>
    <w:rsid w:val="00273DAC"/>
    <w:rsid w:val="00273E66"/>
    <w:rsid w:val="00276123"/>
    <w:rsid w:val="00284D4C"/>
    <w:rsid w:val="00290241"/>
    <w:rsid w:val="00290BF9"/>
    <w:rsid w:val="00295408"/>
    <w:rsid w:val="00295F0C"/>
    <w:rsid w:val="00296111"/>
    <w:rsid w:val="00296C7C"/>
    <w:rsid w:val="002A31BD"/>
    <w:rsid w:val="002A5FED"/>
    <w:rsid w:val="002A6AE0"/>
    <w:rsid w:val="002B4594"/>
    <w:rsid w:val="002B6F1E"/>
    <w:rsid w:val="002B7029"/>
    <w:rsid w:val="002D0CBA"/>
    <w:rsid w:val="002D1370"/>
    <w:rsid w:val="002D17B3"/>
    <w:rsid w:val="002D64A4"/>
    <w:rsid w:val="002E0F0F"/>
    <w:rsid w:val="002E5D24"/>
    <w:rsid w:val="002F19EF"/>
    <w:rsid w:val="002F1D0C"/>
    <w:rsid w:val="002F5186"/>
    <w:rsid w:val="00300863"/>
    <w:rsid w:val="00301FE0"/>
    <w:rsid w:val="00303407"/>
    <w:rsid w:val="003063C5"/>
    <w:rsid w:val="003129BD"/>
    <w:rsid w:val="003141A9"/>
    <w:rsid w:val="00323DA9"/>
    <w:rsid w:val="00324E08"/>
    <w:rsid w:val="00331547"/>
    <w:rsid w:val="003338E9"/>
    <w:rsid w:val="0033457E"/>
    <w:rsid w:val="00334C0C"/>
    <w:rsid w:val="003402D3"/>
    <w:rsid w:val="00342E0C"/>
    <w:rsid w:val="003438AC"/>
    <w:rsid w:val="00346FF3"/>
    <w:rsid w:val="00350DD9"/>
    <w:rsid w:val="00360F75"/>
    <w:rsid w:val="00363EA9"/>
    <w:rsid w:val="0036473F"/>
    <w:rsid w:val="00365657"/>
    <w:rsid w:val="003854F6"/>
    <w:rsid w:val="003868C0"/>
    <w:rsid w:val="00386E86"/>
    <w:rsid w:val="00392F3F"/>
    <w:rsid w:val="003A57E7"/>
    <w:rsid w:val="003A6538"/>
    <w:rsid w:val="003A6771"/>
    <w:rsid w:val="003B43E7"/>
    <w:rsid w:val="003B61DC"/>
    <w:rsid w:val="003B7661"/>
    <w:rsid w:val="003C349C"/>
    <w:rsid w:val="003C4960"/>
    <w:rsid w:val="003C4E4E"/>
    <w:rsid w:val="003D3DCC"/>
    <w:rsid w:val="003E668E"/>
    <w:rsid w:val="003F51A8"/>
    <w:rsid w:val="003F6FD4"/>
    <w:rsid w:val="00413F45"/>
    <w:rsid w:val="00417A81"/>
    <w:rsid w:val="00420B3D"/>
    <w:rsid w:val="0042747B"/>
    <w:rsid w:val="004279C6"/>
    <w:rsid w:val="00432605"/>
    <w:rsid w:val="00436117"/>
    <w:rsid w:val="00436EE1"/>
    <w:rsid w:val="00442AEF"/>
    <w:rsid w:val="00445059"/>
    <w:rsid w:val="00446E91"/>
    <w:rsid w:val="004501A2"/>
    <w:rsid w:val="00452667"/>
    <w:rsid w:val="00455902"/>
    <w:rsid w:val="00463EEA"/>
    <w:rsid w:val="00465E5E"/>
    <w:rsid w:val="00470A25"/>
    <w:rsid w:val="00472FF3"/>
    <w:rsid w:val="00473E69"/>
    <w:rsid w:val="0047496D"/>
    <w:rsid w:val="00476590"/>
    <w:rsid w:val="004846E6"/>
    <w:rsid w:val="004871D1"/>
    <w:rsid w:val="00490CB5"/>
    <w:rsid w:val="004957C0"/>
    <w:rsid w:val="00497D49"/>
    <w:rsid w:val="00497F5E"/>
    <w:rsid w:val="004A72B4"/>
    <w:rsid w:val="004B0A0F"/>
    <w:rsid w:val="004C2917"/>
    <w:rsid w:val="004C4E0F"/>
    <w:rsid w:val="004D3FCA"/>
    <w:rsid w:val="004D5F5B"/>
    <w:rsid w:val="004E0803"/>
    <w:rsid w:val="004E26D7"/>
    <w:rsid w:val="004E2A7B"/>
    <w:rsid w:val="00501084"/>
    <w:rsid w:val="0050672C"/>
    <w:rsid w:val="005100E9"/>
    <w:rsid w:val="00510B7A"/>
    <w:rsid w:val="005119F5"/>
    <w:rsid w:val="005133F9"/>
    <w:rsid w:val="00515F75"/>
    <w:rsid w:val="00521A3B"/>
    <w:rsid w:val="00530A0F"/>
    <w:rsid w:val="0053328B"/>
    <w:rsid w:val="00533390"/>
    <w:rsid w:val="00541B7B"/>
    <w:rsid w:val="0054371F"/>
    <w:rsid w:val="00545018"/>
    <w:rsid w:val="00546EDD"/>
    <w:rsid w:val="00551290"/>
    <w:rsid w:val="005537B1"/>
    <w:rsid w:val="00562DA9"/>
    <w:rsid w:val="005645EB"/>
    <w:rsid w:val="00576F09"/>
    <w:rsid w:val="005771CC"/>
    <w:rsid w:val="00581837"/>
    <w:rsid w:val="00584A5A"/>
    <w:rsid w:val="005852EA"/>
    <w:rsid w:val="00590DE1"/>
    <w:rsid w:val="00590F65"/>
    <w:rsid w:val="00596CC6"/>
    <w:rsid w:val="005A088C"/>
    <w:rsid w:val="005A7590"/>
    <w:rsid w:val="005A7CB3"/>
    <w:rsid w:val="005B0B87"/>
    <w:rsid w:val="005C37AB"/>
    <w:rsid w:val="005C54EB"/>
    <w:rsid w:val="005C6FBC"/>
    <w:rsid w:val="005D4C39"/>
    <w:rsid w:val="005E34F2"/>
    <w:rsid w:val="005E7EAF"/>
    <w:rsid w:val="005F4D31"/>
    <w:rsid w:val="00607E07"/>
    <w:rsid w:val="006116B5"/>
    <w:rsid w:val="006125B9"/>
    <w:rsid w:val="006362CA"/>
    <w:rsid w:val="006403C0"/>
    <w:rsid w:val="00644C54"/>
    <w:rsid w:val="00647067"/>
    <w:rsid w:val="006536FF"/>
    <w:rsid w:val="00661778"/>
    <w:rsid w:val="006673FF"/>
    <w:rsid w:val="0066778F"/>
    <w:rsid w:val="00673BD0"/>
    <w:rsid w:val="00673E16"/>
    <w:rsid w:val="006767D5"/>
    <w:rsid w:val="006818C1"/>
    <w:rsid w:val="00684299"/>
    <w:rsid w:val="00685E9E"/>
    <w:rsid w:val="006923DD"/>
    <w:rsid w:val="006A2E8A"/>
    <w:rsid w:val="006A7729"/>
    <w:rsid w:val="006B01BD"/>
    <w:rsid w:val="006B1FC7"/>
    <w:rsid w:val="006C3FC0"/>
    <w:rsid w:val="006D30ED"/>
    <w:rsid w:val="006D4CA2"/>
    <w:rsid w:val="006F0E97"/>
    <w:rsid w:val="00707DA2"/>
    <w:rsid w:val="00727BA8"/>
    <w:rsid w:val="00734ECB"/>
    <w:rsid w:val="00737B88"/>
    <w:rsid w:val="00743F66"/>
    <w:rsid w:val="00746CF0"/>
    <w:rsid w:val="00750A24"/>
    <w:rsid w:val="00757921"/>
    <w:rsid w:val="00763F28"/>
    <w:rsid w:val="00764630"/>
    <w:rsid w:val="0076531C"/>
    <w:rsid w:val="00765C5E"/>
    <w:rsid w:val="00766B0F"/>
    <w:rsid w:val="00772377"/>
    <w:rsid w:val="00772777"/>
    <w:rsid w:val="007909CF"/>
    <w:rsid w:val="00794099"/>
    <w:rsid w:val="00794A72"/>
    <w:rsid w:val="00797381"/>
    <w:rsid w:val="007A5842"/>
    <w:rsid w:val="007A60A8"/>
    <w:rsid w:val="007D093D"/>
    <w:rsid w:val="007D2C31"/>
    <w:rsid w:val="007D3928"/>
    <w:rsid w:val="007D4F10"/>
    <w:rsid w:val="007E4C49"/>
    <w:rsid w:val="007E6A3D"/>
    <w:rsid w:val="007F5313"/>
    <w:rsid w:val="007F5D74"/>
    <w:rsid w:val="00800D13"/>
    <w:rsid w:val="00800D92"/>
    <w:rsid w:val="00801B64"/>
    <w:rsid w:val="00806FF5"/>
    <w:rsid w:val="00825A4E"/>
    <w:rsid w:val="00835892"/>
    <w:rsid w:val="00837305"/>
    <w:rsid w:val="008531C9"/>
    <w:rsid w:val="008543A9"/>
    <w:rsid w:val="00854574"/>
    <w:rsid w:val="00857381"/>
    <w:rsid w:val="00857A97"/>
    <w:rsid w:val="008664B7"/>
    <w:rsid w:val="008718D1"/>
    <w:rsid w:val="00874D54"/>
    <w:rsid w:val="00876885"/>
    <w:rsid w:val="008769DC"/>
    <w:rsid w:val="0088433B"/>
    <w:rsid w:val="00884B03"/>
    <w:rsid w:val="0088724F"/>
    <w:rsid w:val="00893889"/>
    <w:rsid w:val="008949EC"/>
    <w:rsid w:val="008A4A79"/>
    <w:rsid w:val="008B0389"/>
    <w:rsid w:val="008B2957"/>
    <w:rsid w:val="008B3996"/>
    <w:rsid w:val="008B6784"/>
    <w:rsid w:val="008C5E4F"/>
    <w:rsid w:val="008C71CE"/>
    <w:rsid w:val="008C7625"/>
    <w:rsid w:val="008D07B5"/>
    <w:rsid w:val="008D15A9"/>
    <w:rsid w:val="008D3ABC"/>
    <w:rsid w:val="008D439D"/>
    <w:rsid w:val="008E10E4"/>
    <w:rsid w:val="008E128F"/>
    <w:rsid w:val="008E129F"/>
    <w:rsid w:val="008E32C6"/>
    <w:rsid w:val="008E4196"/>
    <w:rsid w:val="008F248F"/>
    <w:rsid w:val="008F6424"/>
    <w:rsid w:val="009005E2"/>
    <w:rsid w:val="0090156B"/>
    <w:rsid w:val="009035AB"/>
    <w:rsid w:val="00913A42"/>
    <w:rsid w:val="009328DB"/>
    <w:rsid w:val="0093587E"/>
    <w:rsid w:val="00936706"/>
    <w:rsid w:val="00936D29"/>
    <w:rsid w:val="00937B7C"/>
    <w:rsid w:val="00943632"/>
    <w:rsid w:val="009460E2"/>
    <w:rsid w:val="00947329"/>
    <w:rsid w:val="00955C90"/>
    <w:rsid w:val="00961D0E"/>
    <w:rsid w:val="009667C7"/>
    <w:rsid w:val="009668F7"/>
    <w:rsid w:val="009674FD"/>
    <w:rsid w:val="0097480F"/>
    <w:rsid w:val="00984CFE"/>
    <w:rsid w:val="00985A2D"/>
    <w:rsid w:val="009877D5"/>
    <w:rsid w:val="0099211B"/>
    <w:rsid w:val="0099368C"/>
    <w:rsid w:val="009968B4"/>
    <w:rsid w:val="009A2D46"/>
    <w:rsid w:val="009A4425"/>
    <w:rsid w:val="009A44E1"/>
    <w:rsid w:val="009A477A"/>
    <w:rsid w:val="009A7B43"/>
    <w:rsid w:val="009B0341"/>
    <w:rsid w:val="009B4945"/>
    <w:rsid w:val="009B5641"/>
    <w:rsid w:val="009B5CE8"/>
    <w:rsid w:val="009B7E4B"/>
    <w:rsid w:val="009C0292"/>
    <w:rsid w:val="009D0C08"/>
    <w:rsid w:val="009D468C"/>
    <w:rsid w:val="009D769E"/>
    <w:rsid w:val="009E563B"/>
    <w:rsid w:val="009E6732"/>
    <w:rsid w:val="009F1C3F"/>
    <w:rsid w:val="009F21EB"/>
    <w:rsid w:val="009F6B6F"/>
    <w:rsid w:val="009F7761"/>
    <w:rsid w:val="00A00B20"/>
    <w:rsid w:val="00A03622"/>
    <w:rsid w:val="00A2172C"/>
    <w:rsid w:val="00A24A7C"/>
    <w:rsid w:val="00A335FE"/>
    <w:rsid w:val="00A42860"/>
    <w:rsid w:val="00A517F9"/>
    <w:rsid w:val="00A5231D"/>
    <w:rsid w:val="00A6225E"/>
    <w:rsid w:val="00A63960"/>
    <w:rsid w:val="00A703FC"/>
    <w:rsid w:val="00A71C04"/>
    <w:rsid w:val="00A86759"/>
    <w:rsid w:val="00A87908"/>
    <w:rsid w:val="00A95832"/>
    <w:rsid w:val="00AA54E9"/>
    <w:rsid w:val="00AB0D13"/>
    <w:rsid w:val="00AB2938"/>
    <w:rsid w:val="00AB29EF"/>
    <w:rsid w:val="00AB3D62"/>
    <w:rsid w:val="00AB512B"/>
    <w:rsid w:val="00AB7CC0"/>
    <w:rsid w:val="00AC0387"/>
    <w:rsid w:val="00AC27C1"/>
    <w:rsid w:val="00AC4C85"/>
    <w:rsid w:val="00AD2F98"/>
    <w:rsid w:val="00AD7795"/>
    <w:rsid w:val="00AF58B4"/>
    <w:rsid w:val="00B01603"/>
    <w:rsid w:val="00B03176"/>
    <w:rsid w:val="00B06FFD"/>
    <w:rsid w:val="00B129C7"/>
    <w:rsid w:val="00B13063"/>
    <w:rsid w:val="00B13342"/>
    <w:rsid w:val="00B1464E"/>
    <w:rsid w:val="00B23CBD"/>
    <w:rsid w:val="00B27A29"/>
    <w:rsid w:val="00B319C7"/>
    <w:rsid w:val="00B3257E"/>
    <w:rsid w:val="00B32ABD"/>
    <w:rsid w:val="00B44B0E"/>
    <w:rsid w:val="00B4613F"/>
    <w:rsid w:val="00B50A6D"/>
    <w:rsid w:val="00B515E2"/>
    <w:rsid w:val="00B52085"/>
    <w:rsid w:val="00B57EF5"/>
    <w:rsid w:val="00B7597F"/>
    <w:rsid w:val="00B77053"/>
    <w:rsid w:val="00B84BCC"/>
    <w:rsid w:val="00BA198D"/>
    <w:rsid w:val="00BA43F8"/>
    <w:rsid w:val="00BA6C73"/>
    <w:rsid w:val="00BC2838"/>
    <w:rsid w:val="00BC482C"/>
    <w:rsid w:val="00BC4A39"/>
    <w:rsid w:val="00BE574B"/>
    <w:rsid w:val="00BE649C"/>
    <w:rsid w:val="00BE6779"/>
    <w:rsid w:val="00BF7DF6"/>
    <w:rsid w:val="00C019D1"/>
    <w:rsid w:val="00C03820"/>
    <w:rsid w:val="00C06798"/>
    <w:rsid w:val="00C1171F"/>
    <w:rsid w:val="00C21E7D"/>
    <w:rsid w:val="00C26DC6"/>
    <w:rsid w:val="00C27C70"/>
    <w:rsid w:val="00C326D7"/>
    <w:rsid w:val="00C42DA1"/>
    <w:rsid w:val="00C54908"/>
    <w:rsid w:val="00C55581"/>
    <w:rsid w:val="00C5785D"/>
    <w:rsid w:val="00C610D3"/>
    <w:rsid w:val="00C61FF1"/>
    <w:rsid w:val="00C633D1"/>
    <w:rsid w:val="00C645D2"/>
    <w:rsid w:val="00C64B8E"/>
    <w:rsid w:val="00C65F68"/>
    <w:rsid w:val="00C664EB"/>
    <w:rsid w:val="00C66746"/>
    <w:rsid w:val="00C71263"/>
    <w:rsid w:val="00C775E4"/>
    <w:rsid w:val="00C7788B"/>
    <w:rsid w:val="00C816DD"/>
    <w:rsid w:val="00C83F05"/>
    <w:rsid w:val="00C91385"/>
    <w:rsid w:val="00C96A75"/>
    <w:rsid w:val="00CA0BE7"/>
    <w:rsid w:val="00CA0CE6"/>
    <w:rsid w:val="00CB0CAE"/>
    <w:rsid w:val="00CB1602"/>
    <w:rsid w:val="00CB58CD"/>
    <w:rsid w:val="00CB78CC"/>
    <w:rsid w:val="00CC16C3"/>
    <w:rsid w:val="00CC18D1"/>
    <w:rsid w:val="00CC39B7"/>
    <w:rsid w:val="00CD04B2"/>
    <w:rsid w:val="00CD179D"/>
    <w:rsid w:val="00CD3C7E"/>
    <w:rsid w:val="00CE13A6"/>
    <w:rsid w:val="00CE27FC"/>
    <w:rsid w:val="00CE3B0B"/>
    <w:rsid w:val="00CF088E"/>
    <w:rsid w:val="00CF559A"/>
    <w:rsid w:val="00CF728A"/>
    <w:rsid w:val="00D02B63"/>
    <w:rsid w:val="00D041B3"/>
    <w:rsid w:val="00D05086"/>
    <w:rsid w:val="00D07F6F"/>
    <w:rsid w:val="00D11BFE"/>
    <w:rsid w:val="00D142D0"/>
    <w:rsid w:val="00D24327"/>
    <w:rsid w:val="00D25699"/>
    <w:rsid w:val="00D3026E"/>
    <w:rsid w:val="00D61324"/>
    <w:rsid w:val="00D651CF"/>
    <w:rsid w:val="00D742C5"/>
    <w:rsid w:val="00D77F2F"/>
    <w:rsid w:val="00D80055"/>
    <w:rsid w:val="00D81260"/>
    <w:rsid w:val="00D84B8A"/>
    <w:rsid w:val="00D91873"/>
    <w:rsid w:val="00DA3E91"/>
    <w:rsid w:val="00DA486E"/>
    <w:rsid w:val="00DA55EB"/>
    <w:rsid w:val="00DB4B1E"/>
    <w:rsid w:val="00DB57C6"/>
    <w:rsid w:val="00DB7040"/>
    <w:rsid w:val="00DC48B7"/>
    <w:rsid w:val="00DD0C5C"/>
    <w:rsid w:val="00DD264E"/>
    <w:rsid w:val="00DD5687"/>
    <w:rsid w:val="00DD6B5A"/>
    <w:rsid w:val="00DF43EA"/>
    <w:rsid w:val="00E0133D"/>
    <w:rsid w:val="00E11687"/>
    <w:rsid w:val="00E12785"/>
    <w:rsid w:val="00E15063"/>
    <w:rsid w:val="00E225C8"/>
    <w:rsid w:val="00E23FD7"/>
    <w:rsid w:val="00E40D64"/>
    <w:rsid w:val="00E425F3"/>
    <w:rsid w:val="00E4777F"/>
    <w:rsid w:val="00E509E0"/>
    <w:rsid w:val="00E54229"/>
    <w:rsid w:val="00E552EB"/>
    <w:rsid w:val="00E561D6"/>
    <w:rsid w:val="00E56942"/>
    <w:rsid w:val="00E66D12"/>
    <w:rsid w:val="00E750B5"/>
    <w:rsid w:val="00E8075A"/>
    <w:rsid w:val="00E932B0"/>
    <w:rsid w:val="00EA00AA"/>
    <w:rsid w:val="00EA223C"/>
    <w:rsid w:val="00EA390F"/>
    <w:rsid w:val="00EB1025"/>
    <w:rsid w:val="00EB6250"/>
    <w:rsid w:val="00EC0BE1"/>
    <w:rsid w:val="00EC1B3E"/>
    <w:rsid w:val="00ED195C"/>
    <w:rsid w:val="00ED5459"/>
    <w:rsid w:val="00ED7F6A"/>
    <w:rsid w:val="00EE3A28"/>
    <w:rsid w:val="00EE4BAD"/>
    <w:rsid w:val="00EE6A0D"/>
    <w:rsid w:val="00EF0377"/>
    <w:rsid w:val="00EF077F"/>
    <w:rsid w:val="00EF12DD"/>
    <w:rsid w:val="00F00C80"/>
    <w:rsid w:val="00F01273"/>
    <w:rsid w:val="00F143F9"/>
    <w:rsid w:val="00F14796"/>
    <w:rsid w:val="00F23B02"/>
    <w:rsid w:val="00F275C0"/>
    <w:rsid w:val="00F3413A"/>
    <w:rsid w:val="00F37163"/>
    <w:rsid w:val="00F43BB4"/>
    <w:rsid w:val="00F4751E"/>
    <w:rsid w:val="00F51EA5"/>
    <w:rsid w:val="00F651B9"/>
    <w:rsid w:val="00F7015B"/>
    <w:rsid w:val="00F75178"/>
    <w:rsid w:val="00F85DB9"/>
    <w:rsid w:val="00F85F19"/>
    <w:rsid w:val="00F90A47"/>
    <w:rsid w:val="00F94621"/>
    <w:rsid w:val="00F957B5"/>
    <w:rsid w:val="00F96984"/>
    <w:rsid w:val="00FA18B7"/>
    <w:rsid w:val="00FA25B6"/>
    <w:rsid w:val="00FB1CF7"/>
    <w:rsid w:val="00FB796B"/>
    <w:rsid w:val="00FD55E1"/>
    <w:rsid w:val="00FE05A3"/>
    <w:rsid w:val="00FF137D"/>
    <w:rsid w:val="00FF3B7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3C5"/>
    <w:rPr>
      <w:rFonts w:ascii="Times" w:eastAsia="Times" w:hAnsi="Times"/>
      <w:sz w:val="24"/>
    </w:rPr>
  </w:style>
  <w:style w:type="paragraph" w:styleId="Heading1">
    <w:name w:val="heading 1"/>
    <w:basedOn w:val="Heading2"/>
    <w:next w:val="Normal"/>
    <w:link w:val="Heading1Char"/>
    <w:qFormat/>
    <w:rsid w:val="00C42DA1"/>
    <w:pPr>
      <w:ind w:firstLine="0"/>
      <w:jc w:val="center"/>
      <w:outlineLvl w:val="0"/>
    </w:pPr>
  </w:style>
  <w:style w:type="paragraph" w:styleId="Heading2">
    <w:name w:val="heading 2"/>
    <w:basedOn w:val="Normal"/>
    <w:next w:val="Normal"/>
    <w:link w:val="Heading2Char"/>
    <w:qFormat/>
    <w:rsid w:val="00C42DA1"/>
    <w:pPr>
      <w:keepNext/>
      <w:keepLines/>
      <w:spacing w:before="240" w:line="240" w:lineRule="atLeast"/>
      <w:ind w:left="720" w:right="720" w:hanging="720"/>
      <w:outlineLvl w:val="1"/>
    </w:pPr>
    <w:rPr>
      <w:rFonts w:ascii="Times New Roman" w:eastAsia="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063C5"/>
    <w:rPr>
      <w:color w:val="0000FF"/>
      <w:u w:val="single"/>
    </w:rPr>
  </w:style>
  <w:style w:type="paragraph" w:styleId="BodyTextIndent2">
    <w:name w:val="Body Text Indent 2"/>
    <w:basedOn w:val="Normal"/>
    <w:link w:val="BodyTextIndent2Char"/>
    <w:rsid w:val="003063C5"/>
    <w:pPr>
      <w:spacing w:after="120" w:line="480" w:lineRule="auto"/>
      <w:ind w:left="360"/>
    </w:pPr>
    <w:rPr>
      <w:rFonts w:ascii="Times New Roman" w:eastAsia="Times New Roman" w:hAnsi="Times New Roman"/>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TE Char,ALTS FOOTNOTE,fn"/>
    <w:basedOn w:val="Normal"/>
    <w:link w:val="FootnoteTextChar"/>
    <w:uiPriority w:val="99"/>
    <w:rsid w:val="00BE649C"/>
    <w:rPr>
      <w:sz w:val="20"/>
      <w:szCs w:val="24"/>
    </w:rPr>
  </w:style>
  <w:style w:type="paragraph" w:styleId="Footer">
    <w:name w:val="footer"/>
    <w:basedOn w:val="Normal"/>
    <w:link w:val="FooterChar"/>
    <w:semiHidden/>
    <w:rsid w:val="003063C5"/>
    <w:pPr>
      <w:tabs>
        <w:tab w:val="center" w:pos="4320"/>
        <w:tab w:val="right" w:pos="8640"/>
      </w:tabs>
    </w:pPr>
  </w:style>
  <w:style w:type="character" w:styleId="PageNumber">
    <w:name w:val="page number"/>
    <w:basedOn w:val="DefaultParagraphFont"/>
    <w:rsid w:val="003063C5"/>
  </w:style>
  <w:style w:type="paragraph" w:styleId="Header">
    <w:name w:val="header"/>
    <w:basedOn w:val="Normal"/>
    <w:link w:val="HeaderChar"/>
    <w:rsid w:val="003063C5"/>
    <w:pPr>
      <w:tabs>
        <w:tab w:val="center" w:pos="4320"/>
        <w:tab w:val="right" w:pos="8640"/>
      </w:tabs>
    </w:pPr>
  </w:style>
  <w:style w:type="paragraph" w:customStyle="1" w:styleId="CharCharChar">
    <w:name w:val="Char Char Char"/>
    <w:basedOn w:val="Normal"/>
    <w:rsid w:val="002A6AE0"/>
    <w:pPr>
      <w:spacing w:after="160" w:line="240" w:lineRule="exact"/>
    </w:pPr>
    <w:rPr>
      <w:rFonts w:ascii="Verdana" w:eastAsia="Times New Roman" w:hAnsi="Verdana"/>
      <w:sz w:val="20"/>
    </w:rPr>
  </w:style>
  <w:style w:type="paragraph" w:styleId="BalloonText">
    <w:name w:val="Balloon Text"/>
    <w:basedOn w:val="Normal"/>
    <w:link w:val="BalloonTextChar"/>
    <w:semiHidden/>
    <w:rsid w:val="00B52085"/>
    <w:rPr>
      <w:rFonts w:ascii="Tahoma" w:hAnsi="Tahoma" w:cs="Tahoma"/>
      <w:sz w:val="16"/>
      <w:szCs w:val="16"/>
    </w:rPr>
  </w:style>
  <w:style w:type="character" w:styleId="CommentReference">
    <w:name w:val="annotation reference"/>
    <w:basedOn w:val="DefaultParagraphFont"/>
    <w:uiPriority w:val="99"/>
    <w:semiHidden/>
    <w:unhideWhenUsed/>
    <w:rsid w:val="002F19EF"/>
    <w:rPr>
      <w:sz w:val="16"/>
      <w:szCs w:val="16"/>
    </w:rPr>
  </w:style>
  <w:style w:type="paragraph" w:styleId="CommentText">
    <w:name w:val="annotation text"/>
    <w:basedOn w:val="Normal"/>
    <w:link w:val="CommentTextChar"/>
    <w:uiPriority w:val="99"/>
    <w:semiHidden/>
    <w:unhideWhenUsed/>
    <w:rsid w:val="002F19EF"/>
    <w:rPr>
      <w:sz w:val="20"/>
    </w:rPr>
  </w:style>
  <w:style w:type="character" w:customStyle="1" w:styleId="CommentTextChar">
    <w:name w:val="Comment Text Char"/>
    <w:basedOn w:val="DefaultParagraphFont"/>
    <w:link w:val="CommentText"/>
    <w:uiPriority w:val="99"/>
    <w:semiHidden/>
    <w:rsid w:val="002F19EF"/>
    <w:rPr>
      <w:rFonts w:ascii="Times" w:eastAsia="Times" w:hAnsi="Times"/>
    </w:rPr>
  </w:style>
  <w:style w:type="paragraph" w:styleId="CommentSubject">
    <w:name w:val="annotation subject"/>
    <w:basedOn w:val="CommentText"/>
    <w:next w:val="CommentText"/>
    <w:link w:val="CommentSubjectChar"/>
    <w:uiPriority w:val="99"/>
    <w:semiHidden/>
    <w:unhideWhenUsed/>
    <w:rsid w:val="002F19EF"/>
    <w:rPr>
      <w:b/>
      <w:bCs/>
    </w:rPr>
  </w:style>
  <w:style w:type="character" w:customStyle="1" w:styleId="CommentSubjectChar">
    <w:name w:val="Comment Subject Char"/>
    <w:basedOn w:val="CommentTextChar"/>
    <w:link w:val="CommentSubject"/>
    <w:uiPriority w:val="99"/>
    <w:semiHidden/>
    <w:rsid w:val="002F19EF"/>
    <w:rPr>
      <w:rFonts w:ascii="Times" w:eastAsia="Times" w:hAnsi="Times"/>
      <w:b/>
      <w:bCs/>
    </w:rPr>
  </w:style>
  <w:style w:type="character" w:styleId="FootnoteReference">
    <w:name w:val="footnote reference"/>
    <w:basedOn w:val="DefaultParagraphFont"/>
    <w:uiPriority w:val="99"/>
    <w:rsid w:val="00301FE0"/>
    <w:rPr>
      <w:vertAlign w:val="superscript"/>
    </w:rPr>
  </w:style>
  <w:style w:type="paragraph" w:styleId="ListParagraph">
    <w:name w:val="List Paragraph"/>
    <w:basedOn w:val="Normal"/>
    <w:uiPriority w:val="34"/>
    <w:qFormat/>
    <w:rsid w:val="00F7015B"/>
    <w:pPr>
      <w:ind w:left="720"/>
      <w:contextualSpacing/>
    </w:p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
    <w:basedOn w:val="DefaultParagraphFont"/>
    <w:link w:val="FootnoteText"/>
    <w:uiPriority w:val="99"/>
    <w:rsid w:val="00BE649C"/>
    <w:rPr>
      <w:rFonts w:ascii="Times" w:eastAsia="Times" w:hAnsi="Times"/>
      <w:szCs w:val="24"/>
    </w:rPr>
  </w:style>
  <w:style w:type="numbering" w:customStyle="1" w:styleId="Style1">
    <w:name w:val="Style1"/>
    <w:uiPriority w:val="99"/>
    <w:rsid w:val="00C610D3"/>
    <w:pPr>
      <w:numPr>
        <w:numId w:val="4"/>
      </w:numPr>
    </w:pPr>
  </w:style>
  <w:style w:type="character" w:customStyle="1" w:styleId="Heading1Char">
    <w:name w:val="Heading 1 Char"/>
    <w:basedOn w:val="DefaultParagraphFont"/>
    <w:link w:val="Heading1"/>
    <w:uiPriority w:val="99"/>
    <w:rsid w:val="004E26D7"/>
    <w:rPr>
      <w:b/>
      <w:sz w:val="24"/>
    </w:rPr>
  </w:style>
  <w:style w:type="character" w:customStyle="1" w:styleId="Heading2Char">
    <w:name w:val="Heading 2 Char"/>
    <w:basedOn w:val="DefaultParagraphFont"/>
    <w:link w:val="Heading2"/>
    <w:uiPriority w:val="99"/>
    <w:rsid w:val="004E26D7"/>
    <w:rPr>
      <w:b/>
      <w:sz w:val="24"/>
    </w:rPr>
  </w:style>
  <w:style w:type="character" w:customStyle="1" w:styleId="BodyTextIndent2Char">
    <w:name w:val="Body Text Indent 2 Char"/>
    <w:basedOn w:val="DefaultParagraphFont"/>
    <w:link w:val="BodyTextIndent2"/>
    <w:uiPriority w:val="99"/>
    <w:rsid w:val="004E26D7"/>
    <w:rPr>
      <w:sz w:val="24"/>
      <w:szCs w:val="24"/>
    </w:rPr>
  </w:style>
  <w:style w:type="character" w:customStyle="1" w:styleId="FooterChar">
    <w:name w:val="Footer Char"/>
    <w:basedOn w:val="DefaultParagraphFont"/>
    <w:link w:val="Footer"/>
    <w:uiPriority w:val="99"/>
    <w:semiHidden/>
    <w:rsid w:val="004E26D7"/>
    <w:rPr>
      <w:rFonts w:ascii="Times" w:eastAsia="Times" w:hAnsi="Times"/>
      <w:sz w:val="24"/>
    </w:rPr>
  </w:style>
  <w:style w:type="character" w:customStyle="1" w:styleId="HeaderChar">
    <w:name w:val="Header Char"/>
    <w:basedOn w:val="DefaultParagraphFont"/>
    <w:link w:val="Header"/>
    <w:uiPriority w:val="99"/>
    <w:rsid w:val="004E26D7"/>
    <w:rPr>
      <w:rFonts w:ascii="Times" w:eastAsia="Times" w:hAnsi="Times"/>
      <w:sz w:val="24"/>
    </w:rPr>
  </w:style>
  <w:style w:type="character" w:customStyle="1" w:styleId="BalloonTextChar">
    <w:name w:val="Balloon Text Char"/>
    <w:basedOn w:val="DefaultParagraphFont"/>
    <w:link w:val="BalloonText"/>
    <w:uiPriority w:val="99"/>
    <w:semiHidden/>
    <w:rsid w:val="004E26D7"/>
    <w:rPr>
      <w:rFonts w:ascii="Tahoma" w:eastAsia="Times" w:hAnsi="Tahoma" w:cs="Tahoma"/>
      <w:sz w:val="16"/>
      <w:szCs w:val="16"/>
    </w:rPr>
  </w:style>
  <w:style w:type="paragraph" w:customStyle="1" w:styleId="Washingtonparagraph">
    <w:name w:val="Washington paragraph"/>
    <w:basedOn w:val="ListParagraph"/>
    <w:uiPriority w:val="99"/>
    <w:rsid w:val="00360F75"/>
    <w:pPr>
      <w:spacing w:line="480" w:lineRule="auto"/>
      <w:ind w:left="0"/>
    </w:pPr>
    <w:rPr>
      <w:rFonts w:ascii="Times New Roman" w:eastAsia="Times New Roman" w:hAnsi="Times New Roman"/>
      <w:szCs w:val="24"/>
    </w:rPr>
  </w:style>
  <w:style w:type="character" w:customStyle="1" w:styleId="apple-converted-space">
    <w:name w:val="apple-converted-space"/>
    <w:basedOn w:val="DefaultParagraphFont"/>
    <w:rsid w:val="002B4594"/>
  </w:style>
  <w:style w:type="paragraph" w:styleId="Revision">
    <w:name w:val="Revision"/>
    <w:hidden/>
    <w:uiPriority w:val="99"/>
    <w:semiHidden/>
    <w:rsid w:val="00CE13A6"/>
    <w:rPr>
      <w:rFonts w:ascii="Times" w:eastAsia="Times"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3C5"/>
    <w:rPr>
      <w:rFonts w:ascii="Times" w:eastAsia="Times" w:hAnsi="Times"/>
      <w:sz w:val="24"/>
    </w:rPr>
  </w:style>
  <w:style w:type="paragraph" w:styleId="Heading1">
    <w:name w:val="heading 1"/>
    <w:basedOn w:val="Heading2"/>
    <w:next w:val="Normal"/>
    <w:link w:val="Heading1Char"/>
    <w:qFormat/>
    <w:rsid w:val="00C42DA1"/>
    <w:pPr>
      <w:ind w:firstLine="0"/>
      <w:jc w:val="center"/>
      <w:outlineLvl w:val="0"/>
    </w:pPr>
  </w:style>
  <w:style w:type="paragraph" w:styleId="Heading2">
    <w:name w:val="heading 2"/>
    <w:basedOn w:val="Normal"/>
    <w:next w:val="Normal"/>
    <w:link w:val="Heading2Char"/>
    <w:qFormat/>
    <w:rsid w:val="00C42DA1"/>
    <w:pPr>
      <w:keepNext/>
      <w:keepLines/>
      <w:spacing w:before="240" w:line="240" w:lineRule="atLeast"/>
      <w:ind w:left="720" w:right="720" w:hanging="720"/>
      <w:outlineLvl w:val="1"/>
    </w:pPr>
    <w:rPr>
      <w:rFonts w:ascii="Times New Roman" w:eastAsia="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063C5"/>
    <w:rPr>
      <w:color w:val="0000FF"/>
      <w:u w:val="single"/>
    </w:rPr>
  </w:style>
  <w:style w:type="paragraph" w:styleId="BodyTextIndent2">
    <w:name w:val="Body Text Indent 2"/>
    <w:basedOn w:val="Normal"/>
    <w:link w:val="BodyTextIndent2Char"/>
    <w:rsid w:val="003063C5"/>
    <w:pPr>
      <w:spacing w:after="120" w:line="480" w:lineRule="auto"/>
      <w:ind w:left="360"/>
    </w:pPr>
    <w:rPr>
      <w:rFonts w:ascii="Times New Roman" w:eastAsia="Times New Roman" w:hAnsi="Times New Roman"/>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TE Char,ALTS FOOTNOTE,fn"/>
    <w:basedOn w:val="Normal"/>
    <w:link w:val="FootnoteTextChar"/>
    <w:uiPriority w:val="99"/>
    <w:rsid w:val="00BE649C"/>
    <w:rPr>
      <w:sz w:val="20"/>
      <w:szCs w:val="24"/>
    </w:rPr>
  </w:style>
  <w:style w:type="paragraph" w:styleId="Footer">
    <w:name w:val="footer"/>
    <w:basedOn w:val="Normal"/>
    <w:link w:val="FooterChar"/>
    <w:semiHidden/>
    <w:rsid w:val="003063C5"/>
    <w:pPr>
      <w:tabs>
        <w:tab w:val="center" w:pos="4320"/>
        <w:tab w:val="right" w:pos="8640"/>
      </w:tabs>
    </w:pPr>
  </w:style>
  <w:style w:type="character" w:styleId="PageNumber">
    <w:name w:val="page number"/>
    <w:basedOn w:val="DefaultParagraphFont"/>
    <w:rsid w:val="003063C5"/>
  </w:style>
  <w:style w:type="paragraph" w:styleId="Header">
    <w:name w:val="header"/>
    <w:basedOn w:val="Normal"/>
    <w:link w:val="HeaderChar"/>
    <w:rsid w:val="003063C5"/>
    <w:pPr>
      <w:tabs>
        <w:tab w:val="center" w:pos="4320"/>
        <w:tab w:val="right" w:pos="8640"/>
      </w:tabs>
    </w:pPr>
  </w:style>
  <w:style w:type="paragraph" w:customStyle="1" w:styleId="CharCharChar">
    <w:name w:val="Char Char Char"/>
    <w:basedOn w:val="Normal"/>
    <w:rsid w:val="002A6AE0"/>
    <w:pPr>
      <w:spacing w:after="160" w:line="240" w:lineRule="exact"/>
    </w:pPr>
    <w:rPr>
      <w:rFonts w:ascii="Verdana" w:eastAsia="Times New Roman" w:hAnsi="Verdana"/>
      <w:sz w:val="20"/>
    </w:rPr>
  </w:style>
  <w:style w:type="paragraph" w:styleId="BalloonText">
    <w:name w:val="Balloon Text"/>
    <w:basedOn w:val="Normal"/>
    <w:link w:val="BalloonTextChar"/>
    <w:semiHidden/>
    <w:rsid w:val="00B52085"/>
    <w:rPr>
      <w:rFonts w:ascii="Tahoma" w:hAnsi="Tahoma" w:cs="Tahoma"/>
      <w:sz w:val="16"/>
      <w:szCs w:val="16"/>
    </w:rPr>
  </w:style>
  <w:style w:type="character" w:styleId="CommentReference">
    <w:name w:val="annotation reference"/>
    <w:basedOn w:val="DefaultParagraphFont"/>
    <w:uiPriority w:val="99"/>
    <w:semiHidden/>
    <w:unhideWhenUsed/>
    <w:rsid w:val="002F19EF"/>
    <w:rPr>
      <w:sz w:val="16"/>
      <w:szCs w:val="16"/>
    </w:rPr>
  </w:style>
  <w:style w:type="paragraph" w:styleId="CommentText">
    <w:name w:val="annotation text"/>
    <w:basedOn w:val="Normal"/>
    <w:link w:val="CommentTextChar"/>
    <w:uiPriority w:val="99"/>
    <w:semiHidden/>
    <w:unhideWhenUsed/>
    <w:rsid w:val="002F19EF"/>
    <w:rPr>
      <w:sz w:val="20"/>
    </w:rPr>
  </w:style>
  <w:style w:type="character" w:customStyle="1" w:styleId="CommentTextChar">
    <w:name w:val="Comment Text Char"/>
    <w:basedOn w:val="DefaultParagraphFont"/>
    <w:link w:val="CommentText"/>
    <w:uiPriority w:val="99"/>
    <w:semiHidden/>
    <w:rsid w:val="002F19EF"/>
    <w:rPr>
      <w:rFonts w:ascii="Times" w:eastAsia="Times" w:hAnsi="Times"/>
    </w:rPr>
  </w:style>
  <w:style w:type="paragraph" w:styleId="CommentSubject">
    <w:name w:val="annotation subject"/>
    <w:basedOn w:val="CommentText"/>
    <w:next w:val="CommentText"/>
    <w:link w:val="CommentSubjectChar"/>
    <w:uiPriority w:val="99"/>
    <w:semiHidden/>
    <w:unhideWhenUsed/>
    <w:rsid w:val="002F19EF"/>
    <w:rPr>
      <w:b/>
      <w:bCs/>
    </w:rPr>
  </w:style>
  <w:style w:type="character" w:customStyle="1" w:styleId="CommentSubjectChar">
    <w:name w:val="Comment Subject Char"/>
    <w:basedOn w:val="CommentTextChar"/>
    <w:link w:val="CommentSubject"/>
    <w:uiPriority w:val="99"/>
    <w:semiHidden/>
    <w:rsid w:val="002F19EF"/>
    <w:rPr>
      <w:rFonts w:ascii="Times" w:eastAsia="Times" w:hAnsi="Times"/>
      <w:b/>
      <w:bCs/>
    </w:rPr>
  </w:style>
  <w:style w:type="character" w:styleId="FootnoteReference">
    <w:name w:val="footnote reference"/>
    <w:basedOn w:val="DefaultParagraphFont"/>
    <w:uiPriority w:val="99"/>
    <w:rsid w:val="00301FE0"/>
    <w:rPr>
      <w:vertAlign w:val="superscript"/>
    </w:rPr>
  </w:style>
  <w:style w:type="paragraph" w:styleId="ListParagraph">
    <w:name w:val="List Paragraph"/>
    <w:basedOn w:val="Normal"/>
    <w:uiPriority w:val="34"/>
    <w:qFormat/>
    <w:rsid w:val="00F7015B"/>
    <w:pPr>
      <w:ind w:left="720"/>
      <w:contextualSpacing/>
    </w:p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
    <w:basedOn w:val="DefaultParagraphFont"/>
    <w:link w:val="FootnoteText"/>
    <w:uiPriority w:val="99"/>
    <w:rsid w:val="00BE649C"/>
    <w:rPr>
      <w:rFonts w:ascii="Times" w:eastAsia="Times" w:hAnsi="Times"/>
      <w:szCs w:val="24"/>
    </w:rPr>
  </w:style>
  <w:style w:type="numbering" w:customStyle="1" w:styleId="Style1">
    <w:name w:val="Style1"/>
    <w:uiPriority w:val="99"/>
    <w:rsid w:val="00C610D3"/>
    <w:pPr>
      <w:numPr>
        <w:numId w:val="4"/>
      </w:numPr>
    </w:pPr>
  </w:style>
  <w:style w:type="character" w:customStyle="1" w:styleId="Heading1Char">
    <w:name w:val="Heading 1 Char"/>
    <w:basedOn w:val="DefaultParagraphFont"/>
    <w:link w:val="Heading1"/>
    <w:uiPriority w:val="99"/>
    <w:rsid w:val="004E26D7"/>
    <w:rPr>
      <w:b/>
      <w:sz w:val="24"/>
    </w:rPr>
  </w:style>
  <w:style w:type="character" w:customStyle="1" w:styleId="Heading2Char">
    <w:name w:val="Heading 2 Char"/>
    <w:basedOn w:val="DefaultParagraphFont"/>
    <w:link w:val="Heading2"/>
    <w:uiPriority w:val="99"/>
    <w:rsid w:val="004E26D7"/>
    <w:rPr>
      <w:b/>
      <w:sz w:val="24"/>
    </w:rPr>
  </w:style>
  <w:style w:type="character" w:customStyle="1" w:styleId="BodyTextIndent2Char">
    <w:name w:val="Body Text Indent 2 Char"/>
    <w:basedOn w:val="DefaultParagraphFont"/>
    <w:link w:val="BodyTextIndent2"/>
    <w:uiPriority w:val="99"/>
    <w:rsid w:val="004E26D7"/>
    <w:rPr>
      <w:sz w:val="24"/>
      <w:szCs w:val="24"/>
    </w:rPr>
  </w:style>
  <w:style w:type="character" w:customStyle="1" w:styleId="FooterChar">
    <w:name w:val="Footer Char"/>
    <w:basedOn w:val="DefaultParagraphFont"/>
    <w:link w:val="Footer"/>
    <w:uiPriority w:val="99"/>
    <w:semiHidden/>
    <w:rsid w:val="004E26D7"/>
    <w:rPr>
      <w:rFonts w:ascii="Times" w:eastAsia="Times" w:hAnsi="Times"/>
      <w:sz w:val="24"/>
    </w:rPr>
  </w:style>
  <w:style w:type="character" w:customStyle="1" w:styleId="HeaderChar">
    <w:name w:val="Header Char"/>
    <w:basedOn w:val="DefaultParagraphFont"/>
    <w:link w:val="Header"/>
    <w:uiPriority w:val="99"/>
    <w:rsid w:val="004E26D7"/>
    <w:rPr>
      <w:rFonts w:ascii="Times" w:eastAsia="Times" w:hAnsi="Times"/>
      <w:sz w:val="24"/>
    </w:rPr>
  </w:style>
  <w:style w:type="character" w:customStyle="1" w:styleId="BalloonTextChar">
    <w:name w:val="Balloon Text Char"/>
    <w:basedOn w:val="DefaultParagraphFont"/>
    <w:link w:val="BalloonText"/>
    <w:uiPriority w:val="99"/>
    <w:semiHidden/>
    <w:rsid w:val="004E26D7"/>
    <w:rPr>
      <w:rFonts w:ascii="Tahoma" w:eastAsia="Times"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8096891">
      <w:bodyDiv w:val="1"/>
      <w:marLeft w:val="0"/>
      <w:marRight w:val="0"/>
      <w:marTop w:val="0"/>
      <w:marBottom w:val="0"/>
      <w:divBdr>
        <w:top w:val="none" w:sz="0" w:space="0" w:color="auto"/>
        <w:left w:val="none" w:sz="0" w:space="0" w:color="auto"/>
        <w:bottom w:val="none" w:sz="0" w:space="0" w:color="auto"/>
        <w:right w:val="none" w:sz="0" w:space="0" w:color="auto"/>
      </w:divBdr>
      <w:divsChild>
        <w:div w:id="458649313">
          <w:marLeft w:val="0"/>
          <w:marRight w:val="0"/>
          <w:marTop w:val="0"/>
          <w:marBottom w:val="0"/>
          <w:divBdr>
            <w:top w:val="none" w:sz="0" w:space="0" w:color="auto"/>
            <w:left w:val="none" w:sz="0" w:space="0" w:color="auto"/>
            <w:bottom w:val="none" w:sz="0" w:space="0" w:color="auto"/>
            <w:right w:val="none" w:sz="0" w:space="0" w:color="auto"/>
          </w:divBdr>
        </w:div>
      </w:divsChild>
    </w:div>
    <w:div w:id="188366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2012-12-13T08:00:00+00:00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209F36F-4CEC-4E2C-8112-61F4DBB6157E}"/>
</file>

<file path=customXml/itemProps2.xml><?xml version="1.0" encoding="utf-8"?>
<ds:datastoreItem xmlns:ds="http://schemas.openxmlformats.org/officeDocument/2006/customXml" ds:itemID="{29CD6FB3-FB40-423D-A345-56A76F2ECAB4}"/>
</file>

<file path=customXml/itemProps3.xml><?xml version="1.0" encoding="utf-8"?>
<ds:datastoreItem xmlns:ds="http://schemas.openxmlformats.org/officeDocument/2006/customXml" ds:itemID="{BAC5FD45-BE2E-4388-AF7B-9499AEA3EA99}"/>
</file>

<file path=customXml/itemProps4.xml><?xml version="1.0" encoding="utf-8"?>
<ds:datastoreItem xmlns:ds="http://schemas.openxmlformats.org/officeDocument/2006/customXml" ds:itemID="{B37689E4-F738-4A30-981B-56CD4D8F7D5E}"/>
</file>

<file path=docProps/app.xml><?xml version="1.0" encoding="utf-8"?>
<Properties xmlns="http://schemas.openxmlformats.org/officeDocument/2006/extended-properties" xmlns:vt="http://schemas.openxmlformats.org/officeDocument/2006/docPropsVTypes">
  <Template>Normal.dotm</Template>
  <TotalTime>0</TotalTime>
  <Pages>8</Pages>
  <Words>1727</Words>
  <Characters>9241</Characters>
  <Application>Microsoft Office Word</Application>
  <DocSecurity>0</DocSecurity>
  <Lines>77</Lines>
  <Paragraphs>21</Paragraphs>
  <ScaleCrop>false</ScaleCrop>
  <Company/>
  <LinksUpToDate>false</LinksUpToDate>
  <CharactersWithSpaces>10947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2012-12-13T23:19:00Z</dcterms:created>
  <dcterms:modified xsi:type="dcterms:W3CDTF">2012-12-13T23:19:00Z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