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748" w:rsidRDefault="004F5748" w:rsidP="004F5748">
      <w:pPr>
        <w:jc w:val="center"/>
        <w:rPr>
          <w:rFonts w:ascii="Times New Roman" w:hAnsi="Times New Roman"/>
          <w:b/>
          <w:szCs w:val="24"/>
        </w:rPr>
      </w:pPr>
    </w:p>
    <w:p w:rsidR="004F5748" w:rsidRPr="002327A7" w:rsidRDefault="004F5748" w:rsidP="004F5748">
      <w:pPr>
        <w:jc w:val="center"/>
        <w:rPr>
          <w:rFonts w:ascii="Times New Roman" w:hAnsi="Times New Roman"/>
          <w:b/>
          <w:szCs w:val="24"/>
        </w:rPr>
      </w:pPr>
      <w:r w:rsidRPr="002327A7">
        <w:rPr>
          <w:rFonts w:ascii="Times New Roman" w:hAnsi="Times New Roman"/>
          <w:b/>
          <w:szCs w:val="24"/>
        </w:rPr>
        <w:t>BEFORE THE WASHINGTON</w:t>
      </w:r>
      <w:r w:rsidRPr="002327A7">
        <w:rPr>
          <w:rFonts w:ascii="Times New Roman" w:hAnsi="Times New Roman"/>
          <w:b/>
          <w:szCs w:val="24"/>
        </w:rPr>
        <w:br/>
        <w:t>UTILITIES AND TRANSPORTATION COMMISSION</w:t>
      </w:r>
    </w:p>
    <w:p w:rsidR="004F5748" w:rsidRPr="002327A7" w:rsidRDefault="004F5748" w:rsidP="004F5748">
      <w:pPr>
        <w:jc w:val="center"/>
        <w:rPr>
          <w:rFonts w:ascii="Times New Roman" w:hAnsi="Times New Roman"/>
          <w:b/>
          <w:szCs w:val="24"/>
        </w:rPr>
      </w:pPr>
    </w:p>
    <w:p w:rsidR="004F5748" w:rsidRPr="002327A7" w:rsidRDefault="004F5748" w:rsidP="004F5748">
      <w:pPr>
        <w:rPr>
          <w:rFonts w:ascii="Times New Roman"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4F5748" w:rsidRPr="002327A7" w:rsidTr="0091181F">
        <w:trPr>
          <w:jc w:val="center"/>
        </w:trPr>
        <w:tc>
          <w:tcPr>
            <w:tcW w:w="4428" w:type="dxa"/>
            <w:tcBorders>
              <w:top w:val="nil"/>
              <w:left w:val="nil"/>
              <w:bottom w:val="nil"/>
              <w:right w:val="single" w:sz="4" w:space="0" w:color="auto"/>
            </w:tcBorders>
          </w:tcPr>
          <w:p w:rsidR="004F5748" w:rsidRPr="002327A7" w:rsidRDefault="004F5748" w:rsidP="0091181F">
            <w:pPr>
              <w:rPr>
                <w:rFonts w:ascii="Times New Roman" w:hAnsi="Times New Roman"/>
                <w:szCs w:val="24"/>
              </w:rPr>
            </w:pPr>
            <w:r w:rsidRPr="002327A7">
              <w:rPr>
                <w:rFonts w:ascii="Times New Roman" w:hAnsi="Times New Roman"/>
                <w:szCs w:val="24"/>
              </w:rPr>
              <w:t>WASHINGTON UTILITIES AND</w:t>
            </w:r>
          </w:p>
          <w:p w:rsidR="004F5748" w:rsidRPr="002327A7" w:rsidRDefault="004F5748" w:rsidP="0091181F">
            <w:pPr>
              <w:rPr>
                <w:rFonts w:ascii="Times New Roman" w:hAnsi="Times New Roman"/>
                <w:szCs w:val="24"/>
              </w:rPr>
            </w:pPr>
            <w:r w:rsidRPr="002327A7">
              <w:rPr>
                <w:rFonts w:ascii="Times New Roman" w:hAnsi="Times New Roman"/>
                <w:szCs w:val="24"/>
              </w:rPr>
              <w:t>TRANSPORTATION COMMISSION,</w:t>
            </w:r>
          </w:p>
          <w:p w:rsidR="004F5748" w:rsidRPr="002327A7" w:rsidRDefault="004F5748" w:rsidP="0091181F">
            <w:pPr>
              <w:rPr>
                <w:rFonts w:ascii="Times New Roman" w:hAnsi="Times New Roman"/>
                <w:szCs w:val="24"/>
              </w:rPr>
            </w:pPr>
          </w:p>
          <w:p w:rsidR="004F5748" w:rsidRPr="002327A7" w:rsidRDefault="004F5748" w:rsidP="0091181F">
            <w:pPr>
              <w:ind w:right="792"/>
              <w:jc w:val="right"/>
              <w:rPr>
                <w:rFonts w:ascii="Times New Roman" w:hAnsi="Times New Roman"/>
                <w:szCs w:val="24"/>
              </w:rPr>
            </w:pPr>
            <w:r w:rsidRPr="002327A7">
              <w:rPr>
                <w:rFonts w:ascii="Times New Roman" w:hAnsi="Times New Roman"/>
                <w:szCs w:val="24"/>
              </w:rPr>
              <w:t>Complainant,</w:t>
            </w:r>
          </w:p>
          <w:p w:rsidR="004F5748" w:rsidRPr="002327A7" w:rsidRDefault="004F5748" w:rsidP="0091181F">
            <w:pPr>
              <w:rPr>
                <w:rFonts w:ascii="Times New Roman" w:hAnsi="Times New Roman"/>
                <w:szCs w:val="24"/>
              </w:rPr>
            </w:pPr>
          </w:p>
          <w:p w:rsidR="004F5748" w:rsidRPr="002327A7" w:rsidRDefault="004F5748" w:rsidP="0091181F">
            <w:pPr>
              <w:tabs>
                <w:tab w:val="left" w:pos="4752"/>
              </w:tabs>
              <w:ind w:right="-18"/>
              <w:rPr>
                <w:rFonts w:ascii="Times New Roman" w:hAnsi="Times New Roman"/>
                <w:szCs w:val="24"/>
              </w:rPr>
            </w:pPr>
            <w:r w:rsidRPr="002327A7">
              <w:rPr>
                <w:rFonts w:ascii="Times New Roman" w:hAnsi="Times New Roman"/>
                <w:szCs w:val="24"/>
              </w:rPr>
              <w:t>v.</w:t>
            </w:r>
          </w:p>
          <w:p w:rsidR="004F5748" w:rsidRPr="002327A7" w:rsidRDefault="004F5748" w:rsidP="0091181F">
            <w:pPr>
              <w:rPr>
                <w:rFonts w:ascii="Times New Roman" w:hAnsi="Times New Roman"/>
                <w:szCs w:val="24"/>
              </w:rPr>
            </w:pPr>
          </w:p>
          <w:p w:rsidR="004F5748" w:rsidRPr="002327A7" w:rsidRDefault="004F5748" w:rsidP="0091181F">
            <w:pPr>
              <w:rPr>
                <w:rFonts w:ascii="Times New Roman" w:hAnsi="Times New Roman"/>
                <w:szCs w:val="24"/>
              </w:rPr>
            </w:pPr>
            <w:r w:rsidRPr="002327A7">
              <w:rPr>
                <w:rFonts w:ascii="Times New Roman" w:hAnsi="Times New Roman"/>
                <w:szCs w:val="24"/>
              </w:rPr>
              <w:t>PACIFIC POWER &amp; LIGHT COMPANY,</w:t>
            </w:r>
          </w:p>
          <w:p w:rsidR="004F5748" w:rsidRPr="002327A7" w:rsidRDefault="004F5748" w:rsidP="0091181F">
            <w:pPr>
              <w:rPr>
                <w:rFonts w:ascii="Times New Roman" w:hAnsi="Times New Roman"/>
                <w:szCs w:val="24"/>
              </w:rPr>
            </w:pPr>
          </w:p>
          <w:p w:rsidR="004F5748" w:rsidRPr="002327A7" w:rsidRDefault="004F5748" w:rsidP="0091181F">
            <w:pPr>
              <w:ind w:right="792"/>
              <w:jc w:val="right"/>
              <w:rPr>
                <w:rFonts w:ascii="Times New Roman" w:hAnsi="Times New Roman"/>
                <w:szCs w:val="24"/>
              </w:rPr>
            </w:pPr>
            <w:r w:rsidRPr="002327A7">
              <w:rPr>
                <w:rFonts w:ascii="Times New Roman" w:hAnsi="Times New Roman"/>
                <w:szCs w:val="24"/>
              </w:rPr>
              <w:t>Respondent.</w:t>
            </w:r>
          </w:p>
        </w:tc>
        <w:tc>
          <w:tcPr>
            <w:tcW w:w="4428" w:type="dxa"/>
            <w:tcBorders>
              <w:top w:val="nil"/>
              <w:left w:val="single" w:sz="4" w:space="0" w:color="auto"/>
              <w:bottom w:val="nil"/>
              <w:right w:val="nil"/>
            </w:tcBorders>
          </w:tcPr>
          <w:p w:rsidR="004F5748" w:rsidRPr="002327A7" w:rsidRDefault="004F5748" w:rsidP="0091181F">
            <w:pPr>
              <w:rPr>
                <w:rFonts w:ascii="Times New Roman" w:hAnsi="Times New Roman"/>
                <w:szCs w:val="24"/>
              </w:rPr>
            </w:pPr>
          </w:p>
          <w:p w:rsidR="004F5748" w:rsidRPr="002327A7" w:rsidRDefault="004F5748" w:rsidP="0091181F">
            <w:pPr>
              <w:rPr>
                <w:rFonts w:ascii="Times New Roman" w:hAnsi="Times New Roman"/>
                <w:b/>
                <w:szCs w:val="24"/>
              </w:rPr>
            </w:pPr>
          </w:p>
          <w:p w:rsidR="004F5748" w:rsidRPr="002327A7" w:rsidRDefault="004F5748" w:rsidP="0091181F">
            <w:pPr>
              <w:rPr>
                <w:rFonts w:ascii="Times New Roman" w:hAnsi="Times New Roman"/>
                <w:b/>
                <w:szCs w:val="24"/>
              </w:rPr>
            </w:pPr>
          </w:p>
          <w:p w:rsidR="004F5748" w:rsidRPr="002327A7" w:rsidRDefault="004F5748" w:rsidP="0091181F">
            <w:pPr>
              <w:rPr>
                <w:rFonts w:ascii="Times New Roman" w:hAnsi="Times New Roman"/>
                <w:b/>
                <w:szCs w:val="24"/>
              </w:rPr>
            </w:pPr>
            <w:r>
              <w:rPr>
                <w:rFonts w:ascii="Times New Roman" w:hAnsi="Times New Roman"/>
                <w:b/>
                <w:szCs w:val="24"/>
              </w:rPr>
              <w:t xml:space="preserve">          </w:t>
            </w:r>
            <w:r w:rsidRPr="002327A7">
              <w:rPr>
                <w:rFonts w:ascii="Times New Roman" w:hAnsi="Times New Roman"/>
                <w:b/>
                <w:szCs w:val="24"/>
              </w:rPr>
              <w:t>DOCKET UE-144160</w:t>
            </w:r>
          </w:p>
          <w:p w:rsidR="004F5748" w:rsidRPr="002327A7" w:rsidRDefault="004F5748" w:rsidP="0091181F">
            <w:pPr>
              <w:rPr>
                <w:rFonts w:ascii="Times New Roman" w:hAnsi="Times New Roman"/>
                <w:b/>
                <w:szCs w:val="24"/>
              </w:rPr>
            </w:pPr>
          </w:p>
          <w:p w:rsidR="004F5748" w:rsidRPr="002327A7" w:rsidRDefault="004F5748" w:rsidP="0091181F">
            <w:pPr>
              <w:rPr>
                <w:rFonts w:ascii="Times New Roman" w:hAnsi="Times New Roman"/>
                <w:szCs w:val="24"/>
              </w:rPr>
            </w:pPr>
          </w:p>
        </w:tc>
      </w:tr>
      <w:tr w:rsidR="004F5748" w:rsidRPr="002327A7" w:rsidTr="0091181F">
        <w:trPr>
          <w:jc w:val="center"/>
        </w:trPr>
        <w:tc>
          <w:tcPr>
            <w:tcW w:w="4428" w:type="dxa"/>
            <w:tcBorders>
              <w:top w:val="nil"/>
              <w:left w:val="nil"/>
              <w:bottom w:val="single" w:sz="4" w:space="0" w:color="auto"/>
              <w:right w:val="single" w:sz="4" w:space="0" w:color="auto"/>
            </w:tcBorders>
          </w:tcPr>
          <w:p w:rsidR="004F5748" w:rsidRPr="002327A7" w:rsidRDefault="004F5748" w:rsidP="0091181F">
            <w:pPr>
              <w:rPr>
                <w:rFonts w:ascii="Times New Roman" w:hAnsi="Times New Roman"/>
                <w:szCs w:val="24"/>
              </w:rPr>
            </w:pPr>
          </w:p>
        </w:tc>
        <w:tc>
          <w:tcPr>
            <w:tcW w:w="4428" w:type="dxa"/>
            <w:tcBorders>
              <w:top w:val="nil"/>
              <w:left w:val="single" w:sz="4" w:space="0" w:color="auto"/>
              <w:bottom w:val="nil"/>
              <w:right w:val="nil"/>
            </w:tcBorders>
          </w:tcPr>
          <w:p w:rsidR="004F5748" w:rsidRPr="002327A7" w:rsidRDefault="004F5748" w:rsidP="0091181F">
            <w:pPr>
              <w:rPr>
                <w:rFonts w:ascii="Times New Roman" w:hAnsi="Times New Roman"/>
                <w:szCs w:val="24"/>
              </w:rPr>
            </w:pPr>
          </w:p>
        </w:tc>
      </w:tr>
    </w:tbl>
    <w:p w:rsidR="004F5748" w:rsidRPr="002327A7" w:rsidRDefault="004F5748" w:rsidP="004F5748">
      <w:pPr>
        <w:rPr>
          <w:rFonts w:ascii="Times New Roman" w:hAnsi="Times New Roman"/>
          <w:szCs w:val="24"/>
        </w:rPr>
      </w:pPr>
    </w:p>
    <w:p w:rsidR="004F5748" w:rsidRDefault="004F5748" w:rsidP="004F5748">
      <w:pPr>
        <w:rPr>
          <w:rFonts w:ascii="Times New Roman" w:hAnsi="Times New Roman"/>
          <w:szCs w:val="24"/>
        </w:rPr>
      </w:pPr>
    </w:p>
    <w:p w:rsidR="001E0EF1" w:rsidRDefault="001E0EF1" w:rsidP="00667389">
      <w:pPr>
        <w:rPr>
          <w:rFonts w:ascii="Times New Roman" w:hAnsi="Times New Roman"/>
          <w:szCs w:val="24"/>
        </w:rPr>
      </w:pPr>
    </w:p>
    <w:p w:rsidR="001E0EF1" w:rsidRDefault="001E0EF1" w:rsidP="00667389">
      <w:pPr>
        <w:rPr>
          <w:rFonts w:ascii="Times New Roman" w:hAnsi="Times New Roman"/>
          <w:szCs w:val="24"/>
        </w:rPr>
      </w:pPr>
    </w:p>
    <w:p w:rsidR="001E0EF1" w:rsidRDefault="001E0EF1" w:rsidP="00667389">
      <w:pPr>
        <w:rPr>
          <w:rFonts w:ascii="Times New Roman" w:hAnsi="Times New Roman"/>
          <w:szCs w:val="24"/>
        </w:rPr>
      </w:pPr>
    </w:p>
    <w:p w:rsidR="004F5748" w:rsidRDefault="004F5748" w:rsidP="00667389">
      <w:pPr>
        <w:rPr>
          <w:rFonts w:ascii="Times New Roman" w:hAnsi="Times New Roman"/>
          <w:szCs w:val="24"/>
        </w:rPr>
      </w:pPr>
    </w:p>
    <w:p w:rsidR="001E0EF1" w:rsidRDefault="004F5748" w:rsidP="00667389">
      <w:pPr>
        <w:jc w:val="center"/>
        <w:outlineLvl w:val="0"/>
        <w:rPr>
          <w:rFonts w:ascii="Times New Roman" w:hAnsi="Times New Roman"/>
          <w:b/>
          <w:szCs w:val="24"/>
        </w:rPr>
      </w:pPr>
      <w:bookmarkStart w:id="0" w:name="_Toc431703333"/>
      <w:bookmarkStart w:id="1" w:name="_Toc431895362"/>
      <w:bookmarkStart w:id="2" w:name="_Toc431895431"/>
      <w:r>
        <w:rPr>
          <w:rFonts w:ascii="Times New Roman" w:hAnsi="Times New Roman"/>
          <w:b/>
          <w:szCs w:val="24"/>
        </w:rPr>
        <w:t>PACIFIC POWER &amp; LIGHT COMPANY</w:t>
      </w:r>
      <w:r w:rsidR="005C57DF">
        <w:rPr>
          <w:rFonts w:ascii="Times New Roman" w:hAnsi="Times New Roman"/>
          <w:b/>
          <w:szCs w:val="24"/>
        </w:rPr>
        <w:t xml:space="preserve">’S </w:t>
      </w:r>
      <w:r w:rsidR="00610921">
        <w:rPr>
          <w:rFonts w:ascii="Times New Roman" w:hAnsi="Times New Roman"/>
          <w:b/>
          <w:szCs w:val="24"/>
        </w:rPr>
        <w:t xml:space="preserve">REPLY </w:t>
      </w:r>
      <w:r w:rsidR="005C57DF">
        <w:rPr>
          <w:rFonts w:ascii="Times New Roman" w:hAnsi="Times New Roman"/>
          <w:b/>
          <w:szCs w:val="24"/>
        </w:rPr>
        <w:t>BRIEF</w:t>
      </w:r>
      <w:bookmarkEnd w:id="0"/>
      <w:bookmarkEnd w:id="1"/>
      <w:bookmarkEnd w:id="2"/>
    </w:p>
    <w:p w:rsidR="001E0EF1" w:rsidRDefault="001E0EF1" w:rsidP="00667389">
      <w:pPr>
        <w:jc w:val="center"/>
        <w:rPr>
          <w:rFonts w:ascii="Times New Roman" w:hAnsi="Times New Roman"/>
          <w:b/>
          <w:szCs w:val="24"/>
        </w:rPr>
      </w:pPr>
    </w:p>
    <w:p w:rsidR="001E0EF1" w:rsidRDefault="001E0EF1" w:rsidP="00667389">
      <w:pPr>
        <w:jc w:val="center"/>
        <w:rPr>
          <w:rFonts w:ascii="Times New Roman" w:hAnsi="Times New Roman"/>
          <w:b/>
          <w:szCs w:val="24"/>
        </w:rPr>
      </w:pPr>
    </w:p>
    <w:p w:rsidR="001E0EF1" w:rsidRDefault="001E0EF1" w:rsidP="00667389">
      <w:pPr>
        <w:jc w:val="center"/>
        <w:rPr>
          <w:rFonts w:ascii="Times New Roman" w:hAnsi="Times New Roman"/>
          <w:b/>
          <w:szCs w:val="24"/>
        </w:rPr>
      </w:pPr>
    </w:p>
    <w:p w:rsidR="004F5748" w:rsidRDefault="004F5748" w:rsidP="00667389">
      <w:pPr>
        <w:jc w:val="center"/>
        <w:rPr>
          <w:rFonts w:ascii="Times New Roman" w:hAnsi="Times New Roman"/>
          <w:b/>
          <w:szCs w:val="24"/>
        </w:rPr>
      </w:pPr>
    </w:p>
    <w:p w:rsidR="004F5748" w:rsidRDefault="004F5748" w:rsidP="00667389">
      <w:pPr>
        <w:jc w:val="center"/>
        <w:rPr>
          <w:rFonts w:ascii="Times New Roman" w:hAnsi="Times New Roman"/>
          <w:b/>
          <w:szCs w:val="24"/>
        </w:rPr>
      </w:pPr>
    </w:p>
    <w:p w:rsidR="004F5748" w:rsidRDefault="004F5748" w:rsidP="00667389">
      <w:pPr>
        <w:jc w:val="center"/>
        <w:rPr>
          <w:rFonts w:ascii="Times New Roman" w:hAnsi="Times New Roman"/>
          <w:b/>
          <w:szCs w:val="24"/>
        </w:rPr>
      </w:pPr>
    </w:p>
    <w:p w:rsidR="004F5748" w:rsidRDefault="004F5748" w:rsidP="004F5748">
      <w:pPr>
        <w:rPr>
          <w:rFonts w:ascii="Times New Roman" w:hAnsi="Times New Roman"/>
          <w:b/>
          <w:szCs w:val="24"/>
        </w:rPr>
      </w:pPr>
    </w:p>
    <w:p w:rsidR="004F5748" w:rsidRDefault="004F5748" w:rsidP="00667389">
      <w:pPr>
        <w:jc w:val="center"/>
        <w:rPr>
          <w:rFonts w:ascii="Times New Roman" w:hAnsi="Times New Roman"/>
          <w:b/>
          <w:szCs w:val="24"/>
        </w:rPr>
      </w:pPr>
    </w:p>
    <w:p w:rsidR="004F5748" w:rsidRDefault="004F5748" w:rsidP="00667389">
      <w:pPr>
        <w:jc w:val="center"/>
        <w:rPr>
          <w:rFonts w:ascii="Times New Roman" w:hAnsi="Times New Roman"/>
          <w:b/>
          <w:szCs w:val="24"/>
        </w:rPr>
      </w:pPr>
    </w:p>
    <w:p w:rsidR="004F5748" w:rsidRDefault="004F5748" w:rsidP="00667389">
      <w:pPr>
        <w:jc w:val="center"/>
        <w:rPr>
          <w:rFonts w:ascii="Times New Roman" w:hAnsi="Times New Roman"/>
          <w:b/>
          <w:szCs w:val="24"/>
        </w:rPr>
      </w:pPr>
    </w:p>
    <w:p w:rsidR="004F5748" w:rsidRDefault="004F5748" w:rsidP="00667389">
      <w:pPr>
        <w:jc w:val="center"/>
        <w:rPr>
          <w:rFonts w:ascii="Times New Roman" w:hAnsi="Times New Roman"/>
          <w:b/>
          <w:szCs w:val="24"/>
        </w:rPr>
      </w:pPr>
    </w:p>
    <w:p w:rsidR="004F5748" w:rsidRDefault="004F5748" w:rsidP="00667389">
      <w:pPr>
        <w:jc w:val="center"/>
        <w:rPr>
          <w:rFonts w:ascii="Times New Roman" w:hAnsi="Times New Roman"/>
          <w:b/>
          <w:szCs w:val="24"/>
        </w:rPr>
      </w:pPr>
    </w:p>
    <w:p w:rsidR="004F5748" w:rsidRDefault="004F5748" w:rsidP="00667389">
      <w:pPr>
        <w:jc w:val="center"/>
        <w:rPr>
          <w:rFonts w:ascii="Times New Roman" w:hAnsi="Times New Roman"/>
          <w:b/>
          <w:szCs w:val="24"/>
        </w:rPr>
      </w:pPr>
    </w:p>
    <w:p w:rsidR="004F5748" w:rsidRDefault="004F5748" w:rsidP="00667389">
      <w:pPr>
        <w:jc w:val="center"/>
        <w:rPr>
          <w:rFonts w:ascii="Times New Roman" w:hAnsi="Times New Roman"/>
          <w:b/>
          <w:szCs w:val="24"/>
        </w:rPr>
      </w:pPr>
    </w:p>
    <w:p w:rsidR="004F5748" w:rsidRDefault="004F5748" w:rsidP="00667389">
      <w:pPr>
        <w:jc w:val="center"/>
        <w:rPr>
          <w:rFonts w:ascii="Times New Roman" w:hAnsi="Times New Roman"/>
          <w:b/>
          <w:szCs w:val="24"/>
        </w:rPr>
      </w:pPr>
    </w:p>
    <w:p w:rsidR="004F5748" w:rsidRDefault="004F5748" w:rsidP="00667389">
      <w:pPr>
        <w:jc w:val="center"/>
        <w:rPr>
          <w:rFonts w:ascii="Times New Roman" w:hAnsi="Times New Roman"/>
          <w:b/>
          <w:szCs w:val="24"/>
        </w:rPr>
      </w:pPr>
    </w:p>
    <w:p w:rsidR="004F5748" w:rsidRDefault="004F5748" w:rsidP="00667389">
      <w:pPr>
        <w:jc w:val="center"/>
        <w:rPr>
          <w:rFonts w:ascii="Times New Roman" w:hAnsi="Times New Roman"/>
          <w:b/>
          <w:szCs w:val="24"/>
        </w:rPr>
      </w:pPr>
    </w:p>
    <w:p w:rsidR="004F5748" w:rsidRDefault="004F5748" w:rsidP="00667389">
      <w:pPr>
        <w:jc w:val="center"/>
        <w:rPr>
          <w:rFonts w:ascii="Times New Roman" w:hAnsi="Times New Roman"/>
          <w:b/>
          <w:szCs w:val="24"/>
        </w:rPr>
      </w:pPr>
    </w:p>
    <w:p w:rsidR="004F5748" w:rsidRDefault="004F5748" w:rsidP="00667389">
      <w:pPr>
        <w:jc w:val="center"/>
        <w:rPr>
          <w:rFonts w:ascii="Times New Roman" w:hAnsi="Times New Roman"/>
          <w:b/>
          <w:szCs w:val="24"/>
        </w:rPr>
      </w:pPr>
    </w:p>
    <w:p w:rsidR="001E0EF1" w:rsidRDefault="001E0EF1" w:rsidP="00667389">
      <w:pPr>
        <w:jc w:val="center"/>
        <w:rPr>
          <w:rFonts w:ascii="Times New Roman" w:hAnsi="Times New Roman"/>
          <w:b/>
          <w:szCs w:val="24"/>
        </w:rPr>
      </w:pPr>
    </w:p>
    <w:p w:rsidR="001E0EF1" w:rsidRDefault="00610921" w:rsidP="00667389">
      <w:pPr>
        <w:jc w:val="center"/>
        <w:rPr>
          <w:rFonts w:ascii="Times New Roman" w:hAnsi="Times New Roman"/>
          <w:szCs w:val="24"/>
        </w:rPr>
      </w:pPr>
      <w:r>
        <w:rPr>
          <w:rFonts w:ascii="Times New Roman" w:hAnsi="Times New Roman"/>
          <w:b/>
          <w:szCs w:val="24"/>
        </w:rPr>
        <w:t xml:space="preserve">October </w:t>
      </w:r>
      <w:r w:rsidR="007D5C53">
        <w:rPr>
          <w:rFonts w:ascii="Times New Roman" w:hAnsi="Times New Roman"/>
          <w:b/>
          <w:szCs w:val="24"/>
        </w:rPr>
        <w:t>7</w:t>
      </w:r>
      <w:r>
        <w:rPr>
          <w:rFonts w:ascii="Times New Roman" w:hAnsi="Times New Roman"/>
          <w:b/>
          <w:szCs w:val="24"/>
        </w:rPr>
        <w:t>,</w:t>
      </w:r>
      <w:r w:rsidR="005C57DF" w:rsidRPr="00667389">
        <w:rPr>
          <w:rFonts w:ascii="Times New Roman" w:hAnsi="Times New Roman"/>
          <w:b/>
          <w:szCs w:val="24"/>
        </w:rPr>
        <w:t xml:space="preserve"> 201</w:t>
      </w:r>
      <w:r w:rsidR="00C671F4" w:rsidRPr="00667389">
        <w:rPr>
          <w:rFonts w:ascii="Times New Roman" w:hAnsi="Times New Roman"/>
          <w:b/>
          <w:szCs w:val="24"/>
        </w:rPr>
        <w:t>5</w:t>
      </w:r>
    </w:p>
    <w:p w:rsidR="001E0EF1" w:rsidRDefault="001E0EF1" w:rsidP="00667389">
      <w:pPr>
        <w:jc w:val="center"/>
        <w:rPr>
          <w:rFonts w:ascii="Times New Roman" w:hAnsi="Times New Roman"/>
          <w:szCs w:val="24"/>
        </w:rPr>
        <w:sectPr w:rsidR="001E0EF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rsidR="001E0EF1" w:rsidRDefault="005C57DF" w:rsidP="00667389">
      <w:pPr>
        <w:jc w:val="center"/>
        <w:outlineLvl w:val="0"/>
        <w:rPr>
          <w:rFonts w:ascii="Times New Roman" w:hAnsi="Times New Roman"/>
          <w:b/>
          <w:szCs w:val="24"/>
        </w:rPr>
      </w:pPr>
      <w:bookmarkStart w:id="3" w:name="_Toc431703334"/>
      <w:bookmarkStart w:id="4" w:name="_Toc431895363"/>
      <w:bookmarkStart w:id="5" w:name="_Toc431895432"/>
      <w:r w:rsidRPr="00634087">
        <w:rPr>
          <w:rFonts w:ascii="Times New Roman" w:hAnsi="Times New Roman"/>
          <w:b/>
          <w:szCs w:val="24"/>
        </w:rPr>
        <w:lastRenderedPageBreak/>
        <w:t>TABLE OF CONTENTS</w:t>
      </w:r>
      <w:bookmarkEnd w:id="3"/>
      <w:bookmarkEnd w:id="4"/>
      <w:bookmarkEnd w:id="5"/>
    </w:p>
    <w:p w:rsidR="00724486" w:rsidRDefault="00724486" w:rsidP="00667389">
      <w:pPr>
        <w:jc w:val="center"/>
        <w:rPr>
          <w:rFonts w:ascii="Times New Roman" w:hAnsi="Times New Roman"/>
          <w:b/>
          <w:szCs w:val="24"/>
        </w:rPr>
      </w:pPr>
    </w:p>
    <w:p w:rsidR="00724486" w:rsidRDefault="00724486" w:rsidP="00667389">
      <w:pPr>
        <w:jc w:val="center"/>
        <w:rPr>
          <w:rFonts w:ascii="Times New Roman" w:hAnsi="Times New Roman"/>
          <w:b/>
          <w:szCs w:val="24"/>
        </w:rPr>
      </w:pPr>
    </w:p>
    <w:p w:rsidR="00724486" w:rsidRDefault="00724486" w:rsidP="00667389">
      <w:pPr>
        <w:jc w:val="center"/>
        <w:rPr>
          <w:rFonts w:ascii="Times New Roman" w:hAnsi="Times New Roman"/>
          <w:b/>
          <w:szCs w:val="24"/>
        </w:rPr>
      </w:pPr>
    </w:p>
    <w:p w:rsidR="008F49BA" w:rsidRDefault="00D8056D">
      <w:pPr>
        <w:pStyle w:val="TOC1"/>
        <w:rPr>
          <w:rFonts w:asciiTheme="minorHAnsi" w:eastAsiaTheme="minorEastAsia" w:hAnsiTheme="minorHAnsi" w:cstheme="minorBidi"/>
          <w:noProof/>
          <w:sz w:val="22"/>
          <w:szCs w:val="22"/>
        </w:rPr>
      </w:pPr>
      <w:r>
        <w:rPr>
          <w:rFonts w:ascii="Times New Roman" w:hAnsi="Times New Roman"/>
          <w:b/>
          <w:szCs w:val="24"/>
        </w:rPr>
        <w:fldChar w:fldCharType="begin"/>
      </w:r>
      <w:r w:rsidR="00724486">
        <w:rPr>
          <w:rFonts w:ascii="Times New Roman" w:hAnsi="Times New Roman"/>
          <w:b/>
          <w:szCs w:val="24"/>
        </w:rPr>
        <w:instrText xml:space="preserve"> TOC \o "1-3" \h \z \t "H2,2,H1,1,H3,3" </w:instrText>
      </w:r>
      <w:r>
        <w:rPr>
          <w:rFonts w:ascii="Times New Roman" w:hAnsi="Times New Roman"/>
          <w:b/>
          <w:szCs w:val="24"/>
        </w:rPr>
        <w:fldChar w:fldCharType="separate"/>
      </w:r>
      <w:hyperlink w:anchor="_Toc431977324" w:history="1">
        <w:r w:rsidR="008F49BA" w:rsidRPr="00A415B4">
          <w:rPr>
            <w:rStyle w:val="Hyperlink"/>
            <w:noProof/>
            <w:snapToGrid w:val="0"/>
            <w:w w:val="0"/>
          </w:rPr>
          <w:t>I.</w:t>
        </w:r>
        <w:r w:rsidR="008F49BA">
          <w:rPr>
            <w:rFonts w:asciiTheme="minorHAnsi" w:eastAsiaTheme="minorEastAsia" w:hAnsiTheme="minorHAnsi" w:cstheme="minorBidi"/>
            <w:noProof/>
            <w:sz w:val="22"/>
            <w:szCs w:val="22"/>
          </w:rPr>
          <w:tab/>
        </w:r>
        <w:r w:rsidR="008F49BA" w:rsidRPr="00A415B4">
          <w:rPr>
            <w:rStyle w:val="Hyperlink"/>
            <w:noProof/>
          </w:rPr>
          <w:t>INTRODUCTION</w:t>
        </w:r>
        <w:r w:rsidR="008F49BA">
          <w:rPr>
            <w:noProof/>
            <w:webHidden/>
          </w:rPr>
          <w:tab/>
        </w:r>
        <w:r>
          <w:rPr>
            <w:noProof/>
            <w:webHidden/>
          </w:rPr>
          <w:fldChar w:fldCharType="begin"/>
        </w:r>
        <w:r w:rsidR="008F49BA">
          <w:rPr>
            <w:noProof/>
            <w:webHidden/>
          </w:rPr>
          <w:instrText xml:space="preserve"> PAGEREF _Toc431977324 \h </w:instrText>
        </w:r>
        <w:r>
          <w:rPr>
            <w:noProof/>
            <w:webHidden/>
          </w:rPr>
        </w:r>
        <w:r>
          <w:rPr>
            <w:noProof/>
            <w:webHidden/>
          </w:rPr>
          <w:fldChar w:fldCharType="separate"/>
        </w:r>
        <w:r w:rsidR="008D511F">
          <w:rPr>
            <w:noProof/>
            <w:webHidden/>
          </w:rPr>
          <w:t>1</w:t>
        </w:r>
        <w:r>
          <w:rPr>
            <w:noProof/>
            <w:webHidden/>
          </w:rPr>
          <w:fldChar w:fldCharType="end"/>
        </w:r>
      </w:hyperlink>
    </w:p>
    <w:p w:rsidR="008F49BA" w:rsidRDefault="008D511F">
      <w:pPr>
        <w:pStyle w:val="TOC1"/>
        <w:rPr>
          <w:rFonts w:asciiTheme="minorHAnsi" w:eastAsiaTheme="minorEastAsia" w:hAnsiTheme="minorHAnsi" w:cstheme="minorBidi"/>
          <w:noProof/>
          <w:sz w:val="22"/>
          <w:szCs w:val="22"/>
        </w:rPr>
      </w:pPr>
      <w:hyperlink w:anchor="_Toc431977325" w:history="1">
        <w:r w:rsidR="008F49BA" w:rsidRPr="00A415B4">
          <w:rPr>
            <w:rStyle w:val="Hyperlink"/>
            <w:noProof/>
            <w:snapToGrid w:val="0"/>
            <w:w w:val="0"/>
          </w:rPr>
          <w:t>II.</w:t>
        </w:r>
        <w:r w:rsidR="008F49BA">
          <w:rPr>
            <w:rFonts w:asciiTheme="minorHAnsi" w:eastAsiaTheme="minorEastAsia" w:hAnsiTheme="minorHAnsi" w:cstheme="minorBidi"/>
            <w:noProof/>
            <w:sz w:val="22"/>
            <w:szCs w:val="22"/>
          </w:rPr>
          <w:tab/>
        </w:r>
        <w:r w:rsidR="008F49BA" w:rsidRPr="00A415B4">
          <w:rPr>
            <w:rStyle w:val="Hyperlink"/>
            <w:noProof/>
          </w:rPr>
          <w:t>DISCUSSION</w:t>
        </w:r>
        <w:r w:rsidR="008F49BA">
          <w:rPr>
            <w:noProof/>
            <w:webHidden/>
          </w:rPr>
          <w:tab/>
        </w:r>
        <w:r w:rsidR="00D8056D">
          <w:rPr>
            <w:noProof/>
            <w:webHidden/>
          </w:rPr>
          <w:fldChar w:fldCharType="begin"/>
        </w:r>
        <w:r w:rsidR="008F49BA">
          <w:rPr>
            <w:noProof/>
            <w:webHidden/>
          </w:rPr>
          <w:instrText xml:space="preserve"> PAGEREF _Toc431977325 \h </w:instrText>
        </w:r>
        <w:r w:rsidR="00D8056D">
          <w:rPr>
            <w:noProof/>
            <w:webHidden/>
          </w:rPr>
        </w:r>
        <w:r w:rsidR="00D8056D">
          <w:rPr>
            <w:noProof/>
            <w:webHidden/>
          </w:rPr>
          <w:fldChar w:fldCharType="separate"/>
        </w:r>
        <w:r>
          <w:rPr>
            <w:noProof/>
            <w:webHidden/>
          </w:rPr>
          <w:t>1</w:t>
        </w:r>
        <w:r w:rsidR="00D8056D">
          <w:rPr>
            <w:noProof/>
            <w:webHidden/>
          </w:rPr>
          <w:fldChar w:fldCharType="end"/>
        </w:r>
      </w:hyperlink>
    </w:p>
    <w:p w:rsidR="008F49BA" w:rsidRDefault="008D511F">
      <w:pPr>
        <w:pStyle w:val="TOC2"/>
        <w:rPr>
          <w:rFonts w:asciiTheme="minorHAnsi" w:hAnsiTheme="minorHAnsi"/>
          <w:noProof/>
          <w:sz w:val="22"/>
        </w:rPr>
      </w:pPr>
      <w:hyperlink w:anchor="_Toc431977326" w:history="1">
        <w:r w:rsidR="008F49BA" w:rsidRPr="00A415B4">
          <w:rPr>
            <w:rStyle w:val="Hyperlink"/>
            <w:noProof/>
          </w:rPr>
          <w:t>A.</w:t>
        </w:r>
        <w:r w:rsidR="008F49BA">
          <w:rPr>
            <w:rFonts w:asciiTheme="minorHAnsi" w:hAnsiTheme="minorHAnsi"/>
            <w:noProof/>
            <w:sz w:val="22"/>
          </w:rPr>
          <w:tab/>
        </w:r>
        <w:r w:rsidR="008F49BA" w:rsidRPr="00A415B4">
          <w:rPr>
            <w:rStyle w:val="Hyperlink"/>
            <w:noProof/>
          </w:rPr>
          <w:t>Costs Paid to a QF Should Reflect a Utility’s Avoided Cost, Nothing More.</w:t>
        </w:r>
        <w:r w:rsidR="008F49BA">
          <w:rPr>
            <w:noProof/>
            <w:webHidden/>
          </w:rPr>
          <w:tab/>
        </w:r>
        <w:r w:rsidR="00D8056D">
          <w:rPr>
            <w:noProof/>
            <w:webHidden/>
          </w:rPr>
          <w:fldChar w:fldCharType="begin"/>
        </w:r>
        <w:r w:rsidR="008F49BA">
          <w:rPr>
            <w:noProof/>
            <w:webHidden/>
          </w:rPr>
          <w:instrText xml:space="preserve"> PAGEREF _Toc431977326 \h </w:instrText>
        </w:r>
        <w:r w:rsidR="00D8056D">
          <w:rPr>
            <w:noProof/>
            <w:webHidden/>
          </w:rPr>
        </w:r>
        <w:r w:rsidR="00D8056D">
          <w:rPr>
            <w:noProof/>
            <w:webHidden/>
          </w:rPr>
          <w:fldChar w:fldCharType="separate"/>
        </w:r>
        <w:r>
          <w:rPr>
            <w:noProof/>
            <w:webHidden/>
          </w:rPr>
          <w:t>1</w:t>
        </w:r>
        <w:r w:rsidR="00D8056D">
          <w:rPr>
            <w:noProof/>
            <w:webHidden/>
          </w:rPr>
          <w:fldChar w:fldCharType="end"/>
        </w:r>
      </w:hyperlink>
    </w:p>
    <w:p w:rsidR="008F49BA" w:rsidRDefault="008D511F">
      <w:pPr>
        <w:pStyle w:val="TOC2"/>
        <w:rPr>
          <w:rFonts w:asciiTheme="minorHAnsi" w:hAnsiTheme="minorHAnsi"/>
          <w:noProof/>
          <w:sz w:val="22"/>
        </w:rPr>
      </w:pPr>
      <w:hyperlink w:anchor="_Toc431977327" w:history="1">
        <w:r w:rsidR="008F49BA" w:rsidRPr="00A415B4">
          <w:rPr>
            <w:rStyle w:val="Hyperlink"/>
            <w:noProof/>
          </w:rPr>
          <w:t>B.</w:t>
        </w:r>
        <w:r w:rsidR="008F49BA">
          <w:rPr>
            <w:rFonts w:asciiTheme="minorHAnsi" w:hAnsiTheme="minorHAnsi"/>
            <w:noProof/>
            <w:sz w:val="22"/>
          </w:rPr>
          <w:tab/>
        </w:r>
        <w:r w:rsidR="008F49BA" w:rsidRPr="00A415B4">
          <w:rPr>
            <w:rStyle w:val="Hyperlink"/>
            <w:noProof/>
          </w:rPr>
          <w:t>Cost Projections Are an Appropriate Source of Avoided Costs.</w:t>
        </w:r>
        <w:r w:rsidR="008F49BA">
          <w:rPr>
            <w:noProof/>
            <w:webHidden/>
          </w:rPr>
          <w:tab/>
        </w:r>
        <w:r w:rsidR="00D8056D">
          <w:rPr>
            <w:noProof/>
            <w:webHidden/>
          </w:rPr>
          <w:fldChar w:fldCharType="begin"/>
        </w:r>
        <w:r w:rsidR="008F49BA">
          <w:rPr>
            <w:noProof/>
            <w:webHidden/>
          </w:rPr>
          <w:instrText xml:space="preserve"> PAGEREF _Toc431977327 \h </w:instrText>
        </w:r>
        <w:r w:rsidR="00D8056D">
          <w:rPr>
            <w:noProof/>
            <w:webHidden/>
          </w:rPr>
        </w:r>
        <w:r w:rsidR="00D8056D">
          <w:rPr>
            <w:noProof/>
            <w:webHidden/>
          </w:rPr>
          <w:fldChar w:fldCharType="separate"/>
        </w:r>
        <w:r>
          <w:rPr>
            <w:noProof/>
            <w:webHidden/>
          </w:rPr>
          <w:t>3</w:t>
        </w:r>
        <w:r w:rsidR="00D8056D">
          <w:rPr>
            <w:noProof/>
            <w:webHidden/>
          </w:rPr>
          <w:fldChar w:fldCharType="end"/>
        </w:r>
      </w:hyperlink>
    </w:p>
    <w:p w:rsidR="008F49BA" w:rsidRDefault="008D511F">
      <w:pPr>
        <w:pStyle w:val="TOC2"/>
        <w:rPr>
          <w:rFonts w:asciiTheme="minorHAnsi" w:hAnsiTheme="minorHAnsi"/>
          <w:noProof/>
          <w:sz w:val="22"/>
        </w:rPr>
      </w:pPr>
      <w:hyperlink w:anchor="_Toc431977328" w:history="1">
        <w:r w:rsidR="008F49BA" w:rsidRPr="00A415B4">
          <w:rPr>
            <w:rStyle w:val="Hyperlink"/>
            <w:noProof/>
          </w:rPr>
          <w:t xml:space="preserve">C.  </w:t>
        </w:r>
        <w:r w:rsidR="008F49BA">
          <w:rPr>
            <w:rFonts w:asciiTheme="minorHAnsi" w:hAnsiTheme="minorHAnsi"/>
            <w:noProof/>
            <w:sz w:val="22"/>
          </w:rPr>
          <w:tab/>
        </w:r>
        <w:r w:rsidR="008F49BA" w:rsidRPr="00A415B4">
          <w:rPr>
            <w:rStyle w:val="Hyperlink"/>
            <w:noProof/>
          </w:rPr>
          <w:t>The Avoided Cost of Front Office Transactions (FOTs) Is the Appropriate Measure of PacifiCorp’s Avoided Cost under PURPA.</w:t>
        </w:r>
        <w:r w:rsidR="008F49BA">
          <w:rPr>
            <w:noProof/>
            <w:webHidden/>
          </w:rPr>
          <w:tab/>
        </w:r>
        <w:r w:rsidR="00D8056D">
          <w:rPr>
            <w:noProof/>
            <w:webHidden/>
          </w:rPr>
          <w:fldChar w:fldCharType="begin"/>
        </w:r>
        <w:r w:rsidR="008F49BA">
          <w:rPr>
            <w:noProof/>
            <w:webHidden/>
          </w:rPr>
          <w:instrText xml:space="preserve"> PAGEREF _Toc431977328 \h </w:instrText>
        </w:r>
        <w:r w:rsidR="00D8056D">
          <w:rPr>
            <w:noProof/>
            <w:webHidden/>
          </w:rPr>
        </w:r>
        <w:r w:rsidR="00D8056D">
          <w:rPr>
            <w:noProof/>
            <w:webHidden/>
          </w:rPr>
          <w:fldChar w:fldCharType="separate"/>
        </w:r>
        <w:r>
          <w:rPr>
            <w:noProof/>
            <w:webHidden/>
          </w:rPr>
          <w:t>5</w:t>
        </w:r>
        <w:r w:rsidR="00D8056D">
          <w:rPr>
            <w:noProof/>
            <w:webHidden/>
          </w:rPr>
          <w:fldChar w:fldCharType="end"/>
        </w:r>
      </w:hyperlink>
    </w:p>
    <w:p w:rsidR="008F49BA" w:rsidRDefault="008D511F">
      <w:pPr>
        <w:pStyle w:val="TOC2"/>
        <w:rPr>
          <w:rFonts w:asciiTheme="minorHAnsi" w:hAnsiTheme="minorHAnsi"/>
          <w:noProof/>
          <w:sz w:val="22"/>
        </w:rPr>
      </w:pPr>
      <w:hyperlink w:anchor="_Toc431977329" w:history="1">
        <w:r w:rsidR="008F49BA" w:rsidRPr="00A415B4">
          <w:rPr>
            <w:rStyle w:val="Hyperlink"/>
            <w:noProof/>
          </w:rPr>
          <w:t xml:space="preserve">D. </w:t>
        </w:r>
        <w:r w:rsidR="008F49BA">
          <w:rPr>
            <w:rFonts w:asciiTheme="minorHAnsi" w:hAnsiTheme="minorHAnsi"/>
            <w:noProof/>
            <w:sz w:val="22"/>
          </w:rPr>
          <w:tab/>
        </w:r>
        <w:r w:rsidR="008F49BA" w:rsidRPr="00A415B4">
          <w:rPr>
            <w:rStyle w:val="Hyperlink"/>
            <w:noProof/>
          </w:rPr>
          <w:t>PacifiCorp’s Testimony from Its 2014 Rate Case Is Consistent with Its Testimony in This Docket.</w:t>
        </w:r>
        <w:r w:rsidR="008F49BA">
          <w:rPr>
            <w:noProof/>
            <w:webHidden/>
          </w:rPr>
          <w:tab/>
        </w:r>
        <w:r w:rsidR="00D8056D">
          <w:rPr>
            <w:noProof/>
            <w:webHidden/>
          </w:rPr>
          <w:fldChar w:fldCharType="begin"/>
        </w:r>
        <w:r w:rsidR="008F49BA">
          <w:rPr>
            <w:noProof/>
            <w:webHidden/>
          </w:rPr>
          <w:instrText xml:space="preserve"> PAGEREF _Toc431977329 \h </w:instrText>
        </w:r>
        <w:r w:rsidR="00D8056D">
          <w:rPr>
            <w:noProof/>
            <w:webHidden/>
          </w:rPr>
        </w:r>
        <w:r w:rsidR="00D8056D">
          <w:rPr>
            <w:noProof/>
            <w:webHidden/>
          </w:rPr>
          <w:fldChar w:fldCharType="separate"/>
        </w:r>
        <w:r>
          <w:rPr>
            <w:noProof/>
            <w:webHidden/>
          </w:rPr>
          <w:t>7</w:t>
        </w:r>
        <w:r w:rsidR="00D8056D">
          <w:rPr>
            <w:noProof/>
            <w:webHidden/>
          </w:rPr>
          <w:fldChar w:fldCharType="end"/>
        </w:r>
      </w:hyperlink>
    </w:p>
    <w:p w:rsidR="008F49BA" w:rsidRDefault="008D511F">
      <w:pPr>
        <w:pStyle w:val="TOC2"/>
        <w:rPr>
          <w:rFonts w:asciiTheme="minorHAnsi" w:hAnsiTheme="minorHAnsi"/>
          <w:noProof/>
          <w:sz w:val="22"/>
        </w:rPr>
      </w:pPr>
      <w:hyperlink w:anchor="_Toc431977330" w:history="1">
        <w:r w:rsidR="008F49BA" w:rsidRPr="00A415B4">
          <w:rPr>
            <w:rStyle w:val="Hyperlink"/>
            <w:noProof/>
          </w:rPr>
          <w:t>E.</w:t>
        </w:r>
        <w:r w:rsidR="008F49BA">
          <w:rPr>
            <w:rFonts w:asciiTheme="minorHAnsi" w:hAnsiTheme="minorHAnsi"/>
            <w:noProof/>
            <w:sz w:val="22"/>
          </w:rPr>
          <w:tab/>
        </w:r>
        <w:r w:rsidR="008F49BA" w:rsidRPr="00A415B4">
          <w:rPr>
            <w:rStyle w:val="Hyperlink"/>
            <w:noProof/>
          </w:rPr>
          <w:t>The Renewable Portfolio Standard (RPS) Incremental Cost Method, While Useful for RPS Purposes, Is Inappropriate for Calculating Avoided Cost.</w:t>
        </w:r>
        <w:r w:rsidR="008F49BA">
          <w:rPr>
            <w:noProof/>
            <w:webHidden/>
          </w:rPr>
          <w:tab/>
        </w:r>
        <w:r w:rsidR="00D8056D">
          <w:rPr>
            <w:noProof/>
            <w:webHidden/>
          </w:rPr>
          <w:fldChar w:fldCharType="begin"/>
        </w:r>
        <w:r w:rsidR="008F49BA">
          <w:rPr>
            <w:noProof/>
            <w:webHidden/>
          </w:rPr>
          <w:instrText xml:space="preserve"> PAGEREF _Toc431977330 \h </w:instrText>
        </w:r>
        <w:r w:rsidR="00D8056D">
          <w:rPr>
            <w:noProof/>
            <w:webHidden/>
          </w:rPr>
        </w:r>
        <w:r w:rsidR="00D8056D">
          <w:rPr>
            <w:noProof/>
            <w:webHidden/>
          </w:rPr>
          <w:fldChar w:fldCharType="separate"/>
        </w:r>
        <w:r>
          <w:rPr>
            <w:noProof/>
            <w:webHidden/>
          </w:rPr>
          <w:t>8</w:t>
        </w:r>
        <w:r w:rsidR="00D8056D">
          <w:rPr>
            <w:noProof/>
            <w:webHidden/>
          </w:rPr>
          <w:fldChar w:fldCharType="end"/>
        </w:r>
      </w:hyperlink>
    </w:p>
    <w:p w:rsidR="008F49BA" w:rsidRDefault="008D511F">
      <w:pPr>
        <w:pStyle w:val="TOC2"/>
        <w:rPr>
          <w:rFonts w:asciiTheme="minorHAnsi" w:hAnsiTheme="minorHAnsi"/>
          <w:noProof/>
          <w:sz w:val="22"/>
        </w:rPr>
      </w:pPr>
      <w:hyperlink w:anchor="_Toc431977331" w:history="1">
        <w:r w:rsidR="008F49BA" w:rsidRPr="00A415B4">
          <w:rPr>
            <w:rStyle w:val="Hyperlink"/>
            <w:noProof/>
          </w:rPr>
          <w:t>F.</w:t>
        </w:r>
        <w:r w:rsidR="008F49BA">
          <w:rPr>
            <w:rFonts w:asciiTheme="minorHAnsi" w:hAnsiTheme="minorHAnsi"/>
            <w:noProof/>
            <w:sz w:val="22"/>
          </w:rPr>
          <w:tab/>
        </w:r>
        <w:r w:rsidR="008F49BA" w:rsidRPr="00A415B4">
          <w:rPr>
            <w:rStyle w:val="Hyperlink"/>
            <w:noProof/>
          </w:rPr>
          <w:t>Other Issues.</w:t>
        </w:r>
        <w:r w:rsidR="008F49BA">
          <w:rPr>
            <w:noProof/>
            <w:webHidden/>
          </w:rPr>
          <w:tab/>
        </w:r>
        <w:r w:rsidR="00D8056D">
          <w:rPr>
            <w:noProof/>
            <w:webHidden/>
          </w:rPr>
          <w:fldChar w:fldCharType="begin"/>
        </w:r>
        <w:r w:rsidR="008F49BA">
          <w:rPr>
            <w:noProof/>
            <w:webHidden/>
          </w:rPr>
          <w:instrText xml:space="preserve"> PAGEREF _Toc431977331 \h </w:instrText>
        </w:r>
        <w:r w:rsidR="00D8056D">
          <w:rPr>
            <w:noProof/>
            <w:webHidden/>
          </w:rPr>
        </w:r>
        <w:r w:rsidR="00D8056D">
          <w:rPr>
            <w:noProof/>
            <w:webHidden/>
          </w:rPr>
          <w:fldChar w:fldCharType="separate"/>
        </w:r>
        <w:r>
          <w:rPr>
            <w:noProof/>
            <w:webHidden/>
          </w:rPr>
          <w:t>9</w:t>
        </w:r>
        <w:r w:rsidR="00D8056D">
          <w:rPr>
            <w:noProof/>
            <w:webHidden/>
          </w:rPr>
          <w:fldChar w:fldCharType="end"/>
        </w:r>
      </w:hyperlink>
    </w:p>
    <w:p w:rsidR="008F49BA" w:rsidRDefault="008D511F">
      <w:pPr>
        <w:pStyle w:val="TOC1"/>
        <w:rPr>
          <w:rFonts w:asciiTheme="minorHAnsi" w:eastAsiaTheme="minorEastAsia" w:hAnsiTheme="minorHAnsi" w:cstheme="minorBidi"/>
          <w:noProof/>
          <w:sz w:val="22"/>
          <w:szCs w:val="22"/>
        </w:rPr>
      </w:pPr>
      <w:hyperlink w:anchor="_Toc431977332" w:history="1">
        <w:r w:rsidR="008F49BA" w:rsidRPr="00A415B4">
          <w:rPr>
            <w:rStyle w:val="Hyperlink"/>
            <w:noProof/>
            <w:snapToGrid w:val="0"/>
            <w:w w:val="0"/>
          </w:rPr>
          <w:t>III.</w:t>
        </w:r>
        <w:r w:rsidR="008F49BA">
          <w:rPr>
            <w:rFonts w:asciiTheme="minorHAnsi" w:eastAsiaTheme="minorEastAsia" w:hAnsiTheme="minorHAnsi" w:cstheme="minorBidi"/>
            <w:noProof/>
            <w:sz w:val="22"/>
            <w:szCs w:val="22"/>
          </w:rPr>
          <w:tab/>
        </w:r>
        <w:r w:rsidR="008F49BA" w:rsidRPr="00A415B4">
          <w:rPr>
            <w:rStyle w:val="Hyperlink"/>
            <w:noProof/>
          </w:rPr>
          <w:t>CONCLUSION</w:t>
        </w:r>
        <w:r w:rsidR="008F49BA">
          <w:rPr>
            <w:noProof/>
            <w:webHidden/>
          </w:rPr>
          <w:tab/>
        </w:r>
        <w:r w:rsidR="00D8056D">
          <w:rPr>
            <w:noProof/>
            <w:webHidden/>
          </w:rPr>
          <w:fldChar w:fldCharType="begin"/>
        </w:r>
        <w:r w:rsidR="008F49BA">
          <w:rPr>
            <w:noProof/>
            <w:webHidden/>
          </w:rPr>
          <w:instrText xml:space="preserve"> PAGEREF _Toc431977332 \h </w:instrText>
        </w:r>
        <w:r w:rsidR="00D8056D">
          <w:rPr>
            <w:noProof/>
            <w:webHidden/>
          </w:rPr>
        </w:r>
        <w:r w:rsidR="00D8056D">
          <w:rPr>
            <w:noProof/>
            <w:webHidden/>
          </w:rPr>
          <w:fldChar w:fldCharType="separate"/>
        </w:r>
        <w:r>
          <w:rPr>
            <w:noProof/>
            <w:webHidden/>
          </w:rPr>
          <w:t>9</w:t>
        </w:r>
        <w:r w:rsidR="00D8056D">
          <w:rPr>
            <w:noProof/>
            <w:webHidden/>
          </w:rPr>
          <w:fldChar w:fldCharType="end"/>
        </w:r>
      </w:hyperlink>
    </w:p>
    <w:p w:rsidR="001E0EF1" w:rsidRDefault="00D8056D" w:rsidP="00667389">
      <w:pPr>
        <w:jc w:val="center"/>
        <w:rPr>
          <w:rFonts w:ascii="Times New Roman" w:hAnsi="Times New Roman"/>
          <w:b/>
          <w:szCs w:val="24"/>
        </w:rPr>
      </w:pPr>
      <w:r>
        <w:rPr>
          <w:rFonts w:ascii="Times New Roman" w:hAnsi="Times New Roman"/>
          <w:b/>
          <w:szCs w:val="24"/>
        </w:rPr>
        <w:fldChar w:fldCharType="end"/>
      </w:r>
      <w:r w:rsidR="005C57DF">
        <w:rPr>
          <w:rFonts w:ascii="Times New Roman" w:hAnsi="Times New Roman"/>
          <w:b/>
          <w:szCs w:val="24"/>
        </w:rPr>
        <w:br w:type="page"/>
      </w:r>
    </w:p>
    <w:p w:rsidR="001E0EF1" w:rsidRPr="00DC137F" w:rsidRDefault="005C57DF" w:rsidP="00667389">
      <w:pPr>
        <w:pStyle w:val="BATOATitle"/>
        <w:rPr>
          <w:noProof/>
          <w:u w:val="none"/>
        </w:rPr>
      </w:pPr>
      <w:bookmarkStart w:id="6" w:name="_BA_DraftTOALocation"/>
      <w:bookmarkStart w:id="7" w:name="_BA_TOAAll"/>
      <w:r w:rsidRPr="00DC137F">
        <w:rPr>
          <w:noProof/>
          <w:u w:val="none"/>
        </w:rPr>
        <w:lastRenderedPageBreak/>
        <w:t>Table of Authorities</w:t>
      </w:r>
    </w:p>
    <w:p w:rsidR="001E0EF1" w:rsidRDefault="005C57DF" w:rsidP="00667389">
      <w:pPr>
        <w:pStyle w:val="BATOAPageHeading"/>
        <w:rPr>
          <w:noProof/>
        </w:rPr>
      </w:pPr>
      <w:r>
        <w:rPr>
          <w:noProof/>
        </w:rPr>
        <w:tab/>
        <w:t>Page(s)</w:t>
      </w:r>
    </w:p>
    <w:bookmarkEnd w:id="6"/>
    <w:bookmarkEnd w:id="7"/>
    <w:p w:rsidR="003558D5" w:rsidRDefault="003558D5" w:rsidP="004C5C5C">
      <w:pPr>
        <w:pStyle w:val="BATOAEntry"/>
        <w:keepLines w:val="0"/>
        <w:rPr>
          <w:noProof/>
        </w:rPr>
      </w:pPr>
    </w:p>
    <w:p w:rsidR="007D3B63" w:rsidRDefault="00D8056D">
      <w:pPr>
        <w:pStyle w:val="TOAHeading"/>
        <w:tabs>
          <w:tab w:val="right" w:leader="dot" w:pos="9350"/>
        </w:tabs>
        <w:rPr>
          <w:rFonts w:asciiTheme="minorHAnsi" w:eastAsiaTheme="minorEastAsia" w:hAnsiTheme="minorHAnsi" w:cstheme="minorBidi"/>
          <w:b w:val="0"/>
          <w:bCs w:val="0"/>
          <w:noProof/>
          <w:sz w:val="22"/>
          <w:szCs w:val="22"/>
        </w:rPr>
      </w:pPr>
      <w:r>
        <w:rPr>
          <w:noProof/>
        </w:rPr>
        <w:fldChar w:fldCharType="begin"/>
      </w:r>
      <w:r w:rsidR="007D3B63">
        <w:rPr>
          <w:noProof/>
        </w:rPr>
        <w:instrText xml:space="preserve"> TOA \h \c "1" \p </w:instrText>
      </w:r>
      <w:r>
        <w:rPr>
          <w:noProof/>
        </w:rPr>
        <w:fldChar w:fldCharType="separate"/>
      </w:r>
      <w:r w:rsidR="007D3B63">
        <w:rPr>
          <w:noProof/>
        </w:rPr>
        <w:t>Cases</w:t>
      </w:r>
    </w:p>
    <w:p w:rsidR="007D3B63" w:rsidRDefault="007D3B63">
      <w:pPr>
        <w:pStyle w:val="TableofAuthorities"/>
        <w:tabs>
          <w:tab w:val="right" w:leader="dot" w:pos="9350"/>
        </w:tabs>
        <w:rPr>
          <w:noProof/>
        </w:rPr>
      </w:pPr>
      <w:r w:rsidRPr="008C21DC">
        <w:rPr>
          <w:i/>
          <w:noProof/>
        </w:rPr>
        <w:t>Southern Cal. Edison Co., et al.,</w:t>
      </w:r>
      <w:r>
        <w:rPr>
          <w:noProof/>
        </w:rPr>
        <w:t xml:space="preserve"> 71 FERC ¶ 61,269 (1995), </w:t>
      </w:r>
      <w:r w:rsidRPr="008C21DC">
        <w:rPr>
          <w:i/>
          <w:noProof/>
        </w:rPr>
        <w:t>overruled on other grounds, Cal Pub. Util. Comm’n</w:t>
      </w:r>
      <w:r>
        <w:rPr>
          <w:noProof/>
        </w:rPr>
        <w:t>, 133 FERC ¶ 61,059 (2010)</w:t>
      </w:r>
      <w:r>
        <w:rPr>
          <w:noProof/>
        </w:rPr>
        <w:tab/>
        <w:t>2, 3</w:t>
      </w:r>
    </w:p>
    <w:p w:rsidR="007D3B63" w:rsidRDefault="00D8056D">
      <w:pPr>
        <w:pStyle w:val="TOAHeading"/>
        <w:tabs>
          <w:tab w:val="right" w:leader="dot" w:pos="9350"/>
        </w:tabs>
        <w:rPr>
          <w:rFonts w:asciiTheme="minorHAnsi" w:eastAsiaTheme="minorEastAsia" w:hAnsiTheme="minorHAnsi" w:cstheme="minorBidi"/>
          <w:b w:val="0"/>
          <w:bCs w:val="0"/>
          <w:noProof/>
          <w:sz w:val="22"/>
          <w:szCs w:val="22"/>
        </w:rPr>
      </w:pPr>
      <w:r>
        <w:rPr>
          <w:noProof/>
        </w:rPr>
        <w:fldChar w:fldCharType="end"/>
      </w:r>
      <w:r>
        <w:rPr>
          <w:noProof/>
        </w:rPr>
        <w:fldChar w:fldCharType="begin"/>
      </w:r>
      <w:r w:rsidR="007D3B63">
        <w:rPr>
          <w:noProof/>
        </w:rPr>
        <w:instrText xml:space="preserve"> TOA \h \c "6" \p </w:instrText>
      </w:r>
      <w:r>
        <w:rPr>
          <w:noProof/>
        </w:rPr>
        <w:fldChar w:fldCharType="separate"/>
      </w:r>
      <w:r w:rsidR="007D3B63">
        <w:rPr>
          <w:noProof/>
        </w:rPr>
        <w:t>Regulations</w:t>
      </w:r>
    </w:p>
    <w:p w:rsidR="007D3B63" w:rsidRDefault="007D3B63">
      <w:pPr>
        <w:pStyle w:val="TableofAuthorities"/>
        <w:tabs>
          <w:tab w:val="right" w:leader="dot" w:pos="9350"/>
        </w:tabs>
        <w:rPr>
          <w:noProof/>
        </w:rPr>
      </w:pPr>
      <w:r>
        <w:rPr>
          <w:noProof/>
        </w:rPr>
        <w:t>18 C.F.R. § 292.101</w:t>
      </w:r>
      <w:r>
        <w:rPr>
          <w:noProof/>
        </w:rPr>
        <w:tab/>
        <w:t>1</w:t>
      </w:r>
    </w:p>
    <w:p w:rsidR="007D3B63" w:rsidRDefault="007D3B63">
      <w:pPr>
        <w:pStyle w:val="TableofAuthorities"/>
        <w:tabs>
          <w:tab w:val="right" w:leader="dot" w:pos="9350"/>
        </w:tabs>
        <w:rPr>
          <w:noProof/>
        </w:rPr>
      </w:pPr>
      <w:r>
        <w:rPr>
          <w:noProof/>
        </w:rPr>
        <w:t>18 C.F.R. § 292.304</w:t>
      </w:r>
      <w:r>
        <w:rPr>
          <w:noProof/>
        </w:rPr>
        <w:tab/>
        <w:t>2, 4</w:t>
      </w:r>
    </w:p>
    <w:p w:rsidR="007D3B63" w:rsidRDefault="00D8056D">
      <w:pPr>
        <w:pStyle w:val="TOAHeading"/>
        <w:tabs>
          <w:tab w:val="right" w:leader="dot" w:pos="9350"/>
        </w:tabs>
        <w:rPr>
          <w:rFonts w:asciiTheme="minorHAnsi" w:eastAsiaTheme="minorEastAsia" w:hAnsiTheme="minorHAnsi" w:cstheme="minorBidi"/>
          <w:b w:val="0"/>
          <w:bCs w:val="0"/>
          <w:noProof/>
          <w:sz w:val="22"/>
          <w:szCs w:val="22"/>
        </w:rPr>
      </w:pPr>
      <w:r>
        <w:rPr>
          <w:noProof/>
        </w:rPr>
        <w:fldChar w:fldCharType="end"/>
      </w:r>
      <w:r>
        <w:rPr>
          <w:noProof/>
        </w:rPr>
        <w:fldChar w:fldCharType="begin"/>
      </w:r>
      <w:r w:rsidR="007D3B63">
        <w:rPr>
          <w:noProof/>
        </w:rPr>
        <w:instrText xml:space="preserve"> TOA \h \c "8" \p </w:instrText>
      </w:r>
      <w:r>
        <w:rPr>
          <w:noProof/>
        </w:rPr>
        <w:fldChar w:fldCharType="separate"/>
      </w:r>
      <w:r w:rsidR="007D3B63">
        <w:rPr>
          <w:noProof/>
        </w:rPr>
        <w:t>Washington Utilities and Transportation Commission Orders</w:t>
      </w:r>
    </w:p>
    <w:p w:rsidR="007D3B63" w:rsidRDefault="007D3B63">
      <w:pPr>
        <w:pStyle w:val="TableofAuthorities"/>
        <w:tabs>
          <w:tab w:val="right" w:leader="dot" w:pos="9350"/>
        </w:tabs>
        <w:rPr>
          <w:noProof/>
        </w:rPr>
      </w:pPr>
      <w:r w:rsidRPr="00CA2FD8">
        <w:rPr>
          <w:noProof/>
        </w:rPr>
        <w:t>WUTC Docket No. UE 130043, Order No. 5 (Dec. 4, 2013)</w:t>
      </w:r>
      <w:r>
        <w:rPr>
          <w:noProof/>
        </w:rPr>
        <w:tab/>
        <w:t>2</w:t>
      </w:r>
    </w:p>
    <w:p w:rsidR="007D3B63" w:rsidRDefault="00D8056D">
      <w:pPr>
        <w:pStyle w:val="TOAHeading"/>
        <w:tabs>
          <w:tab w:val="right" w:leader="dot" w:pos="9350"/>
        </w:tabs>
        <w:rPr>
          <w:rFonts w:asciiTheme="minorHAnsi" w:eastAsiaTheme="minorEastAsia" w:hAnsiTheme="minorHAnsi" w:cstheme="minorBidi"/>
          <w:b w:val="0"/>
          <w:bCs w:val="0"/>
          <w:noProof/>
          <w:sz w:val="22"/>
          <w:szCs w:val="22"/>
        </w:rPr>
      </w:pPr>
      <w:r>
        <w:rPr>
          <w:noProof/>
        </w:rPr>
        <w:fldChar w:fldCharType="end"/>
      </w:r>
      <w:r>
        <w:rPr>
          <w:noProof/>
        </w:rPr>
        <w:fldChar w:fldCharType="begin"/>
      </w:r>
      <w:r w:rsidR="007D3B63">
        <w:rPr>
          <w:noProof/>
        </w:rPr>
        <w:instrText xml:space="preserve"> TOA \h \c "9" \p </w:instrText>
      </w:r>
      <w:r>
        <w:rPr>
          <w:noProof/>
        </w:rPr>
        <w:fldChar w:fldCharType="separate"/>
      </w:r>
      <w:r w:rsidR="007D3B63">
        <w:rPr>
          <w:noProof/>
        </w:rPr>
        <w:t>FERC Orders</w:t>
      </w:r>
    </w:p>
    <w:p w:rsidR="007D3B63" w:rsidRDefault="007D3B63">
      <w:pPr>
        <w:pStyle w:val="TableofAuthorities"/>
        <w:tabs>
          <w:tab w:val="right" w:leader="dot" w:pos="9350"/>
        </w:tabs>
        <w:rPr>
          <w:noProof/>
        </w:rPr>
      </w:pPr>
      <w:r>
        <w:rPr>
          <w:noProof/>
        </w:rPr>
        <w:t xml:space="preserve">Order No. 69, </w:t>
      </w:r>
      <w:r w:rsidRPr="009D54A3">
        <w:rPr>
          <w:i/>
          <w:noProof/>
        </w:rPr>
        <w:t xml:space="preserve">Small Power Production and Cogeneration Facilities; Regulations Implementing Section 210 of the Pub. Util. Regulatory Policies Act of 1978, </w:t>
      </w:r>
      <w:r>
        <w:rPr>
          <w:noProof/>
        </w:rPr>
        <w:t>45 Fed. Reg. 12,214 (1980)</w:t>
      </w:r>
      <w:r>
        <w:rPr>
          <w:noProof/>
        </w:rPr>
        <w:tab/>
        <w:t>4, 5</w:t>
      </w:r>
    </w:p>
    <w:p w:rsidR="00460F0B" w:rsidRDefault="00D8056D" w:rsidP="004C5C5C">
      <w:pPr>
        <w:pStyle w:val="BATOAEntry"/>
        <w:keepLines w:val="0"/>
        <w:rPr>
          <w:noProof/>
        </w:rPr>
        <w:sectPr w:rsidR="00460F0B">
          <w:footerReference w:type="default" r:id="rId19"/>
          <w:pgSz w:w="12240" w:h="15840"/>
          <w:pgMar w:top="1440" w:right="1440" w:bottom="1440" w:left="1440" w:header="720" w:footer="720" w:gutter="0"/>
          <w:pgNumType w:fmt="lowerRoman" w:start="1"/>
          <w:cols w:space="720"/>
          <w:docGrid w:linePitch="360"/>
        </w:sectPr>
      </w:pPr>
      <w:r>
        <w:rPr>
          <w:noProof/>
        </w:rPr>
        <w:fldChar w:fldCharType="end"/>
      </w:r>
      <w:bookmarkStart w:id="8" w:name="_GoBack"/>
      <w:bookmarkEnd w:id="8"/>
    </w:p>
    <w:p w:rsidR="001E0EF1" w:rsidRPr="00E75365" w:rsidRDefault="008F13B7" w:rsidP="004F5748">
      <w:pPr>
        <w:pStyle w:val="H1"/>
        <w:spacing w:line="480" w:lineRule="auto"/>
      </w:pPr>
      <w:bookmarkStart w:id="9" w:name="_Toc431977324"/>
      <w:bookmarkStart w:id="10" w:name="_BA_ScanRange"/>
      <w:bookmarkStart w:id="11" w:name="_Toc368391682"/>
      <w:r w:rsidRPr="00E75365">
        <w:lastRenderedPageBreak/>
        <w:t>INTRODUCTION</w:t>
      </w:r>
      <w:bookmarkEnd w:id="9"/>
    </w:p>
    <w:p w:rsidR="008B54CF" w:rsidRDefault="008B54CF" w:rsidP="004F5748">
      <w:pPr>
        <w:pStyle w:val="WAP1"/>
        <w:widowControl/>
        <w:spacing w:line="480" w:lineRule="auto"/>
      </w:pPr>
      <w:r>
        <w:tab/>
      </w:r>
      <w:r w:rsidR="008F13B7">
        <w:t>Pacific Power &amp; Light Company</w:t>
      </w:r>
      <w:r w:rsidR="00B32723">
        <w:t>, a division of PacifiCorp</w:t>
      </w:r>
      <w:r w:rsidR="00ED5B5A" w:rsidRPr="008F13B7">
        <w:t xml:space="preserve"> (PacifiCorp</w:t>
      </w:r>
      <w:r w:rsidR="005C57DF" w:rsidRPr="008F13B7">
        <w:t xml:space="preserve"> or</w:t>
      </w:r>
      <w:r w:rsidR="005C57DF">
        <w:t xml:space="preserve"> Company)</w:t>
      </w:r>
      <w:r w:rsidR="0079086F">
        <w:t>,</w:t>
      </w:r>
      <w:r>
        <w:t xml:space="preserve"> </w:t>
      </w:r>
      <w:r w:rsidR="008F13B7">
        <w:t>files this reply brief in response to the initial briefs filed by Commission staff (Staff) and the Renewable Energy Coalition (REC).</w:t>
      </w:r>
      <w:r w:rsidR="008F13B7">
        <w:rPr>
          <w:rStyle w:val="FootnoteReference"/>
        </w:rPr>
        <w:footnoteReference w:id="1"/>
      </w:r>
    </w:p>
    <w:p w:rsidR="00F131A8" w:rsidRDefault="008B54CF" w:rsidP="004F5748">
      <w:pPr>
        <w:pStyle w:val="WAP1"/>
        <w:widowControl/>
        <w:spacing w:line="480" w:lineRule="auto"/>
      </w:pPr>
      <w:r>
        <w:tab/>
      </w:r>
      <w:r w:rsidR="00B32723">
        <w:t xml:space="preserve">As noted in PacifiCorp’s </w:t>
      </w:r>
      <w:r w:rsidR="0096317D">
        <w:t>Initial Brief</w:t>
      </w:r>
      <w:r w:rsidR="00B32723">
        <w:t>, t</w:t>
      </w:r>
      <w:r>
        <w:t>he</w:t>
      </w:r>
      <w:r w:rsidR="00B32723">
        <w:t xml:space="preserve"> Company’s proposed Schedule 37 proposes to eliminate</w:t>
      </w:r>
      <w:r w:rsidR="00F131A8" w:rsidRPr="00D7559F">
        <w:t xml:space="preserve"> payments for capacity based on the costs of </w:t>
      </w:r>
      <w:r w:rsidR="002B1896">
        <w:t xml:space="preserve">a </w:t>
      </w:r>
      <w:r w:rsidR="00F131A8" w:rsidRPr="00D7559F">
        <w:t>simple cycle combustion turbine (SCCT)</w:t>
      </w:r>
      <w:r w:rsidR="00B32723">
        <w:t>.  This change</w:t>
      </w:r>
      <w:r>
        <w:t xml:space="preserve"> is</w:t>
      </w:r>
      <w:r w:rsidR="00F131A8" w:rsidRPr="00D7559F">
        <w:t xml:space="preserve"> consistent with the resource sufficiency period identified in the Company’s 2013 Integrated Resource Plan (IRP) Update.</w:t>
      </w:r>
      <w:r w:rsidR="000629E8">
        <w:rPr>
          <w:rStyle w:val="FootnoteReference"/>
        </w:rPr>
        <w:footnoteReference w:id="2"/>
      </w:r>
      <w:r w:rsidR="00F131A8" w:rsidRPr="00D7559F">
        <w:t xml:space="preserve">  </w:t>
      </w:r>
      <w:r w:rsidR="00F5215A">
        <w:t xml:space="preserve">This proposed change would allow Schedule 37 to accurately reflect the Company’s avoided cost and </w:t>
      </w:r>
      <w:r w:rsidR="00F131A8" w:rsidRPr="00D7559F">
        <w:t>maintain the ratepayer indifference objective mandated by the Public Utility Regulatory Policies Act of 1978 (PURPA</w:t>
      </w:r>
      <w:r w:rsidR="00F5215A">
        <w:t>)</w:t>
      </w:r>
      <w:r w:rsidR="00981D10">
        <w:t>.</w:t>
      </w:r>
      <w:r w:rsidR="00F131A8" w:rsidRPr="00D7559F">
        <w:t xml:space="preserve">  </w:t>
      </w:r>
    </w:p>
    <w:p w:rsidR="008B54CF" w:rsidRDefault="008B54CF" w:rsidP="004F5748">
      <w:pPr>
        <w:pStyle w:val="WAP1"/>
        <w:widowControl/>
        <w:spacing w:line="480" w:lineRule="auto"/>
      </w:pPr>
      <w:r>
        <w:tab/>
      </w:r>
      <w:r w:rsidR="00F03015">
        <w:t xml:space="preserve">PacifiCorp </w:t>
      </w:r>
      <w:r w:rsidR="00F5215A">
        <w:t xml:space="preserve">will not revisit all of the issues raised in its </w:t>
      </w:r>
      <w:r w:rsidR="0096317D">
        <w:t>Initial Brief</w:t>
      </w:r>
      <w:r w:rsidR="00F5215A">
        <w:t xml:space="preserve">, but will </w:t>
      </w:r>
      <w:r w:rsidR="00106682">
        <w:t xml:space="preserve">simply </w:t>
      </w:r>
      <w:r w:rsidR="00E75365">
        <w:t xml:space="preserve">reply to </w:t>
      </w:r>
      <w:r w:rsidR="00F5215A">
        <w:t xml:space="preserve">specific arguments made by Staff and REC.  </w:t>
      </w:r>
    </w:p>
    <w:p w:rsidR="001E0EF1" w:rsidRPr="00E75365" w:rsidRDefault="00A50A96" w:rsidP="004F5748">
      <w:pPr>
        <w:pStyle w:val="H1"/>
        <w:spacing w:line="480" w:lineRule="auto"/>
      </w:pPr>
      <w:bookmarkStart w:id="12" w:name="_Toc429152211"/>
      <w:bookmarkStart w:id="13" w:name="_Toc431977325"/>
      <w:r w:rsidRPr="00E75365">
        <w:t>DISCUSSION</w:t>
      </w:r>
      <w:bookmarkEnd w:id="12"/>
      <w:bookmarkEnd w:id="13"/>
    </w:p>
    <w:p w:rsidR="00197100" w:rsidRDefault="00F03015" w:rsidP="004F5748">
      <w:pPr>
        <w:pStyle w:val="H2"/>
        <w:tabs>
          <w:tab w:val="clear" w:pos="0"/>
          <w:tab w:val="left" w:pos="720"/>
        </w:tabs>
        <w:spacing w:line="240" w:lineRule="auto"/>
      </w:pPr>
      <w:bookmarkStart w:id="14" w:name="_Toc431977326"/>
      <w:r>
        <w:t>A.</w:t>
      </w:r>
      <w:r>
        <w:tab/>
        <w:t>Costs Paid to a QF Should Reflect a Utility’s Avoided Cost</w:t>
      </w:r>
      <w:r w:rsidR="004F5748">
        <w:t>, Nothing </w:t>
      </w:r>
      <w:r w:rsidR="00BB5B18">
        <w:t>More</w:t>
      </w:r>
      <w:r w:rsidR="00F5215A">
        <w:t>.</w:t>
      </w:r>
      <w:bookmarkEnd w:id="14"/>
      <w:r w:rsidR="004F5748">
        <w:br/>
      </w:r>
    </w:p>
    <w:p w:rsidR="00BB5B18" w:rsidRDefault="006A2189" w:rsidP="006A2189">
      <w:pPr>
        <w:pStyle w:val="WAP1"/>
        <w:widowControl/>
        <w:spacing w:line="480" w:lineRule="auto"/>
      </w:pPr>
      <w:r>
        <w:tab/>
      </w:r>
      <w:r w:rsidR="00806E60" w:rsidRPr="00806E60">
        <w:t>PURPA requires a utility to purchase a QF’s energy and capacity at rates equal to the utility’s avoided cost.  “Avoided cost” is defined as “the incremental cost to the electric utility of electric energy or capacity or both, which but for the purchase from the QF or QFs, such utility would generate itself or purchase from another source.” 18 C</w:t>
      </w:r>
      <w:r w:rsidR="004C5C5C">
        <w:t>.</w:t>
      </w:r>
      <w:r w:rsidR="00806E60" w:rsidRPr="00806E60">
        <w:t>F</w:t>
      </w:r>
      <w:r w:rsidR="004C5C5C">
        <w:t>.</w:t>
      </w:r>
      <w:r w:rsidR="00806E60" w:rsidRPr="00806E60">
        <w:t>R</w:t>
      </w:r>
      <w:r w:rsidR="004C5C5C">
        <w:t>.</w:t>
      </w:r>
      <w:r w:rsidR="00806E60" w:rsidRPr="00806E60">
        <w:t xml:space="preserve"> § 292.101</w:t>
      </w:r>
      <w:r w:rsidR="00D8056D">
        <w:fldChar w:fldCharType="begin"/>
      </w:r>
      <w:r w:rsidR="00FF6669">
        <w:instrText xml:space="preserve"> TA \l "</w:instrText>
      </w:r>
      <w:r w:rsidR="00FF6669" w:rsidRPr="0019767B">
        <w:instrText>18 C.F.R. § 292.101</w:instrText>
      </w:r>
      <w:r w:rsidR="00FF6669">
        <w:instrText xml:space="preserve">" \s "18 C.F.R. § 292.101" \c 6 </w:instrText>
      </w:r>
      <w:r w:rsidR="00D8056D">
        <w:fldChar w:fldCharType="end"/>
      </w:r>
      <w:r w:rsidR="00806E60" w:rsidRPr="00806E60">
        <w:t xml:space="preserve">(b)(6).  </w:t>
      </w:r>
      <w:r w:rsidR="00F03015">
        <w:t>PacifiCorp and</w:t>
      </w:r>
      <w:r w:rsidR="00106682">
        <w:t xml:space="preserve"> other parties do not </w:t>
      </w:r>
      <w:r w:rsidR="00421481">
        <w:t xml:space="preserve">appear to </w:t>
      </w:r>
      <w:r w:rsidR="00106682">
        <w:t>disagree about</w:t>
      </w:r>
      <w:r w:rsidR="00F03015">
        <w:t xml:space="preserve"> this fundamental definition, but Staff and REC, while defining avoided cost correctly, </w:t>
      </w:r>
      <w:r w:rsidR="008C5BA0">
        <w:t xml:space="preserve">would </w:t>
      </w:r>
      <w:r w:rsidR="00AC61F1">
        <w:t>err in its implementation</w:t>
      </w:r>
      <w:r w:rsidR="008C5BA0">
        <w:t xml:space="preserve"> by setting</w:t>
      </w:r>
      <w:r w:rsidR="00F03015">
        <w:t xml:space="preserve"> PacifiCorp’s avoided cost </w:t>
      </w:r>
      <w:r w:rsidR="00F03015">
        <w:rPr>
          <w:i/>
        </w:rPr>
        <w:t>above</w:t>
      </w:r>
      <w:r w:rsidR="00F03015">
        <w:t xml:space="preserve"> the cost of energy </w:t>
      </w:r>
      <w:r w:rsidR="00F03015">
        <w:lastRenderedPageBreak/>
        <w:t xml:space="preserve">and capacity that, “but for” </w:t>
      </w:r>
      <w:r w:rsidR="00AC61F1">
        <w:t>QF purchases</w:t>
      </w:r>
      <w:r w:rsidR="00F03015">
        <w:t xml:space="preserve">, PacifiCorp would generate itself or purchase from another source. </w:t>
      </w:r>
      <w:r w:rsidR="00421481">
        <w:t xml:space="preserve"> Their recommendations should be rejected, as t</w:t>
      </w:r>
      <w:r w:rsidR="00DD26A5" w:rsidRPr="00806E60">
        <w:t xml:space="preserve">he methodology used to calculate avoided costs may not be structured or designed in a way that yields an avoided cost higher than </w:t>
      </w:r>
      <w:r w:rsidR="00DD26A5">
        <w:t xml:space="preserve">the </w:t>
      </w:r>
      <w:r w:rsidR="00DD26A5" w:rsidRPr="00806E60">
        <w:t>“but-for” inquiry would yield.</w:t>
      </w:r>
      <w:r w:rsidR="00DD26A5" w:rsidRPr="00806E60">
        <w:rPr>
          <w:rStyle w:val="FootnoteReference"/>
          <w:b/>
        </w:rPr>
        <w:footnoteReference w:id="3"/>
      </w:r>
      <w:r w:rsidR="00DD26A5" w:rsidRPr="00806E60">
        <w:t xml:space="preserve">  </w:t>
      </w:r>
      <w:r w:rsidR="00AC61F1">
        <w:t xml:space="preserve">Nevertheless, Staff and REC recommend increasing PacifiCorp’s proposed avoided cost </w:t>
      </w:r>
      <w:r w:rsidR="00421481">
        <w:t xml:space="preserve">for any number of reasons that are unrelated to the statutory definition.  </w:t>
      </w:r>
    </w:p>
    <w:p w:rsidR="00B3110C" w:rsidRDefault="00F5215A" w:rsidP="004F5748">
      <w:pPr>
        <w:pStyle w:val="WAP1"/>
        <w:widowControl/>
        <w:spacing w:line="480" w:lineRule="auto"/>
      </w:pPr>
      <w:r>
        <w:tab/>
      </w:r>
      <w:r w:rsidR="00421481">
        <w:t>A key driver for Staff’s and REC’s recommendations seems to be a focus on the level of QF development in Washington.  Staff and REC suggest that the Commission should increase PacifiCorp’s avoided cost simply to increase the number of PURPA contracts in the state.  This suggestion, if adopted, would directly contradict PURPA.  S</w:t>
      </w:r>
      <w:r w:rsidR="00E75C99">
        <w:t>ome l</w:t>
      </w:r>
      <w:r w:rsidR="002D0F4F">
        <w:t xml:space="preserve">ower level of QF development in Washington compared to specific other states </w:t>
      </w:r>
      <w:r w:rsidR="00421481">
        <w:t>does not mean</w:t>
      </w:r>
      <w:r w:rsidR="002D0F4F">
        <w:t xml:space="preserve"> that PacifiCorp’s avoided cost is too low.  </w:t>
      </w:r>
      <w:r w:rsidR="00421481">
        <w:t xml:space="preserve">PURPA </w:t>
      </w:r>
      <w:r w:rsidR="00E75C99">
        <w:t>requires states to set avoided cost at the price a utility would incur for energy and capacity</w:t>
      </w:r>
      <w:r w:rsidR="00B3110C">
        <w:t xml:space="preserve"> </w:t>
      </w:r>
      <w:r w:rsidR="00B3110C" w:rsidRPr="00B3110C">
        <w:rPr>
          <w:i/>
        </w:rPr>
        <w:t>but for</w:t>
      </w:r>
      <w:r w:rsidR="00421481">
        <w:t xml:space="preserve"> </w:t>
      </w:r>
      <w:r w:rsidR="00E75C99">
        <w:t>QF purchases</w:t>
      </w:r>
      <w:r w:rsidR="00421481">
        <w:t>, not at a level that ensures there are an equal number of QFs in every state</w:t>
      </w:r>
      <w:r w:rsidR="00B3110C">
        <w:t>.  FERC has stepped in to make</w:t>
      </w:r>
      <w:r w:rsidR="00421481">
        <w:t xml:space="preserve"> this clear:  a </w:t>
      </w:r>
      <w:r w:rsidR="00B3110C">
        <w:t xml:space="preserve">state may not increase </w:t>
      </w:r>
      <w:r w:rsidR="000444A2">
        <w:t xml:space="preserve">a utility’s measure of </w:t>
      </w:r>
      <w:r w:rsidR="00B3110C">
        <w:t>avoided cost</w:t>
      </w:r>
      <w:r w:rsidR="000444A2">
        <w:t xml:space="preserve"> above the “but-for” measure</w:t>
      </w:r>
      <w:r w:rsidR="00B3110C">
        <w:t xml:space="preserve"> simply to encourage QF development.</w:t>
      </w:r>
      <w:r w:rsidR="00E75C99">
        <w:rPr>
          <w:rStyle w:val="FootnoteReference"/>
        </w:rPr>
        <w:footnoteReference w:id="4"/>
      </w:r>
      <w:r w:rsidR="00B3110C">
        <w:t xml:space="preserve">  </w:t>
      </w:r>
      <w:r w:rsidR="000444A2">
        <w:t>Avoided costs</w:t>
      </w:r>
      <w:r w:rsidR="00B3110C">
        <w:t xml:space="preserve"> must be based on the statutory measure, nothing more.  </w:t>
      </w:r>
    </w:p>
    <w:p w:rsidR="00F5215A" w:rsidRDefault="00B3110C" w:rsidP="004F5748">
      <w:pPr>
        <w:pStyle w:val="WAP1"/>
        <w:widowControl/>
        <w:spacing w:line="480" w:lineRule="auto"/>
      </w:pPr>
      <w:r>
        <w:lastRenderedPageBreak/>
        <w:tab/>
      </w:r>
      <w:r w:rsidR="000444A2">
        <w:t>There</w:t>
      </w:r>
      <w:r w:rsidR="006A5E28">
        <w:t xml:space="preserve"> </w:t>
      </w:r>
      <w:r w:rsidR="003D490F">
        <w:t>are any number of varied and appropriate reasons a QF may choose to seek a PURPA contract in one state vers</w:t>
      </w:r>
      <w:r w:rsidR="006A5E28">
        <w:t xml:space="preserve">us another.  </w:t>
      </w:r>
      <w:r w:rsidR="00D2229C">
        <w:t xml:space="preserve">As the Commission has recognized, </w:t>
      </w:r>
      <w:r w:rsidR="00B05C26">
        <w:t xml:space="preserve">some states may rely </w:t>
      </w:r>
      <w:r w:rsidR="003D490F">
        <w:t xml:space="preserve">heavily </w:t>
      </w:r>
      <w:r w:rsidR="00B05C26">
        <w:t xml:space="preserve">on PURPA to </w:t>
      </w:r>
      <w:r w:rsidR="003D490F">
        <w:t>incent</w:t>
      </w:r>
      <w:r w:rsidR="008161D1">
        <w:t>ivize</w:t>
      </w:r>
      <w:r w:rsidR="003D490F">
        <w:t xml:space="preserve"> </w:t>
      </w:r>
      <w:r w:rsidR="006A5E28">
        <w:t>renewable generation</w:t>
      </w:r>
      <w:r w:rsidR="00B05C26">
        <w:t xml:space="preserve"> </w:t>
      </w:r>
      <w:r w:rsidR="006A5E28">
        <w:t>and use specific PPA terms and conditions to do so,</w:t>
      </w:r>
      <w:r w:rsidR="00D2229C">
        <w:t xml:space="preserve"> while</w:t>
      </w:r>
      <w:r w:rsidR="006A5E28">
        <w:t xml:space="preserve"> </w:t>
      </w:r>
      <w:r w:rsidR="00B05C26">
        <w:t xml:space="preserve">other states may rely </w:t>
      </w:r>
      <w:r w:rsidR="003D490F">
        <w:t>more heavily</w:t>
      </w:r>
      <w:r w:rsidR="00B05C26">
        <w:t xml:space="preserve"> </w:t>
      </w:r>
      <w:r w:rsidR="006B46EF">
        <w:t xml:space="preserve">on </w:t>
      </w:r>
      <w:r w:rsidR="00B05C26">
        <w:t xml:space="preserve">alternative state methods for encouraging </w:t>
      </w:r>
      <w:r w:rsidR="006A5E28">
        <w:t>the</w:t>
      </w:r>
      <w:r w:rsidR="00B05C26">
        <w:t xml:space="preserve"> development</w:t>
      </w:r>
      <w:r w:rsidR="006A5E28">
        <w:t xml:space="preserve"> of renewable energy</w:t>
      </w:r>
      <w:r w:rsidR="00B05C26">
        <w:t>, such as renewabl</w:t>
      </w:r>
      <w:r w:rsidR="003D490F">
        <w:t>e portfolio standards,</w:t>
      </w:r>
      <w:r w:rsidR="00B05C26">
        <w:t xml:space="preserve"> tax incentives, </w:t>
      </w:r>
      <w:r w:rsidR="003D490F">
        <w:t>or other incentives or mandates</w:t>
      </w:r>
      <w:r w:rsidR="006A5E28">
        <w:t>, while still complying with PURPA</w:t>
      </w:r>
      <w:r w:rsidR="003D490F">
        <w:t>.</w:t>
      </w:r>
      <w:r w:rsidR="00B05C26">
        <w:rPr>
          <w:rStyle w:val="FootnoteReference"/>
        </w:rPr>
        <w:footnoteReference w:id="5"/>
      </w:r>
      <w:r w:rsidR="00B05C26">
        <w:t xml:space="preserve">  </w:t>
      </w:r>
      <w:r w:rsidR="002D0F4F">
        <w:t xml:space="preserve">Inflating avoided cost based on an apparent state-by-state comparability policy principle, rather than the cost of a utility’s avoided resources, is </w:t>
      </w:r>
      <w:r w:rsidR="006A5E28">
        <w:t xml:space="preserve">simply </w:t>
      </w:r>
      <w:r w:rsidR="002D0F4F">
        <w:t xml:space="preserve">improper.  </w:t>
      </w:r>
    </w:p>
    <w:p w:rsidR="00DD26A5" w:rsidRPr="006129B8" w:rsidRDefault="006129B8" w:rsidP="006A2189">
      <w:pPr>
        <w:pStyle w:val="H2"/>
        <w:spacing w:line="480" w:lineRule="auto"/>
      </w:pPr>
      <w:bookmarkStart w:id="16" w:name="_Toc431977327"/>
      <w:r>
        <w:t>B.</w:t>
      </w:r>
      <w:r>
        <w:tab/>
      </w:r>
      <w:r w:rsidR="0096317D" w:rsidRPr="0096317D">
        <w:t>Cost Projections Are an Appropriate Source of Avoided Costs.</w:t>
      </w:r>
      <w:bookmarkEnd w:id="16"/>
      <w:r w:rsidRPr="0096317D">
        <w:t xml:space="preserve"> </w:t>
      </w:r>
      <w:r w:rsidR="006A5E28">
        <w:t xml:space="preserve"> </w:t>
      </w:r>
    </w:p>
    <w:p w:rsidR="001540F7" w:rsidRDefault="00806E60" w:rsidP="004F5748">
      <w:pPr>
        <w:pStyle w:val="WAP1"/>
        <w:widowControl/>
        <w:spacing w:line="480" w:lineRule="auto"/>
      </w:pPr>
      <w:r>
        <w:tab/>
      </w:r>
      <w:r w:rsidR="006129B8">
        <w:t>Staff argue</w:t>
      </w:r>
      <w:r w:rsidR="000A5527">
        <w:t>s</w:t>
      </w:r>
      <w:r w:rsidR="006129B8">
        <w:t xml:space="preserve"> that PacifiCorp’s proposed avoided </w:t>
      </w:r>
      <w:r w:rsidR="001C6EFB">
        <w:t xml:space="preserve">cost, which is based on the projected cost of energy and capacity the Company would incur but for QFs, should be </w:t>
      </w:r>
      <w:r w:rsidR="001540F7">
        <w:t xml:space="preserve">increased </w:t>
      </w:r>
      <w:r w:rsidR="001C6EFB">
        <w:t xml:space="preserve">simply because </w:t>
      </w:r>
      <w:r w:rsidR="000444A2">
        <w:t xml:space="preserve">those </w:t>
      </w:r>
      <w:r w:rsidR="00CA5126">
        <w:t xml:space="preserve">future </w:t>
      </w:r>
      <w:r w:rsidR="000444A2">
        <w:t>costs are</w:t>
      </w:r>
      <w:r w:rsidR="001C6EFB">
        <w:t xml:space="preserve"> not known with certainty.  </w:t>
      </w:r>
      <w:r w:rsidR="000444A2">
        <w:t>For example, Staff</w:t>
      </w:r>
      <w:r w:rsidR="001C6EFB">
        <w:t xml:space="preserve"> argues that </w:t>
      </w:r>
      <w:r w:rsidR="001540F7">
        <w:t>“</w:t>
      </w:r>
      <w:r w:rsidR="001540F7" w:rsidRPr="00DD26A5">
        <w:t xml:space="preserve">PacifiCorp conflates two distinct concepts:  its projection regarding the cost of FOTs and </w:t>
      </w:r>
      <w:r w:rsidR="001540F7">
        <w:t>the cost that the Company will ‘</w:t>
      </w:r>
      <w:r w:rsidR="001540F7" w:rsidRPr="00DD26A5">
        <w:t>actually in</w:t>
      </w:r>
      <w:r w:rsidR="001540F7">
        <w:t xml:space="preserve">cur’” when developing its avoided cost.  In other words, Staff seems to </w:t>
      </w:r>
      <w:r w:rsidR="000444A2">
        <w:t>suggest</w:t>
      </w:r>
      <w:r w:rsidR="001540F7">
        <w:t xml:space="preserve"> that PacifiCorp’s proposed avoided cost is wrong simply because it is based on </w:t>
      </w:r>
      <w:r w:rsidR="000444A2">
        <w:t>projections.  Staff</w:t>
      </w:r>
      <w:r w:rsidR="001540F7">
        <w:t xml:space="preserve"> </w:t>
      </w:r>
      <w:r w:rsidR="00126227">
        <w:t xml:space="preserve">argues </w:t>
      </w:r>
      <w:r w:rsidR="001540F7">
        <w:t xml:space="preserve">that a “market risk adder” </w:t>
      </w:r>
      <w:r w:rsidR="000444A2">
        <w:t xml:space="preserve">of some sort </w:t>
      </w:r>
      <w:r w:rsidR="00126227">
        <w:t xml:space="preserve">should </w:t>
      </w:r>
      <w:r w:rsidR="001540F7">
        <w:t xml:space="preserve">be added to PacifiCorp’s proposed avoided cost to </w:t>
      </w:r>
      <w:r w:rsidR="001540F7">
        <w:lastRenderedPageBreak/>
        <w:t>compensate for this uncertainty.</w:t>
      </w:r>
      <w:r w:rsidR="001540F7">
        <w:rPr>
          <w:rStyle w:val="FootnoteReference"/>
        </w:rPr>
        <w:footnoteReference w:id="6"/>
      </w:r>
      <w:r w:rsidR="000444A2">
        <w:t xml:space="preserve"> </w:t>
      </w:r>
      <w:r w:rsidR="001540F7">
        <w:t xml:space="preserve"> </w:t>
      </w:r>
      <w:r w:rsidR="00170240">
        <w:t>REC makes similar comments, arguing that the Commission should not “put any credence” on the Company’s IRP projections</w:t>
      </w:r>
      <w:r w:rsidR="000444A2">
        <w:t xml:space="preserve"> and should increase PacifiCorp’s proposed avoided cost because </w:t>
      </w:r>
      <w:r w:rsidR="00B03010">
        <w:t>REC</w:t>
      </w:r>
      <w:r w:rsidR="000444A2">
        <w:t xml:space="preserve"> believes the Company’s resource projections will turn out to be inaccurate</w:t>
      </w:r>
      <w:r w:rsidR="00170240">
        <w:t>.</w:t>
      </w:r>
      <w:r w:rsidR="00170240">
        <w:rPr>
          <w:rStyle w:val="FootnoteReference"/>
        </w:rPr>
        <w:footnoteReference w:id="7"/>
      </w:r>
    </w:p>
    <w:p w:rsidR="00F03015" w:rsidRDefault="001540F7" w:rsidP="004F5748">
      <w:pPr>
        <w:pStyle w:val="WAP1"/>
        <w:widowControl/>
        <w:spacing w:line="480" w:lineRule="auto"/>
      </w:pPr>
      <w:r>
        <w:tab/>
        <w:t>Staff’s</w:t>
      </w:r>
      <w:r w:rsidR="006129B8">
        <w:t xml:space="preserve"> </w:t>
      </w:r>
      <w:r w:rsidR="00170240">
        <w:t xml:space="preserve">and REC’s proposals to increase avoided cost simply because PacifiCorp’s projections may turn out to be inaccurate are </w:t>
      </w:r>
      <w:r w:rsidR="006129B8">
        <w:t>out-of-step with PURPA</w:t>
      </w:r>
      <w:r w:rsidR="001C6EFB">
        <w:t xml:space="preserve"> and common practice</w:t>
      </w:r>
      <w:r w:rsidR="006129B8">
        <w:t>.  Avoided costs are routinely</w:t>
      </w:r>
      <w:r w:rsidR="000A1D9B">
        <w:t xml:space="preserve"> </w:t>
      </w:r>
      <w:r w:rsidR="006129B8">
        <w:t>based on future projections of market costs</w:t>
      </w:r>
      <w:r w:rsidR="001C6EFB">
        <w:t xml:space="preserve">—necessarily </w:t>
      </w:r>
      <w:r w:rsidR="000A1D9B">
        <w:t>so, since PURPA requires a utility to provide a QF with the utility’s projection o</w:t>
      </w:r>
      <w:r w:rsidR="00346305">
        <w:t>f avoided cost over the life</w:t>
      </w:r>
      <w:r w:rsidR="000A1D9B">
        <w:t xml:space="preserve"> of the contract.</w:t>
      </w:r>
      <w:r w:rsidR="00346305">
        <w:rPr>
          <w:rStyle w:val="FootnoteReference"/>
        </w:rPr>
        <w:footnoteReference w:id="8"/>
      </w:r>
      <w:r w:rsidR="000A1D9B">
        <w:t xml:space="preserve">  The fact that avoided cost is based on projections is </w:t>
      </w:r>
      <w:r w:rsidR="001C6EFB">
        <w:t>a normal feature of avoided cost, and Staff’s</w:t>
      </w:r>
      <w:r w:rsidR="00CA5126">
        <w:t xml:space="preserve"> and REC’s</w:t>
      </w:r>
      <w:r w:rsidR="001C6EFB">
        <w:t xml:space="preserve"> one-sided adjustment</w:t>
      </w:r>
      <w:r w:rsidR="00CA5126">
        <w:t>s</w:t>
      </w:r>
      <w:r w:rsidR="001C6EFB">
        <w:t xml:space="preserve"> should be rejected</w:t>
      </w:r>
      <w:r w:rsidR="000A1D9B">
        <w:t xml:space="preserve">. </w:t>
      </w:r>
      <w:r w:rsidR="000A1D9B" w:rsidRPr="001540F7">
        <w:rPr>
          <w:b/>
          <w:i/>
        </w:rPr>
        <w:t xml:space="preserve"> </w:t>
      </w:r>
    </w:p>
    <w:p w:rsidR="00577921" w:rsidRDefault="00CA5126" w:rsidP="004F5748">
      <w:pPr>
        <w:pStyle w:val="WAP1"/>
        <w:widowControl/>
        <w:spacing w:line="480" w:lineRule="auto"/>
      </w:pPr>
      <w:r>
        <w:tab/>
      </w:r>
      <w:r w:rsidR="003D2E4B">
        <w:t>So long as a QF is selling power under a contract with a fixed avoided-cost price, that avoided</w:t>
      </w:r>
      <w:r w:rsidR="00F463A6">
        <w:t xml:space="preserve"> cost price is </w:t>
      </w:r>
      <w:r w:rsidR="00F463A6" w:rsidRPr="00577921">
        <w:rPr>
          <w:i/>
        </w:rPr>
        <w:t>always</w:t>
      </w:r>
      <w:r w:rsidR="00F463A6">
        <w:t xml:space="preserve"> based on</w:t>
      </w:r>
      <w:r w:rsidR="003D2E4B">
        <w:t xml:space="preserve"> future projection</w:t>
      </w:r>
      <w:r w:rsidR="00F463A6">
        <w:t>s</w:t>
      </w:r>
      <w:r w:rsidR="003D2E4B">
        <w:t xml:space="preserve">.  </w:t>
      </w:r>
      <w:r w:rsidR="00577921">
        <w:t>FERC recognized this when adopting its avoided cost regulations, and predicted that</w:t>
      </w:r>
      <w:r w:rsidR="00577921" w:rsidRPr="00BA5229">
        <w:t>, “in the long run, ‘overestimations’ and ‘underestimations’ of avoided costs would balance out.”</w:t>
      </w:r>
      <w:r w:rsidR="00577921" w:rsidRPr="00BA5229">
        <w:rPr>
          <w:rStyle w:val="FootnoteReference"/>
        </w:rPr>
        <w:footnoteReference w:id="9"/>
      </w:r>
      <w:r w:rsidR="00577921">
        <w:t xml:space="preserve">  While </w:t>
      </w:r>
      <w:r w:rsidR="000C6947">
        <w:t xml:space="preserve">the Generation and Regulation Initiative Decision </w:t>
      </w:r>
      <w:r w:rsidR="008161D1">
        <w:t xml:space="preserve">Tools </w:t>
      </w:r>
      <w:r w:rsidR="000C6947">
        <w:t>(</w:t>
      </w:r>
      <w:r w:rsidR="00577921">
        <w:t>GRID</w:t>
      </w:r>
      <w:r w:rsidR="000C6947">
        <w:t>)</w:t>
      </w:r>
      <w:r w:rsidR="00577921">
        <w:t xml:space="preserve"> </w:t>
      </w:r>
      <w:r w:rsidR="000C6947">
        <w:t xml:space="preserve">model </w:t>
      </w:r>
      <w:r w:rsidR="00577921">
        <w:t xml:space="preserve">is not, as Staff </w:t>
      </w:r>
      <w:r w:rsidR="00577921">
        <w:lastRenderedPageBreak/>
        <w:t>suggests, a “magic crystal ball,” it is the Company’s most accurate tool fo</w:t>
      </w:r>
      <w:r>
        <w:t>r projecting its costs of power</w:t>
      </w:r>
      <w:r w:rsidR="00577921">
        <w:t xml:space="preserve"> and the mos</w:t>
      </w:r>
      <w:r w:rsidR="00170240">
        <w:t xml:space="preserve">t accurate tool for determining </w:t>
      </w:r>
      <w:r w:rsidR="00577921">
        <w:t xml:space="preserve">avoided cost under PURPA.  Inflating the Company’s </w:t>
      </w:r>
      <w:r w:rsidR="004D531E">
        <w:t xml:space="preserve">calculation of </w:t>
      </w:r>
      <w:r w:rsidR="00577921">
        <w:t>avoided cost</w:t>
      </w:r>
      <w:r w:rsidR="004D531E">
        <w:t xml:space="preserve"> </w:t>
      </w:r>
      <w:r w:rsidR="00170240">
        <w:t>by some arbitrary amount</w:t>
      </w:r>
      <w:r w:rsidR="00577921">
        <w:t xml:space="preserve"> simply because PacifiCorp does not have a real crystal</w:t>
      </w:r>
      <w:r w:rsidR="00170240">
        <w:t xml:space="preserve"> ball is a</w:t>
      </w:r>
      <w:r>
        <w:t>n</w:t>
      </w:r>
      <w:r w:rsidR="00170240">
        <w:t xml:space="preserve"> </w:t>
      </w:r>
      <w:r w:rsidR="004D531E">
        <w:t>unfairly one-sided and factually unsupported recommendation</w:t>
      </w:r>
      <w:r w:rsidR="00170240">
        <w:t>.  The best</w:t>
      </w:r>
      <w:r w:rsidR="004D531E">
        <w:t xml:space="preserve"> estimate of the Company’s</w:t>
      </w:r>
      <w:r w:rsidR="00170240">
        <w:t xml:space="preserve"> avoided cost is </w:t>
      </w:r>
      <w:r w:rsidR="004D531E">
        <w:t xml:space="preserve">one </w:t>
      </w:r>
      <w:r w:rsidR="00170240">
        <w:t xml:space="preserve">based on the best projections available, and the Company’s GRID model and its IRP have long been recognized as the best tools for developing such projections. </w:t>
      </w:r>
    </w:p>
    <w:p w:rsidR="00441117" w:rsidRPr="00441117" w:rsidRDefault="00441117" w:rsidP="006A2189">
      <w:pPr>
        <w:pStyle w:val="H2"/>
        <w:tabs>
          <w:tab w:val="left" w:pos="693"/>
        </w:tabs>
        <w:spacing w:line="240" w:lineRule="auto"/>
      </w:pPr>
      <w:bookmarkStart w:id="17" w:name="_Toc431977328"/>
      <w:r w:rsidRPr="00441117">
        <w:t xml:space="preserve">C.  </w:t>
      </w:r>
      <w:r w:rsidRPr="00441117">
        <w:tab/>
        <w:t xml:space="preserve">The </w:t>
      </w:r>
      <w:r>
        <w:t xml:space="preserve">Avoided Cost </w:t>
      </w:r>
      <w:r w:rsidRPr="00441117">
        <w:t xml:space="preserve">of </w:t>
      </w:r>
      <w:r w:rsidR="001540F7">
        <w:t>Front Office Transactions (</w:t>
      </w:r>
      <w:r w:rsidRPr="00441117">
        <w:t>FOTs</w:t>
      </w:r>
      <w:r w:rsidR="001540F7">
        <w:t>)</w:t>
      </w:r>
      <w:r w:rsidRPr="00441117">
        <w:t xml:space="preserve"> </w:t>
      </w:r>
      <w:r w:rsidR="008D511F">
        <w:t>i</w:t>
      </w:r>
      <w:r>
        <w:t>s the Appropriate Measure of PacifiCorp’s</w:t>
      </w:r>
      <w:r w:rsidRPr="00441117">
        <w:t xml:space="preserve"> Avoided Cost</w:t>
      </w:r>
      <w:r w:rsidR="0042227F">
        <w:t xml:space="preserve"> under PURPA</w:t>
      </w:r>
      <w:r w:rsidR="00724486">
        <w:t>.</w:t>
      </w:r>
      <w:bookmarkEnd w:id="17"/>
      <w:r w:rsidR="006A2189">
        <w:br/>
      </w:r>
    </w:p>
    <w:p w:rsidR="00441117" w:rsidRDefault="00441117" w:rsidP="004F5748">
      <w:pPr>
        <w:pStyle w:val="WAP1"/>
        <w:widowControl/>
        <w:spacing w:line="480" w:lineRule="auto"/>
      </w:pPr>
      <w:r>
        <w:tab/>
        <w:t>As PacifiCorp explained in its testimony and Initial Brief, the Company relies on FOTs to balance the Company’s capacity needs</w:t>
      </w:r>
      <w:r w:rsidR="0042227F">
        <w:t xml:space="preserve"> during certain time periods</w:t>
      </w:r>
      <w:r>
        <w:t>.</w:t>
      </w:r>
      <w:r>
        <w:rPr>
          <w:rStyle w:val="FootnoteReference"/>
        </w:rPr>
        <w:footnoteReference w:id="10"/>
      </w:r>
      <w:r w:rsidR="001540F7">
        <w:t xml:space="preserve">  These s</w:t>
      </w:r>
      <w:r>
        <w:t xml:space="preserve">hort-term firm market purchases help PacifiCorp meet its </w:t>
      </w:r>
      <w:r w:rsidR="0042227F">
        <w:t xml:space="preserve">firm obligations to serve load </w:t>
      </w:r>
      <w:r>
        <w:t xml:space="preserve">and ensure it has sufficient capacity to maintain reliability at a reasonable cost.  </w:t>
      </w:r>
      <w:r w:rsidR="0042227F">
        <w:t>When the Company is relying on FOTs to meet its energy and capacity needs, p</w:t>
      </w:r>
      <w:r>
        <w:t xml:space="preserve">aying a QF for </w:t>
      </w:r>
      <w:r w:rsidR="00CA5126">
        <w:t>the avoided cost of FOTs</w:t>
      </w:r>
      <w:r w:rsidR="0042227F">
        <w:t xml:space="preserve"> </w:t>
      </w:r>
      <w:r>
        <w:t xml:space="preserve">is the equivalent of paying a QF the costs the Company would incur to purchase energy and capacity “but for” the addition of a QF.  </w:t>
      </w:r>
      <w:r w:rsidR="0042227F">
        <w:t>I</w:t>
      </w:r>
      <w:r w:rsidR="00143790">
        <w:t>n other words</w:t>
      </w:r>
      <w:r w:rsidR="00CA5126">
        <w:t>,</w:t>
      </w:r>
      <w:r w:rsidR="00143790">
        <w:t xml:space="preserve"> i</w:t>
      </w:r>
      <w:r w:rsidR="0042227F">
        <w:t>t is the Company’s avoided cost.</w:t>
      </w:r>
    </w:p>
    <w:p w:rsidR="00144A6B" w:rsidRDefault="00441117" w:rsidP="004F5748">
      <w:pPr>
        <w:pStyle w:val="WAP1"/>
        <w:widowControl/>
        <w:adjustRightInd w:val="0"/>
        <w:spacing w:line="480" w:lineRule="auto"/>
        <w:textAlignment w:val="baseline"/>
      </w:pPr>
      <w:r>
        <w:tab/>
      </w:r>
      <w:r w:rsidR="00144A6B">
        <w:t>As PacifiCorp noted in its Initial</w:t>
      </w:r>
      <w:r w:rsidR="00143790">
        <w:t xml:space="preserve"> Brief, FERC </w:t>
      </w:r>
      <w:r w:rsidR="00B03010">
        <w:t xml:space="preserve">actually </w:t>
      </w:r>
      <w:r w:rsidR="00143790">
        <w:t xml:space="preserve">anticipated </w:t>
      </w:r>
      <w:r w:rsidR="00144A6B">
        <w:t xml:space="preserve">a scenario </w:t>
      </w:r>
      <w:r w:rsidR="00B03010">
        <w:t>like this one—</w:t>
      </w:r>
      <w:r w:rsidR="004532D7">
        <w:t xml:space="preserve">one </w:t>
      </w:r>
      <w:r w:rsidR="00144A6B">
        <w:t xml:space="preserve">in which a utility would rely </w:t>
      </w:r>
      <w:r w:rsidR="00B03010">
        <w:t xml:space="preserve">for a time </w:t>
      </w:r>
      <w:r w:rsidR="00144A6B">
        <w:t xml:space="preserve">on firm market purchases to meet its energy and capacity needs.  FERC noted that, in </w:t>
      </w:r>
      <w:r w:rsidR="00143790">
        <w:t>this</w:t>
      </w:r>
      <w:r w:rsidR="00CA5126">
        <w:t xml:space="preserve"> scenario, the utility’s </w:t>
      </w:r>
      <w:r w:rsidR="00144A6B">
        <w:t>avoided cost sho</w:t>
      </w:r>
      <w:r w:rsidR="00143790">
        <w:t>uld be the avoided cost of the</w:t>
      </w:r>
      <w:r w:rsidR="00144A6B">
        <w:t xml:space="preserve"> firm market purchases.  As FERC explained: </w:t>
      </w:r>
    </w:p>
    <w:p w:rsidR="00144A6B" w:rsidRDefault="00144A6B" w:rsidP="006A2189">
      <w:pPr>
        <w:pStyle w:val="WAP1"/>
        <w:widowControl/>
        <w:numPr>
          <w:ilvl w:val="0"/>
          <w:numId w:val="0"/>
        </w:numPr>
        <w:adjustRightInd w:val="0"/>
        <w:spacing w:line="240" w:lineRule="auto"/>
        <w:ind w:left="720" w:right="720"/>
        <w:textAlignment w:val="baseline"/>
      </w:pPr>
      <w:r w:rsidRPr="002E6A32">
        <w:t xml:space="preserve">A utility’s generation expansion plans often include purchases of firm power from other utilities in years immediately preceding the addition of a major generation unit. If a qualifying facility contracts to deliver power, for example, for a one year period, it may enable the purchasing utility to </w:t>
      </w:r>
      <w:r w:rsidRPr="002E6A32">
        <w:lastRenderedPageBreak/>
        <w:t xml:space="preserve">avoid entering into a bulk power purchase arrangement with another utility.  </w:t>
      </w:r>
      <w:r w:rsidRPr="004B59CB">
        <w:rPr>
          <w:i/>
        </w:rPr>
        <w:t>The rate for such a purchase should thus be based on the price at which such power is purchased, or can be expected to be purchased,</w:t>
      </w:r>
      <w:r w:rsidRPr="002E6A32">
        <w:t xml:space="preserve"> based upon bona fide offers from another utility.</w:t>
      </w:r>
      <w:r>
        <w:rPr>
          <w:rStyle w:val="FootnoteReference"/>
        </w:rPr>
        <w:footnoteReference w:id="11"/>
      </w:r>
      <w:r w:rsidR="006A2189">
        <w:br/>
      </w:r>
    </w:p>
    <w:p w:rsidR="00F5095E" w:rsidRDefault="006A2189" w:rsidP="004F5748">
      <w:pPr>
        <w:pStyle w:val="WAP1"/>
        <w:widowControl/>
        <w:spacing w:line="480" w:lineRule="auto"/>
      </w:pPr>
      <w:r>
        <w:t xml:space="preserve"> </w:t>
      </w:r>
      <w:r>
        <w:tab/>
      </w:r>
      <w:r w:rsidR="00144A6B">
        <w:t xml:space="preserve">Staff </w:t>
      </w:r>
      <w:r w:rsidR="00143790">
        <w:t xml:space="preserve">disagrees with PacifiCorp’s interpretation of this </w:t>
      </w:r>
      <w:r w:rsidR="00CA5126">
        <w:t>excerpt</w:t>
      </w:r>
      <w:r w:rsidR="00143790">
        <w:t>, arguing</w:t>
      </w:r>
      <w:r w:rsidR="00144A6B">
        <w:t xml:space="preserve"> that FERC allows a utility to set avoided cost based on market purchases only when the utility has a “bona fide offer” from another utility.</w:t>
      </w:r>
      <w:r w:rsidR="00144A6B">
        <w:rPr>
          <w:rStyle w:val="FootnoteReference"/>
        </w:rPr>
        <w:footnoteReference w:id="12"/>
      </w:r>
      <w:r w:rsidR="00143790">
        <w:t xml:space="preserve"> </w:t>
      </w:r>
      <w:r w:rsidR="00180169" w:rsidRPr="00BA5229">
        <w:t xml:space="preserve"> </w:t>
      </w:r>
      <w:r w:rsidR="00F5095E">
        <w:t>Nothing in Order No. 69 suggests this is true.</w:t>
      </w:r>
    </w:p>
    <w:p w:rsidR="0065272C" w:rsidRDefault="00F5095E" w:rsidP="004F5748">
      <w:pPr>
        <w:pStyle w:val="WAP1"/>
        <w:widowControl/>
        <w:spacing w:line="480" w:lineRule="auto"/>
      </w:pPr>
      <w:r>
        <w:tab/>
      </w:r>
      <w:r w:rsidR="0065272C">
        <w:t xml:space="preserve">The excerpt above is taken from a portion of Order No. 69 that discusses how a utility should value capacity for purposes of avoided cost calculations.  It is not part of a “market risk” analysis, nor does it have anything to do with the certainty or uncertainty of the transactions under discussion.  The point of the discussion was to determine what </w:t>
      </w:r>
      <w:r w:rsidR="0065272C" w:rsidRPr="00B9441D">
        <w:rPr>
          <w:i/>
        </w:rPr>
        <w:t>types</w:t>
      </w:r>
      <w:r w:rsidR="0065272C">
        <w:t xml:space="preserve"> of avoided purchases would adequately compensate a QF for capacity.  In the situation where a utility relies on firm market purchases to meet its energy and capacity needs rather than building new resources, the correct measure of avoided cost is the cost of the avoided market purchases.</w:t>
      </w:r>
      <w:r w:rsidR="0065272C">
        <w:rPr>
          <w:rStyle w:val="FootnoteReference"/>
        </w:rPr>
        <w:footnoteReference w:id="13"/>
      </w:r>
      <w:r w:rsidR="0065272C">
        <w:t xml:space="preserve">  </w:t>
      </w:r>
    </w:p>
    <w:p w:rsidR="00B03010" w:rsidRDefault="0065272C" w:rsidP="004F5748">
      <w:pPr>
        <w:pStyle w:val="WAP1"/>
        <w:widowControl/>
        <w:spacing w:line="480" w:lineRule="auto"/>
      </w:pPr>
      <w:r>
        <w:tab/>
        <w:t xml:space="preserve">More importantly, Staff’s assertion is inherently contradictory.  </w:t>
      </w:r>
      <w:r w:rsidR="00F5095E">
        <w:t xml:space="preserve">According to Staff, it would </w:t>
      </w:r>
      <w:r w:rsidR="004532D7">
        <w:t xml:space="preserve">theoretically </w:t>
      </w:r>
      <w:r w:rsidR="00F5095E">
        <w:t xml:space="preserve">be appropriate </w:t>
      </w:r>
      <w:r w:rsidR="004532D7">
        <w:t xml:space="preserve">for PacifiCorp </w:t>
      </w:r>
      <w:r w:rsidR="00F5095E">
        <w:t>to say that the</w:t>
      </w:r>
      <w:r w:rsidR="00F5095E" w:rsidRPr="00834B2B">
        <w:t xml:space="preserve"> price of </w:t>
      </w:r>
      <w:r>
        <w:t>a</w:t>
      </w:r>
      <w:r w:rsidR="00F5095E" w:rsidRPr="00834B2B">
        <w:t xml:space="preserve"> seller’s capacity </w:t>
      </w:r>
      <w:r w:rsidR="004532D7">
        <w:t>is</w:t>
      </w:r>
      <w:r w:rsidR="00F5095E" w:rsidRPr="00834B2B">
        <w:t xml:space="preserve"> embedded in the price of </w:t>
      </w:r>
      <w:r>
        <w:t>a</w:t>
      </w:r>
      <w:r w:rsidR="00F5095E" w:rsidRPr="00834B2B">
        <w:t xml:space="preserve"> market transaction</w:t>
      </w:r>
      <w:r w:rsidR="004532D7">
        <w:t>, but only if</w:t>
      </w:r>
      <w:r>
        <w:t xml:space="preserve"> </w:t>
      </w:r>
      <w:r w:rsidR="00F5095E">
        <w:t>the Company had “</w:t>
      </w:r>
      <w:r w:rsidR="00F5095E" w:rsidRPr="0065272C">
        <w:rPr>
          <w:i/>
        </w:rPr>
        <w:t>already contracted for the firm delivery of bulk power to meet system demand, and thus knew, with legal certainty, the cost of the market transactions that QFs enable it to avoid</w:t>
      </w:r>
      <w:r w:rsidR="00F5095E" w:rsidRPr="00F5095E">
        <w:t>.</w:t>
      </w:r>
      <w:r w:rsidR="00F5095E">
        <w:t>”</w:t>
      </w:r>
      <w:r w:rsidR="00F5095E">
        <w:rPr>
          <w:rStyle w:val="FootnoteReference"/>
        </w:rPr>
        <w:footnoteReference w:id="14"/>
      </w:r>
      <w:r w:rsidR="00F5095E">
        <w:t xml:space="preserve">  </w:t>
      </w:r>
      <w:r w:rsidR="00B72A8C" w:rsidRPr="00F5095E">
        <w:t xml:space="preserve">Staff’s paradoxical interpretation would require that the Company </w:t>
      </w:r>
      <w:r w:rsidR="00544C6D" w:rsidRPr="00F5095E">
        <w:t xml:space="preserve">first legally </w:t>
      </w:r>
      <w:r w:rsidR="00544C6D" w:rsidRPr="00F5095E">
        <w:lastRenderedPageBreak/>
        <w:t>bind itself to purchase capacity from a third-party seller so that it may discover the price to pay a QF for that same capacity.  Once legally bound to purchase that capacity, separate purchases from a QF will not enable the Company to avoid the capacity purchase or its accompanying costs.</w:t>
      </w:r>
      <w:r w:rsidR="00B72A8C">
        <w:t xml:space="preserve"> </w:t>
      </w:r>
      <w:r w:rsidR="004F7475">
        <w:t xml:space="preserve"> Basing avoided cost on a projection of </w:t>
      </w:r>
      <w:r w:rsidR="004532D7">
        <w:t>future power</w:t>
      </w:r>
      <w:r w:rsidR="004F7475">
        <w:t xml:space="preserve"> costs is a normal and necessary feature of avoided cost when determining the price paid to a QF selling power under a contract with a fixed avoided-cost price.  </w:t>
      </w:r>
    </w:p>
    <w:p w:rsidR="00144A6B" w:rsidRDefault="00BB5B18" w:rsidP="006A2189">
      <w:pPr>
        <w:pStyle w:val="H2"/>
        <w:tabs>
          <w:tab w:val="left" w:pos="738"/>
        </w:tabs>
        <w:spacing w:line="240" w:lineRule="auto"/>
        <w:ind w:hanging="1440"/>
      </w:pPr>
      <w:r>
        <w:tab/>
      </w:r>
      <w:bookmarkStart w:id="18" w:name="_Toc431977329"/>
      <w:r w:rsidR="008D4B6D">
        <w:t>D.</w:t>
      </w:r>
      <w:r w:rsidR="008D4B6D" w:rsidRPr="008D4B6D">
        <w:t xml:space="preserve"> </w:t>
      </w:r>
      <w:r w:rsidR="008D4B6D">
        <w:tab/>
        <w:t>Paci</w:t>
      </w:r>
      <w:r w:rsidR="008015E6">
        <w:t>fiCorp’s Testimony from Its 201</w:t>
      </w:r>
      <w:r w:rsidR="00665E09">
        <w:t>4</w:t>
      </w:r>
      <w:r w:rsidR="008D4B6D">
        <w:t xml:space="preserve"> Rate Case</w:t>
      </w:r>
      <w:r>
        <w:t xml:space="preserve"> Is Consistent with Its Testimony in This Docket</w:t>
      </w:r>
      <w:r w:rsidR="00724486">
        <w:t>.</w:t>
      </w:r>
      <w:bookmarkEnd w:id="18"/>
      <w:r w:rsidR="006A2189">
        <w:br/>
      </w:r>
    </w:p>
    <w:p w:rsidR="008D4B6D" w:rsidRDefault="008015E6" w:rsidP="004F5748">
      <w:pPr>
        <w:pStyle w:val="WAP1"/>
        <w:spacing w:line="480" w:lineRule="auto"/>
      </w:pPr>
      <w:r>
        <w:tab/>
      </w:r>
      <w:r w:rsidR="001122E6">
        <w:t xml:space="preserve">Staff suggests in its </w:t>
      </w:r>
      <w:r w:rsidR="0096317D">
        <w:t>Initial Brief</w:t>
      </w:r>
      <w:r w:rsidR="001122E6">
        <w:t xml:space="preserve"> </w:t>
      </w:r>
      <w:r>
        <w:t xml:space="preserve">that </w:t>
      </w:r>
      <w:r w:rsidR="00CA5126">
        <w:t>PacifiCorp</w:t>
      </w:r>
      <w:r w:rsidR="00037802">
        <w:t xml:space="preserve">’s testimony in this docket contradicts its testimony </w:t>
      </w:r>
      <w:r w:rsidR="00CA5126">
        <w:t xml:space="preserve">in </w:t>
      </w:r>
      <w:r w:rsidR="00037802">
        <w:t>the Company’s</w:t>
      </w:r>
      <w:r w:rsidR="00CA5126">
        <w:t xml:space="preserve"> 2014 general rate case.  Specifically, Staff states that PacifiCorp argued </w:t>
      </w:r>
      <w:r w:rsidR="00037802">
        <w:t>in the 2014 general rate case that relying</w:t>
      </w:r>
      <w:r w:rsidR="00CA5126">
        <w:t xml:space="preserve"> on market purchases for avoided cost “</w:t>
      </w:r>
      <w:r w:rsidR="008D4B6D" w:rsidRPr="008015E6">
        <w:t>fails to account for the impact of a QF on the Company’s existing resources or the QF</w:t>
      </w:r>
      <w:r w:rsidR="000A5527">
        <w:t>’</w:t>
      </w:r>
      <w:r w:rsidR="008D4B6D" w:rsidRPr="008015E6">
        <w:t>s ability to defer future capacity additions.”</w:t>
      </w:r>
      <w:r w:rsidR="008D4B6D" w:rsidRPr="008015E6">
        <w:rPr>
          <w:rStyle w:val="FootnoteReference"/>
        </w:rPr>
        <w:footnoteReference w:id="15"/>
      </w:r>
      <w:r w:rsidR="008D4B6D" w:rsidRPr="008015E6">
        <w:t xml:space="preserve"> </w:t>
      </w:r>
      <w:r>
        <w:t xml:space="preserve"> </w:t>
      </w:r>
      <w:r w:rsidR="00037802">
        <w:t>Staff has take</w:t>
      </w:r>
      <w:r w:rsidR="000A5527">
        <w:t>n</w:t>
      </w:r>
      <w:r w:rsidR="00037802">
        <w:t xml:space="preserve"> PacifiCorp’s statement out of context.</w:t>
      </w:r>
    </w:p>
    <w:p w:rsidR="008015E6" w:rsidRDefault="008015E6" w:rsidP="004F5748">
      <w:pPr>
        <w:pStyle w:val="WAP1"/>
        <w:widowControl/>
        <w:spacing w:line="480" w:lineRule="auto"/>
      </w:pPr>
      <w:r>
        <w:tab/>
        <w:t xml:space="preserve">At issue in the 2014 rate case was </w:t>
      </w:r>
      <w:r w:rsidR="00BC79A5">
        <w:t>Staff</w:t>
      </w:r>
      <w:r w:rsidR="00126227">
        <w:t>’s</w:t>
      </w:r>
      <w:r w:rsidR="00BC79A5">
        <w:t xml:space="preserve"> and another party’s</w:t>
      </w:r>
      <w:r>
        <w:t xml:space="preserve"> proposal to exclude the cost of Oregon and California QF PPAs from Washington</w:t>
      </w:r>
      <w:r w:rsidR="00BC79A5">
        <w:t xml:space="preserve"> rates and</w:t>
      </w:r>
      <w:r w:rsidR="00D0655E">
        <w:t xml:space="preserve"> </w:t>
      </w:r>
      <w:r w:rsidR="00037802">
        <w:t xml:space="preserve">to </w:t>
      </w:r>
      <w:r w:rsidR="00D0655E">
        <w:t>re</w:t>
      </w:r>
      <w:r w:rsidR="00126227">
        <w:t>-</w:t>
      </w:r>
      <w:r w:rsidR="00D0655E">
        <w:t>price those PPAs</w:t>
      </w:r>
      <w:r>
        <w:t xml:space="preserve"> at market prices using </w:t>
      </w:r>
      <w:r w:rsidR="001517B3">
        <w:t>G</w:t>
      </w:r>
      <w:r>
        <w:t>RID.</w:t>
      </w:r>
      <w:r>
        <w:rPr>
          <w:rStyle w:val="FootnoteReference"/>
        </w:rPr>
        <w:footnoteReference w:id="16"/>
      </w:r>
      <w:r>
        <w:t xml:space="preserve">  </w:t>
      </w:r>
      <w:r w:rsidR="00BC79A5">
        <w:t>The problem was</w:t>
      </w:r>
      <w:r w:rsidR="001517B3">
        <w:t xml:space="preserve"> that these PPAs had </w:t>
      </w:r>
      <w:r w:rsidR="001517B3" w:rsidRPr="001517B3">
        <w:rPr>
          <w:i/>
        </w:rPr>
        <w:t xml:space="preserve">already been signed </w:t>
      </w:r>
      <w:r w:rsidR="001517B3">
        <w:t>by the Company, some of them years before, when different market conditions and different resource positions prevailed.  PacifiCorp’s fundamental problem wi</w:t>
      </w:r>
      <w:r w:rsidR="00BC79A5">
        <w:t>th Staff’s proposed approach was</w:t>
      </w:r>
      <w:r w:rsidR="001517B3">
        <w:t xml:space="preserve"> that it </w:t>
      </w:r>
      <w:r w:rsidR="00BC79A5">
        <w:t>eviscerated the</w:t>
      </w:r>
      <w:r w:rsidR="001517B3">
        <w:t xml:space="preserve"> avoided cost decisions made at the time the PPA</w:t>
      </w:r>
      <w:r w:rsidR="00D0655E">
        <w:t>s were executed (and the Company’s contractual obligations therein</w:t>
      </w:r>
      <w:r w:rsidR="00037802">
        <w:t xml:space="preserve">, which </w:t>
      </w:r>
      <w:r w:rsidR="00037802">
        <w:lastRenderedPageBreak/>
        <w:t>remained on</w:t>
      </w:r>
      <w:r w:rsidR="00BC79A5">
        <w:t>going</w:t>
      </w:r>
      <w:r w:rsidR="00D0655E">
        <w:t xml:space="preserve">), and </w:t>
      </w:r>
      <w:r w:rsidR="00BC79A5">
        <w:t>proposed simply to replace</w:t>
      </w:r>
      <w:r w:rsidR="00037802">
        <w:t xml:space="preserve"> those costs</w:t>
      </w:r>
      <w:r w:rsidR="00D0655E">
        <w:t xml:space="preserve"> at market </w:t>
      </w:r>
      <w:r w:rsidR="00037802">
        <w:t>rates</w:t>
      </w:r>
      <w:r w:rsidR="00BC79A5">
        <w:t xml:space="preserve"> </w:t>
      </w:r>
      <w:r w:rsidR="00D0655E">
        <w:t xml:space="preserve">with no consideration for the </w:t>
      </w:r>
      <w:r w:rsidR="001517B3">
        <w:t xml:space="preserve">costs properly taken into account at the time the </w:t>
      </w:r>
      <w:r w:rsidR="00D0655E">
        <w:t xml:space="preserve">PPAs were executed.  </w:t>
      </w:r>
      <w:r w:rsidR="001517B3">
        <w:t xml:space="preserve">To take those PPAs, some of which </w:t>
      </w:r>
      <w:r w:rsidR="001517B3">
        <w:rPr>
          <w:i/>
        </w:rPr>
        <w:t>may have properly included separate capacity payments</w:t>
      </w:r>
      <w:r w:rsidR="001517B3">
        <w:t xml:space="preserve"> based on the appropriate avoided cost analysis at the time, and to re</w:t>
      </w:r>
      <w:r w:rsidR="00126227">
        <w:t>-</w:t>
      </w:r>
      <w:r w:rsidR="001517B3">
        <w:t>price them at market prices</w:t>
      </w:r>
      <w:r w:rsidR="00D0655E">
        <w:t xml:space="preserve">, would not necessarily reflect the avoided cost calculated at the time those PPAs were executed.  </w:t>
      </w:r>
    </w:p>
    <w:p w:rsidR="008D4B6D" w:rsidRDefault="00D0655E" w:rsidP="004F5748">
      <w:pPr>
        <w:pStyle w:val="WAP1"/>
        <w:spacing w:line="480" w:lineRule="auto"/>
      </w:pPr>
      <w:r>
        <w:tab/>
        <w:t xml:space="preserve">This is very different from the situation at hand, where PacifiCorp has conducted an analysis in its IRP and determined that </w:t>
      </w:r>
      <w:r>
        <w:rPr>
          <w:i/>
        </w:rPr>
        <w:t>at this time</w:t>
      </w:r>
      <w:r>
        <w:t xml:space="preserve">, the avoided cost of energy and capacity is the avoided cost of FOTs.  </w:t>
      </w:r>
    </w:p>
    <w:p w:rsidR="00665E09" w:rsidRDefault="00665E09" w:rsidP="006A2189">
      <w:pPr>
        <w:pStyle w:val="H2"/>
        <w:spacing w:line="240" w:lineRule="auto"/>
      </w:pPr>
      <w:bookmarkStart w:id="19" w:name="_Toc429665550"/>
      <w:bookmarkStart w:id="20" w:name="_Toc431977330"/>
      <w:r>
        <w:t>E.</w:t>
      </w:r>
      <w:r>
        <w:tab/>
      </w:r>
      <w:r w:rsidRPr="0096317D">
        <w:t xml:space="preserve">The Renewable Portfolio Standard (RPS) Incremental Cost Method, While Useful for RPS Purposes, </w:t>
      </w:r>
      <w:r w:rsidR="0096317D" w:rsidRPr="0096317D">
        <w:t>I</w:t>
      </w:r>
      <w:r w:rsidRPr="0096317D">
        <w:t>s Inappropriate for Calculating Avoided Cost.</w:t>
      </w:r>
      <w:bookmarkEnd w:id="19"/>
      <w:bookmarkEnd w:id="20"/>
      <w:r w:rsidR="006A2189">
        <w:br/>
      </w:r>
    </w:p>
    <w:p w:rsidR="004D531E" w:rsidRDefault="00665E09" w:rsidP="004F5748">
      <w:pPr>
        <w:pStyle w:val="WAP1"/>
        <w:widowControl/>
        <w:adjustRightInd w:val="0"/>
        <w:spacing w:line="480" w:lineRule="auto"/>
        <w:textAlignment w:val="baseline"/>
      </w:pPr>
      <w:r>
        <w:tab/>
        <w:t xml:space="preserve">Staff </w:t>
      </w:r>
      <w:r w:rsidR="004D531E">
        <w:t>and REC argue</w:t>
      </w:r>
      <w:r>
        <w:t xml:space="preserve"> that</w:t>
      </w:r>
      <w:r w:rsidR="00BC79A5">
        <w:t xml:space="preserve"> t</w:t>
      </w:r>
      <w:r>
        <w:t xml:space="preserve">he Company should use Washington’s method for calculating incremental costs in the context of RPS reporting to calculate avoided cost.  As PacifiCorp explained in </w:t>
      </w:r>
      <w:r w:rsidR="004D531E">
        <w:t xml:space="preserve">its </w:t>
      </w:r>
      <w:r w:rsidR="0096317D">
        <w:t>Initial Brief</w:t>
      </w:r>
      <w:r>
        <w:t>, this methodology does not comport with the factors utilized to determine</w:t>
      </w:r>
      <w:r w:rsidR="00BC79A5">
        <w:t xml:space="preserve"> avoided costs under PURPA.  </w:t>
      </w:r>
      <w:r>
        <w:t>The determi</w:t>
      </w:r>
      <w:r w:rsidR="00BB5B18">
        <w:t>nation of avoided cost under PURPA</w:t>
      </w:r>
      <w:r>
        <w:t xml:space="preserve"> must be determined in light of the individual factors affecting each utility’s own procurement plans.  The RPS incremental cost calculation compares the cost of an RPS eligible resource to a non-eligible resource (</w:t>
      </w:r>
      <w:r w:rsidRPr="00BC79A5">
        <w:rPr>
          <w:i/>
        </w:rPr>
        <w:t>i.e.,</w:t>
      </w:r>
      <w:r>
        <w:t xml:space="preserve"> a CCCT) available at the time of the eligible resource’s acquisition, but the incremental cost calculation is simplified (and goes fundamentally awry for purposes of avoided cost calculations) in that it compares an eligible resource to a CCCT assumed to be procured at the same time and in the same size increment as the eligible resource, whether or not the utility wo</w:t>
      </w:r>
      <w:r w:rsidRPr="00BC79A5">
        <w:rPr>
          <w:i/>
        </w:rPr>
        <w:t>uld actually have procured</w:t>
      </w:r>
      <w:r>
        <w:t xml:space="preserve"> a CCCT in the absence of the eligible resource.  In other words, the RPS method has nothing to do with an individual utility’s actual avoided cost.</w:t>
      </w:r>
      <w:r w:rsidR="00D06FB8">
        <w:t xml:space="preserve"> </w:t>
      </w:r>
    </w:p>
    <w:p w:rsidR="004D531E" w:rsidRPr="004D531E" w:rsidRDefault="004D531E" w:rsidP="006A2189">
      <w:pPr>
        <w:pStyle w:val="H2"/>
        <w:spacing w:line="480" w:lineRule="auto"/>
      </w:pPr>
      <w:bookmarkStart w:id="21" w:name="_Toc431977331"/>
      <w:r w:rsidRPr="004D531E">
        <w:lastRenderedPageBreak/>
        <w:t>F.</w:t>
      </w:r>
      <w:r w:rsidRPr="004D531E">
        <w:tab/>
      </w:r>
      <w:r w:rsidRPr="0096317D">
        <w:t>Other Issues</w:t>
      </w:r>
      <w:r w:rsidR="0096317D" w:rsidRPr="0096317D">
        <w:t>.</w:t>
      </w:r>
      <w:bookmarkEnd w:id="21"/>
    </w:p>
    <w:p w:rsidR="004D531E" w:rsidRPr="001F1FC8" w:rsidRDefault="004D531E" w:rsidP="004F5748">
      <w:pPr>
        <w:pStyle w:val="WAP1"/>
        <w:widowControl/>
        <w:adjustRightInd w:val="0"/>
        <w:spacing w:line="480" w:lineRule="auto"/>
        <w:textAlignment w:val="baseline"/>
      </w:pPr>
      <w:r>
        <w:tab/>
        <w:t>Staff and REC raised additional recommendations in their briefs</w:t>
      </w:r>
      <w:r w:rsidR="00EC312C">
        <w:t xml:space="preserve"> that PacifiCorp addressed fully in its </w:t>
      </w:r>
      <w:r w:rsidR="0096317D">
        <w:t>Initial Brief</w:t>
      </w:r>
      <w:r w:rsidR="00EC312C">
        <w:t xml:space="preserve"> and will not revisit here.  For example, the Company’s </w:t>
      </w:r>
      <w:r w:rsidR="0096317D">
        <w:t>Initial Brief</w:t>
      </w:r>
      <w:r w:rsidR="00EC312C">
        <w:t xml:space="preserve"> addresses the inappropriateness of </w:t>
      </w:r>
      <w:r w:rsidR="001F1FC8">
        <w:t xml:space="preserve">increasing avoided cost to reflect possible environmental cost upgrades, </w:t>
      </w:r>
      <w:r w:rsidR="00EC312C">
        <w:t>the relevance of the Company’s sufficiency/deficiency demarcation</w:t>
      </w:r>
      <w:r w:rsidR="001F1FC8">
        <w:t xml:space="preserve">, and the inappropriateness of including capacity payments over 12 months when the Company </w:t>
      </w:r>
      <w:r w:rsidR="00037802">
        <w:t xml:space="preserve">needs (and purchases) </w:t>
      </w:r>
      <w:r w:rsidR="001F1FC8">
        <w:t>FOTs only during certain time periods</w:t>
      </w:r>
      <w:r w:rsidR="00037802">
        <w:t xml:space="preserve">.  PacifiCorp would refer the Commission to </w:t>
      </w:r>
      <w:r w:rsidR="004532D7">
        <w:t xml:space="preserve">the </w:t>
      </w:r>
      <w:r w:rsidR="0084743B">
        <w:t>Company’s</w:t>
      </w:r>
      <w:r w:rsidR="004532D7">
        <w:t xml:space="preserve"> Initial Brief</w:t>
      </w:r>
      <w:r w:rsidR="00037802">
        <w:t xml:space="preserve"> rather than reiterating the same points here.  </w:t>
      </w:r>
    </w:p>
    <w:p w:rsidR="001E0EF1" w:rsidRDefault="005C57DF" w:rsidP="004F5748">
      <w:pPr>
        <w:pStyle w:val="H1"/>
        <w:keepNext/>
        <w:spacing w:line="480" w:lineRule="auto"/>
      </w:pPr>
      <w:bookmarkStart w:id="22" w:name="_Toc369097779"/>
      <w:bookmarkStart w:id="23" w:name="_Toc429152224"/>
      <w:bookmarkStart w:id="24" w:name="_Toc431977332"/>
      <w:r>
        <w:t>CONCLUSION</w:t>
      </w:r>
      <w:bookmarkEnd w:id="22"/>
      <w:bookmarkEnd w:id="23"/>
      <w:bookmarkEnd w:id="24"/>
    </w:p>
    <w:p w:rsidR="00E933C4" w:rsidRDefault="005C57DF" w:rsidP="008D511F">
      <w:pPr>
        <w:pStyle w:val="WAP1"/>
        <w:widowControl/>
        <w:spacing w:line="480" w:lineRule="auto"/>
      </w:pPr>
      <w:r>
        <w:tab/>
      </w:r>
      <w:bookmarkEnd w:id="10"/>
      <w:r w:rsidR="00E933C4">
        <w:t>To</w:t>
      </w:r>
      <w:r w:rsidR="00E933C4" w:rsidRPr="00EE5DB0">
        <w:t xml:space="preserve"> meet the objective of ratepayer indifference, deferred capacity costs must be included in avoided costs in a manner consistent with the Company’s resource procurement plans identified in its IRP</w:t>
      </w:r>
      <w:r w:rsidR="00BB5B18">
        <w:t xml:space="preserve">. </w:t>
      </w:r>
      <w:r w:rsidR="00E933C4" w:rsidRPr="00EE5DB0">
        <w:t xml:space="preserve"> Artificially increasing avoided cost prices by including fixed costs of new generators that will not be acquired until at least 2027</w:t>
      </w:r>
      <w:r w:rsidR="000100E8">
        <w:t>, or by increasing avoided cost pricing in any manner lacks foundation in PURPA’s statutory standard,</w:t>
      </w:r>
      <w:r w:rsidR="00E933C4" w:rsidRPr="00EE5DB0">
        <w:t xml:space="preserve"> overstates the costs that the Company will avoid and ultimately results in higher costs passed on to the Company’s Washington retail customers</w:t>
      </w:r>
      <w:r w:rsidR="008D511F">
        <w:t>.</w:t>
      </w:r>
    </w:p>
    <w:p w:rsidR="001E0EF1" w:rsidRDefault="005C57DF" w:rsidP="00667389">
      <w:pPr>
        <w:tabs>
          <w:tab w:val="left" w:pos="720"/>
          <w:tab w:val="left" w:pos="1800"/>
          <w:tab w:val="left" w:pos="4320"/>
        </w:tabs>
        <w:spacing w:after="120" w:line="500" w:lineRule="exact"/>
        <w:jc w:val="both"/>
        <w:rPr>
          <w:rFonts w:ascii="Times New Roman" w:hAnsi="Times New Roman"/>
          <w:szCs w:val="24"/>
        </w:rPr>
      </w:pPr>
      <w:r>
        <w:rPr>
          <w:rFonts w:ascii="Times New Roman" w:hAnsi="Times New Roman"/>
          <w:szCs w:val="24"/>
        </w:rPr>
        <w:tab/>
        <w:t xml:space="preserve">Respectfully submitted </w:t>
      </w:r>
      <w:r w:rsidR="00981D10">
        <w:rPr>
          <w:rFonts w:ascii="Times New Roman" w:hAnsi="Times New Roman"/>
          <w:szCs w:val="24"/>
        </w:rPr>
        <w:t>this 7</w:t>
      </w:r>
      <w:r w:rsidR="00981D10" w:rsidRPr="00981D10">
        <w:rPr>
          <w:rFonts w:ascii="Times New Roman" w:hAnsi="Times New Roman"/>
          <w:szCs w:val="24"/>
          <w:vertAlign w:val="superscript"/>
        </w:rPr>
        <w:t>th</w:t>
      </w:r>
      <w:r w:rsidR="00981D10">
        <w:rPr>
          <w:rFonts w:ascii="Times New Roman" w:hAnsi="Times New Roman"/>
          <w:szCs w:val="24"/>
        </w:rPr>
        <w:t xml:space="preserve"> day of October, 2015</w:t>
      </w:r>
      <w:r>
        <w:rPr>
          <w:rFonts w:ascii="Times New Roman" w:hAnsi="Times New Roman"/>
          <w:szCs w:val="24"/>
        </w:rPr>
        <w:t>,</w:t>
      </w:r>
    </w:p>
    <w:p w:rsidR="00981D10" w:rsidRDefault="00981D10" w:rsidP="00667389">
      <w:pPr>
        <w:tabs>
          <w:tab w:val="left" w:pos="4320"/>
        </w:tabs>
        <w:spacing w:after="120"/>
        <w:ind w:left="4320"/>
        <w:jc w:val="right"/>
        <w:rPr>
          <w:rFonts w:ascii="Times New Roman" w:hAnsi="Times New Roman"/>
          <w:szCs w:val="24"/>
        </w:rPr>
      </w:pPr>
    </w:p>
    <w:p w:rsidR="001E0EF1" w:rsidRDefault="005C57DF" w:rsidP="00667389">
      <w:pPr>
        <w:ind w:left="4320"/>
        <w:rPr>
          <w:rFonts w:ascii="Times New Roman" w:hAnsi="Times New Roman"/>
          <w:szCs w:val="24"/>
        </w:rPr>
      </w:pPr>
      <w:r>
        <w:rPr>
          <w:rFonts w:ascii="Times New Roman" w:hAnsi="Times New Roman"/>
          <w:szCs w:val="24"/>
        </w:rPr>
        <w:t>___________________________</w:t>
      </w:r>
    </w:p>
    <w:p w:rsidR="001E0EF1" w:rsidRDefault="00317EAC" w:rsidP="00667389">
      <w:pPr>
        <w:pStyle w:val="normalblock"/>
        <w:keepNext/>
        <w:keepLines/>
        <w:spacing w:line="240" w:lineRule="auto"/>
        <w:ind w:left="4320"/>
        <w:outlineLvl w:val="0"/>
        <w:rPr>
          <w:szCs w:val="24"/>
        </w:rPr>
      </w:pPr>
      <w:bookmarkStart w:id="25" w:name="_Toc431703335"/>
      <w:bookmarkStart w:id="26" w:name="_Toc431895364"/>
      <w:bookmarkStart w:id="27" w:name="_Toc431895433"/>
      <w:r>
        <w:rPr>
          <w:szCs w:val="24"/>
        </w:rPr>
        <w:t>Dustin T. Till</w:t>
      </w:r>
      <w:bookmarkEnd w:id="25"/>
      <w:bookmarkEnd w:id="26"/>
      <w:bookmarkEnd w:id="27"/>
    </w:p>
    <w:p w:rsidR="001E0EF1" w:rsidRDefault="00317EAC" w:rsidP="00667389">
      <w:pPr>
        <w:pStyle w:val="normalblock"/>
        <w:keepNext/>
        <w:keepLines/>
        <w:spacing w:line="240" w:lineRule="auto"/>
        <w:ind w:left="4320"/>
        <w:outlineLvl w:val="0"/>
        <w:rPr>
          <w:szCs w:val="24"/>
        </w:rPr>
      </w:pPr>
      <w:bookmarkStart w:id="28" w:name="_Toc431703336"/>
      <w:bookmarkStart w:id="29" w:name="_Toc431895365"/>
      <w:bookmarkStart w:id="30" w:name="_Toc431895434"/>
      <w:r>
        <w:rPr>
          <w:szCs w:val="24"/>
        </w:rPr>
        <w:t>Attorney</w:t>
      </w:r>
      <w:r w:rsidR="005C57DF">
        <w:rPr>
          <w:szCs w:val="24"/>
        </w:rPr>
        <w:t xml:space="preserve"> for PacifiCorp</w:t>
      </w:r>
      <w:bookmarkEnd w:id="11"/>
      <w:bookmarkEnd w:id="28"/>
      <w:bookmarkEnd w:id="29"/>
      <w:bookmarkEnd w:id="30"/>
    </w:p>
    <w:sectPr w:rsidR="001E0EF1" w:rsidSect="004F5748">
      <w:headerReference w:type="default" r:id="rId20"/>
      <w:footerReference w:type="default" r:id="rId21"/>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45B" w:rsidRDefault="00BF645B">
      <w:r>
        <w:separator/>
      </w:r>
    </w:p>
  </w:endnote>
  <w:endnote w:type="continuationSeparator" w:id="0">
    <w:p w:rsidR="00BF645B" w:rsidRDefault="00BF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0A0" w:rsidRDefault="002320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45B" w:rsidRDefault="00BF645B">
    <w:pPr>
      <w:pStyle w:val="Footer"/>
      <w:jc w:val="center"/>
    </w:pPr>
  </w:p>
  <w:p w:rsidR="00BF645B" w:rsidRDefault="00BF64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0A0" w:rsidRDefault="002320A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97728"/>
      <w:docPartObj>
        <w:docPartGallery w:val="Page Numbers (Bottom of Page)"/>
        <w:docPartUnique/>
      </w:docPartObj>
    </w:sdtPr>
    <w:sdtEndPr/>
    <w:sdtContent>
      <w:p w:rsidR="00BF645B" w:rsidRDefault="00D8056D">
        <w:pPr>
          <w:pStyle w:val="Footer"/>
          <w:jc w:val="center"/>
        </w:pPr>
        <w:r>
          <w:fldChar w:fldCharType="begin"/>
        </w:r>
        <w:r w:rsidR="0057785B">
          <w:instrText xml:space="preserve"> PAGE   \* MERGEFORMAT </w:instrText>
        </w:r>
        <w:r>
          <w:fldChar w:fldCharType="separate"/>
        </w:r>
        <w:r w:rsidR="008D511F">
          <w:rPr>
            <w:noProof/>
          </w:rPr>
          <w:t>ii</w:t>
        </w:r>
        <w:r>
          <w:fldChar w:fldCharType="end"/>
        </w:r>
      </w:p>
    </w:sdtContent>
  </w:sdt>
  <w:p w:rsidR="00BF645B" w:rsidRDefault="00BF645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5927"/>
      <w:docPartObj>
        <w:docPartGallery w:val="Page Numbers (Bottom of Page)"/>
        <w:docPartUnique/>
      </w:docPartObj>
    </w:sdtPr>
    <w:sdtEndPr/>
    <w:sdtContent>
      <w:p w:rsidR="00BF645B" w:rsidRDefault="00D8056D">
        <w:pPr>
          <w:pStyle w:val="Footer"/>
          <w:jc w:val="center"/>
        </w:pPr>
        <w:r>
          <w:fldChar w:fldCharType="begin"/>
        </w:r>
        <w:r w:rsidR="0057785B">
          <w:instrText xml:space="preserve"> PAGE   \* MERGEFORMAT </w:instrText>
        </w:r>
        <w:r>
          <w:fldChar w:fldCharType="separate"/>
        </w:r>
        <w:r w:rsidR="008D511F">
          <w:rPr>
            <w:noProof/>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45B" w:rsidRDefault="00BF645B">
      <w:r>
        <w:separator/>
      </w:r>
    </w:p>
  </w:footnote>
  <w:footnote w:type="continuationSeparator" w:id="0">
    <w:p w:rsidR="00BF645B" w:rsidRDefault="00BF645B">
      <w:r>
        <w:continuationSeparator/>
      </w:r>
    </w:p>
  </w:footnote>
  <w:footnote w:id="1">
    <w:p w:rsidR="00BF645B" w:rsidRPr="00D2229C" w:rsidRDefault="00BF645B">
      <w:pPr>
        <w:pStyle w:val="FootnoteText"/>
      </w:pPr>
      <w:r w:rsidRPr="00D2229C">
        <w:rPr>
          <w:rStyle w:val="FootnoteReference"/>
        </w:rPr>
        <w:footnoteRef/>
      </w:r>
      <w:r w:rsidRPr="00D2229C">
        <w:t xml:space="preserve"> Boise White Paper, LLC also filed an initial brief disagreeing with Staff’s recommendation to include separate SCCT costs in PacifiCorp’s avoided cost.</w:t>
      </w:r>
    </w:p>
  </w:footnote>
  <w:footnote w:id="2">
    <w:p w:rsidR="00BF645B" w:rsidRPr="00D2229C" w:rsidRDefault="00BF645B" w:rsidP="00D862A2">
      <w:pPr>
        <w:pStyle w:val="FootnoteText"/>
        <w:spacing w:after="60"/>
      </w:pPr>
      <w:r w:rsidRPr="00D2229C">
        <w:rPr>
          <w:rStyle w:val="FootnoteReference"/>
        </w:rPr>
        <w:footnoteRef/>
      </w:r>
      <w:r w:rsidRPr="00D2229C">
        <w:t xml:space="preserve"> </w:t>
      </w:r>
      <w:r w:rsidR="00E24D16" w:rsidRPr="00DE5B04">
        <w:t>Declaration of Brian S. Dickman (“Dickman Dec.”) at ¶ 4 (</w:t>
      </w:r>
      <w:r w:rsidR="00E24D16" w:rsidRPr="008F0EE9">
        <w:t>June 12, 2015).</w:t>
      </w:r>
    </w:p>
  </w:footnote>
  <w:footnote w:id="3">
    <w:p w:rsidR="00BF645B" w:rsidRPr="00BF645B" w:rsidRDefault="00BF645B" w:rsidP="00673BAB">
      <w:pPr>
        <w:pStyle w:val="FootnoteText"/>
      </w:pPr>
      <w:r w:rsidRPr="00D2229C">
        <w:rPr>
          <w:rStyle w:val="FootnoteReference"/>
        </w:rPr>
        <w:footnoteRef/>
      </w:r>
      <w:r w:rsidRPr="00D2229C">
        <w:t xml:space="preserve"> </w:t>
      </w:r>
      <w:r w:rsidRPr="00D2229C">
        <w:rPr>
          <w:i/>
        </w:rPr>
        <w:t xml:space="preserve">See, e.g., </w:t>
      </w:r>
      <w:r w:rsidR="00D8056D" w:rsidRPr="00D2229C">
        <w:fldChar w:fldCharType="begin"/>
      </w:r>
      <w:r w:rsidRPr="00D2229C">
        <w:instrText xml:space="preserve"> ADDIN BA \xc &lt;@regcs&gt; \xl 341 \s HJOBEU000003 \xhfl Rep \xeml \xels \l "</w:instrText>
      </w:r>
      <w:r w:rsidRPr="00D2229C">
        <w:rPr>
          <w:rFonts w:eastAsiaTheme="minorHAnsi"/>
          <w:i/>
          <w:iCs/>
          <w:highlight w:val="white"/>
        </w:rPr>
        <w:instrText>Southern Cal. Edison Co., et al.,</w:instrText>
      </w:r>
      <w:r w:rsidRPr="00D2229C">
        <w:rPr>
          <w:rFonts w:eastAsiaTheme="minorHAnsi"/>
          <w:highlight w:val="white"/>
        </w:rPr>
        <w:instrText>&lt;SoftRt&gt; 71 FERC ¶ 61,269 (1995) (“</w:instrText>
      </w:r>
      <w:r w:rsidRPr="00D2229C">
        <w:rPr>
          <w:rFonts w:eastAsiaTheme="minorHAnsi"/>
          <w:i/>
          <w:iCs/>
          <w:highlight w:val="white"/>
        </w:rPr>
        <w:instrText>So. Cal. Edison”</w:instrText>
      </w:r>
      <w:r w:rsidRPr="00D2229C">
        <w:rPr>
          <w:rFonts w:eastAsiaTheme="minorHAnsi"/>
          <w:highlight w:val="white"/>
        </w:rPr>
        <w:instrText>)</w:instrText>
      </w:r>
      <w:r w:rsidRPr="00D2229C">
        <w:rPr>
          <w:rFonts w:eastAsiaTheme="minorHAnsi"/>
          <w:i/>
          <w:iCs/>
          <w:highlight w:val="white"/>
        </w:rPr>
        <w:instrText xml:space="preserve"> overruled on other grounds, Cal Pub. Util. Comm’n</w:instrText>
      </w:r>
      <w:r w:rsidRPr="00D2229C">
        <w:rPr>
          <w:rFonts w:eastAsiaTheme="minorHAnsi"/>
          <w:highlight w:val="white"/>
        </w:rPr>
        <w:instrText xml:space="preserve">, 133 FERC ¶ 61,059 (2010) </w:instrText>
      </w:r>
      <w:r w:rsidRPr="00D2229C">
        <w:instrText xml:space="preserve">" </w:instrText>
      </w:r>
      <w:r w:rsidR="00D8056D" w:rsidRPr="00D2229C">
        <w:fldChar w:fldCharType="end"/>
      </w:r>
      <w:bookmarkStart w:id="15" w:name="_BA_Cite_39"/>
      <w:r w:rsidRPr="00D2229C">
        <w:rPr>
          <w:i/>
        </w:rPr>
        <w:t>Southern Cal. Edison Co., et al.,</w:t>
      </w:r>
      <w:r w:rsidRPr="00D2229C">
        <w:t xml:space="preserve"> 71 FERC ¶ 61,269 at 62,080 (1995)</w:t>
      </w:r>
      <w:r w:rsidR="00B03010">
        <w:t xml:space="preserve"> (“</w:t>
      </w:r>
      <w:r w:rsidR="00B03010" w:rsidRPr="00B03010">
        <w:rPr>
          <w:i/>
        </w:rPr>
        <w:t>So. Cal. Edison</w:t>
      </w:r>
      <w:r w:rsidR="00B03010">
        <w:t>”)</w:t>
      </w:r>
      <w:r w:rsidRPr="00D2229C">
        <w:rPr>
          <w:i/>
        </w:rPr>
        <w:t xml:space="preserve"> overruled on other grounds, Cal Pub. Util. Comm’n</w:t>
      </w:r>
      <w:r w:rsidRPr="00D2229C">
        <w:t>, 133 FERC ¶ 61,059 (2010)</w:t>
      </w:r>
      <w:r w:rsidR="00D8056D">
        <w:fldChar w:fldCharType="begin"/>
      </w:r>
      <w:r w:rsidR="00BF494D">
        <w:instrText xml:space="preserve"> TA \l "</w:instrText>
      </w:r>
      <w:r w:rsidR="00BF494D" w:rsidRPr="001A0585">
        <w:rPr>
          <w:i/>
        </w:rPr>
        <w:instrText>Southern Cal. Edison Co., et al.,</w:instrText>
      </w:r>
      <w:r w:rsidR="00BF494D" w:rsidRPr="001A0585">
        <w:instrText xml:space="preserve"> 71 FERC ¶ 61,269 (1995), </w:instrText>
      </w:r>
      <w:r w:rsidR="00BF494D" w:rsidRPr="001A0585">
        <w:rPr>
          <w:i/>
        </w:rPr>
        <w:instrText>overruled on other grounds, Cal Pub. Util. Comm’n</w:instrText>
      </w:r>
      <w:r w:rsidR="00BF494D" w:rsidRPr="001A0585">
        <w:instrText>, 133 FERC ¶ 61,059 (2010)</w:instrText>
      </w:r>
      <w:r w:rsidR="00BF494D">
        <w:instrText xml:space="preserve">" \s "So. Cal. Edison" \c 1 </w:instrText>
      </w:r>
      <w:r w:rsidR="00D8056D">
        <w:fldChar w:fldCharType="end"/>
      </w:r>
      <w:r w:rsidRPr="00D2229C">
        <w:t xml:space="preserve"> (overturning avoided cost methodology proposed by California Public Utilities Commission because the methodology itself would result in payments to QFs that exceed avoided cost)</w:t>
      </w:r>
      <w:bookmarkEnd w:id="15"/>
      <w:r w:rsidRPr="00D2229C">
        <w:t>.</w:t>
      </w:r>
      <w:r w:rsidRPr="00D2229C">
        <w:rPr>
          <w:i/>
        </w:rPr>
        <w:t xml:space="preserve"> </w:t>
      </w:r>
      <w:r>
        <w:rPr>
          <w:i/>
        </w:rPr>
        <w:t xml:space="preserve"> </w:t>
      </w:r>
      <w:r>
        <w:t xml:space="preserve">Staff repeatedly states that PURPA requires a utility to pay a QF the utility’s “full” avoided cost.  PacifiCorp does not disagree with Staff under the circumstances present here, but believes it is more accurate to state that PacifiCorp is required to set avoided cost at the Company’s best estimate of its </w:t>
      </w:r>
      <w:r w:rsidRPr="00BF645B">
        <w:rPr>
          <w:i/>
        </w:rPr>
        <w:t xml:space="preserve">actual </w:t>
      </w:r>
      <w:r>
        <w:t xml:space="preserve">avoided cost.  PacifiCorp’s arguments in this brief are based on this standard.  PacifiCorp would also note for the sake of completeness on this point that in certain circumstances, a state commission may (consistent with PURPA) set a rate for purchase of QF power that is </w:t>
      </w:r>
      <w:r w:rsidRPr="00673BAB">
        <w:rPr>
          <w:i/>
        </w:rPr>
        <w:t>less</w:t>
      </w:r>
      <w:r>
        <w:t xml:space="preserve"> than a utility’s avoided cost.  </w:t>
      </w:r>
      <w:r>
        <w:rPr>
          <w:i/>
        </w:rPr>
        <w:t xml:space="preserve">See, e.g., </w:t>
      </w:r>
      <w:r>
        <w:t xml:space="preserve">18 C.F.R. </w:t>
      </w:r>
      <w:r w:rsidRPr="00337416">
        <w:t>§ 292.304</w:t>
      </w:r>
      <w:r w:rsidR="00D8056D">
        <w:fldChar w:fldCharType="begin"/>
      </w:r>
      <w:r w:rsidR="00FF6669">
        <w:instrText xml:space="preserve"> TA \l "</w:instrText>
      </w:r>
      <w:r w:rsidR="00FF6669" w:rsidRPr="0012783D">
        <w:instrText>18 C.F.R. § 292.304</w:instrText>
      </w:r>
      <w:r w:rsidR="00FF6669">
        <w:instrText xml:space="preserve">" \s "18 C.F.R. § 292.304" \c 6 </w:instrText>
      </w:r>
      <w:r w:rsidR="00D8056D">
        <w:fldChar w:fldCharType="end"/>
      </w:r>
      <w:r>
        <w:t>(b)(3)</w:t>
      </w:r>
      <w:r w:rsidRPr="00337416">
        <w:t>.</w:t>
      </w:r>
      <w:r>
        <w:t xml:space="preserve">  It may not, however, set a rate for purchase of power that is </w:t>
      </w:r>
      <w:r w:rsidRPr="00673BAB">
        <w:rPr>
          <w:i/>
        </w:rPr>
        <w:t>more</w:t>
      </w:r>
      <w:r>
        <w:t xml:space="preserve"> than a utility’s avoided cost.  </w:t>
      </w:r>
      <w:r>
        <w:rPr>
          <w:i/>
        </w:rPr>
        <w:t xml:space="preserve">See, e.g., </w:t>
      </w:r>
      <w:r>
        <w:t xml:space="preserve">18 C.F.R. </w:t>
      </w:r>
      <w:r w:rsidRPr="00337416">
        <w:t>§ 292.304</w:t>
      </w:r>
      <w:r w:rsidR="00D8056D">
        <w:fldChar w:fldCharType="begin"/>
      </w:r>
      <w:r w:rsidR="00FF6669">
        <w:instrText xml:space="preserve"> TA \s "18 C.F.R. § 292.304" </w:instrText>
      </w:r>
      <w:r w:rsidR="00D8056D">
        <w:fldChar w:fldCharType="end"/>
      </w:r>
      <w:r>
        <w:t>(a)(ii)(2).</w:t>
      </w:r>
    </w:p>
  </w:footnote>
  <w:footnote w:id="4">
    <w:p w:rsidR="00BF645B" w:rsidRPr="00D2229C" w:rsidRDefault="00BF645B" w:rsidP="00E75C99">
      <w:pPr>
        <w:pStyle w:val="FootnoteText"/>
        <w:rPr>
          <w:i/>
        </w:rPr>
      </w:pPr>
      <w:r w:rsidRPr="00D2229C">
        <w:rPr>
          <w:rStyle w:val="FootnoteReference"/>
        </w:rPr>
        <w:footnoteRef/>
      </w:r>
      <w:r w:rsidRPr="00D2229C">
        <w:t xml:space="preserve"> </w:t>
      </w:r>
      <w:r w:rsidRPr="00D2229C">
        <w:rPr>
          <w:i/>
        </w:rPr>
        <w:t>Id.</w:t>
      </w:r>
      <w:r w:rsidR="00D8056D">
        <w:rPr>
          <w:i/>
        </w:rPr>
        <w:fldChar w:fldCharType="begin"/>
      </w:r>
      <w:r w:rsidR="00FF6669">
        <w:instrText xml:space="preserve"> TA \s "18 C.F.R. § 292.304" </w:instrText>
      </w:r>
      <w:r w:rsidR="00D8056D">
        <w:rPr>
          <w:i/>
        </w:rPr>
        <w:fldChar w:fldCharType="end"/>
      </w:r>
      <w:r w:rsidR="008D511F">
        <w:rPr>
          <w:i/>
        </w:rPr>
        <w:t>.</w:t>
      </w:r>
    </w:p>
  </w:footnote>
  <w:footnote w:id="5">
    <w:p w:rsidR="00BF645B" w:rsidRPr="008D511F" w:rsidRDefault="00BF645B" w:rsidP="00D2229C">
      <w:pPr>
        <w:pStyle w:val="ListParagraph"/>
        <w:ind w:left="0"/>
        <w:rPr>
          <w:rFonts w:ascii="Times New Roman" w:hAnsi="Times New Roman"/>
          <w:sz w:val="20"/>
        </w:rPr>
      </w:pPr>
      <w:r w:rsidRPr="00D2229C">
        <w:rPr>
          <w:rStyle w:val="FootnoteReference"/>
          <w:rFonts w:ascii="Times New Roman" w:hAnsi="Times New Roman"/>
          <w:sz w:val="20"/>
        </w:rPr>
        <w:footnoteRef/>
      </w:r>
      <w:r w:rsidRPr="00D2229C">
        <w:rPr>
          <w:rFonts w:ascii="Times New Roman" w:hAnsi="Times New Roman"/>
          <w:sz w:val="20"/>
        </w:rPr>
        <w:t xml:space="preserve"> </w:t>
      </w:r>
      <w:r w:rsidRPr="008D511F">
        <w:rPr>
          <w:rFonts w:ascii="Times New Roman" w:hAnsi="Times New Roman"/>
          <w:sz w:val="20"/>
        </w:rPr>
        <w:t>WUTC Docket No. UE 130043, Order No. 5 at ¶ 102 (Dec. 4, 2013)</w:t>
      </w:r>
      <w:r w:rsidR="00D8056D" w:rsidRPr="008D511F">
        <w:rPr>
          <w:rFonts w:ascii="Times New Roman" w:hAnsi="Times New Roman"/>
          <w:sz w:val="20"/>
        </w:rPr>
        <w:fldChar w:fldCharType="begin"/>
      </w:r>
      <w:r w:rsidR="00BF494D" w:rsidRPr="008D511F">
        <w:rPr>
          <w:rFonts w:ascii="Times New Roman" w:hAnsi="Times New Roman"/>
          <w:sz w:val="20"/>
        </w:rPr>
        <w:instrText xml:space="preserve"> TA \l "</w:instrText>
      </w:r>
      <w:r w:rsidR="008D511F" w:rsidRPr="008D511F">
        <w:rPr>
          <w:rFonts w:ascii="Times New Roman" w:hAnsi="Times New Roman"/>
          <w:sz w:val="20"/>
        </w:rPr>
        <w:instrText>WUTC Docket No. UE-</w:instrText>
      </w:r>
      <w:r w:rsidR="00BF494D" w:rsidRPr="008D511F">
        <w:rPr>
          <w:rFonts w:ascii="Times New Roman" w:hAnsi="Times New Roman"/>
          <w:sz w:val="20"/>
        </w:rPr>
        <w:instrText>130043, Order No. 5 (Dec. 4, 2013)</w:instrText>
      </w:r>
      <w:r w:rsidR="008D511F" w:rsidRPr="008D511F">
        <w:rPr>
          <w:rFonts w:ascii="Times New Roman" w:hAnsi="Times New Roman"/>
          <w:sz w:val="20"/>
        </w:rPr>
        <w:instrText>" \s "WUTC Docket No. UE-</w:instrText>
      </w:r>
      <w:r w:rsidR="00BF494D" w:rsidRPr="008D511F">
        <w:rPr>
          <w:rFonts w:ascii="Times New Roman" w:hAnsi="Times New Roman"/>
          <w:sz w:val="20"/>
        </w:rPr>
        <w:instrText xml:space="preserve">130043, Order No. 5" \c 8 </w:instrText>
      </w:r>
      <w:r w:rsidR="00D8056D" w:rsidRPr="008D511F">
        <w:rPr>
          <w:rFonts w:ascii="Times New Roman" w:hAnsi="Times New Roman"/>
          <w:sz w:val="20"/>
        </w:rPr>
        <w:fldChar w:fldCharType="end"/>
      </w:r>
      <w:r w:rsidRPr="008D511F">
        <w:rPr>
          <w:rFonts w:ascii="Times New Roman" w:hAnsi="Times New Roman"/>
          <w:sz w:val="20"/>
        </w:rPr>
        <w:t xml:space="preserve"> (“In implementing state policies such as providing incentives for the development of renewable energy states may, for example, increase the maximum amount of power that must be purchased under a QF contract and also set the av</w:t>
      </w:r>
      <w:r w:rsidR="008D511F">
        <w:rPr>
          <w:rFonts w:ascii="Times New Roman" w:hAnsi="Times New Roman"/>
          <w:sz w:val="20"/>
        </w:rPr>
        <w:t xml:space="preserve">oided cost at a higher level.  </w:t>
      </w:r>
      <w:r w:rsidRPr="008D511F">
        <w:rPr>
          <w:rFonts w:ascii="Times New Roman" w:hAnsi="Times New Roman"/>
          <w:sz w:val="20"/>
        </w:rPr>
        <w:t xml:space="preserve">Other states may elect to implement such policies by other means, placing less emphasis on PURPA and relying more on approaches such as establishing enforceable renewable portfolio standards.”).  </w:t>
      </w:r>
      <w:r w:rsidRPr="008D511F">
        <w:rPr>
          <w:rFonts w:ascii="Times New Roman" w:hAnsi="Times New Roman"/>
          <w:i/>
          <w:sz w:val="20"/>
        </w:rPr>
        <w:t>See</w:t>
      </w:r>
      <w:r w:rsidRPr="008D511F">
        <w:rPr>
          <w:rFonts w:ascii="Times New Roman" w:hAnsi="Times New Roman"/>
          <w:sz w:val="20"/>
        </w:rPr>
        <w:t xml:space="preserve">, </w:t>
      </w:r>
      <w:r w:rsidRPr="008D511F">
        <w:rPr>
          <w:rFonts w:ascii="Times New Roman" w:hAnsi="Times New Roman"/>
          <w:i/>
          <w:sz w:val="20"/>
        </w:rPr>
        <w:t>also e.g., So. Cal. Edison</w:t>
      </w:r>
      <w:r w:rsidRPr="008D511F">
        <w:rPr>
          <w:rFonts w:ascii="Times New Roman" w:hAnsi="Times New Roman"/>
          <w:sz w:val="20"/>
        </w:rPr>
        <w:t>, 71 FERC ¶ 61,269, 62,079-62,080</w:t>
      </w:r>
      <w:r w:rsidR="00D8056D" w:rsidRPr="008D511F">
        <w:rPr>
          <w:rFonts w:ascii="Times New Roman" w:hAnsi="Times New Roman"/>
          <w:sz w:val="20"/>
        </w:rPr>
        <w:fldChar w:fldCharType="begin"/>
      </w:r>
      <w:r w:rsidR="004C5C5C" w:rsidRPr="008D511F">
        <w:rPr>
          <w:rFonts w:ascii="Times New Roman" w:hAnsi="Times New Roman"/>
          <w:sz w:val="20"/>
        </w:rPr>
        <w:instrText xml:space="preserve"> TA \s "So. Cal. Edison" </w:instrText>
      </w:r>
      <w:r w:rsidR="00D8056D" w:rsidRPr="008D511F">
        <w:rPr>
          <w:rFonts w:ascii="Times New Roman" w:hAnsi="Times New Roman"/>
          <w:sz w:val="20"/>
        </w:rPr>
        <w:fldChar w:fldCharType="end"/>
      </w:r>
      <w:r w:rsidRPr="008D511F">
        <w:rPr>
          <w:rFonts w:ascii="Times New Roman" w:hAnsi="Times New Roman"/>
          <w:sz w:val="20"/>
        </w:rPr>
        <w:t>.  Washington, for example, encourages renewable generation through a number of state incentives, including the Washington Energy Independence Act and renewable portfolio standards, net metering, and various tax and production incentives.</w:t>
      </w:r>
    </w:p>
  </w:footnote>
  <w:footnote w:id="6">
    <w:p w:rsidR="00BF645B" w:rsidRPr="00126227" w:rsidRDefault="00BF645B" w:rsidP="001540F7">
      <w:pPr>
        <w:pStyle w:val="FootnoteText"/>
      </w:pPr>
      <w:r w:rsidRPr="00D2229C">
        <w:rPr>
          <w:rStyle w:val="FootnoteReference"/>
        </w:rPr>
        <w:footnoteRef/>
      </w:r>
      <w:r w:rsidRPr="00D2229C">
        <w:t xml:space="preserve"> Staff argues that PacifiCorp’s reliance on FOTs for its measure of avoided cost is too low</w:t>
      </w:r>
      <w:r w:rsidRPr="00126227">
        <w:t xml:space="preserve"> because it does not account for “the </w:t>
      </w:r>
      <w:r w:rsidRPr="00D06FB8">
        <w:t>risk t</w:t>
      </w:r>
      <w:r w:rsidRPr="00126227">
        <w:t xml:space="preserve">hat PacifiCorp will not be able to purchase the amount of power it needs at the price it predicts.”  Staff Initial Brief at </w:t>
      </w:r>
      <w:r w:rsidR="000D5A85">
        <w:t>2.</w:t>
      </w:r>
      <w:r w:rsidRPr="00126227">
        <w:t xml:space="preserve">  In some places Staff suggests that the addition of a separate capacity cost is intended to reflect the “market risk” associated with PacifiCorp’s planned FOTs; in other places, Staff suggests a separate “adder” unrelated to a SCCT should be added to PacifiCorp’s avoided cost to reflect market risk.  Staff states, Staff states, “The Company’s projection of the market price. . . fails to ‘reasonably account’ for the capacity costs that it avoids by purchasing QF power because it does not account for market risk”  Staff Initial Brief at </w:t>
      </w:r>
      <w:r w:rsidR="000D5A85">
        <w:t>10</w:t>
      </w:r>
      <w:r w:rsidRPr="00126227">
        <w:t>.</w:t>
      </w:r>
    </w:p>
  </w:footnote>
  <w:footnote w:id="7">
    <w:p w:rsidR="00BF645B" w:rsidRPr="00126227" w:rsidRDefault="00BF645B">
      <w:pPr>
        <w:pStyle w:val="FootnoteText"/>
      </w:pPr>
      <w:r w:rsidRPr="00D06FB8">
        <w:rPr>
          <w:rStyle w:val="FootnoteReference"/>
        </w:rPr>
        <w:footnoteRef/>
      </w:r>
      <w:r w:rsidRPr="00D06FB8">
        <w:t xml:space="preserve"> REC Initial Brief at 11.</w:t>
      </w:r>
    </w:p>
  </w:footnote>
  <w:footnote w:id="8">
    <w:p w:rsidR="00346305" w:rsidRPr="00346305" w:rsidRDefault="00346305">
      <w:pPr>
        <w:pStyle w:val="FootnoteText"/>
      </w:pPr>
      <w:r>
        <w:rPr>
          <w:rStyle w:val="FootnoteReference"/>
        </w:rPr>
        <w:footnoteRef/>
      </w:r>
      <w:r>
        <w:t xml:space="preserve"> </w:t>
      </w:r>
      <w:r>
        <w:rPr>
          <w:i/>
        </w:rPr>
        <w:t xml:space="preserve">See, e.g., </w:t>
      </w:r>
      <w:r>
        <w:t>18 C.F.R. § 292.304</w:t>
      </w:r>
      <w:r w:rsidR="00D8056D">
        <w:fldChar w:fldCharType="begin"/>
      </w:r>
      <w:r w:rsidR="00FF6669">
        <w:instrText xml:space="preserve"> TA \s "18 C.F.R. § 292.304" </w:instrText>
      </w:r>
      <w:r w:rsidR="00D8056D">
        <w:fldChar w:fldCharType="end"/>
      </w:r>
      <w:r>
        <w:t>(b)(5) (“In the case in which the rates for purchases are based on estimates of avoided costs over the specific term of the contract or other legally enforceable obligation, the rates for such purchases do not violate this subpart if the rates for such purchases differ from avoided costs at the time of delivery.”).</w:t>
      </w:r>
    </w:p>
  </w:footnote>
  <w:footnote w:id="9">
    <w:p w:rsidR="00BF645B" w:rsidRPr="00126227" w:rsidRDefault="00BF645B" w:rsidP="00577921">
      <w:pPr>
        <w:pStyle w:val="FootnoteText"/>
      </w:pPr>
      <w:r w:rsidRPr="00D06FB8">
        <w:rPr>
          <w:rStyle w:val="FootnoteReference"/>
        </w:rPr>
        <w:footnoteRef/>
      </w:r>
      <w:r w:rsidRPr="00D06FB8">
        <w:t xml:space="preserve"> </w:t>
      </w:r>
      <w:r w:rsidR="004C5C5C" w:rsidRPr="00D06FB8">
        <w:t xml:space="preserve">Order No. 69, </w:t>
      </w:r>
      <w:r w:rsidR="00D8056D" w:rsidRPr="00126227">
        <w:fldChar w:fldCharType="begin"/>
      </w:r>
      <w:r w:rsidR="004C5C5C" w:rsidRPr="00126227">
        <w:instrText xml:space="preserve"> ADDIN BA \xc &lt;@reg&gt; \xl 74 \s HJOBEU000012 \l "Order No. 69, 45 Fed. Reg. 12,214, 12,225 (Feb. 25, 1980) (“Order No. 69”)" </w:instrText>
      </w:r>
      <w:r w:rsidR="00D8056D" w:rsidRPr="00126227">
        <w:fldChar w:fldCharType="end"/>
      </w:r>
      <w:r w:rsidR="004C5C5C" w:rsidRPr="00D06FB8">
        <w:rPr>
          <w:i/>
        </w:rPr>
        <w:t xml:space="preserve">Small Power Production and Cogeneration Facilities; Regulations Implementing Section 210 of the Pub. Util. Regulatory Policies Act of 1978, </w:t>
      </w:r>
      <w:r w:rsidR="004C5C5C" w:rsidRPr="00126227">
        <w:t>45 Fed. Reg. 12,214, 12,22</w:t>
      </w:r>
      <w:r w:rsidR="004C5C5C">
        <w:t>4</w:t>
      </w:r>
      <w:r w:rsidR="004C5C5C" w:rsidRPr="00126227">
        <w:t xml:space="preserve"> (1980)</w:t>
      </w:r>
      <w:r w:rsidR="00D8056D">
        <w:fldChar w:fldCharType="begin"/>
      </w:r>
      <w:r w:rsidR="003558D5">
        <w:instrText xml:space="preserve"> TA \l "</w:instrText>
      </w:r>
      <w:r w:rsidR="003558D5" w:rsidRPr="003B58B5">
        <w:instrText xml:space="preserve">Order No. 69, </w:instrText>
      </w:r>
      <w:r w:rsidR="003558D5" w:rsidRPr="003B58B5">
        <w:rPr>
          <w:i/>
        </w:rPr>
        <w:instrText xml:space="preserve">Small Power Production and Cogeneration Facilities; Regulations Implementing Section 210 of the Pub. Util. Regulatory Policies Act of 1978, </w:instrText>
      </w:r>
      <w:r w:rsidR="003558D5" w:rsidRPr="003B58B5">
        <w:instrText>45 Fed. Reg. 12,214 (1980)</w:instrText>
      </w:r>
      <w:r w:rsidR="003558D5">
        <w:instrText xml:space="preserve">" \s "Order No. 69" \c 9 </w:instrText>
      </w:r>
      <w:r w:rsidR="00D8056D">
        <w:fldChar w:fldCharType="end"/>
      </w:r>
      <w:r w:rsidR="003558D5" w:rsidRPr="00126227">
        <w:t xml:space="preserve"> </w:t>
      </w:r>
      <w:r w:rsidR="004C5C5C" w:rsidRPr="00126227">
        <w:t>(“Order No. 69”)</w:t>
      </w:r>
      <w:r w:rsidR="004C5C5C">
        <w:t>.</w:t>
      </w:r>
    </w:p>
  </w:footnote>
  <w:footnote w:id="10">
    <w:p w:rsidR="00BF645B" w:rsidRPr="00126227" w:rsidRDefault="00BF645B" w:rsidP="00441117">
      <w:pPr>
        <w:pStyle w:val="FootnoteText"/>
        <w:rPr>
          <w:i/>
        </w:rPr>
      </w:pPr>
      <w:r w:rsidRPr="00D06FB8">
        <w:rPr>
          <w:rStyle w:val="FootnoteReference"/>
        </w:rPr>
        <w:footnoteRef/>
      </w:r>
      <w:r w:rsidRPr="00D06FB8">
        <w:t xml:space="preserve"> Dickman Dec. at ¶ 11.  </w:t>
      </w:r>
    </w:p>
  </w:footnote>
  <w:footnote w:id="11">
    <w:p w:rsidR="00BF645B" w:rsidRPr="00126227" w:rsidRDefault="00BF645B" w:rsidP="00144A6B">
      <w:pPr>
        <w:pStyle w:val="FootnoteText"/>
      </w:pPr>
      <w:r w:rsidRPr="00D06FB8">
        <w:rPr>
          <w:rStyle w:val="FootnoteReference"/>
        </w:rPr>
        <w:footnoteRef/>
      </w:r>
      <w:r w:rsidRPr="00D06FB8">
        <w:t xml:space="preserve"> Order No. 69</w:t>
      </w:r>
      <w:r w:rsidR="004C5C5C">
        <w:t xml:space="preserve"> at </w:t>
      </w:r>
      <w:r w:rsidRPr="00126227">
        <w:t>12,226</w:t>
      </w:r>
      <w:r w:rsidR="00D8056D">
        <w:fldChar w:fldCharType="begin"/>
      </w:r>
      <w:r w:rsidR="003558D5">
        <w:instrText xml:space="preserve"> TA \s "Order No. 69" </w:instrText>
      </w:r>
      <w:r w:rsidR="00D8056D">
        <w:fldChar w:fldCharType="end"/>
      </w:r>
      <w:r w:rsidRPr="00126227">
        <w:t xml:space="preserve"> (1980).</w:t>
      </w:r>
    </w:p>
  </w:footnote>
  <w:footnote w:id="12">
    <w:p w:rsidR="00BF645B" w:rsidRPr="00126227" w:rsidRDefault="00BF645B">
      <w:pPr>
        <w:pStyle w:val="FootnoteText"/>
      </w:pPr>
      <w:r w:rsidRPr="00D06FB8">
        <w:rPr>
          <w:rStyle w:val="FootnoteReference"/>
        </w:rPr>
        <w:footnoteRef/>
      </w:r>
      <w:r w:rsidRPr="00D06FB8">
        <w:t xml:space="preserve"> Staff Initial Brief at </w:t>
      </w:r>
      <w:r w:rsidR="000D5A85">
        <w:t>12</w:t>
      </w:r>
      <w:r w:rsidRPr="00D06FB8">
        <w:t>.</w:t>
      </w:r>
    </w:p>
  </w:footnote>
  <w:footnote w:id="13">
    <w:p w:rsidR="0065272C" w:rsidRPr="00126227" w:rsidRDefault="0065272C" w:rsidP="0065272C">
      <w:pPr>
        <w:pStyle w:val="FootnoteText"/>
      </w:pPr>
      <w:r w:rsidRPr="00D06FB8">
        <w:rPr>
          <w:rStyle w:val="FootnoteReference"/>
        </w:rPr>
        <w:footnoteRef/>
      </w:r>
      <w:r w:rsidRPr="00D06FB8">
        <w:t xml:space="preserve"> Order No. 69 was issued in February of 1980, before the rise of competitive wholesale markets.  Parties engaged primarily in bilateral contracting at the time, rather than transacting at market hubs,</w:t>
      </w:r>
      <w:r w:rsidRPr="00126227">
        <w:t xml:space="preserve"> so expectations of “bona fide” bilateral offers reflected utility practice at the time.  But FERC’s point is still the same:  if a utility relies on market purchases to meet its energy and capacity needs, the avoided cost of those purchases is the utility’s avoided cost.</w:t>
      </w:r>
    </w:p>
  </w:footnote>
  <w:footnote w:id="14">
    <w:p w:rsidR="00F5095E" w:rsidRDefault="00F5095E">
      <w:pPr>
        <w:pStyle w:val="FootnoteText"/>
      </w:pPr>
      <w:r>
        <w:rPr>
          <w:rStyle w:val="FootnoteReference"/>
        </w:rPr>
        <w:footnoteRef/>
      </w:r>
      <w:r>
        <w:t xml:space="preserve"> </w:t>
      </w:r>
      <w:r w:rsidR="00981D10">
        <w:t xml:space="preserve">Staff Initial Brief at 12. </w:t>
      </w:r>
      <w:r w:rsidR="0065272C">
        <w:t>(emphasis added).</w:t>
      </w:r>
    </w:p>
  </w:footnote>
  <w:footnote w:id="15">
    <w:p w:rsidR="00BF645B" w:rsidRPr="0041735A" w:rsidRDefault="00BF645B" w:rsidP="008D4B6D">
      <w:pPr>
        <w:pStyle w:val="FootnoteText"/>
      </w:pPr>
      <w:r w:rsidRPr="00D06FB8">
        <w:rPr>
          <w:rStyle w:val="FootnoteReference"/>
        </w:rPr>
        <w:footnoteRef/>
      </w:r>
      <w:r w:rsidRPr="00D06FB8">
        <w:t xml:space="preserve"> </w:t>
      </w:r>
      <w:r w:rsidR="0041735A">
        <w:t xml:space="preserve">Staff Initial Brief at 14 (citing </w:t>
      </w:r>
      <w:r w:rsidR="0041735A" w:rsidRPr="000F23BD">
        <w:rPr>
          <w:i/>
        </w:rPr>
        <w:t>Wash. Utils &amp; Transp. Comm’n v. Pacific Power &amp; Light Co.</w:t>
      </w:r>
      <w:r w:rsidR="0041735A">
        <w:t xml:space="preserve">, Docket UE-140762, </w:t>
      </w:r>
      <w:r w:rsidR="0041735A" w:rsidRPr="00C72B59">
        <w:t>Rebuttal Testimony of Gregory N. Duvall, Exh</w:t>
      </w:r>
      <w:r w:rsidR="0041735A">
        <w:t>.</w:t>
      </w:r>
      <w:r w:rsidR="0041735A" w:rsidRPr="00C72B59">
        <w:t xml:space="preserve"> No. GND-4T, at 14:19 - 19:26 (Nov. 14, 2014)</w:t>
      </w:r>
      <w:r w:rsidR="0041735A">
        <w:t xml:space="preserve"> (“Duvall Rebuttal Testimony”))</w:t>
      </w:r>
      <w:r w:rsidR="0041735A" w:rsidRPr="00C72B59">
        <w:t>.</w:t>
      </w:r>
    </w:p>
  </w:footnote>
  <w:footnote w:id="16">
    <w:p w:rsidR="00BF645B" w:rsidRPr="00D06FB8" w:rsidRDefault="00BF645B">
      <w:pPr>
        <w:pStyle w:val="FootnoteText"/>
      </w:pPr>
      <w:r w:rsidRPr="00D06FB8">
        <w:rPr>
          <w:rStyle w:val="FootnoteReference"/>
        </w:rPr>
        <w:footnoteRef/>
      </w:r>
      <w:r w:rsidRPr="00D06FB8">
        <w:t xml:space="preserve"> </w:t>
      </w:r>
      <w:r w:rsidR="0041735A" w:rsidRPr="0041735A">
        <w:t xml:space="preserve">See Duvall Rebuttal Testimony at 14:5-7.  </w:t>
      </w:r>
      <w:r w:rsidRPr="0041735A">
        <w:t>Staff</w:t>
      </w:r>
      <w:r w:rsidRPr="00D06FB8">
        <w:t xml:space="preserve"> appeared in the 2014 rate case to approve of GRID’s use as an analytical tool to determine avoided cost pricing.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0A0" w:rsidRDefault="002320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45B" w:rsidRPr="00D862A2" w:rsidRDefault="00BF645B" w:rsidP="00D862A2">
    <w:pPr>
      <w:pStyle w:val="Header"/>
      <w:tabs>
        <w:tab w:val="clear" w:pos="4680"/>
        <w:tab w:val="clear" w:pos="9360"/>
        <w:tab w:val="left" w:pos="1920"/>
      </w:tabs>
      <w:jc w:val="right"/>
      <w:rPr>
        <w:b/>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0A0" w:rsidRDefault="002320A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45B" w:rsidRDefault="00BF64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05BB"/>
    <w:multiLevelType w:val="hybridMultilevel"/>
    <w:tmpl w:val="33409D0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0F042EB2"/>
    <w:multiLevelType w:val="hybridMultilevel"/>
    <w:tmpl w:val="28B639AA"/>
    <w:lvl w:ilvl="0" w:tplc="B1604E20">
      <w:start w:val="1"/>
      <w:numFmt w:val="decimal"/>
      <w:pStyle w:val="WAP1"/>
      <w:lvlText w:val="%1"/>
      <w:lvlJc w:val="left"/>
      <w:pPr>
        <w:tabs>
          <w:tab w:val="num" w:pos="360"/>
        </w:tabs>
        <w:ind w:left="720" w:hanging="720"/>
      </w:pPr>
      <w:rPr>
        <w:rFonts w:ascii="Times New Roman" w:hAnsi="Times New Roman" w:hint="default"/>
        <w:b w:val="0"/>
        <w:i/>
        <w:sz w:val="24"/>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nsid w:val="0F2772B9"/>
    <w:multiLevelType w:val="hybridMultilevel"/>
    <w:tmpl w:val="C50281E6"/>
    <w:lvl w:ilvl="0" w:tplc="2E9427D6">
      <w:start w:val="1"/>
      <w:numFmt w:val="upperLetter"/>
      <w:lvlText w:val="%1."/>
      <w:lvlJc w:val="left"/>
      <w:pPr>
        <w:ind w:left="900" w:hanging="54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B844B40"/>
    <w:multiLevelType w:val="hybridMultilevel"/>
    <w:tmpl w:val="2A402006"/>
    <w:lvl w:ilvl="0" w:tplc="55D8CA16">
      <w:start w:val="1"/>
      <w:numFmt w:val="decimal"/>
      <w:lvlText w:val="%1"/>
      <w:lvlJc w:val="left"/>
      <w:pPr>
        <w:ind w:left="0" w:hanging="720"/>
      </w:pPr>
      <w:rPr>
        <w:rFonts w:hint="default"/>
        <w:i/>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nsid w:val="1E61184B"/>
    <w:multiLevelType w:val="multilevel"/>
    <w:tmpl w:val="34447978"/>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BCB39A5"/>
    <w:multiLevelType w:val="hybridMultilevel"/>
    <w:tmpl w:val="F168DD82"/>
    <w:lvl w:ilvl="0" w:tplc="6BCCF6AC">
      <w:start w:val="1"/>
      <w:numFmt w:val="decimal"/>
      <w:lvlText w:val="%1."/>
      <w:lvlJc w:val="left"/>
      <w:pPr>
        <w:ind w:left="0" w:hanging="360"/>
      </w:pPr>
      <w:rPr>
        <w:i w:val="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2C5E5AE8"/>
    <w:multiLevelType w:val="hybridMultilevel"/>
    <w:tmpl w:val="959C2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2576E0"/>
    <w:multiLevelType w:val="hybridMultilevel"/>
    <w:tmpl w:val="5F20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D8901D3"/>
    <w:multiLevelType w:val="hybridMultilevel"/>
    <w:tmpl w:val="4260B030"/>
    <w:lvl w:ilvl="0" w:tplc="0409000F">
      <w:start w:val="1"/>
      <w:numFmt w:val="decimal"/>
      <w:lvlText w:val="%1."/>
      <w:lvlJc w:val="left"/>
      <w:pPr>
        <w:ind w:left="11520" w:hanging="360"/>
      </w:pPr>
    </w:lvl>
    <w:lvl w:ilvl="1" w:tplc="04090019" w:tentative="1">
      <w:start w:val="1"/>
      <w:numFmt w:val="lowerLetter"/>
      <w:lvlText w:val="%2."/>
      <w:lvlJc w:val="left"/>
      <w:pPr>
        <w:ind w:left="12240" w:hanging="360"/>
      </w:pPr>
    </w:lvl>
    <w:lvl w:ilvl="2" w:tplc="0409001B" w:tentative="1">
      <w:start w:val="1"/>
      <w:numFmt w:val="lowerRoman"/>
      <w:lvlText w:val="%3."/>
      <w:lvlJc w:val="right"/>
      <w:pPr>
        <w:ind w:left="12960" w:hanging="180"/>
      </w:pPr>
    </w:lvl>
    <w:lvl w:ilvl="3" w:tplc="0409000F" w:tentative="1">
      <w:start w:val="1"/>
      <w:numFmt w:val="decimal"/>
      <w:lvlText w:val="%4."/>
      <w:lvlJc w:val="left"/>
      <w:pPr>
        <w:ind w:left="13680" w:hanging="360"/>
      </w:pPr>
    </w:lvl>
    <w:lvl w:ilvl="4" w:tplc="04090019" w:tentative="1">
      <w:start w:val="1"/>
      <w:numFmt w:val="lowerLetter"/>
      <w:lvlText w:val="%5."/>
      <w:lvlJc w:val="left"/>
      <w:pPr>
        <w:ind w:left="14400" w:hanging="360"/>
      </w:pPr>
    </w:lvl>
    <w:lvl w:ilvl="5" w:tplc="0409001B" w:tentative="1">
      <w:start w:val="1"/>
      <w:numFmt w:val="lowerRoman"/>
      <w:lvlText w:val="%6."/>
      <w:lvlJc w:val="right"/>
      <w:pPr>
        <w:ind w:left="15120" w:hanging="180"/>
      </w:pPr>
    </w:lvl>
    <w:lvl w:ilvl="6" w:tplc="0409000F" w:tentative="1">
      <w:start w:val="1"/>
      <w:numFmt w:val="decimal"/>
      <w:lvlText w:val="%7."/>
      <w:lvlJc w:val="left"/>
      <w:pPr>
        <w:ind w:left="15840" w:hanging="360"/>
      </w:pPr>
    </w:lvl>
    <w:lvl w:ilvl="7" w:tplc="04090019" w:tentative="1">
      <w:start w:val="1"/>
      <w:numFmt w:val="lowerLetter"/>
      <w:lvlText w:val="%8."/>
      <w:lvlJc w:val="left"/>
      <w:pPr>
        <w:ind w:left="16560" w:hanging="360"/>
      </w:pPr>
    </w:lvl>
    <w:lvl w:ilvl="8" w:tplc="0409001B" w:tentative="1">
      <w:start w:val="1"/>
      <w:numFmt w:val="lowerRoman"/>
      <w:lvlText w:val="%9."/>
      <w:lvlJc w:val="right"/>
      <w:pPr>
        <w:ind w:left="17280" w:hanging="180"/>
      </w:pPr>
    </w:lvl>
  </w:abstractNum>
  <w:abstractNum w:abstractNumId="9">
    <w:nsid w:val="3E5F7638"/>
    <w:multiLevelType w:val="hybridMultilevel"/>
    <w:tmpl w:val="07105BD6"/>
    <w:lvl w:ilvl="0" w:tplc="8DE631FE">
      <w:start w:val="1"/>
      <w:numFmt w:val="upperRoman"/>
      <w:pStyle w:val="H1"/>
      <w:lvlText w:val="%1."/>
      <w:lvlJc w:val="left"/>
      <w:pPr>
        <w:ind w:left="4500" w:hanging="72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0">
    <w:nsid w:val="45DC3F99"/>
    <w:multiLevelType w:val="multilevel"/>
    <w:tmpl w:val="34447978"/>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B9A1F5E"/>
    <w:multiLevelType w:val="multilevel"/>
    <w:tmpl w:val="78560072"/>
    <w:styleLink w:val="Style2"/>
    <w:lvl w:ilvl="0">
      <w:start w:val="1"/>
      <w:numFmt w:val="decimal"/>
      <w:lvlText w:val="%1."/>
      <w:lvlJc w:val="left"/>
      <w:pPr>
        <w:tabs>
          <w:tab w:val="num" w:pos="2160"/>
        </w:tabs>
        <w:ind w:left="720" w:hanging="720"/>
      </w:pPr>
      <w:rPr>
        <w:rFonts w:ascii="Times New Roman" w:hAnsi="Times New Roman" w:hint="default"/>
        <w:b w:val="0"/>
        <w:i/>
        <w:sz w:val="24"/>
      </w:rPr>
    </w:lvl>
    <w:lvl w:ilvl="1">
      <w:start w:val="1"/>
      <w:numFmt w:val="upperLetter"/>
      <w:lvlText w:val="%2."/>
      <w:lvlJc w:val="left"/>
      <w:pPr>
        <w:ind w:left="3600" w:hanging="720"/>
      </w:pPr>
      <w:rPr>
        <w:rFonts w:hint="default"/>
      </w:rPr>
    </w:lvl>
    <w:lvl w:ilvl="2">
      <w:start w:val="1"/>
      <w:numFmt w:val="decimal"/>
      <w:lvlText w:val="%3."/>
      <w:lvlJc w:val="left"/>
      <w:pPr>
        <w:tabs>
          <w:tab w:val="num" w:pos="3600"/>
        </w:tabs>
        <w:ind w:left="4320" w:hanging="720"/>
      </w:pPr>
      <w:rPr>
        <w:rFonts w:hint="default"/>
      </w:rPr>
    </w:lvl>
    <w:lvl w:ilvl="3">
      <w:start w:val="1"/>
      <w:numFmt w:val="lowerLetter"/>
      <w:lvlText w:val="%4."/>
      <w:lvlJc w:val="left"/>
      <w:pPr>
        <w:tabs>
          <w:tab w:val="num" w:pos="4320"/>
        </w:tabs>
        <w:ind w:left="5040" w:hanging="720"/>
      </w:pPr>
      <w:rPr>
        <w:rFonts w:hint="default"/>
      </w:rPr>
    </w:lvl>
    <w:lvl w:ilvl="4">
      <w:start w:val="1"/>
      <w:numFmt w:val="lowerRoman"/>
      <w:lvlText w:val="%5."/>
      <w:lvlJc w:val="left"/>
      <w:pPr>
        <w:ind w:left="5760" w:hanging="72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2">
    <w:nsid w:val="4D6D08D8"/>
    <w:multiLevelType w:val="hybridMultilevel"/>
    <w:tmpl w:val="F168DD82"/>
    <w:lvl w:ilvl="0" w:tplc="6BCCF6AC">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E35727"/>
    <w:multiLevelType w:val="multilevel"/>
    <w:tmpl w:val="78560072"/>
    <w:numStyleLink w:val="Style2"/>
  </w:abstractNum>
  <w:abstractNum w:abstractNumId="14">
    <w:nsid w:val="53DF4C25"/>
    <w:multiLevelType w:val="multilevel"/>
    <w:tmpl w:val="CED6A474"/>
    <w:lvl w:ilvl="0">
      <w:start w:val="1"/>
      <w:numFmt w:val="decimal"/>
      <w:lvlText w:val="%1."/>
      <w:lvlJc w:val="left"/>
      <w:pPr>
        <w:ind w:left="2880" w:hanging="2160"/>
      </w:pPr>
      <w:rPr>
        <w:rFonts w:hint="default"/>
        <w:b w:val="0"/>
        <w:i/>
      </w:rPr>
    </w:lvl>
    <w:lvl w:ilvl="1">
      <w:start w:val="1"/>
      <w:numFmt w:val="upperLetter"/>
      <w:lvlText w:val="%2."/>
      <w:lvlJc w:val="left"/>
      <w:pPr>
        <w:ind w:left="4320" w:hanging="720"/>
      </w:pPr>
      <w:rPr>
        <w:rFonts w:hint="default"/>
      </w:rPr>
    </w:lvl>
    <w:lvl w:ilvl="2">
      <w:start w:val="1"/>
      <w:numFmt w:val="decimal"/>
      <w:lvlText w:val="%3."/>
      <w:lvlJc w:val="left"/>
      <w:pPr>
        <w:tabs>
          <w:tab w:val="num" w:pos="4320"/>
        </w:tabs>
        <w:ind w:left="5040" w:hanging="720"/>
      </w:pPr>
      <w:rPr>
        <w:rFonts w:hint="default"/>
      </w:rPr>
    </w:lvl>
    <w:lvl w:ilvl="3">
      <w:start w:val="1"/>
      <w:numFmt w:val="lowerLetter"/>
      <w:lvlText w:val="%4."/>
      <w:lvlJc w:val="left"/>
      <w:pPr>
        <w:tabs>
          <w:tab w:val="num" w:pos="5040"/>
        </w:tabs>
        <w:ind w:left="5760" w:hanging="720"/>
      </w:pPr>
      <w:rPr>
        <w:rFonts w:hint="default"/>
      </w:rPr>
    </w:lvl>
    <w:lvl w:ilvl="4">
      <w:start w:val="1"/>
      <w:numFmt w:val="lowerRoman"/>
      <w:lvlText w:val="%5."/>
      <w:lvlJc w:val="left"/>
      <w:pPr>
        <w:ind w:left="6480" w:hanging="720"/>
      </w:pPr>
      <w:rPr>
        <w:rFonts w:hint="default"/>
      </w:rPr>
    </w:lvl>
    <w:lvl w:ilvl="5">
      <w:start w:val="1"/>
      <w:numFmt w:val="lowerRoman"/>
      <w:lvlText w:val="(%6)"/>
      <w:lvlJc w:val="left"/>
      <w:pPr>
        <w:ind w:left="504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left"/>
      <w:pPr>
        <w:ind w:left="6120" w:hanging="360"/>
      </w:pPr>
      <w:rPr>
        <w:rFonts w:hint="default"/>
      </w:rPr>
    </w:lvl>
  </w:abstractNum>
  <w:abstractNum w:abstractNumId="15">
    <w:nsid w:val="541033B2"/>
    <w:multiLevelType w:val="hybridMultilevel"/>
    <w:tmpl w:val="F3D25670"/>
    <w:lvl w:ilvl="0" w:tplc="7FD0E822">
      <w:start w:val="1"/>
      <w:numFmt w:val="decimal"/>
      <w:lvlText w:val="%1"/>
      <w:lvlJc w:val="left"/>
      <w:pPr>
        <w:ind w:left="11520" w:hanging="720"/>
      </w:pPr>
      <w:rPr>
        <w:rFonts w:ascii="Times New Roman" w:hAnsi="Times New Roman" w:hint="default"/>
        <w:b w:val="0"/>
        <w:i/>
        <w:sz w:val="24"/>
      </w:rPr>
    </w:lvl>
    <w:lvl w:ilvl="1" w:tplc="04090019">
      <w:start w:val="1"/>
      <w:numFmt w:val="lowerLetter"/>
      <w:lvlText w:val="%2."/>
      <w:lvlJc w:val="left"/>
      <w:pPr>
        <w:ind w:left="11880" w:hanging="360"/>
      </w:pPr>
    </w:lvl>
    <w:lvl w:ilvl="2" w:tplc="0409001B" w:tentative="1">
      <w:start w:val="1"/>
      <w:numFmt w:val="lowerRoman"/>
      <w:lvlText w:val="%3."/>
      <w:lvlJc w:val="right"/>
      <w:pPr>
        <w:ind w:left="12600" w:hanging="180"/>
      </w:pPr>
    </w:lvl>
    <w:lvl w:ilvl="3" w:tplc="0409000F" w:tentative="1">
      <w:start w:val="1"/>
      <w:numFmt w:val="decimal"/>
      <w:lvlText w:val="%4."/>
      <w:lvlJc w:val="left"/>
      <w:pPr>
        <w:ind w:left="13320" w:hanging="360"/>
      </w:pPr>
    </w:lvl>
    <w:lvl w:ilvl="4" w:tplc="04090019" w:tentative="1">
      <w:start w:val="1"/>
      <w:numFmt w:val="lowerLetter"/>
      <w:lvlText w:val="%5."/>
      <w:lvlJc w:val="left"/>
      <w:pPr>
        <w:ind w:left="14040" w:hanging="360"/>
      </w:pPr>
    </w:lvl>
    <w:lvl w:ilvl="5" w:tplc="0409001B" w:tentative="1">
      <w:start w:val="1"/>
      <w:numFmt w:val="lowerRoman"/>
      <w:lvlText w:val="%6."/>
      <w:lvlJc w:val="right"/>
      <w:pPr>
        <w:ind w:left="14760" w:hanging="180"/>
      </w:pPr>
    </w:lvl>
    <w:lvl w:ilvl="6" w:tplc="0409000F" w:tentative="1">
      <w:start w:val="1"/>
      <w:numFmt w:val="decimal"/>
      <w:lvlText w:val="%7."/>
      <w:lvlJc w:val="left"/>
      <w:pPr>
        <w:ind w:left="15480" w:hanging="360"/>
      </w:pPr>
    </w:lvl>
    <w:lvl w:ilvl="7" w:tplc="04090019" w:tentative="1">
      <w:start w:val="1"/>
      <w:numFmt w:val="lowerLetter"/>
      <w:lvlText w:val="%8."/>
      <w:lvlJc w:val="left"/>
      <w:pPr>
        <w:ind w:left="16200" w:hanging="360"/>
      </w:pPr>
    </w:lvl>
    <w:lvl w:ilvl="8" w:tplc="0409001B" w:tentative="1">
      <w:start w:val="1"/>
      <w:numFmt w:val="lowerRoman"/>
      <w:lvlText w:val="%9."/>
      <w:lvlJc w:val="right"/>
      <w:pPr>
        <w:ind w:left="16920" w:hanging="180"/>
      </w:pPr>
    </w:lvl>
  </w:abstractNum>
  <w:abstractNum w:abstractNumId="16">
    <w:nsid w:val="57301A7B"/>
    <w:multiLevelType w:val="hybridMultilevel"/>
    <w:tmpl w:val="33D85418"/>
    <w:lvl w:ilvl="0" w:tplc="AF168FAE">
      <w:start w:val="1"/>
      <w:numFmt w:val="decimal"/>
      <w:lvlText w:val="%1."/>
      <w:lvlJc w:val="left"/>
      <w:pPr>
        <w:ind w:left="360" w:hanging="360"/>
      </w:pPr>
      <w:rPr>
        <w:rFonts w:ascii="Times New Roman" w:hAnsi="Times New Roman" w:hint="default"/>
        <w:b w:val="0"/>
        <w:i/>
        <w:caps w:val="0"/>
        <w:strike w:val="0"/>
        <w:dstrike w:val="0"/>
        <w:vanish w:val="0"/>
        <w:color w:val="000000"/>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5C34538"/>
    <w:multiLevelType w:val="hybridMultilevel"/>
    <w:tmpl w:val="830E4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6215E5F"/>
    <w:multiLevelType w:val="hybridMultilevel"/>
    <w:tmpl w:val="CB306F06"/>
    <w:lvl w:ilvl="0" w:tplc="4EE8821E">
      <w:start w:val="1"/>
      <w:numFmt w:val="decimal"/>
      <w:pStyle w:val="WashingtonParagraphs"/>
      <w:lvlText w:val="%1."/>
      <w:lvlJc w:val="left"/>
      <w:pPr>
        <w:ind w:left="5400" w:hanging="360"/>
      </w:pPr>
      <w:rPr>
        <w:rFonts w:ascii="Times New Roman" w:hAnsi="Times New Roman" w:hint="default"/>
        <w:b w:val="0"/>
        <w:i/>
        <w:caps w:val="0"/>
        <w:strike w:val="0"/>
        <w:dstrike w:val="0"/>
        <w:vanish w:val="0"/>
        <w:color w:val="000000"/>
        <w:sz w:val="24"/>
        <w:vertAlign w:val="baseline"/>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nsid w:val="68931D5B"/>
    <w:multiLevelType w:val="hybridMultilevel"/>
    <w:tmpl w:val="A6684EDA"/>
    <w:lvl w:ilvl="0" w:tplc="7DF80E38">
      <w:start w:val="1"/>
      <w:numFmt w:val="decimal"/>
      <w:pStyle w:val="WUTCParagraph"/>
      <w:lvlText w:val="%1"/>
      <w:lvlJc w:val="left"/>
      <w:pPr>
        <w:ind w:left="0" w:hanging="720"/>
      </w:pPr>
      <w:rPr>
        <w:rFonts w:ascii="Times New Roman" w:hAnsi="Times New Roman" w:cs="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A1C78EB"/>
    <w:multiLevelType w:val="hybridMultilevel"/>
    <w:tmpl w:val="10DAE9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CA0E54"/>
    <w:multiLevelType w:val="hybridMultilevel"/>
    <w:tmpl w:val="578E504E"/>
    <w:lvl w:ilvl="0" w:tplc="E8A00208">
      <w:start w:val="1"/>
      <w:numFmt w:val="decimal"/>
      <w:lvlText w:val="%1."/>
      <w:lvlJc w:val="left"/>
      <w:pPr>
        <w:ind w:left="4680" w:hanging="360"/>
      </w:pPr>
      <w:rPr>
        <w:rFonts w:ascii="Times New Roman" w:hAnsi="Times New Roman" w:hint="default"/>
        <w:b w:val="0"/>
        <w:i/>
        <w:caps w:val="0"/>
        <w:strike w:val="0"/>
        <w:dstrike w:val="0"/>
        <w:vanish w:val="0"/>
        <w:color w:val="000000"/>
        <w:sz w:val="24"/>
        <w:vertAlign w:val="baseline"/>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2">
    <w:nsid w:val="727D69F8"/>
    <w:multiLevelType w:val="multilevel"/>
    <w:tmpl w:val="2496E5C4"/>
    <w:lvl w:ilvl="0">
      <w:start w:val="1"/>
      <w:numFmt w:val="bullet"/>
      <w:lvlText w:val=""/>
      <w:lvlJc w:val="left"/>
      <w:pPr>
        <w:tabs>
          <w:tab w:val="num" w:pos="2160"/>
        </w:tabs>
        <w:ind w:left="1440" w:hanging="720"/>
      </w:pPr>
      <w:rPr>
        <w:rFonts w:ascii="Symbol" w:hAnsi="Symbol" w:hint="default"/>
        <w:b w:val="0"/>
        <w:i w:val="0"/>
      </w:rPr>
    </w:lvl>
    <w:lvl w:ilvl="1">
      <w:start w:val="1"/>
      <w:numFmt w:val="decimal"/>
      <w:lvlText w:val="%2."/>
      <w:lvlJc w:val="left"/>
      <w:pPr>
        <w:ind w:left="6480" w:hanging="720"/>
      </w:pPr>
      <w:rPr>
        <w:rFonts w:hint="default"/>
      </w:rPr>
    </w:lvl>
    <w:lvl w:ilvl="2">
      <w:start w:val="1"/>
      <w:numFmt w:val="decimal"/>
      <w:lvlText w:val="%3."/>
      <w:lvlJc w:val="left"/>
      <w:pPr>
        <w:tabs>
          <w:tab w:val="num" w:pos="6480"/>
        </w:tabs>
        <w:ind w:left="7200" w:hanging="720"/>
      </w:pPr>
      <w:rPr>
        <w:rFonts w:hint="default"/>
      </w:rPr>
    </w:lvl>
    <w:lvl w:ilvl="3">
      <w:start w:val="1"/>
      <w:numFmt w:val="lowerLetter"/>
      <w:lvlText w:val="%4."/>
      <w:lvlJc w:val="left"/>
      <w:pPr>
        <w:tabs>
          <w:tab w:val="num" w:pos="7200"/>
        </w:tabs>
        <w:ind w:left="7920" w:hanging="720"/>
      </w:pPr>
      <w:rPr>
        <w:rFonts w:hint="default"/>
      </w:rPr>
    </w:lvl>
    <w:lvl w:ilvl="4">
      <w:start w:val="1"/>
      <w:numFmt w:val="lowerRoman"/>
      <w:lvlText w:val="%5."/>
      <w:lvlJc w:val="left"/>
      <w:pPr>
        <w:ind w:left="8640" w:hanging="720"/>
      </w:pPr>
      <w:rPr>
        <w:rFonts w:hint="default"/>
      </w:rPr>
    </w:lvl>
    <w:lvl w:ilvl="5">
      <w:start w:val="1"/>
      <w:numFmt w:val="lowerRoman"/>
      <w:lvlText w:val="(%6)"/>
      <w:lvlJc w:val="left"/>
      <w:pPr>
        <w:ind w:left="7200" w:hanging="36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left"/>
      <w:pPr>
        <w:ind w:left="8280" w:hanging="360"/>
      </w:pPr>
      <w:rPr>
        <w:rFonts w:hint="default"/>
      </w:rPr>
    </w:lvl>
  </w:abstractNum>
  <w:abstractNum w:abstractNumId="23">
    <w:nsid w:val="729229F7"/>
    <w:multiLevelType w:val="multilevel"/>
    <w:tmpl w:val="02C23ABA"/>
    <w:lvl w:ilvl="0">
      <w:start w:val="1"/>
      <w:numFmt w:val="decimal"/>
      <w:lvlText w:val="%1."/>
      <w:lvlJc w:val="left"/>
      <w:pPr>
        <w:tabs>
          <w:tab w:val="num" w:pos="720"/>
        </w:tabs>
        <w:ind w:left="0" w:hanging="720"/>
      </w:pPr>
      <w:rPr>
        <w:rFonts w:hint="default"/>
        <w:b w:val="0"/>
        <w:i/>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24">
    <w:nsid w:val="776A6DD5"/>
    <w:multiLevelType w:val="multilevel"/>
    <w:tmpl w:val="2E5E3DC4"/>
    <w:lvl w:ilvl="0">
      <w:start w:val="1"/>
      <w:numFmt w:val="decimal"/>
      <w:lvlText w:val="%1."/>
      <w:lvlJc w:val="left"/>
      <w:pPr>
        <w:tabs>
          <w:tab w:val="num" w:pos="1440"/>
        </w:tabs>
        <w:ind w:left="720" w:hanging="720"/>
      </w:pPr>
      <w:rPr>
        <w:rFonts w:hint="default"/>
        <w:b w:val="0"/>
        <w:i/>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num w:numId="1">
    <w:abstractNumId w:val="10"/>
  </w:num>
  <w:num w:numId="2">
    <w:abstractNumId w:val="4"/>
  </w:num>
  <w:num w:numId="3">
    <w:abstractNumId w:val="16"/>
  </w:num>
  <w:num w:numId="4">
    <w:abstractNumId w:val="21"/>
  </w:num>
  <w:num w:numId="5">
    <w:abstractNumId w:val="18"/>
  </w:num>
  <w:num w:numId="6">
    <w:abstractNumId w:val="8"/>
  </w:num>
  <w:num w:numId="7">
    <w:abstractNumId w:val="0"/>
  </w:num>
  <w:num w:numId="8">
    <w:abstractNumId w:val="13"/>
  </w:num>
  <w:num w:numId="9">
    <w:abstractNumId w:val="11"/>
  </w:num>
  <w:num w:numId="10">
    <w:abstractNumId w:val="14"/>
  </w:num>
  <w:num w:numId="11">
    <w:abstractNumId w:val="23"/>
  </w:num>
  <w:num w:numId="12">
    <w:abstractNumId w:val="24"/>
  </w:num>
  <w:num w:numId="13">
    <w:abstractNumId w:val="20"/>
  </w:num>
  <w:num w:numId="14">
    <w:abstractNumId w:val="22"/>
  </w:num>
  <w:num w:numId="15">
    <w:abstractNumId w:val="15"/>
  </w:num>
  <w:num w:numId="1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
  </w:num>
  <w:num w:numId="22">
    <w:abstractNumId w:val="3"/>
  </w:num>
  <w:num w:numId="23">
    <w:abstractNumId w:val="1"/>
  </w:num>
  <w:num w:numId="24">
    <w:abstractNumId w:val="1"/>
  </w:num>
  <w:num w:numId="25">
    <w:abstractNumId w:val="1"/>
  </w:num>
  <w:num w:numId="26">
    <w:abstractNumId w:val="12"/>
  </w:num>
  <w:num w:numId="27">
    <w:abstractNumId w:val="5"/>
  </w:num>
  <w:num w:numId="28">
    <w:abstractNumId w:val="17"/>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
  </w:num>
  <w:num w:numId="32">
    <w:abstractNumId w:val="19"/>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EF1"/>
    <w:rsid w:val="000100E8"/>
    <w:rsid w:val="00016FF7"/>
    <w:rsid w:val="00017415"/>
    <w:rsid w:val="00037802"/>
    <w:rsid w:val="000444A2"/>
    <w:rsid w:val="00050B39"/>
    <w:rsid w:val="000629E8"/>
    <w:rsid w:val="000718E3"/>
    <w:rsid w:val="00073104"/>
    <w:rsid w:val="0007592E"/>
    <w:rsid w:val="00095DD2"/>
    <w:rsid w:val="000A1D9B"/>
    <w:rsid w:val="000A5527"/>
    <w:rsid w:val="000C3ADA"/>
    <w:rsid w:val="000C3C49"/>
    <w:rsid w:val="000C6947"/>
    <w:rsid w:val="000D5A85"/>
    <w:rsid w:val="000E655F"/>
    <w:rsid w:val="000F40FE"/>
    <w:rsid w:val="000F4FEA"/>
    <w:rsid w:val="00106682"/>
    <w:rsid w:val="00107861"/>
    <w:rsid w:val="001122E6"/>
    <w:rsid w:val="00126227"/>
    <w:rsid w:val="00143790"/>
    <w:rsid w:val="00144A6B"/>
    <w:rsid w:val="001517B3"/>
    <w:rsid w:val="00153884"/>
    <w:rsid w:val="00153E2B"/>
    <w:rsid w:val="001540F7"/>
    <w:rsid w:val="00156BE7"/>
    <w:rsid w:val="00170240"/>
    <w:rsid w:val="00180169"/>
    <w:rsid w:val="00197100"/>
    <w:rsid w:val="00197B17"/>
    <w:rsid w:val="001A3859"/>
    <w:rsid w:val="001C6EFB"/>
    <w:rsid w:val="001D1B41"/>
    <w:rsid w:val="001D218C"/>
    <w:rsid w:val="001D301D"/>
    <w:rsid w:val="001E0EF1"/>
    <w:rsid w:val="001E6985"/>
    <w:rsid w:val="001F162B"/>
    <w:rsid w:val="001F1FC8"/>
    <w:rsid w:val="001F582D"/>
    <w:rsid w:val="002320A0"/>
    <w:rsid w:val="00272BBC"/>
    <w:rsid w:val="00275D91"/>
    <w:rsid w:val="002866D8"/>
    <w:rsid w:val="002A3A0A"/>
    <w:rsid w:val="002B1896"/>
    <w:rsid w:val="002D0F4F"/>
    <w:rsid w:val="002E471B"/>
    <w:rsid w:val="002F0525"/>
    <w:rsid w:val="002F7499"/>
    <w:rsid w:val="00307BA1"/>
    <w:rsid w:val="00317EAC"/>
    <w:rsid w:val="00337416"/>
    <w:rsid w:val="00346305"/>
    <w:rsid w:val="003558D5"/>
    <w:rsid w:val="00377332"/>
    <w:rsid w:val="003A4512"/>
    <w:rsid w:val="003A69A7"/>
    <w:rsid w:val="003D2E4B"/>
    <w:rsid w:val="003D490F"/>
    <w:rsid w:val="003F2305"/>
    <w:rsid w:val="0040019E"/>
    <w:rsid w:val="00416309"/>
    <w:rsid w:val="0041735A"/>
    <w:rsid w:val="00421481"/>
    <w:rsid w:val="0042227F"/>
    <w:rsid w:val="0043573A"/>
    <w:rsid w:val="00441117"/>
    <w:rsid w:val="004532D7"/>
    <w:rsid w:val="004542F3"/>
    <w:rsid w:val="00460F0B"/>
    <w:rsid w:val="00471AE5"/>
    <w:rsid w:val="0048513F"/>
    <w:rsid w:val="004B19ED"/>
    <w:rsid w:val="004C5C5C"/>
    <w:rsid w:val="004C7C08"/>
    <w:rsid w:val="004D26A4"/>
    <w:rsid w:val="004D51E9"/>
    <w:rsid w:val="004D531E"/>
    <w:rsid w:val="004F5748"/>
    <w:rsid w:val="004F7475"/>
    <w:rsid w:val="00502B1C"/>
    <w:rsid w:val="005122D0"/>
    <w:rsid w:val="00544C6D"/>
    <w:rsid w:val="00553F2C"/>
    <w:rsid w:val="00566C6F"/>
    <w:rsid w:val="0057785B"/>
    <w:rsid w:val="00577921"/>
    <w:rsid w:val="00584AE2"/>
    <w:rsid w:val="00592374"/>
    <w:rsid w:val="005A1EBA"/>
    <w:rsid w:val="005C57DF"/>
    <w:rsid w:val="005F294A"/>
    <w:rsid w:val="005F7168"/>
    <w:rsid w:val="00606A1B"/>
    <w:rsid w:val="00610921"/>
    <w:rsid w:val="006129B8"/>
    <w:rsid w:val="00617583"/>
    <w:rsid w:val="00620FBD"/>
    <w:rsid w:val="00634087"/>
    <w:rsid w:val="00637EEB"/>
    <w:rsid w:val="00641979"/>
    <w:rsid w:val="006451D8"/>
    <w:rsid w:val="0065272C"/>
    <w:rsid w:val="00665E09"/>
    <w:rsid w:val="00667389"/>
    <w:rsid w:val="00673BAB"/>
    <w:rsid w:val="00673ED0"/>
    <w:rsid w:val="00684416"/>
    <w:rsid w:val="0068782F"/>
    <w:rsid w:val="00692C91"/>
    <w:rsid w:val="006A2189"/>
    <w:rsid w:val="006A5E28"/>
    <w:rsid w:val="006B46EF"/>
    <w:rsid w:val="006E1ABC"/>
    <w:rsid w:val="006E29AB"/>
    <w:rsid w:val="006E450A"/>
    <w:rsid w:val="006F31F1"/>
    <w:rsid w:val="00700250"/>
    <w:rsid w:val="00724486"/>
    <w:rsid w:val="00736723"/>
    <w:rsid w:val="0074253F"/>
    <w:rsid w:val="00752E03"/>
    <w:rsid w:val="00764ABF"/>
    <w:rsid w:val="00771D93"/>
    <w:rsid w:val="00776BB2"/>
    <w:rsid w:val="0079086F"/>
    <w:rsid w:val="007D3B63"/>
    <w:rsid w:val="007D5C53"/>
    <w:rsid w:val="007E5424"/>
    <w:rsid w:val="007E6D46"/>
    <w:rsid w:val="008015E6"/>
    <w:rsid w:val="00806E60"/>
    <w:rsid w:val="008161D1"/>
    <w:rsid w:val="0084743B"/>
    <w:rsid w:val="00856ACB"/>
    <w:rsid w:val="00862F01"/>
    <w:rsid w:val="008939F4"/>
    <w:rsid w:val="00895C73"/>
    <w:rsid w:val="008A66CD"/>
    <w:rsid w:val="008B3F0E"/>
    <w:rsid w:val="008B4F76"/>
    <w:rsid w:val="008B54CF"/>
    <w:rsid w:val="008C1A2F"/>
    <w:rsid w:val="008C1BE0"/>
    <w:rsid w:val="008C5BA0"/>
    <w:rsid w:val="008D4B6D"/>
    <w:rsid w:val="008D511F"/>
    <w:rsid w:val="008F13B7"/>
    <w:rsid w:val="008F49BA"/>
    <w:rsid w:val="009015D2"/>
    <w:rsid w:val="009124F8"/>
    <w:rsid w:val="00923CFE"/>
    <w:rsid w:val="0092565B"/>
    <w:rsid w:val="00926233"/>
    <w:rsid w:val="0096317D"/>
    <w:rsid w:val="00981D10"/>
    <w:rsid w:val="009832FA"/>
    <w:rsid w:val="009976B2"/>
    <w:rsid w:val="009A03D3"/>
    <w:rsid w:val="009A1E20"/>
    <w:rsid w:val="009A5B7A"/>
    <w:rsid w:val="009C0BED"/>
    <w:rsid w:val="009C4891"/>
    <w:rsid w:val="009F120D"/>
    <w:rsid w:val="009F30CD"/>
    <w:rsid w:val="00A20873"/>
    <w:rsid w:val="00A50A96"/>
    <w:rsid w:val="00A513CF"/>
    <w:rsid w:val="00A5769C"/>
    <w:rsid w:val="00A63F62"/>
    <w:rsid w:val="00A747FF"/>
    <w:rsid w:val="00A86B18"/>
    <w:rsid w:val="00AA6BAD"/>
    <w:rsid w:val="00AC57A7"/>
    <w:rsid w:val="00AC6193"/>
    <w:rsid w:val="00AC61F1"/>
    <w:rsid w:val="00B03010"/>
    <w:rsid w:val="00B05C26"/>
    <w:rsid w:val="00B20047"/>
    <w:rsid w:val="00B30670"/>
    <w:rsid w:val="00B3110C"/>
    <w:rsid w:val="00B32723"/>
    <w:rsid w:val="00B52D4E"/>
    <w:rsid w:val="00B554A4"/>
    <w:rsid w:val="00B622BC"/>
    <w:rsid w:val="00B72A8C"/>
    <w:rsid w:val="00B9441D"/>
    <w:rsid w:val="00BB0B2F"/>
    <w:rsid w:val="00BB5B18"/>
    <w:rsid w:val="00BC60CA"/>
    <w:rsid w:val="00BC79A5"/>
    <w:rsid w:val="00BD4033"/>
    <w:rsid w:val="00BD6781"/>
    <w:rsid w:val="00BE2A6F"/>
    <w:rsid w:val="00BE4CDE"/>
    <w:rsid w:val="00BF31F4"/>
    <w:rsid w:val="00BF494D"/>
    <w:rsid w:val="00BF645B"/>
    <w:rsid w:val="00C309EA"/>
    <w:rsid w:val="00C44948"/>
    <w:rsid w:val="00C579CF"/>
    <w:rsid w:val="00C671F4"/>
    <w:rsid w:val="00C80E49"/>
    <w:rsid w:val="00C97F65"/>
    <w:rsid w:val="00CA5126"/>
    <w:rsid w:val="00D0655E"/>
    <w:rsid w:val="00D06FB8"/>
    <w:rsid w:val="00D16E74"/>
    <w:rsid w:val="00D2229C"/>
    <w:rsid w:val="00D33266"/>
    <w:rsid w:val="00D37C3C"/>
    <w:rsid w:val="00D55922"/>
    <w:rsid w:val="00D655DA"/>
    <w:rsid w:val="00D8056D"/>
    <w:rsid w:val="00D842E6"/>
    <w:rsid w:val="00D862A2"/>
    <w:rsid w:val="00D94FB0"/>
    <w:rsid w:val="00DC137F"/>
    <w:rsid w:val="00DD01E9"/>
    <w:rsid w:val="00DD26A5"/>
    <w:rsid w:val="00DD3AA0"/>
    <w:rsid w:val="00DE6B89"/>
    <w:rsid w:val="00DE74FD"/>
    <w:rsid w:val="00E141D2"/>
    <w:rsid w:val="00E24D16"/>
    <w:rsid w:val="00E408E5"/>
    <w:rsid w:val="00E42A05"/>
    <w:rsid w:val="00E42B24"/>
    <w:rsid w:val="00E60BA1"/>
    <w:rsid w:val="00E63B72"/>
    <w:rsid w:val="00E74F15"/>
    <w:rsid w:val="00E75365"/>
    <w:rsid w:val="00E75C99"/>
    <w:rsid w:val="00E86BD4"/>
    <w:rsid w:val="00E933C4"/>
    <w:rsid w:val="00E9677C"/>
    <w:rsid w:val="00EA20B9"/>
    <w:rsid w:val="00EB4039"/>
    <w:rsid w:val="00EC312C"/>
    <w:rsid w:val="00EC5B02"/>
    <w:rsid w:val="00ED190F"/>
    <w:rsid w:val="00ED5B5A"/>
    <w:rsid w:val="00F03015"/>
    <w:rsid w:val="00F06D0C"/>
    <w:rsid w:val="00F131A8"/>
    <w:rsid w:val="00F25CAD"/>
    <w:rsid w:val="00F31F78"/>
    <w:rsid w:val="00F433FA"/>
    <w:rsid w:val="00F463A6"/>
    <w:rsid w:val="00F5095E"/>
    <w:rsid w:val="00F5215A"/>
    <w:rsid w:val="00F8612E"/>
    <w:rsid w:val="00FF66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0" w:defSemiHidden="0" w:defUnhideWhenUsed="0" w:defQFormat="0" w:count="267">
    <w:lsdException w:name="toc 1" w:uiPriority="39" w:qFormat="1"/>
    <w:lsdException w:name="toc 2" w:uiPriority="39" w:qFormat="1"/>
    <w:lsdException w:name="toc 3" w:uiPriority="39" w:qFormat="1"/>
    <w:lsdException w:name="footnote text" w:uiPriority="99" w:qFormat="1"/>
    <w:lsdException w:name="footnote reference" w:uiPriority="99" w:qFormat="1"/>
    <w:lsdException w:name="table of authorities" w:uiPriority="99"/>
    <w:lsdException w:name="toa heading" w:uiPriority="99"/>
    <w:lsdException w:name="Hyperlink" w:uiPriority="99"/>
    <w:lsdException w:name="Emphasis" w:uiPriority="20"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3C88"/>
    <w:pPr>
      <w:jc w:val="left"/>
    </w:pPr>
    <w:rPr>
      <w:rFonts w:ascii="Times" w:eastAsia="Times" w:hAnsi="Times" w:cs="Times New Roman"/>
      <w:sz w:val="24"/>
      <w:szCs w:val="20"/>
    </w:rPr>
  </w:style>
  <w:style w:type="paragraph" w:styleId="Heading1">
    <w:name w:val="heading 1"/>
    <w:basedOn w:val="Normal"/>
    <w:next w:val="Normal"/>
    <w:link w:val="Heading1Char"/>
    <w:rsid w:val="000C3C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0C3C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3C8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0C3C88"/>
    <w:pPr>
      <w:spacing w:before="240"/>
    </w:pPr>
    <w:rPr>
      <w:szCs w:val="24"/>
    </w:rPr>
  </w:style>
  <w:style w:type="paragraph" w:styleId="ListParagraph">
    <w:name w:val="List Paragraph"/>
    <w:basedOn w:val="Normal"/>
    <w:link w:val="ListParagraphChar"/>
    <w:uiPriority w:val="34"/>
    <w:qFormat/>
    <w:rsid w:val="000C3C88"/>
    <w:pPr>
      <w:ind w:left="720"/>
      <w:contextualSpacing/>
    </w:pPr>
  </w:style>
  <w:style w:type="paragraph" w:styleId="Header">
    <w:name w:val="header"/>
    <w:basedOn w:val="Normal"/>
    <w:link w:val="HeaderChar"/>
    <w:uiPriority w:val="99"/>
    <w:unhideWhenUsed/>
    <w:rsid w:val="000C3C88"/>
    <w:pPr>
      <w:tabs>
        <w:tab w:val="center" w:pos="4680"/>
        <w:tab w:val="right" w:pos="9360"/>
      </w:tabs>
    </w:pPr>
  </w:style>
  <w:style w:type="character" w:customStyle="1" w:styleId="HeaderChar">
    <w:name w:val="Header Char"/>
    <w:basedOn w:val="DefaultParagraphFont"/>
    <w:link w:val="Header"/>
    <w:uiPriority w:val="99"/>
    <w:rsid w:val="000C3C88"/>
    <w:rPr>
      <w:rFonts w:ascii="Times" w:eastAsia="Times" w:hAnsi="Times" w:cs="Times New Roman"/>
      <w:sz w:val="24"/>
      <w:szCs w:val="20"/>
    </w:rPr>
  </w:style>
  <w:style w:type="paragraph" w:styleId="Footer">
    <w:name w:val="footer"/>
    <w:basedOn w:val="Normal"/>
    <w:link w:val="FooterChar"/>
    <w:unhideWhenUsed/>
    <w:rsid w:val="000C3C88"/>
    <w:pPr>
      <w:tabs>
        <w:tab w:val="center" w:pos="4680"/>
        <w:tab w:val="right" w:pos="9360"/>
      </w:tabs>
    </w:pPr>
  </w:style>
  <w:style w:type="character" w:customStyle="1" w:styleId="FooterChar">
    <w:name w:val="Footer Char"/>
    <w:basedOn w:val="DefaultParagraphFont"/>
    <w:link w:val="Footer"/>
    <w:uiPriority w:val="99"/>
    <w:rsid w:val="000C3C88"/>
    <w:rPr>
      <w:rFonts w:ascii="Times" w:eastAsia="Times" w:hAnsi="Times" w:cs="Times New Roman"/>
      <w:sz w:val="24"/>
      <w:szCs w:val="20"/>
    </w:rPr>
  </w:style>
  <w:style w:type="paragraph" w:customStyle="1" w:styleId="WashingtonParagraphs">
    <w:name w:val="Washington Paragraphs"/>
    <w:basedOn w:val="ListParagraph"/>
    <w:rsid w:val="000C3C88"/>
    <w:pPr>
      <w:numPr>
        <w:numId w:val="5"/>
      </w:numPr>
      <w:tabs>
        <w:tab w:val="left" w:pos="720"/>
        <w:tab w:val="left" w:pos="1440"/>
      </w:tabs>
      <w:spacing w:line="480" w:lineRule="auto"/>
      <w:jc w:val="both"/>
    </w:pPr>
    <w:rPr>
      <w:rFonts w:ascii="Times New Roman" w:hAnsi="Times New Roman"/>
    </w:rPr>
  </w:style>
  <w:style w:type="numbering" w:customStyle="1" w:styleId="Style2">
    <w:name w:val="Style2"/>
    <w:uiPriority w:val="99"/>
    <w:rsid w:val="000C3C88"/>
    <w:pPr>
      <w:numPr>
        <w:numId w:val="9"/>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unhideWhenUsed/>
    <w:qFormat/>
    <w:rsid w:val="000C3C88"/>
    <w:rPr>
      <w:rFonts w:ascii="Times New Roman" w:hAnsi="Times New Roman"/>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0C3C88"/>
    <w:rPr>
      <w:rFonts w:ascii="Times New Roman" w:eastAsia="Times" w:hAnsi="Times New Roman" w:cs="Times New Roman"/>
      <w:sz w:val="20"/>
      <w:szCs w:val="20"/>
    </w:rPr>
  </w:style>
  <w:style w:type="character" w:styleId="FootnoteReference">
    <w:name w:val="footnote reference"/>
    <w:basedOn w:val="DefaultParagraphFont"/>
    <w:uiPriority w:val="99"/>
    <w:unhideWhenUsed/>
    <w:qFormat/>
    <w:rsid w:val="000C3C88"/>
    <w:rPr>
      <w:vertAlign w:val="superscript"/>
    </w:rPr>
  </w:style>
  <w:style w:type="paragraph" w:styleId="BalloonText">
    <w:name w:val="Balloon Text"/>
    <w:basedOn w:val="Normal"/>
    <w:link w:val="BalloonTextChar"/>
    <w:uiPriority w:val="99"/>
    <w:semiHidden/>
    <w:unhideWhenUsed/>
    <w:rsid w:val="000C3C88"/>
    <w:rPr>
      <w:rFonts w:ascii="Tahoma" w:hAnsi="Tahoma"/>
      <w:sz w:val="16"/>
      <w:szCs w:val="16"/>
    </w:rPr>
  </w:style>
  <w:style w:type="character" w:customStyle="1" w:styleId="BalloonTextChar">
    <w:name w:val="Balloon Text Char"/>
    <w:basedOn w:val="DefaultParagraphFont"/>
    <w:link w:val="BalloonText"/>
    <w:uiPriority w:val="99"/>
    <w:semiHidden/>
    <w:rsid w:val="000C3C88"/>
    <w:rPr>
      <w:rFonts w:ascii="Tahoma" w:eastAsia="Times" w:hAnsi="Tahoma" w:cs="Times New Roman"/>
      <w:sz w:val="16"/>
      <w:szCs w:val="16"/>
    </w:rPr>
  </w:style>
  <w:style w:type="paragraph" w:styleId="NormalWeb">
    <w:name w:val="Normal (Web)"/>
    <w:basedOn w:val="Normal"/>
    <w:uiPriority w:val="99"/>
    <w:semiHidden/>
    <w:unhideWhenUsed/>
    <w:rsid w:val="000C3C88"/>
    <w:pPr>
      <w:spacing w:before="100" w:beforeAutospacing="1" w:after="100" w:afterAutospacing="1"/>
    </w:pPr>
    <w:rPr>
      <w:rFonts w:ascii="Times New Roman" w:eastAsia="Times New Roman" w:hAnsi="Times New Roman"/>
      <w:szCs w:val="24"/>
    </w:rPr>
  </w:style>
  <w:style w:type="character" w:styleId="CommentReference">
    <w:name w:val="annotation reference"/>
    <w:basedOn w:val="DefaultParagraphFont"/>
    <w:uiPriority w:val="99"/>
    <w:semiHidden/>
    <w:unhideWhenUsed/>
    <w:rsid w:val="000C3C88"/>
    <w:rPr>
      <w:sz w:val="16"/>
      <w:szCs w:val="16"/>
    </w:rPr>
  </w:style>
  <w:style w:type="paragraph" w:styleId="CommentText">
    <w:name w:val="annotation text"/>
    <w:basedOn w:val="Normal"/>
    <w:link w:val="CommentTextChar"/>
    <w:uiPriority w:val="99"/>
    <w:semiHidden/>
    <w:unhideWhenUsed/>
    <w:rsid w:val="000C3C88"/>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0C3C88"/>
    <w:rPr>
      <w:sz w:val="20"/>
      <w:szCs w:val="20"/>
    </w:rPr>
  </w:style>
  <w:style w:type="paragraph" w:styleId="CommentSubject">
    <w:name w:val="annotation subject"/>
    <w:basedOn w:val="CommentText"/>
    <w:next w:val="CommentText"/>
    <w:link w:val="CommentSubjectChar"/>
    <w:uiPriority w:val="99"/>
    <w:semiHidden/>
    <w:unhideWhenUsed/>
    <w:rsid w:val="000C3C88"/>
    <w:pPr>
      <w:spacing w:after="0"/>
    </w:pPr>
    <w:rPr>
      <w:rFonts w:ascii="Times" w:eastAsia="Times" w:hAnsi="Times" w:cs="Times New Roman"/>
      <w:b/>
      <w:bCs/>
    </w:rPr>
  </w:style>
  <w:style w:type="character" w:customStyle="1" w:styleId="CommentSubjectChar">
    <w:name w:val="Comment Subject Char"/>
    <w:basedOn w:val="CommentTextChar"/>
    <w:link w:val="CommentSubject"/>
    <w:uiPriority w:val="99"/>
    <w:semiHidden/>
    <w:rsid w:val="000C3C88"/>
    <w:rPr>
      <w:rFonts w:ascii="Times" w:eastAsia="Times" w:hAnsi="Times" w:cs="Times New Roman"/>
      <w:b/>
      <w:bCs/>
      <w:sz w:val="20"/>
      <w:szCs w:val="20"/>
    </w:rPr>
  </w:style>
  <w:style w:type="paragraph" w:styleId="TableofAuthorities">
    <w:name w:val="table of authorities"/>
    <w:basedOn w:val="Normal"/>
    <w:next w:val="Normal"/>
    <w:uiPriority w:val="99"/>
    <w:unhideWhenUsed/>
    <w:rsid w:val="00FF6669"/>
    <w:pPr>
      <w:ind w:left="240" w:hanging="240"/>
    </w:pPr>
    <w:rPr>
      <w:rFonts w:ascii="Times New Roman" w:hAnsi="Times New Roman" w:cstheme="minorHAnsi"/>
    </w:rPr>
  </w:style>
  <w:style w:type="paragraph" w:styleId="TOAHeading">
    <w:name w:val="toa heading"/>
    <w:basedOn w:val="Normal"/>
    <w:next w:val="Normal"/>
    <w:uiPriority w:val="99"/>
    <w:unhideWhenUsed/>
    <w:rsid w:val="004C5C5C"/>
    <w:pPr>
      <w:spacing w:before="240" w:after="120"/>
    </w:pPr>
    <w:rPr>
      <w:rFonts w:ascii="Times New Roman" w:hAnsi="Times New Roman" w:cstheme="minorHAnsi"/>
      <w:b/>
      <w:bCs/>
      <w:caps/>
    </w:rPr>
  </w:style>
  <w:style w:type="character" w:styleId="Hyperlink">
    <w:name w:val="Hyperlink"/>
    <w:basedOn w:val="DefaultParagraphFont"/>
    <w:uiPriority w:val="99"/>
    <w:rsid w:val="000C3C88"/>
    <w:rPr>
      <w:color w:val="0000FF"/>
      <w:u w:val="single"/>
    </w:rPr>
  </w:style>
  <w:style w:type="paragraph" w:customStyle="1" w:styleId="plain">
    <w:name w:val="plain"/>
    <w:basedOn w:val="Normal"/>
    <w:rsid w:val="000C3C88"/>
    <w:pPr>
      <w:spacing w:line="240" w:lineRule="atLeast"/>
    </w:pPr>
    <w:rPr>
      <w:rFonts w:ascii="Times New Roman" w:eastAsia="Times New Roman" w:hAnsi="Times New Roman"/>
    </w:rPr>
  </w:style>
  <w:style w:type="paragraph" w:customStyle="1" w:styleId="normalblock">
    <w:name w:val="normal block"/>
    <w:basedOn w:val="Normal"/>
    <w:rsid w:val="000C3C88"/>
    <w:pPr>
      <w:spacing w:line="480" w:lineRule="atLeast"/>
    </w:pPr>
    <w:rPr>
      <w:rFonts w:ascii="Times New Roman" w:eastAsia="Times New Roman" w:hAnsi="Times New Roman"/>
    </w:rPr>
  </w:style>
  <w:style w:type="character" w:styleId="PageNumber">
    <w:name w:val="page number"/>
    <w:basedOn w:val="DefaultParagraphFont"/>
    <w:rsid w:val="000C3C88"/>
  </w:style>
  <w:style w:type="character" w:styleId="LineNumber">
    <w:name w:val="line number"/>
    <w:basedOn w:val="DefaultParagraphFont"/>
    <w:uiPriority w:val="99"/>
    <w:semiHidden/>
    <w:unhideWhenUsed/>
    <w:rsid w:val="000C3C88"/>
  </w:style>
  <w:style w:type="paragraph" w:customStyle="1" w:styleId="WAParagraph">
    <w:name w:val="WA Paragraph"/>
    <w:basedOn w:val="ListParagraph"/>
    <w:link w:val="WAParagraphChar"/>
    <w:qFormat/>
    <w:rsid w:val="000C3C88"/>
    <w:pPr>
      <w:tabs>
        <w:tab w:val="left" w:pos="720"/>
        <w:tab w:val="num" w:pos="2880"/>
      </w:tabs>
      <w:spacing w:line="520" w:lineRule="exact"/>
      <w:ind w:left="0" w:hanging="720"/>
    </w:pPr>
    <w:rPr>
      <w:rFonts w:ascii="Times New Roman" w:hAnsi="Times New Roman"/>
      <w:szCs w:val="24"/>
    </w:rPr>
  </w:style>
  <w:style w:type="paragraph" w:customStyle="1" w:styleId="WAPara">
    <w:name w:val="WA Para"/>
    <w:basedOn w:val="ListParagraph"/>
    <w:link w:val="WAParaChar"/>
    <w:qFormat/>
    <w:rsid w:val="000C3C88"/>
    <w:pPr>
      <w:tabs>
        <w:tab w:val="left" w:pos="720"/>
        <w:tab w:val="num" w:pos="2880"/>
      </w:tabs>
      <w:spacing w:line="480" w:lineRule="auto"/>
      <w:ind w:left="3240" w:hanging="720"/>
      <w:contextualSpacing w:val="0"/>
    </w:pPr>
    <w:rPr>
      <w:rFonts w:ascii="Times New Roman" w:hAnsi="Times New Roman"/>
      <w:bCs/>
      <w:iCs/>
      <w:color w:val="000000"/>
      <w:szCs w:val="24"/>
    </w:rPr>
  </w:style>
  <w:style w:type="character" w:customStyle="1" w:styleId="ListParagraphChar">
    <w:name w:val="List Paragraph Char"/>
    <w:basedOn w:val="DefaultParagraphFont"/>
    <w:link w:val="ListParagraph"/>
    <w:uiPriority w:val="34"/>
    <w:rsid w:val="000C3C88"/>
    <w:rPr>
      <w:rFonts w:ascii="Times" w:eastAsia="Times" w:hAnsi="Times" w:cs="Times New Roman"/>
      <w:sz w:val="24"/>
      <w:szCs w:val="20"/>
    </w:rPr>
  </w:style>
  <w:style w:type="character" w:customStyle="1" w:styleId="WAParagraphChar">
    <w:name w:val="WA Paragraph Char"/>
    <w:basedOn w:val="ListParagraphChar"/>
    <w:link w:val="WAParagraph"/>
    <w:rsid w:val="000C3C88"/>
    <w:rPr>
      <w:rFonts w:ascii="Times New Roman" w:eastAsia="Times" w:hAnsi="Times New Roman" w:cs="Times New Roman"/>
      <w:sz w:val="24"/>
      <w:szCs w:val="24"/>
    </w:rPr>
  </w:style>
  <w:style w:type="paragraph" w:customStyle="1" w:styleId="WAP1">
    <w:name w:val="WA P1"/>
    <w:basedOn w:val="ListParagraph"/>
    <w:link w:val="WAP1Char"/>
    <w:qFormat/>
    <w:rsid w:val="00440B60"/>
    <w:pPr>
      <w:widowControl w:val="0"/>
      <w:numPr>
        <w:numId w:val="21"/>
      </w:numPr>
      <w:tabs>
        <w:tab w:val="clear" w:pos="360"/>
        <w:tab w:val="num" w:pos="720"/>
      </w:tabs>
      <w:spacing w:line="480" w:lineRule="exact"/>
      <w:ind w:left="0"/>
      <w:contextualSpacing w:val="0"/>
    </w:pPr>
    <w:rPr>
      <w:rFonts w:ascii="Times New Roman" w:hAnsi="Times New Roman"/>
      <w:szCs w:val="24"/>
    </w:rPr>
  </w:style>
  <w:style w:type="character" w:customStyle="1" w:styleId="WAParaChar">
    <w:name w:val="WA Para Char"/>
    <w:basedOn w:val="ListParagraphChar"/>
    <w:link w:val="WAPara"/>
    <w:rsid w:val="000C3C88"/>
    <w:rPr>
      <w:rFonts w:ascii="Times New Roman" w:eastAsia="Times" w:hAnsi="Times New Roman" w:cs="Times New Roman"/>
      <w:bCs/>
      <w:iCs/>
      <w:color w:val="000000"/>
      <w:sz w:val="24"/>
      <w:szCs w:val="24"/>
    </w:rPr>
  </w:style>
  <w:style w:type="table" w:styleId="TableGrid">
    <w:name w:val="Table Grid"/>
    <w:basedOn w:val="TableNormal"/>
    <w:uiPriority w:val="59"/>
    <w:rsid w:val="000C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P1Char">
    <w:name w:val="WA P1 Char"/>
    <w:basedOn w:val="ListParagraphChar"/>
    <w:link w:val="WAP1"/>
    <w:rsid w:val="00440B60"/>
    <w:rPr>
      <w:rFonts w:ascii="Times New Roman" w:eastAsia="Times" w:hAnsi="Times New Roman" w:cs="Times New Roman"/>
      <w:sz w:val="24"/>
      <w:szCs w:val="24"/>
    </w:rPr>
  </w:style>
  <w:style w:type="paragraph" w:customStyle="1" w:styleId="H2">
    <w:name w:val="H2"/>
    <w:basedOn w:val="Normal"/>
    <w:link w:val="H2Char"/>
    <w:qFormat/>
    <w:rsid w:val="00440B60"/>
    <w:pPr>
      <w:keepNext/>
      <w:tabs>
        <w:tab w:val="left" w:pos="0"/>
      </w:tabs>
      <w:spacing w:line="480" w:lineRule="exact"/>
      <w:ind w:left="720" w:hanging="720"/>
    </w:pPr>
    <w:rPr>
      <w:rFonts w:ascii="Times New Roman" w:hAnsi="Times New Roman"/>
      <w:b/>
      <w:szCs w:val="24"/>
    </w:rPr>
  </w:style>
  <w:style w:type="paragraph" w:customStyle="1" w:styleId="H1">
    <w:name w:val="H1"/>
    <w:basedOn w:val="Normal"/>
    <w:link w:val="H1Char"/>
    <w:qFormat/>
    <w:rsid w:val="0049679D"/>
    <w:pPr>
      <w:numPr>
        <w:numId w:val="18"/>
      </w:numPr>
      <w:tabs>
        <w:tab w:val="left" w:pos="0"/>
      </w:tabs>
      <w:spacing w:line="480" w:lineRule="exact"/>
      <w:ind w:left="0" w:firstLine="0"/>
      <w:jc w:val="center"/>
    </w:pPr>
    <w:rPr>
      <w:rFonts w:ascii="Times New Roman" w:hAnsi="Times New Roman"/>
      <w:b/>
      <w:szCs w:val="24"/>
    </w:rPr>
  </w:style>
  <w:style w:type="character" w:customStyle="1" w:styleId="H2Char">
    <w:name w:val="H2 Char"/>
    <w:basedOn w:val="DefaultParagraphFont"/>
    <w:link w:val="H2"/>
    <w:rsid w:val="00440B60"/>
    <w:rPr>
      <w:rFonts w:ascii="Times New Roman" w:eastAsia="Times" w:hAnsi="Times New Roman" w:cs="Times New Roman"/>
      <w:b/>
      <w:sz w:val="24"/>
      <w:szCs w:val="24"/>
    </w:rPr>
  </w:style>
  <w:style w:type="paragraph" w:customStyle="1" w:styleId="H3">
    <w:name w:val="H3"/>
    <w:basedOn w:val="Normal"/>
    <w:link w:val="H3Char"/>
    <w:qFormat/>
    <w:rsid w:val="000C3C88"/>
    <w:pPr>
      <w:keepNext/>
      <w:spacing w:before="240"/>
      <w:ind w:left="1440" w:hanging="720"/>
    </w:pPr>
    <w:rPr>
      <w:rFonts w:ascii="Times New Roman" w:hAnsi="Times New Roman"/>
      <w:b/>
      <w:szCs w:val="24"/>
    </w:rPr>
  </w:style>
  <w:style w:type="character" w:customStyle="1" w:styleId="H1Char">
    <w:name w:val="H1 Char"/>
    <w:basedOn w:val="DefaultParagraphFont"/>
    <w:link w:val="H1"/>
    <w:rsid w:val="0049679D"/>
    <w:rPr>
      <w:rFonts w:ascii="Times New Roman" w:eastAsia="Times" w:hAnsi="Times New Roman" w:cs="Times New Roman"/>
      <w:b/>
      <w:sz w:val="24"/>
      <w:szCs w:val="24"/>
    </w:rPr>
  </w:style>
  <w:style w:type="character" w:customStyle="1" w:styleId="H3Char">
    <w:name w:val="H3 Char"/>
    <w:basedOn w:val="DefaultParagraphFont"/>
    <w:link w:val="H3"/>
    <w:rsid w:val="000C3C88"/>
    <w:rPr>
      <w:rFonts w:ascii="Times New Roman" w:eastAsia="Times" w:hAnsi="Times New Roman" w:cs="Times New Roman"/>
      <w:b/>
      <w:sz w:val="24"/>
      <w:szCs w:val="24"/>
    </w:rPr>
  </w:style>
  <w:style w:type="paragraph" w:styleId="Revision">
    <w:name w:val="Revision"/>
    <w:hidden/>
    <w:uiPriority w:val="99"/>
    <w:semiHidden/>
    <w:rsid w:val="000C3C88"/>
    <w:pPr>
      <w:jc w:val="left"/>
    </w:pPr>
    <w:rPr>
      <w:rFonts w:ascii="Times" w:eastAsia="Times" w:hAnsi="Times" w:cs="Times New Roman"/>
      <w:sz w:val="24"/>
      <w:szCs w:val="20"/>
    </w:rPr>
  </w:style>
  <w:style w:type="paragraph" w:styleId="DocumentMap">
    <w:name w:val="Document Map"/>
    <w:basedOn w:val="Normal"/>
    <w:link w:val="DocumentMapChar"/>
    <w:uiPriority w:val="99"/>
    <w:semiHidden/>
    <w:unhideWhenUsed/>
    <w:rsid w:val="000C3C88"/>
    <w:rPr>
      <w:rFonts w:ascii="Tahoma" w:hAnsi="Tahoma" w:cs="Tahoma"/>
      <w:sz w:val="16"/>
      <w:szCs w:val="16"/>
    </w:rPr>
  </w:style>
  <w:style w:type="character" w:customStyle="1" w:styleId="DocumentMapChar">
    <w:name w:val="Document Map Char"/>
    <w:basedOn w:val="DefaultParagraphFont"/>
    <w:link w:val="DocumentMap"/>
    <w:uiPriority w:val="99"/>
    <w:semiHidden/>
    <w:rsid w:val="000C3C88"/>
    <w:rPr>
      <w:rFonts w:ascii="Tahoma" w:eastAsia="Times" w:hAnsi="Tahoma" w:cs="Tahoma"/>
      <w:sz w:val="16"/>
      <w:szCs w:val="16"/>
    </w:rPr>
  </w:style>
  <w:style w:type="character" w:customStyle="1" w:styleId="Heading3Char">
    <w:name w:val="Heading 3 Char"/>
    <w:basedOn w:val="DefaultParagraphFont"/>
    <w:link w:val="Heading3"/>
    <w:uiPriority w:val="9"/>
    <w:rsid w:val="000C3C88"/>
    <w:rPr>
      <w:rFonts w:asciiTheme="majorHAnsi" w:eastAsiaTheme="majorEastAsia" w:hAnsiTheme="majorHAnsi" w:cstheme="majorBidi"/>
      <w:b/>
      <w:bCs/>
      <w:color w:val="4F81BD" w:themeColor="accent1"/>
      <w:sz w:val="24"/>
      <w:szCs w:val="20"/>
    </w:rPr>
  </w:style>
  <w:style w:type="paragraph" w:customStyle="1" w:styleId="BATOAPageHeading">
    <w:name w:val="BA TOA Page Heading"/>
    <w:basedOn w:val="Normal"/>
    <w:rsid w:val="000C3C88"/>
    <w:pPr>
      <w:keepNext/>
      <w:keepLines/>
      <w:tabs>
        <w:tab w:val="right" w:pos="9360"/>
      </w:tabs>
      <w:jc w:val="right"/>
    </w:pPr>
    <w:rPr>
      <w:rFonts w:ascii="Times New Roman" w:eastAsia="Times New Roman" w:hAnsi="Times New Roman"/>
      <w:b/>
      <w:szCs w:val="24"/>
    </w:rPr>
  </w:style>
  <w:style w:type="paragraph" w:customStyle="1" w:styleId="BATOAHeading">
    <w:name w:val="BA TOA Heading"/>
    <w:basedOn w:val="Normal"/>
    <w:rsid w:val="000C3C88"/>
    <w:pPr>
      <w:keepNext/>
      <w:keepLines/>
      <w:spacing w:after="240"/>
    </w:pPr>
    <w:rPr>
      <w:rFonts w:ascii="Times New Roman" w:eastAsia="Times New Roman" w:hAnsi="Times New Roman"/>
      <w:b/>
      <w:smallCaps/>
      <w:szCs w:val="24"/>
    </w:rPr>
  </w:style>
  <w:style w:type="paragraph" w:customStyle="1" w:styleId="BATOAEntry">
    <w:name w:val="BA TOA Entry"/>
    <w:basedOn w:val="Normal"/>
    <w:rsid w:val="000C3C88"/>
    <w:pPr>
      <w:keepLines/>
      <w:tabs>
        <w:tab w:val="right" w:leader="dot" w:pos="9360"/>
      </w:tabs>
      <w:spacing w:after="240"/>
      <w:ind w:left="360" w:right="720" w:hanging="360"/>
    </w:pPr>
    <w:rPr>
      <w:rFonts w:ascii="Times New Roman" w:eastAsia="Times New Roman" w:hAnsi="Times New Roman"/>
      <w:szCs w:val="24"/>
    </w:rPr>
  </w:style>
  <w:style w:type="paragraph" w:customStyle="1" w:styleId="BADraft">
    <w:name w:val="BA Draft"/>
    <w:basedOn w:val="BodyText"/>
    <w:rsid w:val="000C3C88"/>
    <w:pPr>
      <w:keepLines/>
      <w:widowControl w:val="0"/>
      <w:spacing w:after="0"/>
    </w:pPr>
    <w:rPr>
      <w:rFonts w:ascii="Times New Roman" w:eastAsia="Times New Roman" w:hAnsi="Times New Roman"/>
      <w:szCs w:val="24"/>
    </w:rPr>
  </w:style>
  <w:style w:type="paragraph" w:styleId="BodyText">
    <w:name w:val="Body Text"/>
    <w:basedOn w:val="Normal"/>
    <w:link w:val="BodyTextChar"/>
    <w:rsid w:val="000C3C88"/>
    <w:pPr>
      <w:spacing w:after="120"/>
    </w:pPr>
  </w:style>
  <w:style w:type="character" w:customStyle="1" w:styleId="BodyTextChar">
    <w:name w:val="Body Text Char"/>
    <w:basedOn w:val="DefaultParagraphFont"/>
    <w:link w:val="BodyText"/>
    <w:rsid w:val="000C3C88"/>
    <w:rPr>
      <w:rFonts w:ascii="Times" w:eastAsia="Times" w:hAnsi="Times" w:cs="Times New Roman"/>
      <w:sz w:val="24"/>
      <w:szCs w:val="20"/>
    </w:rPr>
  </w:style>
  <w:style w:type="paragraph" w:customStyle="1" w:styleId="BATOATitle">
    <w:name w:val="BA TOA Title"/>
    <w:basedOn w:val="Normal"/>
    <w:rsid w:val="000C3C88"/>
    <w:pPr>
      <w:keepNext/>
      <w:spacing w:before="120" w:after="240"/>
      <w:jc w:val="center"/>
    </w:pPr>
    <w:rPr>
      <w:rFonts w:ascii="Times New Roman" w:eastAsia="Times New Roman" w:hAnsi="Times New Roman"/>
      <w:b/>
      <w:caps/>
      <w:szCs w:val="24"/>
      <w:u w:val="single"/>
    </w:rPr>
  </w:style>
  <w:style w:type="paragraph" w:styleId="TOC1">
    <w:name w:val="toc 1"/>
    <w:basedOn w:val="Normal"/>
    <w:next w:val="Normal"/>
    <w:autoRedefine/>
    <w:uiPriority w:val="39"/>
    <w:qFormat/>
    <w:rsid w:val="000A6119"/>
    <w:pPr>
      <w:tabs>
        <w:tab w:val="left" w:pos="720"/>
        <w:tab w:val="right" w:leader="dot" w:pos="9350"/>
      </w:tabs>
      <w:spacing w:after="100"/>
    </w:pPr>
  </w:style>
  <w:style w:type="paragraph" w:styleId="TOC9">
    <w:name w:val="toc 9"/>
    <w:basedOn w:val="Normal"/>
    <w:next w:val="Normal"/>
    <w:autoRedefine/>
    <w:rsid w:val="000C3C88"/>
    <w:pPr>
      <w:spacing w:after="100"/>
      <w:ind w:left="1920"/>
    </w:pPr>
  </w:style>
  <w:style w:type="character" w:customStyle="1" w:styleId="Heading1Char">
    <w:name w:val="Heading 1 Char"/>
    <w:basedOn w:val="DefaultParagraphFont"/>
    <w:link w:val="Heading1"/>
    <w:rsid w:val="000C3C8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C3C88"/>
    <w:pPr>
      <w:spacing w:line="276" w:lineRule="auto"/>
      <w:outlineLvl w:val="9"/>
    </w:pPr>
  </w:style>
  <w:style w:type="paragraph" w:styleId="TOC2">
    <w:name w:val="toc 2"/>
    <w:basedOn w:val="Normal"/>
    <w:next w:val="Normal"/>
    <w:autoRedefine/>
    <w:uiPriority w:val="39"/>
    <w:unhideWhenUsed/>
    <w:qFormat/>
    <w:rsid w:val="000A6119"/>
    <w:pPr>
      <w:tabs>
        <w:tab w:val="left" w:pos="1080"/>
        <w:tab w:val="right" w:leader="dot" w:pos="9350"/>
      </w:tabs>
      <w:spacing w:after="100" w:line="276" w:lineRule="auto"/>
      <w:ind w:left="1080" w:hanging="450"/>
    </w:pPr>
    <w:rPr>
      <w:rFonts w:ascii="Times New Roman" w:eastAsiaTheme="minorEastAsia" w:hAnsi="Times New Roman" w:cstheme="minorBidi"/>
      <w:szCs w:val="22"/>
    </w:rPr>
  </w:style>
  <w:style w:type="paragraph" w:styleId="TOC3">
    <w:name w:val="toc 3"/>
    <w:basedOn w:val="Normal"/>
    <w:next w:val="Normal"/>
    <w:autoRedefine/>
    <w:uiPriority w:val="39"/>
    <w:unhideWhenUsed/>
    <w:qFormat/>
    <w:rsid w:val="000C3C88"/>
    <w:pPr>
      <w:tabs>
        <w:tab w:val="left" w:pos="1620"/>
        <w:tab w:val="right" w:leader="dot" w:pos="9350"/>
      </w:tabs>
      <w:spacing w:after="100" w:line="276" w:lineRule="auto"/>
      <w:ind w:left="1620" w:hanging="540"/>
    </w:pPr>
    <w:rPr>
      <w:rFonts w:ascii="Times New Roman" w:eastAsiaTheme="minorEastAsia" w:hAnsi="Times New Roman" w:cstheme="minorBidi"/>
      <w:szCs w:val="22"/>
    </w:rPr>
  </w:style>
  <w:style w:type="character" w:customStyle="1" w:styleId="Heading2Char">
    <w:name w:val="Heading 2 Char"/>
    <w:basedOn w:val="DefaultParagraphFont"/>
    <w:link w:val="Heading2"/>
    <w:rsid w:val="000C3C88"/>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F131A8"/>
    <w:rPr>
      <w:i/>
      <w:iCs/>
    </w:rPr>
  </w:style>
  <w:style w:type="paragraph" w:styleId="BodyText2">
    <w:name w:val="Body Text 2"/>
    <w:basedOn w:val="Normal"/>
    <w:link w:val="BodyText2Char"/>
    <w:rsid w:val="00E933C4"/>
    <w:pPr>
      <w:spacing w:after="120" w:line="480" w:lineRule="auto"/>
    </w:pPr>
  </w:style>
  <w:style w:type="character" w:customStyle="1" w:styleId="BodyText2Char">
    <w:name w:val="Body Text 2 Char"/>
    <w:basedOn w:val="DefaultParagraphFont"/>
    <w:link w:val="BodyText2"/>
    <w:rsid w:val="00E933C4"/>
    <w:rPr>
      <w:rFonts w:ascii="Times" w:eastAsia="Times" w:hAnsi="Times" w:cs="Times New Roman"/>
      <w:sz w:val="24"/>
      <w:szCs w:val="20"/>
    </w:rPr>
  </w:style>
  <w:style w:type="paragraph" w:customStyle="1" w:styleId="WUTCParagraph">
    <w:name w:val="WUTC Paragraph"/>
    <w:basedOn w:val="Normal"/>
    <w:link w:val="WUTCParagraphChar"/>
    <w:qFormat/>
    <w:rsid w:val="008D4B6D"/>
    <w:pPr>
      <w:numPr>
        <w:numId w:val="32"/>
      </w:numPr>
      <w:tabs>
        <w:tab w:val="left" w:pos="1440"/>
      </w:tabs>
      <w:spacing w:line="480" w:lineRule="auto"/>
    </w:pPr>
    <w:rPr>
      <w:rFonts w:ascii="Times New Roman" w:eastAsia="Times New Roman" w:hAnsi="Times New Roman"/>
      <w:szCs w:val="24"/>
    </w:rPr>
  </w:style>
  <w:style w:type="character" w:customStyle="1" w:styleId="WUTCParagraphChar">
    <w:name w:val="WUTC Paragraph Char"/>
    <w:link w:val="WUTCParagraph"/>
    <w:rsid w:val="008D4B6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0" w:defSemiHidden="0" w:defUnhideWhenUsed="0" w:defQFormat="0" w:count="267">
    <w:lsdException w:name="toc 1" w:uiPriority="39" w:qFormat="1"/>
    <w:lsdException w:name="toc 2" w:uiPriority="39" w:qFormat="1"/>
    <w:lsdException w:name="toc 3" w:uiPriority="39" w:qFormat="1"/>
    <w:lsdException w:name="footnote text" w:uiPriority="99" w:qFormat="1"/>
    <w:lsdException w:name="footnote reference" w:uiPriority="99" w:qFormat="1"/>
    <w:lsdException w:name="table of authorities" w:uiPriority="99"/>
    <w:lsdException w:name="toa heading" w:uiPriority="99"/>
    <w:lsdException w:name="Hyperlink" w:uiPriority="99"/>
    <w:lsdException w:name="Emphasis" w:uiPriority="20"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3C88"/>
    <w:pPr>
      <w:jc w:val="left"/>
    </w:pPr>
    <w:rPr>
      <w:rFonts w:ascii="Times" w:eastAsia="Times" w:hAnsi="Times" w:cs="Times New Roman"/>
      <w:sz w:val="24"/>
      <w:szCs w:val="20"/>
    </w:rPr>
  </w:style>
  <w:style w:type="paragraph" w:styleId="Heading1">
    <w:name w:val="heading 1"/>
    <w:basedOn w:val="Normal"/>
    <w:next w:val="Normal"/>
    <w:link w:val="Heading1Char"/>
    <w:rsid w:val="000C3C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0C3C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3C8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0C3C88"/>
    <w:pPr>
      <w:spacing w:before="240"/>
    </w:pPr>
    <w:rPr>
      <w:szCs w:val="24"/>
    </w:rPr>
  </w:style>
  <w:style w:type="paragraph" w:styleId="ListParagraph">
    <w:name w:val="List Paragraph"/>
    <w:basedOn w:val="Normal"/>
    <w:link w:val="ListParagraphChar"/>
    <w:uiPriority w:val="34"/>
    <w:qFormat/>
    <w:rsid w:val="000C3C88"/>
    <w:pPr>
      <w:ind w:left="720"/>
      <w:contextualSpacing/>
    </w:pPr>
  </w:style>
  <w:style w:type="paragraph" w:styleId="Header">
    <w:name w:val="header"/>
    <w:basedOn w:val="Normal"/>
    <w:link w:val="HeaderChar"/>
    <w:uiPriority w:val="99"/>
    <w:unhideWhenUsed/>
    <w:rsid w:val="000C3C88"/>
    <w:pPr>
      <w:tabs>
        <w:tab w:val="center" w:pos="4680"/>
        <w:tab w:val="right" w:pos="9360"/>
      </w:tabs>
    </w:pPr>
  </w:style>
  <w:style w:type="character" w:customStyle="1" w:styleId="HeaderChar">
    <w:name w:val="Header Char"/>
    <w:basedOn w:val="DefaultParagraphFont"/>
    <w:link w:val="Header"/>
    <w:uiPriority w:val="99"/>
    <w:rsid w:val="000C3C88"/>
    <w:rPr>
      <w:rFonts w:ascii="Times" w:eastAsia="Times" w:hAnsi="Times" w:cs="Times New Roman"/>
      <w:sz w:val="24"/>
      <w:szCs w:val="20"/>
    </w:rPr>
  </w:style>
  <w:style w:type="paragraph" w:styleId="Footer">
    <w:name w:val="footer"/>
    <w:basedOn w:val="Normal"/>
    <w:link w:val="FooterChar"/>
    <w:unhideWhenUsed/>
    <w:rsid w:val="000C3C88"/>
    <w:pPr>
      <w:tabs>
        <w:tab w:val="center" w:pos="4680"/>
        <w:tab w:val="right" w:pos="9360"/>
      </w:tabs>
    </w:pPr>
  </w:style>
  <w:style w:type="character" w:customStyle="1" w:styleId="FooterChar">
    <w:name w:val="Footer Char"/>
    <w:basedOn w:val="DefaultParagraphFont"/>
    <w:link w:val="Footer"/>
    <w:uiPriority w:val="99"/>
    <w:rsid w:val="000C3C88"/>
    <w:rPr>
      <w:rFonts w:ascii="Times" w:eastAsia="Times" w:hAnsi="Times" w:cs="Times New Roman"/>
      <w:sz w:val="24"/>
      <w:szCs w:val="20"/>
    </w:rPr>
  </w:style>
  <w:style w:type="paragraph" w:customStyle="1" w:styleId="WashingtonParagraphs">
    <w:name w:val="Washington Paragraphs"/>
    <w:basedOn w:val="ListParagraph"/>
    <w:rsid w:val="000C3C88"/>
    <w:pPr>
      <w:numPr>
        <w:numId w:val="5"/>
      </w:numPr>
      <w:tabs>
        <w:tab w:val="left" w:pos="720"/>
        <w:tab w:val="left" w:pos="1440"/>
      </w:tabs>
      <w:spacing w:line="480" w:lineRule="auto"/>
      <w:jc w:val="both"/>
    </w:pPr>
    <w:rPr>
      <w:rFonts w:ascii="Times New Roman" w:hAnsi="Times New Roman"/>
    </w:rPr>
  </w:style>
  <w:style w:type="numbering" w:customStyle="1" w:styleId="Style2">
    <w:name w:val="Style2"/>
    <w:uiPriority w:val="99"/>
    <w:rsid w:val="000C3C88"/>
    <w:pPr>
      <w:numPr>
        <w:numId w:val="9"/>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unhideWhenUsed/>
    <w:qFormat/>
    <w:rsid w:val="000C3C88"/>
    <w:rPr>
      <w:rFonts w:ascii="Times New Roman" w:hAnsi="Times New Roman"/>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0C3C88"/>
    <w:rPr>
      <w:rFonts w:ascii="Times New Roman" w:eastAsia="Times" w:hAnsi="Times New Roman" w:cs="Times New Roman"/>
      <w:sz w:val="20"/>
      <w:szCs w:val="20"/>
    </w:rPr>
  </w:style>
  <w:style w:type="character" w:styleId="FootnoteReference">
    <w:name w:val="footnote reference"/>
    <w:basedOn w:val="DefaultParagraphFont"/>
    <w:uiPriority w:val="99"/>
    <w:unhideWhenUsed/>
    <w:qFormat/>
    <w:rsid w:val="000C3C88"/>
    <w:rPr>
      <w:vertAlign w:val="superscript"/>
    </w:rPr>
  </w:style>
  <w:style w:type="paragraph" w:styleId="BalloonText">
    <w:name w:val="Balloon Text"/>
    <w:basedOn w:val="Normal"/>
    <w:link w:val="BalloonTextChar"/>
    <w:uiPriority w:val="99"/>
    <w:semiHidden/>
    <w:unhideWhenUsed/>
    <w:rsid w:val="000C3C88"/>
    <w:rPr>
      <w:rFonts w:ascii="Tahoma" w:hAnsi="Tahoma"/>
      <w:sz w:val="16"/>
      <w:szCs w:val="16"/>
    </w:rPr>
  </w:style>
  <w:style w:type="character" w:customStyle="1" w:styleId="BalloonTextChar">
    <w:name w:val="Balloon Text Char"/>
    <w:basedOn w:val="DefaultParagraphFont"/>
    <w:link w:val="BalloonText"/>
    <w:uiPriority w:val="99"/>
    <w:semiHidden/>
    <w:rsid w:val="000C3C88"/>
    <w:rPr>
      <w:rFonts w:ascii="Tahoma" w:eastAsia="Times" w:hAnsi="Tahoma" w:cs="Times New Roman"/>
      <w:sz w:val="16"/>
      <w:szCs w:val="16"/>
    </w:rPr>
  </w:style>
  <w:style w:type="paragraph" w:styleId="NormalWeb">
    <w:name w:val="Normal (Web)"/>
    <w:basedOn w:val="Normal"/>
    <w:uiPriority w:val="99"/>
    <w:semiHidden/>
    <w:unhideWhenUsed/>
    <w:rsid w:val="000C3C88"/>
    <w:pPr>
      <w:spacing w:before="100" w:beforeAutospacing="1" w:after="100" w:afterAutospacing="1"/>
    </w:pPr>
    <w:rPr>
      <w:rFonts w:ascii="Times New Roman" w:eastAsia="Times New Roman" w:hAnsi="Times New Roman"/>
      <w:szCs w:val="24"/>
    </w:rPr>
  </w:style>
  <w:style w:type="character" w:styleId="CommentReference">
    <w:name w:val="annotation reference"/>
    <w:basedOn w:val="DefaultParagraphFont"/>
    <w:uiPriority w:val="99"/>
    <w:semiHidden/>
    <w:unhideWhenUsed/>
    <w:rsid w:val="000C3C88"/>
    <w:rPr>
      <w:sz w:val="16"/>
      <w:szCs w:val="16"/>
    </w:rPr>
  </w:style>
  <w:style w:type="paragraph" w:styleId="CommentText">
    <w:name w:val="annotation text"/>
    <w:basedOn w:val="Normal"/>
    <w:link w:val="CommentTextChar"/>
    <w:uiPriority w:val="99"/>
    <w:semiHidden/>
    <w:unhideWhenUsed/>
    <w:rsid w:val="000C3C88"/>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0C3C88"/>
    <w:rPr>
      <w:sz w:val="20"/>
      <w:szCs w:val="20"/>
    </w:rPr>
  </w:style>
  <w:style w:type="paragraph" w:styleId="CommentSubject">
    <w:name w:val="annotation subject"/>
    <w:basedOn w:val="CommentText"/>
    <w:next w:val="CommentText"/>
    <w:link w:val="CommentSubjectChar"/>
    <w:uiPriority w:val="99"/>
    <w:semiHidden/>
    <w:unhideWhenUsed/>
    <w:rsid w:val="000C3C88"/>
    <w:pPr>
      <w:spacing w:after="0"/>
    </w:pPr>
    <w:rPr>
      <w:rFonts w:ascii="Times" w:eastAsia="Times" w:hAnsi="Times" w:cs="Times New Roman"/>
      <w:b/>
      <w:bCs/>
    </w:rPr>
  </w:style>
  <w:style w:type="character" w:customStyle="1" w:styleId="CommentSubjectChar">
    <w:name w:val="Comment Subject Char"/>
    <w:basedOn w:val="CommentTextChar"/>
    <w:link w:val="CommentSubject"/>
    <w:uiPriority w:val="99"/>
    <w:semiHidden/>
    <w:rsid w:val="000C3C88"/>
    <w:rPr>
      <w:rFonts w:ascii="Times" w:eastAsia="Times" w:hAnsi="Times" w:cs="Times New Roman"/>
      <w:b/>
      <w:bCs/>
      <w:sz w:val="20"/>
      <w:szCs w:val="20"/>
    </w:rPr>
  </w:style>
  <w:style w:type="paragraph" w:styleId="TableofAuthorities">
    <w:name w:val="table of authorities"/>
    <w:basedOn w:val="Normal"/>
    <w:next w:val="Normal"/>
    <w:uiPriority w:val="99"/>
    <w:unhideWhenUsed/>
    <w:rsid w:val="00FF6669"/>
    <w:pPr>
      <w:ind w:left="240" w:hanging="240"/>
    </w:pPr>
    <w:rPr>
      <w:rFonts w:ascii="Times New Roman" w:hAnsi="Times New Roman" w:cstheme="minorHAnsi"/>
    </w:rPr>
  </w:style>
  <w:style w:type="paragraph" w:styleId="TOAHeading">
    <w:name w:val="toa heading"/>
    <w:basedOn w:val="Normal"/>
    <w:next w:val="Normal"/>
    <w:uiPriority w:val="99"/>
    <w:unhideWhenUsed/>
    <w:rsid w:val="004C5C5C"/>
    <w:pPr>
      <w:spacing w:before="240" w:after="120"/>
    </w:pPr>
    <w:rPr>
      <w:rFonts w:ascii="Times New Roman" w:hAnsi="Times New Roman" w:cstheme="minorHAnsi"/>
      <w:b/>
      <w:bCs/>
      <w:caps/>
    </w:rPr>
  </w:style>
  <w:style w:type="character" w:styleId="Hyperlink">
    <w:name w:val="Hyperlink"/>
    <w:basedOn w:val="DefaultParagraphFont"/>
    <w:uiPriority w:val="99"/>
    <w:rsid w:val="000C3C88"/>
    <w:rPr>
      <w:color w:val="0000FF"/>
      <w:u w:val="single"/>
    </w:rPr>
  </w:style>
  <w:style w:type="paragraph" w:customStyle="1" w:styleId="plain">
    <w:name w:val="plain"/>
    <w:basedOn w:val="Normal"/>
    <w:rsid w:val="000C3C88"/>
    <w:pPr>
      <w:spacing w:line="240" w:lineRule="atLeast"/>
    </w:pPr>
    <w:rPr>
      <w:rFonts w:ascii="Times New Roman" w:eastAsia="Times New Roman" w:hAnsi="Times New Roman"/>
    </w:rPr>
  </w:style>
  <w:style w:type="paragraph" w:customStyle="1" w:styleId="normalblock">
    <w:name w:val="normal block"/>
    <w:basedOn w:val="Normal"/>
    <w:rsid w:val="000C3C88"/>
    <w:pPr>
      <w:spacing w:line="480" w:lineRule="atLeast"/>
    </w:pPr>
    <w:rPr>
      <w:rFonts w:ascii="Times New Roman" w:eastAsia="Times New Roman" w:hAnsi="Times New Roman"/>
    </w:rPr>
  </w:style>
  <w:style w:type="character" w:styleId="PageNumber">
    <w:name w:val="page number"/>
    <w:basedOn w:val="DefaultParagraphFont"/>
    <w:rsid w:val="000C3C88"/>
  </w:style>
  <w:style w:type="character" w:styleId="LineNumber">
    <w:name w:val="line number"/>
    <w:basedOn w:val="DefaultParagraphFont"/>
    <w:uiPriority w:val="99"/>
    <w:semiHidden/>
    <w:unhideWhenUsed/>
    <w:rsid w:val="000C3C88"/>
  </w:style>
  <w:style w:type="paragraph" w:customStyle="1" w:styleId="WAParagraph">
    <w:name w:val="WA Paragraph"/>
    <w:basedOn w:val="ListParagraph"/>
    <w:link w:val="WAParagraphChar"/>
    <w:qFormat/>
    <w:rsid w:val="000C3C88"/>
    <w:pPr>
      <w:tabs>
        <w:tab w:val="left" w:pos="720"/>
        <w:tab w:val="num" w:pos="2880"/>
      </w:tabs>
      <w:spacing w:line="520" w:lineRule="exact"/>
      <w:ind w:left="0" w:hanging="720"/>
    </w:pPr>
    <w:rPr>
      <w:rFonts w:ascii="Times New Roman" w:hAnsi="Times New Roman"/>
      <w:szCs w:val="24"/>
    </w:rPr>
  </w:style>
  <w:style w:type="paragraph" w:customStyle="1" w:styleId="WAPara">
    <w:name w:val="WA Para"/>
    <w:basedOn w:val="ListParagraph"/>
    <w:link w:val="WAParaChar"/>
    <w:qFormat/>
    <w:rsid w:val="000C3C88"/>
    <w:pPr>
      <w:tabs>
        <w:tab w:val="left" w:pos="720"/>
        <w:tab w:val="num" w:pos="2880"/>
      </w:tabs>
      <w:spacing w:line="480" w:lineRule="auto"/>
      <w:ind w:left="3240" w:hanging="720"/>
      <w:contextualSpacing w:val="0"/>
    </w:pPr>
    <w:rPr>
      <w:rFonts w:ascii="Times New Roman" w:hAnsi="Times New Roman"/>
      <w:bCs/>
      <w:iCs/>
      <w:color w:val="000000"/>
      <w:szCs w:val="24"/>
    </w:rPr>
  </w:style>
  <w:style w:type="character" w:customStyle="1" w:styleId="ListParagraphChar">
    <w:name w:val="List Paragraph Char"/>
    <w:basedOn w:val="DefaultParagraphFont"/>
    <w:link w:val="ListParagraph"/>
    <w:uiPriority w:val="34"/>
    <w:rsid w:val="000C3C88"/>
    <w:rPr>
      <w:rFonts w:ascii="Times" w:eastAsia="Times" w:hAnsi="Times" w:cs="Times New Roman"/>
      <w:sz w:val="24"/>
      <w:szCs w:val="20"/>
    </w:rPr>
  </w:style>
  <w:style w:type="character" w:customStyle="1" w:styleId="WAParagraphChar">
    <w:name w:val="WA Paragraph Char"/>
    <w:basedOn w:val="ListParagraphChar"/>
    <w:link w:val="WAParagraph"/>
    <w:rsid w:val="000C3C88"/>
    <w:rPr>
      <w:rFonts w:ascii="Times New Roman" w:eastAsia="Times" w:hAnsi="Times New Roman" w:cs="Times New Roman"/>
      <w:sz w:val="24"/>
      <w:szCs w:val="24"/>
    </w:rPr>
  </w:style>
  <w:style w:type="paragraph" w:customStyle="1" w:styleId="WAP1">
    <w:name w:val="WA P1"/>
    <w:basedOn w:val="ListParagraph"/>
    <w:link w:val="WAP1Char"/>
    <w:qFormat/>
    <w:rsid w:val="00440B60"/>
    <w:pPr>
      <w:widowControl w:val="0"/>
      <w:numPr>
        <w:numId w:val="21"/>
      </w:numPr>
      <w:tabs>
        <w:tab w:val="clear" w:pos="360"/>
        <w:tab w:val="num" w:pos="720"/>
      </w:tabs>
      <w:spacing w:line="480" w:lineRule="exact"/>
      <w:ind w:left="0"/>
      <w:contextualSpacing w:val="0"/>
    </w:pPr>
    <w:rPr>
      <w:rFonts w:ascii="Times New Roman" w:hAnsi="Times New Roman"/>
      <w:szCs w:val="24"/>
    </w:rPr>
  </w:style>
  <w:style w:type="character" w:customStyle="1" w:styleId="WAParaChar">
    <w:name w:val="WA Para Char"/>
    <w:basedOn w:val="ListParagraphChar"/>
    <w:link w:val="WAPara"/>
    <w:rsid w:val="000C3C88"/>
    <w:rPr>
      <w:rFonts w:ascii="Times New Roman" w:eastAsia="Times" w:hAnsi="Times New Roman" w:cs="Times New Roman"/>
      <w:bCs/>
      <w:iCs/>
      <w:color w:val="000000"/>
      <w:sz w:val="24"/>
      <w:szCs w:val="24"/>
    </w:rPr>
  </w:style>
  <w:style w:type="table" w:styleId="TableGrid">
    <w:name w:val="Table Grid"/>
    <w:basedOn w:val="TableNormal"/>
    <w:uiPriority w:val="59"/>
    <w:rsid w:val="000C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P1Char">
    <w:name w:val="WA P1 Char"/>
    <w:basedOn w:val="ListParagraphChar"/>
    <w:link w:val="WAP1"/>
    <w:rsid w:val="00440B60"/>
    <w:rPr>
      <w:rFonts w:ascii="Times New Roman" w:eastAsia="Times" w:hAnsi="Times New Roman" w:cs="Times New Roman"/>
      <w:sz w:val="24"/>
      <w:szCs w:val="24"/>
    </w:rPr>
  </w:style>
  <w:style w:type="paragraph" w:customStyle="1" w:styleId="H2">
    <w:name w:val="H2"/>
    <w:basedOn w:val="Normal"/>
    <w:link w:val="H2Char"/>
    <w:qFormat/>
    <w:rsid w:val="00440B60"/>
    <w:pPr>
      <w:keepNext/>
      <w:tabs>
        <w:tab w:val="left" w:pos="0"/>
      </w:tabs>
      <w:spacing w:line="480" w:lineRule="exact"/>
      <w:ind w:left="720" w:hanging="720"/>
    </w:pPr>
    <w:rPr>
      <w:rFonts w:ascii="Times New Roman" w:hAnsi="Times New Roman"/>
      <w:b/>
      <w:szCs w:val="24"/>
    </w:rPr>
  </w:style>
  <w:style w:type="paragraph" w:customStyle="1" w:styleId="H1">
    <w:name w:val="H1"/>
    <w:basedOn w:val="Normal"/>
    <w:link w:val="H1Char"/>
    <w:qFormat/>
    <w:rsid w:val="0049679D"/>
    <w:pPr>
      <w:numPr>
        <w:numId w:val="18"/>
      </w:numPr>
      <w:tabs>
        <w:tab w:val="left" w:pos="0"/>
      </w:tabs>
      <w:spacing w:line="480" w:lineRule="exact"/>
      <w:ind w:left="0" w:firstLine="0"/>
      <w:jc w:val="center"/>
    </w:pPr>
    <w:rPr>
      <w:rFonts w:ascii="Times New Roman" w:hAnsi="Times New Roman"/>
      <w:b/>
      <w:szCs w:val="24"/>
    </w:rPr>
  </w:style>
  <w:style w:type="character" w:customStyle="1" w:styleId="H2Char">
    <w:name w:val="H2 Char"/>
    <w:basedOn w:val="DefaultParagraphFont"/>
    <w:link w:val="H2"/>
    <w:rsid w:val="00440B60"/>
    <w:rPr>
      <w:rFonts w:ascii="Times New Roman" w:eastAsia="Times" w:hAnsi="Times New Roman" w:cs="Times New Roman"/>
      <w:b/>
      <w:sz w:val="24"/>
      <w:szCs w:val="24"/>
    </w:rPr>
  </w:style>
  <w:style w:type="paragraph" w:customStyle="1" w:styleId="H3">
    <w:name w:val="H3"/>
    <w:basedOn w:val="Normal"/>
    <w:link w:val="H3Char"/>
    <w:qFormat/>
    <w:rsid w:val="000C3C88"/>
    <w:pPr>
      <w:keepNext/>
      <w:spacing w:before="240"/>
      <w:ind w:left="1440" w:hanging="720"/>
    </w:pPr>
    <w:rPr>
      <w:rFonts w:ascii="Times New Roman" w:hAnsi="Times New Roman"/>
      <w:b/>
      <w:szCs w:val="24"/>
    </w:rPr>
  </w:style>
  <w:style w:type="character" w:customStyle="1" w:styleId="H1Char">
    <w:name w:val="H1 Char"/>
    <w:basedOn w:val="DefaultParagraphFont"/>
    <w:link w:val="H1"/>
    <w:rsid w:val="0049679D"/>
    <w:rPr>
      <w:rFonts w:ascii="Times New Roman" w:eastAsia="Times" w:hAnsi="Times New Roman" w:cs="Times New Roman"/>
      <w:b/>
      <w:sz w:val="24"/>
      <w:szCs w:val="24"/>
    </w:rPr>
  </w:style>
  <w:style w:type="character" w:customStyle="1" w:styleId="H3Char">
    <w:name w:val="H3 Char"/>
    <w:basedOn w:val="DefaultParagraphFont"/>
    <w:link w:val="H3"/>
    <w:rsid w:val="000C3C88"/>
    <w:rPr>
      <w:rFonts w:ascii="Times New Roman" w:eastAsia="Times" w:hAnsi="Times New Roman" w:cs="Times New Roman"/>
      <w:b/>
      <w:sz w:val="24"/>
      <w:szCs w:val="24"/>
    </w:rPr>
  </w:style>
  <w:style w:type="paragraph" w:styleId="Revision">
    <w:name w:val="Revision"/>
    <w:hidden/>
    <w:uiPriority w:val="99"/>
    <w:semiHidden/>
    <w:rsid w:val="000C3C88"/>
    <w:pPr>
      <w:jc w:val="left"/>
    </w:pPr>
    <w:rPr>
      <w:rFonts w:ascii="Times" w:eastAsia="Times" w:hAnsi="Times" w:cs="Times New Roman"/>
      <w:sz w:val="24"/>
      <w:szCs w:val="20"/>
    </w:rPr>
  </w:style>
  <w:style w:type="paragraph" w:styleId="DocumentMap">
    <w:name w:val="Document Map"/>
    <w:basedOn w:val="Normal"/>
    <w:link w:val="DocumentMapChar"/>
    <w:uiPriority w:val="99"/>
    <w:semiHidden/>
    <w:unhideWhenUsed/>
    <w:rsid w:val="000C3C88"/>
    <w:rPr>
      <w:rFonts w:ascii="Tahoma" w:hAnsi="Tahoma" w:cs="Tahoma"/>
      <w:sz w:val="16"/>
      <w:szCs w:val="16"/>
    </w:rPr>
  </w:style>
  <w:style w:type="character" w:customStyle="1" w:styleId="DocumentMapChar">
    <w:name w:val="Document Map Char"/>
    <w:basedOn w:val="DefaultParagraphFont"/>
    <w:link w:val="DocumentMap"/>
    <w:uiPriority w:val="99"/>
    <w:semiHidden/>
    <w:rsid w:val="000C3C88"/>
    <w:rPr>
      <w:rFonts w:ascii="Tahoma" w:eastAsia="Times" w:hAnsi="Tahoma" w:cs="Tahoma"/>
      <w:sz w:val="16"/>
      <w:szCs w:val="16"/>
    </w:rPr>
  </w:style>
  <w:style w:type="character" w:customStyle="1" w:styleId="Heading3Char">
    <w:name w:val="Heading 3 Char"/>
    <w:basedOn w:val="DefaultParagraphFont"/>
    <w:link w:val="Heading3"/>
    <w:uiPriority w:val="9"/>
    <w:rsid w:val="000C3C88"/>
    <w:rPr>
      <w:rFonts w:asciiTheme="majorHAnsi" w:eastAsiaTheme="majorEastAsia" w:hAnsiTheme="majorHAnsi" w:cstheme="majorBidi"/>
      <w:b/>
      <w:bCs/>
      <w:color w:val="4F81BD" w:themeColor="accent1"/>
      <w:sz w:val="24"/>
      <w:szCs w:val="20"/>
    </w:rPr>
  </w:style>
  <w:style w:type="paragraph" w:customStyle="1" w:styleId="BATOAPageHeading">
    <w:name w:val="BA TOA Page Heading"/>
    <w:basedOn w:val="Normal"/>
    <w:rsid w:val="000C3C88"/>
    <w:pPr>
      <w:keepNext/>
      <w:keepLines/>
      <w:tabs>
        <w:tab w:val="right" w:pos="9360"/>
      </w:tabs>
      <w:jc w:val="right"/>
    </w:pPr>
    <w:rPr>
      <w:rFonts w:ascii="Times New Roman" w:eastAsia="Times New Roman" w:hAnsi="Times New Roman"/>
      <w:b/>
      <w:szCs w:val="24"/>
    </w:rPr>
  </w:style>
  <w:style w:type="paragraph" w:customStyle="1" w:styleId="BATOAHeading">
    <w:name w:val="BA TOA Heading"/>
    <w:basedOn w:val="Normal"/>
    <w:rsid w:val="000C3C88"/>
    <w:pPr>
      <w:keepNext/>
      <w:keepLines/>
      <w:spacing w:after="240"/>
    </w:pPr>
    <w:rPr>
      <w:rFonts w:ascii="Times New Roman" w:eastAsia="Times New Roman" w:hAnsi="Times New Roman"/>
      <w:b/>
      <w:smallCaps/>
      <w:szCs w:val="24"/>
    </w:rPr>
  </w:style>
  <w:style w:type="paragraph" w:customStyle="1" w:styleId="BATOAEntry">
    <w:name w:val="BA TOA Entry"/>
    <w:basedOn w:val="Normal"/>
    <w:rsid w:val="000C3C88"/>
    <w:pPr>
      <w:keepLines/>
      <w:tabs>
        <w:tab w:val="right" w:leader="dot" w:pos="9360"/>
      </w:tabs>
      <w:spacing w:after="240"/>
      <w:ind w:left="360" w:right="720" w:hanging="360"/>
    </w:pPr>
    <w:rPr>
      <w:rFonts w:ascii="Times New Roman" w:eastAsia="Times New Roman" w:hAnsi="Times New Roman"/>
      <w:szCs w:val="24"/>
    </w:rPr>
  </w:style>
  <w:style w:type="paragraph" w:customStyle="1" w:styleId="BADraft">
    <w:name w:val="BA Draft"/>
    <w:basedOn w:val="BodyText"/>
    <w:rsid w:val="000C3C88"/>
    <w:pPr>
      <w:keepLines/>
      <w:widowControl w:val="0"/>
      <w:spacing w:after="0"/>
    </w:pPr>
    <w:rPr>
      <w:rFonts w:ascii="Times New Roman" w:eastAsia="Times New Roman" w:hAnsi="Times New Roman"/>
      <w:szCs w:val="24"/>
    </w:rPr>
  </w:style>
  <w:style w:type="paragraph" w:styleId="BodyText">
    <w:name w:val="Body Text"/>
    <w:basedOn w:val="Normal"/>
    <w:link w:val="BodyTextChar"/>
    <w:rsid w:val="000C3C88"/>
    <w:pPr>
      <w:spacing w:after="120"/>
    </w:pPr>
  </w:style>
  <w:style w:type="character" w:customStyle="1" w:styleId="BodyTextChar">
    <w:name w:val="Body Text Char"/>
    <w:basedOn w:val="DefaultParagraphFont"/>
    <w:link w:val="BodyText"/>
    <w:rsid w:val="000C3C88"/>
    <w:rPr>
      <w:rFonts w:ascii="Times" w:eastAsia="Times" w:hAnsi="Times" w:cs="Times New Roman"/>
      <w:sz w:val="24"/>
      <w:szCs w:val="20"/>
    </w:rPr>
  </w:style>
  <w:style w:type="paragraph" w:customStyle="1" w:styleId="BATOATitle">
    <w:name w:val="BA TOA Title"/>
    <w:basedOn w:val="Normal"/>
    <w:rsid w:val="000C3C88"/>
    <w:pPr>
      <w:keepNext/>
      <w:spacing w:before="120" w:after="240"/>
      <w:jc w:val="center"/>
    </w:pPr>
    <w:rPr>
      <w:rFonts w:ascii="Times New Roman" w:eastAsia="Times New Roman" w:hAnsi="Times New Roman"/>
      <w:b/>
      <w:caps/>
      <w:szCs w:val="24"/>
      <w:u w:val="single"/>
    </w:rPr>
  </w:style>
  <w:style w:type="paragraph" w:styleId="TOC1">
    <w:name w:val="toc 1"/>
    <w:basedOn w:val="Normal"/>
    <w:next w:val="Normal"/>
    <w:autoRedefine/>
    <w:uiPriority w:val="39"/>
    <w:qFormat/>
    <w:rsid w:val="000A6119"/>
    <w:pPr>
      <w:tabs>
        <w:tab w:val="left" w:pos="720"/>
        <w:tab w:val="right" w:leader="dot" w:pos="9350"/>
      </w:tabs>
      <w:spacing w:after="100"/>
    </w:pPr>
  </w:style>
  <w:style w:type="paragraph" w:styleId="TOC9">
    <w:name w:val="toc 9"/>
    <w:basedOn w:val="Normal"/>
    <w:next w:val="Normal"/>
    <w:autoRedefine/>
    <w:rsid w:val="000C3C88"/>
    <w:pPr>
      <w:spacing w:after="100"/>
      <w:ind w:left="1920"/>
    </w:pPr>
  </w:style>
  <w:style w:type="character" w:customStyle="1" w:styleId="Heading1Char">
    <w:name w:val="Heading 1 Char"/>
    <w:basedOn w:val="DefaultParagraphFont"/>
    <w:link w:val="Heading1"/>
    <w:rsid w:val="000C3C8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C3C88"/>
    <w:pPr>
      <w:spacing w:line="276" w:lineRule="auto"/>
      <w:outlineLvl w:val="9"/>
    </w:pPr>
  </w:style>
  <w:style w:type="paragraph" w:styleId="TOC2">
    <w:name w:val="toc 2"/>
    <w:basedOn w:val="Normal"/>
    <w:next w:val="Normal"/>
    <w:autoRedefine/>
    <w:uiPriority w:val="39"/>
    <w:unhideWhenUsed/>
    <w:qFormat/>
    <w:rsid w:val="000A6119"/>
    <w:pPr>
      <w:tabs>
        <w:tab w:val="left" w:pos="1080"/>
        <w:tab w:val="right" w:leader="dot" w:pos="9350"/>
      </w:tabs>
      <w:spacing w:after="100" w:line="276" w:lineRule="auto"/>
      <w:ind w:left="1080" w:hanging="450"/>
    </w:pPr>
    <w:rPr>
      <w:rFonts w:ascii="Times New Roman" w:eastAsiaTheme="minorEastAsia" w:hAnsi="Times New Roman" w:cstheme="minorBidi"/>
      <w:szCs w:val="22"/>
    </w:rPr>
  </w:style>
  <w:style w:type="paragraph" w:styleId="TOC3">
    <w:name w:val="toc 3"/>
    <w:basedOn w:val="Normal"/>
    <w:next w:val="Normal"/>
    <w:autoRedefine/>
    <w:uiPriority w:val="39"/>
    <w:unhideWhenUsed/>
    <w:qFormat/>
    <w:rsid w:val="000C3C88"/>
    <w:pPr>
      <w:tabs>
        <w:tab w:val="left" w:pos="1620"/>
        <w:tab w:val="right" w:leader="dot" w:pos="9350"/>
      </w:tabs>
      <w:spacing w:after="100" w:line="276" w:lineRule="auto"/>
      <w:ind w:left="1620" w:hanging="540"/>
    </w:pPr>
    <w:rPr>
      <w:rFonts w:ascii="Times New Roman" w:eastAsiaTheme="minorEastAsia" w:hAnsi="Times New Roman" w:cstheme="minorBidi"/>
      <w:szCs w:val="22"/>
    </w:rPr>
  </w:style>
  <w:style w:type="character" w:customStyle="1" w:styleId="Heading2Char">
    <w:name w:val="Heading 2 Char"/>
    <w:basedOn w:val="DefaultParagraphFont"/>
    <w:link w:val="Heading2"/>
    <w:rsid w:val="000C3C88"/>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F131A8"/>
    <w:rPr>
      <w:i/>
      <w:iCs/>
    </w:rPr>
  </w:style>
  <w:style w:type="paragraph" w:styleId="BodyText2">
    <w:name w:val="Body Text 2"/>
    <w:basedOn w:val="Normal"/>
    <w:link w:val="BodyText2Char"/>
    <w:rsid w:val="00E933C4"/>
    <w:pPr>
      <w:spacing w:after="120" w:line="480" w:lineRule="auto"/>
    </w:pPr>
  </w:style>
  <w:style w:type="character" w:customStyle="1" w:styleId="BodyText2Char">
    <w:name w:val="Body Text 2 Char"/>
    <w:basedOn w:val="DefaultParagraphFont"/>
    <w:link w:val="BodyText2"/>
    <w:rsid w:val="00E933C4"/>
    <w:rPr>
      <w:rFonts w:ascii="Times" w:eastAsia="Times" w:hAnsi="Times" w:cs="Times New Roman"/>
      <w:sz w:val="24"/>
      <w:szCs w:val="20"/>
    </w:rPr>
  </w:style>
  <w:style w:type="paragraph" w:customStyle="1" w:styleId="WUTCParagraph">
    <w:name w:val="WUTC Paragraph"/>
    <w:basedOn w:val="Normal"/>
    <w:link w:val="WUTCParagraphChar"/>
    <w:qFormat/>
    <w:rsid w:val="008D4B6D"/>
    <w:pPr>
      <w:numPr>
        <w:numId w:val="32"/>
      </w:numPr>
      <w:tabs>
        <w:tab w:val="left" w:pos="1440"/>
      </w:tabs>
      <w:spacing w:line="480" w:lineRule="auto"/>
    </w:pPr>
    <w:rPr>
      <w:rFonts w:ascii="Times New Roman" w:eastAsia="Times New Roman" w:hAnsi="Times New Roman"/>
      <w:szCs w:val="24"/>
    </w:rPr>
  </w:style>
  <w:style w:type="character" w:customStyle="1" w:styleId="WUTCParagraphChar">
    <w:name w:val="WUTC Paragraph Char"/>
    <w:link w:val="WUTCParagraph"/>
    <w:rsid w:val="008D4B6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41158">
      <w:bodyDiv w:val="1"/>
      <w:marLeft w:val="0"/>
      <w:marRight w:val="0"/>
      <w:marTop w:val="0"/>
      <w:marBottom w:val="0"/>
      <w:divBdr>
        <w:top w:val="none" w:sz="0" w:space="0" w:color="auto"/>
        <w:left w:val="none" w:sz="0" w:space="0" w:color="auto"/>
        <w:bottom w:val="none" w:sz="0" w:space="0" w:color="auto"/>
        <w:right w:val="none" w:sz="0" w:space="0" w:color="auto"/>
      </w:divBdr>
    </w:div>
    <w:div w:id="987589034">
      <w:bodyDiv w:val="1"/>
      <w:marLeft w:val="0"/>
      <w:marRight w:val="0"/>
      <w:marTop w:val="0"/>
      <w:marBottom w:val="0"/>
      <w:divBdr>
        <w:top w:val="none" w:sz="0" w:space="0" w:color="auto"/>
        <w:left w:val="none" w:sz="0" w:space="0" w:color="auto"/>
        <w:bottom w:val="none" w:sz="0" w:space="0" w:color="auto"/>
        <w:right w:val="none" w:sz="0" w:space="0" w:color="auto"/>
      </w:divBdr>
      <w:divsChild>
        <w:div w:id="1324235144">
          <w:marLeft w:val="0"/>
          <w:marRight w:val="0"/>
          <w:marTop w:val="0"/>
          <w:marBottom w:val="0"/>
          <w:divBdr>
            <w:top w:val="none" w:sz="0" w:space="0" w:color="auto"/>
            <w:left w:val="none" w:sz="0" w:space="0" w:color="auto"/>
            <w:bottom w:val="none" w:sz="0" w:space="0" w:color="auto"/>
            <w:right w:val="none" w:sz="0" w:space="0" w:color="auto"/>
          </w:divBdr>
          <w:divsChild>
            <w:div w:id="1170293984">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209342338">
      <w:bodyDiv w:val="1"/>
      <w:marLeft w:val="0"/>
      <w:marRight w:val="0"/>
      <w:marTop w:val="0"/>
      <w:marBottom w:val="0"/>
      <w:divBdr>
        <w:top w:val="none" w:sz="0" w:space="0" w:color="auto"/>
        <w:left w:val="none" w:sz="0" w:space="0" w:color="auto"/>
        <w:bottom w:val="none" w:sz="0" w:space="0" w:color="auto"/>
        <w:right w:val="none" w:sz="0" w:space="0" w:color="auto"/>
      </w:divBdr>
    </w:div>
    <w:div w:id="1583446364">
      <w:bodyDiv w:val="1"/>
      <w:marLeft w:val="0"/>
      <w:marRight w:val="0"/>
      <w:marTop w:val="0"/>
      <w:marBottom w:val="0"/>
      <w:divBdr>
        <w:top w:val="none" w:sz="0" w:space="0" w:color="auto"/>
        <w:left w:val="none" w:sz="0" w:space="0" w:color="auto"/>
        <w:bottom w:val="none" w:sz="0" w:space="0" w:color="auto"/>
        <w:right w:val="none" w:sz="0" w:space="0" w:color="auto"/>
      </w:divBdr>
    </w:div>
    <w:div w:id="1773358013">
      <w:bodyDiv w:val="1"/>
      <w:marLeft w:val="0"/>
      <w:marRight w:val="0"/>
      <w:marTop w:val="0"/>
      <w:marBottom w:val="0"/>
      <w:divBdr>
        <w:top w:val="none" w:sz="0" w:space="0" w:color="auto"/>
        <w:left w:val="none" w:sz="0" w:space="0" w:color="auto"/>
        <w:bottom w:val="none" w:sz="0" w:space="0" w:color="auto"/>
        <w:right w:val="none" w:sz="0" w:space="0" w:color="auto"/>
      </w:divBdr>
      <w:divsChild>
        <w:div w:id="903641636">
          <w:marLeft w:val="0"/>
          <w:marRight w:val="0"/>
          <w:marTop w:val="0"/>
          <w:marBottom w:val="0"/>
          <w:divBdr>
            <w:top w:val="none" w:sz="0" w:space="0" w:color="auto"/>
            <w:left w:val="none" w:sz="0" w:space="0" w:color="auto"/>
            <w:bottom w:val="none" w:sz="0" w:space="0" w:color="auto"/>
            <w:right w:val="none" w:sz="0" w:space="0" w:color="auto"/>
          </w:divBdr>
          <w:divsChild>
            <w:div w:id="1112672501">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A92E28D1EC4D42B4C180CD69469D63" ma:contentTypeVersion="175" ma:contentTypeDescription="" ma:contentTypeScope="" ma:versionID="6238f879754da7de37a34ef938e76e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2015-10-07T07:00:00+00:00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144160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EF2BEB-3981-4E6E-A0EA-19D79565029B}"/>
</file>

<file path=customXml/itemProps2.xml><?xml version="1.0" encoding="utf-8"?>
<ds:datastoreItem xmlns:ds="http://schemas.openxmlformats.org/officeDocument/2006/customXml" ds:itemID="{53044045-5A56-4520-9B5F-9AAF29A908BB}"/>
</file>

<file path=customXml/itemProps3.xml><?xml version="1.0" encoding="utf-8"?>
<ds:datastoreItem xmlns:ds="http://schemas.openxmlformats.org/officeDocument/2006/customXml" ds:itemID="{AAB13F0C-5C96-4982-92DB-8E55F621A3D0}"/>
</file>

<file path=customXml/itemProps4.xml><?xml version="1.0" encoding="utf-8"?>
<ds:datastoreItem xmlns:ds="http://schemas.openxmlformats.org/officeDocument/2006/customXml" ds:itemID="{CD7CA41E-7ECC-44C5-BC0D-D439862F9AEA}"/>
</file>

<file path=customXml/itemProps5.xml><?xml version="1.0" encoding="utf-8"?>
<ds:datastoreItem xmlns:ds="http://schemas.openxmlformats.org/officeDocument/2006/customXml" ds:itemID="{1E74610C-FA18-48E2-88A9-E1157D121DAD}"/>
</file>

<file path=docProps/app.xml><?xml version="1.0" encoding="utf-8"?>
<Properties xmlns="http://schemas.openxmlformats.org/officeDocument/2006/extended-properties" xmlns:vt="http://schemas.openxmlformats.org/officeDocument/2006/docPropsVTypes">
  <Template>Normal</Template>
  <TotalTime>0</TotalTime>
  <Pages>12</Pages>
  <Words>2484</Words>
  <Characters>14162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2015-10-07T21:42:00Z</dcterms:created>
  <dcterms:modified xsi:type="dcterms:W3CDTF">2015-10-07T22:41:00Z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0FAA8jIWMkClSc78ilUbeC1mUt38lHvQaMFdjcK8yPGAlkRt66gQw8Wwc/XWGlnSXrGcRIlt0HIbkAOq
9BjpSK8cooYkmOX7FuQAXH18CkGJS/dUFZdHEe6L8TzO73+hmZ1xueaJNTo7+JOq9BjpSK8cooYk
mOX7FuQAXH18CkGJS/dUFZdHEe6L8S/YhQbWCvzE/iHID4DEte1cgQeNGXZxCDImehDAHGRjmdzD
Elb90I0NfZdynrnC8</vt:lpwstr>
  </property>
  <property fmtid="{D5CDD505-2E9C-101B-9397-08002B2CF9AE}" pid="3" name="MAIL_MSG_ID2">
    <vt:lpwstr>RNkUYAti5OqH6EiaxA3OcID2kRUQFnHnH9MCbw9mBgzHkND8tr9kja8ppZh
Qqylg3YAbdkUylBAjEQnVPThyD1/k69ML/TAuY6/iJ2jGcrmmPOOhlkzBpI=</vt:lpwstr>
  </property>
  <property fmtid="{D5CDD505-2E9C-101B-9397-08002B2CF9AE}" pid="4" name="RESPONSE_SENDER_NAME">
    <vt:lpwstr>sAAAb0xRtPDW5UslU+f9jpzWpZAEFan2K3Oj2B01tkEfXh4=</vt:lpwstr>
  </property>
  <property fmtid="{D5CDD505-2E9C-101B-9397-08002B2CF9AE}" pid="5" name="EMAIL_OWNER_ADDRESS">
    <vt:lpwstr>ABAAmylTnWthiz+b6tV8KNTyXVOoqTyYRueFavu6krxLpdqOv4idoxnK5qpwLxQF8LeS</vt:lpwstr>
  </property>
  <property fmtid="{D5CDD505-2E9C-101B-9397-08002B2CF9AE}" pid="6" name="ContentTypeId">
    <vt:lpwstr>0x0101006E56B4D1795A2E4DB2F0B01679ED314A00F0A92E28D1EC4D42B4C180CD69469D63</vt:lpwstr>
  </property>
  <property fmtid="{D5CDD505-2E9C-101B-9397-08002B2CF9AE}" pid="7" name="_docset_NoMedatataSyncRequired">
    <vt:lpwstr>False</vt:lpwstr>
  </property>
</Properties>
</file>